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AC284"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rPr>
        <w:t xml:space="preserve">Name of Journal: </w:t>
      </w:r>
      <w:r w:rsidRPr="009C4C21">
        <w:rPr>
          <w:rFonts w:ascii="Book Antiqua" w:eastAsia="Book Antiqua" w:hAnsi="Book Antiqua" w:cs="Book Antiqua"/>
          <w:i/>
        </w:rPr>
        <w:t>World Journal of Gastrointestinal Oncology</w:t>
      </w:r>
    </w:p>
    <w:p w14:paraId="248543CE"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rPr>
        <w:t xml:space="preserve">Manuscript NO: </w:t>
      </w:r>
      <w:r w:rsidRPr="009C4C21">
        <w:rPr>
          <w:rFonts w:ascii="Book Antiqua" w:eastAsia="Book Antiqua" w:hAnsi="Book Antiqua" w:cs="Book Antiqua"/>
        </w:rPr>
        <w:t>88762</w:t>
      </w:r>
    </w:p>
    <w:p w14:paraId="2787076F"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rPr>
        <w:t xml:space="preserve">Manuscript Type: </w:t>
      </w:r>
      <w:r w:rsidRPr="009C4C21">
        <w:rPr>
          <w:rFonts w:ascii="Book Antiqua" w:eastAsia="Book Antiqua" w:hAnsi="Book Antiqua" w:cs="Book Antiqua"/>
        </w:rPr>
        <w:t>ORIGINAL ARTICLE</w:t>
      </w:r>
    </w:p>
    <w:p w14:paraId="0234FFC0" w14:textId="77777777" w:rsidR="00A77B3E" w:rsidRPr="009C4C21" w:rsidRDefault="00A77B3E">
      <w:pPr>
        <w:spacing w:line="360" w:lineRule="auto"/>
        <w:jc w:val="both"/>
        <w:rPr>
          <w:rFonts w:ascii="Book Antiqua" w:hAnsi="Book Antiqua"/>
        </w:rPr>
      </w:pPr>
    </w:p>
    <w:p w14:paraId="464414BC"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i/>
        </w:rPr>
        <w:t>Basic Study</w:t>
      </w:r>
    </w:p>
    <w:p w14:paraId="67EA4259"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Curcumin inhibits the growth and invasion of gastric cancer by regulating long noncoding RNA AC022424.2</w:t>
      </w:r>
    </w:p>
    <w:p w14:paraId="21003CC1" w14:textId="77777777" w:rsidR="00A77B3E" w:rsidRPr="009C4C21" w:rsidRDefault="00A77B3E">
      <w:pPr>
        <w:spacing w:line="360" w:lineRule="auto"/>
        <w:jc w:val="both"/>
        <w:rPr>
          <w:rFonts w:ascii="Book Antiqua" w:hAnsi="Book Antiqua"/>
        </w:rPr>
      </w:pPr>
    </w:p>
    <w:p w14:paraId="09BF1422" w14:textId="11DE970C" w:rsidR="00A77B3E" w:rsidRPr="009C4C21" w:rsidRDefault="00AD7197">
      <w:pPr>
        <w:spacing w:line="360" w:lineRule="auto"/>
        <w:jc w:val="both"/>
        <w:rPr>
          <w:rFonts w:ascii="Book Antiqua" w:hAnsi="Book Antiqua"/>
        </w:rPr>
      </w:pPr>
      <w:r w:rsidRPr="009C4C21">
        <w:rPr>
          <w:rFonts w:ascii="Book Antiqua" w:eastAsia="Book Antiqua" w:hAnsi="Book Antiqua" w:cs="Book Antiqua"/>
          <w:color w:val="000000"/>
        </w:rPr>
        <w:t xml:space="preserve">Wang BS </w:t>
      </w:r>
      <w:r w:rsidRPr="009C4C21">
        <w:rPr>
          <w:rFonts w:ascii="Book Antiqua" w:eastAsia="Book Antiqua" w:hAnsi="Book Antiqua" w:cs="Book Antiqua"/>
          <w:i/>
          <w:iCs/>
          <w:color w:val="000000"/>
        </w:rPr>
        <w:t>et al</w:t>
      </w:r>
      <w:r w:rsidRPr="009C4C21">
        <w:rPr>
          <w:rFonts w:ascii="Book Antiqua" w:eastAsia="Book Antiqua" w:hAnsi="Book Antiqua" w:cs="Book Antiqua"/>
          <w:color w:val="000000"/>
        </w:rPr>
        <w:t>. Curcumin inhibits GC by lncRNA AC022424.2</w:t>
      </w:r>
    </w:p>
    <w:p w14:paraId="0274208A" w14:textId="77777777" w:rsidR="00A77B3E" w:rsidRPr="009C4C21" w:rsidRDefault="00A77B3E">
      <w:pPr>
        <w:spacing w:line="360" w:lineRule="auto"/>
        <w:jc w:val="both"/>
        <w:rPr>
          <w:rFonts w:ascii="Book Antiqua" w:hAnsi="Book Antiqua"/>
        </w:rPr>
      </w:pPr>
    </w:p>
    <w:p w14:paraId="6A051EF5" w14:textId="753B8F73" w:rsidR="00A77B3E" w:rsidRPr="00D040F1" w:rsidRDefault="009A1F6D">
      <w:pPr>
        <w:spacing w:line="360" w:lineRule="auto"/>
        <w:jc w:val="both"/>
        <w:rPr>
          <w:rFonts w:ascii="Book Antiqua" w:hAnsi="Book Antiqua"/>
          <w:b/>
          <w:bCs/>
        </w:rPr>
      </w:pPr>
      <w:r w:rsidRPr="00D040F1">
        <w:rPr>
          <w:rFonts w:ascii="Book Antiqua" w:eastAsia="Book Antiqua" w:hAnsi="Book Antiqua" w:cs="Book Antiqua"/>
          <w:b/>
          <w:bCs/>
          <w:color w:val="000000"/>
        </w:rPr>
        <w:t>Bin</w:t>
      </w:r>
      <w:r w:rsidR="00AD7197" w:rsidRPr="00D040F1">
        <w:rPr>
          <w:rFonts w:ascii="Book Antiqua" w:eastAsia="Book Antiqua" w:hAnsi="Book Antiqua" w:cs="Book Antiqua"/>
          <w:b/>
          <w:bCs/>
          <w:color w:val="000000"/>
        </w:rPr>
        <w:t>-S</w:t>
      </w:r>
      <w:r w:rsidRPr="00D040F1">
        <w:rPr>
          <w:rFonts w:ascii="Book Antiqua" w:eastAsia="Book Antiqua" w:hAnsi="Book Antiqua" w:cs="Book Antiqua"/>
          <w:b/>
          <w:bCs/>
          <w:color w:val="000000"/>
        </w:rPr>
        <w:t xml:space="preserve">heng Wang, Chen-Li Zhang, </w:t>
      </w:r>
      <w:r w:rsidR="00AD7197" w:rsidRPr="00D040F1">
        <w:rPr>
          <w:rFonts w:ascii="Book Antiqua" w:eastAsia="Book Antiqua" w:hAnsi="Book Antiqua" w:cs="Book Antiqua"/>
          <w:b/>
          <w:bCs/>
          <w:color w:val="000000"/>
        </w:rPr>
        <w:t>Xiang C</w:t>
      </w:r>
      <w:r w:rsidRPr="00D040F1">
        <w:rPr>
          <w:rFonts w:ascii="Book Antiqua" w:eastAsia="Book Antiqua" w:hAnsi="Book Antiqua" w:cs="Book Antiqua"/>
          <w:b/>
          <w:bCs/>
          <w:color w:val="000000"/>
        </w:rPr>
        <w:t>ui, Qiang Li, Lei Yang, Zhi-</w:t>
      </w:r>
      <w:r w:rsidR="00AD7197" w:rsidRPr="00D040F1">
        <w:rPr>
          <w:rFonts w:ascii="Book Antiqua" w:eastAsia="Book Antiqua" w:hAnsi="Book Antiqua" w:cs="Book Antiqua"/>
          <w:b/>
          <w:bCs/>
          <w:color w:val="000000"/>
        </w:rPr>
        <w:t>Y</w:t>
      </w:r>
      <w:r w:rsidRPr="00D040F1">
        <w:rPr>
          <w:rFonts w:ascii="Book Antiqua" w:eastAsia="Book Antiqua" w:hAnsi="Book Antiqua" w:cs="Book Antiqua"/>
          <w:b/>
          <w:bCs/>
          <w:color w:val="000000"/>
        </w:rPr>
        <w:t xml:space="preserve">un He, Ze Yang, </w:t>
      </w:r>
      <w:r w:rsidR="00AD7197" w:rsidRPr="00D040F1">
        <w:rPr>
          <w:rFonts w:ascii="Book Antiqua" w:eastAsia="Book Antiqua" w:hAnsi="Book Antiqua" w:cs="Book Antiqua"/>
          <w:b/>
          <w:bCs/>
          <w:color w:val="000000"/>
        </w:rPr>
        <w:t>Miao-M</w:t>
      </w:r>
      <w:r w:rsidRPr="00D040F1">
        <w:rPr>
          <w:rFonts w:ascii="Book Antiqua" w:eastAsia="Book Antiqua" w:hAnsi="Book Antiqua" w:cs="Book Antiqua"/>
          <w:b/>
          <w:bCs/>
          <w:color w:val="000000"/>
        </w:rPr>
        <w:t>iao Zeng, Nong Cao</w:t>
      </w:r>
    </w:p>
    <w:p w14:paraId="61819A82" w14:textId="77777777" w:rsidR="00A77B3E" w:rsidRPr="009C4C21" w:rsidRDefault="00A77B3E">
      <w:pPr>
        <w:spacing w:line="360" w:lineRule="auto"/>
        <w:jc w:val="both"/>
        <w:rPr>
          <w:rFonts w:ascii="Book Antiqua" w:hAnsi="Book Antiqua"/>
        </w:rPr>
      </w:pPr>
    </w:p>
    <w:p w14:paraId="44115095" w14:textId="3C2EDF4B"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color w:val="000000"/>
        </w:rPr>
        <w:t>Bin-</w:t>
      </w:r>
      <w:r w:rsidR="00341210" w:rsidRPr="009C4C21">
        <w:rPr>
          <w:rFonts w:ascii="Book Antiqua" w:eastAsia="Book Antiqua" w:hAnsi="Book Antiqua" w:cs="Book Antiqua"/>
          <w:b/>
          <w:bCs/>
          <w:color w:val="000000"/>
        </w:rPr>
        <w:t>S</w:t>
      </w:r>
      <w:r w:rsidRPr="009C4C21">
        <w:rPr>
          <w:rFonts w:ascii="Book Antiqua" w:eastAsia="Book Antiqua" w:hAnsi="Book Antiqua" w:cs="Book Antiqua"/>
          <w:b/>
          <w:bCs/>
          <w:color w:val="000000"/>
        </w:rPr>
        <w:t xml:space="preserve">heng Wang, </w:t>
      </w:r>
      <w:r w:rsidR="00B7248C" w:rsidRPr="009C4C21">
        <w:rPr>
          <w:rFonts w:ascii="Book Antiqua" w:eastAsia="Book Antiqua" w:hAnsi="Book Antiqua" w:cs="Book Antiqua"/>
          <w:b/>
          <w:bCs/>
          <w:color w:val="000000"/>
        </w:rPr>
        <w:t>Xiang Cui,</w:t>
      </w:r>
      <w:r w:rsidR="0080265E" w:rsidRPr="009C4C21">
        <w:rPr>
          <w:rFonts w:ascii="Book Antiqua" w:eastAsia="Book Antiqua" w:hAnsi="Book Antiqua" w:cs="Book Antiqua"/>
          <w:b/>
          <w:bCs/>
          <w:color w:val="000000"/>
        </w:rPr>
        <w:t xml:space="preserve"> </w:t>
      </w:r>
      <w:r w:rsidR="00B7248C" w:rsidRPr="009C4C21">
        <w:rPr>
          <w:rFonts w:ascii="Book Antiqua" w:eastAsia="Book Antiqua" w:hAnsi="Book Antiqua" w:cs="Book Antiqua"/>
          <w:b/>
          <w:bCs/>
          <w:color w:val="000000"/>
        </w:rPr>
        <w:t xml:space="preserve">Lei Yang, Zhi-Yun He, Ze Yang, Miao-Miao Zeng, Nong Cao, </w:t>
      </w:r>
      <w:r w:rsidRPr="009C4C21">
        <w:rPr>
          <w:rFonts w:ascii="Book Antiqua" w:eastAsia="Book Antiqua" w:hAnsi="Book Antiqua" w:cs="Book Antiqua"/>
          <w:color w:val="000000"/>
        </w:rPr>
        <w:t xml:space="preserve">Department of General Surgery, First Hospital of Lanzhou University, Lanzhou 730000, </w:t>
      </w:r>
      <w:r w:rsidR="00341210" w:rsidRPr="009C4C21">
        <w:rPr>
          <w:rFonts w:ascii="Book Antiqua" w:eastAsia="Book Antiqua" w:hAnsi="Book Antiqua" w:cs="Book Antiqua"/>
          <w:color w:val="000000"/>
        </w:rPr>
        <w:t>Gansu Province</w:t>
      </w:r>
      <w:r w:rsidRPr="009C4C21">
        <w:rPr>
          <w:rFonts w:ascii="Book Antiqua" w:eastAsia="Book Antiqua" w:hAnsi="Book Antiqua" w:cs="Book Antiqua"/>
          <w:color w:val="000000"/>
        </w:rPr>
        <w:t>, China</w:t>
      </w:r>
    </w:p>
    <w:p w14:paraId="674D386C" w14:textId="77777777" w:rsidR="00A77B3E" w:rsidRPr="009C4C21" w:rsidRDefault="00A77B3E">
      <w:pPr>
        <w:spacing w:line="360" w:lineRule="auto"/>
        <w:jc w:val="both"/>
        <w:rPr>
          <w:rFonts w:ascii="Book Antiqua" w:hAnsi="Book Antiqua"/>
        </w:rPr>
      </w:pPr>
    </w:p>
    <w:p w14:paraId="187A6E57" w14:textId="6917C01B"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color w:val="000000"/>
        </w:rPr>
        <w:t xml:space="preserve">Chen-Li Zhang, </w:t>
      </w:r>
      <w:r w:rsidRPr="009C4C21">
        <w:rPr>
          <w:rFonts w:ascii="Book Antiqua" w:eastAsia="Book Antiqua" w:hAnsi="Book Antiqua" w:cs="Book Antiqua"/>
          <w:color w:val="000000"/>
        </w:rPr>
        <w:t xml:space="preserve">School of Basic Medical Sciences, Lanzhou University, </w:t>
      </w:r>
      <w:r w:rsidR="00341210" w:rsidRPr="009C4C21">
        <w:rPr>
          <w:rFonts w:ascii="Book Antiqua" w:eastAsia="Book Antiqua" w:hAnsi="Book Antiqua" w:cs="Book Antiqua"/>
          <w:color w:val="000000"/>
        </w:rPr>
        <w:t>L</w:t>
      </w:r>
      <w:r w:rsidRPr="009C4C21">
        <w:rPr>
          <w:rFonts w:ascii="Book Antiqua" w:eastAsia="Book Antiqua" w:hAnsi="Book Antiqua" w:cs="Book Antiqua"/>
          <w:color w:val="000000"/>
        </w:rPr>
        <w:t xml:space="preserve">anzhou 730000, </w:t>
      </w:r>
      <w:r w:rsidR="00341210" w:rsidRPr="009C4C21">
        <w:rPr>
          <w:rFonts w:ascii="Book Antiqua" w:eastAsia="Book Antiqua" w:hAnsi="Book Antiqua" w:cs="Book Antiqua"/>
          <w:color w:val="000000"/>
        </w:rPr>
        <w:t xml:space="preserve">Gansu Province, </w:t>
      </w:r>
      <w:r w:rsidRPr="009C4C21">
        <w:rPr>
          <w:rFonts w:ascii="Book Antiqua" w:eastAsia="Book Antiqua" w:hAnsi="Book Antiqua" w:cs="Book Antiqua"/>
          <w:color w:val="000000"/>
        </w:rPr>
        <w:t>China</w:t>
      </w:r>
    </w:p>
    <w:p w14:paraId="018D8387" w14:textId="77777777" w:rsidR="00A77B3E" w:rsidRPr="009C4C21" w:rsidRDefault="00A77B3E">
      <w:pPr>
        <w:spacing w:line="360" w:lineRule="auto"/>
        <w:jc w:val="both"/>
        <w:rPr>
          <w:rFonts w:ascii="Book Antiqua" w:hAnsi="Book Antiqua"/>
        </w:rPr>
      </w:pPr>
    </w:p>
    <w:p w14:paraId="00CE677C" w14:textId="2CFC20AA" w:rsidR="0080265E" w:rsidRPr="009C4C21" w:rsidRDefault="0080265E">
      <w:pPr>
        <w:spacing w:line="360" w:lineRule="auto"/>
        <w:jc w:val="both"/>
        <w:rPr>
          <w:rFonts w:ascii="Book Antiqua" w:eastAsia="Book Antiqua" w:hAnsi="Book Antiqua" w:cs="Book Antiqua"/>
          <w:color w:val="000000"/>
        </w:rPr>
      </w:pPr>
      <w:r w:rsidRPr="009C4C21">
        <w:rPr>
          <w:rFonts w:ascii="Book Antiqua" w:eastAsia="Book Antiqua" w:hAnsi="Book Antiqua" w:cs="Book Antiqua"/>
          <w:b/>
          <w:bCs/>
          <w:color w:val="000000"/>
        </w:rPr>
        <w:t xml:space="preserve">Qiang Li, </w:t>
      </w:r>
      <w:r w:rsidRPr="009C4C21">
        <w:rPr>
          <w:rFonts w:ascii="Book Antiqua" w:eastAsia="Book Antiqua" w:hAnsi="Book Antiqua" w:cs="Book Antiqua"/>
          <w:color w:val="000000"/>
        </w:rPr>
        <w:t>Third Department of General Surgery, First Hospital of Lanzhou University, Lanzhou 730000, Gansu Province, China</w:t>
      </w:r>
    </w:p>
    <w:p w14:paraId="3DD04CD9" w14:textId="77777777" w:rsidR="0080265E" w:rsidRPr="009C4C21" w:rsidRDefault="0080265E">
      <w:pPr>
        <w:spacing w:line="360" w:lineRule="auto"/>
        <w:jc w:val="both"/>
        <w:rPr>
          <w:rFonts w:ascii="Book Antiqua" w:hAnsi="Book Antiqua"/>
        </w:rPr>
      </w:pPr>
    </w:p>
    <w:p w14:paraId="2CFB8D76" w14:textId="1658B9B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color w:val="000000"/>
          <w:szCs w:val="21"/>
        </w:rPr>
        <w:t xml:space="preserve">Author contributions: </w:t>
      </w:r>
      <w:r w:rsidR="00694B6E" w:rsidRPr="009C4C21">
        <w:rPr>
          <w:rFonts w:ascii="Book Antiqua" w:eastAsia="Book Antiqua" w:hAnsi="Book Antiqua" w:cs="Book Antiqua"/>
        </w:rPr>
        <w:t>Wang BS</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Cui X</w:t>
      </w:r>
      <w:r w:rsidRPr="009C4C21">
        <w:rPr>
          <w:rFonts w:ascii="Book Antiqua" w:eastAsia="Book Antiqua" w:hAnsi="Book Antiqua" w:cs="Book Antiqua"/>
          <w:color w:val="000000"/>
        </w:rPr>
        <w:t xml:space="preserve">, </w:t>
      </w:r>
      <w:r w:rsidR="00842C68">
        <w:rPr>
          <w:rFonts w:ascii="Book Antiqua" w:eastAsia="Book Antiqua" w:hAnsi="Book Antiqua" w:cs="Book Antiqua"/>
          <w:color w:val="000000"/>
        </w:rPr>
        <w:t xml:space="preserve">and </w:t>
      </w:r>
      <w:r w:rsidR="00694B6E" w:rsidRPr="009C4C21">
        <w:rPr>
          <w:rFonts w:ascii="Book Antiqua" w:eastAsia="Book Antiqua" w:hAnsi="Book Antiqua" w:cs="Book Antiqua"/>
        </w:rPr>
        <w:t>Zhang CL</w:t>
      </w:r>
      <w:r w:rsidRPr="009C4C21">
        <w:rPr>
          <w:rFonts w:ascii="Book Antiqua" w:eastAsia="Book Antiqua" w:hAnsi="Book Antiqua" w:cs="Book Antiqua"/>
          <w:color w:val="000000"/>
        </w:rPr>
        <w:t xml:space="preserve"> performed the experiments and image acquisition; </w:t>
      </w:r>
      <w:r w:rsidR="00694B6E" w:rsidRPr="009C4C21">
        <w:rPr>
          <w:rFonts w:ascii="Book Antiqua" w:eastAsia="Book Antiqua" w:hAnsi="Book Antiqua" w:cs="Book Antiqua"/>
        </w:rPr>
        <w:t>Wang BS</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Cui X</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Zhang CL</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Li Q</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Yang Z</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Yang L</w:t>
      </w:r>
      <w:r w:rsidR="00EC2094" w:rsidRPr="009C4C21">
        <w:rPr>
          <w:rFonts w:ascii="Book Antiqua" w:eastAsia="Book Antiqua" w:hAnsi="Book Antiqua" w:cs="Book Antiqua"/>
        </w:rPr>
        <w:t>,</w:t>
      </w:r>
      <w:r w:rsidRPr="009C4C21">
        <w:rPr>
          <w:rFonts w:ascii="Book Antiqua" w:eastAsia="Book Antiqua" w:hAnsi="Book Antiqua" w:cs="Book Antiqua"/>
          <w:color w:val="000000"/>
        </w:rPr>
        <w:t xml:space="preserve"> and </w:t>
      </w:r>
      <w:r w:rsidR="00694B6E" w:rsidRPr="009C4C21">
        <w:rPr>
          <w:rFonts w:ascii="Book Antiqua" w:eastAsia="Book Antiqua" w:hAnsi="Book Antiqua" w:cs="Book Antiqua"/>
        </w:rPr>
        <w:t>He ZY</w:t>
      </w:r>
      <w:r w:rsidRPr="009C4C21">
        <w:rPr>
          <w:rFonts w:ascii="Book Antiqua" w:eastAsia="Book Antiqua" w:hAnsi="Book Antiqua" w:cs="Book Antiqua"/>
          <w:color w:val="000000"/>
        </w:rPr>
        <w:t xml:space="preserve"> designed the study and wrote the manuscript; </w:t>
      </w:r>
      <w:r w:rsidR="00694B6E" w:rsidRPr="009C4C21">
        <w:rPr>
          <w:rFonts w:ascii="Book Antiqua" w:eastAsia="Book Antiqua" w:hAnsi="Book Antiqua" w:cs="Book Antiqua"/>
        </w:rPr>
        <w:t>Wang BS</w:t>
      </w:r>
      <w:r w:rsidRPr="009C4C21">
        <w:rPr>
          <w:rFonts w:ascii="Book Antiqua" w:eastAsia="Book Antiqua" w:hAnsi="Book Antiqua" w:cs="Book Antiqua"/>
          <w:color w:val="000000"/>
        </w:rPr>
        <w:t xml:space="preserve">, </w:t>
      </w:r>
      <w:r w:rsidR="00694B6E" w:rsidRPr="009C4C21">
        <w:rPr>
          <w:rFonts w:ascii="Book Antiqua" w:eastAsia="Book Antiqua" w:hAnsi="Book Antiqua" w:cs="Book Antiqua"/>
        </w:rPr>
        <w:t>Yang Z</w:t>
      </w:r>
      <w:r w:rsidRPr="009C4C21">
        <w:rPr>
          <w:rFonts w:ascii="Book Antiqua" w:eastAsia="Book Antiqua" w:hAnsi="Book Antiqua" w:cs="Book Antiqua"/>
          <w:color w:val="000000"/>
        </w:rPr>
        <w:t xml:space="preserve">, and </w:t>
      </w:r>
      <w:r w:rsidR="00694B6E" w:rsidRPr="009C4C21">
        <w:rPr>
          <w:rFonts w:ascii="Book Antiqua" w:eastAsia="Book Antiqua" w:hAnsi="Book Antiqua" w:cs="Book Antiqua"/>
        </w:rPr>
        <w:t>Cao N</w:t>
      </w:r>
      <w:r w:rsidRPr="009C4C21">
        <w:rPr>
          <w:rFonts w:ascii="Book Antiqua" w:eastAsia="Book Antiqua" w:hAnsi="Book Antiqua" w:cs="Book Antiqua"/>
          <w:color w:val="000000"/>
        </w:rPr>
        <w:t xml:space="preserve"> edited the manuscript.</w:t>
      </w:r>
    </w:p>
    <w:p w14:paraId="5F5830E0" w14:textId="77777777" w:rsidR="00A77B3E" w:rsidRPr="009C4C21" w:rsidRDefault="00A77B3E">
      <w:pPr>
        <w:spacing w:line="360" w:lineRule="auto"/>
        <w:jc w:val="both"/>
        <w:rPr>
          <w:rFonts w:ascii="Book Antiqua" w:hAnsi="Book Antiqua"/>
        </w:rPr>
      </w:pPr>
    </w:p>
    <w:p w14:paraId="5557EE8B" w14:textId="66D51F0E"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color w:val="000000"/>
          <w:szCs w:val="21"/>
        </w:rPr>
        <w:t>Supported by</w:t>
      </w:r>
      <w:r w:rsidR="00F11554"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the Natural Science Foundation of Gansu Province, China</w:t>
      </w:r>
      <w:r w:rsidR="00F11554" w:rsidRPr="009C4C21">
        <w:rPr>
          <w:rFonts w:ascii="Book Antiqua" w:eastAsia="Book Antiqua" w:hAnsi="Book Antiqua" w:cs="Book Antiqua"/>
          <w:color w:val="000000"/>
        </w:rPr>
        <w:t>,</w:t>
      </w:r>
      <w:r w:rsidRPr="009C4C21">
        <w:rPr>
          <w:rFonts w:ascii="Book Antiqua" w:eastAsia="Book Antiqua" w:hAnsi="Book Antiqua" w:cs="Book Antiqua"/>
          <w:color w:val="000000"/>
        </w:rPr>
        <w:t xml:space="preserve"> </w:t>
      </w:r>
      <w:r w:rsidR="00F11554" w:rsidRPr="009C4C21">
        <w:rPr>
          <w:rFonts w:ascii="Book Antiqua" w:eastAsia="Book Antiqua" w:hAnsi="Book Antiqua" w:cs="Book Antiqua"/>
          <w:color w:val="000000"/>
        </w:rPr>
        <w:t>N</w:t>
      </w:r>
      <w:r w:rsidRPr="009C4C21">
        <w:rPr>
          <w:rFonts w:ascii="Book Antiqua" w:eastAsia="Book Antiqua" w:hAnsi="Book Antiqua" w:cs="Book Antiqua"/>
          <w:color w:val="000000"/>
        </w:rPr>
        <w:t>o. 20JR5RA356</w:t>
      </w:r>
      <w:r w:rsidR="00F11554" w:rsidRPr="009C4C21">
        <w:rPr>
          <w:rFonts w:ascii="Book Antiqua" w:eastAsia="Book Antiqua" w:hAnsi="Book Antiqua" w:cs="Book Antiqua"/>
          <w:color w:val="000000"/>
        </w:rPr>
        <w:t xml:space="preserve"> and No. </w:t>
      </w:r>
      <w:r w:rsidRPr="009C4C21">
        <w:rPr>
          <w:rFonts w:ascii="Book Antiqua" w:eastAsia="Book Antiqua" w:hAnsi="Book Antiqua" w:cs="Book Antiqua"/>
          <w:color w:val="000000"/>
        </w:rPr>
        <w:t>22JR5RA511</w:t>
      </w:r>
      <w:r w:rsidR="00F11554" w:rsidRPr="009C4C21">
        <w:rPr>
          <w:rFonts w:ascii="Book Antiqua" w:eastAsia="Book Antiqua" w:hAnsi="Book Antiqua" w:cs="Book Antiqua"/>
          <w:color w:val="000000"/>
        </w:rPr>
        <w:t>;</w:t>
      </w:r>
      <w:r w:rsidRPr="009C4C21">
        <w:rPr>
          <w:rFonts w:ascii="Book Antiqua" w:eastAsia="Book Antiqua" w:hAnsi="Book Antiqua" w:cs="Book Antiqua"/>
          <w:color w:val="000000"/>
        </w:rPr>
        <w:t xml:space="preserve"> and the Lanzhou City Chengguan District Science and Technology Planning Project</w:t>
      </w:r>
      <w:r w:rsidR="00925F29" w:rsidRPr="009C4C21">
        <w:rPr>
          <w:rFonts w:ascii="Book Antiqua" w:eastAsia="Book Antiqua" w:hAnsi="Book Antiqua" w:cs="Book Antiqua"/>
          <w:color w:val="000000"/>
        </w:rPr>
        <w:t>,</w:t>
      </w:r>
      <w:r w:rsidRPr="009C4C21">
        <w:rPr>
          <w:rFonts w:ascii="Book Antiqua" w:eastAsia="Book Antiqua" w:hAnsi="Book Antiqua" w:cs="Book Antiqua"/>
          <w:color w:val="000000"/>
        </w:rPr>
        <w:t xml:space="preserve"> </w:t>
      </w:r>
      <w:r w:rsidR="00925F29" w:rsidRPr="009C4C21">
        <w:rPr>
          <w:rFonts w:ascii="Book Antiqua" w:eastAsia="Book Antiqua" w:hAnsi="Book Antiqua" w:cs="Book Antiqua"/>
          <w:color w:val="000000"/>
        </w:rPr>
        <w:t>N</w:t>
      </w:r>
      <w:r w:rsidRPr="009C4C21">
        <w:rPr>
          <w:rFonts w:ascii="Book Antiqua" w:eastAsia="Book Antiqua" w:hAnsi="Book Antiqua" w:cs="Book Antiqua"/>
          <w:color w:val="000000"/>
        </w:rPr>
        <w:t>o. 2016-7-17.</w:t>
      </w:r>
    </w:p>
    <w:p w14:paraId="29673D4A" w14:textId="77777777" w:rsidR="00A77B3E" w:rsidRPr="009C4C21" w:rsidRDefault="00A77B3E">
      <w:pPr>
        <w:spacing w:line="360" w:lineRule="auto"/>
        <w:jc w:val="both"/>
        <w:rPr>
          <w:rFonts w:ascii="Book Antiqua" w:hAnsi="Book Antiqua"/>
        </w:rPr>
      </w:pPr>
    </w:p>
    <w:p w14:paraId="7EBA74F3" w14:textId="1289863A"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color w:val="000000"/>
        </w:rPr>
        <w:t xml:space="preserve">Corresponding author: Nong Cao, MD, Professor, </w:t>
      </w:r>
      <w:r w:rsidRPr="009C4C21">
        <w:rPr>
          <w:rFonts w:ascii="Book Antiqua" w:eastAsia="Book Antiqua" w:hAnsi="Book Antiqua" w:cs="Book Antiqua"/>
          <w:color w:val="000000"/>
        </w:rPr>
        <w:t xml:space="preserve">Department of </w:t>
      </w:r>
      <w:r w:rsidR="006363C6" w:rsidRPr="009C4C21">
        <w:rPr>
          <w:rFonts w:ascii="Book Antiqua" w:eastAsia="Book Antiqua" w:hAnsi="Book Antiqua" w:cs="Book Antiqua"/>
          <w:color w:val="000000"/>
        </w:rPr>
        <w:t>General S</w:t>
      </w:r>
      <w:r w:rsidRPr="009C4C21">
        <w:rPr>
          <w:rFonts w:ascii="Book Antiqua" w:eastAsia="Book Antiqua" w:hAnsi="Book Antiqua" w:cs="Book Antiqua"/>
          <w:color w:val="000000"/>
        </w:rPr>
        <w:t>urgery, First Hospital of Lanzhou University, N</w:t>
      </w:r>
      <w:r w:rsidR="006363C6" w:rsidRPr="009C4C21">
        <w:rPr>
          <w:rFonts w:ascii="Book Antiqua" w:eastAsia="Book Antiqua" w:hAnsi="Book Antiqua" w:cs="Book Antiqua"/>
          <w:color w:val="000000"/>
        </w:rPr>
        <w:t>o.</w:t>
      </w:r>
      <w:r w:rsidRPr="009C4C21">
        <w:rPr>
          <w:rFonts w:ascii="Book Antiqua" w:eastAsia="Book Antiqua" w:hAnsi="Book Antiqua" w:cs="Book Antiqua"/>
          <w:color w:val="000000"/>
        </w:rPr>
        <w:t xml:space="preserve"> 1 Donggang West Road,</w:t>
      </w:r>
      <w:r w:rsidR="006363C6"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Lanzhou 730000, </w:t>
      </w:r>
      <w:r w:rsidR="000B059C" w:rsidRPr="009C4C21">
        <w:rPr>
          <w:rFonts w:ascii="Book Antiqua" w:eastAsia="Book Antiqua" w:hAnsi="Book Antiqua" w:cs="Book Antiqua"/>
          <w:color w:val="000000"/>
        </w:rPr>
        <w:t>Gansu Province,</w:t>
      </w:r>
      <w:r w:rsidR="000B059C">
        <w:rPr>
          <w:rFonts w:ascii="Book Antiqua" w:eastAsia="Book Antiqua" w:hAnsi="Book Antiqua" w:cs="Book Antiqua"/>
          <w:color w:val="000000"/>
        </w:rPr>
        <w:t xml:space="preserve"> </w:t>
      </w:r>
      <w:r w:rsidRPr="009C4C21">
        <w:rPr>
          <w:rFonts w:ascii="Book Antiqua" w:eastAsia="Book Antiqua" w:hAnsi="Book Antiqua" w:cs="Book Antiqua"/>
          <w:color w:val="000000"/>
        </w:rPr>
        <w:t>China. caonongldyy@126.com</w:t>
      </w:r>
    </w:p>
    <w:p w14:paraId="52257886" w14:textId="77777777" w:rsidR="00A77B3E" w:rsidRPr="009C4C21" w:rsidRDefault="00A77B3E">
      <w:pPr>
        <w:spacing w:line="360" w:lineRule="auto"/>
        <w:jc w:val="both"/>
        <w:rPr>
          <w:rFonts w:ascii="Book Antiqua" w:hAnsi="Book Antiqua"/>
        </w:rPr>
      </w:pPr>
    </w:p>
    <w:p w14:paraId="028D9C67"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Received: </w:t>
      </w:r>
      <w:r w:rsidRPr="009C4C21">
        <w:rPr>
          <w:rFonts w:ascii="Book Antiqua" w:eastAsia="Book Antiqua" w:hAnsi="Book Antiqua" w:cs="Book Antiqua"/>
        </w:rPr>
        <w:t>October 13, 2023</w:t>
      </w:r>
    </w:p>
    <w:p w14:paraId="0DB5C83A"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Revised: </w:t>
      </w:r>
      <w:r w:rsidRPr="009C4C21">
        <w:rPr>
          <w:rFonts w:ascii="Book Antiqua" w:eastAsia="Book Antiqua" w:hAnsi="Book Antiqua" w:cs="Book Antiqua"/>
        </w:rPr>
        <w:t>December 19, 2023</w:t>
      </w:r>
    </w:p>
    <w:p w14:paraId="11CF2461" w14:textId="718D3F8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Accepted: </w:t>
      </w:r>
      <w:r w:rsidR="004745A4" w:rsidRPr="004745A4">
        <w:rPr>
          <w:rFonts w:ascii="Book Antiqua" w:eastAsia="Book Antiqua" w:hAnsi="Book Antiqua" w:cs="Book Antiqua"/>
        </w:rPr>
        <w:t>January 17, 2024</w:t>
      </w:r>
    </w:p>
    <w:p w14:paraId="52B35668"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Published online: </w:t>
      </w:r>
    </w:p>
    <w:p w14:paraId="4506C453" w14:textId="77777777" w:rsidR="00A77B3E" w:rsidRPr="009C4C21" w:rsidRDefault="00A77B3E">
      <w:pPr>
        <w:spacing w:line="360" w:lineRule="auto"/>
        <w:jc w:val="both"/>
        <w:rPr>
          <w:rFonts w:ascii="Book Antiqua" w:hAnsi="Book Antiqua"/>
        </w:rPr>
        <w:sectPr w:rsidR="00A77B3E" w:rsidRPr="009C4C21" w:rsidSect="004C4267">
          <w:footerReference w:type="default" r:id="rId6"/>
          <w:pgSz w:w="12240" w:h="15840"/>
          <w:pgMar w:top="1440" w:right="1440" w:bottom="1440" w:left="1440" w:header="720" w:footer="720" w:gutter="0"/>
          <w:cols w:space="720"/>
          <w:docGrid w:linePitch="360"/>
        </w:sectPr>
      </w:pPr>
    </w:p>
    <w:p w14:paraId="2FA67740"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lastRenderedPageBreak/>
        <w:t>Abstract</w:t>
      </w:r>
    </w:p>
    <w:p w14:paraId="20399696"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color w:val="000000"/>
        </w:rPr>
        <w:t>BACKGROUND</w:t>
      </w:r>
    </w:p>
    <w:p w14:paraId="6E61EF4F" w14:textId="79A74FCF"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 xml:space="preserve">Gastric cancer, characterized by a multifactorial etiology and high heterogeneity, continues to confound researchers in terms of its pathogenesis. Curcumin, a natural anticancer agent, exhibits therapeutic promise in gastric cancer. Its effects include promoting cell apoptosis, curtailing tumor angiogenesis, and enhancing sensitivity to radiation and chemotherapy. Long noncoding RNAs (lncRNAs) have garnered significant attention as biomarkers for early screening, diagnosis, treatment, and drug response because of their remarkable specificity and sensitivity. Recent investigations have revealed an association between aberrant lncRNA expression and early diagnosis, clinical staging, metastasis, drug sensitivity, and prognosis in gastric cancer. A profound understanding of the intricate mechanisms through which lncRNAs influence gastric cancer development can provide novel insights for precision treatment and tailored management of patients with gastric cancer. This study aimed to unravel the potential of curcumin in suppressing the malignant behavior of gastric cancer cells by upregulating specific lncRNAs and modulating </w:t>
      </w:r>
      <w:r w:rsidR="00356C56" w:rsidRPr="009C4C21">
        <w:rPr>
          <w:rFonts w:ascii="Book Antiqua" w:eastAsia="Book Antiqua" w:hAnsi="Book Antiqua" w:cs="Book Antiqua"/>
        </w:rPr>
        <w:t>gastric cancer</w:t>
      </w:r>
      <w:r w:rsidR="00356C56" w:rsidRPr="009C4C21" w:rsidDel="00356C56">
        <w:rPr>
          <w:rFonts w:ascii="Book Antiqua" w:eastAsia="Book Antiqua" w:hAnsi="Book Antiqua" w:cs="Book Antiqua"/>
        </w:rPr>
        <w:t xml:space="preserve"> </w:t>
      </w:r>
      <w:r w:rsidRPr="009C4C21">
        <w:rPr>
          <w:rFonts w:ascii="Book Antiqua" w:eastAsia="Book Antiqua" w:hAnsi="Book Antiqua" w:cs="Book Antiqua"/>
        </w:rPr>
        <w:t>onset and progression.</w:t>
      </w:r>
    </w:p>
    <w:p w14:paraId="1A38F795" w14:textId="77777777" w:rsidR="008273EC" w:rsidRPr="009C4C21" w:rsidRDefault="008273EC">
      <w:pPr>
        <w:spacing w:line="360" w:lineRule="auto"/>
        <w:jc w:val="both"/>
        <w:rPr>
          <w:rFonts w:ascii="Book Antiqua" w:hAnsi="Book Antiqua"/>
        </w:rPr>
      </w:pPr>
    </w:p>
    <w:p w14:paraId="52AE0A5E" w14:textId="7E0B7FF6" w:rsidR="00A77B3E" w:rsidRPr="009C4C21" w:rsidRDefault="009A1F6D">
      <w:pPr>
        <w:spacing w:line="360" w:lineRule="auto"/>
        <w:jc w:val="both"/>
        <w:rPr>
          <w:rFonts w:ascii="Book Antiqua" w:hAnsi="Book Antiqua"/>
        </w:rPr>
      </w:pPr>
      <w:r w:rsidRPr="009C4C21">
        <w:rPr>
          <w:rFonts w:ascii="Book Antiqua" w:eastAsia="Book Antiqua" w:hAnsi="Book Antiqua" w:cs="Book Antiqua"/>
          <w:color w:val="000000"/>
        </w:rPr>
        <w:t>AIM</w:t>
      </w:r>
    </w:p>
    <w:p w14:paraId="79D0ACA9" w14:textId="22ADAE37" w:rsidR="00A77B3E" w:rsidRPr="009C4C21" w:rsidRDefault="006E3565">
      <w:pPr>
        <w:spacing w:line="360" w:lineRule="auto"/>
        <w:jc w:val="both"/>
        <w:rPr>
          <w:rFonts w:ascii="Book Antiqua" w:hAnsi="Book Antiqua"/>
        </w:rPr>
      </w:pPr>
      <w:r w:rsidRPr="009C4C21">
        <w:rPr>
          <w:rFonts w:ascii="Book Antiqua" w:eastAsia="Book Antiqua" w:hAnsi="Book Antiqua" w:cs="Book Antiqua"/>
        </w:rPr>
        <w:t xml:space="preserve">To identify lncRNAs associated with curcumin treatment and investigate the role of lncRNA AC022424.2 in the effects of curcumin on </w:t>
      </w:r>
      <w:r w:rsidR="00C8390D" w:rsidRPr="009C4C21">
        <w:rPr>
          <w:rFonts w:ascii="Book Antiqua" w:eastAsia="Book Antiqua" w:hAnsi="Book Antiqua" w:cs="Book Antiqua"/>
        </w:rPr>
        <w:t xml:space="preserve">gastric cancer cell </w:t>
      </w:r>
      <w:r w:rsidRPr="009C4C21">
        <w:rPr>
          <w:rFonts w:ascii="Book Antiqua" w:eastAsia="Book Antiqua" w:hAnsi="Book Antiqua" w:cs="Book Antiqua"/>
        </w:rPr>
        <w:t>apoptosis, proliferation, and invasion. Furthermore, these findings were validated in clinical samples.</w:t>
      </w:r>
    </w:p>
    <w:p w14:paraId="557CBA8B" w14:textId="77777777" w:rsidR="00A77B3E" w:rsidRPr="009C4C21" w:rsidRDefault="00A77B3E">
      <w:pPr>
        <w:spacing w:line="360" w:lineRule="auto"/>
        <w:jc w:val="both"/>
        <w:rPr>
          <w:rFonts w:ascii="Book Antiqua" w:hAnsi="Book Antiqua"/>
        </w:rPr>
      </w:pPr>
    </w:p>
    <w:p w14:paraId="08B09C65"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color w:val="000000"/>
        </w:rPr>
        <w:t>METHODS</w:t>
      </w:r>
    </w:p>
    <w:p w14:paraId="325F9F8D" w14:textId="53D1FF7C"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The study employed CCK-8 assays to assess the impact of curcumin on gastric cancer cell proliferation, flow cytometry to investigate its effects on apoptosis, and scratch and Transwell assays to evaluate its influence on the migration and invasion of BGC-823 and MGC-803 cells. Western blotting was used to ga</w:t>
      </w:r>
      <w:r w:rsidR="00CB21DC">
        <w:rPr>
          <w:rFonts w:ascii="Book Antiqua" w:eastAsia="Book Antiqua" w:hAnsi="Book Antiqua" w:cs="Book Antiqua"/>
        </w:rPr>
        <w:t>u</w:t>
      </w:r>
      <w:r w:rsidRPr="009C4C21">
        <w:rPr>
          <w:rFonts w:ascii="Book Antiqua" w:eastAsia="Book Antiqua" w:hAnsi="Book Antiqua" w:cs="Book Antiqua"/>
        </w:rPr>
        <w:t xml:space="preserve">ge changes in the protein expression levels of CDK6, CDK4, Bax, Bcl-2, caspase-3, P65, and the PI3K/Akt/mTOR pathway in gastric cancer cell lines after curcumin treatment. Differential expression of lncRNAs </w:t>
      </w:r>
      <w:r w:rsidRPr="009C4C21">
        <w:rPr>
          <w:rFonts w:ascii="Book Antiqua" w:eastAsia="Book Antiqua" w:hAnsi="Book Antiqua" w:cs="Book Antiqua"/>
        </w:rPr>
        <w:lastRenderedPageBreak/>
        <w:t xml:space="preserve">before and after curcumin treatment was assessed using lncRNA sequencing and validated using quantitative reverse transcription polymerase chain reaction (qRT-PCR) in BGC-823 and MGC-803 cells. AC022424.2-1 knockdown BGC-823 and MGC-803 cells were generated to scrutinize the impact of lncRNA AC022424.2 on apoptosis, proliferation, migration, and invasion of gastric cancer cells. Western blotting was performed to ascertain changes in the expression of proteins implicated in the PI3K/Akt/mTOR and NF-κB signaling pathways. RT-PCR was employed to measure lncRNA AC022424.2 expression in clinical gastric cancer tissues and </w:t>
      </w:r>
      <w:r w:rsidR="00CD3615">
        <w:rPr>
          <w:rFonts w:ascii="Book Antiqua" w:eastAsia="Book Antiqua" w:hAnsi="Book Antiqua" w:cs="Book Antiqua"/>
        </w:rPr>
        <w:t xml:space="preserve">to </w:t>
      </w:r>
      <w:r w:rsidR="00932EA7">
        <w:rPr>
          <w:rFonts w:ascii="Book Antiqua" w:eastAsia="Book Antiqua" w:hAnsi="Book Antiqua" w:cs="Book Antiqua"/>
        </w:rPr>
        <w:t>correlate</w:t>
      </w:r>
      <w:r w:rsidR="00932EA7" w:rsidRPr="009C4C21">
        <w:rPr>
          <w:rFonts w:ascii="Book Antiqua" w:eastAsia="Book Antiqua" w:hAnsi="Book Antiqua" w:cs="Book Antiqua"/>
        </w:rPr>
        <w:t xml:space="preserve"> </w:t>
      </w:r>
      <w:r w:rsidRPr="009C4C21">
        <w:rPr>
          <w:rFonts w:ascii="Book Antiqua" w:eastAsia="Book Antiqua" w:hAnsi="Book Antiqua" w:cs="Book Antiqua"/>
        </w:rPr>
        <w:t xml:space="preserve">its </w:t>
      </w:r>
      <w:r w:rsidR="00932EA7">
        <w:rPr>
          <w:rFonts w:ascii="Book Antiqua" w:eastAsia="Book Antiqua" w:hAnsi="Book Antiqua" w:cs="Book Antiqua"/>
        </w:rPr>
        <w:t>expression</w:t>
      </w:r>
      <w:r w:rsidR="00932EA7" w:rsidRPr="009C4C21">
        <w:rPr>
          <w:rFonts w:ascii="Book Antiqua" w:eastAsia="Book Antiqua" w:hAnsi="Book Antiqua" w:cs="Book Antiqua"/>
        </w:rPr>
        <w:t xml:space="preserve"> </w:t>
      </w:r>
      <w:r w:rsidRPr="009C4C21">
        <w:rPr>
          <w:rFonts w:ascii="Book Antiqua" w:eastAsia="Book Antiqua" w:hAnsi="Book Antiqua" w:cs="Book Antiqua"/>
        </w:rPr>
        <w:t>with clinical pathological characteristics.</w:t>
      </w:r>
    </w:p>
    <w:p w14:paraId="1978A27E" w14:textId="77777777" w:rsidR="00A77B3E" w:rsidRPr="009C4C21" w:rsidRDefault="00A77B3E">
      <w:pPr>
        <w:spacing w:line="360" w:lineRule="auto"/>
        <w:jc w:val="both"/>
        <w:rPr>
          <w:rFonts w:ascii="Book Antiqua" w:hAnsi="Book Antiqua"/>
        </w:rPr>
      </w:pPr>
    </w:p>
    <w:p w14:paraId="5382274B"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color w:val="000000"/>
        </w:rPr>
        <w:t>RESULTS</w:t>
      </w:r>
    </w:p>
    <w:p w14:paraId="49977C3F" w14:textId="3B98F18D"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 xml:space="preserve">Curcumin induced apoptosis and hindered proliferation, migration, and invasion of gastric cancer cells in a dose- and time-dependent manner. LncRNA AC022424.2 was upregulated after curcumin treatment, and its knockdown enhanced </w:t>
      </w:r>
      <w:r w:rsidR="00932EA7" w:rsidRPr="009C4C21">
        <w:rPr>
          <w:rFonts w:ascii="Book Antiqua" w:eastAsia="Book Antiqua" w:hAnsi="Book Antiqua" w:cs="Book Antiqua"/>
        </w:rPr>
        <w:t>cancer cell</w:t>
      </w:r>
      <w:r w:rsidR="00932EA7" w:rsidRPr="009C4C21" w:rsidDel="00932EA7">
        <w:rPr>
          <w:rFonts w:ascii="Book Antiqua" w:eastAsia="Book Antiqua" w:hAnsi="Book Antiqua" w:cs="Book Antiqua"/>
        </w:rPr>
        <w:t xml:space="preserve"> </w:t>
      </w:r>
      <w:r w:rsidRPr="009C4C21">
        <w:rPr>
          <w:rFonts w:ascii="Book Antiqua" w:eastAsia="Book Antiqua" w:hAnsi="Book Antiqua" w:cs="Book Antiqua"/>
        </w:rPr>
        <w:t xml:space="preserve">aggressiveness. LncRNA AC022424.2 may have affected cancer cells </w:t>
      </w:r>
      <w:r w:rsidRPr="009C4C21">
        <w:rPr>
          <w:rFonts w:ascii="Book Antiqua" w:eastAsia="Book Antiqua" w:hAnsi="Book Antiqua" w:cs="Book Antiqua"/>
          <w:i/>
          <w:iCs/>
        </w:rPr>
        <w:t>via</w:t>
      </w:r>
      <w:r w:rsidRPr="009C4C21">
        <w:rPr>
          <w:rFonts w:ascii="Book Antiqua" w:eastAsia="Book Antiqua" w:hAnsi="Book Antiqua" w:cs="Book Antiqua"/>
        </w:rPr>
        <w:t xml:space="preserve"> the PI3K/Akt/mTOR and NF-κB signaling pathways. LncRNA AC022424.2 downregulation was correlated with lymph node metastasis, making it a potential diagnostic and prognostic marker.</w:t>
      </w:r>
    </w:p>
    <w:p w14:paraId="53865EF8" w14:textId="77777777" w:rsidR="00A77B3E" w:rsidRPr="009C4C21" w:rsidRDefault="00A77B3E">
      <w:pPr>
        <w:spacing w:line="360" w:lineRule="auto"/>
        <w:jc w:val="both"/>
        <w:rPr>
          <w:rFonts w:ascii="Book Antiqua" w:hAnsi="Book Antiqua"/>
        </w:rPr>
      </w:pPr>
    </w:p>
    <w:p w14:paraId="64F62104"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color w:val="000000"/>
        </w:rPr>
        <w:t>CONCLUSION</w:t>
      </w:r>
    </w:p>
    <w:p w14:paraId="09A6B38A"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Curcumin has potential anticancer effects on gastric cancer cells by regulating lncRNA AC022424.2. This lncRNA plays a significant role in cancer cell behavior and may have clinical implications in diagnosis and prognosis evaluation. The results of this study enhance our understanding of gastric cancer development and precision treatment.</w:t>
      </w:r>
    </w:p>
    <w:p w14:paraId="5B427D23" w14:textId="77777777" w:rsidR="00A77B3E" w:rsidRPr="009C4C21" w:rsidRDefault="00A77B3E">
      <w:pPr>
        <w:spacing w:line="360" w:lineRule="auto"/>
        <w:jc w:val="both"/>
        <w:rPr>
          <w:rFonts w:ascii="Book Antiqua" w:hAnsi="Book Antiqua"/>
        </w:rPr>
      </w:pPr>
    </w:p>
    <w:p w14:paraId="7348FD29" w14:textId="40862923" w:rsidR="00A77B3E" w:rsidRPr="009C4C21" w:rsidRDefault="006E3565">
      <w:pPr>
        <w:spacing w:line="360" w:lineRule="auto"/>
        <w:jc w:val="both"/>
        <w:rPr>
          <w:rFonts w:ascii="Book Antiqua" w:hAnsi="Book Antiqua"/>
        </w:rPr>
      </w:pPr>
      <w:r w:rsidRPr="009C4C21">
        <w:rPr>
          <w:rFonts w:ascii="Book Antiqua" w:eastAsia="Book Antiqua" w:hAnsi="Book Antiqua" w:cs="Book Antiqua"/>
          <w:b/>
          <w:bCs/>
          <w:szCs w:val="21"/>
        </w:rPr>
        <w:t xml:space="preserve">Key Words: </w:t>
      </w:r>
      <w:r w:rsidRPr="009C4C21">
        <w:rPr>
          <w:rFonts w:ascii="Book Antiqua" w:eastAsia="Book Antiqua" w:hAnsi="Book Antiqua" w:cs="Book Antiqua"/>
        </w:rPr>
        <w:t>Gastric cancer; Curcumin; Long noncoding RNA AC022424.2; Apoptosis; Akt/PI3K pathway; Lymph metastasis</w:t>
      </w:r>
    </w:p>
    <w:p w14:paraId="5224F9CA" w14:textId="77777777" w:rsidR="00A77B3E" w:rsidRPr="009C4C21" w:rsidRDefault="00A77B3E">
      <w:pPr>
        <w:spacing w:line="360" w:lineRule="auto"/>
        <w:jc w:val="both"/>
        <w:rPr>
          <w:rFonts w:ascii="Book Antiqua" w:hAnsi="Book Antiqua"/>
        </w:rPr>
      </w:pPr>
    </w:p>
    <w:p w14:paraId="30BC234A" w14:textId="3B0A7F09" w:rsidR="00A77B3E" w:rsidRPr="009C4C21" w:rsidRDefault="00694B6E">
      <w:pPr>
        <w:spacing w:line="360" w:lineRule="auto"/>
        <w:jc w:val="both"/>
        <w:rPr>
          <w:rFonts w:ascii="Book Antiqua" w:hAnsi="Book Antiqua"/>
        </w:rPr>
      </w:pPr>
      <w:r w:rsidRPr="009C4C21">
        <w:rPr>
          <w:rFonts w:ascii="Book Antiqua" w:eastAsia="Book Antiqua" w:hAnsi="Book Antiqua" w:cs="Book Antiqua"/>
        </w:rPr>
        <w:lastRenderedPageBreak/>
        <w:t xml:space="preserve">Wang BS, Zhang CL, Cui X, Li Q, Yang L, He ZY, Yang Z, Zeng MM, Cao N. Curcumin inhibits the growth and invasion of gastric cancer by regulating long noncoding RNA AC022424.2. </w:t>
      </w:r>
      <w:r w:rsidRPr="009C4C21">
        <w:rPr>
          <w:rFonts w:ascii="Book Antiqua" w:eastAsia="Book Antiqua" w:hAnsi="Book Antiqua" w:cs="Book Antiqua"/>
          <w:i/>
          <w:iCs/>
        </w:rPr>
        <w:t>World J Gastrointest Oncol</w:t>
      </w:r>
      <w:r w:rsidRPr="009C4C21">
        <w:rPr>
          <w:rFonts w:ascii="Book Antiqua" w:eastAsia="Book Antiqua" w:hAnsi="Book Antiqua" w:cs="Book Antiqua"/>
        </w:rPr>
        <w:t xml:space="preserve"> 202</w:t>
      </w:r>
      <w:r w:rsidR="002A238F">
        <w:rPr>
          <w:rFonts w:ascii="Book Antiqua" w:eastAsia="Book Antiqua" w:hAnsi="Book Antiqua" w:cs="Book Antiqua"/>
        </w:rPr>
        <w:t>4</w:t>
      </w:r>
      <w:r w:rsidRPr="009C4C21">
        <w:rPr>
          <w:rFonts w:ascii="Book Antiqua" w:eastAsia="Book Antiqua" w:hAnsi="Book Antiqua" w:cs="Book Antiqua"/>
        </w:rPr>
        <w:t>; In press</w:t>
      </w:r>
    </w:p>
    <w:p w14:paraId="3CA2A2ED" w14:textId="77777777" w:rsidR="00A77B3E" w:rsidRPr="009C4C21" w:rsidRDefault="00A77B3E">
      <w:pPr>
        <w:spacing w:line="360" w:lineRule="auto"/>
        <w:jc w:val="both"/>
        <w:rPr>
          <w:rFonts w:ascii="Book Antiqua" w:hAnsi="Book Antiqua"/>
        </w:rPr>
      </w:pPr>
    </w:p>
    <w:p w14:paraId="35CA5920" w14:textId="289AA835" w:rsidR="00A77B3E" w:rsidRPr="009C4C21" w:rsidRDefault="006E3565">
      <w:pPr>
        <w:spacing w:line="360" w:lineRule="auto"/>
        <w:jc w:val="both"/>
        <w:rPr>
          <w:rFonts w:ascii="Book Antiqua" w:hAnsi="Book Antiqua"/>
        </w:rPr>
      </w:pPr>
      <w:r w:rsidRPr="009C4C21">
        <w:rPr>
          <w:rFonts w:ascii="Book Antiqua" w:eastAsia="Book Antiqua" w:hAnsi="Book Antiqua" w:cs="Book Antiqua"/>
          <w:b/>
          <w:bCs/>
        </w:rPr>
        <w:t xml:space="preserve">Core Tip: </w:t>
      </w:r>
      <w:r w:rsidRPr="009C4C21">
        <w:rPr>
          <w:rFonts w:ascii="Book Antiqua" w:eastAsia="Book Antiqua" w:hAnsi="Book Antiqua" w:cs="Book Antiqua"/>
        </w:rPr>
        <w:t xml:space="preserve">We investigated the effects of curcumin on gastric cancer cells, and we found that curcumin inhibited </w:t>
      </w:r>
      <w:r w:rsidR="008D7A3A" w:rsidRPr="009C4C21">
        <w:rPr>
          <w:rFonts w:ascii="Book Antiqua" w:eastAsia="Book Antiqua" w:hAnsi="Book Antiqua" w:cs="Book Antiqua"/>
        </w:rPr>
        <w:t xml:space="preserve">gastric cancer cell </w:t>
      </w:r>
      <w:r w:rsidRPr="009C4C21">
        <w:rPr>
          <w:rFonts w:ascii="Book Antiqua" w:eastAsia="Book Antiqua" w:hAnsi="Book Antiqua" w:cs="Book Antiqua"/>
        </w:rPr>
        <w:t xml:space="preserve">growth and induced apoptosis </w:t>
      </w:r>
      <w:r w:rsidRPr="009C4C21">
        <w:rPr>
          <w:rFonts w:ascii="Book Antiqua" w:eastAsia="Book Antiqua" w:hAnsi="Book Antiqua" w:cs="Book Antiqua"/>
          <w:i/>
          <w:iCs/>
        </w:rPr>
        <w:t>via</w:t>
      </w:r>
      <w:r w:rsidRPr="009C4C21">
        <w:rPr>
          <w:rFonts w:ascii="Book Antiqua" w:eastAsia="Book Antiqua" w:hAnsi="Book Antiqua" w:cs="Book Antiqua"/>
        </w:rPr>
        <w:t xml:space="preserve"> long noncoding RNA (lncRNA) AC022424.2. Furthermore, the AKT and mTOR signaling pathways </w:t>
      </w:r>
      <w:r w:rsidR="00684D95">
        <w:rPr>
          <w:rFonts w:ascii="Book Antiqua" w:eastAsia="Book Antiqua" w:hAnsi="Book Antiqua" w:cs="Book Antiqua"/>
        </w:rPr>
        <w:t>were</w:t>
      </w:r>
      <w:r w:rsidR="00684D95" w:rsidRPr="009C4C21">
        <w:rPr>
          <w:rFonts w:ascii="Book Antiqua" w:eastAsia="Book Antiqua" w:hAnsi="Book Antiqua" w:cs="Book Antiqua"/>
        </w:rPr>
        <w:t xml:space="preserve"> </w:t>
      </w:r>
      <w:r w:rsidRPr="009C4C21">
        <w:rPr>
          <w:rFonts w:ascii="Book Antiqua" w:eastAsia="Book Antiqua" w:hAnsi="Book Antiqua" w:cs="Book Antiqua"/>
        </w:rPr>
        <w:t>involved in the process. We validated the role of lncRNA AC022424.2 on clinical samples and found that lncRNA AC022424.2 is associated with lymph metastasis.</w:t>
      </w:r>
    </w:p>
    <w:p w14:paraId="2EC9FD3D" w14:textId="77777777" w:rsidR="00A77B3E" w:rsidRPr="009C4C21" w:rsidRDefault="00A77B3E">
      <w:pPr>
        <w:spacing w:line="360" w:lineRule="auto"/>
        <w:jc w:val="both"/>
        <w:rPr>
          <w:rFonts w:ascii="Book Antiqua" w:hAnsi="Book Antiqua"/>
        </w:rPr>
      </w:pPr>
    </w:p>
    <w:p w14:paraId="09E8AF6E"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aps/>
          <w:color w:val="000000"/>
          <w:u w:val="single"/>
        </w:rPr>
        <w:t>INTRODUCTION</w:t>
      </w:r>
    </w:p>
    <w:p w14:paraId="3E9ECB81" w14:textId="6CDD636C" w:rsidR="00A77B3E" w:rsidRPr="009C4C21" w:rsidRDefault="009A1F6D" w:rsidP="008273EC">
      <w:pPr>
        <w:spacing w:line="360" w:lineRule="auto"/>
        <w:jc w:val="both"/>
        <w:rPr>
          <w:rFonts w:ascii="Book Antiqua" w:hAnsi="Book Antiqua"/>
        </w:rPr>
      </w:pPr>
      <w:r w:rsidRPr="009C4C21">
        <w:rPr>
          <w:rFonts w:ascii="Book Antiqua" w:eastAsia="Book Antiqua" w:hAnsi="Book Antiqua" w:cs="Book Antiqua"/>
          <w:color w:val="000000"/>
        </w:rPr>
        <w:t>Gastric cancer (GC) is a highly heterogeneous tumor with a global overall survival rate of approximately 25%</w:t>
      </w:r>
      <w:r w:rsidRPr="009C4C21">
        <w:rPr>
          <w:rFonts w:ascii="Book Antiqua" w:eastAsia="Book Antiqua" w:hAnsi="Book Antiqua" w:cs="Book Antiqua"/>
          <w:color w:val="000000"/>
          <w:vertAlign w:val="superscript"/>
        </w:rPr>
        <w:t>[1]</w:t>
      </w:r>
      <w:r w:rsidRPr="009C4C21">
        <w:rPr>
          <w:rFonts w:ascii="Book Antiqua" w:eastAsia="Book Antiqua" w:hAnsi="Book Antiqua" w:cs="Book Antiqua"/>
          <w:color w:val="000000"/>
        </w:rPr>
        <w:t>. Most</w:t>
      </w:r>
      <w:r w:rsidR="00425521" w:rsidRPr="00425521">
        <w:rPr>
          <w:rFonts w:ascii="Book Antiqua" w:eastAsia="Book Antiqua" w:hAnsi="Book Antiqua" w:cs="Book Antiqua"/>
          <w:color w:val="000000"/>
        </w:rPr>
        <w:t xml:space="preserve"> </w:t>
      </w:r>
      <w:r w:rsidR="00425521" w:rsidRPr="009C4C21">
        <w:rPr>
          <w:rFonts w:ascii="Book Antiqua" w:eastAsia="Book Antiqua" w:hAnsi="Book Antiqua" w:cs="Book Antiqua"/>
          <w:color w:val="000000"/>
        </w:rPr>
        <w:t>GC</w:t>
      </w:r>
      <w:r w:rsidRPr="009C4C21">
        <w:rPr>
          <w:rFonts w:ascii="Book Antiqua" w:eastAsia="Book Antiqua" w:hAnsi="Book Antiqua" w:cs="Book Antiqua"/>
          <w:color w:val="000000"/>
        </w:rPr>
        <w:t xml:space="preserve"> cases are diagnosed at advanced stages, with approximately 60% of patients presenting with local or distant metastasis at the time of diagnosis</w:t>
      </w:r>
      <w:r w:rsidRPr="009C4C21">
        <w:rPr>
          <w:rFonts w:ascii="Book Antiqua" w:eastAsia="Book Antiqua" w:hAnsi="Book Antiqua" w:cs="Book Antiqua"/>
          <w:color w:val="000000"/>
          <w:vertAlign w:val="superscript"/>
        </w:rPr>
        <w:t>[2]</w:t>
      </w:r>
      <w:r w:rsidRPr="009C4C21">
        <w:rPr>
          <w:rFonts w:ascii="Book Antiqua" w:eastAsia="Book Antiqua" w:hAnsi="Book Antiqua" w:cs="Book Antiqua"/>
          <w:color w:val="000000"/>
        </w:rPr>
        <w:t>. Diagnosis involves qualitative and locational determination through endoscopic biopsies, and staging is performed using various techniques, including computed tomography, endoscopic ultrasonography, positron emission tomography, and laparoscopy. The clinical staging of GC determines whether the treatment approach is curative or palliative. Deep learning techniques for artificial intelligence analysis of whole-slide histopathology images can rapidly detect tumors in gastric biopsies and resection specimens, offering high sensitivity and specificity</w:t>
      </w:r>
      <w:r w:rsidRPr="009C4C21">
        <w:rPr>
          <w:rFonts w:ascii="Book Antiqua" w:eastAsia="Book Antiqua" w:hAnsi="Book Antiqua" w:cs="Book Antiqua"/>
          <w:color w:val="000000"/>
          <w:vertAlign w:val="superscript"/>
        </w:rPr>
        <w:t>[3-6]</w:t>
      </w:r>
      <w:r w:rsidRPr="009C4C21">
        <w:rPr>
          <w:rFonts w:ascii="Book Antiqua" w:eastAsia="Book Antiqua" w:hAnsi="Book Antiqua" w:cs="Book Antiqua"/>
          <w:color w:val="000000"/>
        </w:rPr>
        <w:t>. Liquid biopsy techniques include the detection of cell-free circulating tumor DNA (ctDNA), circulating tumor cells, exosomes, and tumor tissue-derived platelets. This technology holds promise for early GC diagnosis, disease monitoring, drug response prediction, and disease recurrence identification. Moreover, compared with tissue biopsies, liquid biopsies provide a more comprehensive view of the high heterogeneity of GC</w:t>
      </w:r>
      <w:r w:rsidRPr="009C4C21">
        <w:rPr>
          <w:rFonts w:ascii="Book Antiqua" w:eastAsia="Book Antiqua" w:hAnsi="Book Antiqua" w:cs="Book Antiqua"/>
          <w:color w:val="000000"/>
          <w:vertAlign w:val="superscript"/>
        </w:rPr>
        <w:t>[7]</w:t>
      </w:r>
      <w:r w:rsidRPr="009C4C21">
        <w:rPr>
          <w:rFonts w:ascii="Book Antiqua" w:eastAsia="Book Antiqua" w:hAnsi="Book Antiqua" w:cs="Book Antiqua"/>
          <w:color w:val="000000"/>
        </w:rPr>
        <w:t>.</w:t>
      </w:r>
    </w:p>
    <w:p w14:paraId="6CF1E4B5" w14:textId="77777777" w:rsidR="00A77B3E" w:rsidRPr="009C4C21" w:rsidRDefault="009A1F6D">
      <w:pPr>
        <w:spacing w:line="360" w:lineRule="auto"/>
        <w:ind w:firstLine="431"/>
        <w:jc w:val="both"/>
        <w:rPr>
          <w:rFonts w:ascii="Book Antiqua" w:hAnsi="Book Antiqua"/>
        </w:rPr>
      </w:pPr>
      <w:r w:rsidRPr="009C4C21">
        <w:rPr>
          <w:rFonts w:ascii="Book Antiqua" w:eastAsia="Book Antiqua" w:hAnsi="Book Antiqua" w:cs="Book Antiqua"/>
          <w:color w:val="000000"/>
        </w:rPr>
        <w:t>Tumor metastasis, the high heterogeneity of cancer cells, and chemotherapy resistance are primary factors that contribute to the poor overall prognosis of GC</w:t>
      </w:r>
      <w:r w:rsidRPr="009C4C21">
        <w:rPr>
          <w:rFonts w:ascii="Book Antiqua" w:eastAsia="Book Antiqua" w:hAnsi="Book Antiqua" w:cs="Book Antiqua"/>
          <w:color w:val="000000"/>
          <w:vertAlign w:val="superscript"/>
        </w:rPr>
        <w:t>[8]</w:t>
      </w:r>
      <w:r w:rsidRPr="009C4C21">
        <w:rPr>
          <w:rFonts w:ascii="Book Antiqua" w:eastAsia="Book Antiqua" w:hAnsi="Book Antiqua" w:cs="Book Antiqua"/>
          <w:color w:val="000000"/>
        </w:rPr>
        <w:t xml:space="preserve">. Despite improvements in public health conditions and effective eradication of </w:t>
      </w:r>
      <w:r w:rsidRPr="009C4C21">
        <w:rPr>
          <w:rFonts w:ascii="Book Antiqua" w:eastAsia="Book Antiqua" w:hAnsi="Book Antiqua" w:cs="Book Antiqua"/>
          <w:i/>
          <w:iCs/>
          <w:color w:val="000000"/>
        </w:rPr>
        <w:t>Helicobacter pylori</w:t>
      </w:r>
      <w:r w:rsidRPr="009C4C21">
        <w:rPr>
          <w:rFonts w:ascii="Book Antiqua" w:eastAsia="Book Antiqua" w:hAnsi="Book Antiqua" w:cs="Book Antiqua"/>
          <w:color w:val="000000"/>
        </w:rPr>
        <w:t xml:space="preserve"> in some regions, GC remains a fatal disease. Current treatment </w:t>
      </w:r>
      <w:r w:rsidRPr="009C4C21">
        <w:rPr>
          <w:rFonts w:ascii="Book Antiqua" w:eastAsia="Book Antiqua" w:hAnsi="Book Antiqua" w:cs="Book Antiqua"/>
          <w:color w:val="000000"/>
        </w:rPr>
        <w:lastRenderedPageBreak/>
        <w:t>approaches for GC include surgery, traditional chemotherapy, targeted therapy, and immunotherapy; however, these strategies have limited effectiveness in controlling the disease. Chemotherapy is a key strategy for treating mid- to late-stage GC</w:t>
      </w:r>
      <w:r w:rsidRPr="009C4C21">
        <w:rPr>
          <w:rFonts w:ascii="Book Antiqua" w:eastAsia="Book Antiqua" w:hAnsi="Book Antiqua" w:cs="Book Antiqua"/>
          <w:color w:val="000000"/>
          <w:vertAlign w:val="superscript"/>
        </w:rPr>
        <w:t>[9]</w:t>
      </w:r>
      <w:r w:rsidRPr="009C4C21">
        <w:rPr>
          <w:rFonts w:ascii="Book Antiqua" w:eastAsia="Book Antiqua" w:hAnsi="Book Antiqua" w:cs="Book Antiqua"/>
          <w:color w:val="000000"/>
        </w:rPr>
        <w:t>; however, its role in GC treatment is constrained by adverse drug reactions and drug resistance. Chinese herbal medicine, which is rooted in a tradition spanning millennia, has been a cornerstone of healthcare in China and across Asia. A distinctive feature of Chinese herbal medicine is the use of herbal formulas, which comprise multiple herbs, to improve abnormal symptoms associated with specific diseases</w:t>
      </w:r>
      <w:r w:rsidRPr="009C4C21">
        <w:rPr>
          <w:rFonts w:ascii="Book Antiqua" w:eastAsia="Book Antiqua" w:hAnsi="Book Antiqua" w:cs="Book Antiqua"/>
          <w:color w:val="000000"/>
          <w:vertAlign w:val="superscript"/>
        </w:rPr>
        <w:t>[10]</w:t>
      </w:r>
      <w:r w:rsidRPr="009C4C21">
        <w:rPr>
          <w:rFonts w:ascii="Book Antiqua" w:eastAsia="Book Antiqua" w:hAnsi="Book Antiqua" w:cs="Book Antiqua"/>
          <w:color w:val="000000"/>
        </w:rPr>
        <w:t>. In the realm of exploring alternative cancer treatments, natural compounds with anticancer properties, such as curcumin, are garnering attention because of their low adverse effects. Although the anticancer effects of curcumin have been extensively studied, its specific mechanisms of action remain incompletely understood.</w:t>
      </w:r>
    </w:p>
    <w:p w14:paraId="28907079" w14:textId="0E069D34" w:rsidR="00A77B3E" w:rsidRPr="009C4C21" w:rsidRDefault="009A1F6D" w:rsidP="00D728B1">
      <w:pPr>
        <w:spacing w:line="360" w:lineRule="auto"/>
        <w:ind w:firstLine="431"/>
        <w:jc w:val="both"/>
        <w:rPr>
          <w:rFonts w:ascii="Book Antiqua" w:hAnsi="Book Antiqua"/>
        </w:rPr>
      </w:pPr>
      <w:r w:rsidRPr="009C4C21">
        <w:rPr>
          <w:rFonts w:ascii="Book Antiqua" w:eastAsia="Book Antiqua" w:hAnsi="Book Antiqua" w:cs="Book Antiqua"/>
          <w:color w:val="000000"/>
        </w:rPr>
        <w:t xml:space="preserve">Curcumin is a biologically active compound with antibacterial properties. In 1985, Kuttan </w:t>
      </w:r>
      <w:r w:rsidRPr="009C4C21">
        <w:rPr>
          <w:rFonts w:ascii="Book Antiqua" w:eastAsia="Book Antiqua" w:hAnsi="Book Antiqua" w:cs="Book Antiqua"/>
          <w:i/>
          <w:iCs/>
          <w:color w:val="000000"/>
        </w:rPr>
        <w:t>et al</w:t>
      </w:r>
      <w:r w:rsidR="009C4C21" w:rsidRPr="009C4C21">
        <w:rPr>
          <w:rFonts w:ascii="Book Antiqua" w:eastAsia="Book Antiqua" w:hAnsi="Book Antiqua" w:cs="Book Antiqua"/>
          <w:color w:val="000000"/>
          <w:vertAlign w:val="superscript"/>
        </w:rPr>
        <w:t>[11]</w:t>
      </w:r>
      <w:r w:rsidRPr="009C4C21">
        <w:rPr>
          <w:rFonts w:ascii="Book Antiqua" w:eastAsia="Book Antiqua" w:hAnsi="Book Antiqua" w:cs="Book Antiqua"/>
          <w:color w:val="000000"/>
        </w:rPr>
        <w:t xml:space="preserve"> confirmed its anticancer effects. Curcumin exerts anticancer effects by inhibiting cell cycle progression and promoting apoptosis</w:t>
      </w:r>
      <w:r w:rsidRPr="009C4C21">
        <w:rPr>
          <w:rFonts w:ascii="Book Antiqua" w:eastAsia="Book Antiqua" w:hAnsi="Book Antiqua" w:cs="Book Antiqua"/>
          <w:color w:val="000000"/>
          <w:vertAlign w:val="superscript"/>
        </w:rPr>
        <w:t>[</w:t>
      </w:r>
      <w:r w:rsidR="009C4C21" w:rsidRPr="009C4C21">
        <w:rPr>
          <w:rFonts w:ascii="Book Antiqua" w:hAnsi="Book Antiqua" w:cs="Book Antiqua"/>
          <w:color w:val="000000"/>
          <w:vertAlign w:val="superscript"/>
          <w:lang w:eastAsia="zh-CN"/>
        </w:rPr>
        <w:t>12</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xml:space="preserve">. Despite substantial research confirming the anticancer effects of curcumin, its precise mechanisms of action remain partially elucidated. Gene mutations play a critical role in </w:t>
      </w:r>
      <w:r w:rsidR="00E4170A" w:rsidRPr="009C4C21">
        <w:rPr>
          <w:rFonts w:ascii="Book Antiqua" w:eastAsia="Book Antiqua" w:hAnsi="Book Antiqua" w:cs="Book Antiqua"/>
          <w:color w:val="000000"/>
        </w:rPr>
        <w:t>GC</w:t>
      </w:r>
      <w:r w:rsidR="00E4170A" w:rsidRPr="009C4C21" w:rsidDel="00E4170A">
        <w:rPr>
          <w:rFonts w:ascii="Book Antiqua" w:eastAsia="Book Antiqua" w:hAnsi="Book Antiqua" w:cs="Book Antiqua"/>
          <w:color w:val="000000"/>
        </w:rPr>
        <w:t xml:space="preserve"> </w:t>
      </w:r>
      <w:r w:rsidRPr="009C4C21">
        <w:rPr>
          <w:rFonts w:ascii="Book Antiqua" w:eastAsia="Book Antiqua" w:hAnsi="Book Antiqua" w:cs="Book Antiqua"/>
          <w:color w:val="000000"/>
        </w:rPr>
        <w:t>occurrence and development. Mutations do not solely occur in the coding regions of the cancer cell genome; they predominantly occur in vast noncoding regions. With significant advances in DNA sequencing technology, research on the noncoding regions of cancer cells has become a research hotspot. Recently, several long noncoding RNAs (lncRNAs) with high expression have been discovered in various cancers, including GC, colorectal cancer, liver cancer, and lung cancer. LncRNAs participate in multiple cancer signaling pathways, such as Notch, mTOR, NF-κB, and Wnt</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13-15</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They regulate cell proliferation, migration, apoptosis, invasion, cell cycle, and metastasis. Numerous lncRNAs longer than 200 base pairs have been identified as crucial components of cancer biology. Recently, the differential expression of certain lncRNAs in GC has been progressively discovered.</w:t>
      </w:r>
    </w:p>
    <w:p w14:paraId="4837A786" w14:textId="77777777" w:rsidR="00A77B3E" w:rsidRPr="009C4C21" w:rsidRDefault="009A1F6D">
      <w:pPr>
        <w:spacing w:line="360" w:lineRule="auto"/>
        <w:ind w:firstLine="431"/>
        <w:jc w:val="both"/>
        <w:rPr>
          <w:rFonts w:ascii="Book Antiqua" w:hAnsi="Book Antiqua"/>
        </w:rPr>
      </w:pPr>
      <w:r w:rsidRPr="009C4C21">
        <w:rPr>
          <w:rFonts w:ascii="Book Antiqua" w:eastAsia="Book Antiqua" w:hAnsi="Book Antiqua" w:cs="Book Antiqua"/>
          <w:color w:val="000000"/>
        </w:rPr>
        <w:t xml:space="preserve">This study employs lncRNA sequencing to screen for differentially expressed lncRNAs after curcumin treatment. Further investigation will explore the relationship between the ability of curcumin to inhibit GC cells and lncRNA AC022424.2. This study </w:t>
      </w:r>
      <w:r w:rsidRPr="009C4C21">
        <w:rPr>
          <w:rFonts w:ascii="Book Antiqua" w:eastAsia="Book Antiqua" w:hAnsi="Book Antiqua" w:cs="Book Antiqua"/>
          <w:color w:val="000000"/>
        </w:rPr>
        <w:lastRenderedPageBreak/>
        <w:t>reveals how curcumin regulates the apoptosis, proliferation, and invasion of GC cells through lncRNA modulation. The subsequent validation of these experimental results in clinical tissue specimens and exploration of specific mechanisms will provide more theoretical support for elucidating the role of lncRNAs in the occurrence and development of GC and identifying precise therapeutic targets.</w:t>
      </w:r>
    </w:p>
    <w:p w14:paraId="1A22AA28" w14:textId="77777777" w:rsidR="00A77B3E" w:rsidRPr="009C4C21" w:rsidRDefault="00A77B3E" w:rsidP="00D728B1">
      <w:pPr>
        <w:spacing w:line="360" w:lineRule="auto"/>
        <w:jc w:val="both"/>
        <w:rPr>
          <w:rFonts w:ascii="Book Antiqua" w:hAnsi="Book Antiqua"/>
        </w:rPr>
      </w:pPr>
    </w:p>
    <w:p w14:paraId="3EE67847"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aps/>
          <w:color w:val="000000"/>
          <w:u w:val="single"/>
        </w:rPr>
        <w:t>MATERIALS AND METHODS</w:t>
      </w:r>
    </w:p>
    <w:p w14:paraId="0196B037"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Cell lines</w:t>
      </w:r>
    </w:p>
    <w:p w14:paraId="0CF2EB33" w14:textId="44D50C1F" w:rsidR="00A77B3E" w:rsidRPr="009C4C21" w:rsidRDefault="00CC43D8" w:rsidP="00D728B1">
      <w:pPr>
        <w:spacing w:line="360" w:lineRule="auto"/>
        <w:jc w:val="both"/>
        <w:rPr>
          <w:rFonts w:ascii="Book Antiqua" w:hAnsi="Book Antiqua"/>
        </w:rPr>
      </w:pPr>
      <w:r>
        <w:rPr>
          <w:rFonts w:ascii="Book Antiqua" w:eastAsia="Book Antiqua" w:hAnsi="Book Antiqua" w:cs="Book Antiqua"/>
          <w:color w:val="000000"/>
        </w:rPr>
        <w:t>The</w:t>
      </w:r>
      <w:r w:rsidRPr="00CC43D8">
        <w:rPr>
          <w:rFonts w:ascii="Book Antiqua" w:eastAsia="Book Antiqua" w:hAnsi="Book Antiqua" w:cs="Book Antiqua"/>
          <w:color w:val="000000"/>
        </w:rPr>
        <w:t xml:space="preserve"> </w:t>
      </w:r>
      <w:r w:rsidRPr="009C4C21">
        <w:rPr>
          <w:rFonts w:ascii="Book Antiqua" w:eastAsia="Book Antiqua" w:hAnsi="Book Antiqua" w:cs="Book Antiqua"/>
          <w:color w:val="000000"/>
        </w:rPr>
        <w:t>BGC823 and MGC803</w:t>
      </w:r>
      <w:r>
        <w:rPr>
          <w:rFonts w:ascii="Book Antiqua" w:eastAsia="Book Antiqua" w:hAnsi="Book Antiqua" w:cs="Book Antiqua"/>
          <w:color w:val="000000"/>
        </w:rPr>
        <w:t xml:space="preserve"> h</w:t>
      </w:r>
      <w:r w:rsidR="009A1F6D" w:rsidRPr="009C4C21">
        <w:rPr>
          <w:rFonts w:ascii="Book Antiqua" w:eastAsia="Book Antiqua" w:hAnsi="Book Antiqua" w:cs="Book Antiqua"/>
          <w:color w:val="000000"/>
        </w:rPr>
        <w:t>uman gastric adenocarcinoma cell lines were obtained from the Cell Bank of Type Culture Collection of the Chinese Academy of Sciences (Shanghai, China). BGC823 cells were cultured in RPMI-164 and MGC803 cells were cultured in Dulbecco’s Modified Eagle Medium (Gibco,</w:t>
      </w:r>
      <w:r w:rsidR="00F176C8">
        <w:rPr>
          <w:rFonts w:ascii="Book Antiqua" w:eastAsia="Book Antiqua" w:hAnsi="Book Antiqua" w:cs="Book Antiqua"/>
          <w:color w:val="000000"/>
        </w:rPr>
        <w:t xml:space="preserve"> Thermo Fisher Scientific, Waltham, MA,</w:t>
      </w:r>
      <w:r w:rsidR="009A1F6D" w:rsidRPr="009C4C21">
        <w:rPr>
          <w:rFonts w:ascii="Book Antiqua" w:eastAsia="Book Antiqua" w:hAnsi="Book Antiqua" w:cs="Book Antiqua"/>
          <w:color w:val="000000"/>
        </w:rPr>
        <w:t xml:space="preserve"> </w:t>
      </w:r>
      <w:r w:rsidR="00D728B1" w:rsidRPr="009C4C21">
        <w:rPr>
          <w:rFonts w:ascii="Book Antiqua" w:eastAsia="Book Antiqua" w:hAnsi="Book Antiqua" w:cs="Book Antiqua"/>
          <w:color w:val="000000"/>
        </w:rPr>
        <w:t>United States</w:t>
      </w:r>
      <w:r w:rsidR="009A1F6D" w:rsidRPr="009C4C21">
        <w:rPr>
          <w:rFonts w:ascii="Book Antiqua" w:eastAsia="Book Antiqua" w:hAnsi="Book Antiqua" w:cs="Book Antiqua"/>
          <w:color w:val="000000"/>
        </w:rPr>
        <w:t>), supplemented with 10% fetal bovine serum (FBS) (Gibco), 2</w:t>
      </w:r>
      <w:r w:rsidR="001C7B43" w:rsidRPr="009C4C21">
        <w:rPr>
          <w:rFonts w:ascii="Book Antiqua" w:eastAsia="Book Antiqua" w:hAnsi="Book Antiqua" w:cs="Book Antiqua"/>
          <w:color w:val="000000"/>
        </w:rPr>
        <w:t xml:space="preserve"> </w:t>
      </w:r>
      <w:r w:rsidR="009A1F6D" w:rsidRPr="009C4C21">
        <w:rPr>
          <w:rFonts w:ascii="Book Antiqua" w:eastAsia="Book Antiqua" w:hAnsi="Book Antiqua" w:cs="Book Antiqua"/>
          <w:color w:val="000000"/>
        </w:rPr>
        <w:t>m</w:t>
      </w:r>
      <w:r w:rsidR="001C7B43" w:rsidRPr="009C4C21">
        <w:rPr>
          <w:rFonts w:ascii="Book Antiqua" w:eastAsia="Book Antiqua" w:hAnsi="Book Antiqua" w:cs="Book Antiqua"/>
          <w:color w:val="000000"/>
        </w:rPr>
        <w:t>mol/L</w:t>
      </w:r>
      <w:r w:rsidR="009A1F6D" w:rsidRPr="009C4C21">
        <w:rPr>
          <w:rFonts w:ascii="Book Antiqua" w:eastAsia="Book Antiqua" w:hAnsi="Book Antiqua" w:cs="Book Antiqua"/>
          <w:color w:val="000000"/>
        </w:rPr>
        <w:t xml:space="preserve"> L-glutamine, and 100</w:t>
      </w:r>
      <w:r w:rsidR="001C7B43" w:rsidRPr="009C4C21">
        <w:rPr>
          <w:rFonts w:ascii="Book Antiqua" w:eastAsia="Book Antiqua" w:hAnsi="Book Antiqua" w:cs="Book Antiqua"/>
          <w:color w:val="000000"/>
        </w:rPr>
        <w:t xml:space="preserve"> </w:t>
      </w:r>
      <w:r w:rsidR="009A1F6D" w:rsidRPr="009C4C21">
        <w:rPr>
          <w:rFonts w:ascii="Book Antiqua" w:eastAsia="Book Antiqua" w:hAnsi="Book Antiqua" w:cs="Book Antiqua"/>
          <w:color w:val="000000"/>
        </w:rPr>
        <w:t xml:space="preserve">U/mL penicillin/streptomycin (HyClone, </w:t>
      </w:r>
      <w:r w:rsidR="00F176C8">
        <w:rPr>
          <w:rFonts w:ascii="Book Antiqua" w:eastAsia="Book Antiqua" w:hAnsi="Book Antiqua" w:cs="Book Antiqua"/>
          <w:color w:val="000000"/>
        </w:rPr>
        <w:t xml:space="preserve">Logan, UT, </w:t>
      </w:r>
      <w:r w:rsidR="00D728B1" w:rsidRPr="009C4C21">
        <w:rPr>
          <w:rFonts w:ascii="Book Antiqua" w:eastAsia="Book Antiqua" w:hAnsi="Book Antiqua" w:cs="Book Antiqua"/>
          <w:color w:val="000000"/>
        </w:rPr>
        <w:t>United States</w:t>
      </w:r>
      <w:r w:rsidR="009A1F6D" w:rsidRPr="009C4C21">
        <w:rPr>
          <w:rFonts w:ascii="Book Antiqua" w:eastAsia="Book Antiqua" w:hAnsi="Book Antiqua" w:cs="Book Antiqua"/>
          <w:color w:val="000000"/>
        </w:rPr>
        <w:t>), at 37°C with 5% CO</w:t>
      </w:r>
      <w:r w:rsidR="009A1F6D" w:rsidRPr="009C4C21">
        <w:rPr>
          <w:rFonts w:ascii="Book Antiqua" w:eastAsia="Book Antiqua" w:hAnsi="Book Antiqua" w:cs="Book Antiqua"/>
          <w:color w:val="000000"/>
          <w:szCs w:val="30"/>
          <w:vertAlign w:val="subscript"/>
        </w:rPr>
        <w:t>2</w:t>
      </w:r>
      <w:r w:rsidR="009A1F6D" w:rsidRPr="009C4C21">
        <w:rPr>
          <w:rFonts w:ascii="Book Antiqua" w:eastAsia="Book Antiqua" w:hAnsi="Book Antiqua" w:cs="Book Antiqua"/>
          <w:color w:val="000000"/>
        </w:rPr>
        <w:t xml:space="preserve"> in a humidified incubator.</w:t>
      </w:r>
    </w:p>
    <w:p w14:paraId="0CA9998E" w14:textId="77777777" w:rsidR="00D728B1" w:rsidRPr="009C4C21" w:rsidRDefault="00D728B1">
      <w:pPr>
        <w:spacing w:line="360" w:lineRule="auto"/>
        <w:jc w:val="both"/>
        <w:rPr>
          <w:rFonts w:ascii="Book Antiqua" w:eastAsia="Book Antiqua" w:hAnsi="Book Antiqua" w:cs="Book Antiqua"/>
          <w:b/>
          <w:bCs/>
          <w:i/>
          <w:iCs/>
          <w:color w:val="000000"/>
        </w:rPr>
      </w:pPr>
    </w:p>
    <w:p w14:paraId="5E35C65D" w14:textId="3370E262"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Curcumin compound</w:t>
      </w:r>
    </w:p>
    <w:p w14:paraId="5007C406" w14:textId="3C3EE045"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The curcumin compound (Solarbio, </w:t>
      </w:r>
      <w:r w:rsidR="00F176C8">
        <w:rPr>
          <w:rFonts w:ascii="Book Antiqua" w:eastAsia="Book Antiqua" w:hAnsi="Book Antiqua" w:cs="Book Antiqua"/>
          <w:color w:val="000000"/>
        </w:rPr>
        <w:t xml:space="preserve">Beijing, </w:t>
      </w:r>
      <w:r w:rsidRPr="009C4C21">
        <w:rPr>
          <w:rFonts w:ascii="Book Antiqua" w:eastAsia="Book Antiqua" w:hAnsi="Book Antiqua" w:cs="Book Antiqua"/>
          <w:color w:val="000000"/>
        </w:rPr>
        <w:t>China) was dissolved in dimethyl sulfoxide (DMSO) to make the stock solution (5 mmol/L), and various concentrations were prepared by diluting in cultur</w:t>
      </w:r>
      <w:r w:rsidR="0090155D">
        <w:rPr>
          <w:rFonts w:ascii="Book Antiqua" w:eastAsia="Book Antiqua" w:hAnsi="Book Antiqua" w:cs="Book Antiqua"/>
          <w:color w:val="000000"/>
        </w:rPr>
        <w:t>e</w:t>
      </w:r>
      <w:r w:rsidRPr="009C4C21">
        <w:rPr>
          <w:rFonts w:ascii="Book Antiqua" w:eastAsia="Book Antiqua" w:hAnsi="Book Antiqua" w:cs="Book Antiqua"/>
          <w:color w:val="000000"/>
        </w:rPr>
        <w:t xml:space="preserve"> medium.</w:t>
      </w:r>
    </w:p>
    <w:p w14:paraId="4EB0B407" w14:textId="77777777" w:rsidR="00D728B1" w:rsidRPr="009C4C21" w:rsidRDefault="00D728B1">
      <w:pPr>
        <w:spacing w:line="360" w:lineRule="auto"/>
        <w:jc w:val="both"/>
        <w:rPr>
          <w:rFonts w:ascii="Book Antiqua" w:eastAsia="Book Antiqua" w:hAnsi="Book Antiqua" w:cs="Book Antiqua"/>
          <w:b/>
          <w:bCs/>
          <w:i/>
          <w:iCs/>
          <w:color w:val="000000"/>
        </w:rPr>
      </w:pPr>
    </w:p>
    <w:p w14:paraId="54F8016E" w14:textId="617488CB"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Clinical samples</w:t>
      </w:r>
    </w:p>
    <w:p w14:paraId="495BBE57" w14:textId="3E5150BE"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Fifty-one GC tissues and matched adjacent normal gastric mucosa tissues were collected from </w:t>
      </w:r>
      <w:r w:rsidR="003D5068" w:rsidRPr="009C4C21">
        <w:rPr>
          <w:rFonts w:ascii="Book Antiqua" w:eastAsia="Book Antiqua" w:hAnsi="Book Antiqua" w:cs="Book Antiqua"/>
          <w:color w:val="000000"/>
        </w:rPr>
        <w:t xml:space="preserve">GC </w:t>
      </w:r>
      <w:r w:rsidRPr="009C4C21">
        <w:rPr>
          <w:rFonts w:ascii="Book Antiqua" w:eastAsia="Book Antiqua" w:hAnsi="Book Antiqua" w:cs="Book Antiqua"/>
          <w:color w:val="000000"/>
        </w:rPr>
        <w:t xml:space="preserve">patients who underwent gastrectomy from March 2018 to March 2019 at the First </w:t>
      </w:r>
      <w:r w:rsidR="003D5068">
        <w:rPr>
          <w:rFonts w:ascii="Book Antiqua" w:eastAsia="Book Antiqua" w:hAnsi="Book Antiqua" w:cs="Book Antiqua"/>
          <w:color w:val="000000"/>
        </w:rPr>
        <w:t>A</w:t>
      </w:r>
      <w:r w:rsidRPr="009C4C21">
        <w:rPr>
          <w:rFonts w:ascii="Book Antiqua" w:eastAsia="Book Antiqua" w:hAnsi="Book Antiqua" w:cs="Book Antiqua"/>
          <w:color w:val="000000"/>
        </w:rPr>
        <w:t>ffiliated Hospital, Lanzhou University. All cancer tissues were confirmed to be gastric adenocarcinomas by a pathologist using hematoxylin and eosin slides. Patients receiving radiotherapy, chemotherapy, or immunotherapy were excluded. Written informed consent was obtained from each patient, and the protocols for human sample handling were approved by the Ethics Review Committee of Lanzhou University.</w:t>
      </w:r>
    </w:p>
    <w:p w14:paraId="0B46283F" w14:textId="77777777" w:rsidR="00D728B1" w:rsidRPr="009C4C21" w:rsidRDefault="00D728B1">
      <w:pPr>
        <w:spacing w:line="360" w:lineRule="auto"/>
        <w:jc w:val="both"/>
        <w:rPr>
          <w:rFonts w:ascii="Book Antiqua" w:eastAsia="Book Antiqua" w:hAnsi="Book Antiqua" w:cs="Book Antiqua"/>
          <w:b/>
          <w:bCs/>
          <w:i/>
          <w:iCs/>
          <w:color w:val="000000"/>
        </w:rPr>
      </w:pPr>
    </w:p>
    <w:p w14:paraId="5FA1E03A" w14:textId="6BF75A0A"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lastRenderedPageBreak/>
        <w:t>LncRNA sequencing</w:t>
      </w:r>
    </w:p>
    <w:p w14:paraId="6023FBFE" w14:textId="50937119"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BGC823 cells were treated with curcumin (40 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for 24 h; as a negative control, the cells were treated with DMSO. Total RNA was extracted for lncRNA sequencing to identify differentially expressed lncRNAs.</w:t>
      </w:r>
    </w:p>
    <w:p w14:paraId="3C3499C3" w14:textId="77777777" w:rsidR="00D728B1" w:rsidRPr="009C4C21" w:rsidRDefault="00D728B1">
      <w:pPr>
        <w:spacing w:line="360" w:lineRule="auto"/>
        <w:jc w:val="both"/>
        <w:rPr>
          <w:rFonts w:ascii="Book Antiqua" w:eastAsia="Book Antiqua" w:hAnsi="Book Antiqua" w:cs="Book Antiqua"/>
          <w:b/>
          <w:bCs/>
          <w:i/>
          <w:iCs/>
          <w:color w:val="000000"/>
        </w:rPr>
      </w:pPr>
    </w:p>
    <w:p w14:paraId="5F8720D4" w14:textId="1D82C10C"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Plasmid construction and cell transfection</w:t>
      </w:r>
    </w:p>
    <w:p w14:paraId="5E0351E3" w14:textId="22EEC83C"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For knocking down lncRNA AC022424.2, three plasmids of shRNA targeting different sequences of lncRNA AC022424.2-40921: TGTCCTTGCCTGTGGTGTCAA, AC022424.2-40922: TACCTTCATGAGAACCACAA, and AC022424.2-40923: TACCTTCATGAGAACCACAA were constructed by inserting these oligonucleotides into the ORF of lentiviral Lv-006 plasmid </w:t>
      </w:r>
      <w:r w:rsidRPr="009C4C21">
        <w:rPr>
          <w:rFonts w:ascii="Book Antiqua" w:eastAsia="Book Antiqua" w:hAnsi="Book Antiqua" w:cs="Book Antiqua"/>
          <w:i/>
          <w:iCs/>
          <w:color w:val="000000"/>
        </w:rPr>
        <w:t>via</w:t>
      </w:r>
      <w:r w:rsidRPr="009C4C21">
        <w:rPr>
          <w:rFonts w:ascii="Book Antiqua" w:eastAsia="Book Antiqua" w:hAnsi="Book Antiqua" w:cs="Book Antiqua"/>
          <w:color w:val="000000"/>
        </w:rPr>
        <w:t xml:space="preserve"> the </w:t>
      </w:r>
      <w:r w:rsidR="002A7B30" w:rsidRPr="00D040F1">
        <w:rPr>
          <w:rFonts w:ascii="Book Antiqua" w:eastAsia="Book Antiqua" w:hAnsi="Book Antiqua" w:cs="Book Antiqua"/>
          <w:i/>
          <w:iCs/>
          <w:color w:val="000000"/>
        </w:rPr>
        <w:t>EcoR</w:t>
      </w:r>
      <w:r w:rsidR="002A7B30" w:rsidRPr="009C4C21">
        <w:rPr>
          <w:rFonts w:ascii="Book Antiqua" w:eastAsia="Book Antiqua" w:hAnsi="Book Antiqua" w:cs="Book Antiqua"/>
          <w:color w:val="000000"/>
        </w:rPr>
        <w:t xml:space="preserve">I and </w:t>
      </w:r>
      <w:r w:rsidR="002A7B30" w:rsidRPr="00D040F1">
        <w:rPr>
          <w:rFonts w:ascii="Book Antiqua" w:eastAsia="Book Antiqua" w:hAnsi="Book Antiqua" w:cs="Book Antiqua"/>
          <w:i/>
          <w:iCs/>
          <w:color w:val="000000"/>
        </w:rPr>
        <w:t>Age</w:t>
      </w:r>
      <w:r w:rsidR="002A7B30" w:rsidRPr="009C4C21">
        <w:rPr>
          <w:rFonts w:ascii="Book Antiqua" w:eastAsia="Book Antiqua" w:hAnsi="Book Antiqua" w:cs="Book Antiqua"/>
          <w:color w:val="000000"/>
        </w:rPr>
        <w:t xml:space="preserve">I </w:t>
      </w:r>
      <w:r w:rsidRPr="009C4C21">
        <w:rPr>
          <w:rFonts w:ascii="Book Antiqua" w:eastAsia="Book Antiqua" w:hAnsi="Book Antiqua" w:cs="Book Antiqua"/>
          <w:color w:val="000000"/>
        </w:rPr>
        <w:t>restriction sites. BGC823 cells were seeded at 2 × 10</w:t>
      </w:r>
      <w:r w:rsidRPr="009C4C21">
        <w:rPr>
          <w:rFonts w:ascii="Book Antiqua" w:eastAsia="Book Antiqua" w:hAnsi="Book Antiqua" w:cs="Book Antiqua"/>
          <w:color w:val="000000"/>
          <w:szCs w:val="30"/>
          <w:vertAlign w:val="superscript"/>
        </w:rPr>
        <w:t>4</w:t>
      </w:r>
      <w:r w:rsidRPr="009C4C21">
        <w:rPr>
          <w:rFonts w:ascii="Book Antiqua" w:eastAsia="Book Antiqua" w:hAnsi="Book Antiqua" w:cs="Book Antiqua"/>
          <w:color w:val="000000"/>
        </w:rPr>
        <w:t xml:space="preserve"> cells per well in 6-well plates and cultured overnight. The cells were then transfected with the </w:t>
      </w:r>
      <w:r w:rsidR="00C10EFB">
        <w:rPr>
          <w:rFonts w:ascii="Book Antiqua" w:eastAsia="Book Antiqua" w:hAnsi="Book Antiqua" w:cs="Book Antiqua"/>
          <w:color w:val="000000"/>
        </w:rPr>
        <w:t>above</w:t>
      </w:r>
      <w:r w:rsidR="00C10EFB"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plasmids </w:t>
      </w:r>
      <w:r w:rsidR="00C10EFB">
        <w:rPr>
          <w:rFonts w:ascii="Book Antiqua" w:eastAsia="Book Antiqua" w:hAnsi="Book Antiqua" w:cs="Book Antiqua"/>
          <w:color w:val="000000"/>
        </w:rPr>
        <w:t>using</w:t>
      </w:r>
      <w:r w:rsidR="00C10EFB" w:rsidRPr="009C4C21">
        <w:rPr>
          <w:rFonts w:ascii="Book Antiqua" w:eastAsia="Book Antiqua" w:hAnsi="Book Antiqua" w:cs="Book Antiqua"/>
          <w:color w:val="000000"/>
        </w:rPr>
        <w:t xml:space="preserve"> </w:t>
      </w:r>
      <w:r w:rsidR="00C10EFB">
        <w:rPr>
          <w:rFonts w:ascii="Book Antiqua" w:eastAsia="Book Antiqua" w:hAnsi="Book Antiqua" w:cs="Book Antiqua"/>
          <w:color w:val="000000"/>
        </w:rPr>
        <w:t>L</w:t>
      </w:r>
      <w:r w:rsidRPr="009C4C21">
        <w:rPr>
          <w:rFonts w:ascii="Book Antiqua" w:eastAsia="Book Antiqua" w:hAnsi="Book Antiqua" w:cs="Book Antiqua"/>
          <w:color w:val="000000"/>
        </w:rPr>
        <w:t xml:space="preserve">ipofectamine 3000 (Invitrogen, </w:t>
      </w:r>
      <w:r w:rsidR="00F176C8">
        <w:rPr>
          <w:rFonts w:ascii="Book Antiqua" w:eastAsia="Book Antiqua" w:hAnsi="Book Antiqua" w:cs="Book Antiqua"/>
          <w:color w:val="000000"/>
        </w:rPr>
        <w:t xml:space="preserve">Waltham, MA, </w:t>
      </w:r>
      <w:r w:rsidR="001C7B43" w:rsidRPr="009C4C21">
        <w:rPr>
          <w:rFonts w:ascii="Book Antiqua" w:eastAsia="Book Antiqua" w:hAnsi="Book Antiqua" w:cs="Book Antiqua"/>
          <w:color w:val="000000"/>
        </w:rPr>
        <w:t>United States</w:t>
      </w:r>
      <w:r w:rsidRPr="009C4C21">
        <w:rPr>
          <w:rFonts w:ascii="Book Antiqua" w:eastAsia="Book Antiqua" w:hAnsi="Book Antiqua" w:cs="Book Antiqua"/>
          <w:color w:val="000000"/>
        </w:rPr>
        <w:t>) according to the manufacturer’s instructions.</w:t>
      </w:r>
    </w:p>
    <w:p w14:paraId="7B50B960" w14:textId="77777777" w:rsidR="00D728B1" w:rsidRPr="009C4C21" w:rsidRDefault="00D728B1">
      <w:pPr>
        <w:spacing w:line="360" w:lineRule="auto"/>
        <w:jc w:val="both"/>
        <w:rPr>
          <w:rFonts w:ascii="Book Antiqua" w:eastAsia="Book Antiqua" w:hAnsi="Book Antiqua" w:cs="Book Antiqua"/>
          <w:b/>
          <w:bCs/>
          <w:i/>
          <w:iCs/>
          <w:color w:val="000000"/>
        </w:rPr>
      </w:pPr>
    </w:p>
    <w:p w14:paraId="40694862" w14:textId="12811FDB"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RNA extraction and quantitative reverse transcription polymerase chain reaction</w:t>
      </w:r>
    </w:p>
    <w:p w14:paraId="220AA60E" w14:textId="7AABD3EC"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Total RNA was extracted from cells and homogenized tissues using the MolPure</w:t>
      </w:r>
      <w:r w:rsidRPr="009C4C21">
        <w:rPr>
          <w:rFonts w:ascii="Book Antiqua" w:eastAsia="Book Antiqua" w:hAnsi="Book Antiqua" w:cs="Book Antiqua"/>
          <w:color w:val="000000"/>
          <w:szCs w:val="30"/>
          <w:vertAlign w:val="superscript"/>
        </w:rPr>
        <w:t xml:space="preserve">® </w:t>
      </w:r>
      <w:r w:rsidRPr="009C4C21">
        <w:rPr>
          <w:rFonts w:ascii="Book Antiqua" w:eastAsia="Book Antiqua" w:hAnsi="Book Antiqua" w:cs="Book Antiqua"/>
          <w:color w:val="000000"/>
        </w:rPr>
        <w:t>Cell/Tissue Total RNA Kit (Yeasen Biotechnology, Shanghai, China). cDNA was synthesized using the Hifair</w:t>
      </w:r>
      <w:r w:rsidRPr="009C4C21">
        <w:rPr>
          <w:rFonts w:ascii="Book Antiqua" w:eastAsia="Book Antiqua" w:hAnsi="Book Antiqua" w:cs="Book Antiqua"/>
          <w:color w:val="000000"/>
          <w:szCs w:val="30"/>
          <w:vertAlign w:val="superscript"/>
        </w:rPr>
        <w:t>®</w:t>
      </w:r>
      <w:r w:rsidRPr="009C4C21">
        <w:rPr>
          <w:rFonts w:ascii="Book Antiqua" w:eastAsia="Book Antiqua" w:hAnsi="Book Antiqua" w:cs="Book Antiqua"/>
          <w:color w:val="000000"/>
        </w:rPr>
        <w:t xml:space="preserve"> II 1</w:t>
      </w:r>
      <w:r w:rsidRPr="009C4C21">
        <w:rPr>
          <w:rFonts w:ascii="Book Antiqua" w:eastAsia="Book Antiqua" w:hAnsi="Book Antiqua" w:cs="Book Antiqua"/>
          <w:color w:val="000000"/>
          <w:szCs w:val="30"/>
          <w:vertAlign w:val="superscript"/>
        </w:rPr>
        <w:t>st</w:t>
      </w:r>
      <w:r w:rsidRPr="009C4C21">
        <w:rPr>
          <w:rFonts w:ascii="Book Antiqua" w:eastAsia="Book Antiqua" w:hAnsi="Book Antiqua" w:cs="Book Antiqua"/>
          <w:color w:val="000000"/>
        </w:rPr>
        <w:t xml:space="preserve"> Strand cDNA Synthesis Kit (gDNA digester plus</w:t>
      </w:r>
      <w:r w:rsidR="00F176C8">
        <w:rPr>
          <w:rFonts w:ascii="Book Antiqua" w:eastAsia="Book Antiqua" w:hAnsi="Book Antiqua" w:cs="Book Antiqua"/>
          <w:color w:val="000000"/>
        </w:rPr>
        <w:t>;</w:t>
      </w:r>
      <w:r w:rsidRPr="009C4C21">
        <w:rPr>
          <w:rFonts w:ascii="Book Antiqua" w:eastAsia="Book Antiqua" w:hAnsi="Book Antiqua" w:cs="Book Antiqua"/>
          <w:color w:val="000000"/>
        </w:rPr>
        <w:t xml:space="preserve"> Yeasen Biotechnology). Real-time PCR was conducted using Hieff</w:t>
      </w:r>
      <w:r w:rsidRPr="009C4C21">
        <w:rPr>
          <w:rFonts w:ascii="Book Antiqua" w:eastAsia="Book Antiqua" w:hAnsi="Book Antiqua" w:cs="Book Antiqua"/>
          <w:color w:val="000000"/>
          <w:szCs w:val="30"/>
          <w:vertAlign w:val="superscript"/>
        </w:rPr>
        <w:t>®</w:t>
      </w:r>
      <w:r w:rsidRPr="009C4C21">
        <w:rPr>
          <w:rFonts w:ascii="Book Antiqua" w:eastAsia="Book Antiqua" w:hAnsi="Book Antiqua" w:cs="Book Antiqua"/>
          <w:color w:val="000000"/>
        </w:rPr>
        <w:t xml:space="preserve"> qPCR SYBR</w:t>
      </w:r>
      <w:r w:rsidRPr="009C4C21">
        <w:rPr>
          <w:rFonts w:ascii="Book Antiqua" w:eastAsia="Book Antiqua" w:hAnsi="Book Antiqua" w:cs="Book Antiqua"/>
          <w:color w:val="000000"/>
          <w:szCs w:val="30"/>
          <w:vertAlign w:val="superscript"/>
        </w:rPr>
        <w:t>®</w:t>
      </w:r>
      <w:r w:rsidRPr="009C4C21">
        <w:rPr>
          <w:rFonts w:ascii="Book Antiqua" w:eastAsia="Book Antiqua" w:hAnsi="Book Antiqua" w:cs="Book Antiqua"/>
          <w:color w:val="000000"/>
          <w:szCs w:val="21"/>
        </w:rPr>
        <w:t xml:space="preserve"> </w:t>
      </w:r>
      <w:r w:rsidRPr="009C4C21">
        <w:rPr>
          <w:rFonts w:ascii="Book Antiqua" w:eastAsia="Book Antiqua" w:hAnsi="Book Antiqua" w:cs="Book Antiqua"/>
          <w:color w:val="000000"/>
        </w:rPr>
        <w:t>Green Master Mix (Yeasen Biotechnology) with the primers listed in Table 1 according to the manufacturer’s instructions.</w:t>
      </w:r>
    </w:p>
    <w:p w14:paraId="785FF55A" w14:textId="77777777" w:rsidR="00D728B1" w:rsidRPr="009C4C21" w:rsidRDefault="00D728B1">
      <w:pPr>
        <w:spacing w:line="360" w:lineRule="auto"/>
        <w:jc w:val="both"/>
        <w:rPr>
          <w:rFonts w:ascii="Book Antiqua" w:eastAsia="Book Antiqua" w:hAnsi="Book Antiqua" w:cs="Book Antiqua"/>
          <w:b/>
          <w:bCs/>
          <w:i/>
          <w:iCs/>
          <w:color w:val="000000"/>
        </w:rPr>
      </w:pPr>
    </w:p>
    <w:p w14:paraId="0D912162" w14:textId="62E4A3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Cell proliferation assay</w:t>
      </w:r>
    </w:p>
    <w:p w14:paraId="13BA6C38" w14:textId="16458D86"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Cells were seeded into 96-well plates with 2000 cells/well in 100</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μL medium and cultured at 37</w:t>
      </w:r>
      <w:r w:rsidR="00F176C8">
        <w:rPr>
          <w:rFonts w:ascii="Book Antiqua" w:eastAsia="Book Antiqua" w:hAnsi="Book Antiqua" w:cs="Book Antiqua"/>
          <w:color w:val="000000"/>
        </w:rPr>
        <w:t xml:space="preserve"> </w:t>
      </w:r>
      <w:r w:rsidRPr="009C4C21">
        <w:rPr>
          <w:rFonts w:ascii="Book Antiqua" w:eastAsia="Book Antiqua" w:hAnsi="Book Antiqua" w:cs="Book Antiqua"/>
          <w:color w:val="000000"/>
        </w:rPr>
        <w:t>°С. At the indicated time points, cell viability was detected using the CCK-8 kit (Yeasen Biotechnology). Specifically, 10 μL of CCK-8 solution was added to each well, followed by incubation for 2 h at 37</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°С. Absorbance was then measured at 450 nm using a Microplate Reader Model-1680 (Bio-Rad, </w:t>
      </w:r>
      <w:r w:rsidR="00F176C8">
        <w:rPr>
          <w:rFonts w:ascii="Book Antiqua" w:eastAsia="Book Antiqua" w:hAnsi="Book Antiqua" w:cs="Book Antiqua"/>
          <w:color w:val="000000"/>
        </w:rPr>
        <w:t xml:space="preserve">Hercules, CA, </w:t>
      </w:r>
      <w:r w:rsidR="001C7B43" w:rsidRPr="009C4C21">
        <w:rPr>
          <w:rFonts w:ascii="Book Antiqua" w:eastAsia="Book Antiqua" w:hAnsi="Book Antiqua" w:cs="Book Antiqua"/>
          <w:color w:val="000000"/>
        </w:rPr>
        <w:t>United States</w:t>
      </w:r>
      <w:r w:rsidRPr="009C4C21">
        <w:rPr>
          <w:rFonts w:ascii="Book Antiqua" w:eastAsia="Book Antiqua" w:hAnsi="Book Antiqua" w:cs="Book Antiqua"/>
          <w:color w:val="000000"/>
        </w:rPr>
        <w:t xml:space="preserve">). Six </w:t>
      </w:r>
      <w:r w:rsidR="00B42EF3">
        <w:rPr>
          <w:rFonts w:ascii="Book Antiqua" w:eastAsia="Book Antiqua" w:hAnsi="Book Antiqua" w:cs="Book Antiqua"/>
          <w:color w:val="000000"/>
        </w:rPr>
        <w:t>replicates</w:t>
      </w:r>
      <w:r w:rsidR="00B42EF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were set for each treatment.</w:t>
      </w:r>
    </w:p>
    <w:p w14:paraId="0785DCDB" w14:textId="77777777" w:rsidR="00D728B1" w:rsidRPr="009C4C21" w:rsidRDefault="00D728B1">
      <w:pPr>
        <w:spacing w:line="360" w:lineRule="auto"/>
        <w:jc w:val="both"/>
        <w:rPr>
          <w:rFonts w:ascii="Book Antiqua" w:eastAsia="Book Antiqua" w:hAnsi="Book Antiqua" w:cs="Book Antiqua"/>
          <w:b/>
          <w:bCs/>
          <w:i/>
          <w:iCs/>
          <w:color w:val="000000"/>
        </w:rPr>
      </w:pPr>
    </w:p>
    <w:p w14:paraId="71D65BFC" w14:textId="145477D5"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Cell apoptosis assay</w:t>
      </w:r>
    </w:p>
    <w:p w14:paraId="4793C2DD" w14:textId="78CB01F6"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Cells were seeded in 6-well plates and cultured until 70% confluence, followed by the addition of curcumin (40 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or DMSO and incubation for an additional 6 h. The cells were then collected and stained with fluorescein isothiocyanate-conjugated anti-annexin V and propidium iodide (Yeasen Biotechnology) for 15 min, followed by washing with phosphate-buffered saline. Flow cytometric analysis was then performed. </w:t>
      </w:r>
      <w:r w:rsidR="00FF7973">
        <w:rPr>
          <w:rFonts w:ascii="Book Antiqua" w:eastAsia="Book Antiqua" w:hAnsi="Book Antiqua" w:cs="Book Antiqua"/>
          <w:color w:val="000000"/>
        </w:rPr>
        <w:t>Each sample was tested in t</w:t>
      </w:r>
      <w:r w:rsidRPr="009C4C21">
        <w:rPr>
          <w:rFonts w:ascii="Book Antiqua" w:eastAsia="Book Antiqua" w:hAnsi="Book Antiqua" w:cs="Book Antiqua"/>
          <w:color w:val="000000"/>
        </w:rPr>
        <w:t>riplicat</w:t>
      </w:r>
      <w:r w:rsidR="00FF7973">
        <w:rPr>
          <w:rFonts w:ascii="Book Antiqua" w:eastAsia="Book Antiqua" w:hAnsi="Book Antiqua" w:cs="Book Antiqua"/>
          <w:color w:val="000000"/>
        </w:rPr>
        <w:t>e</w:t>
      </w:r>
      <w:r w:rsidRPr="009C4C21">
        <w:rPr>
          <w:rFonts w:ascii="Book Antiqua" w:eastAsia="Book Antiqua" w:hAnsi="Book Antiqua" w:cs="Book Antiqua"/>
          <w:color w:val="000000"/>
        </w:rPr>
        <w:t>.</w:t>
      </w:r>
    </w:p>
    <w:p w14:paraId="1C28D474" w14:textId="77777777" w:rsidR="00D728B1" w:rsidRPr="009C4C21" w:rsidRDefault="00D728B1">
      <w:pPr>
        <w:spacing w:line="360" w:lineRule="auto"/>
        <w:jc w:val="both"/>
        <w:rPr>
          <w:rFonts w:ascii="Book Antiqua" w:eastAsia="Book Antiqua" w:hAnsi="Book Antiqua" w:cs="Book Antiqua"/>
          <w:b/>
          <w:bCs/>
          <w:i/>
          <w:iCs/>
          <w:color w:val="000000"/>
        </w:rPr>
      </w:pPr>
    </w:p>
    <w:p w14:paraId="0AA77CEB" w14:textId="3576730F"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Wound healing assay</w:t>
      </w:r>
    </w:p>
    <w:p w14:paraId="566FF4AC" w14:textId="1F1729DD"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Cells were seeded at 5 × 10</w:t>
      </w:r>
      <w:r w:rsidRPr="009C4C21">
        <w:rPr>
          <w:rFonts w:ascii="Book Antiqua" w:eastAsia="Book Antiqua" w:hAnsi="Book Antiqua" w:cs="Book Antiqua"/>
          <w:color w:val="000000"/>
          <w:szCs w:val="30"/>
          <w:vertAlign w:val="superscript"/>
        </w:rPr>
        <w:t>4</w:t>
      </w:r>
      <w:r w:rsidRPr="009C4C21">
        <w:rPr>
          <w:rFonts w:ascii="Book Antiqua" w:eastAsia="Book Antiqua" w:hAnsi="Book Antiqua" w:cs="Book Antiqua"/>
          <w:color w:val="000000"/>
        </w:rPr>
        <w:t xml:space="preserve"> cells/well into 6-well plates and cultured in standard medium with 1% FBS overnight. Wounds were created by scratching the cell monolayer using a sterile pipette tip, and the images were taken for the 0 h time point. The cells were cultured, and images were taken at 6, 12, 24, and 36 h. Three </w:t>
      </w:r>
      <w:r w:rsidR="00C5176C">
        <w:rPr>
          <w:rFonts w:ascii="Book Antiqua" w:eastAsia="Book Antiqua" w:hAnsi="Book Antiqua" w:cs="Book Antiqua"/>
          <w:color w:val="000000"/>
        </w:rPr>
        <w:t>replicates</w:t>
      </w:r>
      <w:r w:rsidR="00C5176C"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were imaged for each plate.</w:t>
      </w:r>
    </w:p>
    <w:p w14:paraId="5943EE40" w14:textId="77777777" w:rsidR="00D728B1" w:rsidRPr="009C4C21" w:rsidRDefault="00D728B1">
      <w:pPr>
        <w:spacing w:line="360" w:lineRule="auto"/>
        <w:jc w:val="both"/>
        <w:rPr>
          <w:rFonts w:ascii="Book Antiqua" w:eastAsia="Book Antiqua" w:hAnsi="Book Antiqua" w:cs="Book Antiqua"/>
          <w:b/>
          <w:bCs/>
          <w:i/>
          <w:iCs/>
          <w:color w:val="000000"/>
        </w:rPr>
      </w:pPr>
    </w:p>
    <w:p w14:paraId="200A5842" w14:textId="656B1CFC"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Transwell migration and invasion assays</w:t>
      </w:r>
    </w:p>
    <w:p w14:paraId="47E8936C" w14:textId="5517459F"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Cells were seeded at 3 × 10</w:t>
      </w:r>
      <w:r w:rsidRPr="009C4C21">
        <w:rPr>
          <w:rFonts w:ascii="Book Antiqua" w:eastAsia="Book Antiqua" w:hAnsi="Book Antiqua" w:cs="Book Antiqua"/>
          <w:color w:val="000000"/>
          <w:szCs w:val="30"/>
          <w:vertAlign w:val="superscript"/>
        </w:rPr>
        <w:t>5</w:t>
      </w:r>
      <w:r w:rsidRPr="009C4C21">
        <w:rPr>
          <w:rFonts w:ascii="Book Antiqua" w:eastAsia="Book Antiqua" w:hAnsi="Book Antiqua" w:cs="Book Antiqua"/>
          <w:color w:val="000000"/>
        </w:rPr>
        <w:t xml:space="preserve"> cells/well into the upper wells of Transwell plates, and 600-μL culturing medium with 15% FBS was added into the lower wells. The system was then cultured in a cell incubator for 24 h. The filters were fixed with 4% paraformaldehyde. The cells on the upper side of the filters were wiped with cotton swabs, and cells that migrated to the lower side of the filters were stained with crystal violet and photographed for analysis. For the Transwell invasion assay, cells were seeded at 20000 cells/well into the upper wells of 24-well plates that were coated with Matrigel, and culture medium with 20% FBS was added to the lower wells. Cells that invaded through the Matrigel were photographed after 48 h.</w:t>
      </w:r>
    </w:p>
    <w:p w14:paraId="16EC44D0" w14:textId="77777777" w:rsidR="00D728B1" w:rsidRPr="009C4C21" w:rsidRDefault="00D728B1">
      <w:pPr>
        <w:spacing w:line="360" w:lineRule="auto"/>
        <w:jc w:val="both"/>
        <w:rPr>
          <w:rFonts w:ascii="Book Antiqua" w:eastAsia="Book Antiqua" w:hAnsi="Book Antiqua" w:cs="Book Antiqua"/>
          <w:b/>
          <w:bCs/>
          <w:i/>
          <w:iCs/>
          <w:color w:val="000000"/>
        </w:rPr>
      </w:pPr>
    </w:p>
    <w:p w14:paraId="406C7FF5" w14:textId="1E17ED03"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Protein extraction and immunoblotting</w:t>
      </w:r>
    </w:p>
    <w:p w14:paraId="1D75BF29" w14:textId="62E715E3"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BGC-823 and MGC-803 cells were seeded in 6-well plates at 3 × 10</w:t>
      </w:r>
      <w:r w:rsidRPr="009C4C21">
        <w:rPr>
          <w:rFonts w:ascii="Book Antiqua" w:eastAsia="Book Antiqua" w:hAnsi="Book Antiqua" w:cs="Book Antiqua"/>
          <w:color w:val="000000"/>
          <w:szCs w:val="30"/>
          <w:vertAlign w:val="superscript"/>
        </w:rPr>
        <w:t>5</w:t>
      </w:r>
      <w:r w:rsidRPr="009C4C21">
        <w:rPr>
          <w:rFonts w:ascii="Book Antiqua" w:eastAsia="Book Antiqua" w:hAnsi="Book Antiqua" w:cs="Book Antiqua"/>
          <w:color w:val="000000"/>
        </w:rPr>
        <w:t xml:space="preserve"> cells/well. After 24 h, the cells were treated with curcumin (40 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for 6 h and lysed with RIPA buffer </w:t>
      </w:r>
      <w:r w:rsidRPr="009C4C21">
        <w:rPr>
          <w:rFonts w:ascii="Book Antiqua" w:eastAsia="Book Antiqua" w:hAnsi="Book Antiqua" w:cs="Book Antiqua"/>
          <w:color w:val="000000"/>
        </w:rPr>
        <w:lastRenderedPageBreak/>
        <w:t xml:space="preserve">(Solarbio, China). Protein concentration was measured using the BCA Protein Assay Kit (Solarbio, China) according to the manufacturer’s instructions. Proteins were separated using SDS-PAGE and transferred onto polyvinylidene fluoride membranes (GE Healthcare, </w:t>
      </w:r>
      <w:r w:rsidR="00817030">
        <w:rPr>
          <w:rFonts w:ascii="Book Antiqua" w:eastAsia="Book Antiqua" w:hAnsi="Book Antiqua" w:cs="Book Antiqua"/>
          <w:color w:val="000000"/>
        </w:rPr>
        <w:t xml:space="preserve">Chicago, IL, </w:t>
      </w:r>
      <w:r w:rsidR="001C7B43" w:rsidRPr="009C4C21">
        <w:rPr>
          <w:rFonts w:ascii="Book Antiqua" w:eastAsia="Book Antiqua" w:hAnsi="Book Antiqua" w:cs="Book Antiqua"/>
          <w:color w:val="000000"/>
        </w:rPr>
        <w:t>United States</w:t>
      </w:r>
      <w:r w:rsidRPr="009C4C21">
        <w:rPr>
          <w:rFonts w:ascii="Book Antiqua" w:eastAsia="Book Antiqua" w:hAnsi="Book Antiqua" w:cs="Book Antiqua"/>
          <w:color w:val="000000"/>
        </w:rPr>
        <w:t>). The blots were incubated with the primary antibodies overnight at 4</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°С and subsequently with secondary antibodies at room temperature for 1 h</w:t>
      </w:r>
      <w:r w:rsidR="00397268">
        <w:rPr>
          <w:rFonts w:ascii="Book Antiqua" w:eastAsia="Book Antiqua" w:hAnsi="Book Antiqua" w:cs="Book Antiqua"/>
          <w:color w:val="000000"/>
        </w:rPr>
        <w:t>.</w:t>
      </w:r>
      <w:r w:rsidRPr="009C4C21">
        <w:rPr>
          <w:rFonts w:ascii="Book Antiqua" w:eastAsia="Book Antiqua" w:hAnsi="Book Antiqua" w:cs="Book Antiqua"/>
          <w:color w:val="000000"/>
        </w:rPr>
        <w:t xml:space="preserve"> The proteins were visualized using Super ECL Detection Reagent (Yeasen Biotechnology). An antibody against GAPDH was used as the loading control.</w:t>
      </w:r>
    </w:p>
    <w:p w14:paraId="29B07712" w14:textId="77777777" w:rsidR="00D728B1" w:rsidRPr="009C4C21" w:rsidRDefault="00D728B1">
      <w:pPr>
        <w:spacing w:line="360" w:lineRule="auto"/>
        <w:jc w:val="both"/>
        <w:rPr>
          <w:rFonts w:ascii="Book Antiqua" w:eastAsia="Book Antiqua" w:hAnsi="Book Antiqua" w:cs="Book Antiqua"/>
          <w:b/>
          <w:bCs/>
          <w:i/>
          <w:iCs/>
          <w:color w:val="000000"/>
        </w:rPr>
      </w:pPr>
    </w:p>
    <w:p w14:paraId="4933439D" w14:textId="0118A64D"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Statistical analysis</w:t>
      </w:r>
    </w:p>
    <w:p w14:paraId="4EB5AEF5" w14:textId="6000429B"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All statistical analyses were performed using GraphPad Prism (version 9.0; La Jolla, </w:t>
      </w:r>
      <w:r w:rsidR="00817030">
        <w:rPr>
          <w:rFonts w:ascii="Book Antiqua" w:eastAsia="Book Antiqua" w:hAnsi="Book Antiqua" w:cs="Book Antiqua"/>
          <w:color w:val="000000"/>
        </w:rPr>
        <w:t xml:space="preserve">CA, </w:t>
      </w:r>
      <w:r w:rsidR="001C7B43" w:rsidRPr="009C4C21">
        <w:rPr>
          <w:rFonts w:ascii="Book Antiqua" w:eastAsia="Book Antiqua" w:hAnsi="Book Antiqua" w:cs="Book Antiqua"/>
          <w:color w:val="000000"/>
        </w:rPr>
        <w:t>United States</w:t>
      </w:r>
      <w:r w:rsidRPr="009C4C21">
        <w:rPr>
          <w:rFonts w:ascii="Book Antiqua" w:eastAsia="Book Antiqua" w:hAnsi="Book Antiqua" w:cs="Book Antiqua"/>
          <w:color w:val="000000"/>
        </w:rPr>
        <w:t xml:space="preserve">) and R (version 4.2.1). The data are presented as mean ± </w:t>
      </w:r>
      <w:r w:rsidR="00817030">
        <w:rPr>
          <w:rFonts w:ascii="Book Antiqua" w:eastAsia="Book Antiqua" w:hAnsi="Book Antiqua" w:cs="Book Antiqua"/>
          <w:color w:val="000000"/>
        </w:rPr>
        <w:t>standard deviation</w:t>
      </w:r>
      <w:r w:rsidRPr="009C4C21">
        <w:rPr>
          <w:rFonts w:ascii="Book Antiqua" w:eastAsia="Book Antiqua" w:hAnsi="Book Antiqua" w:cs="Book Antiqua"/>
          <w:color w:val="000000"/>
        </w:rPr>
        <w:t>.</w:t>
      </w:r>
    </w:p>
    <w:p w14:paraId="2B05CD70" w14:textId="6E4E105F" w:rsidR="00A77B3E" w:rsidRPr="009C4C21" w:rsidRDefault="009A1F6D">
      <w:pPr>
        <w:spacing w:line="360" w:lineRule="auto"/>
        <w:ind w:firstLine="420"/>
        <w:jc w:val="both"/>
        <w:rPr>
          <w:rFonts w:ascii="Book Antiqua" w:hAnsi="Book Antiqua"/>
        </w:rPr>
      </w:pPr>
      <w:r w:rsidRPr="009C4C21">
        <w:rPr>
          <w:rFonts w:ascii="Book Antiqua" w:eastAsia="Book Antiqua" w:hAnsi="Book Antiqua" w:cs="Book Antiqua"/>
          <w:color w:val="000000"/>
        </w:rPr>
        <w:t xml:space="preserve">Statistical analyses were performed using a two-tailed unpaired Student’s </w:t>
      </w:r>
      <w:r w:rsidRPr="009C4C21">
        <w:rPr>
          <w:rFonts w:ascii="Book Antiqua" w:eastAsia="Book Antiqua" w:hAnsi="Book Antiqua" w:cs="Book Antiqua"/>
          <w:i/>
          <w:iCs/>
          <w:color w:val="000000"/>
        </w:rPr>
        <w:t>t</w:t>
      </w:r>
      <w:r w:rsidRPr="009C4C21">
        <w:rPr>
          <w:rFonts w:ascii="Book Antiqua" w:eastAsia="Book Antiqua" w:hAnsi="Book Antiqua" w:cs="Book Antiqua"/>
          <w:color w:val="000000"/>
        </w:rPr>
        <w:t xml:space="preserve">-test or one-way analysis of variance. Statistical differences are presented as </w:t>
      </w:r>
      <w:r w:rsidR="001C7B43" w:rsidRPr="009C4C21">
        <w:rPr>
          <w:rFonts w:ascii="Book Antiqua" w:eastAsia="Book Antiqua" w:hAnsi="Book Antiqua" w:cs="Book Antiqua"/>
          <w:i/>
          <w:iCs/>
          <w:color w:val="000000"/>
        </w:rPr>
        <w:t>P</w:t>
      </w:r>
      <w:r w:rsidRPr="009C4C21">
        <w:rPr>
          <w:rFonts w:ascii="Book Antiqua" w:eastAsia="Book Antiqua" w:hAnsi="Book Antiqua" w:cs="Book Antiqua"/>
          <w:i/>
          <w:iCs/>
          <w:color w:val="000000"/>
        </w:rPr>
        <w:t xml:space="preserve"> </w:t>
      </w:r>
      <w:r w:rsidRPr="009C4C21">
        <w:rPr>
          <w:rFonts w:ascii="Book Antiqua" w:eastAsia="Book Antiqua" w:hAnsi="Book Antiqua" w:cs="Book Antiqua"/>
          <w:color w:val="000000"/>
        </w:rPr>
        <w:t xml:space="preserve">&lt; 0.05, </w:t>
      </w:r>
      <w:r w:rsidR="001C7B43" w:rsidRPr="009C4C21">
        <w:rPr>
          <w:rFonts w:ascii="Book Antiqua" w:eastAsia="Book Antiqua" w:hAnsi="Book Antiqua" w:cs="Book Antiqua"/>
          <w:i/>
          <w:iCs/>
          <w:color w:val="000000"/>
        </w:rPr>
        <w:t>P</w:t>
      </w:r>
      <w:r w:rsidRPr="009C4C21">
        <w:rPr>
          <w:rFonts w:ascii="Book Antiqua" w:eastAsia="Book Antiqua" w:hAnsi="Book Antiqua" w:cs="Book Antiqua"/>
          <w:i/>
          <w:iCs/>
          <w:color w:val="000000"/>
        </w:rPr>
        <w:t xml:space="preserve"> </w:t>
      </w:r>
      <w:r w:rsidRPr="009C4C21">
        <w:rPr>
          <w:rFonts w:ascii="Book Antiqua" w:eastAsia="Book Antiqua" w:hAnsi="Book Antiqua" w:cs="Book Antiqua"/>
          <w:color w:val="000000"/>
        </w:rPr>
        <w:t xml:space="preserve">&lt; 0.01, and </w:t>
      </w:r>
      <w:r w:rsidR="001C7B43" w:rsidRPr="009C4C21">
        <w:rPr>
          <w:rFonts w:ascii="Book Antiqua" w:eastAsia="Book Antiqua" w:hAnsi="Book Antiqua" w:cs="Book Antiqua"/>
          <w:i/>
          <w:iCs/>
          <w:color w:val="000000"/>
        </w:rPr>
        <w:t>P</w:t>
      </w:r>
      <w:r w:rsidRPr="009C4C21">
        <w:rPr>
          <w:rFonts w:ascii="Book Antiqua" w:eastAsia="Book Antiqua" w:hAnsi="Book Antiqua" w:cs="Book Antiqua"/>
          <w:i/>
          <w:iCs/>
          <w:color w:val="000000"/>
        </w:rPr>
        <w:t xml:space="preserve"> </w:t>
      </w:r>
      <w:r w:rsidRPr="009C4C21">
        <w:rPr>
          <w:rFonts w:ascii="Book Antiqua" w:eastAsia="Book Antiqua" w:hAnsi="Book Antiqua" w:cs="Book Antiqua"/>
          <w:color w:val="000000"/>
        </w:rPr>
        <w:t xml:space="preserve">&lt; 0.001. </w:t>
      </w:r>
      <w:r w:rsidRPr="009C4C21">
        <w:rPr>
          <w:rFonts w:ascii="Book Antiqua" w:eastAsia="Book Antiqua" w:hAnsi="Book Antiqua" w:cs="Book Antiqua"/>
          <w:i/>
          <w:iCs/>
          <w:color w:val="000000"/>
        </w:rPr>
        <w:t>P</w:t>
      </w:r>
      <w:r w:rsidRPr="009C4C21">
        <w:rPr>
          <w:rFonts w:ascii="Book Antiqua" w:eastAsia="Book Antiqua" w:hAnsi="Book Antiqua" w:cs="Book Antiqua"/>
          <w:color w:val="000000"/>
        </w:rPr>
        <w:t>-values &lt; 0.05 were used to denote statistical significance.</w:t>
      </w:r>
    </w:p>
    <w:p w14:paraId="07627A69" w14:textId="77777777" w:rsidR="00D728B1" w:rsidRPr="009C4C21" w:rsidRDefault="00D728B1">
      <w:pPr>
        <w:spacing w:line="360" w:lineRule="auto"/>
        <w:jc w:val="both"/>
        <w:rPr>
          <w:rFonts w:ascii="Book Antiqua" w:hAnsi="Book Antiqua"/>
        </w:rPr>
      </w:pPr>
    </w:p>
    <w:p w14:paraId="61569583" w14:textId="71D4AFA0"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aps/>
          <w:color w:val="000000"/>
          <w:u w:val="single"/>
        </w:rPr>
        <w:t>RESULTS</w:t>
      </w:r>
    </w:p>
    <w:p w14:paraId="4E4D00EE" w14:textId="2374FE10" w:rsidR="00A77B3E" w:rsidRPr="00D040F1" w:rsidRDefault="009A1F6D">
      <w:pPr>
        <w:spacing w:line="360" w:lineRule="auto"/>
        <w:jc w:val="both"/>
        <w:rPr>
          <w:rFonts w:ascii="Book Antiqua" w:eastAsia="Book Antiqua" w:hAnsi="Book Antiqua" w:cs="Book Antiqua"/>
          <w:b/>
          <w:bCs/>
          <w:i/>
          <w:iCs/>
          <w:color w:val="000000"/>
        </w:rPr>
      </w:pPr>
      <w:r w:rsidRPr="009C4C21">
        <w:rPr>
          <w:rFonts w:ascii="Book Antiqua" w:eastAsia="Book Antiqua" w:hAnsi="Book Antiqua" w:cs="Book Antiqua"/>
          <w:b/>
          <w:bCs/>
          <w:i/>
          <w:iCs/>
          <w:color w:val="000000"/>
        </w:rPr>
        <w:t xml:space="preserve">Curcumin treatment reduces </w:t>
      </w:r>
      <w:r w:rsidR="00F05C5F" w:rsidRPr="009C4C21">
        <w:rPr>
          <w:rFonts w:ascii="Book Antiqua" w:eastAsia="Book Antiqua" w:hAnsi="Book Antiqua" w:cs="Book Antiqua"/>
          <w:b/>
          <w:bCs/>
          <w:i/>
          <w:iCs/>
          <w:color w:val="000000"/>
        </w:rPr>
        <w:t>GC cell</w:t>
      </w:r>
      <w:r w:rsidR="00F05C5F">
        <w:rPr>
          <w:rFonts w:ascii="Book Antiqua" w:eastAsia="Book Antiqua" w:hAnsi="Book Antiqua" w:cs="Book Antiqua"/>
          <w:b/>
          <w:bCs/>
          <w:i/>
          <w:iCs/>
          <w:color w:val="000000"/>
        </w:rPr>
        <w:t xml:space="preserve"> </w:t>
      </w:r>
      <w:r w:rsidRPr="009C4C21">
        <w:rPr>
          <w:rFonts w:ascii="Book Antiqua" w:eastAsia="Book Antiqua" w:hAnsi="Book Antiqua" w:cs="Book Antiqua"/>
          <w:b/>
          <w:bCs/>
          <w:i/>
          <w:iCs/>
          <w:color w:val="000000"/>
        </w:rPr>
        <w:t xml:space="preserve">proliferation </w:t>
      </w:r>
    </w:p>
    <w:p w14:paraId="7B29965B" w14:textId="5A436787"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Initially, we determined the effects of curcumin on GC cell proliferation using CCK-8. BGC-823 and MGC-803 cells were treated with curcumin at concentrations of 10, 20, 40, 60, and 80 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for 24 and 48 h, respectively. Cell viability was dose-dependently reduced by curcumin treatment at various concentrations (Figure 1A and B), and we have chosen 40 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as the concentration for curcumin treatment experiments. The 40</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curcumin treatment decreased the proliferation of BGC-823 and MGC-803 cells by approximately 50% at 48 h compared </w:t>
      </w:r>
      <w:r w:rsidR="00952043">
        <w:rPr>
          <w:rFonts w:ascii="Book Antiqua" w:eastAsia="Book Antiqua" w:hAnsi="Book Antiqua" w:cs="Book Antiqua"/>
          <w:color w:val="000000"/>
        </w:rPr>
        <w:t>to</w:t>
      </w:r>
      <w:r w:rsidRPr="009C4C21">
        <w:rPr>
          <w:rFonts w:ascii="Book Antiqua" w:eastAsia="Book Antiqua" w:hAnsi="Book Antiqua" w:cs="Book Antiqua"/>
          <w:color w:val="000000"/>
        </w:rPr>
        <w:t xml:space="preserve"> untreated cells (Figure 1C).</w:t>
      </w:r>
    </w:p>
    <w:p w14:paraId="35C9663E" w14:textId="77777777" w:rsidR="00D728B1" w:rsidRPr="009C4C21" w:rsidRDefault="00D728B1">
      <w:pPr>
        <w:spacing w:line="360" w:lineRule="auto"/>
        <w:jc w:val="both"/>
        <w:rPr>
          <w:rFonts w:ascii="Book Antiqua" w:eastAsia="Book Antiqua" w:hAnsi="Book Antiqua" w:cs="Book Antiqua"/>
          <w:b/>
          <w:bCs/>
          <w:i/>
          <w:iCs/>
          <w:color w:val="000000"/>
        </w:rPr>
      </w:pPr>
    </w:p>
    <w:p w14:paraId="057A107B" w14:textId="5E8B7FF2"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 xml:space="preserve">Curcumin induces </w:t>
      </w:r>
      <w:r w:rsidR="00D81851" w:rsidRPr="009C4C21">
        <w:rPr>
          <w:rFonts w:ascii="Book Antiqua" w:eastAsia="Book Antiqua" w:hAnsi="Book Antiqua" w:cs="Book Antiqua"/>
          <w:b/>
          <w:bCs/>
          <w:i/>
          <w:iCs/>
          <w:color w:val="000000"/>
        </w:rPr>
        <w:t>GC cell</w:t>
      </w:r>
      <w:r w:rsidR="00D81851" w:rsidRPr="009C4C21" w:rsidDel="00D81851">
        <w:rPr>
          <w:rFonts w:ascii="Book Antiqua" w:eastAsia="Book Antiqua" w:hAnsi="Book Antiqua" w:cs="Book Antiqua"/>
          <w:b/>
          <w:bCs/>
          <w:i/>
          <w:iCs/>
          <w:color w:val="000000"/>
        </w:rPr>
        <w:t xml:space="preserve"> </w:t>
      </w:r>
      <w:r w:rsidRPr="009C4C21">
        <w:rPr>
          <w:rFonts w:ascii="Book Antiqua" w:eastAsia="Book Antiqua" w:hAnsi="Book Antiqua" w:cs="Book Antiqua"/>
          <w:b/>
          <w:bCs/>
          <w:i/>
          <w:iCs/>
          <w:color w:val="000000"/>
        </w:rPr>
        <w:t xml:space="preserve">apoptosis </w:t>
      </w:r>
    </w:p>
    <w:p w14:paraId="36D6F60E" w14:textId="11F24439"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To further explore the potential mechanisms through which curcumin inhibits GC cell proliferation, cell apoptosis analysis was performed on BGC-823 and MGC-803 cells. The treatment with 40</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curcumin for 24 h induced </w:t>
      </w:r>
      <w:r w:rsidR="00A66743">
        <w:rPr>
          <w:rFonts w:ascii="Book Antiqua" w:eastAsia="Book Antiqua" w:hAnsi="Book Antiqua" w:cs="Book Antiqua"/>
          <w:color w:val="000000"/>
        </w:rPr>
        <w:t xml:space="preserve">8.7-fold and 3.7-fold increased </w:t>
      </w:r>
      <w:r w:rsidRPr="009C4C21">
        <w:rPr>
          <w:rFonts w:ascii="Book Antiqua" w:eastAsia="Book Antiqua" w:hAnsi="Book Antiqua" w:cs="Book Antiqua"/>
          <w:color w:val="000000"/>
        </w:rPr>
        <w:lastRenderedPageBreak/>
        <w:t xml:space="preserve">apoptosis </w:t>
      </w:r>
      <w:r w:rsidR="00A66743">
        <w:rPr>
          <w:rFonts w:ascii="Book Antiqua" w:eastAsia="Book Antiqua" w:hAnsi="Book Antiqua" w:cs="Book Antiqua"/>
          <w:color w:val="000000"/>
        </w:rPr>
        <w:t>of</w:t>
      </w:r>
      <w:r w:rsidRPr="009C4C21">
        <w:rPr>
          <w:rFonts w:ascii="Book Antiqua" w:eastAsia="Book Antiqua" w:hAnsi="Book Antiqua" w:cs="Book Antiqua"/>
          <w:color w:val="000000"/>
        </w:rPr>
        <w:t xml:space="preserve"> BGC-823 cells and MGC-803 cells</w:t>
      </w:r>
      <w:r w:rsidR="00A66743">
        <w:rPr>
          <w:rFonts w:ascii="Book Antiqua" w:eastAsia="Book Antiqua" w:hAnsi="Book Antiqua" w:cs="Book Antiqua"/>
          <w:color w:val="000000"/>
        </w:rPr>
        <w:t>, respectively</w:t>
      </w:r>
      <w:r w:rsidRPr="009C4C21">
        <w:rPr>
          <w:rFonts w:ascii="Book Antiqua" w:eastAsia="Book Antiqua" w:hAnsi="Book Antiqua" w:cs="Book Antiqua"/>
          <w:color w:val="000000"/>
        </w:rPr>
        <w:t xml:space="preserve"> (Figure 1D). These results confirmed the aforementioned proliferation inhibition activity of curcumin.</w:t>
      </w:r>
    </w:p>
    <w:p w14:paraId="3E7487E9" w14:textId="77777777" w:rsidR="00D728B1" w:rsidRPr="009C4C21" w:rsidRDefault="00D728B1">
      <w:pPr>
        <w:spacing w:line="360" w:lineRule="auto"/>
        <w:jc w:val="both"/>
        <w:rPr>
          <w:rFonts w:ascii="Book Antiqua" w:eastAsia="Book Antiqua" w:hAnsi="Book Antiqua" w:cs="Book Antiqua"/>
          <w:b/>
          <w:bCs/>
          <w:i/>
          <w:iCs/>
          <w:color w:val="000000"/>
        </w:rPr>
      </w:pPr>
    </w:p>
    <w:p w14:paraId="6FAA59D7" w14:textId="33B7A81B" w:rsidR="00A77B3E" w:rsidRPr="00D040F1" w:rsidRDefault="009A1F6D">
      <w:pPr>
        <w:spacing w:line="360" w:lineRule="auto"/>
        <w:jc w:val="both"/>
        <w:rPr>
          <w:rFonts w:ascii="Book Antiqua" w:eastAsia="Book Antiqua" w:hAnsi="Book Antiqua" w:cs="Book Antiqua"/>
          <w:b/>
          <w:bCs/>
          <w:i/>
          <w:iCs/>
          <w:color w:val="000000"/>
        </w:rPr>
      </w:pPr>
      <w:r w:rsidRPr="009C4C21">
        <w:rPr>
          <w:rFonts w:ascii="Book Antiqua" w:eastAsia="Book Antiqua" w:hAnsi="Book Antiqua" w:cs="Book Antiqua"/>
          <w:b/>
          <w:bCs/>
          <w:i/>
          <w:iCs/>
          <w:color w:val="000000"/>
        </w:rPr>
        <w:t xml:space="preserve">Curcumin treatment decreases </w:t>
      </w:r>
      <w:r w:rsidR="005D68C4" w:rsidRPr="009C4C21">
        <w:rPr>
          <w:rFonts w:ascii="Book Antiqua" w:eastAsia="Book Antiqua" w:hAnsi="Book Antiqua" w:cs="Book Antiqua"/>
          <w:b/>
          <w:bCs/>
          <w:i/>
          <w:iCs/>
          <w:color w:val="000000"/>
        </w:rPr>
        <w:t>GC cell</w:t>
      </w:r>
      <w:r w:rsidR="005D68C4">
        <w:rPr>
          <w:rFonts w:ascii="Book Antiqua" w:hAnsi="Book Antiqua"/>
        </w:rPr>
        <w:t xml:space="preserve"> </w:t>
      </w:r>
      <w:r w:rsidRPr="009C4C21">
        <w:rPr>
          <w:rFonts w:ascii="Book Antiqua" w:eastAsia="Book Antiqua" w:hAnsi="Book Antiqua" w:cs="Book Antiqua"/>
          <w:b/>
          <w:bCs/>
          <w:i/>
          <w:iCs/>
          <w:color w:val="000000"/>
        </w:rPr>
        <w:t>migrat</w:t>
      </w:r>
      <w:r w:rsidR="005D68C4">
        <w:rPr>
          <w:rFonts w:ascii="Book Antiqua" w:eastAsia="Book Antiqua" w:hAnsi="Book Antiqua" w:cs="Book Antiqua"/>
          <w:b/>
          <w:bCs/>
          <w:i/>
          <w:iCs/>
          <w:color w:val="000000"/>
        </w:rPr>
        <w:t>ion</w:t>
      </w:r>
      <w:r w:rsidRPr="009C4C21">
        <w:rPr>
          <w:rFonts w:ascii="Book Antiqua" w:eastAsia="Book Antiqua" w:hAnsi="Book Antiqua" w:cs="Book Antiqua"/>
          <w:b/>
          <w:bCs/>
          <w:i/>
          <w:iCs/>
          <w:color w:val="000000"/>
        </w:rPr>
        <w:t xml:space="preserve"> and invasion </w:t>
      </w:r>
    </w:p>
    <w:p w14:paraId="75457660" w14:textId="7AB83086"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To investigate the role of curcumin in </w:t>
      </w:r>
      <w:r w:rsidR="005D68C4" w:rsidRPr="009C4C21">
        <w:rPr>
          <w:rFonts w:ascii="Book Antiqua" w:eastAsia="Book Antiqua" w:hAnsi="Book Antiqua" w:cs="Book Antiqua"/>
          <w:color w:val="000000"/>
        </w:rPr>
        <w:t xml:space="preserve">GC </w:t>
      </w:r>
      <w:r w:rsidRPr="009C4C21">
        <w:rPr>
          <w:rFonts w:ascii="Book Antiqua" w:eastAsia="Book Antiqua" w:hAnsi="Book Antiqua" w:cs="Book Antiqua"/>
          <w:color w:val="000000"/>
        </w:rPr>
        <w:t xml:space="preserve">tumor dissemination and metastasis, wound healing and Transwell migration assays were performed. </w:t>
      </w:r>
      <w:r w:rsidR="00626BB9">
        <w:rPr>
          <w:rFonts w:ascii="Book Antiqua" w:eastAsia="Book Antiqua" w:hAnsi="Book Antiqua" w:cs="Book Antiqua"/>
          <w:color w:val="000000"/>
        </w:rPr>
        <w:t>T</w:t>
      </w:r>
      <w:r w:rsidRPr="009C4C21">
        <w:rPr>
          <w:rFonts w:ascii="Book Antiqua" w:eastAsia="Book Antiqua" w:hAnsi="Book Antiqua" w:cs="Book Antiqua"/>
          <w:color w:val="000000"/>
        </w:rPr>
        <w:t>reatment with 40</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curcumin for 24 h decreased the wound closure rate of BGC-823 cells by approximately 20% and MGC-803 cells by approximately 25% compared </w:t>
      </w:r>
      <w:r w:rsidR="00626BB9">
        <w:rPr>
          <w:rFonts w:ascii="Book Antiqua" w:eastAsia="Book Antiqua" w:hAnsi="Book Antiqua" w:cs="Book Antiqua"/>
          <w:color w:val="000000"/>
        </w:rPr>
        <w:t>to</w:t>
      </w:r>
      <w:r w:rsidRPr="009C4C21">
        <w:rPr>
          <w:rFonts w:ascii="Book Antiqua" w:eastAsia="Book Antiqua" w:hAnsi="Book Antiqua" w:cs="Book Antiqua"/>
          <w:color w:val="000000"/>
        </w:rPr>
        <w:t xml:space="preserve"> untreated cells (Figure 2A and B). Furthermore, </w:t>
      </w:r>
      <w:r w:rsidR="00626BB9" w:rsidRPr="009C4C21">
        <w:rPr>
          <w:rFonts w:ascii="Book Antiqua" w:eastAsia="Book Antiqua" w:hAnsi="Book Antiqua" w:cs="Book Antiqua"/>
          <w:color w:val="000000"/>
        </w:rPr>
        <w:t xml:space="preserve">curcumin </w:t>
      </w:r>
      <w:r w:rsidR="00626BB9">
        <w:rPr>
          <w:rFonts w:ascii="Book Antiqua" w:eastAsia="Book Antiqua" w:hAnsi="Book Antiqua" w:cs="Book Antiqua"/>
          <w:color w:val="000000"/>
        </w:rPr>
        <w:t xml:space="preserve">treatment decreased </w:t>
      </w:r>
      <w:r w:rsidRPr="009C4C21">
        <w:rPr>
          <w:rFonts w:ascii="Book Antiqua" w:eastAsia="Book Antiqua" w:hAnsi="Book Antiqua" w:cs="Book Antiqua"/>
          <w:color w:val="000000"/>
        </w:rPr>
        <w:t>BGC-823 cell</w:t>
      </w:r>
      <w:r w:rsidR="00626BB9">
        <w:rPr>
          <w:rFonts w:ascii="Book Antiqua" w:eastAsia="Book Antiqua" w:hAnsi="Book Antiqua" w:cs="Book Antiqua"/>
          <w:color w:val="000000"/>
        </w:rPr>
        <w:t xml:space="preserve"> migration</w:t>
      </w:r>
      <w:r w:rsidR="002C4907" w:rsidRPr="002C4907">
        <w:rPr>
          <w:rFonts w:ascii="Book Antiqua" w:eastAsia="Book Antiqua" w:hAnsi="Book Antiqua" w:cs="Book Antiqua"/>
          <w:color w:val="000000"/>
        </w:rPr>
        <w:t xml:space="preserve"> </w:t>
      </w:r>
      <w:r w:rsidR="002C4907" w:rsidRPr="009C4C21">
        <w:rPr>
          <w:rFonts w:ascii="Book Antiqua" w:eastAsia="Book Antiqua" w:hAnsi="Book Antiqua" w:cs="Book Antiqua"/>
          <w:color w:val="000000"/>
        </w:rPr>
        <w:t>to the lower surface of chambers</w:t>
      </w:r>
      <w:r w:rsidR="002C4907" w:rsidRPr="009C4C21" w:rsidDel="00626BB9">
        <w:rPr>
          <w:rFonts w:ascii="Book Antiqua" w:eastAsia="Book Antiqua" w:hAnsi="Book Antiqua" w:cs="Book Antiqua"/>
          <w:color w:val="000000"/>
        </w:rPr>
        <w:t xml:space="preserve"> </w:t>
      </w:r>
      <w:r w:rsidR="002C4907">
        <w:rPr>
          <w:rFonts w:ascii="Book Antiqua" w:eastAsia="Book Antiqua" w:hAnsi="Book Antiqua" w:cs="Book Antiqua"/>
          <w:color w:val="000000"/>
        </w:rPr>
        <w:t>by</w:t>
      </w:r>
      <w:r w:rsidRPr="009C4C21">
        <w:rPr>
          <w:rFonts w:ascii="Book Antiqua" w:eastAsia="Book Antiqua" w:hAnsi="Book Antiqua" w:cs="Book Antiqua"/>
          <w:color w:val="000000"/>
        </w:rPr>
        <w:t xml:space="preserve"> 44% and MGC-803 cell migrat</w:t>
      </w:r>
      <w:r w:rsidR="002C4907">
        <w:rPr>
          <w:rFonts w:ascii="Book Antiqua" w:eastAsia="Book Antiqua" w:hAnsi="Book Antiqua" w:cs="Book Antiqua"/>
          <w:color w:val="000000"/>
        </w:rPr>
        <w:t>ion by</w:t>
      </w:r>
      <w:r w:rsidRPr="009C4C21">
        <w:rPr>
          <w:rFonts w:ascii="Book Antiqua" w:eastAsia="Book Antiqua" w:hAnsi="Book Antiqua" w:cs="Book Antiqua"/>
          <w:color w:val="000000"/>
        </w:rPr>
        <w:t xml:space="preserve"> 68% </w:t>
      </w:r>
      <w:r w:rsidR="002C4907">
        <w:rPr>
          <w:rFonts w:ascii="Book Antiqua" w:eastAsia="Book Antiqua" w:hAnsi="Book Antiqua" w:cs="Book Antiqua"/>
          <w:color w:val="000000"/>
        </w:rPr>
        <w:t>compared to</w:t>
      </w:r>
      <w:r w:rsidRPr="009C4C21">
        <w:rPr>
          <w:rFonts w:ascii="Book Antiqua" w:eastAsia="Book Antiqua" w:hAnsi="Book Antiqua" w:cs="Book Antiqua"/>
          <w:color w:val="000000"/>
        </w:rPr>
        <w:t xml:space="preserve"> untreated cells. The Transwell invasion assay was conducted to assess the effects of curcumin on </w:t>
      </w:r>
      <w:r w:rsidR="00385F53" w:rsidRPr="009C4C21">
        <w:rPr>
          <w:rFonts w:ascii="Book Antiqua" w:eastAsia="Book Antiqua" w:hAnsi="Book Antiqua" w:cs="Book Antiqua"/>
          <w:color w:val="000000"/>
        </w:rPr>
        <w:t xml:space="preserve">GC </w:t>
      </w:r>
      <w:r w:rsidRPr="009C4C21">
        <w:rPr>
          <w:rFonts w:ascii="Book Antiqua" w:eastAsia="Book Antiqua" w:hAnsi="Book Antiqua" w:cs="Book Antiqua"/>
          <w:color w:val="000000"/>
        </w:rPr>
        <w:t>tumor metastasis. GC cells treated with 40</w:t>
      </w:r>
      <w:r w:rsidR="001C7B4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μ</w:t>
      </w:r>
      <w:r w:rsidR="001C7B43" w:rsidRPr="009C4C21">
        <w:rPr>
          <w:rFonts w:ascii="Book Antiqua" w:eastAsia="Book Antiqua" w:hAnsi="Book Antiqua" w:cs="Book Antiqua"/>
          <w:color w:val="000000"/>
        </w:rPr>
        <w:t>mol/L</w:t>
      </w:r>
      <w:r w:rsidRPr="009C4C21">
        <w:rPr>
          <w:rFonts w:ascii="Book Antiqua" w:eastAsia="Book Antiqua" w:hAnsi="Book Antiqua" w:cs="Book Antiqua"/>
          <w:color w:val="000000"/>
        </w:rPr>
        <w:t xml:space="preserve"> curcumin showed decreased invasion capability compared </w:t>
      </w:r>
      <w:r w:rsidR="00385F53">
        <w:rPr>
          <w:rFonts w:ascii="Book Antiqua" w:eastAsia="Book Antiqua" w:hAnsi="Book Antiqua" w:cs="Book Antiqua"/>
          <w:color w:val="000000"/>
        </w:rPr>
        <w:t>to</w:t>
      </w:r>
      <w:r w:rsidR="00385F53"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untreated cells. </w:t>
      </w:r>
      <w:r w:rsidR="00385F53">
        <w:rPr>
          <w:rFonts w:ascii="Book Antiqua" w:eastAsia="Book Antiqua" w:hAnsi="Book Antiqua" w:cs="Book Antiqua"/>
          <w:color w:val="000000"/>
        </w:rPr>
        <w:t>C</w:t>
      </w:r>
      <w:r w:rsidR="00385F53" w:rsidRPr="009C4C21">
        <w:rPr>
          <w:rFonts w:ascii="Book Antiqua" w:eastAsia="Book Antiqua" w:hAnsi="Book Antiqua" w:cs="Book Antiqua"/>
          <w:color w:val="000000"/>
        </w:rPr>
        <w:t xml:space="preserve">urcumin </w:t>
      </w:r>
      <w:r w:rsidRPr="009C4C21">
        <w:rPr>
          <w:rFonts w:ascii="Book Antiqua" w:eastAsia="Book Antiqua" w:hAnsi="Book Antiqua" w:cs="Book Antiqua"/>
          <w:color w:val="000000"/>
        </w:rPr>
        <w:t xml:space="preserve">treatment of BGC-823 cells decreased cell invasion through Matrigel by 67% compared </w:t>
      </w:r>
      <w:r w:rsidR="00385F53">
        <w:rPr>
          <w:rFonts w:ascii="Book Antiqua" w:eastAsia="Book Antiqua" w:hAnsi="Book Antiqua" w:cs="Book Antiqua"/>
          <w:color w:val="000000"/>
        </w:rPr>
        <w:t xml:space="preserve">to </w:t>
      </w:r>
      <w:r w:rsidRPr="009C4C21">
        <w:rPr>
          <w:rFonts w:ascii="Book Antiqua" w:eastAsia="Book Antiqua" w:hAnsi="Book Antiqua" w:cs="Book Antiqua"/>
          <w:color w:val="000000"/>
        </w:rPr>
        <w:t xml:space="preserve">control cells; in MGC-803 cells, cell invasion was inhibited by approximately 32% compared </w:t>
      </w:r>
      <w:r w:rsidR="005B48AE">
        <w:rPr>
          <w:rFonts w:ascii="Book Antiqua" w:eastAsia="Book Antiqua" w:hAnsi="Book Antiqua" w:cs="Book Antiqua"/>
          <w:color w:val="000000"/>
        </w:rPr>
        <w:t>to</w:t>
      </w:r>
      <w:r w:rsidRPr="009C4C21">
        <w:rPr>
          <w:rFonts w:ascii="Book Antiqua" w:eastAsia="Book Antiqua" w:hAnsi="Book Antiqua" w:cs="Book Antiqua"/>
          <w:color w:val="000000"/>
        </w:rPr>
        <w:t xml:space="preserve"> control cells (Figure 2C and D).</w:t>
      </w:r>
    </w:p>
    <w:p w14:paraId="316F61B0" w14:textId="61059A46" w:rsidR="00D728B1" w:rsidRPr="009C4C21" w:rsidRDefault="00D728B1">
      <w:pPr>
        <w:spacing w:line="360" w:lineRule="auto"/>
        <w:jc w:val="both"/>
        <w:rPr>
          <w:rFonts w:ascii="Book Antiqua" w:eastAsia="Book Antiqua" w:hAnsi="Book Antiqua" w:cs="Book Antiqua"/>
          <w:b/>
          <w:bCs/>
          <w:i/>
          <w:iCs/>
          <w:color w:val="000000"/>
        </w:rPr>
      </w:pPr>
    </w:p>
    <w:p w14:paraId="201D21DC" w14:textId="16E36A28"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Curcumin treatment regulates the expression of proteins associated with apoptosis, cell cycle arrest, and signal inactivation</w:t>
      </w:r>
    </w:p>
    <w:p w14:paraId="18A8C061" w14:textId="4A10AA66"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To confirm the role of curcumin in inducing </w:t>
      </w:r>
      <w:r w:rsidR="002477F0" w:rsidRPr="009C4C21">
        <w:rPr>
          <w:rFonts w:ascii="Book Antiqua" w:eastAsia="Book Antiqua" w:hAnsi="Book Antiqua" w:cs="Book Antiqua"/>
          <w:color w:val="000000"/>
        </w:rPr>
        <w:t>GC cell</w:t>
      </w:r>
      <w:r w:rsidR="002477F0" w:rsidRPr="009C4C21" w:rsidDel="002477F0">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apoptosis, </w:t>
      </w:r>
      <w:r w:rsidR="002477F0">
        <w:rPr>
          <w:rFonts w:ascii="Book Antiqua" w:eastAsia="Book Antiqua" w:hAnsi="Book Antiqua" w:cs="Book Antiqua"/>
          <w:color w:val="000000"/>
        </w:rPr>
        <w:t xml:space="preserve">we performed </w:t>
      </w:r>
      <w:r w:rsidR="00654966">
        <w:rPr>
          <w:rFonts w:ascii="Book Antiqua" w:eastAsia="Book Antiqua" w:hAnsi="Book Antiqua" w:cs="Book Antiqua"/>
          <w:color w:val="000000"/>
        </w:rPr>
        <w:t>w</w:t>
      </w:r>
      <w:r w:rsidRPr="009C4C21">
        <w:rPr>
          <w:rFonts w:ascii="Book Antiqua" w:eastAsia="Book Antiqua" w:hAnsi="Book Antiqua" w:cs="Book Antiqua"/>
          <w:color w:val="000000"/>
        </w:rPr>
        <w:t xml:space="preserve">estern blotting to </w:t>
      </w:r>
      <w:r w:rsidR="002477F0">
        <w:rPr>
          <w:rFonts w:ascii="Book Antiqua" w:eastAsia="Book Antiqua" w:hAnsi="Book Antiqua" w:cs="Book Antiqua"/>
          <w:color w:val="000000"/>
        </w:rPr>
        <w:t>measure</w:t>
      </w:r>
      <w:r w:rsidR="002477F0"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the expression of proteins associated with cell apoptosis (Bax and Bal-2). As a master proapoptotic protein, Bax </w:t>
      </w:r>
      <w:r w:rsidR="005840DE">
        <w:rPr>
          <w:rFonts w:ascii="Book Antiqua" w:eastAsia="Book Antiqua" w:hAnsi="Book Antiqua" w:cs="Book Antiqua"/>
          <w:color w:val="000000"/>
        </w:rPr>
        <w:t xml:space="preserve">expression increased in </w:t>
      </w:r>
      <w:r w:rsidR="005840DE" w:rsidRPr="009C4C21">
        <w:rPr>
          <w:rFonts w:ascii="Book Antiqua" w:eastAsia="Book Antiqua" w:hAnsi="Book Antiqua" w:cs="Book Antiqua"/>
          <w:color w:val="000000"/>
        </w:rPr>
        <w:t xml:space="preserve">BGC-823 and MGC-803 cells </w:t>
      </w:r>
      <w:r w:rsidR="005840DE">
        <w:rPr>
          <w:rFonts w:ascii="Book Antiqua" w:eastAsia="Book Antiqua" w:hAnsi="Book Antiqua" w:cs="Book Antiqua"/>
          <w:color w:val="000000"/>
        </w:rPr>
        <w:t>upon curcumin treatment</w:t>
      </w:r>
      <w:r w:rsidRPr="009C4C21">
        <w:rPr>
          <w:rFonts w:ascii="Book Antiqua" w:eastAsia="Book Antiqua" w:hAnsi="Book Antiqua" w:cs="Book Antiqua"/>
          <w:color w:val="000000"/>
        </w:rPr>
        <w:t xml:space="preserve">. Consistently, the main antiapoptotic protein Bcl-2 was downregulated in curcumin-treated BGC-823 and MGC-803 cells compared </w:t>
      </w:r>
      <w:r w:rsidR="00BE77C7">
        <w:rPr>
          <w:rFonts w:ascii="Book Antiqua" w:eastAsia="Book Antiqua" w:hAnsi="Book Antiqua" w:cs="Book Antiqua"/>
          <w:color w:val="000000"/>
        </w:rPr>
        <w:t>to</w:t>
      </w:r>
      <w:r w:rsidRPr="009C4C21">
        <w:rPr>
          <w:rFonts w:ascii="Book Antiqua" w:eastAsia="Book Antiqua" w:hAnsi="Book Antiqua" w:cs="Book Antiqua"/>
          <w:color w:val="000000"/>
        </w:rPr>
        <w:t xml:space="preserve"> untreated cells (Figure 3A and B). Cell growth inhibition may be associated with other biological processes, such as cell cycle arrest and growth signal inactivation. In both cell lines, curcumin</w:t>
      </w:r>
      <w:r w:rsidR="00223E99">
        <w:rPr>
          <w:rFonts w:ascii="Book Antiqua" w:eastAsia="Book Antiqua" w:hAnsi="Book Antiqua" w:cs="Book Antiqua"/>
          <w:color w:val="000000"/>
        </w:rPr>
        <w:t xml:space="preserve"> regulated</w:t>
      </w:r>
      <w:r w:rsidRPr="009C4C21">
        <w:rPr>
          <w:rFonts w:ascii="Book Antiqua" w:eastAsia="Book Antiqua" w:hAnsi="Book Antiqua" w:cs="Book Antiqua"/>
          <w:color w:val="000000"/>
        </w:rPr>
        <w:t xml:space="preserve"> cell cycle arrest through the cyclin D1–CDK4/6 axis because curcumin </w:t>
      </w:r>
      <w:r w:rsidR="00223E99">
        <w:rPr>
          <w:rFonts w:ascii="Book Antiqua" w:eastAsia="Book Antiqua" w:hAnsi="Book Antiqua" w:cs="Book Antiqua"/>
          <w:color w:val="000000"/>
        </w:rPr>
        <w:t xml:space="preserve">treatment </w:t>
      </w:r>
      <w:r w:rsidRPr="009C4C21">
        <w:rPr>
          <w:rFonts w:ascii="Book Antiqua" w:eastAsia="Book Antiqua" w:hAnsi="Book Antiqua" w:cs="Book Antiqua"/>
          <w:color w:val="000000"/>
        </w:rPr>
        <w:t xml:space="preserve">decreased </w:t>
      </w:r>
      <w:r w:rsidR="00223E99" w:rsidRPr="009C4C21">
        <w:rPr>
          <w:rFonts w:ascii="Book Antiqua" w:eastAsia="Book Antiqua" w:hAnsi="Book Antiqua" w:cs="Book Antiqua"/>
          <w:color w:val="000000"/>
        </w:rPr>
        <w:t>CDK4 and CDK6</w:t>
      </w:r>
      <w:r w:rsidR="00223E99">
        <w:rPr>
          <w:rFonts w:ascii="Book Antiqua" w:eastAsia="Book Antiqua" w:hAnsi="Book Antiqua" w:cs="Book Antiqua"/>
          <w:color w:val="000000"/>
        </w:rPr>
        <w:t xml:space="preserve"> </w:t>
      </w:r>
      <w:r w:rsidRPr="009C4C21">
        <w:rPr>
          <w:rFonts w:ascii="Book Antiqua" w:eastAsia="Book Antiqua" w:hAnsi="Book Antiqua" w:cs="Book Antiqua"/>
          <w:color w:val="000000"/>
        </w:rPr>
        <w:t>protein levels. Furthermore, curcumin inactivated signal transduction associated with cell proliferation</w:t>
      </w:r>
      <w:r w:rsidR="007F48B6">
        <w:rPr>
          <w:rFonts w:ascii="Book Antiqua" w:eastAsia="Book Antiqua" w:hAnsi="Book Antiqua" w:cs="Book Antiqua"/>
          <w:color w:val="000000"/>
        </w:rPr>
        <w:t>,</w:t>
      </w:r>
      <w:r w:rsidRPr="009C4C21">
        <w:rPr>
          <w:rFonts w:ascii="Book Antiqua" w:eastAsia="Book Antiqua" w:hAnsi="Book Antiqua" w:cs="Book Antiqua"/>
          <w:color w:val="000000"/>
        </w:rPr>
        <w:t xml:space="preserve"> as the phosphorylation of proteins, such as Akt, mTOR, and P65, was downregulated in curcumin-treated BGC-</w:t>
      </w:r>
      <w:r w:rsidRPr="009C4C21">
        <w:rPr>
          <w:rFonts w:ascii="Book Antiqua" w:eastAsia="Book Antiqua" w:hAnsi="Book Antiqua" w:cs="Book Antiqua"/>
          <w:color w:val="000000"/>
        </w:rPr>
        <w:lastRenderedPageBreak/>
        <w:t xml:space="preserve">823 and MGC-803 cells compared </w:t>
      </w:r>
      <w:r w:rsidR="007F48B6">
        <w:rPr>
          <w:rFonts w:ascii="Book Antiqua" w:eastAsia="Book Antiqua" w:hAnsi="Book Antiqua" w:cs="Book Antiqua"/>
          <w:color w:val="000000"/>
        </w:rPr>
        <w:t>to</w:t>
      </w:r>
      <w:r w:rsidR="007F48B6"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untreated cells (Figure 3A and B). Taken together, these results indicate that curcumin inhibits cell growth by regulating cell apoptosis, cell cycle arrest, and signal inactivation.</w:t>
      </w:r>
    </w:p>
    <w:p w14:paraId="19660BE7" w14:textId="77777777" w:rsidR="00D728B1" w:rsidRPr="009C4C21" w:rsidRDefault="00D728B1">
      <w:pPr>
        <w:spacing w:line="360" w:lineRule="auto"/>
        <w:jc w:val="both"/>
        <w:rPr>
          <w:rFonts w:ascii="Book Antiqua" w:eastAsia="Book Antiqua" w:hAnsi="Book Antiqua" w:cs="Book Antiqua"/>
          <w:b/>
          <w:bCs/>
          <w:i/>
          <w:iCs/>
          <w:color w:val="000000"/>
        </w:rPr>
      </w:pPr>
    </w:p>
    <w:p w14:paraId="1CE8F958" w14:textId="3399412C"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Curcumin regulates lncRNA AC022424.2 expression</w:t>
      </w:r>
    </w:p>
    <w:p w14:paraId="30B26FF9" w14:textId="5B38A77E"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To explore the underlying mechanism of curcumin-mediated tumor suppression in GC, RNA-seq was performed to identify lncRNAs regulated by curcumin. Volcano plot and heatmap clustering analysis showed that 19 </w:t>
      </w:r>
      <w:r w:rsidR="0012521A" w:rsidRPr="009C4C21">
        <w:rPr>
          <w:rFonts w:ascii="Book Antiqua" w:eastAsia="Book Antiqua" w:hAnsi="Book Antiqua" w:cs="Book Antiqua"/>
          <w:color w:val="000000"/>
        </w:rPr>
        <w:t>l</w:t>
      </w:r>
      <w:r w:rsidRPr="009C4C21">
        <w:rPr>
          <w:rFonts w:ascii="Book Antiqua" w:eastAsia="Book Antiqua" w:hAnsi="Book Antiqua" w:cs="Book Antiqua"/>
          <w:color w:val="000000"/>
        </w:rPr>
        <w:t xml:space="preserve">ncRNAs were remarkably upregulated in curcumin-treated BGC-823 cells (Figure 4A and B). We selected the top 10 </w:t>
      </w:r>
      <w:r w:rsidR="0012521A" w:rsidRPr="009C4C21">
        <w:rPr>
          <w:rFonts w:ascii="Book Antiqua" w:eastAsia="Book Antiqua" w:hAnsi="Book Antiqua" w:cs="Book Antiqua"/>
          <w:color w:val="000000"/>
        </w:rPr>
        <w:t>l</w:t>
      </w:r>
      <w:r w:rsidRPr="009C4C21">
        <w:rPr>
          <w:rFonts w:ascii="Book Antiqua" w:eastAsia="Book Antiqua" w:hAnsi="Book Antiqua" w:cs="Book Antiqua"/>
          <w:color w:val="000000"/>
        </w:rPr>
        <w:t xml:space="preserve">ncRNAs with the most prominent fold change to confirm their expression upregulation using </w:t>
      </w:r>
      <w:r w:rsidR="001C7B43" w:rsidRPr="009C4C21">
        <w:rPr>
          <w:rFonts w:ascii="Book Antiqua" w:eastAsia="Book Antiqua" w:hAnsi="Book Antiqua" w:cs="Book Antiqua"/>
        </w:rPr>
        <w:t>quantitative reverse transcription polymerase chain reaction (qRT-PCR)</w:t>
      </w:r>
      <w:r w:rsidRPr="009C4C21">
        <w:rPr>
          <w:rFonts w:ascii="Book Antiqua" w:eastAsia="Book Antiqua" w:hAnsi="Book Antiqua" w:cs="Book Antiqua"/>
          <w:color w:val="000000"/>
        </w:rPr>
        <w:t>. The results showed that the expression of lncRNA AC022424.2 was consistently upregulated in both BGC-823 (Figure 4C) and MGC-803 (Figure 4D) cells.</w:t>
      </w:r>
    </w:p>
    <w:p w14:paraId="31C026B2" w14:textId="77777777" w:rsidR="00D728B1" w:rsidRPr="009C4C21" w:rsidRDefault="00D728B1">
      <w:pPr>
        <w:spacing w:line="360" w:lineRule="auto"/>
        <w:jc w:val="both"/>
        <w:rPr>
          <w:rFonts w:ascii="Book Antiqua" w:eastAsia="Book Antiqua" w:hAnsi="Book Antiqua" w:cs="Book Antiqua"/>
          <w:b/>
          <w:bCs/>
          <w:i/>
          <w:iCs/>
          <w:color w:val="000000"/>
        </w:rPr>
      </w:pPr>
    </w:p>
    <w:p w14:paraId="487E767A" w14:textId="19036180"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Curcumin regulates lncRNA AC022424.2 to control GC cell growth</w:t>
      </w:r>
      <w:r w:rsidRPr="009C4C21">
        <w:rPr>
          <w:rFonts w:ascii="Book Antiqua" w:eastAsia="Book Antiqua" w:hAnsi="Book Antiqua" w:cs="Book Antiqua"/>
          <w:b/>
          <w:bCs/>
          <w:color w:val="000000"/>
        </w:rPr>
        <w:t xml:space="preserve"> </w:t>
      </w:r>
    </w:p>
    <w:p w14:paraId="36940A0D" w14:textId="7C65DAA0"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To </w:t>
      </w:r>
      <w:r w:rsidR="003E06B7">
        <w:rPr>
          <w:rFonts w:ascii="Book Antiqua" w:eastAsia="Book Antiqua" w:hAnsi="Book Antiqua" w:cs="Book Antiqua"/>
          <w:color w:val="000000"/>
        </w:rPr>
        <w:t>define</w:t>
      </w:r>
      <w:r w:rsidR="003E06B7"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the function of curcumin in regulating tumor growth and metastasis through lncRNA AC022424.2, we knocked down this lncRNA using three independent shRNAs in BGC-823 and MGC-803 cells (Figure 5A and B). The knockdown efficacy was analyzed, and shAC022424.2-1 was chosen for subsequent experiments because it showed the best knockdown efficacy with a 60.16% decrease in BGC-823 cells and a 74.6% decrease in MGC-803 cells (Figure 5A and B). Meanwhile, the CCK-8 assay showed that lncRNA AC022424.2 knockdown significantly promoted cell proliferation (Figure 5C and D), wound healing, migration, and invasion (Figure 6A</w:t>
      </w:r>
      <w:r w:rsidR="0012521A" w:rsidRPr="009C4C21">
        <w:rPr>
          <w:rFonts w:ascii="Book Antiqua" w:eastAsia="Book Antiqua" w:hAnsi="Book Antiqua" w:cs="Book Antiqua"/>
          <w:color w:val="000000"/>
        </w:rPr>
        <w:t>-</w:t>
      </w:r>
      <w:r w:rsidRPr="009C4C21">
        <w:rPr>
          <w:rFonts w:ascii="Book Antiqua" w:eastAsia="Book Antiqua" w:hAnsi="Book Antiqua" w:cs="Book Antiqua"/>
          <w:color w:val="000000"/>
        </w:rPr>
        <w:t>F) in BGC-823 and MGC-803 cells; however, the addition of curcumin inhibited these effects. Furthermore, lncRNA AC022424.2 knockdown in BCG-823 and MGC-803 cells decreased cell apoptosis (Figure 6G). Consistently, curcumin induced more apoptosis in lncRNA AC022424.2-knockdown BCG-823 and MGC-803 cells (Figure 6G).</w:t>
      </w:r>
    </w:p>
    <w:p w14:paraId="019AD5CF" w14:textId="77777777" w:rsidR="00D728B1" w:rsidRPr="009C4C21" w:rsidRDefault="00D728B1">
      <w:pPr>
        <w:spacing w:line="360" w:lineRule="auto"/>
        <w:jc w:val="both"/>
        <w:rPr>
          <w:rFonts w:ascii="Book Antiqua" w:eastAsia="Book Antiqua" w:hAnsi="Book Antiqua" w:cs="Book Antiqua"/>
          <w:b/>
          <w:bCs/>
          <w:i/>
          <w:iCs/>
          <w:color w:val="000000"/>
        </w:rPr>
      </w:pPr>
    </w:p>
    <w:p w14:paraId="6852657E" w14:textId="7AE36B5D"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Curcumin regulates the expression of proteins associated with cell apoptosis, cell cycle arrest, and signal inactivation via lncRNA AC022424.2</w:t>
      </w:r>
    </w:p>
    <w:p w14:paraId="3C0C8BA2" w14:textId="2B4254B1"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lastRenderedPageBreak/>
        <w:t>To further understand</w:t>
      </w:r>
      <w:r w:rsidRPr="009C4C21">
        <w:rPr>
          <w:rFonts w:ascii="Book Antiqua" w:eastAsia="Book Antiqua" w:hAnsi="Book Antiqua" w:cs="Book Antiqua"/>
          <w:i/>
          <w:iCs/>
          <w:color w:val="000000"/>
        </w:rPr>
        <w:t xml:space="preserve"> </w:t>
      </w:r>
      <w:r w:rsidRPr="009C4C21">
        <w:rPr>
          <w:rFonts w:ascii="Book Antiqua" w:eastAsia="Book Antiqua" w:hAnsi="Book Antiqua" w:cs="Book Antiqua"/>
          <w:color w:val="000000"/>
        </w:rPr>
        <w:t xml:space="preserve">the detailed mechanisms of curcumin by regulating lncRNA AC022424.2, we performed </w:t>
      </w:r>
      <w:r w:rsidR="00654966">
        <w:rPr>
          <w:rFonts w:ascii="Book Antiqua" w:eastAsia="Book Antiqua" w:hAnsi="Book Antiqua" w:cs="Book Antiqua"/>
          <w:color w:val="000000"/>
        </w:rPr>
        <w:t>w</w:t>
      </w:r>
      <w:r w:rsidRPr="009C4C21">
        <w:rPr>
          <w:rFonts w:ascii="Book Antiqua" w:eastAsia="Book Antiqua" w:hAnsi="Book Antiqua" w:cs="Book Antiqua"/>
          <w:color w:val="000000"/>
        </w:rPr>
        <w:t>estern blotting to observe the expression of the apoptosis-associated proteins Bax and Bcl-2 and the cell cycle-related proteins CDK4 and CDK6. As shown in Figure 7A</w:t>
      </w:r>
      <w:r w:rsidR="0012521A" w:rsidRPr="009C4C21">
        <w:rPr>
          <w:rFonts w:ascii="Book Antiqua" w:eastAsia="Book Antiqua" w:hAnsi="Book Antiqua" w:cs="Book Antiqua"/>
          <w:color w:val="000000"/>
        </w:rPr>
        <w:t>-</w:t>
      </w:r>
      <w:r w:rsidRPr="009C4C21">
        <w:rPr>
          <w:rFonts w:ascii="Book Antiqua" w:eastAsia="Book Antiqua" w:hAnsi="Book Antiqua" w:cs="Book Antiqua"/>
          <w:color w:val="000000"/>
        </w:rPr>
        <w:t xml:space="preserve">D, lncRNA AC022424.2 knockdown decreased the expression of the proapoptotic protein Bax but augmented the expression of the antiapoptotic protein Bcl-2. Curcumin again reversed this effect. However, the cell cycle-associated proteins CDK4 and CDK6 were upregulated </w:t>
      </w:r>
      <w:r w:rsidR="006948A2">
        <w:rPr>
          <w:rFonts w:ascii="Book Antiqua" w:eastAsia="Book Antiqua" w:hAnsi="Book Antiqua" w:cs="Book Antiqua"/>
          <w:color w:val="000000"/>
        </w:rPr>
        <w:t>upon</w:t>
      </w:r>
      <w:r w:rsidR="006948A2"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lncRNA AC022424.2 knockdown, indicating that cell cycle arrest is not the main mechanism </w:t>
      </w:r>
      <w:r w:rsidR="006948A2">
        <w:rPr>
          <w:rFonts w:ascii="Book Antiqua" w:eastAsia="Book Antiqua" w:hAnsi="Book Antiqua" w:cs="Book Antiqua"/>
          <w:color w:val="000000"/>
        </w:rPr>
        <w:t>through which</w:t>
      </w:r>
      <w:r w:rsidRPr="009C4C21">
        <w:rPr>
          <w:rFonts w:ascii="Book Antiqua" w:eastAsia="Book Antiqua" w:hAnsi="Book Antiqua" w:cs="Book Antiqua"/>
          <w:color w:val="000000"/>
        </w:rPr>
        <w:t xml:space="preserve"> curcumin regulate GC cell growth </w:t>
      </w:r>
      <w:r w:rsidRPr="009C4C21">
        <w:rPr>
          <w:rFonts w:ascii="Book Antiqua" w:eastAsia="Book Antiqua" w:hAnsi="Book Antiqua" w:cs="Book Antiqua"/>
          <w:i/>
          <w:iCs/>
          <w:color w:val="000000"/>
        </w:rPr>
        <w:t>via</w:t>
      </w:r>
      <w:r w:rsidRPr="009C4C21">
        <w:rPr>
          <w:rFonts w:ascii="Book Antiqua" w:eastAsia="Book Antiqua" w:hAnsi="Book Antiqua" w:cs="Book Antiqua"/>
          <w:color w:val="000000"/>
        </w:rPr>
        <w:t xml:space="preserve"> lncRNA AC022424.2. Furthermore, lncRNA AC022424.2 knockdown activated the Akt, mTOR, and P65 signaling pathways as the phosphorylation of these three proteins was upregulated in both BGC-823 and MGC-803 cells, and curcumin treatment reduced the phosphorylation of these proteins (Figure 7A</w:t>
      </w:r>
      <w:r w:rsidR="0012521A" w:rsidRPr="009C4C21">
        <w:rPr>
          <w:rFonts w:ascii="Book Antiqua" w:eastAsia="Book Antiqua" w:hAnsi="Book Antiqua" w:cs="Book Antiqua"/>
          <w:color w:val="000000"/>
        </w:rPr>
        <w:t>-</w:t>
      </w:r>
      <w:r w:rsidRPr="009C4C21">
        <w:rPr>
          <w:rFonts w:ascii="Book Antiqua" w:eastAsia="Book Antiqua" w:hAnsi="Book Antiqua" w:cs="Book Antiqua"/>
          <w:color w:val="000000"/>
        </w:rPr>
        <w:t>D).</w:t>
      </w:r>
    </w:p>
    <w:p w14:paraId="76023E4F" w14:textId="77777777" w:rsidR="00D728B1" w:rsidRPr="009C4C21" w:rsidRDefault="00D728B1">
      <w:pPr>
        <w:spacing w:line="360" w:lineRule="auto"/>
        <w:jc w:val="both"/>
        <w:rPr>
          <w:rFonts w:ascii="Book Antiqua" w:eastAsia="Book Antiqua" w:hAnsi="Book Antiqua" w:cs="Book Antiqua"/>
          <w:b/>
          <w:bCs/>
          <w:i/>
          <w:iCs/>
          <w:color w:val="000000"/>
        </w:rPr>
      </w:pPr>
    </w:p>
    <w:p w14:paraId="48559F2A" w14:textId="2C0925F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i/>
          <w:iCs/>
          <w:color w:val="000000"/>
        </w:rPr>
        <w:t>Downregulation of lncRNA AC022424.2 infers more lymph metastasis of GC</w:t>
      </w:r>
    </w:p>
    <w:p w14:paraId="17C7FBE1" w14:textId="77777777"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We collected 51 gastric tissues from patients with GC to investigate the clinical significance of lncRNA AC022424.2. The qRT-PCR results indicated that the expression of lncRNA AC022424.2 was significantly decreased in GC lesions compared with that in the adjacent normal gastric mucosa (Figure 7E). Furthermore, correlation analysis revealed that lower lncRNA AC022424.2 expression was significantly related to poor lymph metastasis (Table 1).</w:t>
      </w:r>
    </w:p>
    <w:p w14:paraId="329D817F" w14:textId="77777777" w:rsidR="00D728B1" w:rsidRPr="009C4C21" w:rsidRDefault="00D728B1">
      <w:pPr>
        <w:spacing w:line="360" w:lineRule="auto"/>
        <w:jc w:val="both"/>
        <w:rPr>
          <w:rFonts w:ascii="Book Antiqua" w:hAnsi="Book Antiqua"/>
        </w:rPr>
      </w:pPr>
    </w:p>
    <w:p w14:paraId="366BD378" w14:textId="4F1D504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aps/>
          <w:color w:val="000000"/>
          <w:u w:val="single"/>
        </w:rPr>
        <w:t>DISCUSSION</w:t>
      </w:r>
    </w:p>
    <w:p w14:paraId="4AE2E58F" w14:textId="6688067F"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Numerous studies have substantiated the antitumor properties of curcumin, whether used in isolation or in conjunction with other pharmaceutical agents. Research has shown that curcumin can diminish H19 expression while augmenting P53 in GC cells, thereby manifesting antiproliferative effects</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16</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xml:space="preserve">. Our experimental findings corroborate that curcumin markedly curtails the proliferation of GC cells, including AGS, MGC-803, and BGC-823 cells. This inhibitory effect intensifies with time and concentration, achieving discernible inhibition of GC cell proliferation within 48 h, corroborating previously documented literature. Moreover, our experiments revealed that curcumin fosters </w:t>
      </w:r>
      <w:r w:rsidRPr="009C4C21">
        <w:rPr>
          <w:rFonts w:ascii="Book Antiqua" w:eastAsia="Book Antiqua" w:hAnsi="Book Antiqua" w:cs="Book Antiqua"/>
          <w:color w:val="000000"/>
        </w:rPr>
        <w:lastRenderedPageBreak/>
        <w:t xml:space="preserve">apoptosis in GC cells, impedes their migratory potential, and suppresses their invasive capabilities. Using sequencing technology, we identified the differentially expressed lncRNA AC022424.2 in GC cells after curcumin treatment. To investigate whether lncRNA AC022424.2 is implicated in the proapoptotic, antiproliferative, antimigratory, and anti-invasive effects of curcumin on GC cells, we constructed gene-silencing plasmid vectors. Subsequently, we transfected these vectors into MGC-803 and BGC-823 cells and conducted functional experiments that revealed that the attenuation of lncRNA AC022424.2 expression in GC cells resulted in reduced apoptosis and heightened proliferation, migration, and invasion abilities. This implies that lncRNA AC022424.2 plays a pivotal role in </w:t>
      </w:r>
      <w:r w:rsidR="007559E8" w:rsidRPr="009C4C21">
        <w:rPr>
          <w:rFonts w:ascii="Book Antiqua" w:eastAsia="Book Antiqua" w:hAnsi="Book Antiqua" w:cs="Book Antiqua"/>
          <w:color w:val="000000"/>
        </w:rPr>
        <w:t>GC</w:t>
      </w:r>
      <w:r w:rsidR="007559E8" w:rsidRPr="009C4C21" w:rsidDel="007559E8">
        <w:rPr>
          <w:rFonts w:ascii="Book Antiqua" w:eastAsia="Book Antiqua" w:hAnsi="Book Antiqua" w:cs="Book Antiqua"/>
          <w:color w:val="000000"/>
        </w:rPr>
        <w:t xml:space="preserve"> </w:t>
      </w:r>
      <w:r w:rsidRPr="009C4C21">
        <w:rPr>
          <w:rFonts w:ascii="Book Antiqua" w:eastAsia="Book Antiqua" w:hAnsi="Book Antiqua" w:cs="Book Antiqua"/>
          <w:color w:val="000000"/>
        </w:rPr>
        <w:t>initiation and advancement.</w:t>
      </w:r>
    </w:p>
    <w:p w14:paraId="7D8D69B9" w14:textId="1BF412A1" w:rsidR="00A77B3E" w:rsidRPr="009C4C21" w:rsidRDefault="009A1F6D">
      <w:pPr>
        <w:spacing w:line="360" w:lineRule="auto"/>
        <w:ind w:firstLine="240"/>
        <w:jc w:val="both"/>
        <w:rPr>
          <w:rFonts w:ascii="Book Antiqua" w:hAnsi="Book Antiqua"/>
        </w:rPr>
      </w:pPr>
      <w:r w:rsidRPr="009C4C21">
        <w:rPr>
          <w:rFonts w:ascii="Book Antiqua" w:eastAsia="Book Antiqua" w:hAnsi="Book Antiqua" w:cs="Book Antiqua"/>
          <w:color w:val="000000"/>
        </w:rPr>
        <w:t>Cancer represents an amalgamation of genetic alterations, and evading cell death serves as a fundamental change that precipitates this transformation. The literature has reported that elevated expression levels of antiapoptotic proteins, such as Bcl-2 and Bcl-xL, are associated with cisplatin resistance and tumor relapse</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17</w:t>
      </w:r>
      <w:r w:rsidR="009C4C21">
        <w:rPr>
          <w:rFonts w:ascii="Book Antiqua" w:hAnsi="Book Antiqua" w:cs="Book Antiqua" w:hint="eastAsia"/>
          <w:color w:val="000000"/>
          <w:vertAlign w:val="superscript"/>
          <w:lang w:eastAsia="zh-CN"/>
        </w:rPr>
        <w:t>,</w:t>
      </w:r>
      <w:r w:rsidR="00026717" w:rsidRPr="009C4C21">
        <w:rPr>
          <w:rFonts w:ascii="Book Antiqua" w:hAnsi="Book Antiqua" w:cs="Book Antiqua"/>
          <w:color w:val="000000"/>
          <w:vertAlign w:val="superscript"/>
          <w:lang w:eastAsia="zh-CN"/>
        </w:rPr>
        <w:t>18</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Conversely, mutations in the proapoptotic gene Bax have surfaced in colorectal cancer, leading to resistance to anticancer therapies</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19</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xml:space="preserve">. To comprehensively grasp the relationship between curcumin and apoptosis in GC cells, we used </w:t>
      </w:r>
      <w:r w:rsidR="00654966">
        <w:rPr>
          <w:rFonts w:ascii="Book Antiqua" w:eastAsia="Book Antiqua" w:hAnsi="Book Antiqua" w:cs="Book Antiqua"/>
          <w:color w:val="000000"/>
        </w:rPr>
        <w:t>w</w:t>
      </w:r>
      <w:r w:rsidRPr="009C4C21">
        <w:rPr>
          <w:rFonts w:ascii="Book Antiqua" w:eastAsia="Book Antiqua" w:hAnsi="Book Antiqua" w:cs="Book Antiqua"/>
          <w:color w:val="000000"/>
        </w:rPr>
        <w:t>estern blotting to confirm that curcumin accentuates the expression of the apoptosis-related protein Bax while diminishing the expression of Bcl-2 in MGC-803 cells. Simultaneously, the expression of the cell cycle-related proteins CDK4 and CDK6 was downregulated. Consequently, curcumin may modulate apoptosis in GC cells by recalibrating the equilibrium between proapoptotic and antiapoptotic proteins, conceivably constituting one of the underlying mechanisms driving the anti-GC effects of curcumin. Because cell proliferation is intimately correlated with tumor development, erroneous regulation of cell cycle kinases (CDKs) can lead to unbridled cell proliferation and genomic instability. CDKs are serine/threonine kinases whose catalytic activity is modulated by interactions with cell cycle proteins (cyclins) and CDK inhibitors (CKIs). This triumvirate’s concerted effort is indispensable for ensuring the orderly progression of the cell cycle</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20</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Our empirical findings indicate that curcumin conceivably impedes the proliferation of GC cells by quashing the expression of CDK4 and CDK6 proteins, thereby inhibiting the cell cycle.</w:t>
      </w:r>
    </w:p>
    <w:p w14:paraId="351DE90D" w14:textId="4031FAE9" w:rsidR="00A77B3E" w:rsidRPr="009C4C21" w:rsidRDefault="009A1F6D">
      <w:pPr>
        <w:spacing w:line="360" w:lineRule="auto"/>
        <w:ind w:firstLine="240"/>
        <w:jc w:val="both"/>
        <w:rPr>
          <w:rFonts w:ascii="Book Antiqua" w:hAnsi="Book Antiqua"/>
        </w:rPr>
      </w:pPr>
      <w:r w:rsidRPr="009C4C21">
        <w:rPr>
          <w:rFonts w:ascii="Book Antiqua" w:eastAsia="Book Antiqua" w:hAnsi="Book Antiqua" w:cs="Book Antiqua"/>
          <w:color w:val="000000"/>
        </w:rPr>
        <w:lastRenderedPageBreak/>
        <w:t>The PI3K/AKT/mTOR pathway assumes multiple roles in cancer progression</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21</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Western blotting from our research indicates that curcumin downregulates the expression of p-AKT, p-mTOR, and p-P65. Inhibition of the PI3K/AKT/mTOR pathway elicits apoptosis and curbs proliferation. Previous investigations have confirmed the activation of the PI3K/AKT/mTOR pathway in GC, with its involvement in modulating apoptosis, autophagy, epithelial–mesenchymal transition (EMT), chemotherapy resistance, and metastasis across a spectrum of malignancies, including GC</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22</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Furthermore, this pathway plays a pivotal role in bolstering cell survival by curbing apoptosis-related genes, such as Bcl-2, and propelling the activation of antiapoptotic proteins, such as NF-κB. NF-κB, which is a pivotal nuclear transcription factor, participates in inflammation, immune responses, and the orchestration of apoptosis and stress responses. Notably, apoptosis-related proteins, such as Bcl-2 and Bax, serve as targets of P65, suggesting that curcumin finetunes apoptosis, proliferation, migration, and invasion of GC cells through the PI3K/AKT/mTOR and NF-κB signaling pathways</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23</w:t>
      </w:r>
      <w:r w:rsidR="009C4C21">
        <w:rPr>
          <w:rFonts w:ascii="Book Antiqua" w:hAnsi="Book Antiqua" w:cs="Book Antiqua" w:hint="eastAsia"/>
          <w:color w:val="000000"/>
          <w:vertAlign w:val="superscript"/>
          <w:lang w:eastAsia="zh-CN"/>
        </w:rPr>
        <w:t>,</w:t>
      </w:r>
      <w:r w:rsidR="00026717" w:rsidRPr="009C4C21">
        <w:rPr>
          <w:rFonts w:ascii="Book Antiqua" w:hAnsi="Book Antiqua" w:cs="Book Antiqua"/>
          <w:color w:val="000000"/>
          <w:vertAlign w:val="superscript"/>
          <w:lang w:eastAsia="zh-CN"/>
        </w:rPr>
        <w:t>24</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w:t>
      </w:r>
    </w:p>
    <w:p w14:paraId="57826187" w14:textId="7A22EDE2" w:rsidR="00A77B3E" w:rsidRPr="009C4C21" w:rsidRDefault="009A1F6D">
      <w:pPr>
        <w:spacing w:line="360" w:lineRule="auto"/>
        <w:ind w:firstLine="240"/>
        <w:jc w:val="both"/>
        <w:rPr>
          <w:rFonts w:ascii="Book Antiqua" w:hAnsi="Book Antiqua"/>
        </w:rPr>
      </w:pPr>
      <w:r w:rsidRPr="009C4C21">
        <w:rPr>
          <w:rFonts w:ascii="Book Antiqua" w:eastAsia="Book Antiqua" w:hAnsi="Book Antiqua" w:cs="Book Antiqua"/>
          <w:color w:val="000000"/>
        </w:rPr>
        <w:t>LncRNAs have emerged as pivotal biomarkers for early cancer screening, diagnosis, prognosis, and drug responsiveness. Recent investigations have highlighted</w:t>
      </w:r>
      <w:r w:rsidR="00483DDC">
        <w:rPr>
          <w:rFonts w:ascii="Book Antiqua" w:eastAsia="Book Antiqua" w:hAnsi="Book Antiqua" w:cs="Book Antiqua"/>
          <w:color w:val="000000"/>
        </w:rPr>
        <w:t xml:space="preserve"> the</w:t>
      </w:r>
      <w:r w:rsidRPr="009C4C21">
        <w:rPr>
          <w:rFonts w:ascii="Book Antiqua" w:eastAsia="Book Antiqua" w:hAnsi="Book Antiqua" w:cs="Book Antiqua"/>
          <w:color w:val="000000"/>
        </w:rPr>
        <w:t xml:space="preserve"> lncRNA MNX1-as1 (MNX1 antisense RNA 1), which registers a significant upsurge in GC tissues and is correlated with unfavorable prognoses in patients with GC</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25</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xml:space="preserve">. With several lncRNAs potentially contributing to cancer transitions and sustenance, they hold substantial clinical significance. Our antecedent studies have attested to curcumin’s ability to induce apoptosis in GC cells while stifling their proliferation, migration, and invasion. To gain further insights into whether lncRNAs are instrumental in curcumin’s facilitation of apoptosis and impediment of proliferation, migration, and invasion of GC cells, we sequenced curcumin-treated GC cell lines and their untreated counterparts and detected 40 conspicuously differentially expressed lncRNAs, including 19 upregulated and 21 downregulated lncRNAs. We validated these outcomes using RT-PCR and identified the pivotal lncRNA AC022424.2 for subsequent cellular functional assays. Positioned on chromosome 5 and characterized by two transcripts (NR_136935.1 and ENST00000514848), lncRNA AC022424.2 displayed an approximate 3.26-fold surge in expression after curcumin treatment. Our searches across the PubMed and CNKI databases did not yield any literature related to AC022424.2. Building upon our earlier experimental findings, we postulated that curcumin may govern apoptosis, proliferation, migration, and invasion in GC through lncRNA AC022424.2. To validate our hypothesis, we conducted loss-of-function experiments on lncRNA AC022424.2. These experiments revealed the attenuation of lncRNA AC022424.2 expression through gene-silencing plasmid vectors and subsequent transfection into GC MGC-803 and BGC-823 cells. Our observations illuminated the capability of curcumin to amplify lncRNA AC022424.2 expression in GC cells. Upon repressing the expression of lncRNA AC022424.2, we noted a reduction in apoptosis, accompanied by an increase in proliferation, migration, and invasion of GC cells. This was concomitant with a decrease in the expression of the proapoptotic protein Bax, </w:t>
      </w:r>
      <w:r w:rsidR="00BF59C3">
        <w:rPr>
          <w:rFonts w:ascii="Book Antiqua" w:eastAsia="Book Antiqua" w:hAnsi="Book Antiqua" w:cs="Book Antiqua"/>
          <w:color w:val="000000"/>
        </w:rPr>
        <w:t>increased expression of</w:t>
      </w:r>
      <w:r w:rsidRPr="009C4C21">
        <w:rPr>
          <w:rFonts w:ascii="Book Antiqua" w:eastAsia="Book Antiqua" w:hAnsi="Book Antiqua" w:cs="Book Antiqua"/>
          <w:color w:val="000000"/>
        </w:rPr>
        <w:t xml:space="preserve"> in the antiapoptotic protein Bcl-2, and augmented expression of CDK4, CDK6, and p-mTOR. Notably, the introduction of curcumin following lncRNA AC022424.2 repression redressed these effects. These findings allude to curcumin’s probable regulation of apoptosis and proliferation in GC BGC823 and MGC803 cells through lncRNA AC022424.2, potentially </w:t>
      </w:r>
      <w:r w:rsidRPr="009C4C21">
        <w:rPr>
          <w:rFonts w:ascii="Book Antiqua" w:eastAsia="Book Antiqua" w:hAnsi="Book Antiqua" w:cs="Book Antiqua"/>
          <w:i/>
          <w:iCs/>
          <w:color w:val="000000"/>
        </w:rPr>
        <w:t>via</w:t>
      </w:r>
      <w:r w:rsidRPr="009C4C21">
        <w:rPr>
          <w:rFonts w:ascii="Book Antiqua" w:eastAsia="Book Antiqua" w:hAnsi="Book Antiqua" w:cs="Book Antiqua"/>
          <w:color w:val="000000"/>
        </w:rPr>
        <w:t xml:space="preserve"> the PI3K/AKT/mTOR pathway. Xu’s research confirmed the role of lncRNA LINC01021 (also recognized as PURPL, a regulator of P53 </w:t>
      </w:r>
      <w:r w:rsidR="0012521A" w:rsidRPr="009C4C21">
        <w:rPr>
          <w:rFonts w:ascii="Book Antiqua" w:eastAsia="Book Antiqua" w:hAnsi="Book Antiqua" w:cs="Book Antiqua"/>
          <w:color w:val="000000"/>
        </w:rPr>
        <w:t>l</w:t>
      </w:r>
      <w:r w:rsidRPr="009C4C21">
        <w:rPr>
          <w:rFonts w:ascii="Book Antiqua" w:eastAsia="Book Antiqua" w:hAnsi="Book Antiqua" w:cs="Book Antiqua"/>
          <w:color w:val="000000"/>
        </w:rPr>
        <w:t xml:space="preserve">evels) in downregulating basal P53 expression by interacting with MYBBP1A (a protein that binds to and activates P53). Da0324, a curcumin analog, has demonstrated the capacity to dampen LINC01021 expression in GC. The inhibition of LINC01021 by Da0324 curtailed GC proliferation, EMT, invasion, and spurred apoptosis </w:t>
      </w:r>
      <w:r w:rsidRPr="009C4C21">
        <w:rPr>
          <w:rFonts w:ascii="Book Antiqua" w:eastAsia="Book Antiqua" w:hAnsi="Book Antiqua" w:cs="Book Antiqua"/>
          <w:i/>
          <w:iCs/>
          <w:color w:val="000000"/>
        </w:rPr>
        <w:t>in vitro</w:t>
      </w:r>
      <w:r w:rsidRPr="009C4C21">
        <w:rPr>
          <w:rFonts w:ascii="Book Antiqua" w:eastAsia="Book Antiqua" w:hAnsi="Book Antiqua" w:cs="Book Antiqua"/>
          <w:color w:val="000000"/>
        </w:rPr>
        <w:t xml:space="preserve">. Targeted silencing of LINC01021 constrained the </w:t>
      </w:r>
      <w:r w:rsidRPr="009C4C21">
        <w:rPr>
          <w:rFonts w:ascii="Book Antiqua" w:eastAsia="Book Antiqua" w:hAnsi="Book Antiqua" w:cs="Book Antiqua"/>
          <w:i/>
          <w:iCs/>
          <w:color w:val="000000"/>
        </w:rPr>
        <w:t>in vivo</w:t>
      </w:r>
      <w:r w:rsidRPr="009C4C21">
        <w:rPr>
          <w:rFonts w:ascii="Book Antiqua" w:eastAsia="Book Antiqua" w:hAnsi="Book Antiqua" w:cs="Book Antiqua"/>
          <w:color w:val="000000"/>
        </w:rPr>
        <w:t xml:space="preserve"> growth of GC xenografts</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26</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The balance between proapoptotic proteins (</w:t>
      </w:r>
      <w:r w:rsidRPr="009C4C21">
        <w:rPr>
          <w:rFonts w:ascii="Book Antiqua" w:eastAsia="Book Antiqua" w:hAnsi="Book Antiqua" w:cs="Book Antiqua"/>
          <w:i/>
          <w:iCs/>
          <w:color w:val="000000"/>
        </w:rPr>
        <w:t>e.g.</w:t>
      </w:r>
      <w:r w:rsidRPr="009C4C21">
        <w:rPr>
          <w:rFonts w:ascii="Book Antiqua" w:eastAsia="Book Antiqua" w:hAnsi="Book Antiqua" w:cs="Book Antiqua"/>
          <w:color w:val="000000"/>
        </w:rPr>
        <w:t>, BAX and BAK) and antiapoptotic proteins (</w:t>
      </w:r>
      <w:r w:rsidRPr="009C4C21">
        <w:rPr>
          <w:rFonts w:ascii="Book Antiqua" w:eastAsia="Book Antiqua" w:hAnsi="Book Antiqua" w:cs="Book Antiqua"/>
          <w:i/>
          <w:iCs/>
          <w:color w:val="000000"/>
        </w:rPr>
        <w:t>e.g.</w:t>
      </w:r>
      <w:r w:rsidRPr="009C4C21">
        <w:rPr>
          <w:rFonts w:ascii="Book Antiqua" w:eastAsia="Book Antiqua" w:hAnsi="Book Antiqua" w:cs="Book Antiqua"/>
          <w:color w:val="000000"/>
        </w:rPr>
        <w:t xml:space="preserve">, Bcl-2 and Bcl-xL) in the regulation of the mitochondrial apoptosis pathway serves as a critical determinant, and disruption of this equilibrium frequently fosters cancer progression and chemotherapy resistance. In GC, Wang </w:t>
      </w:r>
      <w:r w:rsidRPr="009C4C21">
        <w:rPr>
          <w:rFonts w:ascii="Book Antiqua" w:eastAsia="Book Antiqua" w:hAnsi="Book Antiqua" w:cs="Book Antiqua"/>
          <w:i/>
          <w:iCs/>
          <w:color w:val="000000"/>
        </w:rPr>
        <w:t>et al</w:t>
      </w:r>
      <w:r w:rsidR="008E67E5"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27</w:t>
      </w:r>
      <w:r w:rsidR="008E67E5"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xml:space="preserve"> reported that cisplatin-resistant associated lncRNA acts as a competing endogenous RNA by sponging endogenous miR-505. This upregulated the expression of the tumor suppressor CYLD, hampered AKT activation, and amplified the sensitivity of GC cells to DDP (cisplatin)</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15</w:t>
      </w:r>
      <w:r w:rsidR="009C4C21">
        <w:rPr>
          <w:rFonts w:ascii="Book Antiqua" w:hAnsi="Book Antiqua" w:cs="Book Antiqua"/>
          <w:color w:val="000000"/>
          <w:vertAlign w:val="superscript"/>
          <w:lang w:eastAsia="zh-CN"/>
        </w:rPr>
        <w:t>,</w:t>
      </w:r>
      <w:r w:rsidR="00026717" w:rsidRPr="009C4C21">
        <w:rPr>
          <w:rFonts w:ascii="Book Antiqua" w:hAnsi="Book Antiqua" w:cs="Book Antiqua"/>
          <w:color w:val="000000"/>
          <w:vertAlign w:val="superscript"/>
          <w:lang w:eastAsia="zh-CN"/>
        </w:rPr>
        <w:t>27</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Several investigations have revealed the activation mechanisms of the LINC1410-miR-532-5p-NCF2-NF-κB feedback loop in GC. LINC1410 and miR-532-5p may serve as prospective therapeutic targets for GC</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28</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w:t>
      </w:r>
    </w:p>
    <w:p w14:paraId="3FE44EA9" w14:textId="4F4BEE21" w:rsidR="00A77B3E" w:rsidRPr="009C4C21" w:rsidRDefault="009A1F6D">
      <w:pPr>
        <w:spacing w:line="360" w:lineRule="auto"/>
        <w:ind w:firstLine="240"/>
        <w:jc w:val="both"/>
        <w:rPr>
          <w:rFonts w:ascii="Book Antiqua" w:hAnsi="Book Antiqua"/>
        </w:rPr>
      </w:pPr>
      <w:r w:rsidRPr="009C4C21">
        <w:rPr>
          <w:rFonts w:ascii="Book Antiqua" w:eastAsia="Book Antiqua" w:hAnsi="Book Antiqua" w:cs="Book Antiqua"/>
          <w:color w:val="000000"/>
        </w:rPr>
        <w:t xml:space="preserve">Considering gene chip technology and high-throughput sequencing’s widespread adoption, the identification of aberrantly expressed lncRNAs across diverse cancer types has increased. However, deciphering the roles of lncRNAs in cancer remains an intricate challenge. The mere observation of lncRNA dysregulation in tumor samples does not necessarily signify their causative or tumor-suppressive functions. Bioinformatics techniques have been instrumental in predicting the functions of lncRNAs by scrutinizing their common expression patterns across diverse cell and tissue types with protein-coding genes. Through these methods, several lncRNAs associated with pivotal cancer pathways, such as prostate cancer antigen 3 (also known as DD3) and prostate cancer gene expression marker 1, have been identified, initially owing to their disparate expression in prostate tumors </w:t>
      </w:r>
      <w:r w:rsidRPr="009C4C21">
        <w:rPr>
          <w:rFonts w:ascii="Book Antiqua" w:eastAsia="Book Antiqua" w:hAnsi="Book Antiqua" w:cs="Book Antiqua"/>
          <w:i/>
          <w:iCs/>
          <w:color w:val="000000"/>
        </w:rPr>
        <w:t>vs</w:t>
      </w:r>
      <w:r w:rsidRPr="009C4C21">
        <w:rPr>
          <w:rFonts w:ascii="Book Antiqua" w:eastAsia="Book Antiqua" w:hAnsi="Book Antiqua" w:cs="Book Antiqua"/>
          <w:color w:val="000000"/>
        </w:rPr>
        <w:t xml:space="preserve"> healthy tissues</w:t>
      </w:r>
      <w:r w:rsidRPr="009C4C21">
        <w:rPr>
          <w:rFonts w:ascii="Book Antiqua" w:eastAsia="Book Antiqua" w:hAnsi="Book Antiqua" w:cs="Book Antiqua"/>
          <w:color w:val="000000"/>
          <w:vertAlign w:val="superscript"/>
        </w:rPr>
        <w:t>[</w:t>
      </w:r>
      <w:r w:rsidR="00141E8A" w:rsidRPr="009C4C21">
        <w:rPr>
          <w:rFonts w:ascii="Book Antiqua" w:hAnsi="Book Antiqua" w:cs="Book Antiqua"/>
          <w:color w:val="000000"/>
          <w:vertAlign w:val="superscript"/>
          <w:lang w:eastAsia="zh-CN"/>
        </w:rPr>
        <w:t>13</w:t>
      </w:r>
      <w:r w:rsidR="009C4C21">
        <w:rPr>
          <w:rFonts w:ascii="Book Antiqua" w:hAnsi="Book Antiqua" w:cs="Book Antiqua" w:hint="eastAsia"/>
          <w:color w:val="000000"/>
          <w:vertAlign w:val="superscript"/>
          <w:lang w:eastAsia="zh-CN"/>
        </w:rPr>
        <w:t>,</w:t>
      </w:r>
      <w:r w:rsidR="00026717" w:rsidRPr="009C4C21">
        <w:rPr>
          <w:rFonts w:ascii="Book Antiqua" w:hAnsi="Book Antiqua" w:cs="Book Antiqua"/>
          <w:color w:val="000000"/>
          <w:vertAlign w:val="superscript"/>
          <w:lang w:eastAsia="zh-CN"/>
        </w:rPr>
        <w:t>29</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xml:space="preserve">. Over the past decade, </w:t>
      </w:r>
      <w:r w:rsidR="00B7118F">
        <w:rPr>
          <w:rFonts w:ascii="Book Antiqua" w:eastAsia="Book Antiqua" w:hAnsi="Book Antiqua" w:cs="Book Antiqua"/>
          <w:color w:val="000000"/>
        </w:rPr>
        <w:t xml:space="preserve">we have leveraged </w:t>
      </w:r>
      <w:r w:rsidRPr="009C4C21">
        <w:rPr>
          <w:rFonts w:ascii="Book Antiqua" w:eastAsia="Book Antiqua" w:hAnsi="Book Antiqua" w:cs="Book Antiqua"/>
          <w:color w:val="000000"/>
        </w:rPr>
        <w:t>The Cancer Genome Atlas database and bioinformatics analyses to pinpoint lncRNAs that exhibited aberrant expression patterns in GC. These lncRNAs actively participate in multiple tumor signaling pathways, including Notch, mTOR, NF-κB, and Wnt</w:t>
      </w:r>
      <w:r w:rsidRPr="009C4C21">
        <w:rPr>
          <w:rFonts w:ascii="Book Antiqua" w:eastAsia="Book Antiqua" w:hAnsi="Book Antiqua" w:cs="Book Antiqua"/>
          <w:color w:val="000000"/>
          <w:vertAlign w:val="superscript"/>
        </w:rPr>
        <w:t>[</w:t>
      </w:r>
      <w:r w:rsidR="00141E8A" w:rsidRPr="009C4C21">
        <w:rPr>
          <w:rFonts w:ascii="Book Antiqua" w:hAnsi="Book Antiqua" w:cs="Book Antiqua"/>
          <w:color w:val="000000"/>
          <w:vertAlign w:val="superscript"/>
          <w:lang w:eastAsia="zh-CN"/>
        </w:rPr>
        <w:t>14</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Moreover, some investigations have underscored the correlation between lncRNA dysregulation and clinicopathological factors, such as TNM staging, prognosis, tumor size, and differentiation in GC</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3</w:t>
      </w:r>
      <w:r w:rsidR="00141E8A" w:rsidRPr="009C4C21">
        <w:rPr>
          <w:rFonts w:ascii="Book Antiqua" w:hAnsi="Book Antiqua" w:cs="Book Antiqua"/>
          <w:color w:val="000000"/>
          <w:vertAlign w:val="superscript"/>
          <w:lang w:eastAsia="zh-CN"/>
        </w:rPr>
        <w:t>0</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Our preliminary experimental results suggest that the suppression of lncRNA AC022424.2 can deter</w:t>
      </w:r>
      <w:r w:rsidR="00337279" w:rsidRPr="00337279">
        <w:rPr>
          <w:rFonts w:ascii="Book Antiqua" w:eastAsia="Book Antiqua" w:hAnsi="Book Antiqua" w:cs="Book Antiqua"/>
          <w:color w:val="000000"/>
        </w:rPr>
        <w:t xml:space="preserve"> </w:t>
      </w:r>
      <w:r w:rsidR="00337279" w:rsidRPr="009C4C21">
        <w:rPr>
          <w:rFonts w:ascii="Book Antiqua" w:eastAsia="Book Antiqua" w:hAnsi="Book Antiqua" w:cs="Book Antiqua"/>
          <w:color w:val="000000"/>
        </w:rPr>
        <w:t>GC cell</w:t>
      </w:r>
      <w:r w:rsidRPr="009C4C21">
        <w:rPr>
          <w:rFonts w:ascii="Book Antiqua" w:eastAsia="Book Antiqua" w:hAnsi="Book Antiqua" w:cs="Book Antiqua"/>
          <w:color w:val="000000"/>
        </w:rPr>
        <w:t xml:space="preserve"> apoptosis and stimulate migration and invasion. To substantiate the expression of AC022424.2 in tissues and contribute to early clinical diagnoses and GC treatment, we collected 64 GC specimens and performed a correlation analysis between the expression level of lncRNA AC022424.2 in GC tissues and clinicopathological data. These analyses revealed an association between the expression levels of lncRNA AC022424.2 and lymph node metastasis, with lower expression observed in GC tissues exhibiting lymph node metastasis, constituting a statistically significant difference. The panorama of lncRNAs’ roles in cancer is increasing, establishing their undeniable clinical significance. Prior research has validated lncRNAs as increasingly indispensable biomarkers for early cancer screening, diagnosis, prognosis, and drug responsiveness</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3</w:t>
      </w:r>
      <w:r w:rsidR="00141E8A" w:rsidRPr="009C4C21">
        <w:rPr>
          <w:rFonts w:ascii="Book Antiqua" w:hAnsi="Book Antiqua" w:cs="Book Antiqua"/>
          <w:color w:val="000000"/>
          <w:vertAlign w:val="superscript"/>
          <w:lang w:eastAsia="zh-CN"/>
        </w:rPr>
        <w:t>1</w:t>
      </w:r>
      <w:r w:rsidR="00026717" w:rsidRPr="009C4C21">
        <w:rPr>
          <w:rFonts w:ascii="Book Antiqua" w:hAnsi="Book Antiqua" w:cs="Book Antiqua"/>
          <w:color w:val="000000"/>
          <w:vertAlign w:val="superscript"/>
          <w:lang w:eastAsia="zh-CN"/>
        </w:rPr>
        <w:t>-3</w:t>
      </w:r>
      <w:r w:rsidR="00141E8A" w:rsidRPr="009C4C21">
        <w:rPr>
          <w:rFonts w:ascii="Book Antiqua" w:hAnsi="Book Antiqua" w:cs="Book Antiqua"/>
          <w:color w:val="000000"/>
          <w:vertAlign w:val="superscript"/>
          <w:lang w:eastAsia="zh-CN"/>
        </w:rPr>
        <w:t>4</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Furthermore, lncRNAs regulate chemotherapy resistance by orchestrating apoptosis, EMT, cancer stemness, autophagy, multiple drug resistance-related gene expression, and epigenetic modifications, among other signaling pathways</w:t>
      </w:r>
      <w:r w:rsidRPr="009C4C21">
        <w:rPr>
          <w:rFonts w:ascii="Book Antiqua" w:eastAsia="Book Antiqua" w:hAnsi="Book Antiqua" w:cs="Book Antiqua"/>
          <w:color w:val="000000"/>
          <w:vertAlign w:val="superscript"/>
        </w:rPr>
        <w:t>[</w:t>
      </w:r>
      <w:r w:rsidR="00026717" w:rsidRPr="009C4C21">
        <w:rPr>
          <w:rFonts w:ascii="Book Antiqua" w:hAnsi="Book Antiqua" w:cs="Book Antiqua"/>
          <w:color w:val="000000"/>
          <w:vertAlign w:val="superscript"/>
          <w:lang w:eastAsia="zh-CN"/>
        </w:rPr>
        <w:t>3</w:t>
      </w:r>
      <w:r w:rsidR="00141E8A" w:rsidRPr="009C4C21">
        <w:rPr>
          <w:rFonts w:ascii="Book Antiqua" w:hAnsi="Book Antiqua" w:cs="Book Antiqua"/>
          <w:color w:val="000000"/>
          <w:vertAlign w:val="superscript"/>
          <w:lang w:eastAsia="zh-CN"/>
        </w:rPr>
        <w:t>5</w:t>
      </w:r>
      <w:r w:rsidRPr="009C4C21">
        <w:rPr>
          <w:rFonts w:ascii="Book Antiqua" w:eastAsia="Book Antiqua" w:hAnsi="Book Antiqua" w:cs="Book Antiqua"/>
          <w:color w:val="000000"/>
          <w:vertAlign w:val="superscript"/>
        </w:rPr>
        <w:t>]</w:t>
      </w:r>
      <w:r w:rsidRPr="009C4C21">
        <w:rPr>
          <w:rFonts w:ascii="Book Antiqua" w:eastAsia="Book Antiqua" w:hAnsi="Book Antiqua" w:cs="Book Antiqua"/>
          <w:color w:val="000000"/>
        </w:rPr>
        <w:t>. Thus, targeting lncRNAs is a promising strategy for increasing chemotherapy sensitivity and efficacy in GC. Notwithstanding the remarkable strides in comprehending lncRNA structure and function since their discovery, the domain of lncRNAs remains in its nascent stages, with considerable terrain left to explore.</w:t>
      </w:r>
    </w:p>
    <w:p w14:paraId="726858C7" w14:textId="77777777" w:rsidR="00D728B1" w:rsidRPr="009C4C21" w:rsidRDefault="00D728B1">
      <w:pPr>
        <w:spacing w:line="360" w:lineRule="auto"/>
        <w:jc w:val="both"/>
        <w:rPr>
          <w:rFonts w:ascii="Book Antiqua" w:hAnsi="Book Antiqua"/>
        </w:rPr>
      </w:pPr>
    </w:p>
    <w:p w14:paraId="66E8E956" w14:textId="5F7DA679"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aps/>
          <w:color w:val="000000"/>
          <w:u w:val="single"/>
        </w:rPr>
        <w:t>CONCLUSION</w:t>
      </w:r>
    </w:p>
    <w:p w14:paraId="619460AC"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color w:val="000000"/>
        </w:rPr>
        <w:t>Curcumin has potential anticancer effects on gastric cancer cells by regulating lncRNA AC022424.2. This lncRNA plays a significant role in cancer cell behavior and may have clinical implications in diagnosis and prognosis evaluation. The results of this study enhance our understanding of gastric cancer development and precision treatment.</w:t>
      </w:r>
    </w:p>
    <w:p w14:paraId="144D9741" w14:textId="77777777" w:rsidR="00A77B3E" w:rsidRPr="009C4C21" w:rsidRDefault="00A77B3E">
      <w:pPr>
        <w:spacing w:line="360" w:lineRule="auto"/>
        <w:jc w:val="both"/>
        <w:rPr>
          <w:rFonts w:ascii="Book Antiqua" w:hAnsi="Book Antiqua"/>
        </w:rPr>
      </w:pPr>
    </w:p>
    <w:p w14:paraId="61927357"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aps/>
          <w:color w:val="000000"/>
          <w:u w:val="single"/>
        </w:rPr>
        <w:t>ARTICLE HIGHLIGHTS</w:t>
      </w:r>
    </w:p>
    <w:p w14:paraId="40729C7B"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i/>
          <w:color w:val="000000"/>
        </w:rPr>
        <w:t>Research background</w:t>
      </w:r>
    </w:p>
    <w:p w14:paraId="4DF47492" w14:textId="2EFB5250"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color w:val="000000"/>
        </w:rPr>
        <w:t xml:space="preserve">Tumor metastasis, the high heterogeneity of cancer cells, and chemotherapy resistance are primary factors that contribute to the poor overall prognosis of </w:t>
      </w:r>
      <w:r w:rsidR="0012521A" w:rsidRPr="009C4C21">
        <w:rPr>
          <w:rFonts w:ascii="Book Antiqua" w:eastAsia="Book Antiqua" w:hAnsi="Book Antiqua" w:cs="Book Antiqua"/>
          <w:color w:val="000000"/>
        </w:rPr>
        <w:t>gastric cancer (GC)</w:t>
      </w:r>
      <w:r w:rsidRPr="009C4C21">
        <w:rPr>
          <w:rFonts w:ascii="Book Antiqua" w:eastAsia="Book Antiqua" w:hAnsi="Book Antiqua" w:cs="Book Antiqua"/>
          <w:color w:val="000000"/>
        </w:rPr>
        <w:t xml:space="preserve">. </w:t>
      </w:r>
      <w:r w:rsidR="00C53D45">
        <w:rPr>
          <w:rFonts w:ascii="Book Antiqua" w:eastAsia="Book Antiqua" w:hAnsi="Book Antiqua" w:cs="Book Antiqua"/>
          <w:color w:val="000000"/>
        </w:rPr>
        <w:t>H</w:t>
      </w:r>
      <w:r w:rsidRPr="009C4C21">
        <w:rPr>
          <w:rFonts w:ascii="Book Antiqua" w:eastAsia="Book Antiqua" w:hAnsi="Book Antiqua" w:cs="Book Antiqua"/>
          <w:color w:val="000000"/>
        </w:rPr>
        <w:t>owever, its role in GC treatment is constrained by adverse drug reactions and drug resistance. In the realm of exploring alternative cancer treatments, natural compounds with anticancer properties, such as curcumin, are garnering attention because of their low adverse effects. Although the anticancer effects of curcumin have been extensively studied, its specific mechanisms of action remain incompletely understood.</w:t>
      </w:r>
      <w:r w:rsidR="0012521A"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This study employs </w:t>
      </w:r>
      <w:r w:rsidR="0012521A" w:rsidRPr="009C4C21">
        <w:rPr>
          <w:rFonts w:ascii="Book Antiqua" w:eastAsia="Book Antiqua" w:hAnsi="Book Antiqua" w:cs="Book Antiqua"/>
          <w:color w:val="000000"/>
        </w:rPr>
        <w:t>long non-coding RNA (lncRNA)</w:t>
      </w:r>
      <w:r w:rsidRPr="009C4C21">
        <w:rPr>
          <w:rFonts w:ascii="Book Antiqua" w:eastAsia="Book Antiqua" w:hAnsi="Book Antiqua" w:cs="Book Antiqua"/>
          <w:color w:val="000000"/>
        </w:rPr>
        <w:t xml:space="preserve"> sequencing to screen for differentially expressed lncRNAs after curcumin treatment. Further investigation will explore the relationship between the ability of curcumin to inhibit GC cells and lncRNA AC022424.2. </w:t>
      </w:r>
    </w:p>
    <w:p w14:paraId="3628F3DC" w14:textId="77777777" w:rsidR="00A77B3E" w:rsidRPr="009C4C21" w:rsidRDefault="00A77B3E" w:rsidP="00D728B1">
      <w:pPr>
        <w:spacing w:line="360" w:lineRule="auto"/>
        <w:jc w:val="both"/>
        <w:rPr>
          <w:rFonts w:ascii="Book Antiqua" w:hAnsi="Book Antiqua"/>
        </w:rPr>
      </w:pPr>
    </w:p>
    <w:p w14:paraId="306BE1CD"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b/>
          <w:i/>
          <w:color w:val="000000"/>
        </w:rPr>
        <w:t>Research motivation</w:t>
      </w:r>
    </w:p>
    <w:p w14:paraId="35C245DF"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color w:val="000000"/>
        </w:rPr>
        <w:t>Recent studies have highlighted the association between abnormal lncRNA expression and various aspects of gastric cancer, including early diagnosis, clinical staging, metastasis, drug sensitivity, and prognosis. A comprehensive understanding of how lncRNAs intricately influence gastric cancer development can offer new perspectives for precision treatment and personalized management of gastric cancer patients. This study aims to uncover the potential of curcumin in suppressing the malignant behavior of gastric cancer cells by upregulating specific lncRNAs and modulating the initiation and progression of gastric cancer.</w:t>
      </w:r>
    </w:p>
    <w:p w14:paraId="693EFC8F" w14:textId="77777777" w:rsidR="00D728B1" w:rsidRPr="009C4C21" w:rsidRDefault="00D728B1" w:rsidP="00D728B1">
      <w:pPr>
        <w:spacing w:line="360" w:lineRule="auto"/>
        <w:jc w:val="both"/>
        <w:rPr>
          <w:rFonts w:ascii="Book Antiqua" w:hAnsi="Book Antiqua"/>
        </w:rPr>
      </w:pPr>
    </w:p>
    <w:p w14:paraId="58D27D9E"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b/>
          <w:i/>
          <w:color w:val="000000"/>
        </w:rPr>
        <w:t>Research objectives</w:t>
      </w:r>
    </w:p>
    <w:p w14:paraId="1E29EDB2" w14:textId="7A91973C"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color w:val="000000"/>
        </w:rPr>
        <w:t>The objective of this study was to identify curcumin-associated</w:t>
      </w:r>
      <w:r w:rsidR="0012521A" w:rsidRPr="009C4C21">
        <w:rPr>
          <w:rFonts w:ascii="Book Antiqua" w:eastAsia="Book Antiqua" w:hAnsi="Book Antiqua" w:cs="Book Antiqua"/>
          <w:color w:val="000000"/>
        </w:rPr>
        <w:t xml:space="preserve"> </w:t>
      </w:r>
      <w:r w:rsidRPr="009C4C21">
        <w:rPr>
          <w:rFonts w:ascii="Book Antiqua" w:eastAsia="Book Antiqua" w:hAnsi="Book Antiqua" w:cs="Book Antiqua"/>
          <w:color w:val="000000"/>
        </w:rPr>
        <w:t xml:space="preserve">lncRNAs and examine the involvement of lncRNA AC022424.2 in the modulation of </w:t>
      </w:r>
      <w:r w:rsidR="00D749A5" w:rsidRPr="009C4C21">
        <w:rPr>
          <w:rFonts w:ascii="Book Antiqua" w:eastAsia="Book Antiqua" w:hAnsi="Book Antiqua" w:cs="Book Antiqua"/>
          <w:color w:val="000000"/>
        </w:rPr>
        <w:t xml:space="preserve">gastric cancer cell </w:t>
      </w:r>
      <w:r w:rsidRPr="009C4C21">
        <w:rPr>
          <w:rFonts w:ascii="Book Antiqua" w:eastAsia="Book Antiqua" w:hAnsi="Book Antiqua" w:cs="Book Antiqua"/>
          <w:color w:val="000000"/>
        </w:rPr>
        <w:t xml:space="preserve">apoptosis, proliferation, and invasion upon curcumin treatment. Additionally, the validation of these findings was conducted using clinical samples. </w:t>
      </w:r>
    </w:p>
    <w:p w14:paraId="00B91E77" w14:textId="77777777" w:rsidR="00D728B1" w:rsidRPr="009C4C21" w:rsidRDefault="00D728B1" w:rsidP="00D728B1">
      <w:pPr>
        <w:spacing w:line="360" w:lineRule="auto"/>
        <w:jc w:val="both"/>
        <w:rPr>
          <w:rFonts w:ascii="Book Antiqua" w:hAnsi="Book Antiqua"/>
        </w:rPr>
      </w:pPr>
    </w:p>
    <w:p w14:paraId="359DFE1E"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b/>
          <w:i/>
          <w:color w:val="000000"/>
        </w:rPr>
        <w:t>Research methods</w:t>
      </w:r>
    </w:p>
    <w:p w14:paraId="092A85A4" w14:textId="13D4116D"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color w:val="000000"/>
        </w:rPr>
        <w:t xml:space="preserve">The study used CCK-8 assays to assess curcumin's impact on gastric cancer cells, employing flow cytometry, scratch/Transwell assays, and </w:t>
      </w:r>
      <w:r w:rsidR="00654966">
        <w:rPr>
          <w:rFonts w:ascii="Book Antiqua" w:eastAsia="Book Antiqua" w:hAnsi="Book Antiqua" w:cs="Book Antiqua"/>
          <w:color w:val="000000"/>
        </w:rPr>
        <w:t>w</w:t>
      </w:r>
      <w:r w:rsidRPr="009C4C21">
        <w:rPr>
          <w:rFonts w:ascii="Book Antiqua" w:eastAsia="Book Antiqua" w:hAnsi="Book Antiqua" w:cs="Book Antiqua"/>
          <w:color w:val="000000"/>
        </w:rPr>
        <w:t xml:space="preserve">estern blotting to examine apoptosis, migration, invasion, and protein expression changes. LncRNA sequencing and </w:t>
      </w:r>
      <w:r w:rsidR="00D021D0" w:rsidRPr="009C4C21">
        <w:rPr>
          <w:rFonts w:ascii="Book Antiqua" w:eastAsia="Book Antiqua" w:hAnsi="Book Antiqua" w:cs="Book Antiqua"/>
        </w:rPr>
        <w:t>quantitative reverse transcription polymerase chain reaction (qRT-PCR)</w:t>
      </w:r>
      <w:r w:rsidRPr="009C4C21">
        <w:rPr>
          <w:rFonts w:ascii="Book Antiqua" w:eastAsia="Book Antiqua" w:hAnsi="Book Antiqua" w:cs="Book Antiqua"/>
          <w:color w:val="000000"/>
        </w:rPr>
        <w:t xml:space="preserve"> validated differential expression before/after curcumin treatment in BGC-823 and MGC-803 cells. AC022424.2-1 knockdown cells were generated to scrutinize lncRNA AC022424.2's effects on apoptosis, proliferation, migration, and invasion, with </w:t>
      </w:r>
      <w:r w:rsidR="00654966">
        <w:rPr>
          <w:rFonts w:ascii="Book Antiqua" w:eastAsia="Book Antiqua" w:hAnsi="Book Antiqua" w:cs="Book Antiqua"/>
          <w:color w:val="000000"/>
        </w:rPr>
        <w:t>w</w:t>
      </w:r>
      <w:r w:rsidRPr="009C4C21">
        <w:rPr>
          <w:rFonts w:ascii="Book Antiqua" w:eastAsia="Book Antiqua" w:hAnsi="Book Antiqua" w:cs="Book Antiqua"/>
          <w:color w:val="000000"/>
        </w:rPr>
        <w:t>estern blotting assessing pathway-related protein changes. RT-PCR measured lncRNA AC022424.2 expression in clinical gastric cancer tissues, correlating with pathological characteristics.</w:t>
      </w:r>
    </w:p>
    <w:p w14:paraId="15994FFB" w14:textId="77777777" w:rsidR="00D728B1" w:rsidRPr="009C4C21" w:rsidRDefault="00D728B1" w:rsidP="00D728B1">
      <w:pPr>
        <w:spacing w:line="360" w:lineRule="auto"/>
        <w:jc w:val="both"/>
        <w:rPr>
          <w:rFonts w:ascii="Book Antiqua" w:hAnsi="Book Antiqua"/>
        </w:rPr>
      </w:pPr>
    </w:p>
    <w:p w14:paraId="4A082852"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b/>
          <w:i/>
          <w:color w:val="000000"/>
        </w:rPr>
        <w:t>Research results</w:t>
      </w:r>
    </w:p>
    <w:p w14:paraId="35FFA4F6" w14:textId="188F7F95"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color w:val="000000"/>
        </w:rPr>
        <w:t xml:space="preserve">Curcumin induced </w:t>
      </w:r>
      <w:r w:rsidR="00333D9A" w:rsidRPr="009C4C21">
        <w:rPr>
          <w:rFonts w:ascii="Book Antiqua" w:eastAsia="Book Antiqua" w:hAnsi="Book Antiqua" w:cs="Book Antiqua"/>
          <w:color w:val="000000"/>
        </w:rPr>
        <w:t xml:space="preserve">gastric cancer cell </w:t>
      </w:r>
      <w:r w:rsidRPr="009C4C21">
        <w:rPr>
          <w:rFonts w:ascii="Book Antiqua" w:eastAsia="Book Antiqua" w:hAnsi="Book Antiqua" w:cs="Book Antiqua"/>
          <w:color w:val="000000"/>
        </w:rPr>
        <w:t>apoptosis and inhibited proliferation, migration, and invasion in a dose- and time-dependent manner. Following curcumin treatment, lncRNA AC022424.2 was upregulated, and its knockdown intensified cancer cell aggressiveness. The impact of lncRNA AC022424.2 on cancer cells may involve the PI3K/Akt/mTOR and NF-κB signaling pathways. The downregulation of lncRNA AC022424.2 was associated with lymph node metastasis, suggesting its potential as a diagnostic and prognostic marker.</w:t>
      </w:r>
    </w:p>
    <w:p w14:paraId="03A41D64" w14:textId="77777777" w:rsidR="00D728B1" w:rsidRPr="009C4C21" w:rsidRDefault="00D728B1" w:rsidP="00D728B1">
      <w:pPr>
        <w:spacing w:line="360" w:lineRule="auto"/>
        <w:jc w:val="both"/>
        <w:rPr>
          <w:rFonts w:ascii="Book Antiqua" w:hAnsi="Book Antiqua"/>
        </w:rPr>
      </w:pPr>
    </w:p>
    <w:p w14:paraId="79F8D287"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b/>
          <w:i/>
          <w:color w:val="000000"/>
        </w:rPr>
        <w:t>Research conclusions</w:t>
      </w:r>
    </w:p>
    <w:p w14:paraId="59B18CF6"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color w:val="000000"/>
        </w:rPr>
        <w:t>Curcumin has potential anticancer effects on gastric cancer cells by regulating lncRNA AC022424.2. This lncRNA plays a significant role in cancer cell behavior and may have clinical implications in diagnosis and prognosis evaluation. The results of this study enhance our understanding of gastric cancer development and precision treatment.</w:t>
      </w:r>
    </w:p>
    <w:p w14:paraId="22D2544D" w14:textId="77777777" w:rsidR="00D728B1" w:rsidRPr="009C4C21" w:rsidRDefault="00D728B1" w:rsidP="00D728B1">
      <w:pPr>
        <w:spacing w:line="360" w:lineRule="auto"/>
        <w:jc w:val="both"/>
        <w:rPr>
          <w:rFonts w:ascii="Book Antiqua" w:hAnsi="Book Antiqua"/>
        </w:rPr>
      </w:pPr>
    </w:p>
    <w:p w14:paraId="02C72E6F"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b/>
          <w:i/>
          <w:color w:val="000000"/>
        </w:rPr>
        <w:t>Research perspectives</w:t>
      </w:r>
    </w:p>
    <w:p w14:paraId="2E4D111F" w14:textId="77777777" w:rsidR="00D728B1" w:rsidRPr="009C4C21" w:rsidRDefault="00D728B1" w:rsidP="00D728B1">
      <w:pPr>
        <w:spacing w:line="360" w:lineRule="auto"/>
        <w:jc w:val="both"/>
        <w:rPr>
          <w:rFonts w:ascii="Book Antiqua" w:hAnsi="Book Antiqua"/>
        </w:rPr>
      </w:pPr>
      <w:r w:rsidRPr="009C4C21">
        <w:rPr>
          <w:rFonts w:ascii="Book Antiqua" w:eastAsia="Book Antiqua" w:hAnsi="Book Antiqua" w:cs="Book Antiqua"/>
          <w:color w:val="000000"/>
        </w:rPr>
        <w:t>The subsequent validation of these experimental results in clinical tissue specimens and exploration of specific mechanisms will provide more theoretical support for elucidating the role of lncRNAs in the occurrence and development of GC and identifying precise therapeutic targets.</w:t>
      </w:r>
    </w:p>
    <w:p w14:paraId="278DB78C" w14:textId="77777777" w:rsidR="00D728B1" w:rsidRPr="009C4C21" w:rsidRDefault="00D728B1" w:rsidP="00D728B1">
      <w:pPr>
        <w:spacing w:line="360" w:lineRule="auto"/>
        <w:jc w:val="both"/>
        <w:rPr>
          <w:rFonts w:ascii="Book Antiqua" w:hAnsi="Book Antiqua"/>
        </w:rPr>
      </w:pPr>
    </w:p>
    <w:p w14:paraId="5C200B33" w14:textId="77777777" w:rsidR="00A77B3E" w:rsidRPr="009C4C21" w:rsidRDefault="009A1F6D" w:rsidP="00D728B1">
      <w:pPr>
        <w:spacing w:line="360" w:lineRule="auto"/>
        <w:jc w:val="both"/>
        <w:rPr>
          <w:rFonts w:ascii="Book Antiqua" w:hAnsi="Book Antiqua"/>
        </w:rPr>
      </w:pPr>
      <w:r w:rsidRPr="009C4C21">
        <w:rPr>
          <w:rFonts w:ascii="Book Antiqua" w:eastAsia="Book Antiqua" w:hAnsi="Book Antiqua" w:cs="Book Antiqua"/>
          <w:b/>
          <w:color w:val="000000"/>
        </w:rPr>
        <w:t>REFERENCES</w:t>
      </w:r>
    </w:p>
    <w:p w14:paraId="36624CF6"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1 </w:t>
      </w:r>
      <w:r w:rsidRPr="009C4C21">
        <w:rPr>
          <w:rFonts w:ascii="Book Antiqua" w:hAnsi="Book Antiqua"/>
          <w:b/>
          <w:bCs/>
        </w:rPr>
        <w:t>Iida M</w:t>
      </w:r>
      <w:r w:rsidRPr="009C4C21">
        <w:rPr>
          <w:rFonts w:ascii="Book Antiqua" w:hAnsi="Book Antiqua"/>
        </w:rPr>
        <w:t xml:space="preserve">, Ikeda F, Ninomiya T, Yonemoto K, Doi Y, Hata J, Matsumoto T, Iida M, Kiyohara Y. White blood cell count and risk of gastric cancer incidence in a general Japanese population: the Hisayama study. </w:t>
      </w:r>
      <w:r w:rsidRPr="009C4C21">
        <w:rPr>
          <w:rFonts w:ascii="Book Antiqua" w:hAnsi="Book Antiqua"/>
          <w:i/>
          <w:iCs/>
        </w:rPr>
        <w:t>Am J Epidemiol</w:t>
      </w:r>
      <w:r w:rsidRPr="009C4C21">
        <w:rPr>
          <w:rFonts w:ascii="Book Antiqua" w:hAnsi="Book Antiqua"/>
        </w:rPr>
        <w:t xml:space="preserve"> 2012; </w:t>
      </w:r>
      <w:r w:rsidRPr="009C4C21">
        <w:rPr>
          <w:rFonts w:ascii="Book Antiqua" w:hAnsi="Book Antiqua"/>
          <w:b/>
          <w:bCs/>
        </w:rPr>
        <w:t>175</w:t>
      </w:r>
      <w:r w:rsidRPr="009C4C21">
        <w:rPr>
          <w:rFonts w:ascii="Book Antiqua" w:hAnsi="Book Antiqua"/>
        </w:rPr>
        <w:t>: 504-510 [PMID: 22366378 DOI: 10.1093/aje/kwr345]</w:t>
      </w:r>
    </w:p>
    <w:p w14:paraId="742F4617"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2 </w:t>
      </w:r>
      <w:r w:rsidRPr="009C4C21">
        <w:rPr>
          <w:rFonts w:ascii="Book Antiqua" w:hAnsi="Book Antiqua"/>
          <w:b/>
          <w:bCs/>
        </w:rPr>
        <w:t>Thrift AP</w:t>
      </w:r>
      <w:r w:rsidRPr="009C4C21">
        <w:rPr>
          <w:rFonts w:ascii="Book Antiqua" w:hAnsi="Book Antiqua"/>
        </w:rPr>
        <w:t xml:space="preserve">, El-Serag HB. Burden of Gastric Cancer. </w:t>
      </w:r>
      <w:r w:rsidRPr="009C4C21">
        <w:rPr>
          <w:rFonts w:ascii="Book Antiqua" w:hAnsi="Book Antiqua"/>
          <w:i/>
          <w:iCs/>
        </w:rPr>
        <w:t>Clin Gastroenterol Hepatol</w:t>
      </w:r>
      <w:r w:rsidRPr="009C4C21">
        <w:rPr>
          <w:rFonts w:ascii="Book Antiqua" w:hAnsi="Book Antiqua"/>
        </w:rPr>
        <w:t xml:space="preserve"> 2020; </w:t>
      </w:r>
      <w:r w:rsidRPr="009C4C21">
        <w:rPr>
          <w:rFonts w:ascii="Book Antiqua" w:hAnsi="Book Antiqua"/>
          <w:b/>
          <w:bCs/>
        </w:rPr>
        <w:t>18</w:t>
      </w:r>
      <w:r w:rsidRPr="009C4C21">
        <w:rPr>
          <w:rFonts w:ascii="Book Antiqua" w:hAnsi="Book Antiqua"/>
        </w:rPr>
        <w:t>: 534-542 [PMID: 31362118 DOI: 10.1016/j.cgh.2019.07.045]</w:t>
      </w:r>
    </w:p>
    <w:p w14:paraId="54A0E08F"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3 </w:t>
      </w:r>
      <w:r w:rsidRPr="009C4C21">
        <w:rPr>
          <w:rFonts w:ascii="Book Antiqua" w:hAnsi="Book Antiqua"/>
          <w:b/>
          <w:bCs/>
        </w:rPr>
        <w:t>Iizuka O</w:t>
      </w:r>
      <w:r w:rsidRPr="009C4C21">
        <w:rPr>
          <w:rFonts w:ascii="Book Antiqua" w:hAnsi="Book Antiqua"/>
        </w:rPr>
        <w:t xml:space="preserve">, Kanavati F, Kato K, Rambeau M, Arihiro K, Tsuneki M. Deep Learning Models for Histopathological Classification of Gastric and Colonic Epithelial Tumours. </w:t>
      </w:r>
      <w:r w:rsidRPr="009C4C21">
        <w:rPr>
          <w:rFonts w:ascii="Book Antiqua" w:hAnsi="Book Antiqua"/>
          <w:i/>
          <w:iCs/>
        </w:rPr>
        <w:t>Sci Rep</w:t>
      </w:r>
      <w:r w:rsidRPr="009C4C21">
        <w:rPr>
          <w:rFonts w:ascii="Book Antiqua" w:hAnsi="Book Antiqua"/>
        </w:rPr>
        <w:t xml:space="preserve"> 2020; </w:t>
      </w:r>
      <w:r w:rsidRPr="009C4C21">
        <w:rPr>
          <w:rFonts w:ascii="Book Antiqua" w:hAnsi="Book Antiqua"/>
          <w:b/>
          <w:bCs/>
        </w:rPr>
        <w:t>10</w:t>
      </w:r>
      <w:r w:rsidRPr="009C4C21">
        <w:rPr>
          <w:rFonts w:ascii="Book Antiqua" w:hAnsi="Book Antiqua"/>
        </w:rPr>
        <w:t>: 1504 [PMID: 32001752 DOI: 10.1038/s41598-020-58467-9]</w:t>
      </w:r>
    </w:p>
    <w:p w14:paraId="3AD39FB2"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4 </w:t>
      </w:r>
      <w:r w:rsidRPr="009C4C21">
        <w:rPr>
          <w:rFonts w:ascii="Book Antiqua" w:hAnsi="Book Antiqua"/>
          <w:b/>
          <w:bCs/>
        </w:rPr>
        <w:t>Kather JN</w:t>
      </w:r>
      <w:r w:rsidRPr="009C4C21">
        <w:rPr>
          <w:rFonts w:ascii="Book Antiqua" w:hAnsi="Book Antiqua"/>
        </w:rPr>
        <w:t xml:space="preserve">, Pearson AT, Halama N, Jäger D, Krause J, Loosen SH, Marx A, Boor P, Tacke F, Neumann UP, Grabsch HI, Yoshikawa T, Brenner H, Chang-Claude J, Hoffmeister M, Trautwein C, Luedde T. Deep learning can predict microsatellite instability directly from histology in gastrointestinal cancer. </w:t>
      </w:r>
      <w:r w:rsidRPr="009C4C21">
        <w:rPr>
          <w:rFonts w:ascii="Book Antiqua" w:hAnsi="Book Antiqua"/>
          <w:i/>
          <w:iCs/>
        </w:rPr>
        <w:t>Nat Med</w:t>
      </w:r>
      <w:r w:rsidRPr="009C4C21">
        <w:rPr>
          <w:rFonts w:ascii="Book Antiqua" w:hAnsi="Book Antiqua"/>
        </w:rPr>
        <w:t xml:space="preserve"> 2019; </w:t>
      </w:r>
      <w:r w:rsidRPr="009C4C21">
        <w:rPr>
          <w:rFonts w:ascii="Book Antiqua" w:hAnsi="Book Antiqua"/>
          <w:b/>
          <w:bCs/>
        </w:rPr>
        <w:t>25</w:t>
      </w:r>
      <w:r w:rsidRPr="009C4C21">
        <w:rPr>
          <w:rFonts w:ascii="Book Antiqua" w:hAnsi="Book Antiqua"/>
        </w:rPr>
        <w:t>: 1054-1056 [PMID: 31160815 DOI: 10.1038/s41591-019-0462-y]</w:t>
      </w:r>
    </w:p>
    <w:p w14:paraId="63A25005"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5 </w:t>
      </w:r>
      <w:r w:rsidRPr="009C4C21">
        <w:rPr>
          <w:rFonts w:ascii="Book Antiqua" w:hAnsi="Book Antiqua"/>
          <w:b/>
          <w:bCs/>
        </w:rPr>
        <w:t>Yoshida H</w:t>
      </w:r>
      <w:r w:rsidRPr="009C4C21">
        <w:rPr>
          <w:rFonts w:ascii="Book Antiqua" w:hAnsi="Book Antiqua"/>
        </w:rPr>
        <w:t xml:space="preserve">, Shimazu T, Kiyuna T, Marugame A, Yamashita Y, Cosatto E, Taniguchi H, Sekine S, Ochiai A. Automated histological classification of whole-slide images of gastric biopsy specimens. </w:t>
      </w:r>
      <w:r w:rsidRPr="009C4C21">
        <w:rPr>
          <w:rFonts w:ascii="Book Antiqua" w:hAnsi="Book Antiqua"/>
          <w:i/>
          <w:iCs/>
        </w:rPr>
        <w:t>Gastric Cancer</w:t>
      </w:r>
      <w:r w:rsidRPr="009C4C21">
        <w:rPr>
          <w:rFonts w:ascii="Book Antiqua" w:hAnsi="Book Antiqua"/>
        </w:rPr>
        <w:t xml:space="preserve"> 2018; </w:t>
      </w:r>
      <w:r w:rsidRPr="009C4C21">
        <w:rPr>
          <w:rFonts w:ascii="Book Antiqua" w:hAnsi="Book Antiqua"/>
          <w:b/>
          <w:bCs/>
        </w:rPr>
        <w:t>21</w:t>
      </w:r>
      <w:r w:rsidRPr="009C4C21">
        <w:rPr>
          <w:rFonts w:ascii="Book Antiqua" w:hAnsi="Book Antiqua"/>
        </w:rPr>
        <w:t>: 249-257 [PMID: 28577229 DOI: 10.1007/s10120-017-0731-8]</w:t>
      </w:r>
    </w:p>
    <w:p w14:paraId="64E4C048"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6 </w:t>
      </w:r>
      <w:r w:rsidRPr="009C4C21">
        <w:rPr>
          <w:rFonts w:ascii="Book Antiqua" w:hAnsi="Book Antiqua"/>
          <w:b/>
          <w:bCs/>
        </w:rPr>
        <w:t>Sharma H</w:t>
      </w:r>
      <w:r w:rsidRPr="009C4C21">
        <w:rPr>
          <w:rFonts w:ascii="Book Antiqua" w:hAnsi="Book Antiqua"/>
        </w:rPr>
        <w:t xml:space="preserve">, Zerbe N, Klempert I, Hellwich O, Hufnagl P. Deep convolutional neural networks for automatic classification of gastric carcinoma using whole slide images in digital histopathology. </w:t>
      </w:r>
      <w:r w:rsidRPr="009C4C21">
        <w:rPr>
          <w:rFonts w:ascii="Book Antiqua" w:hAnsi="Book Antiqua"/>
          <w:i/>
          <w:iCs/>
        </w:rPr>
        <w:t>Comput Med Imaging Graph</w:t>
      </w:r>
      <w:r w:rsidRPr="009C4C21">
        <w:rPr>
          <w:rFonts w:ascii="Book Antiqua" w:hAnsi="Book Antiqua"/>
        </w:rPr>
        <w:t xml:space="preserve"> 2017; </w:t>
      </w:r>
      <w:r w:rsidRPr="009C4C21">
        <w:rPr>
          <w:rFonts w:ascii="Book Antiqua" w:hAnsi="Book Antiqua"/>
          <w:b/>
          <w:bCs/>
        </w:rPr>
        <w:t>61</w:t>
      </w:r>
      <w:r w:rsidRPr="009C4C21">
        <w:rPr>
          <w:rFonts w:ascii="Book Antiqua" w:hAnsi="Book Antiqua"/>
        </w:rPr>
        <w:t>: 2-13 [PMID: 28676295 DOI: 10.1016/j.compmedimag.2017.06.001]</w:t>
      </w:r>
    </w:p>
    <w:p w14:paraId="36B17CA6"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7 </w:t>
      </w:r>
      <w:r w:rsidRPr="009C4C21">
        <w:rPr>
          <w:rFonts w:ascii="Book Antiqua" w:hAnsi="Book Antiqua"/>
          <w:b/>
          <w:bCs/>
        </w:rPr>
        <w:t>Barlebo Ahlborn L</w:t>
      </w:r>
      <w:r w:rsidRPr="009C4C21">
        <w:rPr>
          <w:rFonts w:ascii="Book Antiqua" w:hAnsi="Book Antiqua"/>
        </w:rPr>
        <w:t xml:space="preserve">, Østrup O. Toward liquid biopsies in cancer treatment: application of circulating tumor DNA. </w:t>
      </w:r>
      <w:r w:rsidRPr="009C4C21">
        <w:rPr>
          <w:rFonts w:ascii="Book Antiqua" w:hAnsi="Book Antiqua"/>
          <w:i/>
          <w:iCs/>
        </w:rPr>
        <w:t>APMIS</w:t>
      </w:r>
      <w:r w:rsidRPr="009C4C21">
        <w:rPr>
          <w:rFonts w:ascii="Book Antiqua" w:hAnsi="Book Antiqua"/>
        </w:rPr>
        <w:t xml:space="preserve"> 2019; </w:t>
      </w:r>
      <w:r w:rsidRPr="009C4C21">
        <w:rPr>
          <w:rFonts w:ascii="Book Antiqua" w:hAnsi="Book Antiqua"/>
          <w:b/>
          <w:bCs/>
        </w:rPr>
        <w:t>127</w:t>
      </w:r>
      <w:r w:rsidRPr="009C4C21">
        <w:rPr>
          <w:rFonts w:ascii="Book Antiqua" w:hAnsi="Book Antiqua"/>
        </w:rPr>
        <w:t>: 329-336 [PMID: 30784124 DOI: 10.1111/apm.12912]</w:t>
      </w:r>
    </w:p>
    <w:p w14:paraId="5207B4C2" w14:textId="77777777"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8 </w:t>
      </w:r>
      <w:r w:rsidRPr="009C4C21">
        <w:rPr>
          <w:rFonts w:ascii="Book Antiqua" w:hAnsi="Book Antiqua"/>
          <w:b/>
          <w:bCs/>
        </w:rPr>
        <w:t>Stahl P</w:t>
      </w:r>
      <w:r w:rsidRPr="009C4C21">
        <w:rPr>
          <w:rFonts w:ascii="Book Antiqua" w:hAnsi="Book Antiqua"/>
        </w:rPr>
        <w:t xml:space="preserve">, Seeschaaf C, Lebok P, Kutup A, Bockhorn M, Izbicki JR, Bokemeyer C, Simon R, Sauter G, Marx AH. Heterogeneity of amplification of HER2, EGFR, CCND1 and MYC in gastric cancer. </w:t>
      </w:r>
      <w:r w:rsidRPr="009C4C21">
        <w:rPr>
          <w:rFonts w:ascii="Book Antiqua" w:hAnsi="Book Antiqua"/>
          <w:i/>
          <w:iCs/>
        </w:rPr>
        <w:t>BMC Gastroenterol</w:t>
      </w:r>
      <w:r w:rsidRPr="009C4C21">
        <w:rPr>
          <w:rFonts w:ascii="Book Antiqua" w:hAnsi="Book Antiqua"/>
        </w:rPr>
        <w:t xml:space="preserve"> 2015; </w:t>
      </w:r>
      <w:r w:rsidRPr="009C4C21">
        <w:rPr>
          <w:rFonts w:ascii="Book Antiqua" w:hAnsi="Book Antiqua"/>
          <w:b/>
          <w:bCs/>
        </w:rPr>
        <w:t>15</w:t>
      </w:r>
      <w:r w:rsidRPr="009C4C21">
        <w:rPr>
          <w:rFonts w:ascii="Book Antiqua" w:hAnsi="Book Antiqua"/>
        </w:rPr>
        <w:t>: 7 [PMID: 25649416 DOI: 10.1186/s12876-015-0231-4]</w:t>
      </w:r>
    </w:p>
    <w:p w14:paraId="0CAE691F" w14:textId="196A4F8D"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9 </w:t>
      </w:r>
      <w:r w:rsidRPr="009C4C21">
        <w:rPr>
          <w:rFonts w:ascii="Book Antiqua" w:hAnsi="Book Antiqua"/>
          <w:b/>
          <w:bCs/>
        </w:rPr>
        <w:t>He Z</w:t>
      </w:r>
      <w:r w:rsidRPr="009C4C21">
        <w:rPr>
          <w:rFonts w:ascii="Book Antiqua" w:hAnsi="Book Antiqua"/>
        </w:rPr>
        <w:t xml:space="preserve">, Xu JG. Evaluation of the efficiency and safety of combined chemotherapy and molecular-targeted therapy in the treatment of advanced gastric cancer: A protocol for systematic review and meta-analysis. </w:t>
      </w:r>
      <w:r w:rsidRPr="009C4C21">
        <w:rPr>
          <w:rFonts w:ascii="Book Antiqua" w:hAnsi="Book Antiqua"/>
          <w:i/>
          <w:iCs/>
        </w:rPr>
        <w:t>Medicine (Baltimore)</w:t>
      </w:r>
      <w:r w:rsidRPr="009C4C21">
        <w:rPr>
          <w:rFonts w:ascii="Book Antiqua" w:hAnsi="Book Antiqua"/>
        </w:rPr>
        <w:t xml:space="preserve"> 2021; </w:t>
      </w:r>
      <w:r w:rsidRPr="009C4C21">
        <w:rPr>
          <w:rFonts w:ascii="Book Antiqua" w:hAnsi="Book Antiqua"/>
          <w:b/>
          <w:bCs/>
        </w:rPr>
        <w:t>100</w:t>
      </w:r>
      <w:r w:rsidRPr="009C4C21">
        <w:rPr>
          <w:rFonts w:ascii="Book Antiqua" w:hAnsi="Book Antiqua"/>
        </w:rPr>
        <w:t>: e27557 [PMID: 34766560 DOI: 10.1097/MD.0000000000027557]</w:t>
      </w:r>
    </w:p>
    <w:p w14:paraId="1A037A4B" w14:textId="31104730" w:rsidR="001F1BCA" w:rsidRPr="009C4C21" w:rsidRDefault="001F1BCA" w:rsidP="001F1BCA">
      <w:pPr>
        <w:snapToGrid w:val="0"/>
        <w:spacing w:line="360" w:lineRule="auto"/>
        <w:jc w:val="both"/>
        <w:rPr>
          <w:rFonts w:ascii="Book Antiqua" w:hAnsi="Book Antiqua"/>
        </w:rPr>
      </w:pPr>
      <w:r w:rsidRPr="009C4C21">
        <w:rPr>
          <w:rFonts w:ascii="Book Antiqua" w:hAnsi="Book Antiqua"/>
        </w:rPr>
        <w:t xml:space="preserve">10 </w:t>
      </w:r>
      <w:r w:rsidRPr="009C4C21">
        <w:rPr>
          <w:rFonts w:ascii="Book Antiqua" w:hAnsi="Book Antiqua"/>
          <w:b/>
          <w:bCs/>
        </w:rPr>
        <w:t>Yang JM</w:t>
      </w:r>
      <w:r w:rsidRPr="009C4C21">
        <w:rPr>
          <w:rFonts w:ascii="Book Antiqua" w:hAnsi="Book Antiqua"/>
        </w:rPr>
        <w:t xml:space="preserve">, Sun Y, Wang M, Zhang XL, Zhang SJ, Gao YS, Chen L, Wu MY, Zhou L, Zhou YM, Wang Y, Zheng FJ, Li YH. Regulatory effect of a Chinese herbal medicine formula on non-alcoholic fatty liver disease. </w:t>
      </w:r>
      <w:r w:rsidRPr="009C4C21">
        <w:rPr>
          <w:rFonts w:ascii="Book Antiqua" w:hAnsi="Book Antiqua"/>
          <w:i/>
          <w:iCs/>
        </w:rPr>
        <w:t>World J Gastroenterol</w:t>
      </w:r>
      <w:r w:rsidRPr="009C4C21">
        <w:rPr>
          <w:rFonts w:ascii="Book Antiqua" w:hAnsi="Book Antiqua"/>
        </w:rPr>
        <w:t xml:space="preserve"> 2019; </w:t>
      </w:r>
      <w:r w:rsidRPr="009C4C21">
        <w:rPr>
          <w:rFonts w:ascii="Book Antiqua" w:hAnsi="Book Antiqua"/>
          <w:b/>
          <w:bCs/>
        </w:rPr>
        <w:t>25</w:t>
      </w:r>
      <w:r w:rsidRPr="009C4C21">
        <w:rPr>
          <w:rFonts w:ascii="Book Antiqua" w:hAnsi="Book Antiqua"/>
        </w:rPr>
        <w:t>: 5105-5119 [PMID: 31558860 DOI: 10.3748/wjg.v25.i34.5105]</w:t>
      </w:r>
    </w:p>
    <w:p w14:paraId="5887CFD5" w14:textId="1FF7A3A7" w:rsidR="00026717"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11</w:t>
      </w:r>
      <w:r w:rsidRPr="009C4C21">
        <w:rPr>
          <w:rFonts w:ascii="Book Antiqua" w:hAnsi="Book Antiqua"/>
        </w:rPr>
        <w:t xml:space="preserve"> </w:t>
      </w:r>
      <w:r w:rsidR="009C4C21" w:rsidRPr="009C4C21">
        <w:rPr>
          <w:rFonts w:ascii="Book Antiqua" w:hAnsi="Book Antiqua"/>
          <w:b/>
          <w:bCs/>
        </w:rPr>
        <w:t>Kuttan R</w:t>
      </w:r>
      <w:r w:rsidR="009C4C21" w:rsidRPr="009C4C21">
        <w:rPr>
          <w:rFonts w:ascii="Book Antiqua" w:hAnsi="Book Antiqua"/>
        </w:rPr>
        <w:t xml:space="preserve">, Bhanumathy P, Nirmala K, George MC. Potential anticancer activity of turmeric (Curcuma longa). </w:t>
      </w:r>
      <w:r w:rsidR="009C4C21" w:rsidRPr="009C4C21">
        <w:rPr>
          <w:rFonts w:ascii="Book Antiqua" w:hAnsi="Book Antiqua"/>
          <w:i/>
          <w:iCs/>
        </w:rPr>
        <w:t>Cancer Lett</w:t>
      </w:r>
      <w:r w:rsidR="009C4C21" w:rsidRPr="009C4C21">
        <w:rPr>
          <w:rFonts w:ascii="Book Antiqua" w:hAnsi="Book Antiqua"/>
        </w:rPr>
        <w:t xml:space="preserve"> 1985; </w:t>
      </w:r>
      <w:r w:rsidR="009C4C21" w:rsidRPr="009C4C21">
        <w:rPr>
          <w:rFonts w:ascii="Book Antiqua" w:hAnsi="Book Antiqua"/>
          <w:b/>
          <w:bCs/>
        </w:rPr>
        <w:t>29</w:t>
      </w:r>
      <w:r w:rsidR="009C4C21" w:rsidRPr="009C4C21">
        <w:rPr>
          <w:rFonts w:ascii="Book Antiqua" w:hAnsi="Book Antiqua"/>
        </w:rPr>
        <w:t>: 197-202 [PMID: 4075289 DOI: 10.1016/0304-3835(85)90159-4]</w:t>
      </w:r>
    </w:p>
    <w:p w14:paraId="12775349" w14:textId="086BAC84"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12</w:t>
      </w:r>
      <w:r w:rsidR="001F1BCA" w:rsidRPr="009C4C21">
        <w:rPr>
          <w:rFonts w:ascii="Book Antiqua" w:hAnsi="Book Antiqua"/>
        </w:rPr>
        <w:t xml:space="preserve"> </w:t>
      </w:r>
      <w:r w:rsidR="001F1BCA" w:rsidRPr="009C4C21">
        <w:rPr>
          <w:rFonts w:ascii="Book Antiqua" w:hAnsi="Book Antiqua"/>
          <w:b/>
          <w:bCs/>
        </w:rPr>
        <w:t>Sintara K</w:t>
      </w:r>
      <w:r w:rsidR="001F1BCA" w:rsidRPr="009C4C21">
        <w:rPr>
          <w:rFonts w:ascii="Book Antiqua" w:hAnsi="Book Antiqua"/>
        </w:rPr>
        <w:t xml:space="preserve">, Thong-Ngam D, Patumraj S, Klaikeaw N. Curcumin attenuates gastric cancer induced by N-methyl-N-nitrosourea and saturated sodium chloride in rats. </w:t>
      </w:r>
      <w:r w:rsidR="001F1BCA" w:rsidRPr="009C4C21">
        <w:rPr>
          <w:rFonts w:ascii="Book Antiqua" w:hAnsi="Book Antiqua"/>
          <w:i/>
          <w:iCs/>
        </w:rPr>
        <w:t>J Biomed Biotechnol</w:t>
      </w:r>
      <w:r w:rsidR="001F1BCA" w:rsidRPr="009C4C21">
        <w:rPr>
          <w:rFonts w:ascii="Book Antiqua" w:hAnsi="Book Antiqua"/>
        </w:rPr>
        <w:t xml:space="preserve"> 2012; </w:t>
      </w:r>
      <w:r w:rsidR="001F1BCA" w:rsidRPr="009C4C21">
        <w:rPr>
          <w:rFonts w:ascii="Book Antiqua" w:hAnsi="Book Antiqua"/>
          <w:b/>
          <w:bCs/>
        </w:rPr>
        <w:t>2012</w:t>
      </w:r>
      <w:r w:rsidR="001F1BCA" w:rsidRPr="009C4C21">
        <w:rPr>
          <w:rFonts w:ascii="Book Antiqua" w:hAnsi="Book Antiqua"/>
        </w:rPr>
        <w:t>: 915380 [PMID: 22690125 DOI: 10.1155/2012/915380]</w:t>
      </w:r>
    </w:p>
    <w:p w14:paraId="06C2C84D" w14:textId="25C5F5A2"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13</w:t>
      </w:r>
      <w:r w:rsidR="001F1BCA" w:rsidRPr="009C4C21">
        <w:rPr>
          <w:rFonts w:ascii="Book Antiqua" w:hAnsi="Book Antiqua"/>
        </w:rPr>
        <w:t xml:space="preserve"> </w:t>
      </w:r>
      <w:r w:rsidR="001F1BCA" w:rsidRPr="009C4C21">
        <w:rPr>
          <w:rFonts w:ascii="Book Antiqua" w:hAnsi="Book Antiqua"/>
          <w:b/>
          <w:bCs/>
        </w:rPr>
        <w:t>Li H</w:t>
      </w:r>
      <w:r w:rsidR="001F1BCA" w:rsidRPr="009C4C21">
        <w:rPr>
          <w:rFonts w:ascii="Book Antiqua" w:hAnsi="Book Antiqua"/>
        </w:rPr>
        <w:t xml:space="preserve">, Yu B, Li J, Su L, Yan M, Zhang J, Li C, Zhu Z, Liu B. Characterization of differentially expressed genes involved in pathways associated with gastric cancer. </w:t>
      </w:r>
      <w:r w:rsidR="001F1BCA" w:rsidRPr="009C4C21">
        <w:rPr>
          <w:rFonts w:ascii="Book Antiqua" w:hAnsi="Book Antiqua"/>
          <w:i/>
          <w:iCs/>
        </w:rPr>
        <w:t>PLoS One</w:t>
      </w:r>
      <w:r w:rsidR="001F1BCA" w:rsidRPr="009C4C21">
        <w:rPr>
          <w:rFonts w:ascii="Book Antiqua" w:hAnsi="Book Antiqua"/>
        </w:rPr>
        <w:t xml:space="preserve"> 2015; </w:t>
      </w:r>
      <w:r w:rsidR="001F1BCA" w:rsidRPr="009C4C21">
        <w:rPr>
          <w:rFonts w:ascii="Book Antiqua" w:hAnsi="Book Antiqua"/>
          <w:b/>
          <w:bCs/>
        </w:rPr>
        <w:t>10</w:t>
      </w:r>
      <w:r w:rsidR="001F1BCA" w:rsidRPr="009C4C21">
        <w:rPr>
          <w:rFonts w:ascii="Book Antiqua" w:hAnsi="Book Antiqua"/>
        </w:rPr>
        <w:t>: e0125013 [PMID: 25928635 DOI: 10.1371/journal.pone.0125013]</w:t>
      </w:r>
    </w:p>
    <w:p w14:paraId="798AEEF6" w14:textId="366D0BBD"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14</w:t>
      </w:r>
      <w:r w:rsidR="001F1BCA" w:rsidRPr="009C4C21">
        <w:rPr>
          <w:rFonts w:ascii="Book Antiqua" w:hAnsi="Book Antiqua"/>
        </w:rPr>
        <w:t xml:space="preserve"> </w:t>
      </w:r>
      <w:r w:rsidR="001F1BCA" w:rsidRPr="009C4C21">
        <w:rPr>
          <w:rFonts w:ascii="Book Antiqua" w:hAnsi="Book Antiqua"/>
          <w:b/>
          <w:bCs/>
        </w:rPr>
        <w:t>Song H</w:t>
      </w:r>
      <w:r w:rsidR="001F1BCA" w:rsidRPr="009C4C21">
        <w:rPr>
          <w:rFonts w:ascii="Book Antiqua" w:hAnsi="Book Antiqua"/>
        </w:rPr>
        <w:t xml:space="preserve">, Sun W, Ye G, Ding X, Liu Z, Zhang S, Xia T, Xiao B, Xi Y, Guo J. Long non-coding RNA expression profile in human gastric cancer and its clinical significances. </w:t>
      </w:r>
      <w:r w:rsidR="001F1BCA" w:rsidRPr="009C4C21">
        <w:rPr>
          <w:rFonts w:ascii="Book Antiqua" w:hAnsi="Book Antiqua"/>
          <w:i/>
          <w:iCs/>
        </w:rPr>
        <w:t>J Transl Med</w:t>
      </w:r>
      <w:r w:rsidR="001F1BCA" w:rsidRPr="009C4C21">
        <w:rPr>
          <w:rFonts w:ascii="Book Antiqua" w:hAnsi="Book Antiqua"/>
        </w:rPr>
        <w:t xml:space="preserve"> 2013; </w:t>
      </w:r>
      <w:r w:rsidR="001F1BCA" w:rsidRPr="009C4C21">
        <w:rPr>
          <w:rFonts w:ascii="Book Antiqua" w:hAnsi="Book Antiqua"/>
          <w:b/>
          <w:bCs/>
        </w:rPr>
        <w:t>11</w:t>
      </w:r>
      <w:r w:rsidR="001F1BCA" w:rsidRPr="009C4C21">
        <w:rPr>
          <w:rFonts w:ascii="Book Antiqua" w:hAnsi="Book Antiqua"/>
        </w:rPr>
        <w:t>: 225 [PMID: 24063685 DOI: 10.1186/1479-5876-11-225]</w:t>
      </w:r>
    </w:p>
    <w:p w14:paraId="61FE4E06" w14:textId="10681ADE"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15</w:t>
      </w:r>
      <w:r w:rsidR="001F1BCA" w:rsidRPr="009C4C21">
        <w:rPr>
          <w:rFonts w:ascii="Book Antiqua" w:hAnsi="Book Antiqua"/>
        </w:rPr>
        <w:t xml:space="preserve"> </w:t>
      </w:r>
      <w:r w:rsidR="001F1BCA" w:rsidRPr="009C4C21">
        <w:rPr>
          <w:rFonts w:ascii="Book Antiqua" w:hAnsi="Book Antiqua"/>
          <w:b/>
          <w:bCs/>
        </w:rPr>
        <w:t>Wei L</w:t>
      </w:r>
      <w:r w:rsidR="001F1BCA" w:rsidRPr="009C4C21">
        <w:rPr>
          <w:rFonts w:ascii="Book Antiqua" w:hAnsi="Book Antiqua"/>
        </w:rPr>
        <w:t xml:space="preserve">, Sun J, Zhang N, Zheng Y, Wang X, Lv L, Liu J, Xu Y, Shen Y, Yang M. Noncoding RNAs in gastric cancer: implications for drug resistance. </w:t>
      </w:r>
      <w:r w:rsidR="001F1BCA" w:rsidRPr="009C4C21">
        <w:rPr>
          <w:rFonts w:ascii="Book Antiqua" w:hAnsi="Book Antiqua"/>
          <w:i/>
          <w:iCs/>
        </w:rPr>
        <w:t>Mol Cancer</w:t>
      </w:r>
      <w:r w:rsidR="001F1BCA" w:rsidRPr="009C4C21">
        <w:rPr>
          <w:rFonts w:ascii="Book Antiqua" w:hAnsi="Book Antiqua"/>
        </w:rPr>
        <w:t xml:space="preserve"> 2020; </w:t>
      </w:r>
      <w:r w:rsidR="001F1BCA" w:rsidRPr="009C4C21">
        <w:rPr>
          <w:rFonts w:ascii="Book Antiqua" w:hAnsi="Book Antiqua"/>
          <w:b/>
          <w:bCs/>
        </w:rPr>
        <w:t>19</w:t>
      </w:r>
      <w:r w:rsidR="001F1BCA" w:rsidRPr="009C4C21">
        <w:rPr>
          <w:rFonts w:ascii="Book Antiqua" w:hAnsi="Book Antiqua"/>
        </w:rPr>
        <w:t>: 62 [PMID: 32192494 DOI: 10.1186/s12943-020-01185-7]</w:t>
      </w:r>
    </w:p>
    <w:p w14:paraId="7404235A" w14:textId="04DB7BE3"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16</w:t>
      </w:r>
      <w:r w:rsidR="001F1BCA" w:rsidRPr="009C4C21">
        <w:rPr>
          <w:rFonts w:ascii="Book Antiqua" w:hAnsi="Book Antiqua"/>
        </w:rPr>
        <w:t xml:space="preserve"> </w:t>
      </w:r>
      <w:r w:rsidR="001F1BCA" w:rsidRPr="009C4C21">
        <w:rPr>
          <w:rFonts w:ascii="Book Antiqua" w:hAnsi="Book Antiqua"/>
          <w:b/>
          <w:bCs/>
        </w:rPr>
        <w:t>Liu G</w:t>
      </w:r>
      <w:r w:rsidR="001F1BCA" w:rsidRPr="009C4C21">
        <w:rPr>
          <w:rFonts w:ascii="Book Antiqua" w:hAnsi="Book Antiqua"/>
        </w:rPr>
        <w:t xml:space="preserve">, Xiang T, Wu QF, Wang WX. Curcumin suppresses the proliferation of gastric cancer cells by downregulating H19. </w:t>
      </w:r>
      <w:r w:rsidR="001F1BCA" w:rsidRPr="009C4C21">
        <w:rPr>
          <w:rFonts w:ascii="Book Antiqua" w:hAnsi="Book Antiqua"/>
          <w:i/>
          <w:iCs/>
        </w:rPr>
        <w:t>Oncol Lett</w:t>
      </w:r>
      <w:r w:rsidR="001F1BCA" w:rsidRPr="009C4C21">
        <w:rPr>
          <w:rFonts w:ascii="Book Antiqua" w:hAnsi="Book Antiqua"/>
        </w:rPr>
        <w:t xml:space="preserve"> 2016; </w:t>
      </w:r>
      <w:r w:rsidR="001F1BCA" w:rsidRPr="009C4C21">
        <w:rPr>
          <w:rFonts w:ascii="Book Antiqua" w:hAnsi="Book Antiqua"/>
          <w:b/>
          <w:bCs/>
        </w:rPr>
        <w:t>12</w:t>
      </w:r>
      <w:r w:rsidR="001F1BCA" w:rsidRPr="009C4C21">
        <w:rPr>
          <w:rFonts w:ascii="Book Antiqua" w:hAnsi="Book Antiqua"/>
        </w:rPr>
        <w:t>: 5156-5162 [PMID: 28105222 DOI: 10.3892/ol.2016.5354]</w:t>
      </w:r>
    </w:p>
    <w:p w14:paraId="5DCD3877" w14:textId="732C60A5"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17</w:t>
      </w:r>
      <w:r w:rsidR="001F1BCA" w:rsidRPr="009C4C21">
        <w:rPr>
          <w:rFonts w:ascii="Book Antiqua" w:hAnsi="Book Antiqua"/>
        </w:rPr>
        <w:t xml:space="preserve"> </w:t>
      </w:r>
      <w:r w:rsidR="001F1BCA" w:rsidRPr="009C4C21">
        <w:rPr>
          <w:rFonts w:ascii="Book Antiqua" w:hAnsi="Book Antiqua"/>
          <w:b/>
          <w:bCs/>
        </w:rPr>
        <w:t>Han JY</w:t>
      </w:r>
      <w:r w:rsidR="001F1BCA" w:rsidRPr="009C4C21">
        <w:rPr>
          <w:rFonts w:ascii="Book Antiqua" w:hAnsi="Book Antiqua"/>
        </w:rPr>
        <w:t xml:space="preserve">, Hong EK, Choi BG, Park JN, Kim KW, Kang JH, Jin JY, Park SY, Hong YS, Lee KS. Death receptor 5 and Bcl-2 protein expression as predictors of tumor response to gemcitabine and cisplatin in patients with advanced non-small-cell lung cancer. </w:t>
      </w:r>
      <w:r w:rsidR="001F1BCA" w:rsidRPr="009C4C21">
        <w:rPr>
          <w:rFonts w:ascii="Book Antiqua" w:hAnsi="Book Antiqua"/>
          <w:i/>
          <w:iCs/>
        </w:rPr>
        <w:t>Med Oncol</w:t>
      </w:r>
      <w:r w:rsidR="001F1BCA" w:rsidRPr="009C4C21">
        <w:rPr>
          <w:rFonts w:ascii="Book Antiqua" w:hAnsi="Book Antiqua"/>
        </w:rPr>
        <w:t xml:space="preserve"> 2003; </w:t>
      </w:r>
      <w:r w:rsidR="001F1BCA" w:rsidRPr="009C4C21">
        <w:rPr>
          <w:rFonts w:ascii="Book Antiqua" w:hAnsi="Book Antiqua"/>
          <w:b/>
          <w:bCs/>
        </w:rPr>
        <w:t>20</w:t>
      </w:r>
      <w:r w:rsidR="001F1BCA" w:rsidRPr="009C4C21">
        <w:rPr>
          <w:rFonts w:ascii="Book Antiqua" w:hAnsi="Book Antiqua"/>
        </w:rPr>
        <w:t>: 355-362 [PMID: 14716031 DOI: 10.1385/mo:20:4:355]</w:t>
      </w:r>
    </w:p>
    <w:p w14:paraId="24FC2857" w14:textId="08848817"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18</w:t>
      </w:r>
      <w:r w:rsidR="001F1BCA" w:rsidRPr="009C4C21">
        <w:rPr>
          <w:rFonts w:ascii="Book Antiqua" w:hAnsi="Book Antiqua"/>
        </w:rPr>
        <w:t xml:space="preserve"> </w:t>
      </w:r>
      <w:r w:rsidR="001F1BCA" w:rsidRPr="009C4C21">
        <w:rPr>
          <w:rFonts w:ascii="Book Antiqua" w:hAnsi="Book Antiqua"/>
          <w:b/>
          <w:bCs/>
        </w:rPr>
        <w:t>Michaud WA</w:t>
      </w:r>
      <w:r w:rsidR="001F1BCA" w:rsidRPr="009C4C21">
        <w:rPr>
          <w:rFonts w:ascii="Book Antiqua" w:hAnsi="Book Antiqua"/>
        </w:rPr>
        <w:t xml:space="preserve">, Nichols AC, Mroz EA, Faquin WC, Clark JR, Begum S, Westra WH, Wada H, Busse PM, Ellisen LW, Rocco JW. Bcl-2 blocks cisplatin-induced apoptosis and predicts poor outcome following chemoradiation treatment in advanced oropharyngeal squamous cell carcinoma. </w:t>
      </w:r>
      <w:r w:rsidR="001F1BCA" w:rsidRPr="009C4C21">
        <w:rPr>
          <w:rFonts w:ascii="Book Antiqua" w:hAnsi="Book Antiqua"/>
          <w:i/>
          <w:iCs/>
        </w:rPr>
        <w:t>Clin Cancer Res</w:t>
      </w:r>
      <w:r w:rsidR="001F1BCA" w:rsidRPr="009C4C21">
        <w:rPr>
          <w:rFonts w:ascii="Book Antiqua" w:hAnsi="Book Antiqua"/>
        </w:rPr>
        <w:t xml:space="preserve"> 2009; </w:t>
      </w:r>
      <w:r w:rsidR="001F1BCA" w:rsidRPr="009C4C21">
        <w:rPr>
          <w:rFonts w:ascii="Book Antiqua" w:hAnsi="Book Antiqua"/>
          <w:b/>
          <w:bCs/>
        </w:rPr>
        <w:t>15</w:t>
      </w:r>
      <w:r w:rsidR="001F1BCA" w:rsidRPr="009C4C21">
        <w:rPr>
          <w:rFonts w:ascii="Book Antiqua" w:hAnsi="Book Antiqua"/>
        </w:rPr>
        <w:t>: 1645-1654 [PMID: 19240170 DOI: 10.1158/1078-0432.CCR-08-2581]</w:t>
      </w:r>
    </w:p>
    <w:p w14:paraId="78A455C9" w14:textId="5F658E6E"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19</w:t>
      </w:r>
      <w:r w:rsidR="001F1BCA" w:rsidRPr="009C4C21">
        <w:rPr>
          <w:rFonts w:ascii="Book Antiqua" w:hAnsi="Book Antiqua"/>
        </w:rPr>
        <w:t xml:space="preserve"> </w:t>
      </w:r>
      <w:r w:rsidR="001F1BCA" w:rsidRPr="009C4C21">
        <w:rPr>
          <w:rFonts w:ascii="Book Antiqua" w:hAnsi="Book Antiqua"/>
          <w:b/>
          <w:bCs/>
        </w:rPr>
        <w:t>Yang D</w:t>
      </w:r>
      <w:r w:rsidR="001F1BCA" w:rsidRPr="009C4C21">
        <w:rPr>
          <w:rFonts w:ascii="Book Antiqua" w:hAnsi="Book Antiqua"/>
        </w:rPr>
        <w:t xml:space="preserve">, Chen MB, Wang LQ, Yang L, Liu CY, Lu PH. Bcl-2 expression predicts sensitivity to chemotherapy in breast cancer: a systematic review and meta-analysis. </w:t>
      </w:r>
      <w:r w:rsidR="001F1BCA" w:rsidRPr="009C4C21">
        <w:rPr>
          <w:rFonts w:ascii="Book Antiqua" w:hAnsi="Book Antiqua"/>
          <w:i/>
          <w:iCs/>
        </w:rPr>
        <w:t>J Exp Clin Cancer Res</w:t>
      </w:r>
      <w:r w:rsidR="001F1BCA" w:rsidRPr="009C4C21">
        <w:rPr>
          <w:rFonts w:ascii="Book Antiqua" w:hAnsi="Book Antiqua"/>
        </w:rPr>
        <w:t xml:space="preserve"> 2013; </w:t>
      </w:r>
      <w:r w:rsidR="001F1BCA" w:rsidRPr="009C4C21">
        <w:rPr>
          <w:rFonts w:ascii="Book Antiqua" w:hAnsi="Book Antiqua"/>
          <w:b/>
          <w:bCs/>
        </w:rPr>
        <w:t>32</w:t>
      </w:r>
      <w:r w:rsidR="001F1BCA" w:rsidRPr="009C4C21">
        <w:rPr>
          <w:rFonts w:ascii="Book Antiqua" w:hAnsi="Book Antiqua"/>
        </w:rPr>
        <w:t>: 105 [PMID: 24370277 DOI: 10.1186/1756-9966-32-105]</w:t>
      </w:r>
    </w:p>
    <w:p w14:paraId="537C0B76" w14:textId="5615F504"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20</w:t>
      </w:r>
      <w:r w:rsidR="001F1BCA" w:rsidRPr="009C4C21">
        <w:rPr>
          <w:rFonts w:ascii="Book Antiqua" w:hAnsi="Book Antiqua"/>
        </w:rPr>
        <w:t xml:space="preserve"> </w:t>
      </w:r>
      <w:r w:rsidR="001F1BCA" w:rsidRPr="009C4C21">
        <w:rPr>
          <w:rFonts w:ascii="Book Antiqua" w:hAnsi="Book Antiqua"/>
          <w:b/>
          <w:bCs/>
        </w:rPr>
        <w:t>Malumbres M</w:t>
      </w:r>
      <w:r w:rsidR="001F1BCA" w:rsidRPr="009C4C21">
        <w:rPr>
          <w:rFonts w:ascii="Book Antiqua" w:hAnsi="Book Antiqua"/>
        </w:rPr>
        <w:t xml:space="preserve">, Barbacid M. To cycle or not to cycle: a critical decision in cancer. </w:t>
      </w:r>
      <w:r w:rsidR="001F1BCA" w:rsidRPr="009C4C21">
        <w:rPr>
          <w:rFonts w:ascii="Book Antiqua" w:hAnsi="Book Antiqua"/>
          <w:i/>
          <w:iCs/>
        </w:rPr>
        <w:t>Nat Rev Cancer</w:t>
      </w:r>
      <w:r w:rsidR="001F1BCA" w:rsidRPr="009C4C21">
        <w:rPr>
          <w:rFonts w:ascii="Book Antiqua" w:hAnsi="Book Antiqua"/>
        </w:rPr>
        <w:t xml:space="preserve"> 2001; </w:t>
      </w:r>
      <w:r w:rsidR="001F1BCA" w:rsidRPr="009C4C21">
        <w:rPr>
          <w:rFonts w:ascii="Book Antiqua" w:hAnsi="Book Antiqua"/>
          <w:b/>
          <w:bCs/>
        </w:rPr>
        <w:t>1</w:t>
      </w:r>
      <w:r w:rsidR="001F1BCA" w:rsidRPr="009C4C21">
        <w:rPr>
          <w:rFonts w:ascii="Book Antiqua" w:hAnsi="Book Antiqua"/>
        </w:rPr>
        <w:t>: 222-231 [PMID: 11902577 DOI: 10.1038/35106065]</w:t>
      </w:r>
    </w:p>
    <w:p w14:paraId="58D0890E" w14:textId="2365793D"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21</w:t>
      </w:r>
      <w:r w:rsidR="001F1BCA" w:rsidRPr="009C4C21">
        <w:rPr>
          <w:rFonts w:ascii="Book Antiqua" w:hAnsi="Book Antiqua"/>
        </w:rPr>
        <w:t xml:space="preserve"> </w:t>
      </w:r>
      <w:r w:rsidR="001F1BCA" w:rsidRPr="009C4C21">
        <w:rPr>
          <w:rFonts w:ascii="Book Antiqua" w:hAnsi="Book Antiqua"/>
          <w:b/>
          <w:bCs/>
        </w:rPr>
        <w:t>Jafari M</w:t>
      </w:r>
      <w:r w:rsidR="001F1BCA" w:rsidRPr="009C4C21">
        <w:rPr>
          <w:rFonts w:ascii="Book Antiqua" w:hAnsi="Book Antiqua"/>
        </w:rPr>
        <w:t xml:space="preserve">, Ghadami E, Dadkhah T, Akhavan-Niaki H. PI3k/AKT signaling pathway: Erythropoiesis and beyond. </w:t>
      </w:r>
      <w:r w:rsidR="001F1BCA" w:rsidRPr="009C4C21">
        <w:rPr>
          <w:rFonts w:ascii="Book Antiqua" w:hAnsi="Book Antiqua"/>
          <w:i/>
          <w:iCs/>
        </w:rPr>
        <w:t>J Cell Physiol</w:t>
      </w:r>
      <w:r w:rsidR="001F1BCA" w:rsidRPr="009C4C21">
        <w:rPr>
          <w:rFonts w:ascii="Book Antiqua" w:hAnsi="Book Antiqua"/>
        </w:rPr>
        <w:t xml:space="preserve"> 2019; </w:t>
      </w:r>
      <w:r w:rsidR="001F1BCA" w:rsidRPr="009C4C21">
        <w:rPr>
          <w:rFonts w:ascii="Book Antiqua" w:hAnsi="Book Antiqua"/>
          <w:b/>
          <w:bCs/>
        </w:rPr>
        <w:t>234</w:t>
      </w:r>
      <w:r w:rsidR="001F1BCA" w:rsidRPr="009C4C21">
        <w:rPr>
          <w:rFonts w:ascii="Book Antiqua" w:hAnsi="Book Antiqua"/>
        </w:rPr>
        <w:t>: 2373-2385 [PMID: 30192008 DOI: 10.1002/jcp.27262]</w:t>
      </w:r>
    </w:p>
    <w:p w14:paraId="5326BA19" w14:textId="06E8EA63"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22</w:t>
      </w:r>
      <w:r w:rsidR="001F1BCA" w:rsidRPr="009C4C21">
        <w:rPr>
          <w:rFonts w:ascii="Book Antiqua" w:hAnsi="Book Antiqua"/>
        </w:rPr>
        <w:t xml:space="preserve"> </w:t>
      </w:r>
      <w:r w:rsidR="001F1BCA" w:rsidRPr="009C4C21">
        <w:rPr>
          <w:rFonts w:ascii="Book Antiqua" w:hAnsi="Book Antiqua"/>
          <w:b/>
          <w:bCs/>
        </w:rPr>
        <w:t>Lee HJ</w:t>
      </w:r>
      <w:r w:rsidR="001F1BCA" w:rsidRPr="009C4C21">
        <w:rPr>
          <w:rFonts w:ascii="Book Antiqua" w:hAnsi="Book Antiqua"/>
        </w:rPr>
        <w:t xml:space="preserve">, Venkatarame Gowda Saralamma V, Kim SM, Ha SE, Raha S, Lee WS, Kim EH, Lee SJ, Heo JD, Kim GS. Pectolinarigenin Induced Cell Cycle Arrest, Autophagy, and Apoptosis in Gastric Cancer Cell via PI3K/AKT/mTOR Signaling Pathway. </w:t>
      </w:r>
      <w:r w:rsidR="001F1BCA" w:rsidRPr="009C4C21">
        <w:rPr>
          <w:rFonts w:ascii="Book Antiqua" w:hAnsi="Book Antiqua"/>
          <w:i/>
          <w:iCs/>
        </w:rPr>
        <w:t>Nutrients</w:t>
      </w:r>
      <w:r w:rsidR="001F1BCA" w:rsidRPr="009C4C21">
        <w:rPr>
          <w:rFonts w:ascii="Book Antiqua" w:hAnsi="Book Antiqua"/>
        </w:rPr>
        <w:t xml:space="preserve"> 2018; </w:t>
      </w:r>
      <w:r w:rsidR="001F1BCA" w:rsidRPr="009C4C21">
        <w:rPr>
          <w:rFonts w:ascii="Book Antiqua" w:hAnsi="Book Antiqua"/>
          <w:b/>
          <w:bCs/>
        </w:rPr>
        <w:t>10</w:t>
      </w:r>
      <w:r w:rsidR="001F1BCA" w:rsidRPr="009C4C21">
        <w:rPr>
          <w:rFonts w:ascii="Book Antiqua" w:hAnsi="Book Antiqua"/>
        </w:rPr>
        <w:t xml:space="preserve"> [PMID: 30096805 DOI: 10.3390/nu10081043]</w:t>
      </w:r>
    </w:p>
    <w:p w14:paraId="0FBE2D06" w14:textId="01BCD155"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23</w:t>
      </w:r>
      <w:r w:rsidR="001F1BCA" w:rsidRPr="009C4C21">
        <w:rPr>
          <w:rFonts w:ascii="Book Antiqua" w:hAnsi="Book Antiqua"/>
        </w:rPr>
        <w:t xml:space="preserve"> Erratum for Khorasani et al., The effect of omeprazole on asthmatic adolescents with gastroesophageal reflux disease. </w:t>
      </w:r>
      <w:r w:rsidR="001F1BCA" w:rsidRPr="009C4C21">
        <w:rPr>
          <w:rFonts w:ascii="Book Antiqua" w:hAnsi="Book Antiqua"/>
          <w:i/>
          <w:iCs/>
        </w:rPr>
        <w:t>Allergy Asthma Proc</w:t>
      </w:r>
      <w:r w:rsidR="001F1BCA" w:rsidRPr="009C4C21">
        <w:rPr>
          <w:rFonts w:ascii="Book Antiqua" w:hAnsi="Book Antiqua"/>
        </w:rPr>
        <w:t xml:space="preserve"> 2008; </w:t>
      </w:r>
      <w:r w:rsidR="001F1BCA" w:rsidRPr="009C4C21">
        <w:rPr>
          <w:rFonts w:ascii="Book Antiqua" w:hAnsi="Book Antiqua"/>
          <w:b/>
          <w:bCs/>
        </w:rPr>
        <w:t>29</w:t>
      </w:r>
      <w:r w:rsidR="001F1BCA" w:rsidRPr="009C4C21">
        <w:rPr>
          <w:rFonts w:ascii="Book Antiqua" w:hAnsi="Book Antiqua"/>
        </w:rPr>
        <w:t>: 675 [PMID: 29165189 DOI: 10.2500/108854112787226134]</w:t>
      </w:r>
    </w:p>
    <w:p w14:paraId="0DD1EDCA" w14:textId="0180C674"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24</w:t>
      </w:r>
      <w:r w:rsidR="001F1BCA" w:rsidRPr="009C4C21">
        <w:rPr>
          <w:rFonts w:ascii="Book Antiqua" w:hAnsi="Book Antiqua"/>
        </w:rPr>
        <w:t xml:space="preserve"> </w:t>
      </w:r>
      <w:r w:rsidR="001F1BCA" w:rsidRPr="009C4C21">
        <w:rPr>
          <w:rFonts w:ascii="Book Antiqua" w:hAnsi="Book Antiqua"/>
          <w:b/>
          <w:bCs/>
        </w:rPr>
        <w:t>Li C</w:t>
      </w:r>
      <w:r w:rsidR="001F1BCA" w:rsidRPr="009C4C21">
        <w:rPr>
          <w:rFonts w:ascii="Book Antiqua" w:hAnsi="Book Antiqua"/>
        </w:rPr>
        <w:t xml:space="preserve">, Liang G, Yang S, Sui J, Yao W, Shen X, Zhang Y, Peng H, Hong W, Xu S, Wu W, Ye Y, Zhang Z, Zhang W, Yin L, Pu Y. Dysregulated lncRNA-UCA1 contributes to the progression of gastric cancer through regulation of the PI3K-Akt-mTOR signaling pathway. </w:t>
      </w:r>
      <w:r w:rsidR="001F1BCA" w:rsidRPr="009C4C21">
        <w:rPr>
          <w:rFonts w:ascii="Book Antiqua" w:hAnsi="Book Antiqua"/>
          <w:i/>
          <w:iCs/>
        </w:rPr>
        <w:t>Oncotarget</w:t>
      </w:r>
      <w:r w:rsidR="001F1BCA" w:rsidRPr="009C4C21">
        <w:rPr>
          <w:rFonts w:ascii="Book Antiqua" w:hAnsi="Book Antiqua"/>
        </w:rPr>
        <w:t xml:space="preserve"> 2017; </w:t>
      </w:r>
      <w:r w:rsidR="001F1BCA" w:rsidRPr="009C4C21">
        <w:rPr>
          <w:rFonts w:ascii="Book Antiqua" w:hAnsi="Book Antiqua"/>
          <w:b/>
          <w:bCs/>
        </w:rPr>
        <w:t>8</w:t>
      </w:r>
      <w:r w:rsidR="001F1BCA" w:rsidRPr="009C4C21">
        <w:rPr>
          <w:rFonts w:ascii="Book Antiqua" w:hAnsi="Book Antiqua"/>
        </w:rPr>
        <w:t>: 93476-93491 [PMID: 29212166 DOI: 10.18632/oncotarget.19281]</w:t>
      </w:r>
    </w:p>
    <w:p w14:paraId="499C111C" w14:textId="4449F348"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25</w:t>
      </w:r>
      <w:r w:rsidR="001F1BCA" w:rsidRPr="009C4C21">
        <w:rPr>
          <w:rFonts w:ascii="Book Antiqua" w:hAnsi="Book Antiqua"/>
        </w:rPr>
        <w:t xml:space="preserve"> </w:t>
      </w:r>
      <w:r w:rsidR="001F1BCA" w:rsidRPr="009C4C21">
        <w:rPr>
          <w:rFonts w:ascii="Book Antiqua" w:hAnsi="Book Antiqua"/>
          <w:b/>
          <w:bCs/>
        </w:rPr>
        <w:t>Shuai Y</w:t>
      </w:r>
      <w:r w:rsidR="001F1BCA" w:rsidRPr="009C4C21">
        <w:rPr>
          <w:rFonts w:ascii="Book Antiqua" w:hAnsi="Book Antiqua"/>
        </w:rPr>
        <w:t xml:space="preserve">, Ma Z, Liu W, Yu T, Yan C, Jiang H, Tian S, Xu T, Shu Y. TEAD4 modulated LncRNA MNX1-AS1 contributes to gastric cancer progression partly through suppressing BTG2 and activating BCL2. </w:t>
      </w:r>
      <w:r w:rsidR="001F1BCA" w:rsidRPr="009C4C21">
        <w:rPr>
          <w:rFonts w:ascii="Book Antiqua" w:hAnsi="Book Antiqua"/>
          <w:i/>
          <w:iCs/>
        </w:rPr>
        <w:t>Mol Cancer</w:t>
      </w:r>
      <w:r w:rsidR="001F1BCA" w:rsidRPr="009C4C21">
        <w:rPr>
          <w:rFonts w:ascii="Book Antiqua" w:hAnsi="Book Antiqua"/>
        </w:rPr>
        <w:t xml:space="preserve"> 2020; </w:t>
      </w:r>
      <w:r w:rsidR="001F1BCA" w:rsidRPr="009C4C21">
        <w:rPr>
          <w:rFonts w:ascii="Book Antiqua" w:hAnsi="Book Antiqua"/>
          <w:b/>
          <w:bCs/>
        </w:rPr>
        <w:t>19</w:t>
      </w:r>
      <w:r w:rsidR="001F1BCA" w:rsidRPr="009C4C21">
        <w:rPr>
          <w:rFonts w:ascii="Book Antiqua" w:hAnsi="Book Antiqua"/>
        </w:rPr>
        <w:t>: 6 [PMID: 31924214 DOI: 10.1186/s12943-019-1104-1]</w:t>
      </w:r>
    </w:p>
    <w:p w14:paraId="034937E4" w14:textId="6406F243"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26</w:t>
      </w:r>
      <w:r w:rsidR="001F1BCA" w:rsidRPr="009C4C21">
        <w:rPr>
          <w:rFonts w:ascii="Book Antiqua" w:hAnsi="Book Antiqua"/>
        </w:rPr>
        <w:t xml:space="preserve"> </w:t>
      </w:r>
      <w:r w:rsidR="001F1BCA" w:rsidRPr="009C4C21">
        <w:rPr>
          <w:rFonts w:ascii="Book Antiqua" w:hAnsi="Book Antiqua"/>
          <w:b/>
          <w:bCs/>
        </w:rPr>
        <w:t>Xu F</w:t>
      </w:r>
      <w:r w:rsidR="001F1BCA" w:rsidRPr="009C4C21">
        <w:rPr>
          <w:rFonts w:ascii="Book Antiqua" w:hAnsi="Book Antiqua"/>
        </w:rPr>
        <w:t xml:space="preserve">, Ji Z, He L, Chen M, Chen H, Feng Q, Dong B, Yang X, Jiang L, Jin R. Downregulation of LINC01021 by curcumin analog Da0324 inhibits gastric cancer progression through activation of P53. </w:t>
      </w:r>
      <w:r w:rsidR="001F1BCA" w:rsidRPr="009C4C21">
        <w:rPr>
          <w:rFonts w:ascii="Book Antiqua" w:hAnsi="Book Antiqua"/>
          <w:i/>
          <w:iCs/>
        </w:rPr>
        <w:t>Am J Transl Res</w:t>
      </w:r>
      <w:r w:rsidR="001F1BCA" w:rsidRPr="009C4C21">
        <w:rPr>
          <w:rFonts w:ascii="Book Antiqua" w:hAnsi="Book Antiqua"/>
        </w:rPr>
        <w:t xml:space="preserve"> 2020; </w:t>
      </w:r>
      <w:r w:rsidR="001F1BCA" w:rsidRPr="009C4C21">
        <w:rPr>
          <w:rFonts w:ascii="Book Antiqua" w:hAnsi="Book Antiqua"/>
          <w:b/>
          <w:bCs/>
        </w:rPr>
        <w:t>12</w:t>
      </w:r>
      <w:r w:rsidR="001F1BCA" w:rsidRPr="009C4C21">
        <w:rPr>
          <w:rFonts w:ascii="Book Antiqua" w:hAnsi="Book Antiqua"/>
        </w:rPr>
        <w:t>: 3429-3444 [PMID: 32774710]</w:t>
      </w:r>
    </w:p>
    <w:p w14:paraId="2AF1DBB4" w14:textId="7988E93A"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27</w:t>
      </w:r>
      <w:r w:rsidR="001F1BCA" w:rsidRPr="009C4C21">
        <w:rPr>
          <w:rFonts w:ascii="Book Antiqua" w:hAnsi="Book Antiqua"/>
        </w:rPr>
        <w:t xml:space="preserve"> </w:t>
      </w:r>
      <w:r w:rsidR="001F1BCA" w:rsidRPr="009C4C21">
        <w:rPr>
          <w:rFonts w:ascii="Book Antiqua" w:hAnsi="Book Antiqua"/>
          <w:b/>
          <w:bCs/>
        </w:rPr>
        <w:t>Wang Z</w:t>
      </w:r>
      <w:r w:rsidR="001F1BCA" w:rsidRPr="009C4C21">
        <w:rPr>
          <w:rFonts w:ascii="Book Antiqua" w:hAnsi="Book Antiqua"/>
        </w:rPr>
        <w:t xml:space="preserve">, Wang Q, Xu G, Meng N, Huang X, Jiang Z, Chen C, Zhang Y, Chen J, Li A, Li N, Zou X, Zhou J, Ding Q, Wang S. The long noncoding RNA CRAL reverses cisplatin resistance via the miR-505/CYLD/AKT axis in human gastric cancer cells. </w:t>
      </w:r>
      <w:r w:rsidR="001F1BCA" w:rsidRPr="009C4C21">
        <w:rPr>
          <w:rFonts w:ascii="Book Antiqua" w:hAnsi="Book Antiqua"/>
          <w:i/>
          <w:iCs/>
        </w:rPr>
        <w:t>RNA Biol</w:t>
      </w:r>
      <w:r w:rsidR="001F1BCA" w:rsidRPr="009C4C21">
        <w:rPr>
          <w:rFonts w:ascii="Book Antiqua" w:hAnsi="Book Antiqua"/>
        </w:rPr>
        <w:t xml:space="preserve"> 2020; </w:t>
      </w:r>
      <w:r w:rsidR="001F1BCA" w:rsidRPr="009C4C21">
        <w:rPr>
          <w:rFonts w:ascii="Book Antiqua" w:hAnsi="Book Antiqua"/>
          <w:b/>
          <w:bCs/>
        </w:rPr>
        <w:t>17</w:t>
      </w:r>
      <w:r w:rsidR="001F1BCA" w:rsidRPr="009C4C21">
        <w:rPr>
          <w:rFonts w:ascii="Book Antiqua" w:hAnsi="Book Antiqua"/>
        </w:rPr>
        <w:t>: 1576-1589 [PMID: 31885317 DOI: 10.1080/15476286.2019.1709296]</w:t>
      </w:r>
    </w:p>
    <w:p w14:paraId="1B8652E0" w14:textId="14683DB3"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28</w:t>
      </w:r>
      <w:r w:rsidR="001F1BCA" w:rsidRPr="009C4C21">
        <w:rPr>
          <w:rFonts w:ascii="Book Antiqua" w:hAnsi="Book Antiqua"/>
        </w:rPr>
        <w:t xml:space="preserve"> </w:t>
      </w:r>
      <w:r w:rsidR="001F1BCA" w:rsidRPr="009C4C21">
        <w:rPr>
          <w:rFonts w:ascii="Book Antiqua" w:hAnsi="Book Antiqua"/>
          <w:b/>
          <w:bCs/>
        </w:rPr>
        <w:t>Zhang JX</w:t>
      </w:r>
      <w:r w:rsidR="001F1BCA" w:rsidRPr="009C4C21">
        <w:rPr>
          <w:rFonts w:ascii="Book Antiqua" w:hAnsi="Book Antiqua"/>
        </w:rPr>
        <w:t xml:space="preserve">, Chen ZH, Chen DL, Tian XP, Wang CY, Zhou ZW, Gao Y, Xu Y, Chen C, Zheng ZS, Weng HW, Ye S, Kuang M, Xie D, Peng S. LINC01410-miR-532-NCF2-NF-kB feedback loop promotes gastric cancer angiogenesis and metastasis. </w:t>
      </w:r>
      <w:r w:rsidR="001F1BCA" w:rsidRPr="009C4C21">
        <w:rPr>
          <w:rFonts w:ascii="Book Antiqua" w:hAnsi="Book Antiqua"/>
          <w:i/>
          <w:iCs/>
        </w:rPr>
        <w:t>Oncogene</w:t>
      </w:r>
      <w:r w:rsidR="001F1BCA" w:rsidRPr="009C4C21">
        <w:rPr>
          <w:rFonts w:ascii="Book Antiqua" w:hAnsi="Book Antiqua"/>
        </w:rPr>
        <w:t xml:space="preserve"> 2018; </w:t>
      </w:r>
      <w:r w:rsidR="001F1BCA" w:rsidRPr="009C4C21">
        <w:rPr>
          <w:rFonts w:ascii="Book Antiqua" w:hAnsi="Book Antiqua"/>
          <w:b/>
          <w:bCs/>
        </w:rPr>
        <w:t>37</w:t>
      </w:r>
      <w:r w:rsidR="001F1BCA" w:rsidRPr="009C4C21">
        <w:rPr>
          <w:rFonts w:ascii="Book Antiqua" w:hAnsi="Book Antiqua"/>
        </w:rPr>
        <w:t>: 2660-2675 [PMID: 29483646 DOI: 10.1038/s41388-018-0162-y]</w:t>
      </w:r>
    </w:p>
    <w:p w14:paraId="0B2614A0" w14:textId="7E13B798"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29</w:t>
      </w:r>
      <w:r w:rsidR="001F1BCA" w:rsidRPr="009C4C21">
        <w:rPr>
          <w:rFonts w:ascii="Book Antiqua" w:hAnsi="Book Antiqua"/>
        </w:rPr>
        <w:t xml:space="preserve"> </w:t>
      </w:r>
      <w:r w:rsidR="001F1BCA" w:rsidRPr="009C4C21">
        <w:rPr>
          <w:rFonts w:ascii="Book Antiqua" w:hAnsi="Book Antiqua"/>
          <w:b/>
          <w:bCs/>
        </w:rPr>
        <w:t>Jung M</w:t>
      </w:r>
      <w:r w:rsidR="001F1BCA" w:rsidRPr="009C4C21">
        <w:rPr>
          <w:rFonts w:ascii="Book Antiqua" w:hAnsi="Book Antiqua"/>
        </w:rPr>
        <w:t xml:space="preserve">, Xu C, Spethmann J, Johannsen M, Deger S, Stephan C, Loening SA, Jung K. Re: Hessels D, Klein Gunnewiek JMT, van Oort I, Karthaus HFM, van Leenders GJL, van Balken B, Kiemeney LA, Witjes JA, Schalken JA. DD3(PCA3)-based molecular urine analysis for the diagnosis of prostate cancer. Eur Urol 2003;44:8-16. </w:t>
      </w:r>
      <w:r w:rsidR="001F1BCA" w:rsidRPr="009C4C21">
        <w:rPr>
          <w:rFonts w:ascii="Book Antiqua" w:hAnsi="Book Antiqua"/>
          <w:i/>
          <w:iCs/>
        </w:rPr>
        <w:t>Eur Urol</w:t>
      </w:r>
      <w:r w:rsidR="001F1BCA" w:rsidRPr="009C4C21">
        <w:rPr>
          <w:rFonts w:ascii="Book Antiqua" w:hAnsi="Book Antiqua"/>
        </w:rPr>
        <w:t xml:space="preserve"> 2004; </w:t>
      </w:r>
      <w:r w:rsidR="001F1BCA" w:rsidRPr="009C4C21">
        <w:rPr>
          <w:rFonts w:ascii="Book Antiqua" w:hAnsi="Book Antiqua"/>
          <w:b/>
          <w:bCs/>
        </w:rPr>
        <w:t>46</w:t>
      </w:r>
      <w:r w:rsidR="001F1BCA" w:rsidRPr="009C4C21">
        <w:rPr>
          <w:rFonts w:ascii="Book Antiqua" w:hAnsi="Book Antiqua"/>
        </w:rPr>
        <w:t>: 271-272 [PMID: 15245824 DOI: 10.1016/j.eururo.2004.03.003]</w:t>
      </w:r>
    </w:p>
    <w:p w14:paraId="4EF1E8E9" w14:textId="55772B91" w:rsidR="001F1BCA" w:rsidRPr="009C4C21" w:rsidRDefault="00026717" w:rsidP="001F1BCA">
      <w:pPr>
        <w:snapToGrid w:val="0"/>
        <w:spacing w:line="360" w:lineRule="auto"/>
        <w:jc w:val="both"/>
        <w:rPr>
          <w:rFonts w:ascii="Book Antiqua" w:hAnsi="Book Antiqua"/>
        </w:rPr>
      </w:pPr>
      <w:r w:rsidRPr="009C4C21">
        <w:rPr>
          <w:rFonts w:ascii="Book Antiqua" w:hAnsi="Book Antiqua"/>
          <w:lang w:eastAsia="zh-CN"/>
        </w:rPr>
        <w:t>30</w:t>
      </w:r>
      <w:r w:rsidR="001F1BCA" w:rsidRPr="009C4C21">
        <w:rPr>
          <w:rFonts w:ascii="Book Antiqua" w:hAnsi="Book Antiqua"/>
        </w:rPr>
        <w:t xml:space="preserve"> </w:t>
      </w:r>
      <w:r w:rsidR="001F1BCA" w:rsidRPr="009C4C21">
        <w:rPr>
          <w:rFonts w:ascii="Book Antiqua" w:hAnsi="Book Antiqua"/>
          <w:b/>
          <w:bCs/>
        </w:rPr>
        <w:t>Atala A</w:t>
      </w:r>
      <w:r w:rsidR="001F1BCA" w:rsidRPr="009C4C21">
        <w:rPr>
          <w:rFonts w:ascii="Book Antiqua" w:hAnsi="Book Antiqua"/>
        </w:rPr>
        <w:t xml:space="preserve">. Re: lncRNA-dependent mechanisms of androgen-receptor-regulated gene activation programs. </w:t>
      </w:r>
      <w:r w:rsidR="001F1BCA" w:rsidRPr="009C4C21">
        <w:rPr>
          <w:rFonts w:ascii="Book Antiqua" w:hAnsi="Book Antiqua"/>
          <w:i/>
          <w:iCs/>
        </w:rPr>
        <w:t>J Urol</w:t>
      </w:r>
      <w:r w:rsidR="001F1BCA" w:rsidRPr="009C4C21">
        <w:rPr>
          <w:rFonts w:ascii="Book Antiqua" w:hAnsi="Book Antiqua"/>
        </w:rPr>
        <w:t xml:space="preserve"> 2014; </w:t>
      </w:r>
      <w:r w:rsidR="001F1BCA" w:rsidRPr="009C4C21">
        <w:rPr>
          <w:rFonts w:ascii="Book Antiqua" w:hAnsi="Book Antiqua"/>
          <w:b/>
          <w:bCs/>
        </w:rPr>
        <w:t>191</w:t>
      </w:r>
      <w:r w:rsidR="001F1BCA" w:rsidRPr="009C4C21">
        <w:rPr>
          <w:rFonts w:ascii="Book Antiqua" w:hAnsi="Book Antiqua"/>
        </w:rPr>
        <w:t>: 1470-1471 [PMID: 24745541 DOI: 10.1016/j.juro.2014.02.011]</w:t>
      </w:r>
    </w:p>
    <w:p w14:paraId="4100EC16" w14:textId="2FF075F2" w:rsidR="001F1BCA" w:rsidRPr="009C4C21" w:rsidRDefault="00141E8A" w:rsidP="001F1BCA">
      <w:pPr>
        <w:snapToGrid w:val="0"/>
        <w:spacing w:line="360" w:lineRule="auto"/>
        <w:jc w:val="both"/>
        <w:rPr>
          <w:rFonts w:ascii="Book Antiqua" w:hAnsi="Book Antiqua"/>
        </w:rPr>
      </w:pPr>
      <w:r w:rsidRPr="009C4C21">
        <w:rPr>
          <w:rFonts w:ascii="Book Antiqua" w:hAnsi="Book Antiqua"/>
          <w:lang w:eastAsia="zh-CN"/>
        </w:rPr>
        <w:t>31</w:t>
      </w:r>
      <w:r w:rsidR="001F1BCA" w:rsidRPr="009C4C21">
        <w:rPr>
          <w:rFonts w:ascii="Book Antiqua" w:hAnsi="Book Antiqua"/>
        </w:rPr>
        <w:t xml:space="preserve"> </w:t>
      </w:r>
      <w:r w:rsidR="001F1BCA" w:rsidRPr="009C4C21">
        <w:rPr>
          <w:rFonts w:ascii="Book Antiqua" w:hAnsi="Book Antiqua"/>
          <w:b/>
          <w:bCs/>
        </w:rPr>
        <w:t>Zuo Z</w:t>
      </w:r>
      <w:r w:rsidR="001F1BCA" w:rsidRPr="009C4C21">
        <w:rPr>
          <w:rFonts w:ascii="Book Antiqua" w:hAnsi="Book Antiqua"/>
        </w:rPr>
        <w:t xml:space="preserve">, Hu H, Xu Q, Luo X, Peng D, Zhu K, Zhao Q, Xie Y, Ren J. BBCancer: an expression atlas of blood-based biomarkers in the early diagnosis of cancers. </w:t>
      </w:r>
      <w:r w:rsidR="001F1BCA" w:rsidRPr="009C4C21">
        <w:rPr>
          <w:rFonts w:ascii="Book Antiqua" w:hAnsi="Book Antiqua"/>
          <w:i/>
          <w:iCs/>
        </w:rPr>
        <w:t>Nucleic Acids Res</w:t>
      </w:r>
      <w:r w:rsidR="001F1BCA" w:rsidRPr="009C4C21">
        <w:rPr>
          <w:rFonts w:ascii="Book Antiqua" w:hAnsi="Book Antiqua"/>
        </w:rPr>
        <w:t xml:space="preserve"> 2020; </w:t>
      </w:r>
      <w:r w:rsidR="001F1BCA" w:rsidRPr="009C4C21">
        <w:rPr>
          <w:rFonts w:ascii="Book Antiqua" w:hAnsi="Book Antiqua"/>
          <w:b/>
          <w:bCs/>
        </w:rPr>
        <w:t>48</w:t>
      </w:r>
      <w:r w:rsidR="001F1BCA" w:rsidRPr="009C4C21">
        <w:rPr>
          <w:rFonts w:ascii="Book Antiqua" w:hAnsi="Book Antiqua"/>
        </w:rPr>
        <w:t>: D789-D796 [PMID: 31665503 DOI: 10.1093/nar/gkz942]</w:t>
      </w:r>
    </w:p>
    <w:p w14:paraId="5B6DEC9F" w14:textId="36E991A4" w:rsidR="001F1BCA" w:rsidRPr="009C4C21" w:rsidRDefault="00141E8A" w:rsidP="001F1BCA">
      <w:pPr>
        <w:snapToGrid w:val="0"/>
        <w:spacing w:line="360" w:lineRule="auto"/>
        <w:jc w:val="both"/>
        <w:rPr>
          <w:rFonts w:ascii="Book Antiqua" w:hAnsi="Book Antiqua"/>
        </w:rPr>
      </w:pPr>
      <w:r w:rsidRPr="009C4C21">
        <w:rPr>
          <w:rFonts w:ascii="Book Antiqua" w:hAnsi="Book Antiqua"/>
          <w:lang w:eastAsia="zh-CN"/>
        </w:rPr>
        <w:t>32</w:t>
      </w:r>
      <w:r w:rsidR="001F1BCA" w:rsidRPr="009C4C21">
        <w:rPr>
          <w:rFonts w:ascii="Book Antiqua" w:hAnsi="Book Antiqua"/>
        </w:rPr>
        <w:t xml:space="preserve"> </w:t>
      </w:r>
      <w:r w:rsidR="001F1BCA" w:rsidRPr="009C4C21">
        <w:rPr>
          <w:rFonts w:ascii="Book Antiqua" w:hAnsi="Book Antiqua"/>
          <w:b/>
          <w:bCs/>
        </w:rPr>
        <w:t>Xian HP</w:t>
      </w:r>
      <w:r w:rsidR="001F1BCA" w:rsidRPr="009C4C21">
        <w:rPr>
          <w:rFonts w:ascii="Book Antiqua" w:hAnsi="Book Antiqua"/>
        </w:rPr>
        <w:t xml:space="preserve">, Zhuo ZL, Sun YJ, Liang B, Zhao XT. Circulating long non-coding RNAs HULC and ZNFX1-AS1 are potential biomarkers in patients with gastric cancer. </w:t>
      </w:r>
      <w:r w:rsidR="001F1BCA" w:rsidRPr="009C4C21">
        <w:rPr>
          <w:rFonts w:ascii="Book Antiqua" w:hAnsi="Book Antiqua"/>
          <w:i/>
          <w:iCs/>
        </w:rPr>
        <w:t>Oncol Lett</w:t>
      </w:r>
      <w:r w:rsidR="001F1BCA" w:rsidRPr="009C4C21">
        <w:rPr>
          <w:rFonts w:ascii="Book Antiqua" w:hAnsi="Book Antiqua"/>
        </w:rPr>
        <w:t xml:space="preserve"> 2018; </w:t>
      </w:r>
      <w:r w:rsidR="001F1BCA" w:rsidRPr="009C4C21">
        <w:rPr>
          <w:rFonts w:ascii="Book Antiqua" w:hAnsi="Book Antiqua"/>
          <w:b/>
          <w:bCs/>
        </w:rPr>
        <w:t>16</w:t>
      </w:r>
      <w:r w:rsidR="001F1BCA" w:rsidRPr="009C4C21">
        <w:rPr>
          <w:rFonts w:ascii="Book Antiqua" w:hAnsi="Book Antiqua"/>
        </w:rPr>
        <w:t>: 4689-4698 [PMID: 30197680 DOI: 10.3892/ol.2018.9199]</w:t>
      </w:r>
    </w:p>
    <w:p w14:paraId="231B676E" w14:textId="39851A6B" w:rsidR="001F1BCA" w:rsidRPr="009C4C21" w:rsidRDefault="00141E8A" w:rsidP="001F1BCA">
      <w:pPr>
        <w:snapToGrid w:val="0"/>
        <w:spacing w:line="360" w:lineRule="auto"/>
        <w:jc w:val="both"/>
        <w:rPr>
          <w:rFonts w:ascii="Book Antiqua" w:hAnsi="Book Antiqua"/>
        </w:rPr>
      </w:pPr>
      <w:r w:rsidRPr="009C4C21">
        <w:rPr>
          <w:rFonts w:ascii="Book Antiqua" w:hAnsi="Book Antiqua"/>
          <w:lang w:eastAsia="zh-CN"/>
        </w:rPr>
        <w:t>33</w:t>
      </w:r>
      <w:r w:rsidR="001F1BCA" w:rsidRPr="009C4C21">
        <w:rPr>
          <w:rFonts w:ascii="Book Antiqua" w:hAnsi="Book Antiqua"/>
        </w:rPr>
        <w:t xml:space="preserve"> </w:t>
      </w:r>
      <w:r w:rsidR="001F1BCA" w:rsidRPr="009C4C21">
        <w:rPr>
          <w:rFonts w:ascii="Book Antiqua" w:hAnsi="Book Antiqua"/>
          <w:b/>
          <w:bCs/>
        </w:rPr>
        <w:t>Feng W</w:t>
      </w:r>
      <w:r w:rsidR="001F1BCA" w:rsidRPr="009C4C21">
        <w:rPr>
          <w:rFonts w:ascii="Book Antiqua" w:hAnsi="Book Antiqua"/>
        </w:rPr>
        <w:t xml:space="preserve">, Zong W, Li Y, Shen X, Cui X, Ju S. Abnormally expressed long noncoding RNA B3GALT5-AS1 may serve as a biomarker for the diagnostic and prognostic of gastric cancer. </w:t>
      </w:r>
      <w:r w:rsidR="001F1BCA" w:rsidRPr="009C4C21">
        <w:rPr>
          <w:rFonts w:ascii="Book Antiqua" w:hAnsi="Book Antiqua"/>
          <w:i/>
          <w:iCs/>
        </w:rPr>
        <w:t>J Cell Biochem</w:t>
      </w:r>
      <w:r w:rsidR="001F1BCA" w:rsidRPr="009C4C21">
        <w:rPr>
          <w:rFonts w:ascii="Book Antiqua" w:hAnsi="Book Antiqua"/>
        </w:rPr>
        <w:t xml:space="preserve"> 2020; </w:t>
      </w:r>
      <w:r w:rsidR="001F1BCA" w:rsidRPr="009C4C21">
        <w:rPr>
          <w:rFonts w:ascii="Book Antiqua" w:hAnsi="Book Antiqua"/>
          <w:b/>
          <w:bCs/>
        </w:rPr>
        <w:t>121</w:t>
      </w:r>
      <w:r w:rsidR="001F1BCA" w:rsidRPr="009C4C21">
        <w:rPr>
          <w:rFonts w:ascii="Book Antiqua" w:hAnsi="Book Antiqua"/>
        </w:rPr>
        <w:t>: 557-565 [PMID: 31338903 DOI: 10.1002/jcb.29296]</w:t>
      </w:r>
    </w:p>
    <w:p w14:paraId="6D5BAE5D" w14:textId="42534C8B" w:rsidR="001F1BCA" w:rsidRPr="009C4C21" w:rsidRDefault="00141E8A" w:rsidP="001F1BCA">
      <w:pPr>
        <w:snapToGrid w:val="0"/>
        <w:spacing w:line="360" w:lineRule="auto"/>
        <w:jc w:val="both"/>
        <w:rPr>
          <w:rFonts w:ascii="Book Antiqua" w:hAnsi="Book Antiqua"/>
        </w:rPr>
      </w:pPr>
      <w:r w:rsidRPr="009C4C21">
        <w:rPr>
          <w:rFonts w:ascii="Book Antiqua" w:hAnsi="Book Antiqua"/>
          <w:lang w:eastAsia="zh-CN"/>
        </w:rPr>
        <w:t>34</w:t>
      </w:r>
      <w:r w:rsidR="001F1BCA" w:rsidRPr="009C4C21">
        <w:rPr>
          <w:rFonts w:ascii="Book Antiqua" w:hAnsi="Book Antiqua"/>
        </w:rPr>
        <w:t xml:space="preserve"> </w:t>
      </w:r>
      <w:r w:rsidR="001F1BCA" w:rsidRPr="009C4C21">
        <w:rPr>
          <w:rFonts w:ascii="Book Antiqua" w:hAnsi="Book Antiqua"/>
          <w:b/>
          <w:bCs/>
        </w:rPr>
        <w:t>Sasaki N</w:t>
      </w:r>
      <w:r w:rsidR="001F1BCA" w:rsidRPr="009C4C21">
        <w:rPr>
          <w:rFonts w:ascii="Book Antiqua" w:hAnsi="Book Antiqua"/>
        </w:rPr>
        <w:t xml:space="preserve">, Iwaya T, Chiba T, Fujita M, Ju Z, Endo F, Yaegashi M, Hachiya T, Sugimoto R, Sugai T, Siwak DR, Liotta LA, Lu Y, Mills GB, Nakagawa H, Nishizuka SS. Analysis of mutational and proteomic heterogeneity of gastric cancer suggests an effective pipeline to monitor post-treatment tumor burden using circulating tumor DNA. </w:t>
      </w:r>
      <w:r w:rsidR="001F1BCA" w:rsidRPr="009C4C21">
        <w:rPr>
          <w:rFonts w:ascii="Book Antiqua" w:hAnsi="Book Antiqua"/>
          <w:i/>
          <w:iCs/>
        </w:rPr>
        <w:t>PLoS One</w:t>
      </w:r>
      <w:r w:rsidR="001F1BCA" w:rsidRPr="009C4C21">
        <w:rPr>
          <w:rFonts w:ascii="Book Antiqua" w:hAnsi="Book Antiqua"/>
        </w:rPr>
        <w:t xml:space="preserve"> 2020; </w:t>
      </w:r>
      <w:r w:rsidR="001F1BCA" w:rsidRPr="009C4C21">
        <w:rPr>
          <w:rFonts w:ascii="Book Antiqua" w:hAnsi="Book Antiqua"/>
          <w:b/>
          <w:bCs/>
        </w:rPr>
        <w:t>15</w:t>
      </w:r>
      <w:r w:rsidR="001F1BCA" w:rsidRPr="009C4C21">
        <w:rPr>
          <w:rFonts w:ascii="Book Antiqua" w:hAnsi="Book Antiqua"/>
        </w:rPr>
        <w:t>: e0239966 [PMID: 33027286 DOI: 10.1371/journal.pone.0239966]</w:t>
      </w:r>
    </w:p>
    <w:p w14:paraId="713D29F5" w14:textId="10AC49E4" w:rsidR="001F1BCA" w:rsidRPr="009C4C21" w:rsidRDefault="00141E8A" w:rsidP="001F1BCA">
      <w:pPr>
        <w:snapToGrid w:val="0"/>
        <w:spacing w:line="360" w:lineRule="auto"/>
        <w:jc w:val="both"/>
        <w:rPr>
          <w:rFonts w:ascii="Book Antiqua" w:hAnsi="Book Antiqua"/>
        </w:rPr>
      </w:pPr>
      <w:r w:rsidRPr="009C4C21">
        <w:rPr>
          <w:rFonts w:ascii="Book Antiqua" w:hAnsi="Book Antiqua"/>
          <w:lang w:eastAsia="zh-CN"/>
        </w:rPr>
        <w:t>35</w:t>
      </w:r>
      <w:r w:rsidR="001F1BCA" w:rsidRPr="009C4C21">
        <w:rPr>
          <w:rFonts w:ascii="Book Antiqua" w:hAnsi="Book Antiqua"/>
        </w:rPr>
        <w:t xml:space="preserve"> </w:t>
      </w:r>
      <w:r w:rsidR="001F1BCA" w:rsidRPr="009C4C21">
        <w:rPr>
          <w:rFonts w:ascii="Book Antiqua" w:hAnsi="Book Antiqua"/>
          <w:b/>
          <w:bCs/>
        </w:rPr>
        <w:t>Lin KN</w:t>
      </w:r>
      <w:r w:rsidR="001F1BCA" w:rsidRPr="009C4C21">
        <w:rPr>
          <w:rFonts w:ascii="Book Antiqua" w:hAnsi="Book Antiqua"/>
        </w:rPr>
        <w:t xml:space="preserve">, Jiang YL, Zhang SG, Huang SY, Li H. Grape seed proanthocyanidin extract reverses multidrug resistance in HL-60/ADR cells via inhibition of the PI3K/Akt signaling pathway. </w:t>
      </w:r>
      <w:r w:rsidR="001F1BCA" w:rsidRPr="009C4C21">
        <w:rPr>
          <w:rFonts w:ascii="Book Antiqua" w:hAnsi="Book Antiqua"/>
          <w:i/>
          <w:iCs/>
        </w:rPr>
        <w:t>Biomed Pharmacother</w:t>
      </w:r>
      <w:r w:rsidR="001F1BCA" w:rsidRPr="009C4C21">
        <w:rPr>
          <w:rFonts w:ascii="Book Antiqua" w:hAnsi="Book Antiqua"/>
        </w:rPr>
        <w:t xml:space="preserve"> 2020; </w:t>
      </w:r>
      <w:r w:rsidR="001F1BCA" w:rsidRPr="009C4C21">
        <w:rPr>
          <w:rFonts w:ascii="Book Antiqua" w:hAnsi="Book Antiqua"/>
          <w:b/>
          <w:bCs/>
        </w:rPr>
        <w:t>125</w:t>
      </w:r>
      <w:r w:rsidR="001F1BCA" w:rsidRPr="009C4C21">
        <w:rPr>
          <w:rFonts w:ascii="Book Antiqua" w:hAnsi="Book Antiqua"/>
        </w:rPr>
        <w:t>: 109885 [PMID: 32007917 DOI: 10.1016/j.biopha.2020.109885]</w:t>
      </w:r>
    </w:p>
    <w:p w14:paraId="0EC068A3" w14:textId="1797D20F" w:rsidR="00A77B3E" w:rsidRPr="009C4C21" w:rsidRDefault="00A77B3E">
      <w:pPr>
        <w:spacing w:line="360" w:lineRule="auto"/>
        <w:jc w:val="both"/>
        <w:rPr>
          <w:rFonts w:ascii="Book Antiqua" w:hAnsi="Book Antiqua"/>
        </w:rPr>
      </w:pPr>
    </w:p>
    <w:p w14:paraId="067AE4B9" w14:textId="77777777" w:rsidR="00A77B3E" w:rsidRPr="009C4C21" w:rsidRDefault="00A77B3E">
      <w:pPr>
        <w:spacing w:line="360" w:lineRule="auto"/>
        <w:jc w:val="both"/>
        <w:rPr>
          <w:rFonts w:ascii="Book Antiqua" w:hAnsi="Book Antiqua"/>
        </w:rPr>
        <w:sectPr w:rsidR="00A77B3E" w:rsidRPr="009C4C21" w:rsidSect="004C4267">
          <w:pgSz w:w="12240" w:h="15840"/>
          <w:pgMar w:top="1440" w:right="1440" w:bottom="1440" w:left="1440" w:header="720" w:footer="720" w:gutter="0"/>
          <w:cols w:space="720"/>
          <w:docGrid w:linePitch="360"/>
        </w:sectPr>
      </w:pPr>
    </w:p>
    <w:p w14:paraId="33A546D4"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Footnotes</w:t>
      </w:r>
    </w:p>
    <w:p w14:paraId="6374744F" w14:textId="60C44067" w:rsidR="00A77B3E" w:rsidRPr="009C4C21" w:rsidRDefault="009A1F6D">
      <w:pPr>
        <w:spacing w:line="360" w:lineRule="auto"/>
        <w:jc w:val="both"/>
        <w:rPr>
          <w:rFonts w:ascii="Book Antiqua" w:eastAsia="Book Antiqua" w:hAnsi="Book Antiqua" w:cs="Book Antiqua"/>
        </w:rPr>
      </w:pPr>
      <w:r w:rsidRPr="009C4C21">
        <w:rPr>
          <w:rFonts w:ascii="Book Antiqua" w:eastAsia="Book Antiqua" w:hAnsi="Book Antiqua" w:cs="Book Antiqua"/>
          <w:b/>
          <w:bCs/>
        </w:rPr>
        <w:t>Institutional review board statement:</w:t>
      </w:r>
      <w:r w:rsidRPr="009C4C21">
        <w:rPr>
          <w:rFonts w:ascii="Book Antiqua" w:eastAsia="Book Antiqua" w:hAnsi="Book Antiqua" w:cs="Book Antiqua"/>
        </w:rPr>
        <w:t xml:space="preserve"> This study was approved by the Ethics Committee of the First Hospital of Lanzhou University.</w:t>
      </w:r>
    </w:p>
    <w:p w14:paraId="46CAB83B" w14:textId="77777777" w:rsidR="00A77B3E" w:rsidRPr="009C4C21" w:rsidRDefault="00A77B3E">
      <w:pPr>
        <w:spacing w:line="360" w:lineRule="auto"/>
        <w:jc w:val="both"/>
        <w:rPr>
          <w:rFonts w:ascii="Book Antiqua" w:eastAsia="Book Antiqua" w:hAnsi="Book Antiqua" w:cs="Book Antiqua"/>
        </w:rPr>
      </w:pPr>
    </w:p>
    <w:p w14:paraId="2F24AC6B" w14:textId="63448D72" w:rsidR="00A77B3E" w:rsidRPr="009C4C21" w:rsidRDefault="009A1F6D">
      <w:pPr>
        <w:spacing w:line="360" w:lineRule="auto"/>
        <w:jc w:val="both"/>
        <w:rPr>
          <w:rFonts w:ascii="Book Antiqua" w:eastAsia="Book Antiqua" w:hAnsi="Book Antiqua" w:cs="Book Antiqua"/>
        </w:rPr>
      </w:pPr>
      <w:r w:rsidRPr="009C4C21">
        <w:rPr>
          <w:rFonts w:ascii="Book Antiqua" w:eastAsia="Book Antiqua" w:hAnsi="Book Antiqua" w:cs="Book Antiqua"/>
          <w:b/>
          <w:bCs/>
        </w:rPr>
        <w:t>Conflict-of-interest statement:</w:t>
      </w:r>
      <w:r w:rsidR="001F1BCA" w:rsidRPr="009C4C21">
        <w:rPr>
          <w:rFonts w:ascii="Book Antiqua" w:eastAsia="Book Antiqua" w:hAnsi="Book Antiqua" w:cs="Book Antiqua"/>
        </w:rPr>
        <w:t xml:space="preserve"> </w:t>
      </w:r>
      <w:r w:rsidRPr="009C4C21">
        <w:rPr>
          <w:rFonts w:ascii="Book Antiqua" w:eastAsia="Book Antiqua" w:hAnsi="Book Antiqua" w:cs="Book Antiqua"/>
        </w:rPr>
        <w:t>The authors declare that they have no competing interests.</w:t>
      </w:r>
    </w:p>
    <w:p w14:paraId="2CF73F64" w14:textId="77777777" w:rsidR="00A77B3E" w:rsidRPr="009C4C21" w:rsidRDefault="00A77B3E">
      <w:pPr>
        <w:spacing w:line="360" w:lineRule="auto"/>
        <w:jc w:val="both"/>
        <w:rPr>
          <w:rFonts w:ascii="Book Antiqua" w:hAnsi="Book Antiqua"/>
        </w:rPr>
      </w:pPr>
    </w:p>
    <w:p w14:paraId="6DCB6179" w14:textId="57F33657" w:rsidR="00A77B3E" w:rsidRPr="009C4C21" w:rsidRDefault="009A1F6D">
      <w:pPr>
        <w:spacing w:line="360" w:lineRule="auto"/>
        <w:jc w:val="both"/>
        <w:rPr>
          <w:rFonts w:ascii="Book Antiqua" w:eastAsia="Book Antiqua" w:hAnsi="Book Antiqua" w:cs="Book Antiqua"/>
        </w:rPr>
      </w:pPr>
      <w:r w:rsidRPr="009C4C21">
        <w:rPr>
          <w:rFonts w:ascii="Book Antiqua" w:eastAsia="Book Antiqua" w:hAnsi="Book Antiqua" w:cs="Book Antiqua"/>
          <w:b/>
          <w:bCs/>
        </w:rPr>
        <w:t>Data sharing statement:</w:t>
      </w:r>
      <w:r w:rsidR="001F1BCA" w:rsidRPr="009C4C21">
        <w:rPr>
          <w:rFonts w:ascii="Book Antiqua" w:eastAsia="Book Antiqua" w:hAnsi="Book Antiqua" w:cs="Book Antiqua"/>
        </w:rPr>
        <w:t xml:space="preserve"> </w:t>
      </w:r>
      <w:r w:rsidRPr="009C4C21">
        <w:rPr>
          <w:rFonts w:ascii="Book Antiqua" w:eastAsia="Book Antiqua" w:hAnsi="Book Antiqua" w:cs="Book Antiqua"/>
        </w:rPr>
        <w:t>The datasets used and/or analyzed during this study are available from the corresponding author upon reasonable request.</w:t>
      </w:r>
    </w:p>
    <w:p w14:paraId="663095A2" w14:textId="77777777" w:rsidR="00A77B3E" w:rsidRPr="009C4C21" w:rsidRDefault="00A77B3E">
      <w:pPr>
        <w:spacing w:line="360" w:lineRule="auto"/>
        <w:jc w:val="both"/>
        <w:rPr>
          <w:rFonts w:ascii="Book Antiqua" w:hAnsi="Book Antiqua"/>
        </w:rPr>
      </w:pPr>
    </w:p>
    <w:p w14:paraId="70E95864" w14:textId="1FEBD713"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Open-Access: </w:t>
      </w:r>
      <w:r w:rsidRPr="009C4C2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FA5712">
        <w:rPr>
          <w:rFonts w:ascii="Book Antiqua" w:eastAsia="Book Antiqua" w:hAnsi="Book Antiqua" w:cs="Book Antiqua"/>
        </w:rPr>
        <w:t>-</w:t>
      </w:r>
      <w:r w:rsidRPr="009C4C21">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F0EDC9" w14:textId="77777777" w:rsidR="00A77B3E" w:rsidRPr="009C4C21" w:rsidRDefault="00A77B3E">
      <w:pPr>
        <w:spacing w:line="360" w:lineRule="auto"/>
        <w:jc w:val="both"/>
        <w:rPr>
          <w:rFonts w:ascii="Book Antiqua" w:hAnsi="Book Antiqua"/>
        </w:rPr>
      </w:pPr>
    </w:p>
    <w:p w14:paraId="2FDF22CB"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Provenance and peer review: </w:t>
      </w:r>
      <w:r w:rsidRPr="009C4C21">
        <w:rPr>
          <w:rFonts w:ascii="Book Antiqua" w:eastAsia="Book Antiqua" w:hAnsi="Book Antiqua" w:cs="Book Antiqua"/>
        </w:rPr>
        <w:t>Unsolicited article; Externally peer reviewed.</w:t>
      </w:r>
    </w:p>
    <w:p w14:paraId="1E46995E"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Peer-review model: </w:t>
      </w:r>
      <w:r w:rsidRPr="009C4C21">
        <w:rPr>
          <w:rFonts w:ascii="Book Antiqua" w:eastAsia="Book Antiqua" w:hAnsi="Book Antiqua" w:cs="Book Antiqua"/>
        </w:rPr>
        <w:t>Single blind</w:t>
      </w:r>
    </w:p>
    <w:p w14:paraId="157679E7" w14:textId="77777777" w:rsidR="00A77B3E" w:rsidRPr="009C4C21" w:rsidRDefault="00A77B3E">
      <w:pPr>
        <w:spacing w:line="360" w:lineRule="auto"/>
        <w:jc w:val="both"/>
        <w:rPr>
          <w:rFonts w:ascii="Book Antiqua" w:hAnsi="Book Antiqua"/>
        </w:rPr>
      </w:pPr>
    </w:p>
    <w:p w14:paraId="7D2F42B8"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Peer-review started: </w:t>
      </w:r>
      <w:r w:rsidRPr="009C4C21">
        <w:rPr>
          <w:rFonts w:ascii="Book Antiqua" w:eastAsia="Book Antiqua" w:hAnsi="Book Antiqua" w:cs="Book Antiqua"/>
        </w:rPr>
        <w:t>October 13, 2023</w:t>
      </w:r>
    </w:p>
    <w:p w14:paraId="191F88B4"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First decision: </w:t>
      </w:r>
      <w:r w:rsidRPr="009C4C21">
        <w:rPr>
          <w:rFonts w:ascii="Book Antiqua" w:eastAsia="Book Antiqua" w:hAnsi="Book Antiqua" w:cs="Book Antiqua"/>
        </w:rPr>
        <w:t>December 8, 2023</w:t>
      </w:r>
    </w:p>
    <w:p w14:paraId="69CC1E9B"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Article in press: </w:t>
      </w:r>
    </w:p>
    <w:p w14:paraId="56BF0982" w14:textId="77777777" w:rsidR="00A77B3E" w:rsidRPr="009C4C21" w:rsidRDefault="00A77B3E">
      <w:pPr>
        <w:spacing w:line="360" w:lineRule="auto"/>
        <w:jc w:val="both"/>
        <w:rPr>
          <w:rFonts w:ascii="Book Antiqua" w:hAnsi="Book Antiqua"/>
        </w:rPr>
      </w:pPr>
    </w:p>
    <w:p w14:paraId="79DC9AF6"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Specialty type: </w:t>
      </w:r>
      <w:r w:rsidRPr="009C4C21">
        <w:rPr>
          <w:rFonts w:ascii="Book Antiqua" w:eastAsia="Book Antiqua" w:hAnsi="Book Antiqua" w:cs="Book Antiqua"/>
        </w:rPr>
        <w:t>Cell Biology</w:t>
      </w:r>
    </w:p>
    <w:p w14:paraId="1F31CE4C"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 xml:space="preserve">Country/Territory of origin: </w:t>
      </w:r>
      <w:r w:rsidRPr="009C4C21">
        <w:rPr>
          <w:rFonts w:ascii="Book Antiqua" w:eastAsia="Book Antiqua" w:hAnsi="Book Antiqua" w:cs="Book Antiqua"/>
        </w:rPr>
        <w:t>China</w:t>
      </w:r>
    </w:p>
    <w:p w14:paraId="54C4080F"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Peer-review report’s scientific quality classification</w:t>
      </w:r>
    </w:p>
    <w:p w14:paraId="7F76081A"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Grade A (Excellent): 0</w:t>
      </w:r>
    </w:p>
    <w:p w14:paraId="6E21D9C9"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Grade B (Very good): 0</w:t>
      </w:r>
    </w:p>
    <w:p w14:paraId="23ACD61A"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Grade C (Good): C</w:t>
      </w:r>
    </w:p>
    <w:p w14:paraId="389E7472"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Grade D (Fair): 0</w:t>
      </w:r>
    </w:p>
    <w:p w14:paraId="31E5FA74"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rPr>
        <w:t>Grade E (Poor): 0</w:t>
      </w:r>
    </w:p>
    <w:p w14:paraId="5EC60117" w14:textId="77777777" w:rsidR="00A77B3E" w:rsidRPr="009C4C21" w:rsidRDefault="00A77B3E">
      <w:pPr>
        <w:spacing w:line="360" w:lineRule="auto"/>
        <w:jc w:val="both"/>
        <w:rPr>
          <w:rFonts w:ascii="Book Antiqua" w:hAnsi="Book Antiqua"/>
        </w:rPr>
      </w:pPr>
    </w:p>
    <w:p w14:paraId="6566A3A9" w14:textId="4263B84A" w:rsidR="00A77B3E" w:rsidRPr="009C4C21" w:rsidRDefault="009A1F6D">
      <w:pPr>
        <w:spacing w:line="360" w:lineRule="auto"/>
        <w:jc w:val="both"/>
        <w:rPr>
          <w:rFonts w:ascii="Book Antiqua" w:eastAsia="Book Antiqua" w:hAnsi="Book Antiqua" w:cs="Book Antiqua"/>
          <w:b/>
          <w:color w:val="000000"/>
        </w:rPr>
      </w:pPr>
      <w:r w:rsidRPr="009C4C21">
        <w:rPr>
          <w:rFonts w:ascii="Book Antiqua" w:eastAsia="Book Antiqua" w:hAnsi="Book Antiqua" w:cs="Book Antiqua"/>
          <w:b/>
          <w:color w:val="000000"/>
        </w:rPr>
        <w:t xml:space="preserve">P-Reviewer: </w:t>
      </w:r>
      <w:r w:rsidRPr="009C4C21">
        <w:rPr>
          <w:rFonts w:ascii="Book Antiqua" w:eastAsia="Book Antiqua" w:hAnsi="Book Antiqua" w:cs="Book Antiqua"/>
        </w:rPr>
        <w:t>Hori T, Japan</w:t>
      </w:r>
      <w:r w:rsidRPr="009C4C21">
        <w:rPr>
          <w:rFonts w:ascii="Book Antiqua" w:eastAsia="Book Antiqua" w:hAnsi="Book Antiqua" w:cs="Book Antiqua"/>
          <w:b/>
          <w:color w:val="000000"/>
        </w:rPr>
        <w:t xml:space="preserve"> S-Editor: </w:t>
      </w:r>
      <w:r w:rsidR="00737CD7" w:rsidRPr="009C4C21">
        <w:rPr>
          <w:rFonts w:ascii="Book Antiqua" w:eastAsia="Book Antiqua" w:hAnsi="Book Antiqua" w:cs="Book Antiqua"/>
          <w:bCs/>
          <w:color w:val="000000"/>
        </w:rPr>
        <w:t>Gong ZM</w:t>
      </w:r>
      <w:r w:rsidRPr="009C4C21">
        <w:rPr>
          <w:rFonts w:ascii="Book Antiqua" w:eastAsia="Book Antiqua" w:hAnsi="Book Antiqua" w:cs="Book Antiqua"/>
          <w:b/>
          <w:color w:val="000000"/>
        </w:rPr>
        <w:t xml:space="preserve"> L-Editor: </w:t>
      </w:r>
      <w:r w:rsidR="0073043C">
        <w:rPr>
          <w:rFonts w:ascii="Book Antiqua" w:eastAsia="Book Antiqua" w:hAnsi="Book Antiqua" w:cs="Book Antiqua"/>
          <w:bCs/>
          <w:color w:val="000000"/>
        </w:rPr>
        <w:t>Filipodia</w:t>
      </w:r>
      <w:r w:rsidRPr="009C4C21">
        <w:rPr>
          <w:rFonts w:ascii="Book Antiqua" w:eastAsia="Book Antiqua" w:hAnsi="Book Antiqua" w:cs="Book Antiqua"/>
          <w:b/>
          <w:color w:val="000000"/>
        </w:rPr>
        <w:t xml:space="preserve"> P-Editor: </w:t>
      </w:r>
    </w:p>
    <w:p w14:paraId="6D24BE19" w14:textId="77777777" w:rsidR="00FE4F2C" w:rsidRPr="009C4C21" w:rsidRDefault="00FE4F2C">
      <w:pPr>
        <w:spacing w:line="360" w:lineRule="auto"/>
        <w:jc w:val="both"/>
        <w:rPr>
          <w:rFonts w:ascii="Book Antiqua" w:hAnsi="Book Antiqua"/>
        </w:rPr>
        <w:sectPr w:rsidR="00FE4F2C" w:rsidRPr="009C4C21" w:rsidSect="004C4267">
          <w:pgSz w:w="12240" w:h="15840"/>
          <w:pgMar w:top="1440" w:right="1440" w:bottom="1440" w:left="1440" w:header="720" w:footer="720" w:gutter="0"/>
          <w:cols w:space="720"/>
          <w:docGrid w:linePitch="360"/>
        </w:sectPr>
      </w:pPr>
    </w:p>
    <w:p w14:paraId="359DB0C1" w14:textId="77777777" w:rsidR="00A77B3E" w:rsidRPr="009C4C21" w:rsidRDefault="009A1F6D">
      <w:pPr>
        <w:spacing w:line="360" w:lineRule="auto"/>
        <w:jc w:val="both"/>
        <w:rPr>
          <w:rFonts w:ascii="Book Antiqua" w:hAnsi="Book Antiqua"/>
        </w:rPr>
      </w:pPr>
      <w:r w:rsidRPr="009C4C21">
        <w:rPr>
          <w:rFonts w:ascii="Book Antiqua" w:eastAsia="Book Antiqua" w:hAnsi="Book Antiqua" w:cs="Book Antiqua"/>
          <w:b/>
          <w:color w:val="000000"/>
        </w:rPr>
        <w:t>Figure Legends</w:t>
      </w:r>
    </w:p>
    <w:p w14:paraId="0077E206" w14:textId="16A81B25" w:rsidR="00A77B3E" w:rsidRPr="009C4C21" w:rsidRDefault="00E44E1B">
      <w:pPr>
        <w:spacing w:line="360" w:lineRule="auto"/>
        <w:jc w:val="both"/>
        <w:rPr>
          <w:rFonts w:ascii="Book Antiqua" w:hAnsi="Book Antiqua"/>
        </w:rPr>
      </w:pPr>
      <w:r w:rsidRPr="009C4C21">
        <w:rPr>
          <w:rFonts w:ascii="Book Antiqua" w:hAnsi="Book Antiqua"/>
          <w:noProof/>
          <w:lang w:eastAsia="zh-CN"/>
        </w:rPr>
        <w:drawing>
          <wp:inline distT="0" distB="0" distL="0" distR="0" wp14:anchorId="4A261569" wp14:editId="3A4C5057">
            <wp:extent cx="6925848" cy="41623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28624" cy="4164016"/>
                    </a:xfrm>
                    <a:prstGeom prst="rect">
                      <a:avLst/>
                    </a:prstGeom>
                  </pic:spPr>
                </pic:pic>
              </a:graphicData>
            </a:graphic>
          </wp:inline>
        </w:drawing>
      </w:r>
    </w:p>
    <w:p w14:paraId="07187C19" w14:textId="23F67240"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Figure 1</w:t>
      </w:r>
      <w:r w:rsidRPr="009C4C21">
        <w:rPr>
          <w:rFonts w:ascii="Book Antiqua" w:eastAsia="Book Antiqua" w:hAnsi="Book Antiqua" w:cs="Book Antiqua"/>
        </w:rPr>
        <w:t xml:space="preserve"> </w:t>
      </w:r>
      <w:r w:rsidRPr="009C4C21">
        <w:rPr>
          <w:rFonts w:ascii="Book Antiqua" w:eastAsia="Book Antiqua" w:hAnsi="Book Antiqua" w:cs="Book Antiqua"/>
          <w:b/>
          <w:bCs/>
        </w:rPr>
        <w:t>Effects of curcumin concentrations on cell viability and proliferation.</w:t>
      </w:r>
      <w:r w:rsidRPr="009C4C21">
        <w:rPr>
          <w:rFonts w:ascii="Book Antiqua" w:eastAsia="Book Antiqua" w:hAnsi="Book Antiqua" w:cs="Book Antiqua"/>
        </w:rPr>
        <w:t xml:space="preserve"> </w:t>
      </w:r>
      <w:r w:rsidR="00E44E1B" w:rsidRPr="009C4C21">
        <w:rPr>
          <w:rFonts w:ascii="Book Antiqua" w:eastAsia="Book Antiqua" w:hAnsi="Book Antiqua" w:cs="Book Antiqua"/>
        </w:rPr>
        <w:t xml:space="preserve">A and B: </w:t>
      </w:r>
      <w:r w:rsidRPr="009C4C21">
        <w:rPr>
          <w:rFonts w:ascii="Book Antiqua" w:eastAsia="Book Antiqua" w:hAnsi="Book Antiqua" w:cs="Book Antiqua"/>
        </w:rPr>
        <w:t>The effects of different concentrations of curcumin on the viability of BGC-823 and MGC-803 cells were detec</w:t>
      </w:r>
      <w:r w:rsidR="00E44E1B" w:rsidRPr="009C4C21">
        <w:rPr>
          <w:rFonts w:ascii="Book Antiqua" w:eastAsia="Book Antiqua" w:hAnsi="Book Antiqua" w:cs="Book Antiqua"/>
        </w:rPr>
        <w:t>ted using the CCK-8 assay</w:t>
      </w:r>
      <w:r w:rsidR="009F2D01">
        <w:rPr>
          <w:rFonts w:ascii="Book Antiqua" w:eastAsia="Book Antiqua" w:hAnsi="Book Antiqua" w:cs="Book Antiqua"/>
        </w:rPr>
        <w:t>;</w:t>
      </w:r>
      <w:r w:rsidRPr="009C4C21">
        <w:rPr>
          <w:rFonts w:ascii="Book Antiqua" w:eastAsia="Book Antiqua" w:hAnsi="Book Antiqua" w:cs="Book Antiqua"/>
        </w:rPr>
        <w:t xml:space="preserve"> </w:t>
      </w:r>
      <w:r w:rsidR="00E44E1B" w:rsidRPr="009C4C21">
        <w:rPr>
          <w:rFonts w:ascii="Book Antiqua" w:eastAsia="Book Antiqua" w:hAnsi="Book Antiqua" w:cs="Book Antiqua"/>
        </w:rPr>
        <w:t xml:space="preserve">C: </w:t>
      </w:r>
      <w:r w:rsidRPr="009C4C21">
        <w:rPr>
          <w:rFonts w:ascii="Book Antiqua" w:eastAsia="Book Antiqua" w:hAnsi="Book Antiqua" w:cs="Book Antiqua"/>
        </w:rPr>
        <w:t>The proliferation of BGC-823 and MGC-803 cells treated with 40</w:t>
      </w:r>
      <w:r w:rsidR="000F6220" w:rsidRPr="009C4C21">
        <w:rPr>
          <w:rFonts w:ascii="Book Antiqua" w:eastAsia="Book Antiqua" w:hAnsi="Book Antiqua" w:cs="Book Antiqua"/>
        </w:rPr>
        <w:t xml:space="preserve"> </w:t>
      </w:r>
      <w:r w:rsidRPr="009C4C21">
        <w:rPr>
          <w:rFonts w:ascii="Book Antiqua" w:eastAsia="Book Antiqua" w:hAnsi="Book Antiqua" w:cs="Book Antiqua"/>
        </w:rPr>
        <w:t>μ</w:t>
      </w:r>
      <w:r w:rsidR="000F6220" w:rsidRPr="009C4C21">
        <w:rPr>
          <w:rFonts w:ascii="Book Antiqua" w:eastAsia="Book Antiqua" w:hAnsi="Book Antiqua" w:cs="Book Antiqua"/>
        </w:rPr>
        <w:t>mol/L</w:t>
      </w:r>
      <w:r w:rsidRPr="009C4C21">
        <w:rPr>
          <w:rFonts w:ascii="Book Antiqua" w:eastAsia="Book Antiqua" w:hAnsi="Book Antiqua" w:cs="Book Antiqua"/>
        </w:rPr>
        <w:t xml:space="preserve"> curcumin at different time points was as</w:t>
      </w:r>
      <w:r w:rsidR="00E44E1B" w:rsidRPr="009C4C21">
        <w:rPr>
          <w:rFonts w:ascii="Book Antiqua" w:eastAsia="Book Antiqua" w:hAnsi="Book Antiqua" w:cs="Book Antiqua"/>
        </w:rPr>
        <w:t>sessed using the CCK-8 assay</w:t>
      </w:r>
      <w:r w:rsidR="009F2D01">
        <w:rPr>
          <w:rFonts w:ascii="Book Antiqua" w:eastAsia="Book Antiqua" w:hAnsi="Book Antiqua" w:cs="Book Antiqua"/>
        </w:rPr>
        <w:t>;</w:t>
      </w:r>
      <w:r w:rsidRPr="009C4C21">
        <w:rPr>
          <w:rFonts w:ascii="Book Antiqua" w:eastAsia="Book Antiqua" w:hAnsi="Book Antiqua" w:cs="Book Antiqua"/>
        </w:rPr>
        <w:t xml:space="preserve"> </w:t>
      </w:r>
      <w:r w:rsidR="00E44E1B" w:rsidRPr="009C4C21">
        <w:rPr>
          <w:rFonts w:ascii="Book Antiqua" w:eastAsia="Book Antiqua" w:hAnsi="Book Antiqua" w:cs="Book Antiqua"/>
        </w:rPr>
        <w:t xml:space="preserve">D: </w:t>
      </w:r>
      <w:r w:rsidRPr="009C4C21">
        <w:rPr>
          <w:rFonts w:ascii="Book Antiqua" w:eastAsia="Book Antiqua" w:hAnsi="Book Antiqua" w:cs="Book Antiqua"/>
        </w:rPr>
        <w:t>The apoptotic rate of BGC-823 and MGC-803 ce</w:t>
      </w:r>
      <w:r w:rsidR="00E44E1B" w:rsidRPr="009C4C21">
        <w:rPr>
          <w:rFonts w:ascii="Book Antiqua" w:eastAsia="Book Antiqua" w:hAnsi="Book Antiqua" w:cs="Book Antiqua"/>
        </w:rPr>
        <w:t>lls after curcumin treatment</w:t>
      </w:r>
      <w:r w:rsidRPr="009C4C21">
        <w:rPr>
          <w:rFonts w:ascii="Book Antiqua" w:eastAsia="Book Antiqua" w:hAnsi="Book Antiqua" w:cs="Book Antiqua"/>
        </w:rPr>
        <w:t xml:space="preserve">. The results were obtained from three independent tests. </w:t>
      </w:r>
      <w:r w:rsidR="00E44E1B" w:rsidRPr="009C4C21">
        <w:rPr>
          <w:rFonts w:ascii="Book Antiqua" w:eastAsia="Book Antiqua" w:hAnsi="Book Antiqua" w:cs="Book Antiqua"/>
          <w:vertAlign w:val="superscript"/>
        </w:rPr>
        <w:t>b</w:t>
      </w:r>
      <w:r w:rsidR="008A7323" w:rsidRPr="009C4C21">
        <w:rPr>
          <w:rFonts w:ascii="Book Antiqua" w:eastAsia="Book Antiqua" w:hAnsi="Book Antiqua" w:cs="Book Antiqua"/>
          <w:i/>
          <w:iCs/>
        </w:rPr>
        <w:t>P</w:t>
      </w:r>
      <w:r w:rsidRPr="009C4C21">
        <w:rPr>
          <w:rFonts w:ascii="Book Antiqua" w:eastAsia="Book Antiqua" w:hAnsi="Book Antiqua" w:cs="Book Antiqua"/>
        </w:rPr>
        <w:t xml:space="preserve"> &lt; 0.01</w:t>
      </w:r>
      <w:r w:rsidR="00E44E1B" w:rsidRPr="009C4C21">
        <w:rPr>
          <w:rFonts w:ascii="Book Antiqua" w:eastAsia="Book Antiqua" w:hAnsi="Book Antiqua" w:cs="Book Antiqua"/>
        </w:rPr>
        <w:t>,</w:t>
      </w:r>
      <w:r w:rsidRPr="009C4C21">
        <w:rPr>
          <w:rFonts w:ascii="Book Antiqua" w:eastAsia="Book Antiqua" w:hAnsi="Book Antiqua" w:cs="Book Antiqua"/>
        </w:rPr>
        <w:t xml:space="preserve"> </w:t>
      </w:r>
      <w:r w:rsidR="00E44E1B" w:rsidRPr="009C4C21">
        <w:rPr>
          <w:rFonts w:ascii="Book Antiqua" w:eastAsia="Book Antiqua" w:hAnsi="Book Antiqua" w:cs="Book Antiqua"/>
          <w:vertAlign w:val="superscript"/>
        </w:rPr>
        <w:t>c</w:t>
      </w:r>
      <w:r w:rsidR="008A7323" w:rsidRPr="009C4C21">
        <w:rPr>
          <w:rFonts w:ascii="Book Antiqua" w:eastAsia="Book Antiqua" w:hAnsi="Book Antiqua" w:cs="Book Antiqua"/>
          <w:i/>
          <w:iCs/>
        </w:rPr>
        <w:t>P</w:t>
      </w:r>
      <w:r w:rsidRPr="009C4C21">
        <w:rPr>
          <w:rFonts w:ascii="Book Antiqua" w:eastAsia="Book Antiqua" w:hAnsi="Book Antiqua" w:cs="Book Antiqua"/>
        </w:rPr>
        <w:t xml:space="preserve"> &lt; 0.001.</w:t>
      </w:r>
    </w:p>
    <w:p w14:paraId="10D44D96" w14:textId="7FCCBC5D" w:rsidR="00A77B3E" w:rsidRPr="009C4C21" w:rsidRDefault="007A570A">
      <w:pPr>
        <w:spacing w:line="360" w:lineRule="auto"/>
        <w:jc w:val="both"/>
        <w:rPr>
          <w:rFonts w:ascii="Book Antiqua" w:hAnsi="Book Antiqua"/>
        </w:rPr>
      </w:pPr>
      <w:r w:rsidRPr="009C4C21">
        <w:rPr>
          <w:rFonts w:ascii="Book Antiqua" w:hAnsi="Book Antiqua"/>
          <w:noProof/>
          <w:lang w:eastAsia="zh-CN"/>
        </w:rPr>
        <w:drawing>
          <wp:inline distT="0" distB="0" distL="0" distR="0" wp14:anchorId="6C6337B7" wp14:editId="7ADD1147">
            <wp:extent cx="6473952" cy="6099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1691" cy="6106631"/>
                    </a:xfrm>
                    <a:prstGeom prst="rect">
                      <a:avLst/>
                    </a:prstGeom>
                  </pic:spPr>
                </pic:pic>
              </a:graphicData>
            </a:graphic>
          </wp:inline>
        </w:drawing>
      </w:r>
    </w:p>
    <w:p w14:paraId="08CD5CA5" w14:textId="4089C92E"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Figure 2 Inhibition of gastric cancer cell migration and invasion by curcumin. </w:t>
      </w:r>
      <w:r w:rsidR="00387677" w:rsidRPr="009C4C21">
        <w:rPr>
          <w:rFonts w:ascii="Book Antiqua" w:eastAsia="Book Antiqua" w:hAnsi="Book Antiqua" w:cs="Book Antiqua"/>
          <w:bCs/>
        </w:rPr>
        <w:t xml:space="preserve">A and B: </w:t>
      </w:r>
      <w:r w:rsidRPr="009C4C21">
        <w:rPr>
          <w:rFonts w:ascii="Book Antiqua" w:eastAsia="Book Antiqua" w:hAnsi="Book Antiqua" w:cs="Book Antiqua"/>
        </w:rPr>
        <w:t>Migration ability assessed by wound healing and Transwell migration and invasion assays. Curcumin (40 μ</w:t>
      </w:r>
      <w:r w:rsidR="000F6220" w:rsidRPr="009C4C21">
        <w:rPr>
          <w:rFonts w:ascii="Book Antiqua" w:eastAsia="Book Antiqua" w:hAnsi="Book Antiqua" w:cs="Book Antiqua"/>
        </w:rPr>
        <w:t>mol/L</w:t>
      </w:r>
      <w:r w:rsidRPr="009C4C21">
        <w:rPr>
          <w:rFonts w:ascii="Book Antiqua" w:eastAsia="Book Antiqua" w:hAnsi="Book Antiqua" w:cs="Book Antiqua"/>
        </w:rPr>
        <w:t>) inhibited the migration of gastric cancer cells. Bar = 200 μm</w:t>
      </w:r>
      <w:r w:rsidR="009F2D01">
        <w:rPr>
          <w:rFonts w:ascii="Book Antiqua" w:eastAsia="Book Antiqua" w:hAnsi="Book Antiqua" w:cs="Book Antiqua"/>
        </w:rPr>
        <w:t>;</w:t>
      </w:r>
      <w:r w:rsidRPr="009C4C21">
        <w:rPr>
          <w:rFonts w:ascii="Book Antiqua" w:eastAsia="Book Antiqua" w:hAnsi="Book Antiqua" w:cs="Book Antiqua"/>
        </w:rPr>
        <w:t xml:space="preserve"> </w:t>
      </w:r>
      <w:r w:rsidR="00387677" w:rsidRPr="009C4C21">
        <w:rPr>
          <w:rFonts w:ascii="Book Antiqua" w:eastAsia="Book Antiqua" w:hAnsi="Book Antiqua" w:cs="Book Antiqua"/>
        </w:rPr>
        <w:t xml:space="preserve">C and D: </w:t>
      </w:r>
      <w:r w:rsidRPr="009C4C21">
        <w:rPr>
          <w:rFonts w:ascii="Book Antiqua" w:eastAsia="Book Antiqua" w:hAnsi="Book Antiqua" w:cs="Book Antiqua"/>
        </w:rPr>
        <w:t>In the Transwell assay, 40</w:t>
      </w:r>
      <w:r w:rsidR="000F6220" w:rsidRPr="009C4C21">
        <w:rPr>
          <w:rFonts w:ascii="Book Antiqua" w:eastAsia="Book Antiqua" w:hAnsi="Book Antiqua" w:cs="Book Antiqua"/>
        </w:rPr>
        <w:t xml:space="preserve"> </w:t>
      </w:r>
      <w:r w:rsidRPr="009C4C21">
        <w:rPr>
          <w:rFonts w:ascii="Book Antiqua" w:eastAsia="Book Antiqua" w:hAnsi="Book Antiqua" w:cs="Book Antiqua"/>
        </w:rPr>
        <w:t>μ</w:t>
      </w:r>
      <w:r w:rsidR="000F6220" w:rsidRPr="009C4C21">
        <w:rPr>
          <w:rFonts w:ascii="Book Antiqua" w:eastAsia="Book Antiqua" w:hAnsi="Book Antiqua" w:cs="Book Antiqua"/>
        </w:rPr>
        <w:t>mol/L</w:t>
      </w:r>
      <w:r w:rsidRPr="009C4C21">
        <w:rPr>
          <w:rFonts w:ascii="Book Antiqua" w:eastAsia="Book Antiqua" w:hAnsi="Book Antiqua" w:cs="Book Antiqua"/>
        </w:rPr>
        <w:t xml:space="preserve"> curcumin significantly inhibited the migration and invasion of BGC-823 and M</w:t>
      </w:r>
      <w:r w:rsidR="00DE420E" w:rsidRPr="009C4C21">
        <w:rPr>
          <w:rFonts w:ascii="Book Antiqua" w:eastAsia="Book Antiqua" w:hAnsi="Book Antiqua" w:cs="Book Antiqua"/>
        </w:rPr>
        <w:t>GC-803 cells. Bar = 50 μm</w:t>
      </w:r>
      <w:r w:rsidRPr="009C4C21">
        <w:rPr>
          <w:rFonts w:ascii="Book Antiqua" w:eastAsia="Book Antiqua" w:hAnsi="Book Antiqua" w:cs="Book Antiqua"/>
        </w:rPr>
        <w:t xml:space="preserve">. The results were obtained from three independent tests. </w:t>
      </w:r>
      <w:r w:rsidR="00842958" w:rsidRPr="009C4C21">
        <w:rPr>
          <w:rFonts w:ascii="Book Antiqua" w:eastAsia="Book Antiqua" w:hAnsi="Book Antiqua" w:cs="Book Antiqua"/>
          <w:vertAlign w:val="superscript"/>
        </w:rPr>
        <w:t>a</w:t>
      </w:r>
      <w:r w:rsidR="008A7323" w:rsidRPr="009C4C21">
        <w:rPr>
          <w:rFonts w:ascii="Book Antiqua" w:eastAsia="Book Antiqua" w:hAnsi="Book Antiqua" w:cs="Book Antiqua"/>
          <w:i/>
          <w:iCs/>
        </w:rPr>
        <w:t>P</w:t>
      </w:r>
      <w:r w:rsidRPr="009C4C21">
        <w:rPr>
          <w:rFonts w:ascii="Book Antiqua" w:eastAsia="Book Antiqua" w:hAnsi="Book Antiqua" w:cs="Book Antiqua"/>
        </w:rPr>
        <w:t xml:space="preserve"> &lt; 0.05</w:t>
      </w:r>
      <w:r w:rsidR="00842958" w:rsidRPr="009C4C21">
        <w:rPr>
          <w:rFonts w:ascii="Book Antiqua" w:eastAsia="Book Antiqua" w:hAnsi="Book Antiqua" w:cs="Book Antiqua"/>
        </w:rPr>
        <w:t>,</w:t>
      </w:r>
      <w:r w:rsidR="00D7054A" w:rsidRPr="009C4C21">
        <w:rPr>
          <w:rFonts w:ascii="Book Antiqua" w:eastAsia="Book Antiqua" w:hAnsi="Book Antiqua" w:cs="Book Antiqua"/>
        </w:rPr>
        <w:t xml:space="preserve"> </w:t>
      </w:r>
      <w:r w:rsidR="00842958" w:rsidRPr="009C4C21">
        <w:rPr>
          <w:rFonts w:ascii="Book Antiqua" w:eastAsia="Book Antiqua" w:hAnsi="Book Antiqua" w:cs="Book Antiqua"/>
          <w:vertAlign w:val="superscript"/>
        </w:rPr>
        <w:t>b</w:t>
      </w:r>
      <w:r w:rsidR="00842958" w:rsidRPr="009C4C21">
        <w:rPr>
          <w:rFonts w:ascii="Book Antiqua" w:eastAsia="Book Antiqua" w:hAnsi="Book Antiqua" w:cs="Book Antiqua"/>
          <w:i/>
          <w:iCs/>
        </w:rPr>
        <w:t>P</w:t>
      </w:r>
      <w:r w:rsidR="00842958" w:rsidRPr="009C4C21">
        <w:rPr>
          <w:rFonts w:ascii="Book Antiqua" w:eastAsia="Book Antiqua" w:hAnsi="Book Antiqua" w:cs="Book Antiqua"/>
        </w:rPr>
        <w:t xml:space="preserve"> &lt; 0.01, </w:t>
      </w:r>
      <w:r w:rsidR="00842958" w:rsidRPr="009C4C21">
        <w:rPr>
          <w:rFonts w:ascii="Book Antiqua" w:eastAsia="Book Antiqua" w:hAnsi="Book Antiqua" w:cs="Book Antiqua"/>
          <w:vertAlign w:val="superscript"/>
        </w:rPr>
        <w:t>c</w:t>
      </w:r>
      <w:r w:rsidR="00842958" w:rsidRPr="009C4C21">
        <w:rPr>
          <w:rFonts w:ascii="Book Antiqua" w:eastAsia="Book Antiqua" w:hAnsi="Book Antiqua" w:cs="Book Antiqua"/>
          <w:i/>
          <w:iCs/>
        </w:rPr>
        <w:t>P</w:t>
      </w:r>
      <w:r w:rsidR="00842958" w:rsidRPr="009C4C21">
        <w:rPr>
          <w:rFonts w:ascii="Book Antiqua" w:eastAsia="Book Antiqua" w:hAnsi="Book Antiqua" w:cs="Book Antiqua"/>
        </w:rPr>
        <w:t xml:space="preserve"> &lt; 0.001.</w:t>
      </w:r>
    </w:p>
    <w:p w14:paraId="7423801F" w14:textId="3DFF1544" w:rsidR="00FE4F2C" w:rsidRPr="009C4C21" w:rsidRDefault="00FE4F2C">
      <w:pPr>
        <w:spacing w:line="360" w:lineRule="auto"/>
        <w:jc w:val="both"/>
        <w:rPr>
          <w:rFonts w:ascii="Book Antiqua" w:hAnsi="Book Antiqua"/>
        </w:rPr>
      </w:pPr>
      <w:r w:rsidRPr="009C4C21">
        <w:rPr>
          <w:rFonts w:ascii="Book Antiqua" w:hAnsi="Book Antiqua"/>
        </w:rPr>
        <w:br w:type="page"/>
      </w:r>
      <w:r w:rsidR="00655AA7" w:rsidRPr="009C4C21">
        <w:rPr>
          <w:rFonts w:ascii="Book Antiqua" w:hAnsi="Book Antiqua"/>
          <w:noProof/>
          <w:lang w:eastAsia="zh-CN"/>
        </w:rPr>
        <w:drawing>
          <wp:inline distT="0" distB="0" distL="0" distR="0" wp14:anchorId="7DDFA0AD" wp14:editId="0C424376">
            <wp:extent cx="8230870" cy="3746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30870" cy="3746500"/>
                    </a:xfrm>
                    <a:prstGeom prst="rect">
                      <a:avLst/>
                    </a:prstGeom>
                  </pic:spPr>
                </pic:pic>
              </a:graphicData>
            </a:graphic>
          </wp:inline>
        </w:drawing>
      </w:r>
    </w:p>
    <w:p w14:paraId="38A678D2" w14:textId="5FBE9A96" w:rsidR="00A34340" w:rsidRPr="009C4C21" w:rsidRDefault="009A1F6D" w:rsidP="00A34340">
      <w:pPr>
        <w:spacing w:line="360" w:lineRule="auto"/>
        <w:jc w:val="both"/>
        <w:rPr>
          <w:rFonts w:ascii="Book Antiqua" w:hAnsi="Book Antiqua"/>
        </w:rPr>
      </w:pPr>
      <w:r w:rsidRPr="009C4C21">
        <w:rPr>
          <w:rFonts w:ascii="Book Antiqua" w:eastAsia="Book Antiqua" w:hAnsi="Book Antiqua" w:cs="Book Antiqua"/>
          <w:b/>
          <w:bCs/>
        </w:rPr>
        <w:t xml:space="preserve">Figure 3 Effects of curcumin on apoptosis and proliferation and AKT-mTOR pathway proteins. </w:t>
      </w:r>
      <w:r w:rsidR="00D765BF" w:rsidRPr="009C4C21">
        <w:rPr>
          <w:rFonts w:ascii="Book Antiqua" w:eastAsia="Book Antiqua" w:hAnsi="Book Antiqua" w:cs="Book Antiqua"/>
          <w:bCs/>
        </w:rPr>
        <w:t xml:space="preserve">A: </w:t>
      </w:r>
      <w:r w:rsidRPr="009C4C21">
        <w:rPr>
          <w:rFonts w:ascii="Book Antiqua" w:eastAsia="Book Antiqua" w:hAnsi="Book Antiqua" w:cs="Book Antiqua"/>
        </w:rPr>
        <w:t>After treating BGC-823 and MGC-803 cells with 40</w:t>
      </w:r>
      <w:r w:rsidR="000F6220" w:rsidRPr="009C4C21">
        <w:rPr>
          <w:rFonts w:ascii="Book Antiqua" w:eastAsia="Book Antiqua" w:hAnsi="Book Antiqua" w:cs="Book Antiqua"/>
        </w:rPr>
        <w:t xml:space="preserve"> </w:t>
      </w:r>
      <w:r w:rsidRPr="009C4C21">
        <w:rPr>
          <w:rFonts w:ascii="Book Antiqua" w:eastAsia="Book Antiqua" w:hAnsi="Book Antiqua" w:cs="Book Antiqua"/>
        </w:rPr>
        <w:t>μ</w:t>
      </w:r>
      <w:r w:rsidR="000F6220" w:rsidRPr="009C4C21">
        <w:rPr>
          <w:rFonts w:ascii="Book Antiqua" w:eastAsia="Book Antiqua" w:hAnsi="Book Antiqua" w:cs="Book Antiqua"/>
        </w:rPr>
        <w:t>mol/L</w:t>
      </w:r>
      <w:r w:rsidRPr="009C4C21">
        <w:rPr>
          <w:rFonts w:ascii="Book Antiqua" w:eastAsia="Book Antiqua" w:hAnsi="Book Antiqua" w:cs="Book Antiqua"/>
        </w:rPr>
        <w:t xml:space="preserve"> curcumin, the proteins involved in apoptosis and proliferation and the AKT-mTOR pathway were detected using </w:t>
      </w:r>
      <w:r w:rsidR="00654966">
        <w:rPr>
          <w:rFonts w:ascii="Book Antiqua" w:eastAsia="Book Antiqua" w:hAnsi="Book Antiqua" w:cs="Book Antiqua"/>
        </w:rPr>
        <w:t>w</w:t>
      </w:r>
      <w:r w:rsidRPr="009C4C21">
        <w:rPr>
          <w:rFonts w:ascii="Book Antiqua" w:eastAsia="Book Antiqua" w:hAnsi="Book Antiqua" w:cs="Book Antiqua"/>
        </w:rPr>
        <w:t>estern blotting. Curcumin (40 μ</w:t>
      </w:r>
      <w:r w:rsidR="000F6220" w:rsidRPr="009C4C21">
        <w:rPr>
          <w:rFonts w:ascii="Book Antiqua" w:eastAsia="Book Antiqua" w:hAnsi="Book Antiqua" w:cs="Book Antiqua"/>
        </w:rPr>
        <w:t>mol/L</w:t>
      </w:r>
      <w:r w:rsidRPr="009C4C21">
        <w:rPr>
          <w:rFonts w:ascii="Book Antiqua" w:eastAsia="Book Antiqua" w:hAnsi="Book Antiqua" w:cs="Book Antiqua"/>
        </w:rPr>
        <w:t>) increased the expression of Bax-2 but decreased the expression of Bcl-2, CDK4, and CDK6 and decreased the phosphorylation of Akt, mTOR, and</w:t>
      </w:r>
      <w:r w:rsidR="00D765BF" w:rsidRPr="009C4C21">
        <w:rPr>
          <w:rFonts w:ascii="Book Antiqua" w:eastAsia="Book Antiqua" w:hAnsi="Book Antiqua" w:cs="Book Antiqua"/>
        </w:rPr>
        <w:t xml:space="preserve"> P65 in gastric cancer cells</w:t>
      </w:r>
      <w:r w:rsidR="009F2D01">
        <w:rPr>
          <w:rFonts w:ascii="Book Antiqua" w:eastAsia="Book Antiqua" w:hAnsi="Book Antiqua" w:cs="Book Antiqua"/>
        </w:rPr>
        <w:t>;</w:t>
      </w:r>
      <w:r w:rsidR="008A7323" w:rsidRPr="009C4C21">
        <w:rPr>
          <w:rFonts w:ascii="Book Antiqua" w:hAnsi="Book Antiqua"/>
          <w:lang w:eastAsia="zh-CN"/>
        </w:rPr>
        <w:t xml:space="preserve"> </w:t>
      </w:r>
      <w:r w:rsidR="00D765BF" w:rsidRPr="009C4C21">
        <w:rPr>
          <w:rFonts w:ascii="Book Antiqua" w:hAnsi="Book Antiqua"/>
          <w:lang w:eastAsia="zh-CN"/>
        </w:rPr>
        <w:t xml:space="preserve">B: </w:t>
      </w:r>
      <w:r w:rsidRPr="009C4C21">
        <w:rPr>
          <w:rFonts w:ascii="Book Antiqua" w:eastAsia="Book Antiqua" w:hAnsi="Book Antiqua" w:cs="Book Antiqua"/>
        </w:rPr>
        <w:t xml:space="preserve">Statistical graph of the </w:t>
      </w:r>
      <w:r w:rsidR="009F2D01">
        <w:rPr>
          <w:rFonts w:ascii="Book Antiqua" w:eastAsia="Book Antiqua" w:hAnsi="Book Antiqua" w:cs="Book Antiqua"/>
        </w:rPr>
        <w:t>w</w:t>
      </w:r>
      <w:r w:rsidRPr="009C4C21">
        <w:rPr>
          <w:rFonts w:ascii="Book Antiqua" w:eastAsia="Book Antiqua" w:hAnsi="Book Antiqua" w:cs="Book Antiqua"/>
        </w:rPr>
        <w:t>estern blotting res</w:t>
      </w:r>
      <w:r w:rsidR="00D765BF" w:rsidRPr="009C4C21">
        <w:rPr>
          <w:rFonts w:ascii="Book Antiqua" w:eastAsia="Book Antiqua" w:hAnsi="Book Antiqua" w:cs="Book Antiqua"/>
        </w:rPr>
        <w:t>ults</w:t>
      </w:r>
      <w:r w:rsidRPr="009C4C21">
        <w:rPr>
          <w:rFonts w:ascii="Book Antiqua" w:eastAsia="Book Antiqua" w:hAnsi="Book Antiqua" w:cs="Book Antiqua"/>
        </w:rPr>
        <w:t>. The results were obtained from three independent tests.</w:t>
      </w:r>
      <w:r w:rsidR="000F6220" w:rsidRPr="009C4C21">
        <w:rPr>
          <w:rFonts w:ascii="Book Antiqua" w:eastAsia="Book Antiqua" w:hAnsi="Book Antiqua" w:cs="Book Antiqua"/>
        </w:rPr>
        <w:t xml:space="preserve"> </w:t>
      </w:r>
      <w:r w:rsidR="00A34340" w:rsidRPr="009C4C21">
        <w:rPr>
          <w:rFonts w:ascii="Book Antiqua" w:eastAsia="Book Antiqua" w:hAnsi="Book Antiqua" w:cs="Book Antiqua"/>
          <w:vertAlign w:val="superscript"/>
        </w:rPr>
        <w:t>a</w:t>
      </w:r>
      <w:r w:rsidR="00A34340" w:rsidRPr="009C4C21">
        <w:rPr>
          <w:rFonts w:ascii="Book Antiqua" w:eastAsia="Book Antiqua" w:hAnsi="Book Antiqua" w:cs="Book Antiqua"/>
          <w:i/>
          <w:iCs/>
        </w:rPr>
        <w:t>P</w:t>
      </w:r>
      <w:r w:rsidR="00A34340" w:rsidRPr="009C4C21">
        <w:rPr>
          <w:rFonts w:ascii="Book Antiqua" w:eastAsia="Book Antiqua" w:hAnsi="Book Antiqua" w:cs="Book Antiqua"/>
        </w:rPr>
        <w:t xml:space="preserve"> &lt; 0.05,</w:t>
      </w:r>
      <w:r w:rsidR="00D7054A" w:rsidRPr="009C4C21">
        <w:rPr>
          <w:rFonts w:ascii="Book Antiqua" w:eastAsia="Book Antiqua" w:hAnsi="Book Antiqua" w:cs="Book Antiqua"/>
        </w:rPr>
        <w:t xml:space="preserve"> </w:t>
      </w:r>
      <w:r w:rsidR="00A34340" w:rsidRPr="009C4C21">
        <w:rPr>
          <w:rFonts w:ascii="Book Antiqua" w:eastAsia="Book Antiqua" w:hAnsi="Book Antiqua" w:cs="Book Antiqua"/>
          <w:vertAlign w:val="superscript"/>
        </w:rPr>
        <w:t>b</w:t>
      </w:r>
      <w:r w:rsidR="00A34340" w:rsidRPr="009C4C21">
        <w:rPr>
          <w:rFonts w:ascii="Book Antiqua" w:eastAsia="Book Antiqua" w:hAnsi="Book Antiqua" w:cs="Book Antiqua"/>
          <w:i/>
          <w:iCs/>
        </w:rPr>
        <w:t>P</w:t>
      </w:r>
      <w:r w:rsidR="00A34340" w:rsidRPr="009C4C21">
        <w:rPr>
          <w:rFonts w:ascii="Book Antiqua" w:eastAsia="Book Antiqua" w:hAnsi="Book Antiqua" w:cs="Book Antiqua"/>
        </w:rPr>
        <w:t xml:space="preserve"> &lt; 0.01, </w:t>
      </w:r>
      <w:r w:rsidR="00A34340" w:rsidRPr="009C4C21">
        <w:rPr>
          <w:rFonts w:ascii="Book Antiqua" w:eastAsia="Book Antiqua" w:hAnsi="Book Antiqua" w:cs="Book Antiqua"/>
          <w:vertAlign w:val="superscript"/>
        </w:rPr>
        <w:t>c</w:t>
      </w:r>
      <w:r w:rsidR="00A34340" w:rsidRPr="009C4C21">
        <w:rPr>
          <w:rFonts w:ascii="Book Antiqua" w:eastAsia="Book Antiqua" w:hAnsi="Book Antiqua" w:cs="Book Antiqua"/>
          <w:i/>
          <w:iCs/>
        </w:rPr>
        <w:t>P</w:t>
      </w:r>
      <w:r w:rsidR="00A34340" w:rsidRPr="009C4C21">
        <w:rPr>
          <w:rFonts w:ascii="Book Antiqua" w:eastAsia="Book Antiqua" w:hAnsi="Book Antiqua" w:cs="Book Antiqua"/>
        </w:rPr>
        <w:t xml:space="preserve"> &lt; 0.001.</w:t>
      </w:r>
    </w:p>
    <w:p w14:paraId="2F7ADBE1" w14:textId="62357A6C" w:rsidR="00A77B3E" w:rsidRPr="009C4C21" w:rsidRDefault="00A77B3E">
      <w:pPr>
        <w:spacing w:line="360" w:lineRule="auto"/>
        <w:jc w:val="both"/>
        <w:rPr>
          <w:rFonts w:ascii="Book Antiqua" w:hAnsi="Book Antiqua"/>
        </w:rPr>
      </w:pPr>
    </w:p>
    <w:p w14:paraId="17520D66" w14:textId="704C0E16" w:rsidR="00A77B3E" w:rsidRPr="009C4C21" w:rsidRDefault="00FE4F2C">
      <w:pPr>
        <w:spacing w:line="360" w:lineRule="auto"/>
        <w:jc w:val="both"/>
        <w:rPr>
          <w:rFonts w:ascii="Book Antiqua" w:hAnsi="Book Antiqua"/>
        </w:rPr>
      </w:pPr>
      <w:r w:rsidRPr="009C4C21">
        <w:rPr>
          <w:rFonts w:ascii="Book Antiqua" w:hAnsi="Book Antiqua"/>
        </w:rPr>
        <w:br w:type="page"/>
      </w:r>
      <w:r w:rsidR="00503458" w:rsidRPr="009C4C21">
        <w:rPr>
          <w:rFonts w:ascii="Book Antiqua" w:hAnsi="Book Antiqua"/>
          <w:noProof/>
          <w:lang w:eastAsia="zh-CN"/>
        </w:rPr>
        <w:drawing>
          <wp:inline distT="0" distB="0" distL="0" distR="0" wp14:anchorId="30C55A07" wp14:editId="21E7C73B">
            <wp:extent cx="8230870" cy="5746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30870" cy="5746115"/>
                    </a:xfrm>
                    <a:prstGeom prst="rect">
                      <a:avLst/>
                    </a:prstGeom>
                  </pic:spPr>
                </pic:pic>
              </a:graphicData>
            </a:graphic>
          </wp:inline>
        </w:drawing>
      </w:r>
    </w:p>
    <w:p w14:paraId="335F8111" w14:textId="680A4DDC" w:rsidR="00DA4B22" w:rsidRPr="009C4C21" w:rsidRDefault="009A1F6D">
      <w:pPr>
        <w:spacing w:line="360" w:lineRule="auto"/>
        <w:jc w:val="both"/>
        <w:rPr>
          <w:rFonts w:ascii="Book Antiqua" w:eastAsia="Book Antiqua" w:hAnsi="Book Antiqua" w:cs="Book Antiqua"/>
        </w:rPr>
      </w:pPr>
      <w:r w:rsidRPr="009C4C21">
        <w:rPr>
          <w:rFonts w:ascii="Book Antiqua" w:eastAsia="Book Antiqua" w:hAnsi="Book Antiqua" w:cs="Book Antiqua"/>
          <w:b/>
          <w:bCs/>
        </w:rPr>
        <w:t xml:space="preserve">Figure 4 Analysis of differentially expressed genes and lncRNAs between the curcumin-treated and control groups. </w:t>
      </w:r>
      <w:r w:rsidR="009F2D01">
        <w:rPr>
          <w:rFonts w:ascii="Book Antiqua" w:eastAsia="Book Antiqua" w:hAnsi="Book Antiqua" w:cs="Book Antiqua"/>
        </w:rPr>
        <w:t xml:space="preserve">A: </w:t>
      </w:r>
      <w:r w:rsidRPr="009C4C21">
        <w:rPr>
          <w:rFonts w:ascii="Book Antiqua" w:eastAsia="Book Antiqua" w:hAnsi="Book Antiqua" w:cs="Book Antiqua"/>
        </w:rPr>
        <w:t xml:space="preserve">Volcano plot of differentially expressed genes. Red points indicate upregulated genes </w:t>
      </w:r>
      <w:r w:rsidR="00503458" w:rsidRPr="009C4C21">
        <w:rPr>
          <w:rFonts w:ascii="Book Antiqua" w:eastAsia="Book Antiqua" w:hAnsi="Book Antiqua" w:cs="Book Antiqua"/>
        </w:rPr>
        <w:t>[</w:t>
      </w:r>
      <w:r w:rsidRPr="009C4C21">
        <w:rPr>
          <w:rFonts w:ascii="Book Antiqua" w:eastAsia="Book Antiqua" w:hAnsi="Book Antiqua" w:cs="Book Antiqua"/>
        </w:rPr>
        <w:t>Log2</w:t>
      </w:r>
      <w:r w:rsidR="00503458" w:rsidRPr="009C4C21">
        <w:rPr>
          <w:rFonts w:ascii="Book Antiqua" w:eastAsia="Book Antiqua" w:hAnsi="Book Antiqua" w:cs="Book Antiqua"/>
        </w:rPr>
        <w:t xml:space="preserve"> </w:t>
      </w:r>
      <w:r w:rsidRPr="009C4C21">
        <w:rPr>
          <w:rFonts w:ascii="Book Antiqua" w:eastAsia="Book Antiqua" w:hAnsi="Book Antiqua" w:cs="Book Antiqua"/>
        </w:rPr>
        <w:t>(</w:t>
      </w:r>
      <w:r w:rsidR="00654966">
        <w:rPr>
          <w:rFonts w:ascii="Book Antiqua" w:eastAsia="Book Antiqua" w:hAnsi="Book Antiqua" w:cs="Book Antiqua"/>
        </w:rPr>
        <w:t>f</w:t>
      </w:r>
      <w:r w:rsidRPr="009C4C21">
        <w:rPr>
          <w:rFonts w:ascii="Book Antiqua" w:eastAsia="Book Antiqua" w:hAnsi="Book Antiqua" w:cs="Book Antiqua"/>
        </w:rPr>
        <w:t xml:space="preserve">old </w:t>
      </w:r>
      <w:r w:rsidR="00654966">
        <w:rPr>
          <w:rFonts w:ascii="Book Antiqua" w:eastAsia="Book Antiqua" w:hAnsi="Book Antiqua" w:cs="Book Antiqua"/>
        </w:rPr>
        <w:t>c</w:t>
      </w:r>
      <w:r w:rsidRPr="009C4C21">
        <w:rPr>
          <w:rFonts w:ascii="Book Antiqua" w:eastAsia="Book Antiqua" w:hAnsi="Book Antiqua" w:cs="Book Antiqua"/>
        </w:rPr>
        <w:t>hange)</w:t>
      </w:r>
      <w:r w:rsidR="00503458" w:rsidRPr="009C4C21">
        <w:rPr>
          <w:rFonts w:ascii="Book Antiqua" w:eastAsia="Book Antiqua" w:hAnsi="Book Antiqua" w:cs="Book Antiqua"/>
        </w:rPr>
        <w:t>]</w:t>
      </w:r>
      <w:r w:rsidRPr="009C4C21">
        <w:rPr>
          <w:rFonts w:ascii="Book Antiqua" w:eastAsia="Book Antiqua" w:hAnsi="Book Antiqua" w:cs="Book Antiqua"/>
        </w:rPr>
        <w:t xml:space="preserve"> &gt; 1, </w:t>
      </w:r>
      <w:r w:rsidR="000F6220" w:rsidRPr="009C4C21">
        <w:rPr>
          <w:rFonts w:ascii="Book Antiqua" w:eastAsia="Book Antiqua" w:hAnsi="Book Antiqua" w:cs="Book Antiqua"/>
          <w:i/>
          <w:iCs/>
        </w:rPr>
        <w:t>P</w:t>
      </w:r>
      <w:r w:rsidRPr="009C4C21">
        <w:rPr>
          <w:rFonts w:ascii="Book Antiqua" w:eastAsia="Book Antiqua" w:hAnsi="Book Antiqua" w:cs="Book Antiqua"/>
        </w:rPr>
        <w:t xml:space="preserve">-value &lt; 0.05; blue points represent downregulated genes </w:t>
      </w:r>
      <w:r w:rsidR="00503458" w:rsidRPr="009C4C21">
        <w:rPr>
          <w:rFonts w:ascii="Book Antiqua" w:eastAsia="Book Antiqua" w:hAnsi="Book Antiqua" w:cs="Book Antiqua"/>
        </w:rPr>
        <w:t>[</w:t>
      </w:r>
      <w:r w:rsidRPr="009C4C21">
        <w:rPr>
          <w:rFonts w:ascii="Book Antiqua" w:eastAsia="Book Antiqua" w:hAnsi="Book Antiqua" w:cs="Book Antiqua"/>
        </w:rPr>
        <w:t>Log2</w:t>
      </w:r>
      <w:r w:rsidR="00503458" w:rsidRPr="009C4C21">
        <w:rPr>
          <w:rFonts w:ascii="Book Antiqua" w:eastAsia="Book Antiqua" w:hAnsi="Book Antiqua" w:cs="Book Antiqua"/>
        </w:rPr>
        <w:t xml:space="preserve"> </w:t>
      </w:r>
      <w:r w:rsidRPr="009C4C21">
        <w:rPr>
          <w:rFonts w:ascii="Book Antiqua" w:eastAsia="Book Antiqua" w:hAnsi="Book Antiqua" w:cs="Book Antiqua"/>
        </w:rPr>
        <w:t>(</w:t>
      </w:r>
      <w:r w:rsidR="00654966">
        <w:rPr>
          <w:rFonts w:ascii="Book Antiqua" w:eastAsia="Book Antiqua" w:hAnsi="Book Antiqua" w:cs="Book Antiqua"/>
        </w:rPr>
        <w:t>f</w:t>
      </w:r>
      <w:r w:rsidRPr="009C4C21">
        <w:rPr>
          <w:rFonts w:ascii="Book Antiqua" w:eastAsia="Book Antiqua" w:hAnsi="Book Antiqua" w:cs="Book Antiqua"/>
        </w:rPr>
        <w:t xml:space="preserve">old </w:t>
      </w:r>
      <w:r w:rsidR="00654966">
        <w:rPr>
          <w:rFonts w:ascii="Book Antiqua" w:eastAsia="Book Antiqua" w:hAnsi="Book Antiqua" w:cs="Book Antiqua"/>
        </w:rPr>
        <w:t>c</w:t>
      </w:r>
      <w:r w:rsidRPr="009C4C21">
        <w:rPr>
          <w:rFonts w:ascii="Book Antiqua" w:eastAsia="Book Antiqua" w:hAnsi="Book Antiqua" w:cs="Book Antiqua"/>
        </w:rPr>
        <w:t>hange</w:t>
      </w:r>
      <w:r w:rsidR="00503458" w:rsidRPr="009C4C21">
        <w:rPr>
          <w:rFonts w:ascii="Book Antiqua" w:eastAsia="Book Antiqua" w:hAnsi="Book Antiqua" w:cs="Book Antiqua"/>
        </w:rPr>
        <w:t>)]</w:t>
      </w:r>
      <w:r w:rsidRPr="009C4C21">
        <w:rPr>
          <w:rFonts w:ascii="Book Antiqua" w:eastAsia="Book Antiqua" w:hAnsi="Book Antiqua" w:cs="Book Antiqua"/>
        </w:rPr>
        <w:t xml:space="preserve"> &lt; -1, </w:t>
      </w:r>
      <w:r w:rsidR="000F6220" w:rsidRPr="009C4C21">
        <w:rPr>
          <w:rFonts w:ascii="Book Antiqua" w:eastAsia="Book Antiqua" w:hAnsi="Book Antiqua" w:cs="Book Antiqua"/>
          <w:i/>
          <w:iCs/>
        </w:rPr>
        <w:t>P</w:t>
      </w:r>
      <w:r w:rsidRPr="009C4C21">
        <w:rPr>
          <w:rFonts w:ascii="Book Antiqua" w:eastAsia="Book Antiqua" w:hAnsi="Book Antiqua" w:cs="Book Antiqua"/>
        </w:rPr>
        <w:t>-value &lt; 0.05; and black points signify genes without significant differential expression</w:t>
      </w:r>
      <w:r w:rsidR="009F2D01">
        <w:rPr>
          <w:rFonts w:ascii="Book Antiqua" w:eastAsia="Book Antiqua" w:hAnsi="Book Antiqua" w:cs="Book Antiqua"/>
        </w:rPr>
        <w:t>; B:</w:t>
      </w:r>
      <w:r w:rsidRPr="009C4C21">
        <w:rPr>
          <w:rFonts w:ascii="Book Antiqua" w:eastAsia="Book Antiqua" w:hAnsi="Book Antiqua" w:cs="Book Antiqua"/>
        </w:rPr>
        <w:t xml:space="preserve"> Cluster heatmap of gene expression. The color scale represents the </w:t>
      </w:r>
      <w:r w:rsidRPr="009C4C21">
        <w:rPr>
          <w:rFonts w:ascii="Book Antiqua" w:eastAsia="Book Antiqua" w:hAnsi="Book Antiqua" w:cs="Book Antiqua"/>
          <w:i/>
          <w:iCs/>
        </w:rPr>
        <w:t>Z</w:t>
      </w:r>
      <w:r w:rsidRPr="009C4C21">
        <w:rPr>
          <w:rFonts w:ascii="Book Antiqua" w:eastAsia="Book Antiqua" w:hAnsi="Book Antiqua" w:cs="Book Antiqua"/>
        </w:rPr>
        <w:t>-score values, where red indicates high expression and blue indicates low expression. Group</w:t>
      </w:r>
      <w:r w:rsidR="00B62BF6">
        <w:rPr>
          <w:rFonts w:ascii="Book Antiqua" w:eastAsia="Book Antiqua" w:hAnsi="Book Antiqua" w:cs="Book Antiqua"/>
        </w:rPr>
        <w:t xml:space="preserve"> </w:t>
      </w:r>
      <w:r w:rsidRPr="009C4C21">
        <w:rPr>
          <w:rFonts w:ascii="Book Antiqua" w:eastAsia="Book Antiqua" w:hAnsi="Book Antiqua" w:cs="Book Antiqua"/>
        </w:rPr>
        <w:t>1: untreated group; Group 2: curcumin-treated group</w:t>
      </w:r>
      <w:r w:rsidR="009F2D01">
        <w:rPr>
          <w:rFonts w:ascii="Book Antiqua" w:eastAsia="Book Antiqua" w:hAnsi="Book Antiqua" w:cs="Book Antiqua"/>
        </w:rPr>
        <w:t>; C: The</w:t>
      </w:r>
      <w:r w:rsidR="000F6220" w:rsidRPr="009C4C21">
        <w:rPr>
          <w:rFonts w:ascii="Book Antiqua" w:eastAsia="Book Antiqua" w:hAnsi="Book Antiqua" w:cs="Book Antiqua"/>
        </w:rPr>
        <w:t xml:space="preserve"> </w:t>
      </w:r>
      <w:r w:rsidRPr="009C4C21">
        <w:rPr>
          <w:rFonts w:ascii="Book Antiqua" w:eastAsia="Book Antiqua" w:hAnsi="Book Antiqua" w:cs="Book Antiqua"/>
        </w:rPr>
        <w:t xml:space="preserve">expression level of lncRNAs in BGC-823 was detected using </w:t>
      </w:r>
      <w:r w:rsidR="002023BB" w:rsidRPr="009C4C21">
        <w:rPr>
          <w:rFonts w:ascii="Book Antiqua" w:eastAsia="Book Antiqua" w:hAnsi="Book Antiqua" w:cs="Book Antiqua"/>
        </w:rPr>
        <w:t>quantitative reverse transcription polymerase chain reaction (qRT-PCR)</w:t>
      </w:r>
      <w:r w:rsidR="009F2D01">
        <w:rPr>
          <w:rFonts w:ascii="Book Antiqua" w:eastAsia="Book Antiqua" w:hAnsi="Book Antiqua" w:cs="Book Antiqua"/>
        </w:rPr>
        <w:t>; D:</w:t>
      </w:r>
      <w:r w:rsidRPr="009C4C21">
        <w:rPr>
          <w:rFonts w:ascii="Book Antiqua" w:eastAsia="Book Antiqua" w:hAnsi="Book Antiqua" w:cs="Book Antiqua"/>
        </w:rPr>
        <w:t xml:space="preserve"> The expression of lncRNAs in MGC-803 cells was detected using qRT-PCR. </w:t>
      </w:r>
      <w:r w:rsidR="00D86936" w:rsidRPr="009C4C21">
        <w:rPr>
          <w:rFonts w:ascii="Book Antiqua" w:eastAsia="Book Antiqua" w:hAnsi="Book Antiqua" w:cs="Book Antiqua"/>
          <w:vertAlign w:val="superscript"/>
        </w:rPr>
        <w:t>a</w:t>
      </w:r>
      <w:r w:rsidR="00D86936" w:rsidRPr="009C4C21">
        <w:rPr>
          <w:rFonts w:ascii="Book Antiqua" w:eastAsia="Book Antiqua" w:hAnsi="Book Antiqua" w:cs="Book Antiqua"/>
          <w:i/>
          <w:iCs/>
        </w:rPr>
        <w:t>P</w:t>
      </w:r>
      <w:r w:rsidR="00D86936" w:rsidRPr="009C4C21">
        <w:rPr>
          <w:rFonts w:ascii="Book Antiqua" w:eastAsia="Book Antiqua" w:hAnsi="Book Antiqua" w:cs="Book Antiqua"/>
        </w:rPr>
        <w:t xml:space="preserve"> &lt; 0.05,</w:t>
      </w:r>
      <w:r w:rsidR="00D7054A" w:rsidRPr="009C4C21">
        <w:rPr>
          <w:rFonts w:ascii="Book Antiqua" w:eastAsia="Book Antiqua" w:hAnsi="Book Antiqua" w:cs="Book Antiqua"/>
        </w:rPr>
        <w:t xml:space="preserve"> </w:t>
      </w:r>
      <w:r w:rsidR="00D86936" w:rsidRPr="009C4C21">
        <w:rPr>
          <w:rFonts w:ascii="Book Antiqua" w:eastAsia="Book Antiqua" w:hAnsi="Book Antiqua" w:cs="Book Antiqua"/>
          <w:vertAlign w:val="superscript"/>
        </w:rPr>
        <w:t>b</w:t>
      </w:r>
      <w:r w:rsidR="00D86936" w:rsidRPr="009C4C21">
        <w:rPr>
          <w:rFonts w:ascii="Book Antiqua" w:eastAsia="Book Antiqua" w:hAnsi="Book Antiqua" w:cs="Book Antiqua"/>
          <w:i/>
          <w:iCs/>
        </w:rPr>
        <w:t>P</w:t>
      </w:r>
      <w:r w:rsidR="00D86936" w:rsidRPr="009C4C21">
        <w:rPr>
          <w:rFonts w:ascii="Book Antiqua" w:eastAsia="Book Antiqua" w:hAnsi="Book Antiqua" w:cs="Book Antiqua"/>
        </w:rPr>
        <w:t xml:space="preserve"> &lt; 0.01, </w:t>
      </w:r>
      <w:r w:rsidR="00D86936" w:rsidRPr="009C4C21">
        <w:rPr>
          <w:rFonts w:ascii="Book Antiqua" w:eastAsia="Book Antiqua" w:hAnsi="Book Antiqua" w:cs="Book Antiqua"/>
          <w:vertAlign w:val="superscript"/>
        </w:rPr>
        <w:t>c</w:t>
      </w:r>
      <w:r w:rsidR="00D86936" w:rsidRPr="009C4C21">
        <w:rPr>
          <w:rFonts w:ascii="Book Antiqua" w:eastAsia="Book Antiqua" w:hAnsi="Book Antiqua" w:cs="Book Antiqua"/>
          <w:i/>
          <w:iCs/>
        </w:rPr>
        <w:t>P</w:t>
      </w:r>
      <w:r w:rsidR="00D86936" w:rsidRPr="009C4C21">
        <w:rPr>
          <w:rFonts w:ascii="Book Antiqua" w:eastAsia="Book Antiqua" w:hAnsi="Book Antiqua" w:cs="Book Antiqua"/>
        </w:rPr>
        <w:t xml:space="preserve"> &lt; 0.001.</w:t>
      </w:r>
    </w:p>
    <w:p w14:paraId="71E74A94" w14:textId="6545462E" w:rsidR="00A77B3E" w:rsidRPr="009C4C21" w:rsidRDefault="00DA4B22">
      <w:pPr>
        <w:spacing w:line="360" w:lineRule="auto"/>
        <w:jc w:val="both"/>
        <w:rPr>
          <w:rFonts w:ascii="Book Antiqua" w:hAnsi="Book Antiqua"/>
        </w:rPr>
      </w:pPr>
      <w:r w:rsidRPr="009C4C21">
        <w:rPr>
          <w:rFonts w:ascii="Book Antiqua" w:eastAsia="Book Antiqua" w:hAnsi="Book Antiqua" w:cs="Book Antiqua"/>
        </w:rPr>
        <w:br w:type="page"/>
      </w:r>
      <w:r w:rsidR="00D821C6" w:rsidRPr="009C4C21">
        <w:rPr>
          <w:rFonts w:ascii="Book Antiqua" w:hAnsi="Book Antiqua"/>
          <w:noProof/>
          <w:lang w:eastAsia="zh-CN"/>
        </w:rPr>
        <w:drawing>
          <wp:inline distT="0" distB="0" distL="0" distR="0" wp14:anchorId="2DA24E7E" wp14:editId="6C6482F7">
            <wp:extent cx="8230870" cy="2935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30870" cy="2935605"/>
                    </a:xfrm>
                    <a:prstGeom prst="rect">
                      <a:avLst/>
                    </a:prstGeom>
                  </pic:spPr>
                </pic:pic>
              </a:graphicData>
            </a:graphic>
          </wp:inline>
        </w:drawing>
      </w:r>
    </w:p>
    <w:p w14:paraId="49BF6912" w14:textId="6E59DE6D" w:rsidR="00E916F4" w:rsidRPr="009C4C21" w:rsidRDefault="009A1F6D">
      <w:pPr>
        <w:spacing w:line="360" w:lineRule="auto"/>
        <w:jc w:val="both"/>
        <w:rPr>
          <w:rFonts w:ascii="Book Antiqua" w:eastAsia="Book Antiqua" w:hAnsi="Book Antiqua" w:cs="Book Antiqua"/>
        </w:rPr>
      </w:pPr>
      <w:r w:rsidRPr="009C4C21">
        <w:rPr>
          <w:rFonts w:ascii="Book Antiqua" w:eastAsia="Book Antiqua" w:hAnsi="Book Antiqua" w:cs="Book Antiqua"/>
          <w:b/>
          <w:bCs/>
        </w:rPr>
        <w:t xml:space="preserve">Figure 5 Knockdown of lncRNA AC022424.2 and its impact on cell proliferation. </w:t>
      </w:r>
      <w:r w:rsidR="00A177D1" w:rsidRPr="009C4C21">
        <w:rPr>
          <w:rFonts w:ascii="Book Antiqua" w:eastAsia="Book Antiqua" w:hAnsi="Book Antiqua" w:cs="Book Antiqua"/>
          <w:bCs/>
        </w:rPr>
        <w:t xml:space="preserve">A and B: </w:t>
      </w:r>
      <w:r w:rsidRPr="009C4C21">
        <w:rPr>
          <w:rFonts w:ascii="Book Antiqua" w:eastAsia="Book Antiqua" w:hAnsi="Book Antiqua" w:cs="Book Antiqua"/>
        </w:rPr>
        <w:t xml:space="preserve">The knockdown efficiency of AC022424.2 was detected using </w:t>
      </w:r>
      <w:r w:rsidR="002023BB" w:rsidRPr="009C4C21">
        <w:rPr>
          <w:rFonts w:ascii="Book Antiqua" w:eastAsia="Book Antiqua" w:hAnsi="Book Antiqua" w:cs="Book Antiqua"/>
        </w:rPr>
        <w:t>quantitative real-time polymerase chain reaction</w:t>
      </w:r>
      <w:r w:rsidRPr="009C4C21">
        <w:rPr>
          <w:rFonts w:ascii="Book Antiqua" w:eastAsia="Book Antiqua" w:hAnsi="Book Antiqua" w:cs="Book Antiqua"/>
        </w:rPr>
        <w:t xml:space="preserve"> for BGC-823 (A) and MGC-803 (B) cells</w:t>
      </w:r>
      <w:r w:rsidR="009F2D01">
        <w:rPr>
          <w:rFonts w:ascii="Book Antiqua" w:eastAsia="Book Antiqua" w:hAnsi="Book Antiqua" w:cs="Book Antiqua"/>
        </w:rPr>
        <w:t>;</w:t>
      </w:r>
      <w:r w:rsidRPr="009C4C21">
        <w:rPr>
          <w:rFonts w:ascii="Book Antiqua" w:eastAsia="Book Antiqua" w:hAnsi="Book Antiqua" w:cs="Book Antiqua"/>
        </w:rPr>
        <w:t xml:space="preserve"> </w:t>
      </w:r>
      <w:r w:rsidR="00D925DA" w:rsidRPr="009C4C21">
        <w:rPr>
          <w:rFonts w:ascii="Book Antiqua" w:eastAsia="Book Antiqua" w:hAnsi="Book Antiqua" w:cs="Book Antiqua"/>
        </w:rPr>
        <w:t xml:space="preserve">C and D: </w:t>
      </w:r>
      <w:r w:rsidRPr="009C4C21">
        <w:rPr>
          <w:rFonts w:ascii="Book Antiqua" w:eastAsia="Book Antiqua" w:hAnsi="Book Antiqua" w:cs="Book Antiqua"/>
        </w:rPr>
        <w:t>The proliferation of BGC-823 (C) and MGC-803 (D) cells was inhibited after the knockdown of lncRNA AC022424.2, as assessed using the CCK-8 assay. The results were obtained from three independent tests.</w:t>
      </w:r>
      <w:r w:rsidR="002023BB" w:rsidRPr="009C4C21">
        <w:rPr>
          <w:rFonts w:ascii="Book Antiqua" w:eastAsia="Book Antiqua" w:hAnsi="Book Antiqua" w:cs="Book Antiqua"/>
        </w:rPr>
        <w:t xml:space="preserve"> </w:t>
      </w:r>
      <w:r w:rsidR="00A177D1" w:rsidRPr="009C4C21">
        <w:rPr>
          <w:rFonts w:ascii="Book Antiqua" w:eastAsia="Book Antiqua" w:hAnsi="Book Antiqua" w:cs="Book Antiqua"/>
          <w:vertAlign w:val="superscript"/>
        </w:rPr>
        <w:t>b</w:t>
      </w:r>
      <w:r w:rsidR="00A177D1" w:rsidRPr="009C4C21">
        <w:rPr>
          <w:rFonts w:ascii="Book Antiqua" w:eastAsia="Book Antiqua" w:hAnsi="Book Antiqua" w:cs="Book Antiqua"/>
          <w:i/>
          <w:iCs/>
        </w:rPr>
        <w:t>P</w:t>
      </w:r>
      <w:r w:rsidR="00A177D1" w:rsidRPr="009C4C21">
        <w:rPr>
          <w:rFonts w:ascii="Book Antiqua" w:eastAsia="Book Antiqua" w:hAnsi="Book Antiqua" w:cs="Book Antiqua"/>
        </w:rPr>
        <w:t xml:space="preserve"> &lt; 0.01, </w:t>
      </w:r>
      <w:r w:rsidR="00A177D1" w:rsidRPr="009C4C21">
        <w:rPr>
          <w:rFonts w:ascii="Book Antiqua" w:eastAsia="Book Antiqua" w:hAnsi="Book Antiqua" w:cs="Book Antiqua"/>
          <w:vertAlign w:val="superscript"/>
        </w:rPr>
        <w:t>c</w:t>
      </w:r>
      <w:r w:rsidR="00A177D1" w:rsidRPr="009C4C21">
        <w:rPr>
          <w:rFonts w:ascii="Book Antiqua" w:eastAsia="Book Antiqua" w:hAnsi="Book Antiqua" w:cs="Book Antiqua"/>
          <w:i/>
          <w:iCs/>
        </w:rPr>
        <w:t>P</w:t>
      </w:r>
      <w:r w:rsidR="00A177D1" w:rsidRPr="009C4C21">
        <w:rPr>
          <w:rFonts w:ascii="Book Antiqua" w:eastAsia="Book Antiqua" w:hAnsi="Book Antiqua" w:cs="Book Antiqua"/>
        </w:rPr>
        <w:t xml:space="preserve"> &lt; 0.001.</w:t>
      </w:r>
    </w:p>
    <w:p w14:paraId="7B1FBC41" w14:textId="77777777" w:rsidR="00A177D1" w:rsidRPr="009C4C21" w:rsidRDefault="00A177D1">
      <w:pPr>
        <w:spacing w:line="360" w:lineRule="auto"/>
        <w:jc w:val="both"/>
        <w:rPr>
          <w:rFonts w:ascii="Book Antiqua" w:eastAsia="Book Antiqua" w:hAnsi="Book Antiqua" w:cs="Book Antiqua"/>
        </w:rPr>
        <w:sectPr w:rsidR="00A177D1" w:rsidRPr="009C4C21" w:rsidSect="004C4267">
          <w:pgSz w:w="15842" w:h="12242"/>
          <w:pgMar w:top="1440" w:right="1440" w:bottom="1440" w:left="1440" w:header="720" w:footer="720" w:gutter="0"/>
          <w:cols w:space="720"/>
          <w:docGrid w:linePitch="360"/>
        </w:sectPr>
      </w:pPr>
    </w:p>
    <w:p w14:paraId="144AE2D3" w14:textId="36E7FB23" w:rsidR="0092223A" w:rsidRPr="009C4C21" w:rsidRDefault="0092223A">
      <w:pPr>
        <w:spacing w:line="360" w:lineRule="auto"/>
        <w:jc w:val="both"/>
        <w:rPr>
          <w:rFonts w:ascii="Book Antiqua" w:hAnsi="Book Antiqua"/>
        </w:rPr>
      </w:pPr>
      <w:r w:rsidRPr="009C4C21">
        <w:rPr>
          <w:rFonts w:ascii="Book Antiqua" w:hAnsi="Book Antiqua"/>
          <w:noProof/>
          <w:lang w:eastAsia="zh-CN"/>
        </w:rPr>
        <w:drawing>
          <wp:inline distT="0" distB="0" distL="0" distR="0" wp14:anchorId="7C9A46A7" wp14:editId="66C27549">
            <wp:extent cx="6673850" cy="7994792"/>
            <wp:effectExtent l="0" t="0" r="0" b="0"/>
            <wp:docPr id="1578803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03746" name=""/>
                    <pic:cNvPicPr/>
                  </pic:nvPicPr>
                  <pic:blipFill>
                    <a:blip r:embed="rId12"/>
                    <a:stretch>
                      <a:fillRect/>
                    </a:stretch>
                  </pic:blipFill>
                  <pic:spPr>
                    <a:xfrm>
                      <a:off x="0" y="0"/>
                      <a:ext cx="6676857" cy="7998394"/>
                    </a:xfrm>
                    <a:prstGeom prst="rect">
                      <a:avLst/>
                    </a:prstGeom>
                  </pic:spPr>
                </pic:pic>
              </a:graphicData>
            </a:graphic>
          </wp:inline>
        </w:drawing>
      </w:r>
    </w:p>
    <w:p w14:paraId="4A08A589" w14:textId="08B6FA88"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Figure 6 Influence of lncRNA AC022424.2 on </w:t>
      </w:r>
      <w:r w:rsidR="00680D17" w:rsidRPr="009C4C21">
        <w:rPr>
          <w:rFonts w:ascii="Book Antiqua" w:eastAsia="Book Antiqua" w:hAnsi="Book Antiqua" w:cs="Book Antiqua"/>
          <w:b/>
          <w:bCs/>
        </w:rPr>
        <w:t xml:space="preserve">gastric cancer </w:t>
      </w:r>
      <w:r w:rsidRPr="009C4C21">
        <w:rPr>
          <w:rFonts w:ascii="Book Antiqua" w:eastAsia="Book Antiqua" w:hAnsi="Book Antiqua" w:cs="Book Antiqua"/>
          <w:b/>
          <w:bCs/>
        </w:rPr>
        <w:t xml:space="preserve">cell migration, invasion, and apoptosis. </w:t>
      </w:r>
      <w:r w:rsidR="00814B84" w:rsidRPr="009C4C21">
        <w:rPr>
          <w:rFonts w:ascii="Book Antiqua" w:eastAsia="Book Antiqua" w:hAnsi="Book Antiqua" w:cs="Book Antiqua"/>
        </w:rPr>
        <w:t xml:space="preserve">A-F: </w:t>
      </w:r>
      <w:r w:rsidRPr="009C4C21">
        <w:rPr>
          <w:rFonts w:ascii="Book Antiqua" w:eastAsia="Book Antiqua" w:hAnsi="Book Antiqua" w:cs="Book Antiqua"/>
        </w:rPr>
        <w:t xml:space="preserve">LncRNA AC022424.2 affected </w:t>
      </w:r>
      <w:r w:rsidR="00680D17" w:rsidRPr="009C4C21">
        <w:rPr>
          <w:rFonts w:ascii="Book Antiqua" w:eastAsia="Book Antiqua" w:hAnsi="Book Antiqua" w:cs="Book Antiqua"/>
          <w:color w:val="000000"/>
        </w:rPr>
        <w:t>gastric cancer (GC)</w:t>
      </w:r>
      <w:r w:rsidRPr="009C4C21">
        <w:rPr>
          <w:rFonts w:ascii="Book Antiqua" w:eastAsia="Book Antiqua" w:hAnsi="Book Antiqua" w:cs="Book Antiqua"/>
        </w:rPr>
        <w:t xml:space="preserve"> cell migration and invasion. After the knockdown of lncRNA AC022424.2, the migration ability of GC cells was assessed using wound healing (A</w:t>
      </w:r>
      <w:r w:rsidR="00702B7C" w:rsidRPr="009C4C21">
        <w:rPr>
          <w:rFonts w:ascii="Book Antiqua" w:eastAsia="Book Antiqua" w:hAnsi="Book Antiqua" w:cs="Book Antiqua"/>
        </w:rPr>
        <w:t xml:space="preserve"> and</w:t>
      </w:r>
      <w:r w:rsidR="00680D17" w:rsidRPr="009C4C21">
        <w:rPr>
          <w:rFonts w:ascii="Book Antiqua" w:eastAsia="Book Antiqua" w:hAnsi="Book Antiqua" w:cs="Book Antiqua"/>
        </w:rPr>
        <w:t xml:space="preserve"> </w:t>
      </w:r>
      <w:r w:rsidRPr="009C4C21">
        <w:rPr>
          <w:rFonts w:ascii="Book Antiqua" w:eastAsia="Book Antiqua" w:hAnsi="Book Antiqua" w:cs="Book Antiqua"/>
        </w:rPr>
        <w:t>B) and Transwell migration assays (C</w:t>
      </w:r>
      <w:r w:rsidR="00702B7C" w:rsidRPr="009C4C21">
        <w:rPr>
          <w:rFonts w:ascii="Book Antiqua" w:eastAsia="Book Antiqua" w:hAnsi="Book Antiqua" w:cs="Book Antiqua"/>
        </w:rPr>
        <w:t xml:space="preserve"> and</w:t>
      </w:r>
      <w:r w:rsidR="00680D17" w:rsidRPr="009C4C21">
        <w:rPr>
          <w:rFonts w:ascii="Book Antiqua" w:eastAsia="Book Antiqua" w:hAnsi="Book Antiqua" w:cs="Book Antiqua"/>
        </w:rPr>
        <w:t xml:space="preserve"> </w:t>
      </w:r>
      <w:r w:rsidRPr="009C4C21">
        <w:rPr>
          <w:rFonts w:ascii="Book Antiqua" w:eastAsia="Book Antiqua" w:hAnsi="Book Antiqua" w:cs="Book Antiqua"/>
        </w:rPr>
        <w:t>D), and the invasion ability of GC cells was measured using the Transwell invasion assays (E</w:t>
      </w:r>
      <w:r w:rsidR="00702B7C" w:rsidRPr="009C4C21">
        <w:rPr>
          <w:rFonts w:ascii="Book Antiqua" w:eastAsia="Book Antiqua" w:hAnsi="Book Antiqua" w:cs="Book Antiqua"/>
        </w:rPr>
        <w:t xml:space="preserve"> and</w:t>
      </w:r>
      <w:r w:rsidRPr="009C4C21">
        <w:rPr>
          <w:rFonts w:ascii="Book Antiqua" w:eastAsia="Book Antiqua" w:hAnsi="Book Antiqua" w:cs="Book Antiqua"/>
        </w:rPr>
        <w:t xml:space="preserve"> F)</w:t>
      </w:r>
      <w:r w:rsidR="009F2D01">
        <w:rPr>
          <w:rFonts w:ascii="Book Antiqua" w:eastAsia="Book Antiqua" w:hAnsi="Book Antiqua" w:cs="Book Antiqua"/>
        </w:rPr>
        <w:t>;</w:t>
      </w:r>
      <w:r w:rsidRPr="009C4C21">
        <w:rPr>
          <w:rFonts w:ascii="Book Antiqua" w:eastAsia="Book Antiqua" w:hAnsi="Book Antiqua" w:cs="Book Antiqua"/>
        </w:rPr>
        <w:t xml:space="preserve"> </w:t>
      </w:r>
      <w:r w:rsidR="00702B7C" w:rsidRPr="009C4C21">
        <w:rPr>
          <w:rFonts w:ascii="Book Antiqua" w:eastAsia="Book Antiqua" w:hAnsi="Book Antiqua" w:cs="Book Antiqua"/>
        </w:rPr>
        <w:t xml:space="preserve">G: </w:t>
      </w:r>
      <w:r w:rsidRPr="009C4C21">
        <w:rPr>
          <w:rFonts w:ascii="Book Antiqua" w:eastAsia="Book Antiqua" w:hAnsi="Book Antiqua" w:cs="Book Antiqua"/>
        </w:rPr>
        <w:t xml:space="preserve">Changes in the apoptosis of BGC-823 and MGC-803 cells after the knockdown of lncRNA AC022424.2. The results were obtained from three independent tests. </w:t>
      </w:r>
      <w:r w:rsidR="00BB1E0E" w:rsidRPr="009C4C21">
        <w:rPr>
          <w:rFonts w:ascii="Book Antiqua" w:eastAsia="Book Antiqua" w:hAnsi="Book Antiqua" w:cs="Book Antiqua"/>
          <w:vertAlign w:val="superscript"/>
        </w:rPr>
        <w:t>a</w:t>
      </w:r>
      <w:r w:rsidR="00BB1E0E" w:rsidRPr="009C4C21">
        <w:rPr>
          <w:rFonts w:ascii="Book Antiqua" w:eastAsia="Book Antiqua" w:hAnsi="Book Antiqua" w:cs="Book Antiqua"/>
          <w:i/>
          <w:iCs/>
        </w:rPr>
        <w:t>P</w:t>
      </w:r>
      <w:r w:rsidR="00BB1E0E" w:rsidRPr="009C4C21">
        <w:rPr>
          <w:rFonts w:ascii="Book Antiqua" w:eastAsia="Book Antiqua" w:hAnsi="Book Antiqua" w:cs="Book Antiqua"/>
        </w:rPr>
        <w:t xml:space="preserve"> &lt; 0.05,</w:t>
      </w:r>
      <w:r w:rsidR="00D7054A" w:rsidRPr="009C4C21">
        <w:rPr>
          <w:rFonts w:ascii="Book Antiqua" w:eastAsia="Book Antiqua" w:hAnsi="Book Antiqua" w:cs="Book Antiqua"/>
        </w:rPr>
        <w:t xml:space="preserve"> </w:t>
      </w:r>
      <w:r w:rsidR="00BB1E0E" w:rsidRPr="009C4C21">
        <w:rPr>
          <w:rFonts w:ascii="Book Antiqua" w:eastAsia="Book Antiqua" w:hAnsi="Book Antiqua" w:cs="Book Antiqua"/>
          <w:vertAlign w:val="superscript"/>
        </w:rPr>
        <w:t>b</w:t>
      </w:r>
      <w:r w:rsidR="00BB1E0E" w:rsidRPr="009C4C21">
        <w:rPr>
          <w:rFonts w:ascii="Book Antiqua" w:eastAsia="Book Antiqua" w:hAnsi="Book Antiqua" w:cs="Book Antiqua"/>
          <w:i/>
          <w:iCs/>
        </w:rPr>
        <w:t>P</w:t>
      </w:r>
      <w:r w:rsidR="00BB1E0E" w:rsidRPr="009C4C21">
        <w:rPr>
          <w:rFonts w:ascii="Book Antiqua" w:eastAsia="Book Antiqua" w:hAnsi="Book Antiqua" w:cs="Book Antiqua"/>
        </w:rPr>
        <w:t xml:space="preserve"> &lt; 0.01, </w:t>
      </w:r>
      <w:r w:rsidR="00BB1E0E" w:rsidRPr="009C4C21">
        <w:rPr>
          <w:rFonts w:ascii="Book Antiqua" w:eastAsia="Book Antiqua" w:hAnsi="Book Antiqua" w:cs="Book Antiqua"/>
          <w:vertAlign w:val="superscript"/>
        </w:rPr>
        <w:t>c</w:t>
      </w:r>
      <w:r w:rsidR="00BB1E0E" w:rsidRPr="009C4C21">
        <w:rPr>
          <w:rFonts w:ascii="Book Antiqua" w:eastAsia="Book Antiqua" w:hAnsi="Book Antiqua" w:cs="Book Antiqua"/>
          <w:i/>
          <w:iCs/>
        </w:rPr>
        <w:t>P</w:t>
      </w:r>
      <w:r w:rsidR="00BB1E0E" w:rsidRPr="009C4C21">
        <w:rPr>
          <w:rFonts w:ascii="Book Antiqua" w:eastAsia="Book Antiqua" w:hAnsi="Book Antiqua" w:cs="Book Antiqua"/>
        </w:rPr>
        <w:t xml:space="preserve"> &lt; 0.001.</w:t>
      </w:r>
    </w:p>
    <w:p w14:paraId="0975AEA4" w14:textId="5FA85F18" w:rsidR="00A77B3E" w:rsidRPr="009C4C21" w:rsidRDefault="00FE4F2C">
      <w:pPr>
        <w:spacing w:line="360" w:lineRule="auto"/>
        <w:jc w:val="both"/>
        <w:rPr>
          <w:rFonts w:ascii="Book Antiqua" w:hAnsi="Book Antiqua"/>
        </w:rPr>
      </w:pPr>
      <w:r w:rsidRPr="009C4C21">
        <w:rPr>
          <w:rFonts w:ascii="Book Antiqua" w:hAnsi="Book Antiqua"/>
        </w:rPr>
        <w:br w:type="page"/>
      </w:r>
      <w:r w:rsidR="008B48BA" w:rsidRPr="009C4C21">
        <w:rPr>
          <w:rFonts w:ascii="Book Antiqua" w:hAnsi="Book Antiqua"/>
          <w:noProof/>
          <w:lang w:eastAsia="zh-CN"/>
        </w:rPr>
        <w:drawing>
          <wp:inline distT="0" distB="0" distL="0" distR="0" wp14:anchorId="5954FE19" wp14:editId="127D3983">
            <wp:extent cx="5944870" cy="48787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870" cy="4878705"/>
                    </a:xfrm>
                    <a:prstGeom prst="rect">
                      <a:avLst/>
                    </a:prstGeom>
                  </pic:spPr>
                </pic:pic>
              </a:graphicData>
            </a:graphic>
          </wp:inline>
        </w:drawing>
      </w:r>
    </w:p>
    <w:p w14:paraId="1E20B12D" w14:textId="6EB5DB7E" w:rsidR="00A77B3E" w:rsidRPr="009C4C21" w:rsidRDefault="009A1F6D">
      <w:pPr>
        <w:spacing w:line="360" w:lineRule="auto"/>
        <w:jc w:val="both"/>
        <w:rPr>
          <w:rFonts w:ascii="Book Antiqua" w:hAnsi="Book Antiqua"/>
        </w:rPr>
      </w:pPr>
      <w:r w:rsidRPr="009C4C21">
        <w:rPr>
          <w:rFonts w:ascii="Book Antiqua" w:eastAsia="Book Antiqua" w:hAnsi="Book Antiqua" w:cs="Book Antiqua"/>
          <w:b/>
          <w:bCs/>
        </w:rPr>
        <w:t xml:space="preserve">Figure 7 Protein expression changes in apoptosis and proliferation and the AKT-mTOR pathway. </w:t>
      </w:r>
      <w:r w:rsidR="00077742" w:rsidRPr="009C4C21">
        <w:rPr>
          <w:rFonts w:ascii="Book Antiqua" w:eastAsia="Book Antiqua" w:hAnsi="Book Antiqua" w:cs="Book Antiqua"/>
          <w:bCs/>
        </w:rPr>
        <w:t xml:space="preserve">A-D: </w:t>
      </w:r>
      <w:r w:rsidRPr="009C4C21">
        <w:rPr>
          <w:rFonts w:ascii="Book Antiqua" w:eastAsia="Book Antiqua" w:hAnsi="Book Antiqua" w:cs="Book Antiqua"/>
        </w:rPr>
        <w:t>Western blotting was used to detect the protein expression of apoptosis and proliferation and the AKT-mTOR pathway in BGC-823 and MGC-803 cells afte</w:t>
      </w:r>
      <w:r w:rsidR="00077742" w:rsidRPr="009C4C21">
        <w:rPr>
          <w:rFonts w:ascii="Book Antiqua" w:eastAsia="Book Antiqua" w:hAnsi="Book Antiqua" w:cs="Book Antiqua"/>
        </w:rPr>
        <w:t>r silencing lncRNA AC022424.2</w:t>
      </w:r>
      <w:r w:rsidR="009F2D01">
        <w:rPr>
          <w:rFonts w:ascii="Book Antiqua" w:eastAsia="Book Antiqua" w:hAnsi="Book Antiqua" w:cs="Book Antiqua"/>
        </w:rPr>
        <w:t>;</w:t>
      </w:r>
      <w:r w:rsidRPr="009C4C21">
        <w:rPr>
          <w:rFonts w:ascii="Book Antiqua" w:eastAsia="Book Antiqua" w:hAnsi="Book Antiqua" w:cs="Book Antiqua"/>
        </w:rPr>
        <w:t xml:space="preserve"> </w:t>
      </w:r>
      <w:r w:rsidR="00077742" w:rsidRPr="009C4C21">
        <w:rPr>
          <w:rFonts w:ascii="Book Antiqua" w:eastAsia="Book Antiqua" w:hAnsi="Book Antiqua" w:cs="Book Antiqua"/>
        </w:rPr>
        <w:t xml:space="preserve">E: </w:t>
      </w:r>
      <w:r w:rsidRPr="009C4C21">
        <w:rPr>
          <w:rFonts w:ascii="Book Antiqua" w:eastAsia="Book Antiqua" w:hAnsi="Book Antiqua" w:cs="Book Antiqua"/>
        </w:rPr>
        <w:t xml:space="preserve">Changes in the expression of lncRNA AC022424.2 in cancer tissue and adjacent tissue samples from clinical patients were analyzed using </w:t>
      </w:r>
      <w:r w:rsidR="00680D17" w:rsidRPr="009C4C21">
        <w:rPr>
          <w:rFonts w:ascii="Book Antiqua" w:eastAsia="Book Antiqua" w:hAnsi="Book Antiqua" w:cs="Book Antiqua"/>
        </w:rPr>
        <w:t>quantitative reverse transcription polymerase chain reaction</w:t>
      </w:r>
      <w:r w:rsidRPr="009C4C21">
        <w:rPr>
          <w:rFonts w:ascii="Book Antiqua" w:eastAsia="Book Antiqua" w:hAnsi="Book Antiqua" w:cs="Book Antiqua"/>
        </w:rPr>
        <w:t xml:space="preserve">. The results were obtained from three independent tests. </w:t>
      </w:r>
      <w:r w:rsidR="00ED4AD8" w:rsidRPr="009C4C21">
        <w:rPr>
          <w:rFonts w:ascii="Book Antiqua" w:eastAsia="Book Antiqua" w:hAnsi="Book Antiqua" w:cs="Book Antiqua"/>
          <w:vertAlign w:val="superscript"/>
        </w:rPr>
        <w:t>a</w:t>
      </w:r>
      <w:r w:rsidR="00ED4AD8" w:rsidRPr="009C4C21">
        <w:rPr>
          <w:rFonts w:ascii="Book Antiqua" w:eastAsia="Book Antiqua" w:hAnsi="Book Antiqua" w:cs="Book Antiqua"/>
          <w:i/>
          <w:iCs/>
        </w:rPr>
        <w:t>P</w:t>
      </w:r>
      <w:r w:rsidR="00ED4AD8" w:rsidRPr="009C4C21">
        <w:rPr>
          <w:rFonts w:ascii="Book Antiqua" w:eastAsia="Book Antiqua" w:hAnsi="Book Antiqua" w:cs="Book Antiqua"/>
        </w:rPr>
        <w:t xml:space="preserve"> &lt; 0.05,</w:t>
      </w:r>
      <w:r w:rsidR="00D7054A" w:rsidRPr="009C4C21">
        <w:rPr>
          <w:rFonts w:ascii="Book Antiqua" w:eastAsia="Book Antiqua" w:hAnsi="Book Antiqua" w:cs="Book Antiqua"/>
        </w:rPr>
        <w:t xml:space="preserve"> </w:t>
      </w:r>
      <w:r w:rsidR="00ED4AD8" w:rsidRPr="009C4C21">
        <w:rPr>
          <w:rFonts w:ascii="Book Antiqua" w:eastAsia="Book Antiqua" w:hAnsi="Book Antiqua" w:cs="Book Antiqua"/>
          <w:vertAlign w:val="superscript"/>
        </w:rPr>
        <w:t>b</w:t>
      </w:r>
      <w:r w:rsidR="00ED4AD8" w:rsidRPr="009C4C21">
        <w:rPr>
          <w:rFonts w:ascii="Book Antiqua" w:eastAsia="Book Antiqua" w:hAnsi="Book Antiqua" w:cs="Book Antiqua"/>
          <w:i/>
          <w:iCs/>
        </w:rPr>
        <w:t>P</w:t>
      </w:r>
      <w:r w:rsidR="00ED4AD8" w:rsidRPr="009C4C21">
        <w:rPr>
          <w:rFonts w:ascii="Book Antiqua" w:eastAsia="Book Antiqua" w:hAnsi="Book Antiqua" w:cs="Book Antiqua"/>
        </w:rPr>
        <w:t xml:space="preserve"> &lt; 0.01, </w:t>
      </w:r>
      <w:r w:rsidR="00ED4AD8" w:rsidRPr="009C4C21">
        <w:rPr>
          <w:rFonts w:ascii="Book Antiqua" w:eastAsia="Book Antiqua" w:hAnsi="Book Antiqua" w:cs="Book Antiqua"/>
          <w:vertAlign w:val="superscript"/>
        </w:rPr>
        <w:t>c</w:t>
      </w:r>
      <w:r w:rsidR="00ED4AD8" w:rsidRPr="009C4C21">
        <w:rPr>
          <w:rFonts w:ascii="Book Antiqua" w:eastAsia="Book Antiqua" w:hAnsi="Book Antiqua" w:cs="Book Antiqua"/>
          <w:i/>
          <w:iCs/>
        </w:rPr>
        <w:t>P</w:t>
      </w:r>
      <w:r w:rsidR="00ED4AD8" w:rsidRPr="009C4C21">
        <w:rPr>
          <w:rFonts w:ascii="Book Antiqua" w:eastAsia="Book Antiqua" w:hAnsi="Book Antiqua" w:cs="Book Antiqua"/>
        </w:rPr>
        <w:t xml:space="preserve"> &lt; 0.001.</w:t>
      </w:r>
    </w:p>
    <w:p w14:paraId="539995BD" w14:textId="634BE9DE" w:rsidR="00FE4F2C" w:rsidRPr="009C4C21" w:rsidRDefault="00FE4F2C" w:rsidP="00FE4F2C">
      <w:pPr>
        <w:adjustRightInd w:val="0"/>
        <w:snapToGrid w:val="0"/>
        <w:spacing w:line="360" w:lineRule="auto"/>
        <w:jc w:val="both"/>
        <w:rPr>
          <w:rFonts w:ascii="Book Antiqua" w:eastAsia="SimSun" w:hAnsi="Book Antiqua"/>
          <w:b/>
        </w:rPr>
      </w:pPr>
      <w:r w:rsidRPr="009C4C21">
        <w:rPr>
          <w:rFonts w:ascii="Book Antiqua" w:eastAsia="Book Antiqua" w:hAnsi="Book Antiqua" w:cs="Book Antiqua"/>
          <w:b/>
          <w:bCs/>
        </w:rPr>
        <w:br w:type="page"/>
      </w:r>
      <w:r w:rsidRPr="009C4C21">
        <w:rPr>
          <w:rFonts w:ascii="Book Antiqua" w:eastAsia="SimSun" w:hAnsi="Book Antiqua"/>
          <w:b/>
        </w:rPr>
        <w:t xml:space="preserve">Table 1 Correlation between lncRNA AC022424.2 </w:t>
      </w:r>
      <w:r w:rsidR="006F5B14" w:rsidRPr="009C4C21">
        <w:rPr>
          <w:rFonts w:ascii="Book Antiqua" w:eastAsia="SimSun" w:hAnsi="Book Antiqua"/>
          <w:b/>
        </w:rPr>
        <w:t>expression and clinical pathological features of patie</w:t>
      </w:r>
      <w:r w:rsidRPr="009C4C21">
        <w:rPr>
          <w:rFonts w:ascii="Book Antiqua" w:eastAsia="SimSun" w:hAnsi="Book Antiqua"/>
          <w:b/>
        </w:rPr>
        <w:t>nts</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1757"/>
        <w:gridCol w:w="2716"/>
        <w:gridCol w:w="1533"/>
      </w:tblGrid>
      <w:tr w:rsidR="00FE4F2C" w:rsidRPr="009C4C21" w14:paraId="78522D9C" w14:textId="77777777" w:rsidTr="00C65DF0">
        <w:trPr>
          <w:tblHeader/>
        </w:trPr>
        <w:tc>
          <w:tcPr>
            <w:tcW w:w="1792" w:type="pct"/>
            <w:tcBorders>
              <w:top w:val="single" w:sz="4" w:space="0" w:color="auto"/>
              <w:bottom w:val="single" w:sz="4" w:space="0" w:color="auto"/>
            </w:tcBorders>
            <w:hideMark/>
          </w:tcPr>
          <w:p w14:paraId="46126148" w14:textId="62534807" w:rsidR="00FE4F2C" w:rsidRPr="009C4C21" w:rsidRDefault="00FE4F2C" w:rsidP="00FE4F2C">
            <w:pPr>
              <w:adjustRightInd w:val="0"/>
              <w:snapToGrid w:val="0"/>
              <w:spacing w:line="360" w:lineRule="auto"/>
              <w:rPr>
                <w:rFonts w:ascii="Book Antiqua" w:hAnsi="Book Antiqua"/>
                <w:b/>
                <w:bCs/>
              </w:rPr>
            </w:pPr>
            <w:r w:rsidRPr="009C4C21">
              <w:rPr>
                <w:rFonts w:ascii="Book Antiqua" w:hAnsi="Book Antiqua"/>
                <w:b/>
                <w:bCs/>
              </w:rPr>
              <w:t xml:space="preserve">Clinical </w:t>
            </w:r>
            <w:r w:rsidR="006F5B14" w:rsidRPr="009C4C21">
              <w:rPr>
                <w:rFonts w:ascii="Book Antiqua" w:hAnsi="Book Antiqua"/>
                <w:b/>
                <w:bCs/>
              </w:rPr>
              <w:t>pathological f</w:t>
            </w:r>
            <w:r w:rsidRPr="009C4C21">
              <w:rPr>
                <w:rFonts w:ascii="Book Antiqua" w:hAnsi="Book Antiqua"/>
                <w:b/>
                <w:bCs/>
              </w:rPr>
              <w:t>eatures</w:t>
            </w:r>
          </w:p>
        </w:tc>
        <w:tc>
          <w:tcPr>
            <w:tcW w:w="938" w:type="pct"/>
            <w:tcBorders>
              <w:top w:val="single" w:sz="4" w:space="0" w:color="auto"/>
              <w:bottom w:val="single" w:sz="4" w:space="0" w:color="auto"/>
            </w:tcBorders>
            <w:hideMark/>
          </w:tcPr>
          <w:p w14:paraId="4A2AD708" w14:textId="67A68DF6" w:rsidR="00FE4F2C" w:rsidRPr="009C4C21" w:rsidRDefault="00FE4F2C" w:rsidP="00FE4F2C">
            <w:pPr>
              <w:adjustRightInd w:val="0"/>
              <w:snapToGrid w:val="0"/>
              <w:spacing w:line="360" w:lineRule="auto"/>
              <w:rPr>
                <w:rFonts w:ascii="Book Antiqua" w:hAnsi="Book Antiqua"/>
                <w:b/>
                <w:bCs/>
              </w:rPr>
            </w:pPr>
            <w:r w:rsidRPr="009C4C21">
              <w:rPr>
                <w:rFonts w:ascii="Book Antiqua" w:hAnsi="Book Antiqua"/>
                <w:b/>
                <w:bCs/>
              </w:rPr>
              <w:t xml:space="preserve">Number of </w:t>
            </w:r>
            <w:r w:rsidR="006F5B14" w:rsidRPr="009C4C21">
              <w:rPr>
                <w:rFonts w:ascii="Book Antiqua" w:hAnsi="Book Antiqua"/>
                <w:b/>
                <w:bCs/>
              </w:rPr>
              <w:t>c</w:t>
            </w:r>
            <w:r w:rsidRPr="009C4C21">
              <w:rPr>
                <w:rFonts w:ascii="Book Antiqua" w:hAnsi="Book Antiqua"/>
                <w:b/>
                <w:bCs/>
              </w:rPr>
              <w:t>ases</w:t>
            </w:r>
          </w:p>
        </w:tc>
        <w:tc>
          <w:tcPr>
            <w:tcW w:w="1450" w:type="pct"/>
            <w:tcBorders>
              <w:top w:val="single" w:sz="4" w:space="0" w:color="auto"/>
              <w:bottom w:val="single" w:sz="4" w:space="0" w:color="auto"/>
            </w:tcBorders>
            <w:hideMark/>
          </w:tcPr>
          <w:p w14:paraId="68881982" w14:textId="40EACF17" w:rsidR="00FE4F2C" w:rsidRPr="009C4C21" w:rsidRDefault="00FE4F2C" w:rsidP="00FE4F2C">
            <w:pPr>
              <w:adjustRightInd w:val="0"/>
              <w:snapToGrid w:val="0"/>
              <w:spacing w:line="360" w:lineRule="auto"/>
              <w:rPr>
                <w:rFonts w:ascii="Book Antiqua" w:hAnsi="Book Antiqua"/>
                <w:b/>
                <w:bCs/>
              </w:rPr>
            </w:pPr>
            <w:r w:rsidRPr="009C4C21">
              <w:rPr>
                <w:rFonts w:ascii="Book Antiqua" w:hAnsi="Book Antiqua"/>
                <w:b/>
                <w:bCs/>
              </w:rPr>
              <w:t xml:space="preserve">AC022424.2 </w:t>
            </w:r>
            <w:r w:rsidR="006F5B14" w:rsidRPr="009C4C21">
              <w:rPr>
                <w:rFonts w:ascii="Book Antiqua" w:hAnsi="Book Antiqua"/>
                <w:b/>
                <w:bCs/>
              </w:rPr>
              <w:t>e</w:t>
            </w:r>
            <w:r w:rsidRPr="009C4C21">
              <w:rPr>
                <w:rFonts w:ascii="Book Antiqua" w:hAnsi="Book Antiqua"/>
                <w:b/>
                <w:bCs/>
              </w:rPr>
              <w:t>xpression</w:t>
            </w:r>
            <w:r w:rsidR="009F2D01">
              <w:rPr>
                <w:rFonts w:ascii="Book Antiqua" w:hAnsi="Book Antiqua"/>
                <w:b/>
                <w:bCs/>
              </w:rPr>
              <w:t>,</w:t>
            </w:r>
            <w:r w:rsidRPr="009C4C21">
              <w:rPr>
                <w:rFonts w:ascii="Book Antiqua" w:hAnsi="Book Antiqua"/>
                <w:b/>
                <w:bCs/>
              </w:rPr>
              <w:t xml:space="preserve"> mean ± SEM</w:t>
            </w:r>
          </w:p>
        </w:tc>
        <w:tc>
          <w:tcPr>
            <w:tcW w:w="819" w:type="pct"/>
            <w:tcBorders>
              <w:top w:val="single" w:sz="4" w:space="0" w:color="auto"/>
              <w:bottom w:val="single" w:sz="4" w:space="0" w:color="auto"/>
            </w:tcBorders>
            <w:hideMark/>
          </w:tcPr>
          <w:p w14:paraId="484774A1" w14:textId="206B0EFF" w:rsidR="00FE4F2C" w:rsidRPr="009C4C21" w:rsidRDefault="00FE4F2C" w:rsidP="00FE4F2C">
            <w:pPr>
              <w:adjustRightInd w:val="0"/>
              <w:snapToGrid w:val="0"/>
              <w:spacing w:line="360" w:lineRule="auto"/>
              <w:rPr>
                <w:rFonts w:ascii="Book Antiqua" w:hAnsi="Book Antiqua"/>
                <w:b/>
                <w:bCs/>
              </w:rPr>
            </w:pPr>
            <w:r w:rsidRPr="009C4C21">
              <w:rPr>
                <w:rFonts w:ascii="Book Antiqua" w:hAnsi="Book Antiqua"/>
                <w:b/>
                <w:bCs/>
                <w:i/>
              </w:rPr>
              <w:t>P</w:t>
            </w:r>
            <w:r w:rsidR="006F5B14" w:rsidRPr="009C4C21">
              <w:rPr>
                <w:rFonts w:ascii="Book Antiqua" w:hAnsi="Book Antiqua"/>
                <w:b/>
                <w:bCs/>
                <w:i/>
              </w:rPr>
              <w:t xml:space="preserve"> </w:t>
            </w:r>
            <w:r w:rsidRPr="009C4C21">
              <w:rPr>
                <w:rFonts w:ascii="Book Antiqua" w:hAnsi="Book Antiqua"/>
                <w:b/>
                <w:bCs/>
              </w:rPr>
              <w:t>value</w:t>
            </w:r>
          </w:p>
        </w:tc>
      </w:tr>
      <w:tr w:rsidR="00FE4F2C" w:rsidRPr="009C4C21" w14:paraId="38D5AA17" w14:textId="77777777" w:rsidTr="00C65DF0">
        <w:tc>
          <w:tcPr>
            <w:tcW w:w="1792" w:type="pct"/>
            <w:tcBorders>
              <w:top w:val="single" w:sz="4" w:space="0" w:color="auto"/>
            </w:tcBorders>
            <w:hideMark/>
          </w:tcPr>
          <w:p w14:paraId="03ACB3CF"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Sex</w:t>
            </w:r>
          </w:p>
        </w:tc>
        <w:tc>
          <w:tcPr>
            <w:tcW w:w="938" w:type="pct"/>
            <w:tcBorders>
              <w:top w:val="single" w:sz="4" w:space="0" w:color="auto"/>
            </w:tcBorders>
          </w:tcPr>
          <w:p w14:paraId="137AC2AD" w14:textId="77777777" w:rsidR="00FE4F2C" w:rsidRPr="009C4C21" w:rsidRDefault="00FE4F2C" w:rsidP="00FE4F2C">
            <w:pPr>
              <w:adjustRightInd w:val="0"/>
              <w:snapToGrid w:val="0"/>
              <w:spacing w:line="360" w:lineRule="auto"/>
              <w:rPr>
                <w:rFonts w:ascii="Book Antiqua" w:hAnsi="Book Antiqua"/>
              </w:rPr>
            </w:pPr>
          </w:p>
        </w:tc>
        <w:tc>
          <w:tcPr>
            <w:tcW w:w="1450" w:type="pct"/>
            <w:tcBorders>
              <w:top w:val="single" w:sz="4" w:space="0" w:color="auto"/>
            </w:tcBorders>
          </w:tcPr>
          <w:p w14:paraId="678B1C58" w14:textId="77777777" w:rsidR="00FE4F2C" w:rsidRPr="009C4C21" w:rsidRDefault="00FE4F2C" w:rsidP="00FE4F2C">
            <w:pPr>
              <w:adjustRightInd w:val="0"/>
              <w:snapToGrid w:val="0"/>
              <w:spacing w:line="360" w:lineRule="auto"/>
              <w:rPr>
                <w:rFonts w:ascii="Book Antiqua" w:hAnsi="Book Antiqua"/>
              </w:rPr>
            </w:pPr>
          </w:p>
        </w:tc>
        <w:tc>
          <w:tcPr>
            <w:tcW w:w="819" w:type="pct"/>
            <w:tcBorders>
              <w:top w:val="single" w:sz="4" w:space="0" w:color="auto"/>
            </w:tcBorders>
            <w:hideMark/>
          </w:tcPr>
          <w:p w14:paraId="5ECB5055"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0.740</w:t>
            </w:r>
          </w:p>
        </w:tc>
      </w:tr>
      <w:tr w:rsidR="00FE4F2C" w:rsidRPr="009C4C21" w14:paraId="012D0413" w14:textId="77777777" w:rsidTr="00C65DF0">
        <w:tc>
          <w:tcPr>
            <w:tcW w:w="1792" w:type="pct"/>
            <w:hideMark/>
          </w:tcPr>
          <w:p w14:paraId="77EB0CB1"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Male</w:t>
            </w:r>
          </w:p>
        </w:tc>
        <w:tc>
          <w:tcPr>
            <w:tcW w:w="938" w:type="pct"/>
            <w:hideMark/>
          </w:tcPr>
          <w:p w14:paraId="0F52E86D"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37</w:t>
            </w:r>
          </w:p>
        </w:tc>
        <w:tc>
          <w:tcPr>
            <w:tcW w:w="1450" w:type="pct"/>
            <w:hideMark/>
          </w:tcPr>
          <w:p w14:paraId="7AAB5677"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0.068 ± 0.032</w:t>
            </w:r>
          </w:p>
        </w:tc>
        <w:tc>
          <w:tcPr>
            <w:tcW w:w="819" w:type="pct"/>
          </w:tcPr>
          <w:p w14:paraId="1A210E44"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71CD2282" w14:textId="77777777" w:rsidTr="00C65DF0">
        <w:tc>
          <w:tcPr>
            <w:tcW w:w="1792" w:type="pct"/>
            <w:hideMark/>
          </w:tcPr>
          <w:p w14:paraId="3701F750"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Female</w:t>
            </w:r>
          </w:p>
        </w:tc>
        <w:tc>
          <w:tcPr>
            <w:tcW w:w="938" w:type="pct"/>
            <w:hideMark/>
          </w:tcPr>
          <w:p w14:paraId="61798A8F"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14</w:t>
            </w:r>
          </w:p>
        </w:tc>
        <w:tc>
          <w:tcPr>
            <w:tcW w:w="1450" w:type="pct"/>
            <w:hideMark/>
          </w:tcPr>
          <w:p w14:paraId="0EC574BB"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0.050 ± 0.020</w:t>
            </w:r>
          </w:p>
        </w:tc>
        <w:tc>
          <w:tcPr>
            <w:tcW w:w="819" w:type="pct"/>
          </w:tcPr>
          <w:p w14:paraId="481BE92C"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10562FF9" w14:textId="77777777" w:rsidTr="00C65DF0">
        <w:tc>
          <w:tcPr>
            <w:tcW w:w="1792" w:type="pct"/>
            <w:hideMark/>
          </w:tcPr>
          <w:p w14:paraId="65B1DA26" w14:textId="05D0BE88"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Age</w:t>
            </w:r>
            <w:r w:rsidR="009F2D01">
              <w:rPr>
                <w:rFonts w:ascii="Book Antiqua" w:hAnsi="Book Antiqua"/>
              </w:rPr>
              <w:t xml:space="preserve"> in yr</w:t>
            </w:r>
          </w:p>
        </w:tc>
        <w:tc>
          <w:tcPr>
            <w:tcW w:w="938" w:type="pct"/>
          </w:tcPr>
          <w:p w14:paraId="730AC6A2" w14:textId="77777777" w:rsidR="00FE4F2C" w:rsidRPr="009C4C21" w:rsidRDefault="00FE4F2C" w:rsidP="00FE4F2C">
            <w:pPr>
              <w:adjustRightInd w:val="0"/>
              <w:snapToGrid w:val="0"/>
              <w:spacing w:line="360" w:lineRule="auto"/>
              <w:rPr>
                <w:rFonts w:ascii="Book Antiqua" w:hAnsi="Book Antiqua"/>
              </w:rPr>
            </w:pPr>
          </w:p>
        </w:tc>
        <w:tc>
          <w:tcPr>
            <w:tcW w:w="1450" w:type="pct"/>
          </w:tcPr>
          <w:p w14:paraId="7F732517" w14:textId="77777777" w:rsidR="00FE4F2C" w:rsidRPr="009C4C21" w:rsidRDefault="00FE4F2C" w:rsidP="00FE4F2C">
            <w:pPr>
              <w:adjustRightInd w:val="0"/>
              <w:snapToGrid w:val="0"/>
              <w:spacing w:line="360" w:lineRule="auto"/>
              <w:rPr>
                <w:rFonts w:ascii="Book Antiqua" w:hAnsi="Book Antiqua"/>
              </w:rPr>
            </w:pPr>
          </w:p>
        </w:tc>
        <w:tc>
          <w:tcPr>
            <w:tcW w:w="819" w:type="pct"/>
            <w:hideMark/>
          </w:tcPr>
          <w:p w14:paraId="7F62E773"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0.856</w:t>
            </w:r>
          </w:p>
        </w:tc>
      </w:tr>
      <w:tr w:rsidR="00FE4F2C" w:rsidRPr="009C4C21" w14:paraId="71EB7363" w14:textId="77777777" w:rsidTr="00C65DF0">
        <w:tc>
          <w:tcPr>
            <w:tcW w:w="1792" w:type="pct"/>
            <w:hideMark/>
          </w:tcPr>
          <w:p w14:paraId="557B2D69" w14:textId="462B1B16"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w:t>
            </w:r>
            <w:r w:rsidR="006F5B14" w:rsidRPr="009C4C21">
              <w:rPr>
                <w:rFonts w:ascii="Book Antiqua" w:hAnsi="Book Antiqua"/>
              </w:rPr>
              <w:t xml:space="preserve"> </w:t>
            </w:r>
            <w:r w:rsidRPr="009C4C21">
              <w:rPr>
                <w:rFonts w:ascii="Book Antiqua" w:hAnsi="Book Antiqua"/>
              </w:rPr>
              <w:t>60</w:t>
            </w:r>
          </w:p>
        </w:tc>
        <w:tc>
          <w:tcPr>
            <w:tcW w:w="938" w:type="pct"/>
            <w:hideMark/>
          </w:tcPr>
          <w:p w14:paraId="7189F9B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32</w:t>
            </w:r>
          </w:p>
        </w:tc>
        <w:tc>
          <w:tcPr>
            <w:tcW w:w="1450" w:type="pct"/>
            <w:hideMark/>
          </w:tcPr>
          <w:p w14:paraId="553D18B9"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0.067 ± 0.037</w:t>
            </w:r>
          </w:p>
        </w:tc>
        <w:tc>
          <w:tcPr>
            <w:tcW w:w="819" w:type="pct"/>
          </w:tcPr>
          <w:p w14:paraId="23EA632D"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5996883F" w14:textId="77777777" w:rsidTr="00C65DF0">
        <w:tc>
          <w:tcPr>
            <w:tcW w:w="1792" w:type="pct"/>
            <w:hideMark/>
          </w:tcPr>
          <w:p w14:paraId="70B68616" w14:textId="7EBAFBA5"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&lt;</w:t>
            </w:r>
            <w:r w:rsidR="006F5B14" w:rsidRPr="009C4C21">
              <w:rPr>
                <w:rFonts w:ascii="Book Antiqua" w:hAnsi="Book Antiqua"/>
              </w:rPr>
              <w:t xml:space="preserve"> </w:t>
            </w:r>
            <w:r w:rsidRPr="009C4C21">
              <w:rPr>
                <w:rFonts w:ascii="Book Antiqua" w:hAnsi="Book Antiqua"/>
              </w:rPr>
              <w:t>60</w:t>
            </w:r>
          </w:p>
        </w:tc>
        <w:tc>
          <w:tcPr>
            <w:tcW w:w="938" w:type="pct"/>
            <w:hideMark/>
          </w:tcPr>
          <w:p w14:paraId="2542F434"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19</w:t>
            </w:r>
          </w:p>
        </w:tc>
        <w:tc>
          <w:tcPr>
            <w:tcW w:w="1450" w:type="pct"/>
            <w:hideMark/>
          </w:tcPr>
          <w:p w14:paraId="149F2C43"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0.058 ± 0.024</w:t>
            </w:r>
          </w:p>
        </w:tc>
        <w:tc>
          <w:tcPr>
            <w:tcW w:w="819" w:type="pct"/>
          </w:tcPr>
          <w:p w14:paraId="3971B0C0"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05F494DC" w14:textId="77777777" w:rsidTr="00C65DF0">
        <w:tc>
          <w:tcPr>
            <w:tcW w:w="1792" w:type="pct"/>
            <w:hideMark/>
          </w:tcPr>
          <w:p w14:paraId="7EF5B233"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Site</w:t>
            </w:r>
          </w:p>
        </w:tc>
        <w:tc>
          <w:tcPr>
            <w:tcW w:w="938" w:type="pct"/>
          </w:tcPr>
          <w:p w14:paraId="32C23C26" w14:textId="77777777" w:rsidR="00FE4F2C" w:rsidRPr="009C4C21" w:rsidRDefault="00FE4F2C" w:rsidP="00FE4F2C">
            <w:pPr>
              <w:adjustRightInd w:val="0"/>
              <w:snapToGrid w:val="0"/>
              <w:spacing w:line="360" w:lineRule="auto"/>
              <w:rPr>
                <w:rFonts w:ascii="Book Antiqua" w:hAnsi="Book Antiqua"/>
              </w:rPr>
            </w:pPr>
          </w:p>
        </w:tc>
        <w:tc>
          <w:tcPr>
            <w:tcW w:w="1450" w:type="pct"/>
          </w:tcPr>
          <w:p w14:paraId="608A4DC0" w14:textId="77777777" w:rsidR="00FE4F2C" w:rsidRPr="009C4C21" w:rsidRDefault="00FE4F2C" w:rsidP="00FE4F2C">
            <w:pPr>
              <w:adjustRightInd w:val="0"/>
              <w:snapToGrid w:val="0"/>
              <w:spacing w:line="360" w:lineRule="auto"/>
              <w:rPr>
                <w:rFonts w:ascii="Book Antiqua" w:hAnsi="Book Antiqua"/>
              </w:rPr>
            </w:pPr>
          </w:p>
        </w:tc>
        <w:tc>
          <w:tcPr>
            <w:tcW w:w="819" w:type="pct"/>
            <w:hideMark/>
          </w:tcPr>
          <w:p w14:paraId="34D5B7AF"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0.508</w:t>
            </w:r>
          </w:p>
        </w:tc>
      </w:tr>
      <w:tr w:rsidR="00FE4F2C" w:rsidRPr="009C4C21" w14:paraId="01C5DEE9" w14:textId="77777777" w:rsidTr="00C65DF0">
        <w:tc>
          <w:tcPr>
            <w:tcW w:w="1792" w:type="pct"/>
            <w:hideMark/>
          </w:tcPr>
          <w:p w14:paraId="12FF7F10"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 xml:space="preserve">Esophagus </w:t>
            </w:r>
          </w:p>
        </w:tc>
        <w:tc>
          <w:tcPr>
            <w:tcW w:w="938" w:type="pct"/>
            <w:hideMark/>
          </w:tcPr>
          <w:p w14:paraId="6EBA32B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11</w:t>
            </w:r>
          </w:p>
        </w:tc>
        <w:tc>
          <w:tcPr>
            <w:tcW w:w="1450" w:type="pct"/>
            <w:hideMark/>
          </w:tcPr>
          <w:p w14:paraId="7837C51B"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0.030 ± 0.013</w:t>
            </w:r>
          </w:p>
        </w:tc>
        <w:tc>
          <w:tcPr>
            <w:tcW w:w="819" w:type="pct"/>
          </w:tcPr>
          <w:p w14:paraId="0E919320"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6E50F87D" w14:textId="77777777" w:rsidTr="00C65DF0">
        <w:tc>
          <w:tcPr>
            <w:tcW w:w="1792" w:type="pct"/>
            <w:hideMark/>
          </w:tcPr>
          <w:p w14:paraId="1F055189"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Gastric body/antrum</w:t>
            </w:r>
          </w:p>
        </w:tc>
        <w:tc>
          <w:tcPr>
            <w:tcW w:w="938" w:type="pct"/>
            <w:hideMark/>
          </w:tcPr>
          <w:p w14:paraId="2A15B3CA"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40</w:t>
            </w:r>
          </w:p>
        </w:tc>
        <w:tc>
          <w:tcPr>
            <w:tcW w:w="1450" w:type="pct"/>
            <w:hideMark/>
          </w:tcPr>
          <w:p w14:paraId="1D9F0DA6"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0.071 ± 0.030</w:t>
            </w:r>
          </w:p>
        </w:tc>
        <w:tc>
          <w:tcPr>
            <w:tcW w:w="819" w:type="pct"/>
          </w:tcPr>
          <w:p w14:paraId="79DB54CB"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00217FE1" w14:textId="77777777" w:rsidTr="00C65DF0">
        <w:tc>
          <w:tcPr>
            <w:tcW w:w="1792" w:type="pct"/>
            <w:hideMark/>
          </w:tcPr>
          <w:p w14:paraId="3359C048"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Differentiation grade</w:t>
            </w:r>
          </w:p>
        </w:tc>
        <w:tc>
          <w:tcPr>
            <w:tcW w:w="938" w:type="pct"/>
          </w:tcPr>
          <w:p w14:paraId="15326127" w14:textId="77777777" w:rsidR="00FE4F2C" w:rsidRPr="009C4C21" w:rsidRDefault="00FE4F2C" w:rsidP="00FE4F2C">
            <w:pPr>
              <w:adjustRightInd w:val="0"/>
              <w:snapToGrid w:val="0"/>
              <w:spacing w:line="360" w:lineRule="auto"/>
              <w:rPr>
                <w:rFonts w:ascii="Book Antiqua" w:hAnsi="Book Antiqua"/>
              </w:rPr>
            </w:pPr>
          </w:p>
        </w:tc>
        <w:tc>
          <w:tcPr>
            <w:tcW w:w="1450" w:type="pct"/>
          </w:tcPr>
          <w:p w14:paraId="48C5C439" w14:textId="77777777" w:rsidR="00FE4F2C" w:rsidRPr="009C4C21" w:rsidRDefault="00FE4F2C" w:rsidP="00FE4F2C">
            <w:pPr>
              <w:adjustRightInd w:val="0"/>
              <w:snapToGrid w:val="0"/>
              <w:spacing w:line="360" w:lineRule="auto"/>
              <w:rPr>
                <w:rFonts w:ascii="Book Antiqua" w:hAnsi="Book Antiqua"/>
              </w:rPr>
            </w:pPr>
          </w:p>
        </w:tc>
        <w:tc>
          <w:tcPr>
            <w:tcW w:w="819" w:type="pct"/>
            <w:hideMark/>
          </w:tcPr>
          <w:p w14:paraId="66059B3E"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0.617</w:t>
            </w:r>
          </w:p>
        </w:tc>
      </w:tr>
      <w:tr w:rsidR="00FE4F2C" w:rsidRPr="009C4C21" w14:paraId="02C9FE5C" w14:textId="77777777" w:rsidTr="00C65DF0">
        <w:tc>
          <w:tcPr>
            <w:tcW w:w="1792" w:type="pct"/>
            <w:hideMark/>
          </w:tcPr>
          <w:p w14:paraId="203392DD"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High–moderate differentiation</w:t>
            </w:r>
          </w:p>
        </w:tc>
        <w:tc>
          <w:tcPr>
            <w:tcW w:w="938" w:type="pct"/>
            <w:hideMark/>
          </w:tcPr>
          <w:p w14:paraId="7595DDA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3</w:t>
            </w:r>
          </w:p>
        </w:tc>
        <w:tc>
          <w:tcPr>
            <w:tcW w:w="1450" w:type="pct"/>
            <w:hideMark/>
          </w:tcPr>
          <w:p w14:paraId="116484AB"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0.021 ± 0.016</w:t>
            </w:r>
          </w:p>
        </w:tc>
        <w:tc>
          <w:tcPr>
            <w:tcW w:w="819" w:type="pct"/>
          </w:tcPr>
          <w:p w14:paraId="58424E7D"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3CDB60D5" w14:textId="77777777" w:rsidTr="00C65DF0">
        <w:tc>
          <w:tcPr>
            <w:tcW w:w="1792" w:type="pct"/>
            <w:hideMark/>
          </w:tcPr>
          <w:p w14:paraId="1A2FC6F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 xml:space="preserve">Low–poor differentiation </w:t>
            </w:r>
          </w:p>
        </w:tc>
        <w:tc>
          <w:tcPr>
            <w:tcW w:w="938" w:type="pct"/>
            <w:hideMark/>
          </w:tcPr>
          <w:p w14:paraId="35EFFC3F"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48</w:t>
            </w:r>
          </w:p>
        </w:tc>
        <w:tc>
          <w:tcPr>
            <w:tcW w:w="1450" w:type="pct"/>
            <w:hideMark/>
          </w:tcPr>
          <w:p w14:paraId="52ACCE8F"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0.067 ± 0.026</w:t>
            </w:r>
          </w:p>
        </w:tc>
        <w:tc>
          <w:tcPr>
            <w:tcW w:w="819" w:type="pct"/>
          </w:tcPr>
          <w:p w14:paraId="4A7D1D57"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29B76FEB" w14:textId="77777777" w:rsidTr="00C65DF0">
        <w:tc>
          <w:tcPr>
            <w:tcW w:w="1792" w:type="pct"/>
            <w:hideMark/>
          </w:tcPr>
          <w:p w14:paraId="471E972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 xml:space="preserve">Clinical stage </w:t>
            </w:r>
          </w:p>
        </w:tc>
        <w:tc>
          <w:tcPr>
            <w:tcW w:w="938" w:type="pct"/>
          </w:tcPr>
          <w:p w14:paraId="7B98BF53" w14:textId="77777777" w:rsidR="00FE4F2C" w:rsidRPr="009C4C21" w:rsidRDefault="00FE4F2C" w:rsidP="00FE4F2C">
            <w:pPr>
              <w:adjustRightInd w:val="0"/>
              <w:snapToGrid w:val="0"/>
              <w:spacing w:line="360" w:lineRule="auto"/>
              <w:rPr>
                <w:rFonts w:ascii="Book Antiqua" w:hAnsi="Book Antiqua"/>
              </w:rPr>
            </w:pPr>
          </w:p>
        </w:tc>
        <w:tc>
          <w:tcPr>
            <w:tcW w:w="1450" w:type="pct"/>
          </w:tcPr>
          <w:p w14:paraId="2DF0DA66" w14:textId="77777777" w:rsidR="00FE4F2C" w:rsidRPr="009C4C21" w:rsidRDefault="00FE4F2C" w:rsidP="00FE4F2C">
            <w:pPr>
              <w:adjustRightInd w:val="0"/>
              <w:snapToGrid w:val="0"/>
              <w:spacing w:line="360" w:lineRule="auto"/>
              <w:rPr>
                <w:rFonts w:ascii="Book Antiqua" w:hAnsi="Book Antiqua"/>
              </w:rPr>
            </w:pPr>
          </w:p>
        </w:tc>
        <w:tc>
          <w:tcPr>
            <w:tcW w:w="819" w:type="pct"/>
            <w:hideMark/>
          </w:tcPr>
          <w:p w14:paraId="0BF74FA7"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0.285</w:t>
            </w:r>
          </w:p>
        </w:tc>
      </w:tr>
      <w:tr w:rsidR="00FE4F2C" w:rsidRPr="009C4C21" w14:paraId="17CDAB95" w14:textId="77777777" w:rsidTr="00C65DF0">
        <w:tc>
          <w:tcPr>
            <w:tcW w:w="1792" w:type="pct"/>
            <w:hideMark/>
          </w:tcPr>
          <w:p w14:paraId="7D4D5153" w14:textId="6F4CB8C9" w:rsidR="00FE4F2C" w:rsidRPr="009C4C21" w:rsidRDefault="006F5B14" w:rsidP="00FE4F2C">
            <w:pPr>
              <w:adjustRightInd w:val="0"/>
              <w:snapToGrid w:val="0"/>
              <w:spacing w:line="360" w:lineRule="auto"/>
              <w:rPr>
                <w:rFonts w:ascii="Book Antiqua" w:hAnsi="Book Antiqua"/>
              </w:rPr>
            </w:pPr>
            <w:r w:rsidRPr="009C4C21">
              <w:rPr>
                <w:rFonts w:ascii="Book Antiqua" w:hAnsi="Book Antiqua"/>
              </w:rPr>
              <w:t>I</w:t>
            </w:r>
            <w:r w:rsidR="00FE4F2C" w:rsidRPr="009C4C21">
              <w:rPr>
                <w:rFonts w:ascii="Book Antiqua" w:hAnsi="Book Antiqua"/>
              </w:rPr>
              <w:t>–</w:t>
            </w:r>
            <w:r w:rsidRPr="009C4C21">
              <w:rPr>
                <w:rFonts w:ascii="Book Antiqua" w:hAnsi="Book Antiqua"/>
              </w:rPr>
              <w:t>II</w:t>
            </w:r>
          </w:p>
        </w:tc>
        <w:tc>
          <w:tcPr>
            <w:tcW w:w="938" w:type="pct"/>
            <w:hideMark/>
          </w:tcPr>
          <w:p w14:paraId="1A35DDE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18</w:t>
            </w:r>
          </w:p>
        </w:tc>
        <w:tc>
          <w:tcPr>
            <w:tcW w:w="1450" w:type="pct"/>
            <w:hideMark/>
          </w:tcPr>
          <w:p w14:paraId="1F8DDCFA"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0.098 ± 0.062</w:t>
            </w:r>
          </w:p>
        </w:tc>
        <w:tc>
          <w:tcPr>
            <w:tcW w:w="819" w:type="pct"/>
          </w:tcPr>
          <w:p w14:paraId="20632D4D"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16FC652A" w14:textId="77777777" w:rsidTr="00C65DF0">
        <w:tc>
          <w:tcPr>
            <w:tcW w:w="1792" w:type="pct"/>
            <w:hideMark/>
          </w:tcPr>
          <w:p w14:paraId="483C26FB" w14:textId="5C3047CD" w:rsidR="00FE4F2C" w:rsidRPr="009C4C21" w:rsidRDefault="006F5B14" w:rsidP="00FE4F2C">
            <w:pPr>
              <w:adjustRightInd w:val="0"/>
              <w:snapToGrid w:val="0"/>
              <w:spacing w:line="360" w:lineRule="auto"/>
              <w:rPr>
                <w:rFonts w:ascii="Book Antiqua" w:hAnsi="Book Antiqua"/>
              </w:rPr>
            </w:pPr>
            <w:r w:rsidRPr="009C4C21">
              <w:rPr>
                <w:rFonts w:ascii="Book Antiqua" w:hAnsi="Book Antiqua"/>
              </w:rPr>
              <w:t>III</w:t>
            </w:r>
            <w:r w:rsidR="00FE4F2C" w:rsidRPr="009C4C21">
              <w:rPr>
                <w:rFonts w:ascii="Book Antiqua" w:hAnsi="Book Antiqua"/>
              </w:rPr>
              <w:t>–</w:t>
            </w:r>
            <w:r w:rsidRPr="009C4C21">
              <w:rPr>
                <w:rFonts w:ascii="Book Antiqua" w:hAnsi="Book Antiqua"/>
              </w:rPr>
              <w:t>IV</w:t>
            </w:r>
          </w:p>
        </w:tc>
        <w:tc>
          <w:tcPr>
            <w:tcW w:w="938" w:type="pct"/>
            <w:hideMark/>
          </w:tcPr>
          <w:p w14:paraId="46B03955"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33</w:t>
            </w:r>
          </w:p>
        </w:tc>
        <w:tc>
          <w:tcPr>
            <w:tcW w:w="1450" w:type="pct"/>
            <w:hideMark/>
          </w:tcPr>
          <w:p w14:paraId="71945D06"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0.044 ± 0.015</w:t>
            </w:r>
          </w:p>
        </w:tc>
        <w:tc>
          <w:tcPr>
            <w:tcW w:w="819" w:type="pct"/>
          </w:tcPr>
          <w:p w14:paraId="63C1A5A4"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3449ED13" w14:textId="77777777" w:rsidTr="00C65DF0">
        <w:tc>
          <w:tcPr>
            <w:tcW w:w="1792" w:type="pct"/>
            <w:hideMark/>
          </w:tcPr>
          <w:p w14:paraId="6BC1B4E7"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Lymph node metastasis</w:t>
            </w:r>
          </w:p>
        </w:tc>
        <w:tc>
          <w:tcPr>
            <w:tcW w:w="938" w:type="pct"/>
          </w:tcPr>
          <w:p w14:paraId="0145E80D" w14:textId="77777777" w:rsidR="00FE4F2C" w:rsidRPr="009C4C21" w:rsidRDefault="00FE4F2C" w:rsidP="00FE4F2C">
            <w:pPr>
              <w:adjustRightInd w:val="0"/>
              <w:snapToGrid w:val="0"/>
              <w:spacing w:line="360" w:lineRule="auto"/>
              <w:rPr>
                <w:rFonts w:ascii="Book Antiqua" w:hAnsi="Book Antiqua"/>
              </w:rPr>
            </w:pPr>
          </w:p>
        </w:tc>
        <w:tc>
          <w:tcPr>
            <w:tcW w:w="1450" w:type="pct"/>
          </w:tcPr>
          <w:p w14:paraId="71E3DE03" w14:textId="77777777" w:rsidR="00FE4F2C" w:rsidRPr="009C4C21" w:rsidRDefault="00FE4F2C" w:rsidP="00FE4F2C">
            <w:pPr>
              <w:adjustRightInd w:val="0"/>
              <w:snapToGrid w:val="0"/>
              <w:spacing w:line="360" w:lineRule="auto"/>
              <w:rPr>
                <w:rFonts w:ascii="Book Antiqua" w:hAnsi="Book Antiqua"/>
              </w:rPr>
            </w:pPr>
          </w:p>
        </w:tc>
        <w:tc>
          <w:tcPr>
            <w:tcW w:w="819" w:type="pct"/>
            <w:hideMark/>
          </w:tcPr>
          <w:p w14:paraId="4DC90822"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0.021</w:t>
            </w:r>
          </w:p>
        </w:tc>
      </w:tr>
      <w:tr w:rsidR="00FE4F2C" w:rsidRPr="009C4C21" w14:paraId="04EECCDF" w14:textId="77777777" w:rsidTr="00C65DF0">
        <w:tc>
          <w:tcPr>
            <w:tcW w:w="1792" w:type="pct"/>
            <w:hideMark/>
          </w:tcPr>
          <w:p w14:paraId="1318BAE3"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 xml:space="preserve">Yes </w:t>
            </w:r>
          </w:p>
        </w:tc>
        <w:tc>
          <w:tcPr>
            <w:tcW w:w="938" w:type="pct"/>
            <w:hideMark/>
          </w:tcPr>
          <w:p w14:paraId="36C646CB"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35</w:t>
            </w:r>
          </w:p>
        </w:tc>
        <w:tc>
          <w:tcPr>
            <w:tcW w:w="1450" w:type="pct"/>
            <w:hideMark/>
          </w:tcPr>
          <w:p w14:paraId="6F96B9A7"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0.014± 0.003</w:t>
            </w:r>
          </w:p>
        </w:tc>
        <w:tc>
          <w:tcPr>
            <w:tcW w:w="819" w:type="pct"/>
          </w:tcPr>
          <w:p w14:paraId="045D28B1"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5C142C63" w14:textId="77777777" w:rsidTr="00C65DF0">
        <w:tc>
          <w:tcPr>
            <w:tcW w:w="1792" w:type="pct"/>
            <w:hideMark/>
          </w:tcPr>
          <w:p w14:paraId="58362DD3"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No</w:t>
            </w:r>
          </w:p>
        </w:tc>
        <w:tc>
          <w:tcPr>
            <w:tcW w:w="938" w:type="pct"/>
            <w:hideMark/>
          </w:tcPr>
          <w:p w14:paraId="3188D4F0"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16</w:t>
            </w:r>
          </w:p>
        </w:tc>
        <w:tc>
          <w:tcPr>
            <w:tcW w:w="1450" w:type="pct"/>
            <w:hideMark/>
          </w:tcPr>
          <w:p w14:paraId="695DDA7E"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0.032± 0.008</w:t>
            </w:r>
          </w:p>
        </w:tc>
        <w:tc>
          <w:tcPr>
            <w:tcW w:w="819" w:type="pct"/>
          </w:tcPr>
          <w:p w14:paraId="509415C6"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7D581F5D" w14:textId="77777777" w:rsidTr="00C65DF0">
        <w:tc>
          <w:tcPr>
            <w:tcW w:w="1792" w:type="pct"/>
            <w:hideMark/>
          </w:tcPr>
          <w:p w14:paraId="0CF7BB8B"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 xml:space="preserve">T stage </w:t>
            </w:r>
          </w:p>
        </w:tc>
        <w:tc>
          <w:tcPr>
            <w:tcW w:w="938" w:type="pct"/>
          </w:tcPr>
          <w:p w14:paraId="16E2745A" w14:textId="77777777" w:rsidR="00FE4F2C" w:rsidRPr="009C4C21" w:rsidRDefault="00FE4F2C" w:rsidP="00FE4F2C">
            <w:pPr>
              <w:adjustRightInd w:val="0"/>
              <w:snapToGrid w:val="0"/>
              <w:spacing w:line="360" w:lineRule="auto"/>
              <w:rPr>
                <w:rFonts w:ascii="Book Antiqua" w:hAnsi="Book Antiqua"/>
              </w:rPr>
            </w:pPr>
          </w:p>
        </w:tc>
        <w:tc>
          <w:tcPr>
            <w:tcW w:w="1450" w:type="pct"/>
          </w:tcPr>
          <w:p w14:paraId="089664A9" w14:textId="77777777" w:rsidR="00FE4F2C" w:rsidRPr="009C4C21" w:rsidRDefault="00FE4F2C" w:rsidP="00FE4F2C">
            <w:pPr>
              <w:adjustRightInd w:val="0"/>
              <w:snapToGrid w:val="0"/>
              <w:spacing w:line="360" w:lineRule="auto"/>
              <w:rPr>
                <w:rFonts w:ascii="Book Antiqua" w:hAnsi="Book Antiqua"/>
              </w:rPr>
            </w:pPr>
          </w:p>
        </w:tc>
        <w:tc>
          <w:tcPr>
            <w:tcW w:w="819" w:type="pct"/>
            <w:hideMark/>
          </w:tcPr>
          <w:p w14:paraId="0CA05135"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0.311</w:t>
            </w:r>
          </w:p>
        </w:tc>
      </w:tr>
      <w:tr w:rsidR="00FE4F2C" w:rsidRPr="009C4C21" w14:paraId="15B7441A" w14:textId="77777777" w:rsidTr="00C65DF0">
        <w:tc>
          <w:tcPr>
            <w:tcW w:w="1792" w:type="pct"/>
            <w:hideMark/>
          </w:tcPr>
          <w:p w14:paraId="38B82D12" w14:textId="3BD819D0" w:rsidR="00FE4F2C" w:rsidRPr="009C4C21" w:rsidRDefault="00FE4F2C" w:rsidP="004B73CB">
            <w:pPr>
              <w:adjustRightInd w:val="0"/>
              <w:snapToGrid w:val="0"/>
              <w:spacing w:line="360" w:lineRule="auto"/>
              <w:rPr>
                <w:rFonts w:ascii="Book Antiqua" w:hAnsi="Book Antiqua"/>
              </w:rPr>
            </w:pPr>
            <w:r w:rsidRPr="009C4C21">
              <w:rPr>
                <w:rFonts w:ascii="Book Antiqua" w:hAnsi="Book Antiqua"/>
              </w:rPr>
              <w:t>T1</w:t>
            </w:r>
            <w:r w:rsidR="004B73CB" w:rsidRPr="009C4C21">
              <w:rPr>
                <w:rFonts w:ascii="Book Antiqua" w:hAnsi="Book Antiqua"/>
              </w:rPr>
              <w:t xml:space="preserve">, </w:t>
            </w:r>
            <w:r w:rsidRPr="009C4C21">
              <w:rPr>
                <w:rFonts w:ascii="Book Antiqua" w:hAnsi="Book Antiqua"/>
              </w:rPr>
              <w:t>T2</w:t>
            </w:r>
          </w:p>
        </w:tc>
        <w:tc>
          <w:tcPr>
            <w:tcW w:w="938" w:type="pct"/>
            <w:hideMark/>
          </w:tcPr>
          <w:p w14:paraId="0CA5CFCD"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12</w:t>
            </w:r>
          </w:p>
        </w:tc>
        <w:tc>
          <w:tcPr>
            <w:tcW w:w="1450" w:type="pct"/>
            <w:hideMark/>
          </w:tcPr>
          <w:p w14:paraId="5021B128"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0.014 ± 0.004</w:t>
            </w:r>
          </w:p>
        </w:tc>
        <w:tc>
          <w:tcPr>
            <w:tcW w:w="819" w:type="pct"/>
          </w:tcPr>
          <w:p w14:paraId="37962286" w14:textId="77777777" w:rsidR="00FE4F2C" w:rsidRPr="009C4C21" w:rsidRDefault="00FE4F2C" w:rsidP="00FE4F2C">
            <w:pPr>
              <w:adjustRightInd w:val="0"/>
              <w:snapToGrid w:val="0"/>
              <w:spacing w:line="360" w:lineRule="auto"/>
              <w:rPr>
                <w:rFonts w:ascii="Book Antiqua" w:hAnsi="Book Antiqua"/>
              </w:rPr>
            </w:pPr>
          </w:p>
        </w:tc>
      </w:tr>
      <w:tr w:rsidR="00FE4F2C" w:rsidRPr="009C4C21" w14:paraId="71233886" w14:textId="77777777" w:rsidTr="00C65DF0">
        <w:tc>
          <w:tcPr>
            <w:tcW w:w="1792" w:type="pct"/>
            <w:hideMark/>
          </w:tcPr>
          <w:p w14:paraId="32BC4F9F" w14:textId="16E1AB56" w:rsidR="00FE4F2C" w:rsidRPr="009C4C21" w:rsidRDefault="00FE4F2C" w:rsidP="004B73CB">
            <w:pPr>
              <w:adjustRightInd w:val="0"/>
              <w:snapToGrid w:val="0"/>
              <w:spacing w:line="360" w:lineRule="auto"/>
              <w:rPr>
                <w:rFonts w:ascii="Book Antiqua" w:hAnsi="Book Antiqua"/>
              </w:rPr>
            </w:pPr>
            <w:r w:rsidRPr="009C4C21">
              <w:rPr>
                <w:rFonts w:ascii="Book Antiqua" w:hAnsi="Book Antiqua"/>
              </w:rPr>
              <w:t>T3</w:t>
            </w:r>
            <w:r w:rsidR="004B73CB" w:rsidRPr="009C4C21">
              <w:rPr>
                <w:rFonts w:ascii="Book Antiqua" w:hAnsi="Book Antiqua"/>
              </w:rPr>
              <w:t xml:space="preserve">, </w:t>
            </w:r>
            <w:r w:rsidRPr="009C4C21">
              <w:rPr>
                <w:rFonts w:ascii="Book Antiqua" w:hAnsi="Book Antiqua"/>
              </w:rPr>
              <w:t>T4</w:t>
            </w:r>
          </w:p>
        </w:tc>
        <w:tc>
          <w:tcPr>
            <w:tcW w:w="938" w:type="pct"/>
            <w:hideMark/>
          </w:tcPr>
          <w:p w14:paraId="7D4746BF"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39</w:t>
            </w:r>
          </w:p>
        </w:tc>
        <w:tc>
          <w:tcPr>
            <w:tcW w:w="1450" w:type="pct"/>
            <w:hideMark/>
          </w:tcPr>
          <w:p w14:paraId="3272123C" w14:textId="77777777" w:rsidR="00FE4F2C" w:rsidRPr="009C4C21" w:rsidRDefault="00FE4F2C" w:rsidP="00FE4F2C">
            <w:pPr>
              <w:adjustRightInd w:val="0"/>
              <w:snapToGrid w:val="0"/>
              <w:spacing w:line="360" w:lineRule="auto"/>
              <w:rPr>
                <w:rFonts w:ascii="Book Antiqua" w:hAnsi="Book Antiqua"/>
              </w:rPr>
            </w:pPr>
            <w:r w:rsidRPr="009C4C21">
              <w:rPr>
                <w:rFonts w:ascii="Book Antiqua" w:hAnsi="Book Antiqua"/>
              </w:rPr>
              <w:t>0.076 ± 0.030</w:t>
            </w:r>
          </w:p>
        </w:tc>
        <w:tc>
          <w:tcPr>
            <w:tcW w:w="819" w:type="pct"/>
          </w:tcPr>
          <w:p w14:paraId="5D326395" w14:textId="77777777" w:rsidR="00FE4F2C" w:rsidRPr="009C4C21" w:rsidRDefault="00FE4F2C" w:rsidP="00FE4F2C">
            <w:pPr>
              <w:adjustRightInd w:val="0"/>
              <w:snapToGrid w:val="0"/>
              <w:spacing w:line="360" w:lineRule="auto"/>
              <w:rPr>
                <w:rFonts w:ascii="Book Antiqua" w:hAnsi="Book Antiqua"/>
              </w:rPr>
            </w:pPr>
          </w:p>
        </w:tc>
      </w:tr>
    </w:tbl>
    <w:p w14:paraId="177FC348" w14:textId="75F7594F" w:rsidR="00A77B3E" w:rsidRPr="009C4C21" w:rsidRDefault="00A77B3E">
      <w:pPr>
        <w:spacing w:line="360" w:lineRule="auto"/>
        <w:jc w:val="both"/>
        <w:rPr>
          <w:rFonts w:ascii="Book Antiqua" w:hAnsi="Book Antiqua"/>
        </w:rPr>
      </w:pPr>
    </w:p>
    <w:sectPr w:rsidR="00A77B3E" w:rsidRPr="009C4C21" w:rsidSect="004C4267">
      <w:pgSz w:w="12242"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DB7B" w14:textId="77777777" w:rsidR="00163C0D" w:rsidRDefault="00163C0D" w:rsidP="00FE4F2C">
      <w:r>
        <w:separator/>
      </w:r>
    </w:p>
  </w:endnote>
  <w:endnote w:type="continuationSeparator" w:id="0">
    <w:p w14:paraId="015710C3" w14:textId="77777777" w:rsidR="00163C0D" w:rsidRDefault="00163C0D" w:rsidP="00FE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12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C45BA79" w14:textId="654F17B8" w:rsidR="00FE4F2C" w:rsidRPr="00D040F1" w:rsidRDefault="00FE4F2C" w:rsidP="00D040F1">
            <w:pPr>
              <w:pStyle w:val="Footer"/>
              <w:jc w:val="right"/>
              <w:rPr>
                <w:rFonts w:ascii="Book Antiqua" w:hAnsi="Book Antiqua"/>
                <w:sz w:val="24"/>
                <w:szCs w:val="24"/>
              </w:rPr>
            </w:pPr>
            <w:r>
              <w:rPr>
                <w:lang w:val="zh-CN" w:eastAsia="zh-CN"/>
              </w:rPr>
              <w:t xml:space="preserve"> </w:t>
            </w:r>
            <w:r w:rsidRPr="00D040F1">
              <w:rPr>
                <w:rFonts w:ascii="Book Antiqua" w:hAnsi="Book Antiqua"/>
                <w:sz w:val="24"/>
                <w:szCs w:val="24"/>
              </w:rPr>
              <w:fldChar w:fldCharType="begin"/>
            </w:r>
            <w:r w:rsidRPr="00D040F1">
              <w:rPr>
                <w:rFonts w:ascii="Book Antiqua" w:hAnsi="Book Antiqua"/>
                <w:sz w:val="24"/>
                <w:szCs w:val="24"/>
              </w:rPr>
              <w:instrText>PAGE</w:instrText>
            </w:r>
            <w:r w:rsidRPr="00D040F1">
              <w:rPr>
                <w:rFonts w:ascii="Book Antiqua" w:hAnsi="Book Antiqua"/>
                <w:sz w:val="24"/>
                <w:szCs w:val="24"/>
              </w:rPr>
              <w:fldChar w:fldCharType="separate"/>
            </w:r>
            <w:r w:rsidR="001B2D99">
              <w:rPr>
                <w:rFonts w:ascii="Book Antiqua" w:hAnsi="Book Antiqua"/>
                <w:noProof/>
                <w:sz w:val="24"/>
                <w:szCs w:val="24"/>
              </w:rPr>
              <w:t>21</w:t>
            </w:r>
            <w:r w:rsidRPr="00D040F1">
              <w:rPr>
                <w:rFonts w:ascii="Book Antiqua" w:hAnsi="Book Antiqua"/>
                <w:sz w:val="24"/>
                <w:szCs w:val="24"/>
              </w:rPr>
              <w:fldChar w:fldCharType="end"/>
            </w:r>
            <w:r w:rsidRPr="00D040F1">
              <w:rPr>
                <w:rFonts w:ascii="Book Antiqua" w:hAnsi="Book Antiqua"/>
                <w:sz w:val="24"/>
                <w:szCs w:val="24"/>
                <w:lang w:val="zh-CN" w:eastAsia="zh-CN"/>
              </w:rPr>
              <w:t xml:space="preserve"> / </w:t>
            </w:r>
            <w:r w:rsidRPr="00D040F1">
              <w:rPr>
                <w:rFonts w:ascii="Book Antiqua" w:hAnsi="Book Antiqua"/>
                <w:sz w:val="24"/>
                <w:szCs w:val="24"/>
              </w:rPr>
              <w:fldChar w:fldCharType="begin"/>
            </w:r>
            <w:r w:rsidRPr="00D040F1">
              <w:rPr>
                <w:rFonts w:ascii="Book Antiqua" w:hAnsi="Book Antiqua"/>
                <w:sz w:val="24"/>
                <w:szCs w:val="24"/>
              </w:rPr>
              <w:instrText>NUMPAGES</w:instrText>
            </w:r>
            <w:r w:rsidRPr="00D040F1">
              <w:rPr>
                <w:rFonts w:ascii="Book Antiqua" w:hAnsi="Book Antiqua"/>
                <w:sz w:val="24"/>
                <w:szCs w:val="24"/>
              </w:rPr>
              <w:fldChar w:fldCharType="separate"/>
            </w:r>
            <w:r w:rsidR="001B2D99">
              <w:rPr>
                <w:rFonts w:ascii="Book Antiqua" w:hAnsi="Book Antiqua"/>
                <w:noProof/>
                <w:sz w:val="24"/>
                <w:szCs w:val="24"/>
              </w:rPr>
              <w:t>38</w:t>
            </w:r>
            <w:r w:rsidRPr="00D040F1">
              <w:rPr>
                <w:rFonts w:ascii="Book Antiqua" w:hAnsi="Book Antiqua"/>
                <w:sz w:val="24"/>
                <w:szCs w:val="24"/>
              </w:rPr>
              <w:fldChar w:fldCharType="end"/>
            </w:r>
          </w:p>
        </w:sdtContent>
      </w:sdt>
    </w:sdtContent>
  </w:sdt>
  <w:p w14:paraId="05C9FCB3" w14:textId="77777777" w:rsidR="00FE4F2C" w:rsidRDefault="00FE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C080" w14:textId="77777777" w:rsidR="00163C0D" w:rsidRDefault="00163C0D" w:rsidP="00FE4F2C">
      <w:r>
        <w:separator/>
      </w:r>
    </w:p>
  </w:footnote>
  <w:footnote w:type="continuationSeparator" w:id="0">
    <w:p w14:paraId="50EA6844" w14:textId="77777777" w:rsidR="00163C0D" w:rsidRDefault="00163C0D" w:rsidP="00FE4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D1C"/>
    <w:rsid w:val="0002414A"/>
    <w:rsid w:val="00026717"/>
    <w:rsid w:val="00041D5A"/>
    <w:rsid w:val="00047274"/>
    <w:rsid w:val="00077742"/>
    <w:rsid w:val="000B059C"/>
    <w:rsid w:val="000C373C"/>
    <w:rsid w:val="000E5604"/>
    <w:rsid w:val="000F6220"/>
    <w:rsid w:val="0012521A"/>
    <w:rsid w:val="00141E8A"/>
    <w:rsid w:val="00154A55"/>
    <w:rsid w:val="00163C0D"/>
    <w:rsid w:val="001A1C6B"/>
    <w:rsid w:val="001B2D99"/>
    <w:rsid w:val="001C7B43"/>
    <w:rsid w:val="001F1BCA"/>
    <w:rsid w:val="002023BB"/>
    <w:rsid w:val="00223E99"/>
    <w:rsid w:val="002477F0"/>
    <w:rsid w:val="002A238F"/>
    <w:rsid w:val="002A7B30"/>
    <w:rsid w:val="002C4907"/>
    <w:rsid w:val="00333D9A"/>
    <w:rsid w:val="00337279"/>
    <w:rsid w:val="00341210"/>
    <w:rsid w:val="00356C56"/>
    <w:rsid w:val="00385F53"/>
    <w:rsid w:val="00387677"/>
    <w:rsid w:val="00397268"/>
    <w:rsid w:val="003D5068"/>
    <w:rsid w:val="003E06B7"/>
    <w:rsid w:val="003F366B"/>
    <w:rsid w:val="003F4220"/>
    <w:rsid w:val="003F6A1F"/>
    <w:rsid w:val="00403FF0"/>
    <w:rsid w:val="00425521"/>
    <w:rsid w:val="004745A4"/>
    <w:rsid w:val="00483DDC"/>
    <w:rsid w:val="004917BB"/>
    <w:rsid w:val="004B73CB"/>
    <w:rsid w:val="004C4267"/>
    <w:rsid w:val="004C6DDC"/>
    <w:rsid w:val="004D5581"/>
    <w:rsid w:val="00503458"/>
    <w:rsid w:val="00566A5C"/>
    <w:rsid w:val="005840DE"/>
    <w:rsid w:val="005B48AE"/>
    <w:rsid w:val="005D68C4"/>
    <w:rsid w:val="00626BB9"/>
    <w:rsid w:val="006363C6"/>
    <w:rsid w:val="00654669"/>
    <w:rsid w:val="00654966"/>
    <w:rsid w:val="00655AA7"/>
    <w:rsid w:val="00656E27"/>
    <w:rsid w:val="00674D6D"/>
    <w:rsid w:val="00680459"/>
    <w:rsid w:val="00680D17"/>
    <w:rsid w:val="00684D95"/>
    <w:rsid w:val="006948A2"/>
    <w:rsid w:val="00694B6E"/>
    <w:rsid w:val="006964F7"/>
    <w:rsid w:val="006A55E0"/>
    <w:rsid w:val="006E199C"/>
    <w:rsid w:val="006E3565"/>
    <w:rsid w:val="006F5B14"/>
    <w:rsid w:val="00702B7C"/>
    <w:rsid w:val="0073043C"/>
    <w:rsid w:val="00737CD7"/>
    <w:rsid w:val="00747DA2"/>
    <w:rsid w:val="007559E8"/>
    <w:rsid w:val="007A570A"/>
    <w:rsid w:val="007F28C1"/>
    <w:rsid w:val="007F48B6"/>
    <w:rsid w:val="0080265E"/>
    <w:rsid w:val="00814B84"/>
    <w:rsid w:val="00817030"/>
    <w:rsid w:val="008273EC"/>
    <w:rsid w:val="00842958"/>
    <w:rsid w:val="00842C68"/>
    <w:rsid w:val="0086658B"/>
    <w:rsid w:val="008952F7"/>
    <w:rsid w:val="008A7323"/>
    <w:rsid w:val="008B48BA"/>
    <w:rsid w:val="008C29B5"/>
    <w:rsid w:val="008D7A3A"/>
    <w:rsid w:val="008E0603"/>
    <w:rsid w:val="008E67E5"/>
    <w:rsid w:val="0090155D"/>
    <w:rsid w:val="00921A49"/>
    <w:rsid w:val="0092223A"/>
    <w:rsid w:val="00925F29"/>
    <w:rsid w:val="00932EA7"/>
    <w:rsid w:val="00952043"/>
    <w:rsid w:val="009601ED"/>
    <w:rsid w:val="00994845"/>
    <w:rsid w:val="009A1F6D"/>
    <w:rsid w:val="009A350C"/>
    <w:rsid w:val="009C4C21"/>
    <w:rsid w:val="009F2D01"/>
    <w:rsid w:val="009F3904"/>
    <w:rsid w:val="00A024DC"/>
    <w:rsid w:val="00A177D1"/>
    <w:rsid w:val="00A2203E"/>
    <w:rsid w:val="00A34340"/>
    <w:rsid w:val="00A66743"/>
    <w:rsid w:val="00A77B3E"/>
    <w:rsid w:val="00AB5302"/>
    <w:rsid w:val="00AD7197"/>
    <w:rsid w:val="00B138A9"/>
    <w:rsid w:val="00B42EF3"/>
    <w:rsid w:val="00B62BF6"/>
    <w:rsid w:val="00B6445A"/>
    <w:rsid w:val="00B7118F"/>
    <w:rsid w:val="00B7248C"/>
    <w:rsid w:val="00BB1E0E"/>
    <w:rsid w:val="00BE77C7"/>
    <w:rsid w:val="00BE7A80"/>
    <w:rsid w:val="00BF59C3"/>
    <w:rsid w:val="00C05AE4"/>
    <w:rsid w:val="00C10EFB"/>
    <w:rsid w:val="00C3034F"/>
    <w:rsid w:val="00C5176C"/>
    <w:rsid w:val="00C53D45"/>
    <w:rsid w:val="00C650C0"/>
    <w:rsid w:val="00C65DF0"/>
    <w:rsid w:val="00C76549"/>
    <w:rsid w:val="00C8390D"/>
    <w:rsid w:val="00CA2A55"/>
    <w:rsid w:val="00CB21DC"/>
    <w:rsid w:val="00CC43D8"/>
    <w:rsid w:val="00CD3615"/>
    <w:rsid w:val="00D021D0"/>
    <w:rsid w:val="00D040F1"/>
    <w:rsid w:val="00D40D76"/>
    <w:rsid w:val="00D53BA1"/>
    <w:rsid w:val="00D7054A"/>
    <w:rsid w:val="00D728B1"/>
    <w:rsid w:val="00D749A5"/>
    <w:rsid w:val="00D765BF"/>
    <w:rsid w:val="00D81851"/>
    <w:rsid w:val="00D821C6"/>
    <w:rsid w:val="00D86936"/>
    <w:rsid w:val="00D925DA"/>
    <w:rsid w:val="00DA4B22"/>
    <w:rsid w:val="00DE420E"/>
    <w:rsid w:val="00E4170A"/>
    <w:rsid w:val="00E4231E"/>
    <w:rsid w:val="00E44E1B"/>
    <w:rsid w:val="00E77F63"/>
    <w:rsid w:val="00E915B7"/>
    <w:rsid w:val="00E916F4"/>
    <w:rsid w:val="00EC2094"/>
    <w:rsid w:val="00ED24BB"/>
    <w:rsid w:val="00ED4AD8"/>
    <w:rsid w:val="00EF6357"/>
    <w:rsid w:val="00F05C5F"/>
    <w:rsid w:val="00F11554"/>
    <w:rsid w:val="00F176C8"/>
    <w:rsid w:val="00F349C9"/>
    <w:rsid w:val="00F57814"/>
    <w:rsid w:val="00F605C2"/>
    <w:rsid w:val="00F946B0"/>
    <w:rsid w:val="00FA322E"/>
    <w:rsid w:val="00FA5712"/>
    <w:rsid w:val="00FE4F2C"/>
    <w:rsid w:val="00FF79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A6D4C"/>
  <w15:docId w15:val="{A0484AD7-7573-44F9-8111-AE09905B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s-imf">
    <w:name w:val="es-imf"/>
    <w:basedOn w:val="DefaultParagraphFont"/>
  </w:style>
  <w:style w:type="character" w:customStyle="1" w:styleId="es-jcr">
    <w:name w:val="es-jcr"/>
    <w:basedOn w:val="DefaultParagraphFont"/>
  </w:style>
  <w:style w:type="character" w:customStyle="1" w:styleId="es-cas">
    <w:name w:val="es-cas"/>
    <w:basedOn w:val="DefaultParagraphFont"/>
  </w:style>
  <w:style w:type="paragraph" w:styleId="Header">
    <w:name w:val="header"/>
    <w:basedOn w:val="Normal"/>
    <w:link w:val="HeaderChar"/>
    <w:rsid w:val="00FE4F2C"/>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E4F2C"/>
    <w:rPr>
      <w:sz w:val="18"/>
      <w:szCs w:val="18"/>
    </w:rPr>
  </w:style>
  <w:style w:type="paragraph" w:styleId="Footer">
    <w:name w:val="footer"/>
    <w:basedOn w:val="Normal"/>
    <w:link w:val="FooterChar"/>
    <w:uiPriority w:val="99"/>
    <w:rsid w:val="00FE4F2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E4F2C"/>
    <w:rPr>
      <w:sz w:val="18"/>
      <w:szCs w:val="18"/>
    </w:rPr>
  </w:style>
  <w:style w:type="table" w:styleId="TableGrid">
    <w:name w:val="Table Grid"/>
    <w:basedOn w:val="TableNormal"/>
    <w:uiPriority w:val="39"/>
    <w:qFormat/>
    <w:rsid w:val="00FE4F2C"/>
    <w:pPr>
      <w:widowControl w:val="0"/>
      <w:jc w:val="both"/>
    </w:pPr>
    <w:rPr>
      <w:rFonts w:eastAsia="SimSu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56E27"/>
    <w:rPr>
      <w:sz w:val="21"/>
      <w:szCs w:val="21"/>
    </w:rPr>
  </w:style>
  <w:style w:type="paragraph" w:styleId="CommentText">
    <w:name w:val="annotation text"/>
    <w:basedOn w:val="Normal"/>
    <w:link w:val="CommentTextChar"/>
    <w:rsid w:val="00656E27"/>
  </w:style>
  <w:style w:type="character" w:customStyle="1" w:styleId="CommentTextChar">
    <w:name w:val="Comment Text Char"/>
    <w:basedOn w:val="DefaultParagraphFont"/>
    <w:link w:val="CommentText"/>
    <w:rsid w:val="00656E27"/>
    <w:rPr>
      <w:sz w:val="24"/>
      <w:szCs w:val="24"/>
    </w:rPr>
  </w:style>
  <w:style w:type="paragraph" w:styleId="CommentSubject">
    <w:name w:val="annotation subject"/>
    <w:basedOn w:val="CommentText"/>
    <w:next w:val="CommentText"/>
    <w:link w:val="CommentSubjectChar"/>
    <w:rsid w:val="00656E27"/>
    <w:rPr>
      <w:b/>
      <w:bCs/>
    </w:rPr>
  </w:style>
  <w:style w:type="character" w:customStyle="1" w:styleId="CommentSubjectChar">
    <w:name w:val="Comment Subject Char"/>
    <w:basedOn w:val="CommentTextChar"/>
    <w:link w:val="CommentSubject"/>
    <w:rsid w:val="00656E27"/>
    <w:rPr>
      <w:b/>
      <w:bCs/>
      <w:sz w:val="24"/>
      <w:szCs w:val="24"/>
    </w:rPr>
  </w:style>
  <w:style w:type="paragraph" w:styleId="BalloonText">
    <w:name w:val="Balloon Text"/>
    <w:basedOn w:val="Normal"/>
    <w:link w:val="BalloonTextChar"/>
    <w:rsid w:val="00E44E1B"/>
    <w:rPr>
      <w:sz w:val="18"/>
      <w:szCs w:val="18"/>
    </w:rPr>
  </w:style>
  <w:style w:type="character" w:customStyle="1" w:styleId="BalloonTextChar">
    <w:name w:val="Balloon Text Char"/>
    <w:basedOn w:val="DefaultParagraphFont"/>
    <w:link w:val="BalloonText"/>
    <w:rsid w:val="00E44E1B"/>
    <w:rPr>
      <w:sz w:val="18"/>
      <w:szCs w:val="18"/>
    </w:rPr>
  </w:style>
  <w:style w:type="paragraph" w:styleId="Revision">
    <w:name w:val="Revision"/>
    <w:hidden/>
    <w:uiPriority w:val="99"/>
    <w:semiHidden/>
    <w:rsid w:val="004D55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02383">
      <w:bodyDiv w:val="1"/>
      <w:marLeft w:val="0"/>
      <w:marRight w:val="0"/>
      <w:marTop w:val="0"/>
      <w:marBottom w:val="0"/>
      <w:divBdr>
        <w:top w:val="none" w:sz="0" w:space="0" w:color="auto"/>
        <w:left w:val="none" w:sz="0" w:space="0" w:color="auto"/>
        <w:bottom w:val="none" w:sz="0" w:space="0" w:color="auto"/>
        <w:right w:val="none" w:sz="0" w:space="0" w:color="auto"/>
      </w:divBdr>
    </w:div>
    <w:div w:id="848252528">
      <w:bodyDiv w:val="1"/>
      <w:marLeft w:val="0"/>
      <w:marRight w:val="0"/>
      <w:marTop w:val="0"/>
      <w:marBottom w:val="0"/>
      <w:divBdr>
        <w:top w:val="none" w:sz="0" w:space="0" w:color="auto"/>
        <w:left w:val="none" w:sz="0" w:space="0" w:color="auto"/>
        <w:bottom w:val="none" w:sz="0" w:space="0" w:color="auto"/>
        <w:right w:val="none" w:sz="0" w:space="0" w:color="auto"/>
      </w:divBdr>
    </w:div>
    <w:div w:id="1672098211">
      <w:bodyDiv w:val="1"/>
      <w:marLeft w:val="0"/>
      <w:marRight w:val="0"/>
      <w:marTop w:val="0"/>
      <w:marBottom w:val="0"/>
      <w:divBdr>
        <w:top w:val="none" w:sz="0" w:space="0" w:color="auto"/>
        <w:left w:val="none" w:sz="0" w:space="0" w:color="auto"/>
        <w:bottom w:val="none" w:sz="0" w:space="0" w:color="auto"/>
        <w:right w:val="none" w:sz="0" w:space="0" w:color="auto"/>
      </w:divBdr>
    </w:div>
    <w:div w:id="214646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8082</Words>
  <Characters>46071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2024-01-30T20:32:00Z</dcterms:created>
  <dcterms:modified xsi:type="dcterms:W3CDTF">2024-01-30T20:32:00Z</dcterms:modified>
</cp:coreProperties>
</file>