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D08F4"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rPr>
        <w:t xml:space="preserve">Name of Journal: </w:t>
      </w:r>
      <w:r w:rsidRPr="00355646">
        <w:rPr>
          <w:rFonts w:ascii="Book Antiqua" w:eastAsia="Book Antiqua" w:hAnsi="Book Antiqua" w:cs="Book Antiqua"/>
          <w:i/>
        </w:rPr>
        <w:t>World Journal of Clinical Cases</w:t>
      </w:r>
    </w:p>
    <w:p w14:paraId="4AED54A7"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rPr>
        <w:t xml:space="preserve">Manuscript NO: </w:t>
      </w:r>
      <w:r w:rsidRPr="00355646">
        <w:rPr>
          <w:rFonts w:ascii="Book Antiqua" w:eastAsia="Book Antiqua" w:hAnsi="Book Antiqua" w:cs="Book Antiqua"/>
        </w:rPr>
        <w:t>88941</w:t>
      </w:r>
    </w:p>
    <w:p w14:paraId="0DD5669C"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rPr>
        <w:t xml:space="preserve">Manuscript Type: </w:t>
      </w:r>
      <w:r w:rsidRPr="00355646">
        <w:rPr>
          <w:rFonts w:ascii="Book Antiqua" w:eastAsia="Book Antiqua" w:hAnsi="Book Antiqua" w:cs="Book Antiqua"/>
        </w:rPr>
        <w:t>CASE REPORT</w:t>
      </w:r>
    </w:p>
    <w:p w14:paraId="4ECE1D47" w14:textId="77777777" w:rsidR="00A77B3E" w:rsidRPr="00355646" w:rsidRDefault="00A77B3E" w:rsidP="00355646">
      <w:pPr>
        <w:spacing w:line="360" w:lineRule="auto"/>
        <w:jc w:val="both"/>
        <w:rPr>
          <w:rFonts w:ascii="Book Antiqua" w:hAnsi="Book Antiqua"/>
        </w:rPr>
      </w:pPr>
    </w:p>
    <w:p w14:paraId="544605E2"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color w:val="000000"/>
        </w:rPr>
        <w:t>Post-laparotomy heterotopic ossification of the xiphoid process: A case report</w:t>
      </w:r>
    </w:p>
    <w:p w14:paraId="1D5C87D2" w14:textId="77777777" w:rsidR="00A77B3E" w:rsidRPr="00355646" w:rsidRDefault="00A77B3E" w:rsidP="00355646">
      <w:pPr>
        <w:spacing w:line="360" w:lineRule="auto"/>
        <w:jc w:val="both"/>
        <w:rPr>
          <w:rFonts w:ascii="Book Antiqua" w:hAnsi="Book Antiqua"/>
        </w:rPr>
      </w:pPr>
    </w:p>
    <w:p w14:paraId="01D3392B" w14:textId="53B56881" w:rsidR="00A77B3E" w:rsidRPr="00355646" w:rsidRDefault="00913D50" w:rsidP="00355646">
      <w:pPr>
        <w:spacing w:line="360" w:lineRule="auto"/>
        <w:jc w:val="both"/>
        <w:rPr>
          <w:rFonts w:ascii="Book Antiqua" w:hAnsi="Book Antiqua"/>
        </w:rPr>
      </w:pPr>
      <w:r w:rsidRPr="00355646">
        <w:rPr>
          <w:rFonts w:ascii="Book Antiqua" w:eastAsia="Book Antiqua" w:hAnsi="Book Antiqua" w:cs="Book Antiqua"/>
          <w:color w:val="000000"/>
        </w:rPr>
        <w:t>Lee SS. Post-laparotomy HO</w:t>
      </w:r>
    </w:p>
    <w:p w14:paraId="1F44CABD" w14:textId="77777777" w:rsidR="00A77B3E" w:rsidRPr="00355646" w:rsidRDefault="00A77B3E" w:rsidP="00355646">
      <w:pPr>
        <w:spacing w:line="360" w:lineRule="auto"/>
        <w:jc w:val="both"/>
        <w:rPr>
          <w:rFonts w:ascii="Book Antiqua" w:hAnsi="Book Antiqua"/>
        </w:rPr>
      </w:pPr>
    </w:p>
    <w:p w14:paraId="2D227D45"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Seung Soo Lee</w:t>
      </w:r>
    </w:p>
    <w:p w14:paraId="1F2C8AEC" w14:textId="77777777" w:rsidR="00A77B3E" w:rsidRPr="00355646" w:rsidRDefault="00A77B3E" w:rsidP="00355646">
      <w:pPr>
        <w:spacing w:line="360" w:lineRule="auto"/>
        <w:jc w:val="both"/>
        <w:rPr>
          <w:rFonts w:ascii="Book Antiqua" w:hAnsi="Book Antiqua"/>
        </w:rPr>
      </w:pPr>
    </w:p>
    <w:p w14:paraId="0ADA44D2"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color w:val="000000"/>
        </w:rPr>
        <w:t xml:space="preserve">Seung Soo Lee, </w:t>
      </w:r>
      <w:r w:rsidRPr="00355646">
        <w:rPr>
          <w:rFonts w:ascii="Book Antiqua" w:eastAsia="Book Antiqua" w:hAnsi="Book Antiqua" w:cs="Book Antiqua"/>
          <w:color w:val="000000"/>
        </w:rPr>
        <w:t>Department of Surgery, Kyungpook National University Hospital, Daegu 41944, South Korea</w:t>
      </w:r>
    </w:p>
    <w:p w14:paraId="728EF1E5" w14:textId="77777777" w:rsidR="00A77B3E" w:rsidRPr="00355646" w:rsidRDefault="00A77B3E" w:rsidP="00355646">
      <w:pPr>
        <w:spacing w:line="360" w:lineRule="auto"/>
        <w:jc w:val="both"/>
        <w:rPr>
          <w:rFonts w:ascii="Book Antiqua" w:hAnsi="Book Antiqua"/>
        </w:rPr>
      </w:pPr>
    </w:p>
    <w:p w14:paraId="70E2D493"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color w:val="000000"/>
        </w:rPr>
        <w:t xml:space="preserve">Seung Soo Lee, </w:t>
      </w:r>
      <w:r w:rsidRPr="00355646">
        <w:rPr>
          <w:rFonts w:ascii="Book Antiqua" w:eastAsia="Book Antiqua" w:hAnsi="Book Antiqua" w:cs="Book Antiqua"/>
          <w:color w:val="000000"/>
        </w:rPr>
        <w:t>Department of Surgery, School of Medicine, Kyungpook National University, Daegu 41944, South Korea</w:t>
      </w:r>
    </w:p>
    <w:p w14:paraId="49020B4E" w14:textId="77777777" w:rsidR="00A77B3E" w:rsidRPr="00355646" w:rsidRDefault="00A77B3E" w:rsidP="00355646">
      <w:pPr>
        <w:spacing w:line="360" w:lineRule="auto"/>
        <w:jc w:val="both"/>
        <w:rPr>
          <w:rFonts w:ascii="Book Antiqua" w:hAnsi="Book Antiqua"/>
        </w:rPr>
      </w:pPr>
    </w:p>
    <w:p w14:paraId="6E788B92"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color w:val="000000"/>
        </w:rPr>
        <w:t xml:space="preserve">Author contributions: </w:t>
      </w:r>
      <w:r w:rsidRPr="00355646">
        <w:rPr>
          <w:rFonts w:ascii="Book Antiqua" w:eastAsia="Book Antiqua" w:hAnsi="Book Antiqua" w:cs="Book Antiqua"/>
          <w:color w:val="000000"/>
        </w:rPr>
        <w:t xml:space="preserve">Lee SS contributed to conceptualization, design of the study, </w:t>
      </w:r>
      <w:proofErr w:type="gramStart"/>
      <w:r w:rsidRPr="00355646">
        <w:rPr>
          <w:rFonts w:ascii="Book Antiqua" w:eastAsia="Book Antiqua" w:hAnsi="Book Antiqua" w:cs="Book Antiqua"/>
          <w:color w:val="000000"/>
        </w:rPr>
        <w:t>acquisition</w:t>
      </w:r>
      <w:proofErr w:type="gramEnd"/>
      <w:r w:rsidRPr="00355646">
        <w:rPr>
          <w:rFonts w:ascii="Book Antiqua" w:eastAsia="Book Antiqua" w:hAnsi="Book Antiqua" w:cs="Book Antiqua"/>
          <w:color w:val="000000"/>
        </w:rPr>
        <w:t xml:space="preserve"> and analysis of data, drafting and revising the manuscript, and final approval of the version to be submitted.</w:t>
      </w:r>
    </w:p>
    <w:p w14:paraId="218F50E2" w14:textId="77777777" w:rsidR="00A77B3E" w:rsidRPr="00355646" w:rsidRDefault="00A77B3E" w:rsidP="00355646">
      <w:pPr>
        <w:spacing w:line="360" w:lineRule="auto"/>
        <w:jc w:val="both"/>
        <w:rPr>
          <w:rFonts w:ascii="Book Antiqua" w:hAnsi="Book Antiqua"/>
        </w:rPr>
      </w:pPr>
    </w:p>
    <w:p w14:paraId="121EB6DC"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color w:val="000000"/>
        </w:rPr>
        <w:t xml:space="preserve">Corresponding author: Seung Soo Lee, MD, PhD, Associate Professor, Surgical Oncologist, </w:t>
      </w:r>
      <w:r w:rsidRPr="00355646">
        <w:rPr>
          <w:rFonts w:ascii="Book Antiqua" w:eastAsia="Book Antiqua" w:hAnsi="Book Antiqua" w:cs="Book Antiqua"/>
          <w:color w:val="000000"/>
        </w:rPr>
        <w:t xml:space="preserve">Department of Surgery, Kyungpook National University Hospital, 130 </w:t>
      </w:r>
      <w:proofErr w:type="spellStart"/>
      <w:r w:rsidRPr="00355646">
        <w:rPr>
          <w:rFonts w:ascii="Book Antiqua" w:eastAsia="Book Antiqua" w:hAnsi="Book Antiqua" w:cs="Book Antiqua"/>
          <w:color w:val="000000"/>
        </w:rPr>
        <w:t>Dongdeok-ro</w:t>
      </w:r>
      <w:proofErr w:type="spellEnd"/>
      <w:r w:rsidRPr="00355646">
        <w:rPr>
          <w:rFonts w:ascii="Book Antiqua" w:eastAsia="Book Antiqua" w:hAnsi="Book Antiqua" w:cs="Book Antiqua"/>
          <w:color w:val="000000"/>
        </w:rPr>
        <w:t>, Jung-</w:t>
      </w:r>
      <w:proofErr w:type="spellStart"/>
      <w:r w:rsidRPr="00355646">
        <w:rPr>
          <w:rFonts w:ascii="Book Antiqua" w:eastAsia="Book Antiqua" w:hAnsi="Book Antiqua" w:cs="Book Antiqua"/>
          <w:color w:val="000000"/>
        </w:rPr>
        <w:t>gu</w:t>
      </w:r>
      <w:proofErr w:type="spellEnd"/>
      <w:r w:rsidRPr="00355646">
        <w:rPr>
          <w:rFonts w:ascii="Book Antiqua" w:eastAsia="Book Antiqua" w:hAnsi="Book Antiqua" w:cs="Book Antiqua"/>
          <w:color w:val="000000"/>
        </w:rPr>
        <w:t>, Daegu 41944, South Korea. peterleess@knu.ac.kr</w:t>
      </w:r>
    </w:p>
    <w:p w14:paraId="3F59D7B6" w14:textId="77777777" w:rsidR="00A77B3E" w:rsidRPr="00355646" w:rsidRDefault="00A77B3E" w:rsidP="00355646">
      <w:pPr>
        <w:spacing w:line="360" w:lineRule="auto"/>
        <w:jc w:val="both"/>
        <w:rPr>
          <w:rFonts w:ascii="Book Antiqua" w:hAnsi="Book Antiqua"/>
        </w:rPr>
      </w:pPr>
    </w:p>
    <w:p w14:paraId="74B52706"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rPr>
        <w:t xml:space="preserve">Received: </w:t>
      </w:r>
      <w:r w:rsidRPr="00355646">
        <w:rPr>
          <w:rFonts w:ascii="Book Antiqua" w:eastAsia="Book Antiqua" w:hAnsi="Book Antiqua" w:cs="Book Antiqua"/>
        </w:rPr>
        <w:t>October 16, 2023</w:t>
      </w:r>
    </w:p>
    <w:p w14:paraId="64A6FD13"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rPr>
        <w:t xml:space="preserve">Revised: </w:t>
      </w:r>
      <w:r w:rsidRPr="00355646">
        <w:rPr>
          <w:rFonts w:ascii="Book Antiqua" w:eastAsia="Book Antiqua" w:hAnsi="Book Antiqua" w:cs="Book Antiqua"/>
        </w:rPr>
        <w:t>November 24, 2023</w:t>
      </w:r>
    </w:p>
    <w:p w14:paraId="7547B151" w14:textId="0769E37F" w:rsidR="00A77B3E" w:rsidRPr="00355646" w:rsidRDefault="00000000" w:rsidP="00805C73">
      <w:pPr>
        <w:spacing w:line="360" w:lineRule="auto"/>
        <w:rPr>
          <w:rFonts w:ascii="Book Antiqua" w:hAnsi="Book Antiqua"/>
        </w:rPr>
        <w:pPrChange w:id="0" w:author="yan jiaping" w:date="2023-12-13T14:05:00Z">
          <w:pPr>
            <w:spacing w:line="360" w:lineRule="auto"/>
            <w:jc w:val="both"/>
          </w:pPr>
        </w:pPrChange>
      </w:pPr>
      <w:r w:rsidRPr="00355646">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ins w:id="36" w:author="yan jiaping" w:date="2023-12-13T14:05:00Z">
        <w:r w:rsidR="00805C73" w:rsidRPr="00E0103E">
          <w:rPr>
            <w:rFonts w:ascii="Book Antiqua" w:hAnsi="Book Antiqua"/>
          </w:rPr>
          <w:t>December 1</w:t>
        </w:r>
        <w:r w:rsidR="00805C73">
          <w:rPr>
            <w:rFonts w:ascii="Book Antiqua" w:hAnsi="Book Antiqua"/>
          </w:rPr>
          <w:t>3</w:t>
        </w:r>
        <w:r w:rsidR="00805C73" w:rsidRPr="00E0103E">
          <w:rPr>
            <w:rFonts w:ascii="Book Antiqua" w:hAnsi="Book Antiqua"/>
          </w:rPr>
          <w:t>, 2023</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5A6A7473"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rPr>
        <w:t xml:space="preserve">Published online: </w:t>
      </w:r>
    </w:p>
    <w:p w14:paraId="41023BB7" w14:textId="77777777" w:rsidR="00A77B3E" w:rsidRPr="00355646" w:rsidRDefault="00A77B3E" w:rsidP="00355646">
      <w:pPr>
        <w:spacing w:line="360" w:lineRule="auto"/>
        <w:jc w:val="both"/>
        <w:rPr>
          <w:rFonts w:ascii="Book Antiqua" w:hAnsi="Book Antiqua"/>
        </w:rPr>
        <w:sectPr w:rsidR="00A77B3E" w:rsidRPr="00355646">
          <w:footerReference w:type="default" r:id="rId6"/>
          <w:pgSz w:w="12240" w:h="15840"/>
          <w:pgMar w:top="1440" w:right="1440" w:bottom="1440" w:left="1440" w:header="720" w:footer="720" w:gutter="0"/>
          <w:cols w:space="720"/>
          <w:docGrid w:linePitch="360"/>
        </w:sectPr>
      </w:pPr>
    </w:p>
    <w:p w14:paraId="0DB9B074"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lastRenderedPageBreak/>
        <w:t>Abstract</w:t>
      </w:r>
    </w:p>
    <w:p w14:paraId="27B304DE"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BACKGROUND</w:t>
      </w:r>
    </w:p>
    <w:p w14:paraId="19CE915E"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rPr>
        <w:t>Heterotopic ossification (HO) represents all types of extraskeletal ossification in the body. It occurs in various areas, including the skin, subcutaneous tissue, muscle, and joints. Surgical excision is recommended for symptomatic HO. Postoperative radiotherapy, oral nonsteroidal anti-inflammatory drugs, and topical sealants, such as bone wax, have been recommended as preventive measures. As HO is rare in occurrence, these recommendations are based on personal experiences, and there is a lack of information on individualized treatments depending on its location.</w:t>
      </w:r>
    </w:p>
    <w:p w14:paraId="24AB7906" w14:textId="77777777" w:rsidR="00A77B3E" w:rsidRPr="00355646" w:rsidRDefault="00A77B3E" w:rsidP="00355646">
      <w:pPr>
        <w:spacing w:line="360" w:lineRule="auto"/>
        <w:jc w:val="both"/>
        <w:rPr>
          <w:rFonts w:ascii="Book Antiqua" w:hAnsi="Book Antiqua"/>
        </w:rPr>
      </w:pPr>
    </w:p>
    <w:p w14:paraId="614EA5A8"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CASE SUMMARY</w:t>
      </w:r>
    </w:p>
    <w:p w14:paraId="21360D01"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rPr>
        <w:t>A 62-year-old male was admitted for symptomatic HO along a laparotomy scar. Surgical excision was performed for an 11 cm-sized ossification originating from the xiphoid process, and bone wax was applied to the excisional margin. However, the surgical wound failed to heal. After several weeks of saline-soaked gauze dressing, delayed wound closure was performed. The patient was finally discharged eight weeks after the excision. Because HO can occur in various areas of the body, a treatment strategy that may be effective for some may not be for others. Bone wax has been used as a topical sealant over excisional margins in the shoulder, elbow, and temporomandibular joints. However, in our case, its application on an abdominal surgical wound delayed its primary healing intention. The valuable lesson was that, when choosing a treatment method for HO based on available research data, its location must be considered.</w:t>
      </w:r>
    </w:p>
    <w:p w14:paraId="319D9337" w14:textId="77777777" w:rsidR="00A77B3E" w:rsidRPr="00355646" w:rsidRDefault="00A77B3E" w:rsidP="00355646">
      <w:pPr>
        <w:spacing w:line="360" w:lineRule="auto"/>
        <w:jc w:val="both"/>
        <w:rPr>
          <w:rFonts w:ascii="Book Antiqua" w:hAnsi="Book Antiqua"/>
        </w:rPr>
      </w:pPr>
    </w:p>
    <w:p w14:paraId="05257322"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CONCLUSION</w:t>
      </w:r>
    </w:p>
    <w:p w14:paraId="08BEA424"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rPr>
        <w:t>Complete excision should be the priority treatment option for symptomatic HO along the laparotomy scar. Bone wax application is not recommended.</w:t>
      </w:r>
    </w:p>
    <w:p w14:paraId="14ABA2D1" w14:textId="77777777" w:rsidR="00A77B3E" w:rsidRPr="00355646" w:rsidRDefault="00A77B3E" w:rsidP="00355646">
      <w:pPr>
        <w:spacing w:line="360" w:lineRule="auto"/>
        <w:jc w:val="both"/>
        <w:rPr>
          <w:rFonts w:ascii="Book Antiqua" w:hAnsi="Book Antiqua"/>
        </w:rPr>
      </w:pPr>
    </w:p>
    <w:p w14:paraId="1791E613"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rPr>
        <w:t xml:space="preserve">Key Words: </w:t>
      </w:r>
      <w:r w:rsidRPr="00355646">
        <w:rPr>
          <w:rFonts w:ascii="Book Antiqua" w:eastAsia="Book Antiqua" w:hAnsi="Book Antiqua" w:cs="Book Antiqua"/>
        </w:rPr>
        <w:t>Heterotopic ossification; Joints; Laparotomy; Waxes; Wound healing; Case report</w:t>
      </w:r>
    </w:p>
    <w:p w14:paraId="53341894" w14:textId="77777777" w:rsidR="00A77B3E" w:rsidRPr="00355646" w:rsidRDefault="00A77B3E" w:rsidP="00355646">
      <w:pPr>
        <w:spacing w:line="360" w:lineRule="auto"/>
        <w:jc w:val="both"/>
        <w:rPr>
          <w:rFonts w:ascii="Book Antiqua" w:hAnsi="Book Antiqua"/>
        </w:rPr>
      </w:pPr>
    </w:p>
    <w:p w14:paraId="109FD004"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rPr>
        <w:t xml:space="preserve">Lee SS. Post-laparotomy heterotopic ossification of the xiphoid process: A case report. </w:t>
      </w:r>
      <w:r w:rsidRPr="00355646">
        <w:rPr>
          <w:rFonts w:ascii="Book Antiqua" w:eastAsia="Book Antiqua" w:hAnsi="Book Antiqua" w:cs="Book Antiqua"/>
          <w:i/>
          <w:iCs/>
        </w:rPr>
        <w:t>World J Clin Cases</w:t>
      </w:r>
      <w:r w:rsidRPr="00355646">
        <w:rPr>
          <w:rFonts w:ascii="Book Antiqua" w:eastAsia="Book Antiqua" w:hAnsi="Book Antiqua" w:cs="Book Antiqua"/>
        </w:rPr>
        <w:t xml:space="preserve"> 2023; In press</w:t>
      </w:r>
    </w:p>
    <w:p w14:paraId="5DFBF2A8" w14:textId="77777777" w:rsidR="00A77B3E" w:rsidRPr="00355646" w:rsidRDefault="00A77B3E" w:rsidP="00355646">
      <w:pPr>
        <w:spacing w:line="360" w:lineRule="auto"/>
        <w:jc w:val="both"/>
        <w:rPr>
          <w:rFonts w:ascii="Book Antiqua" w:hAnsi="Book Antiqua"/>
        </w:rPr>
      </w:pPr>
    </w:p>
    <w:p w14:paraId="259902A1"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rPr>
        <w:t xml:space="preserve">Core Tip: </w:t>
      </w:r>
      <w:r w:rsidRPr="00355646">
        <w:rPr>
          <w:rFonts w:ascii="Book Antiqua" w:eastAsia="Book Antiqua" w:hAnsi="Book Antiqua" w:cs="Book Antiqua"/>
        </w:rPr>
        <w:t>Heterotopic ossification (HO) represents all types of extraskeletal ossification, and occurs in various areas, including the skin, muscle, and joints. There are some suggested treatment and preventive approaches for symptomatic HO, which include surgical excision and preventive measures such as postoperative radiotherapy, oral nonsteroidal anti-inflammatory drugs, and topical sealants (bone wax). However, these recommendations are based on personal experiences limited to HO in certain locations. It is important to individualize our treatment approaches depending on its location. For symptomatic HO along the laparotomy scar, complete surgical excision should be the priority treatment option, and bone wax application is not recommended.</w:t>
      </w:r>
    </w:p>
    <w:p w14:paraId="7A06AE08" w14:textId="77777777" w:rsidR="00A77B3E" w:rsidRPr="00355646" w:rsidRDefault="00A77B3E" w:rsidP="00355646">
      <w:pPr>
        <w:spacing w:line="360" w:lineRule="auto"/>
        <w:jc w:val="both"/>
        <w:rPr>
          <w:rFonts w:ascii="Book Antiqua" w:hAnsi="Book Antiqua"/>
        </w:rPr>
      </w:pPr>
    </w:p>
    <w:p w14:paraId="6D4F570C"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aps/>
          <w:color w:val="000000"/>
          <w:u w:val="single"/>
        </w:rPr>
        <w:t>INTRODUCTION</w:t>
      </w:r>
    </w:p>
    <w:p w14:paraId="17CB682A"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 xml:space="preserve">Heterotopic ossification (HO) refers to the formation of trabecular bone outside the usual skeletal </w:t>
      </w:r>
      <w:proofErr w:type="gramStart"/>
      <w:r w:rsidRPr="00355646">
        <w:rPr>
          <w:rFonts w:ascii="Book Antiqua" w:eastAsia="Book Antiqua" w:hAnsi="Book Antiqua" w:cs="Book Antiqua"/>
          <w:color w:val="000000"/>
        </w:rPr>
        <w:t>system</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1,2]</w:t>
      </w:r>
      <w:r w:rsidRPr="00355646">
        <w:rPr>
          <w:rFonts w:ascii="Book Antiqua" w:eastAsia="Book Antiqua" w:hAnsi="Book Antiqua" w:cs="Book Antiqua"/>
          <w:color w:val="000000"/>
        </w:rPr>
        <w:t xml:space="preserve">. Therefore, all extraskeletal bone formation in various areas of the body, including the skin, subcutaneous tissue, muscle, joints, and mesentery are included in this uncommon clinical </w:t>
      </w:r>
      <w:proofErr w:type="gramStart"/>
      <w:r w:rsidRPr="00355646">
        <w:rPr>
          <w:rFonts w:ascii="Book Antiqua" w:eastAsia="Book Antiqua" w:hAnsi="Book Antiqua" w:cs="Book Antiqua"/>
          <w:color w:val="000000"/>
        </w:rPr>
        <w:t>entity</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3,4]</w:t>
      </w:r>
      <w:r w:rsidRPr="00355646">
        <w:rPr>
          <w:rFonts w:ascii="Book Antiqua" w:eastAsia="Book Antiqua" w:hAnsi="Book Antiqua" w:cs="Book Antiqua"/>
          <w:color w:val="000000"/>
        </w:rPr>
        <w:t xml:space="preserve">. As much as it covers all extraskeletal bone formation throughout the body, a wide range of factors contribute to each occurrence. Some of the most mentioned associated factors are trauma, burns, arthroplasty, and abdominal </w:t>
      </w:r>
      <w:proofErr w:type="gramStart"/>
      <w:r w:rsidRPr="00355646">
        <w:rPr>
          <w:rFonts w:ascii="Book Antiqua" w:eastAsia="Book Antiqua" w:hAnsi="Book Antiqua" w:cs="Book Antiqua"/>
          <w:color w:val="000000"/>
        </w:rPr>
        <w:t>surgery</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1,5]</w:t>
      </w:r>
      <w:r w:rsidRPr="00355646">
        <w:rPr>
          <w:rFonts w:ascii="Book Antiqua" w:eastAsia="Book Antiqua" w:hAnsi="Book Antiqua" w:cs="Book Antiqua"/>
          <w:color w:val="000000"/>
        </w:rPr>
        <w:t xml:space="preserve">. As HO is highly associated with an external insult, the concern is higher in military settings where a high incidence of HO in combat-injured patients has been </w:t>
      </w:r>
      <w:proofErr w:type="gramStart"/>
      <w:r w:rsidRPr="00355646">
        <w:rPr>
          <w:rFonts w:ascii="Book Antiqua" w:eastAsia="Book Antiqua" w:hAnsi="Book Antiqua" w:cs="Book Antiqua"/>
          <w:color w:val="000000"/>
        </w:rPr>
        <w:t>reported</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2]</w:t>
      </w:r>
      <w:r w:rsidRPr="00355646">
        <w:rPr>
          <w:rFonts w:ascii="Book Antiqua" w:eastAsia="Book Antiqua" w:hAnsi="Book Antiqua" w:cs="Book Antiqua"/>
          <w:color w:val="000000"/>
        </w:rPr>
        <w:t>.</w:t>
      </w:r>
    </w:p>
    <w:p w14:paraId="7167D006" w14:textId="77777777" w:rsidR="00A77B3E" w:rsidRPr="00355646" w:rsidRDefault="00000000" w:rsidP="00355646">
      <w:pPr>
        <w:spacing w:line="360" w:lineRule="auto"/>
        <w:ind w:firstLine="240"/>
        <w:jc w:val="both"/>
        <w:rPr>
          <w:rFonts w:ascii="Book Antiqua" w:hAnsi="Book Antiqua"/>
        </w:rPr>
      </w:pPr>
      <w:r w:rsidRPr="00355646">
        <w:rPr>
          <w:rFonts w:ascii="Book Antiqua" w:eastAsia="Book Antiqua" w:hAnsi="Book Antiqua" w:cs="Book Antiqua"/>
          <w:color w:val="000000"/>
        </w:rPr>
        <w:t xml:space="preserve">HO has been reported in various sites of the human body, and some hypotheses have been presented for its </w:t>
      </w:r>
      <w:proofErr w:type="gramStart"/>
      <w:r w:rsidRPr="00355646">
        <w:rPr>
          <w:rFonts w:ascii="Book Antiqua" w:eastAsia="Book Antiqua" w:hAnsi="Book Antiqua" w:cs="Book Antiqua"/>
          <w:color w:val="000000"/>
        </w:rPr>
        <w:t>pathogenesis</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6]</w:t>
      </w:r>
      <w:r w:rsidRPr="00355646">
        <w:rPr>
          <w:rFonts w:ascii="Book Antiqua" w:eastAsia="Book Antiqua" w:hAnsi="Book Antiqua" w:cs="Book Antiqua"/>
          <w:color w:val="000000"/>
        </w:rPr>
        <w:t xml:space="preserve">. The generally recommended treatment for symptomatic HO has been selective surgical </w:t>
      </w:r>
      <w:proofErr w:type="gramStart"/>
      <w:r w:rsidRPr="00355646">
        <w:rPr>
          <w:rFonts w:ascii="Book Antiqua" w:eastAsia="Book Antiqua" w:hAnsi="Book Antiqua" w:cs="Book Antiqua"/>
          <w:color w:val="000000"/>
        </w:rPr>
        <w:t>excision</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2,7]</w:t>
      </w:r>
      <w:r w:rsidRPr="00355646">
        <w:rPr>
          <w:rFonts w:ascii="Book Antiqua" w:eastAsia="Book Antiqua" w:hAnsi="Book Antiqua" w:cs="Book Antiqua"/>
          <w:color w:val="000000"/>
        </w:rPr>
        <w:t xml:space="preserve">. Some cases have been treated with open </w:t>
      </w:r>
      <w:proofErr w:type="gramStart"/>
      <w:r w:rsidRPr="00355646">
        <w:rPr>
          <w:rFonts w:ascii="Book Antiqua" w:eastAsia="Book Antiqua" w:hAnsi="Book Antiqua" w:cs="Book Antiqua"/>
          <w:color w:val="000000"/>
        </w:rPr>
        <w:t>resection</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8,9]</w:t>
      </w:r>
      <w:r w:rsidRPr="00355646">
        <w:rPr>
          <w:rFonts w:ascii="Book Antiqua" w:eastAsia="Book Antiqua" w:hAnsi="Book Antiqua" w:cs="Book Antiqua"/>
          <w:color w:val="000000"/>
        </w:rPr>
        <w:t>, and others, especially cases of HO in the joints, have been treated with arthroscopy</w:t>
      </w:r>
      <w:r w:rsidRPr="00355646">
        <w:rPr>
          <w:rFonts w:ascii="Book Antiqua" w:eastAsia="Book Antiqua" w:hAnsi="Book Antiqua" w:cs="Book Antiqua"/>
          <w:color w:val="000000"/>
          <w:vertAlign w:val="superscript"/>
        </w:rPr>
        <w:t>[1]</w:t>
      </w:r>
      <w:r w:rsidRPr="00355646">
        <w:rPr>
          <w:rFonts w:ascii="Book Antiqua" w:eastAsia="Book Antiqua" w:hAnsi="Book Antiqua" w:cs="Book Antiqua"/>
          <w:color w:val="000000"/>
        </w:rPr>
        <w:t xml:space="preserve">. Regardless of the HO site, recurrence has always been a concern for surgeons, and some preventive measures, such as postoperative </w:t>
      </w:r>
      <w:proofErr w:type="gramStart"/>
      <w:r w:rsidRPr="00355646">
        <w:rPr>
          <w:rFonts w:ascii="Book Antiqua" w:eastAsia="Book Antiqua" w:hAnsi="Book Antiqua" w:cs="Book Antiqua"/>
          <w:color w:val="000000"/>
        </w:rPr>
        <w:lastRenderedPageBreak/>
        <w:t>radiotherapy</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10]</w:t>
      </w:r>
      <w:r w:rsidRPr="00355646">
        <w:rPr>
          <w:rFonts w:ascii="Book Antiqua" w:eastAsia="Book Antiqua" w:hAnsi="Book Antiqua" w:cs="Book Antiqua"/>
          <w:color w:val="000000"/>
        </w:rPr>
        <w:t>, oral nonsteroidal anti-inflammatory drugs (NSAIDs)</w:t>
      </w:r>
      <w:r w:rsidRPr="00355646">
        <w:rPr>
          <w:rFonts w:ascii="Book Antiqua" w:eastAsia="Book Antiqua" w:hAnsi="Book Antiqua" w:cs="Book Antiqua"/>
          <w:color w:val="000000"/>
          <w:vertAlign w:val="superscript"/>
        </w:rPr>
        <w:t>[11]</w:t>
      </w:r>
      <w:r w:rsidRPr="00355646">
        <w:rPr>
          <w:rFonts w:ascii="Book Antiqua" w:eastAsia="Book Antiqua" w:hAnsi="Book Antiqua" w:cs="Book Antiqua"/>
          <w:color w:val="000000"/>
        </w:rPr>
        <w:t>, and topical sealant (bone wax) over the osteotomy plane</w:t>
      </w:r>
      <w:r w:rsidRPr="00355646">
        <w:rPr>
          <w:rFonts w:ascii="Book Antiqua" w:eastAsia="Book Antiqua" w:hAnsi="Book Antiqua" w:cs="Book Antiqua"/>
          <w:color w:val="000000"/>
          <w:vertAlign w:val="superscript"/>
        </w:rPr>
        <w:t>[1,7,12]</w:t>
      </w:r>
      <w:r w:rsidRPr="00355646">
        <w:rPr>
          <w:rFonts w:ascii="Book Antiqua" w:eastAsia="Book Antiqua" w:hAnsi="Book Antiqua" w:cs="Book Antiqua"/>
          <w:color w:val="000000"/>
        </w:rPr>
        <w:t>, have been recommended.</w:t>
      </w:r>
    </w:p>
    <w:p w14:paraId="36A45BEF" w14:textId="77777777" w:rsidR="00A77B3E" w:rsidRPr="00355646" w:rsidRDefault="00000000" w:rsidP="00355646">
      <w:pPr>
        <w:spacing w:line="360" w:lineRule="auto"/>
        <w:ind w:firstLine="240"/>
        <w:jc w:val="both"/>
        <w:rPr>
          <w:rFonts w:ascii="Book Antiqua" w:hAnsi="Book Antiqua"/>
        </w:rPr>
      </w:pPr>
      <w:r w:rsidRPr="00355646">
        <w:rPr>
          <w:rFonts w:ascii="Book Antiqua" w:eastAsia="Book Antiqua" w:hAnsi="Book Antiqua" w:cs="Book Antiqua"/>
          <w:color w:val="000000"/>
        </w:rPr>
        <w:t>We experienced a case of symptomatic HO along a laparotomy scar following gastrectomy for gastric cancer. To search for the best treatment options, we vigorously reviewed the previous reports that were available at the time. While realizing that HO is a collective term representing all types of extraskeletal ossifications, we found a lack of information stating the need for individualizing our treatment efforts depending on the HO location. Our choice of treatment, which was a combination of surgical excision and the application of bone wax, did not turn out to be the best option.</w:t>
      </w:r>
    </w:p>
    <w:p w14:paraId="5A67AD13" w14:textId="77777777" w:rsidR="00A77B3E" w:rsidRPr="00355646" w:rsidRDefault="00A77B3E" w:rsidP="00355646">
      <w:pPr>
        <w:spacing w:line="360" w:lineRule="auto"/>
        <w:ind w:firstLine="240"/>
        <w:jc w:val="both"/>
        <w:rPr>
          <w:rFonts w:ascii="Book Antiqua" w:hAnsi="Book Antiqua"/>
        </w:rPr>
      </w:pPr>
    </w:p>
    <w:p w14:paraId="56679628"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aps/>
          <w:color w:val="000000"/>
          <w:u w:val="single"/>
        </w:rPr>
        <w:t>CASE PRESENTATION</w:t>
      </w:r>
    </w:p>
    <w:p w14:paraId="5EF857B8"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i/>
          <w:color w:val="000000"/>
        </w:rPr>
        <w:t>Chief complaints</w:t>
      </w:r>
    </w:p>
    <w:p w14:paraId="784A09DA"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A 62-year-old Asian man complained of persistent difficulties in bending his waist forward for six months.</w:t>
      </w:r>
    </w:p>
    <w:p w14:paraId="4B68F27F" w14:textId="77777777" w:rsidR="00A77B3E" w:rsidRPr="00355646" w:rsidRDefault="00A77B3E" w:rsidP="00355646">
      <w:pPr>
        <w:spacing w:line="360" w:lineRule="auto"/>
        <w:jc w:val="both"/>
        <w:rPr>
          <w:rFonts w:ascii="Book Antiqua" w:hAnsi="Book Antiqua"/>
        </w:rPr>
      </w:pPr>
    </w:p>
    <w:p w14:paraId="142BC72F"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i/>
          <w:color w:val="000000"/>
        </w:rPr>
        <w:t>History of present illness</w:t>
      </w:r>
    </w:p>
    <w:p w14:paraId="6E850FC4" w14:textId="7176F26E"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The patient underwent a curative surgery for gastric cancer about a year earlier and had been making routine visits to our outpatient department for regular surveillance. After the gastrectomy, he continued to display a tendency toward excessive anxiety about his health. He kept complaining about memory loss, hair loss, and constipation, which were somewhat different from the usual postgastrectomy complaints, such as diarrhea, nausea, vomiting, and other gastrointestinal symptoms. Four months after the gastrectomy, he started complaining of stiffness along the surgical scar but received little medical attention at the time. The symptoms worsened over the next two months, and the patient started experiencing difficulties in bending his waist forward. The patient had a normal weight (62.7 kg) and body mass index (20.9 kg/m</w:t>
      </w:r>
      <w:r w:rsidRPr="00355646">
        <w:rPr>
          <w:rFonts w:ascii="Book Antiqua" w:eastAsia="Book Antiqua" w:hAnsi="Book Antiqua" w:cs="Book Antiqua"/>
          <w:color w:val="000000"/>
          <w:vertAlign w:val="superscript"/>
        </w:rPr>
        <w:t>2</w:t>
      </w:r>
      <w:r w:rsidRPr="00355646">
        <w:rPr>
          <w:rFonts w:ascii="Book Antiqua" w:eastAsia="Book Antiqua" w:hAnsi="Book Antiqua" w:cs="Book Antiqua"/>
          <w:color w:val="000000"/>
        </w:rPr>
        <w:t>). Postgastrectomy weight loss was minimal (weight loss of 1.3 kg). There were no signs of cancer recurrence.</w:t>
      </w:r>
    </w:p>
    <w:p w14:paraId="01BACD2A" w14:textId="77777777" w:rsidR="00A77B3E" w:rsidRPr="00355646" w:rsidRDefault="00A77B3E" w:rsidP="00355646">
      <w:pPr>
        <w:spacing w:line="360" w:lineRule="auto"/>
        <w:jc w:val="both"/>
        <w:rPr>
          <w:rFonts w:ascii="Book Antiqua" w:hAnsi="Book Antiqua"/>
        </w:rPr>
      </w:pPr>
    </w:p>
    <w:p w14:paraId="765D7A94"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i/>
          <w:color w:val="000000"/>
        </w:rPr>
        <w:t>History of past illness</w:t>
      </w:r>
    </w:p>
    <w:p w14:paraId="7B34740E" w14:textId="46FD9082"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lastRenderedPageBreak/>
        <w:t xml:space="preserve">The patient underwent distal subtotal gastrectomy, D2 </w:t>
      </w:r>
      <w:r w:rsidR="00913D50" w:rsidRPr="00355646">
        <w:rPr>
          <w:rFonts w:ascii="Book Antiqua" w:eastAsia="Book Antiqua" w:hAnsi="Book Antiqua" w:cs="Book Antiqua"/>
          <w:color w:val="000000"/>
        </w:rPr>
        <w:t>l</w:t>
      </w:r>
      <w:r w:rsidRPr="00355646">
        <w:rPr>
          <w:rFonts w:ascii="Book Antiqua" w:eastAsia="Book Antiqua" w:hAnsi="Book Antiqua" w:cs="Book Antiqua"/>
          <w:color w:val="000000"/>
        </w:rPr>
        <w:t xml:space="preserve">ymphadenectomy, and </w:t>
      </w:r>
      <w:proofErr w:type="spellStart"/>
      <w:r w:rsidRPr="00355646">
        <w:rPr>
          <w:rFonts w:ascii="Book Antiqua" w:eastAsia="Book Antiqua" w:hAnsi="Book Antiqua" w:cs="Book Antiqua"/>
          <w:color w:val="000000"/>
        </w:rPr>
        <w:t>Billroth</w:t>
      </w:r>
      <w:proofErr w:type="spellEnd"/>
      <w:r w:rsidRPr="00355646">
        <w:rPr>
          <w:rFonts w:ascii="Book Antiqua" w:eastAsia="Book Antiqua" w:hAnsi="Book Antiqua" w:cs="Book Antiqua"/>
          <w:color w:val="000000"/>
        </w:rPr>
        <w:t xml:space="preserve"> II anastomosis for gastric cancer a year earlier. He did not undergo adjuvant chemotherapy as the surgical specimen confirmed stage I cancer according to the 8</w:t>
      </w:r>
      <w:r w:rsidRPr="00355646">
        <w:rPr>
          <w:rFonts w:ascii="Book Antiqua" w:eastAsia="Book Antiqua" w:hAnsi="Book Antiqua" w:cs="Book Antiqua"/>
          <w:color w:val="000000"/>
          <w:vertAlign w:val="superscript"/>
        </w:rPr>
        <w:t>th</w:t>
      </w:r>
      <w:r w:rsidRPr="00355646">
        <w:rPr>
          <w:rFonts w:ascii="Book Antiqua" w:eastAsia="Book Antiqua" w:hAnsi="Book Antiqua" w:cs="Book Antiqua"/>
          <w:color w:val="000000"/>
        </w:rPr>
        <w:t xml:space="preserve"> edition of the Union for International Cancer Control classification. The patient had no history of smoking, alcohol abuse, or previous illnesses except for well-controlled hypertension and type 2 diabetes.</w:t>
      </w:r>
    </w:p>
    <w:p w14:paraId="26552A69" w14:textId="77777777" w:rsidR="00A77B3E" w:rsidRPr="00355646" w:rsidRDefault="00A77B3E" w:rsidP="00355646">
      <w:pPr>
        <w:spacing w:line="360" w:lineRule="auto"/>
        <w:jc w:val="both"/>
        <w:rPr>
          <w:rFonts w:ascii="Book Antiqua" w:hAnsi="Book Antiqua"/>
        </w:rPr>
      </w:pPr>
    </w:p>
    <w:p w14:paraId="2C48B239"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i/>
          <w:color w:val="000000"/>
        </w:rPr>
        <w:t>Personal and family history</w:t>
      </w:r>
    </w:p>
    <w:p w14:paraId="7BE9F165"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The patient had no significant personal or family history.</w:t>
      </w:r>
    </w:p>
    <w:p w14:paraId="58DEB4D6" w14:textId="77777777" w:rsidR="00A77B3E" w:rsidRPr="00355646" w:rsidRDefault="00A77B3E" w:rsidP="00355646">
      <w:pPr>
        <w:spacing w:line="360" w:lineRule="auto"/>
        <w:jc w:val="both"/>
        <w:rPr>
          <w:rFonts w:ascii="Book Antiqua" w:hAnsi="Book Antiqua"/>
        </w:rPr>
      </w:pPr>
    </w:p>
    <w:p w14:paraId="72CC6D66"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i/>
          <w:color w:val="000000"/>
        </w:rPr>
        <w:t>Physical examination</w:t>
      </w:r>
    </w:p>
    <w:p w14:paraId="278DE555"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The vital signs were unremarkable. Abdominal physical examination revealed no distension or rigidity. Bowel sound was normal. There was a firm, fixed palpable mass along the surgical incision that was about 10 cm in size. There was no pain or tenderness.</w:t>
      </w:r>
    </w:p>
    <w:p w14:paraId="09A3AA5A" w14:textId="77777777" w:rsidR="00A77B3E" w:rsidRPr="00355646" w:rsidRDefault="00A77B3E" w:rsidP="00355646">
      <w:pPr>
        <w:spacing w:line="360" w:lineRule="auto"/>
        <w:jc w:val="both"/>
        <w:rPr>
          <w:rFonts w:ascii="Book Antiqua" w:hAnsi="Book Antiqua"/>
        </w:rPr>
      </w:pPr>
    </w:p>
    <w:p w14:paraId="66CAE236"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i/>
          <w:color w:val="000000"/>
        </w:rPr>
        <w:t>Laboratory examinations</w:t>
      </w:r>
    </w:p>
    <w:p w14:paraId="10550F35" w14:textId="24AF7962"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Routine blood and urine analysis results were normal. Serum tumor markers including carcinoembryonic antigen and carbohydrate antigen 19</w:t>
      </w:r>
      <w:r w:rsidR="00913D50" w:rsidRPr="00355646">
        <w:rPr>
          <w:rFonts w:ascii="Book Antiqua" w:eastAsia="Book Antiqua" w:hAnsi="Book Antiqua" w:cs="Book Antiqua"/>
          <w:color w:val="000000"/>
        </w:rPr>
        <w:t>-</w:t>
      </w:r>
      <w:r w:rsidRPr="00355646">
        <w:rPr>
          <w:rFonts w:ascii="Book Antiqua" w:eastAsia="Book Antiqua" w:hAnsi="Book Antiqua" w:cs="Book Antiqua"/>
          <w:color w:val="000000"/>
        </w:rPr>
        <w:t>9 were normal with 3.4 ng/mL and 21.4 U/mL, respectively.</w:t>
      </w:r>
    </w:p>
    <w:p w14:paraId="2A3512B6" w14:textId="77777777" w:rsidR="00A77B3E" w:rsidRPr="00355646" w:rsidRDefault="00A77B3E" w:rsidP="00355646">
      <w:pPr>
        <w:spacing w:line="360" w:lineRule="auto"/>
        <w:jc w:val="both"/>
        <w:rPr>
          <w:rFonts w:ascii="Book Antiqua" w:hAnsi="Book Antiqua"/>
        </w:rPr>
      </w:pPr>
    </w:p>
    <w:p w14:paraId="511B9B45"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i/>
          <w:color w:val="000000"/>
        </w:rPr>
        <w:t>Imaging examinations</w:t>
      </w:r>
    </w:p>
    <w:p w14:paraId="2B208706" w14:textId="7AD05E11"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An abdominal computerized tomography (CT), taken for 6-mo postgastrectomy surveillance, revealed a 10 cm-sized ossification along the surgical incision (Figure 1). The latest CT, taken for 1-year postgastrectomy surveillance just before the admission, confirmed an 11 cm-sized ossification along the surgical incision.</w:t>
      </w:r>
    </w:p>
    <w:p w14:paraId="19E8CCAB" w14:textId="77777777" w:rsidR="00A77B3E" w:rsidRPr="00355646" w:rsidRDefault="00A77B3E" w:rsidP="00355646">
      <w:pPr>
        <w:spacing w:line="360" w:lineRule="auto"/>
        <w:jc w:val="both"/>
        <w:rPr>
          <w:rFonts w:ascii="Book Antiqua" w:hAnsi="Book Antiqua"/>
        </w:rPr>
      </w:pPr>
    </w:p>
    <w:p w14:paraId="13008DA5"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aps/>
          <w:color w:val="000000"/>
          <w:u w:val="single"/>
        </w:rPr>
        <w:t>FINAL DIAGNOSIS</w:t>
      </w:r>
    </w:p>
    <w:p w14:paraId="1746BE66"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Based on the patient’s medical history, physical examination, and CT findings, the final diagnosis was HO, originating from the xiphoid process.</w:t>
      </w:r>
    </w:p>
    <w:p w14:paraId="1002FF29" w14:textId="77777777" w:rsidR="00A77B3E" w:rsidRPr="00355646" w:rsidRDefault="00A77B3E" w:rsidP="00355646">
      <w:pPr>
        <w:spacing w:line="360" w:lineRule="auto"/>
        <w:jc w:val="both"/>
        <w:rPr>
          <w:rFonts w:ascii="Book Antiqua" w:hAnsi="Book Antiqua"/>
        </w:rPr>
      </w:pPr>
    </w:p>
    <w:p w14:paraId="5E0392E5"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aps/>
          <w:color w:val="000000"/>
          <w:u w:val="single"/>
        </w:rPr>
        <w:t>TREATMENT</w:t>
      </w:r>
    </w:p>
    <w:p w14:paraId="4A275493"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 xml:space="preserve">Surgery for symptomatic HO was performed under general anesthesia. At laparotomy, an 11 cm-sized ossification, originating from the xiphoid process, was noticed between the </w:t>
      </w:r>
      <w:proofErr w:type="spellStart"/>
      <w:r w:rsidRPr="00355646">
        <w:rPr>
          <w:rFonts w:ascii="Book Antiqua" w:eastAsia="Book Antiqua" w:hAnsi="Book Antiqua" w:cs="Book Antiqua"/>
          <w:color w:val="000000"/>
        </w:rPr>
        <w:t>linea</w:t>
      </w:r>
      <w:proofErr w:type="spellEnd"/>
      <w:r w:rsidRPr="00355646">
        <w:rPr>
          <w:rFonts w:ascii="Book Antiqua" w:eastAsia="Book Antiqua" w:hAnsi="Book Antiqua" w:cs="Book Antiqua"/>
          <w:color w:val="000000"/>
        </w:rPr>
        <w:t xml:space="preserve"> alba and preperitoneal adipose layer (Figure 2). The structure was densely adhered to the surrounding tissue. After careful dissection of the adhered tissue and separation of the bony attachment at the xiphoidal end, we completely removed the structure. As an extra precaution for bone hemostasis and HO recurrence, bone wax was applied to the excisional margin. The surgical wound was closed layer by layer.</w:t>
      </w:r>
    </w:p>
    <w:p w14:paraId="61E46F21" w14:textId="77777777" w:rsidR="00A77B3E" w:rsidRPr="00355646" w:rsidRDefault="00A77B3E" w:rsidP="00355646">
      <w:pPr>
        <w:spacing w:line="360" w:lineRule="auto"/>
        <w:jc w:val="both"/>
        <w:rPr>
          <w:rFonts w:ascii="Book Antiqua" w:hAnsi="Book Antiqua"/>
        </w:rPr>
      </w:pPr>
    </w:p>
    <w:p w14:paraId="13883C21"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aps/>
          <w:color w:val="000000"/>
          <w:u w:val="single"/>
        </w:rPr>
        <w:t>OUTCOME AND FOLLOW-UP</w:t>
      </w:r>
    </w:p>
    <w:p w14:paraId="6C776A1E"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Histological examination of the surgical specimen confirmed HO. However, there was extensive discharge from the surgical wound over the following two weeks. The nature of the discharge slowly changed from serous to turbid, and we decided to open the surgical wound. The wound was somewhat waxy, and massive wound irrigation was performed. After three weeks of applying saline-soaked gauze dressings, delayed wound closure was performed, and the patient was finally discharged eight weeks after the HO excision. He underwent a follow-up CT two years postgastrectomy, which was about a year after the HO excision, and there were no signs of recurrence (Figure 3).</w:t>
      </w:r>
    </w:p>
    <w:p w14:paraId="3C2F0094" w14:textId="77777777" w:rsidR="00A77B3E" w:rsidRPr="00355646" w:rsidRDefault="00A77B3E" w:rsidP="00355646">
      <w:pPr>
        <w:spacing w:line="360" w:lineRule="auto"/>
        <w:jc w:val="both"/>
        <w:rPr>
          <w:rFonts w:ascii="Book Antiqua" w:hAnsi="Book Antiqua"/>
        </w:rPr>
      </w:pPr>
    </w:p>
    <w:p w14:paraId="7235F505"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aps/>
          <w:color w:val="000000"/>
          <w:u w:val="single"/>
        </w:rPr>
        <w:t>DISCUSSION</w:t>
      </w:r>
    </w:p>
    <w:p w14:paraId="1B05B70E"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HO is rare and, yet, broad in that it represents all types of extraskeletal ossifications in the body. Therefore, depending on its location, a treatment strategy that may be effective for some may not be for others. An extensive literature search led us to the application of bone wax along the laparotomy scar following surgical HO excision. However, this turned out to be a grave misapplication of our treatment efforts.</w:t>
      </w:r>
    </w:p>
    <w:p w14:paraId="454C5FD7" w14:textId="77777777" w:rsidR="00A77B3E" w:rsidRPr="00355646" w:rsidRDefault="00000000" w:rsidP="00355646">
      <w:pPr>
        <w:spacing w:line="360" w:lineRule="auto"/>
        <w:ind w:firstLine="240"/>
        <w:jc w:val="both"/>
        <w:rPr>
          <w:rFonts w:ascii="Book Antiqua" w:hAnsi="Book Antiqua"/>
        </w:rPr>
      </w:pPr>
      <w:r w:rsidRPr="00355646">
        <w:rPr>
          <w:rFonts w:ascii="Book Antiqua" w:eastAsia="Book Antiqua" w:hAnsi="Book Antiqua" w:cs="Book Antiqua"/>
          <w:color w:val="000000"/>
        </w:rPr>
        <w:t xml:space="preserve">Two pathogenesis hypotheses for the HO of abdominal scar tissue have been </w:t>
      </w:r>
      <w:proofErr w:type="gramStart"/>
      <w:r w:rsidRPr="00355646">
        <w:rPr>
          <w:rFonts w:ascii="Book Antiqua" w:eastAsia="Book Antiqua" w:hAnsi="Book Antiqua" w:cs="Book Antiqua"/>
          <w:color w:val="000000"/>
        </w:rPr>
        <w:t>suggested</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6]</w:t>
      </w:r>
      <w:r w:rsidRPr="00355646">
        <w:rPr>
          <w:rFonts w:ascii="Book Antiqua" w:eastAsia="Book Antiqua" w:hAnsi="Book Antiqua" w:cs="Book Antiqua"/>
          <w:color w:val="000000"/>
        </w:rPr>
        <w:t xml:space="preserve">. The first and more favored hypothesis is an aberrant inflammatory process in wound healing, leading to the differentiation of mesenchymal stromal cells into osteoblasts. This is highly favored in those with HO located at a distance from the </w:t>
      </w:r>
      <w:r w:rsidRPr="00355646">
        <w:rPr>
          <w:rFonts w:ascii="Book Antiqua" w:eastAsia="Book Antiqua" w:hAnsi="Book Antiqua" w:cs="Book Antiqua"/>
          <w:color w:val="000000"/>
        </w:rPr>
        <w:lastRenderedPageBreak/>
        <w:t xml:space="preserve">adjacent bone. The second hypothesis emphasizes the iatrogenic spillage of periosteal cells from the adjacent bone during surgery. In our case, HO </w:t>
      </w:r>
      <w:proofErr w:type="gramStart"/>
      <w:r w:rsidRPr="00355646">
        <w:rPr>
          <w:rFonts w:ascii="Book Antiqua" w:eastAsia="Book Antiqua" w:hAnsi="Book Antiqua" w:cs="Book Antiqua"/>
          <w:color w:val="000000"/>
        </w:rPr>
        <w:t>was connected with</w:t>
      </w:r>
      <w:proofErr w:type="gramEnd"/>
      <w:r w:rsidRPr="00355646">
        <w:rPr>
          <w:rFonts w:ascii="Book Antiqua" w:eastAsia="Book Antiqua" w:hAnsi="Book Antiqua" w:cs="Book Antiqua"/>
          <w:color w:val="000000"/>
        </w:rPr>
        <w:t xml:space="preserve"> the xiphoid process, and we could not exclude the possibility of the iatrogenic spillage of periosteal cells from the xiphoid process.</w:t>
      </w:r>
    </w:p>
    <w:p w14:paraId="1E058716" w14:textId="77777777" w:rsidR="00A77B3E" w:rsidRPr="00355646" w:rsidRDefault="00000000" w:rsidP="00355646">
      <w:pPr>
        <w:spacing w:line="360" w:lineRule="auto"/>
        <w:ind w:firstLine="240"/>
        <w:jc w:val="both"/>
        <w:rPr>
          <w:rFonts w:ascii="Book Antiqua" w:hAnsi="Book Antiqua"/>
        </w:rPr>
      </w:pPr>
      <w:r w:rsidRPr="00355646">
        <w:rPr>
          <w:rFonts w:ascii="Book Antiqua" w:eastAsia="Book Antiqua" w:hAnsi="Book Antiqua" w:cs="Book Antiqua"/>
          <w:color w:val="000000"/>
        </w:rPr>
        <w:t xml:space="preserve">Whatever the pathogenesis hypothesis, surgical excision has been recommended for symptomatic HO. Our literature search delved deeper into HO prevention. The search returned some recommendations for preventing HO recurrence, and bone wax was one of them. Bone wax is a nonabsorbable substance composed of beeswax and petroleum jelly, and has been used to achieve hemostasis after bone </w:t>
      </w:r>
      <w:proofErr w:type="gramStart"/>
      <w:r w:rsidRPr="00355646">
        <w:rPr>
          <w:rFonts w:ascii="Book Antiqua" w:eastAsia="Book Antiqua" w:hAnsi="Book Antiqua" w:cs="Book Antiqua"/>
          <w:color w:val="000000"/>
        </w:rPr>
        <w:t>resection</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13]</w:t>
      </w:r>
      <w:r w:rsidRPr="00355646">
        <w:rPr>
          <w:rFonts w:ascii="Book Antiqua" w:eastAsia="Book Antiqua" w:hAnsi="Book Antiqua" w:cs="Book Antiqua"/>
          <w:color w:val="000000"/>
        </w:rPr>
        <w:t xml:space="preserve">. While it functions as a mechanical barrier to stop bleeding, using it to suppress bone formation in the resection surface has also been </w:t>
      </w:r>
      <w:proofErr w:type="gramStart"/>
      <w:r w:rsidRPr="00355646">
        <w:rPr>
          <w:rFonts w:ascii="Book Antiqua" w:eastAsia="Book Antiqua" w:hAnsi="Book Antiqua" w:cs="Book Antiqua"/>
          <w:color w:val="000000"/>
        </w:rPr>
        <w:t>reported</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14]</w:t>
      </w:r>
      <w:r w:rsidRPr="00355646">
        <w:rPr>
          <w:rFonts w:ascii="Book Antiqua" w:eastAsia="Book Antiqua" w:hAnsi="Book Antiqua" w:cs="Book Antiqua"/>
          <w:color w:val="000000"/>
        </w:rPr>
        <w:t xml:space="preserve">. Despite concerns about a chronic inflammatory reaction following the intraarticular use of bone </w:t>
      </w:r>
      <w:proofErr w:type="gramStart"/>
      <w:r w:rsidRPr="00355646">
        <w:rPr>
          <w:rFonts w:ascii="Book Antiqua" w:eastAsia="Book Antiqua" w:hAnsi="Book Antiqua" w:cs="Book Antiqua"/>
          <w:color w:val="000000"/>
        </w:rPr>
        <w:t>wax</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15]</w:t>
      </w:r>
      <w:r w:rsidRPr="00355646">
        <w:rPr>
          <w:rFonts w:ascii="Book Antiqua" w:eastAsia="Book Antiqua" w:hAnsi="Book Antiqua" w:cs="Book Antiqua"/>
          <w:color w:val="000000"/>
        </w:rPr>
        <w:t>, bone wax has been used as a topical sealant to prevent HO in shoulders</w:t>
      </w:r>
      <w:r w:rsidRPr="00355646">
        <w:rPr>
          <w:rFonts w:ascii="Book Antiqua" w:eastAsia="Book Antiqua" w:hAnsi="Book Antiqua" w:cs="Book Antiqua"/>
          <w:color w:val="000000"/>
          <w:vertAlign w:val="superscript"/>
        </w:rPr>
        <w:t>[1]</w:t>
      </w:r>
      <w:r w:rsidRPr="00355646">
        <w:rPr>
          <w:rFonts w:ascii="Book Antiqua" w:eastAsia="Book Antiqua" w:hAnsi="Book Antiqua" w:cs="Book Antiqua"/>
          <w:color w:val="000000"/>
        </w:rPr>
        <w:t>, temporomandibular joints</w:t>
      </w:r>
      <w:r w:rsidRPr="00355646">
        <w:rPr>
          <w:rFonts w:ascii="Book Antiqua" w:eastAsia="Book Antiqua" w:hAnsi="Book Antiqua" w:cs="Book Antiqua"/>
          <w:color w:val="000000"/>
          <w:vertAlign w:val="superscript"/>
        </w:rPr>
        <w:t>[7]</w:t>
      </w:r>
      <w:r w:rsidRPr="00355646">
        <w:rPr>
          <w:rFonts w:ascii="Book Antiqua" w:eastAsia="Book Antiqua" w:hAnsi="Book Antiqua" w:cs="Book Antiqua"/>
          <w:color w:val="000000"/>
        </w:rPr>
        <w:t>, and elbows</w:t>
      </w:r>
      <w:r w:rsidRPr="00355646">
        <w:rPr>
          <w:rFonts w:ascii="Book Antiqua" w:eastAsia="Book Antiqua" w:hAnsi="Book Antiqua" w:cs="Book Antiqua"/>
          <w:color w:val="000000"/>
          <w:vertAlign w:val="superscript"/>
        </w:rPr>
        <w:t>[12]</w:t>
      </w:r>
      <w:r w:rsidRPr="00355646">
        <w:rPr>
          <w:rFonts w:ascii="Book Antiqua" w:eastAsia="Book Antiqua" w:hAnsi="Book Antiqua" w:cs="Book Antiqua"/>
          <w:color w:val="000000"/>
        </w:rPr>
        <w:t>.</w:t>
      </w:r>
    </w:p>
    <w:p w14:paraId="551C1183" w14:textId="21DA8852" w:rsidR="00A77B3E" w:rsidRPr="00355646" w:rsidRDefault="00000000" w:rsidP="00355646">
      <w:pPr>
        <w:spacing w:line="360" w:lineRule="auto"/>
        <w:ind w:firstLine="240"/>
        <w:jc w:val="both"/>
        <w:rPr>
          <w:rFonts w:ascii="Book Antiqua" w:hAnsi="Book Antiqua"/>
        </w:rPr>
      </w:pPr>
      <w:r w:rsidRPr="00355646">
        <w:rPr>
          <w:rFonts w:ascii="Book Antiqua" w:eastAsia="Book Antiqua" w:hAnsi="Book Antiqua" w:cs="Book Antiqua"/>
          <w:color w:val="000000"/>
        </w:rPr>
        <w:t xml:space="preserve">Besides bone wax, postoperative radiotherapy and oral NSAIDs have been recommended as feasible preventive measures for </w:t>
      </w:r>
      <w:proofErr w:type="gramStart"/>
      <w:r w:rsidRPr="00355646">
        <w:rPr>
          <w:rFonts w:ascii="Book Antiqua" w:eastAsia="Book Antiqua" w:hAnsi="Book Antiqua" w:cs="Book Antiqua"/>
          <w:color w:val="000000"/>
        </w:rPr>
        <w:t>HO</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10,11]</w:t>
      </w:r>
      <w:r w:rsidRPr="00355646">
        <w:rPr>
          <w:rFonts w:ascii="Book Antiqua" w:eastAsia="Book Antiqua" w:hAnsi="Book Antiqua" w:cs="Book Antiqua"/>
          <w:color w:val="000000"/>
        </w:rPr>
        <w:t xml:space="preserve">. However, we chose none of these because they are highly associated with gastrointestinal </w:t>
      </w:r>
      <w:proofErr w:type="gramStart"/>
      <w:r w:rsidRPr="00355646">
        <w:rPr>
          <w:rFonts w:ascii="Book Antiqua" w:eastAsia="Book Antiqua" w:hAnsi="Book Antiqua" w:cs="Book Antiqua"/>
          <w:color w:val="000000"/>
        </w:rPr>
        <w:t>symptoms</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16,17]</w:t>
      </w:r>
      <w:r w:rsidRPr="00355646">
        <w:rPr>
          <w:rFonts w:ascii="Book Antiqua" w:eastAsia="Book Antiqua" w:hAnsi="Book Antiqua" w:cs="Book Antiqua"/>
          <w:color w:val="000000"/>
        </w:rPr>
        <w:t xml:space="preserve">. Gastric cancer survivors are known to experience gastrointestinal symptoms for years after </w:t>
      </w:r>
      <w:proofErr w:type="gramStart"/>
      <w:r w:rsidRPr="00355646">
        <w:rPr>
          <w:rFonts w:ascii="Book Antiqua" w:eastAsia="Book Antiqua" w:hAnsi="Book Antiqua" w:cs="Book Antiqua"/>
          <w:color w:val="000000"/>
        </w:rPr>
        <w:t>surgery</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18]</w:t>
      </w:r>
      <w:r w:rsidRPr="00355646">
        <w:rPr>
          <w:rFonts w:ascii="Book Antiqua" w:eastAsia="Book Antiqua" w:hAnsi="Book Antiqua" w:cs="Book Antiqua"/>
          <w:color w:val="000000"/>
        </w:rPr>
        <w:t>. Our patient underwent distal subtotal gastrectomy a year earlier and was not free of gastrointestinal symptoms. Therefore</w:t>
      </w:r>
      <w:r w:rsidR="00135542" w:rsidRPr="00355646">
        <w:rPr>
          <w:rFonts w:ascii="Book Antiqua" w:eastAsia="Book Antiqua" w:hAnsi="Book Antiqua" w:cs="Book Antiqua"/>
          <w:color w:val="000000"/>
        </w:rPr>
        <w:t>,</w:t>
      </w:r>
      <w:r w:rsidRPr="00355646">
        <w:rPr>
          <w:rFonts w:ascii="Book Antiqua" w:eastAsia="Book Antiqua" w:hAnsi="Book Antiqua" w:cs="Book Antiqua"/>
          <w:color w:val="000000"/>
        </w:rPr>
        <w:t xml:space="preserve"> the clinical application of either radiotherapy or oral NSAIDs would have exacerbated postgastrectomy symptoms.</w:t>
      </w:r>
    </w:p>
    <w:p w14:paraId="597E37BF" w14:textId="77777777" w:rsidR="00BE09DA" w:rsidRPr="00355646" w:rsidRDefault="00000000" w:rsidP="00355646">
      <w:pPr>
        <w:spacing w:line="360" w:lineRule="auto"/>
        <w:ind w:firstLine="240"/>
        <w:jc w:val="both"/>
        <w:rPr>
          <w:rFonts w:ascii="Book Antiqua" w:hAnsi="Book Antiqua"/>
        </w:rPr>
      </w:pPr>
      <w:r w:rsidRPr="00355646">
        <w:rPr>
          <w:rFonts w:ascii="Book Antiqua" w:eastAsia="Book Antiqua" w:hAnsi="Book Antiqua" w:cs="Book Antiqua"/>
          <w:color w:val="000000"/>
        </w:rPr>
        <w:t xml:space="preserve">After much deliberation, we decided to use bone wax. Unfortunately, the outcome was an eight-week-long hospital stay and additional surgery for delayed wound closure. The application of bone wax on the abdominal surgical wound delayed its primary healing intention. A previous study reported the clinical use of bone wax in dermatologic surgery by exploiting such a distinguishing </w:t>
      </w:r>
      <w:proofErr w:type="gramStart"/>
      <w:r w:rsidRPr="00355646">
        <w:rPr>
          <w:rFonts w:ascii="Book Antiqua" w:eastAsia="Book Antiqua" w:hAnsi="Book Antiqua" w:cs="Book Antiqua"/>
          <w:color w:val="000000"/>
        </w:rPr>
        <w:t>trait</w:t>
      </w:r>
      <w:r w:rsidRPr="00355646">
        <w:rPr>
          <w:rFonts w:ascii="Book Antiqua" w:eastAsia="Book Antiqua" w:hAnsi="Book Antiqua" w:cs="Book Antiqua"/>
          <w:color w:val="000000"/>
          <w:vertAlign w:val="superscript"/>
        </w:rPr>
        <w:t>[</w:t>
      </w:r>
      <w:proofErr w:type="gramEnd"/>
      <w:r w:rsidRPr="00355646">
        <w:rPr>
          <w:rFonts w:ascii="Book Antiqua" w:eastAsia="Book Antiqua" w:hAnsi="Book Antiqua" w:cs="Book Antiqua"/>
          <w:color w:val="000000"/>
          <w:vertAlign w:val="superscript"/>
        </w:rPr>
        <w:t>19]</w:t>
      </w:r>
      <w:r w:rsidRPr="00355646">
        <w:rPr>
          <w:rFonts w:ascii="Book Antiqua" w:eastAsia="Book Antiqua" w:hAnsi="Book Antiqua" w:cs="Book Antiqua"/>
          <w:color w:val="000000"/>
        </w:rPr>
        <w:t>. Bone wax has been used to cover deep tissue defects and create an ideal occlusive environment for secondary healing intention. In our case, our efforts to prevent HO recurrence left the surgical wound in a condition that was suitable only for secondary healing intention.</w:t>
      </w:r>
    </w:p>
    <w:p w14:paraId="01F63ED2" w14:textId="48AEE981" w:rsidR="00A77B3E" w:rsidRPr="00355646" w:rsidRDefault="00000000" w:rsidP="00355646">
      <w:pPr>
        <w:spacing w:line="360" w:lineRule="auto"/>
        <w:ind w:firstLine="240"/>
        <w:jc w:val="both"/>
        <w:rPr>
          <w:rFonts w:ascii="Book Antiqua" w:hAnsi="Book Antiqua"/>
        </w:rPr>
      </w:pPr>
      <w:r w:rsidRPr="00355646">
        <w:rPr>
          <w:rFonts w:ascii="Book Antiqua" w:eastAsia="Book Antiqua" w:hAnsi="Book Antiqua" w:cs="Book Antiqua"/>
          <w:color w:val="000000"/>
        </w:rPr>
        <w:lastRenderedPageBreak/>
        <w:t xml:space="preserve">Complete excision may be a sufficient management strategy for HO along a laparotomy scar. We eventually made huge efforts to remove the bone wax as much as possible by massive wound irrigation and repeated cleansing with wet gauze, and there was no sign of recurrence after a year. Nevertheless, uncertainty regarding the remaining bone wax and its implication on HO prevention is a limitation of this finding. The strength would be sharing the valuable lesson that we need to be very careful about choosing a treatment method for HO using available research data and treatment should be individualized depending on the HO location. Previous reports suggesting the beneficial effect of bone wax against HO recurrence have focused on HO in </w:t>
      </w:r>
      <w:proofErr w:type="gramStart"/>
      <w:r w:rsidRPr="00355646">
        <w:rPr>
          <w:rFonts w:ascii="Book Antiqua" w:eastAsia="Book Antiqua" w:hAnsi="Book Antiqua" w:cs="Book Antiqua"/>
          <w:color w:val="000000"/>
        </w:rPr>
        <w:t>joints</w:t>
      </w:r>
      <w:r w:rsidR="00BE09DA" w:rsidRPr="00355646">
        <w:rPr>
          <w:rFonts w:ascii="Book Antiqua" w:eastAsia="Book Antiqua" w:hAnsi="Book Antiqua" w:cs="Book Antiqua"/>
          <w:color w:val="000000"/>
          <w:vertAlign w:val="superscript"/>
        </w:rPr>
        <w:t>[</w:t>
      </w:r>
      <w:proofErr w:type="gramEnd"/>
      <w:r w:rsidR="00BE09DA" w:rsidRPr="00355646">
        <w:rPr>
          <w:rFonts w:ascii="Book Antiqua" w:eastAsia="Book Antiqua" w:hAnsi="Book Antiqua" w:cs="Book Antiqua"/>
          <w:color w:val="000000"/>
          <w:vertAlign w:val="superscript"/>
        </w:rPr>
        <w:t>1,7,12]</w:t>
      </w:r>
      <w:r w:rsidRPr="00355646">
        <w:rPr>
          <w:rFonts w:ascii="Book Antiqua" w:eastAsia="Book Antiqua" w:hAnsi="Book Antiqua" w:cs="Book Antiqua"/>
          <w:color w:val="000000"/>
        </w:rPr>
        <w:t>.</w:t>
      </w:r>
      <w:r w:rsidR="00BE09DA" w:rsidRPr="00355646">
        <w:rPr>
          <w:rFonts w:ascii="Book Antiqua" w:eastAsia="Book Antiqua" w:hAnsi="Book Antiqua" w:cs="Book Antiqua"/>
          <w:color w:val="000000"/>
        </w:rPr>
        <w:t xml:space="preserve"> </w:t>
      </w:r>
      <w:r w:rsidRPr="00355646">
        <w:rPr>
          <w:rFonts w:ascii="Book Antiqua" w:eastAsia="Book Antiqua" w:hAnsi="Book Antiqua" w:cs="Book Antiqua"/>
          <w:color w:val="000000"/>
        </w:rPr>
        <w:t>Our effort of applying bone wax to an abdominal wound could have failed because we did not realize the distinction in treatment between different areas.</w:t>
      </w:r>
    </w:p>
    <w:p w14:paraId="5ED4A301" w14:textId="77777777" w:rsidR="00A77B3E" w:rsidRPr="00355646" w:rsidRDefault="00A77B3E" w:rsidP="00355646">
      <w:pPr>
        <w:spacing w:line="360" w:lineRule="auto"/>
        <w:jc w:val="both"/>
        <w:rPr>
          <w:rFonts w:ascii="Book Antiqua" w:hAnsi="Book Antiqua"/>
        </w:rPr>
      </w:pPr>
    </w:p>
    <w:p w14:paraId="1E7E375B"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aps/>
          <w:color w:val="000000"/>
          <w:u w:val="single"/>
        </w:rPr>
        <w:t>CONCLUSION</w:t>
      </w:r>
    </w:p>
    <w:p w14:paraId="6B1E6E4E"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color w:val="000000"/>
        </w:rPr>
        <w:t>In conclusion, HO represents all types of extraskeletal ossifications in the body, and treatment approaches must be individualized depending on the surroundings. Complete surgical excision should be the priority treatment option for HO along a laparotomy scar, and the application of bone wax is not recommended.</w:t>
      </w:r>
    </w:p>
    <w:p w14:paraId="097A94C9" w14:textId="77777777" w:rsidR="00A77B3E" w:rsidRPr="00355646" w:rsidRDefault="00A77B3E" w:rsidP="00355646">
      <w:pPr>
        <w:spacing w:line="360" w:lineRule="auto"/>
        <w:jc w:val="both"/>
        <w:rPr>
          <w:rFonts w:ascii="Book Antiqua" w:hAnsi="Book Antiqua"/>
        </w:rPr>
      </w:pPr>
    </w:p>
    <w:p w14:paraId="3EAA8C9B"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t>REFERENCES</w:t>
      </w:r>
    </w:p>
    <w:p w14:paraId="267F3672"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1 </w:t>
      </w:r>
      <w:r w:rsidRPr="00355646">
        <w:rPr>
          <w:rFonts w:ascii="Book Antiqua" w:hAnsi="Book Antiqua"/>
          <w:b/>
          <w:bCs/>
        </w:rPr>
        <w:t>Hallock J</w:t>
      </w:r>
      <w:r w:rsidRPr="00355646">
        <w:rPr>
          <w:rFonts w:ascii="Book Antiqua" w:hAnsi="Book Antiqua"/>
        </w:rPr>
        <w:t xml:space="preserve">, Field LD. Surgical Management of Shoulder Heterotopic Ossification. </w:t>
      </w:r>
      <w:proofErr w:type="spellStart"/>
      <w:r w:rsidRPr="00355646">
        <w:rPr>
          <w:rFonts w:ascii="Book Antiqua" w:hAnsi="Book Antiqua"/>
          <w:i/>
          <w:iCs/>
        </w:rPr>
        <w:t>Arthrosc</w:t>
      </w:r>
      <w:proofErr w:type="spellEnd"/>
      <w:r w:rsidRPr="00355646">
        <w:rPr>
          <w:rFonts w:ascii="Book Antiqua" w:hAnsi="Book Antiqua"/>
          <w:i/>
          <w:iCs/>
        </w:rPr>
        <w:t xml:space="preserve"> Tech</w:t>
      </w:r>
      <w:r w:rsidRPr="00355646">
        <w:rPr>
          <w:rFonts w:ascii="Book Antiqua" w:hAnsi="Book Antiqua"/>
        </w:rPr>
        <w:t xml:space="preserve"> 2019; </w:t>
      </w:r>
      <w:r w:rsidRPr="00355646">
        <w:rPr>
          <w:rFonts w:ascii="Book Antiqua" w:hAnsi="Book Antiqua"/>
          <w:b/>
          <w:bCs/>
        </w:rPr>
        <w:t>8</w:t>
      </w:r>
      <w:r w:rsidRPr="00355646">
        <w:rPr>
          <w:rFonts w:ascii="Book Antiqua" w:hAnsi="Book Antiqua"/>
        </w:rPr>
        <w:t>: e1057-e1062 [PMID: 31737484 DOI: 10.1016/j.eats.2019.05.019]</w:t>
      </w:r>
    </w:p>
    <w:p w14:paraId="79587F77"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2 </w:t>
      </w:r>
      <w:r w:rsidRPr="00355646">
        <w:rPr>
          <w:rFonts w:ascii="Book Antiqua" w:hAnsi="Book Antiqua"/>
          <w:b/>
          <w:bCs/>
        </w:rPr>
        <w:t>Edwards DS</w:t>
      </w:r>
      <w:r w:rsidRPr="00355646">
        <w:rPr>
          <w:rFonts w:ascii="Book Antiqua" w:hAnsi="Book Antiqua"/>
        </w:rPr>
        <w:t xml:space="preserve">, Kuhn KM, Potter BK, Forsberg JA. Heterotopic Ossification: A Review of Current Understanding, Treatment, and Future. </w:t>
      </w:r>
      <w:r w:rsidRPr="00355646">
        <w:rPr>
          <w:rFonts w:ascii="Book Antiqua" w:hAnsi="Book Antiqua"/>
          <w:i/>
          <w:iCs/>
        </w:rPr>
        <w:t xml:space="preserve">J </w:t>
      </w:r>
      <w:proofErr w:type="spellStart"/>
      <w:r w:rsidRPr="00355646">
        <w:rPr>
          <w:rFonts w:ascii="Book Antiqua" w:hAnsi="Book Antiqua"/>
          <w:i/>
          <w:iCs/>
        </w:rPr>
        <w:t>Orthop</w:t>
      </w:r>
      <w:proofErr w:type="spellEnd"/>
      <w:r w:rsidRPr="00355646">
        <w:rPr>
          <w:rFonts w:ascii="Book Antiqua" w:hAnsi="Book Antiqua"/>
          <w:i/>
          <w:iCs/>
        </w:rPr>
        <w:t xml:space="preserve"> Trauma</w:t>
      </w:r>
      <w:r w:rsidRPr="00355646">
        <w:rPr>
          <w:rFonts w:ascii="Book Antiqua" w:hAnsi="Book Antiqua"/>
        </w:rPr>
        <w:t xml:space="preserve"> 2016; </w:t>
      </w:r>
      <w:r w:rsidRPr="00355646">
        <w:rPr>
          <w:rFonts w:ascii="Book Antiqua" w:hAnsi="Book Antiqua"/>
          <w:b/>
          <w:bCs/>
        </w:rPr>
        <w:t>30</w:t>
      </w:r>
      <w:r w:rsidRPr="00355646">
        <w:rPr>
          <w:rFonts w:ascii="Book Antiqua" w:hAnsi="Book Antiqua"/>
        </w:rPr>
        <w:t xml:space="preserve"> Suppl 3: S27-S30 [PMID: 27661424 DOI: 10.1097/BOT.0000000000000666]</w:t>
      </w:r>
    </w:p>
    <w:p w14:paraId="531EE015"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3 </w:t>
      </w:r>
      <w:r w:rsidRPr="00355646">
        <w:rPr>
          <w:rFonts w:ascii="Book Antiqua" w:hAnsi="Book Antiqua"/>
          <w:b/>
          <w:bCs/>
        </w:rPr>
        <w:t>Hogan NM</w:t>
      </w:r>
      <w:r w:rsidRPr="00355646">
        <w:rPr>
          <w:rFonts w:ascii="Book Antiqua" w:hAnsi="Book Antiqua"/>
        </w:rPr>
        <w:t xml:space="preserve">, Caffrey E, Curran S, Sheehan M, Joyce MR. Heterotopic ossification of the abdominal wall. </w:t>
      </w:r>
      <w:r w:rsidRPr="00355646">
        <w:rPr>
          <w:rFonts w:ascii="Book Antiqua" w:hAnsi="Book Antiqua"/>
          <w:i/>
          <w:iCs/>
        </w:rPr>
        <w:t>Int J Surg Case Rep</w:t>
      </w:r>
      <w:r w:rsidRPr="00355646">
        <w:rPr>
          <w:rFonts w:ascii="Book Antiqua" w:hAnsi="Book Antiqua"/>
        </w:rPr>
        <w:t xml:space="preserve"> 2012; </w:t>
      </w:r>
      <w:r w:rsidRPr="00355646">
        <w:rPr>
          <w:rFonts w:ascii="Book Antiqua" w:hAnsi="Book Antiqua"/>
          <w:b/>
          <w:bCs/>
        </w:rPr>
        <w:t>3</w:t>
      </w:r>
      <w:r w:rsidRPr="00355646">
        <w:rPr>
          <w:rFonts w:ascii="Book Antiqua" w:hAnsi="Book Antiqua"/>
        </w:rPr>
        <w:t>: 489-491 [PMID: 22858788 DOI: 10.1016/j.ijscr.2012.06.004]</w:t>
      </w:r>
    </w:p>
    <w:p w14:paraId="6287562D"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4 </w:t>
      </w:r>
      <w:r w:rsidRPr="00355646">
        <w:rPr>
          <w:rFonts w:ascii="Book Antiqua" w:hAnsi="Book Antiqua"/>
          <w:b/>
          <w:bCs/>
        </w:rPr>
        <w:t>Hakim M</w:t>
      </w:r>
      <w:r w:rsidRPr="00355646">
        <w:rPr>
          <w:rFonts w:ascii="Book Antiqua" w:hAnsi="Book Antiqua"/>
        </w:rPr>
        <w:t xml:space="preserve">, McCarthy EF. Heterotopic mesenteric ossification. </w:t>
      </w:r>
      <w:r w:rsidRPr="00355646">
        <w:rPr>
          <w:rFonts w:ascii="Book Antiqua" w:hAnsi="Book Antiqua"/>
          <w:i/>
          <w:iCs/>
        </w:rPr>
        <w:t xml:space="preserve">AJR Am J </w:t>
      </w:r>
      <w:proofErr w:type="spellStart"/>
      <w:r w:rsidRPr="00355646">
        <w:rPr>
          <w:rFonts w:ascii="Book Antiqua" w:hAnsi="Book Antiqua"/>
          <w:i/>
          <w:iCs/>
        </w:rPr>
        <w:t>Roentgenol</w:t>
      </w:r>
      <w:proofErr w:type="spellEnd"/>
      <w:r w:rsidRPr="00355646">
        <w:rPr>
          <w:rFonts w:ascii="Book Antiqua" w:hAnsi="Book Antiqua"/>
        </w:rPr>
        <w:t xml:space="preserve"> 2001; </w:t>
      </w:r>
      <w:r w:rsidRPr="00355646">
        <w:rPr>
          <w:rFonts w:ascii="Book Antiqua" w:hAnsi="Book Antiqua"/>
          <w:b/>
          <w:bCs/>
        </w:rPr>
        <w:t>176</w:t>
      </w:r>
      <w:r w:rsidRPr="00355646">
        <w:rPr>
          <w:rFonts w:ascii="Book Antiqua" w:hAnsi="Book Antiqua"/>
        </w:rPr>
        <w:t>: 260-261 [PMID: 11133585 DOI: 10.2214/ajr.176.1.1760260]</w:t>
      </w:r>
    </w:p>
    <w:p w14:paraId="7D01E04C" w14:textId="77777777" w:rsidR="00913D50" w:rsidRPr="00355646" w:rsidRDefault="00913D50" w:rsidP="00355646">
      <w:pPr>
        <w:spacing w:line="360" w:lineRule="auto"/>
        <w:jc w:val="both"/>
        <w:rPr>
          <w:rFonts w:ascii="Book Antiqua" w:hAnsi="Book Antiqua"/>
        </w:rPr>
      </w:pPr>
      <w:r w:rsidRPr="00355646">
        <w:rPr>
          <w:rFonts w:ascii="Book Antiqua" w:hAnsi="Book Antiqua"/>
        </w:rPr>
        <w:lastRenderedPageBreak/>
        <w:t xml:space="preserve">5 </w:t>
      </w:r>
      <w:r w:rsidRPr="00355646">
        <w:rPr>
          <w:rFonts w:ascii="Book Antiqua" w:hAnsi="Book Antiqua"/>
          <w:b/>
          <w:bCs/>
        </w:rPr>
        <w:t>Brady RD</w:t>
      </w:r>
      <w:r w:rsidRPr="00355646">
        <w:rPr>
          <w:rFonts w:ascii="Book Antiqua" w:hAnsi="Book Antiqua"/>
        </w:rPr>
        <w:t xml:space="preserve">, Shultz SR, McDonald SJ, O'Brien TJ. Neurological heterotopic ossification: Current understanding and future directions. </w:t>
      </w:r>
      <w:r w:rsidRPr="00355646">
        <w:rPr>
          <w:rFonts w:ascii="Book Antiqua" w:hAnsi="Book Antiqua"/>
          <w:i/>
          <w:iCs/>
        </w:rPr>
        <w:t>Bone</w:t>
      </w:r>
      <w:r w:rsidRPr="00355646">
        <w:rPr>
          <w:rFonts w:ascii="Book Antiqua" w:hAnsi="Book Antiqua"/>
        </w:rPr>
        <w:t xml:space="preserve"> 2018; </w:t>
      </w:r>
      <w:r w:rsidRPr="00355646">
        <w:rPr>
          <w:rFonts w:ascii="Book Antiqua" w:hAnsi="Book Antiqua"/>
          <w:b/>
          <w:bCs/>
        </w:rPr>
        <w:t>109</w:t>
      </w:r>
      <w:r w:rsidRPr="00355646">
        <w:rPr>
          <w:rFonts w:ascii="Book Antiqua" w:hAnsi="Book Antiqua"/>
        </w:rPr>
        <w:t>: 35-42 [PMID: 28526267 DOI: 10.1016/j.bone.2017.05.015]</w:t>
      </w:r>
    </w:p>
    <w:p w14:paraId="4C06CFA6"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6 </w:t>
      </w:r>
      <w:r w:rsidRPr="00355646">
        <w:rPr>
          <w:rFonts w:ascii="Book Antiqua" w:hAnsi="Book Antiqua"/>
          <w:b/>
          <w:bCs/>
        </w:rPr>
        <w:t>Fennema EM</w:t>
      </w:r>
      <w:r w:rsidRPr="00355646">
        <w:rPr>
          <w:rFonts w:ascii="Book Antiqua" w:hAnsi="Book Antiqua"/>
        </w:rPr>
        <w:t xml:space="preserve">, de Boer J, </w:t>
      </w:r>
      <w:proofErr w:type="spellStart"/>
      <w:r w:rsidRPr="00355646">
        <w:rPr>
          <w:rFonts w:ascii="Book Antiqua" w:hAnsi="Book Antiqua"/>
        </w:rPr>
        <w:t>Mastboom</w:t>
      </w:r>
      <w:proofErr w:type="spellEnd"/>
      <w:r w:rsidRPr="00355646">
        <w:rPr>
          <w:rFonts w:ascii="Book Antiqua" w:hAnsi="Book Antiqua"/>
        </w:rPr>
        <w:t xml:space="preserve"> WJ. Ossification of abdominal scar tissue: a case series with a translational review on its development. </w:t>
      </w:r>
      <w:r w:rsidRPr="00355646">
        <w:rPr>
          <w:rFonts w:ascii="Book Antiqua" w:hAnsi="Book Antiqua"/>
          <w:i/>
          <w:iCs/>
        </w:rPr>
        <w:t>Hernia</w:t>
      </w:r>
      <w:r w:rsidRPr="00355646">
        <w:rPr>
          <w:rFonts w:ascii="Book Antiqua" w:hAnsi="Book Antiqua"/>
        </w:rPr>
        <w:t xml:space="preserve"> 2014; </w:t>
      </w:r>
      <w:r w:rsidRPr="00355646">
        <w:rPr>
          <w:rFonts w:ascii="Book Antiqua" w:hAnsi="Book Antiqua"/>
          <w:b/>
          <w:bCs/>
        </w:rPr>
        <w:t>18</w:t>
      </w:r>
      <w:r w:rsidRPr="00355646">
        <w:rPr>
          <w:rFonts w:ascii="Book Antiqua" w:hAnsi="Book Antiqua"/>
        </w:rPr>
        <w:t>: 825-830 [PMID: 24668529 DOI: 10.1007/s10029-014-1240-x]</w:t>
      </w:r>
    </w:p>
    <w:p w14:paraId="3C58FFE0"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7 </w:t>
      </w:r>
      <w:r w:rsidRPr="00355646">
        <w:rPr>
          <w:rFonts w:ascii="Book Antiqua" w:hAnsi="Book Antiqua"/>
          <w:b/>
          <w:bCs/>
        </w:rPr>
        <w:t>Ding R</w:t>
      </w:r>
      <w:r w:rsidRPr="00355646">
        <w:rPr>
          <w:rFonts w:ascii="Book Antiqua" w:hAnsi="Book Antiqua"/>
        </w:rPr>
        <w:t xml:space="preserve">, Lu C, Zhao J, He D. Heterotopic ossification after alloplastic temporomandibular joint replacement: a case cohort study. </w:t>
      </w:r>
      <w:r w:rsidRPr="00355646">
        <w:rPr>
          <w:rFonts w:ascii="Book Antiqua" w:hAnsi="Book Antiqua"/>
          <w:i/>
          <w:iCs/>
        </w:rPr>
        <w:t xml:space="preserve">BMC </w:t>
      </w:r>
      <w:proofErr w:type="spellStart"/>
      <w:r w:rsidRPr="00355646">
        <w:rPr>
          <w:rFonts w:ascii="Book Antiqua" w:hAnsi="Book Antiqua"/>
          <w:i/>
          <w:iCs/>
        </w:rPr>
        <w:t>Musculoskelet</w:t>
      </w:r>
      <w:proofErr w:type="spellEnd"/>
      <w:r w:rsidRPr="00355646">
        <w:rPr>
          <w:rFonts w:ascii="Book Antiqua" w:hAnsi="Book Antiqua"/>
          <w:i/>
          <w:iCs/>
        </w:rPr>
        <w:t xml:space="preserve"> </w:t>
      </w:r>
      <w:proofErr w:type="spellStart"/>
      <w:r w:rsidRPr="00355646">
        <w:rPr>
          <w:rFonts w:ascii="Book Antiqua" w:hAnsi="Book Antiqua"/>
          <w:i/>
          <w:iCs/>
        </w:rPr>
        <w:t>Disord</w:t>
      </w:r>
      <w:proofErr w:type="spellEnd"/>
      <w:r w:rsidRPr="00355646">
        <w:rPr>
          <w:rFonts w:ascii="Book Antiqua" w:hAnsi="Book Antiqua"/>
        </w:rPr>
        <w:t xml:space="preserve"> 2022; </w:t>
      </w:r>
      <w:r w:rsidRPr="00355646">
        <w:rPr>
          <w:rFonts w:ascii="Book Antiqua" w:hAnsi="Book Antiqua"/>
          <w:b/>
          <w:bCs/>
        </w:rPr>
        <w:t>23</w:t>
      </w:r>
      <w:r w:rsidRPr="00355646">
        <w:rPr>
          <w:rFonts w:ascii="Book Antiqua" w:hAnsi="Book Antiqua"/>
        </w:rPr>
        <w:t>: 638 [PMID: 35787680 DOI: 10.1186/s12891-022-05582-5]</w:t>
      </w:r>
    </w:p>
    <w:p w14:paraId="3D5D15C8"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8 </w:t>
      </w:r>
      <w:r w:rsidRPr="00355646">
        <w:rPr>
          <w:rFonts w:ascii="Book Antiqua" w:hAnsi="Book Antiqua"/>
          <w:b/>
          <w:bCs/>
        </w:rPr>
        <w:t>Hong SP</w:t>
      </w:r>
      <w:r w:rsidRPr="00355646">
        <w:rPr>
          <w:rFonts w:ascii="Book Antiqua" w:hAnsi="Book Antiqua"/>
        </w:rPr>
        <w:t xml:space="preserve">, Lee JB, Bae CH. Heterotopic Ossification of the Xiphoid Process after Abdominal Surgery for Traumatic Hemoperitoneum. </w:t>
      </w:r>
      <w:r w:rsidRPr="00355646">
        <w:rPr>
          <w:rFonts w:ascii="Book Antiqua" w:hAnsi="Book Antiqua"/>
          <w:i/>
          <w:iCs/>
        </w:rPr>
        <w:t>J Korean Med Sci</w:t>
      </w:r>
      <w:r w:rsidRPr="00355646">
        <w:rPr>
          <w:rFonts w:ascii="Book Antiqua" w:hAnsi="Book Antiqua"/>
        </w:rPr>
        <w:t xml:space="preserve"> 2018; </w:t>
      </w:r>
      <w:r w:rsidRPr="00355646">
        <w:rPr>
          <w:rFonts w:ascii="Book Antiqua" w:hAnsi="Book Antiqua"/>
          <w:b/>
          <w:bCs/>
        </w:rPr>
        <w:t>33</w:t>
      </w:r>
      <w:r w:rsidRPr="00355646">
        <w:rPr>
          <w:rFonts w:ascii="Book Antiqua" w:hAnsi="Book Antiqua"/>
        </w:rPr>
        <w:t>: e62 [PMID: 29359542 DOI: 10.3346/jkms.2018.</w:t>
      </w:r>
      <w:proofErr w:type="gramStart"/>
      <w:r w:rsidRPr="00355646">
        <w:rPr>
          <w:rFonts w:ascii="Book Antiqua" w:hAnsi="Book Antiqua"/>
        </w:rPr>
        <w:t>33.e</w:t>
      </w:r>
      <w:proofErr w:type="gramEnd"/>
      <w:r w:rsidRPr="00355646">
        <w:rPr>
          <w:rFonts w:ascii="Book Antiqua" w:hAnsi="Book Antiqua"/>
        </w:rPr>
        <w:t>62]</w:t>
      </w:r>
    </w:p>
    <w:p w14:paraId="37197897"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9 </w:t>
      </w:r>
      <w:proofErr w:type="spellStart"/>
      <w:r w:rsidRPr="00355646">
        <w:rPr>
          <w:rFonts w:ascii="Book Antiqua" w:hAnsi="Book Antiqua"/>
          <w:b/>
          <w:bCs/>
        </w:rPr>
        <w:t>Tytherleigh</w:t>
      </w:r>
      <w:proofErr w:type="spellEnd"/>
      <w:r w:rsidRPr="00355646">
        <w:rPr>
          <w:rFonts w:ascii="Book Antiqua" w:hAnsi="Book Antiqua"/>
          <w:b/>
          <w:bCs/>
        </w:rPr>
        <w:t>-Strong G</w:t>
      </w:r>
      <w:r w:rsidRPr="00355646">
        <w:rPr>
          <w:rFonts w:ascii="Book Antiqua" w:hAnsi="Book Antiqua"/>
        </w:rPr>
        <w:t xml:space="preserve">, Gill J, Sforza G, Copeland S, Levy O. </w:t>
      </w:r>
      <w:proofErr w:type="spellStart"/>
      <w:r w:rsidRPr="00355646">
        <w:rPr>
          <w:rFonts w:ascii="Book Antiqua" w:hAnsi="Book Antiqua"/>
        </w:rPr>
        <w:t>Reossification</w:t>
      </w:r>
      <w:proofErr w:type="spellEnd"/>
      <w:r w:rsidRPr="00355646">
        <w:rPr>
          <w:rFonts w:ascii="Book Antiqua" w:hAnsi="Book Antiqua"/>
        </w:rPr>
        <w:t xml:space="preserve"> and fusion across the acromioclavicular joint after arthroscopic acromioplasty and distal clavicle resection. </w:t>
      </w:r>
      <w:r w:rsidRPr="00355646">
        <w:rPr>
          <w:rFonts w:ascii="Book Antiqua" w:hAnsi="Book Antiqua"/>
          <w:i/>
          <w:iCs/>
        </w:rPr>
        <w:t>Arthroscopy</w:t>
      </w:r>
      <w:r w:rsidRPr="00355646">
        <w:rPr>
          <w:rFonts w:ascii="Book Antiqua" w:hAnsi="Book Antiqua"/>
        </w:rPr>
        <w:t xml:space="preserve"> 2001; </w:t>
      </w:r>
      <w:r w:rsidRPr="00355646">
        <w:rPr>
          <w:rFonts w:ascii="Book Antiqua" w:hAnsi="Book Antiqua"/>
          <w:b/>
          <w:bCs/>
        </w:rPr>
        <w:t>17</w:t>
      </w:r>
      <w:r w:rsidRPr="00355646">
        <w:rPr>
          <w:rFonts w:ascii="Book Antiqua" w:hAnsi="Book Antiqua"/>
        </w:rPr>
        <w:t>: E36 [PMID: 11694940 DOI: 10.1053/jars.2001.26861]</w:t>
      </w:r>
    </w:p>
    <w:p w14:paraId="67341803"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10 </w:t>
      </w:r>
      <w:r w:rsidRPr="00355646">
        <w:rPr>
          <w:rFonts w:ascii="Book Antiqua" w:hAnsi="Book Antiqua"/>
          <w:b/>
          <w:bCs/>
        </w:rPr>
        <w:t>Jensen AW</w:t>
      </w:r>
      <w:r w:rsidRPr="00355646">
        <w:rPr>
          <w:rFonts w:ascii="Book Antiqua" w:hAnsi="Book Antiqua"/>
        </w:rPr>
        <w:t xml:space="preserve">, </w:t>
      </w:r>
      <w:proofErr w:type="spellStart"/>
      <w:r w:rsidRPr="00355646">
        <w:rPr>
          <w:rFonts w:ascii="Book Antiqua" w:hAnsi="Book Antiqua"/>
        </w:rPr>
        <w:t>Viozzi</w:t>
      </w:r>
      <w:proofErr w:type="spellEnd"/>
      <w:r w:rsidRPr="00355646">
        <w:rPr>
          <w:rFonts w:ascii="Book Antiqua" w:hAnsi="Book Antiqua"/>
        </w:rPr>
        <w:t xml:space="preserve"> CF, Foote RL. Long-term results of radiation prophylaxis for heterotopic ossification in the temporomandibular joint. </w:t>
      </w:r>
      <w:r w:rsidRPr="00355646">
        <w:rPr>
          <w:rFonts w:ascii="Book Antiqua" w:hAnsi="Book Antiqua"/>
          <w:i/>
          <w:iCs/>
        </w:rPr>
        <w:t xml:space="preserve">J Oral </w:t>
      </w:r>
      <w:proofErr w:type="spellStart"/>
      <w:r w:rsidRPr="00355646">
        <w:rPr>
          <w:rFonts w:ascii="Book Antiqua" w:hAnsi="Book Antiqua"/>
          <w:i/>
          <w:iCs/>
        </w:rPr>
        <w:t>Maxillofac</w:t>
      </w:r>
      <w:proofErr w:type="spellEnd"/>
      <w:r w:rsidRPr="00355646">
        <w:rPr>
          <w:rFonts w:ascii="Book Antiqua" w:hAnsi="Book Antiqua"/>
          <w:i/>
          <w:iCs/>
        </w:rPr>
        <w:t xml:space="preserve"> Surg</w:t>
      </w:r>
      <w:r w:rsidRPr="00355646">
        <w:rPr>
          <w:rFonts w:ascii="Book Antiqua" w:hAnsi="Book Antiqua"/>
        </w:rPr>
        <w:t xml:space="preserve"> 2010; </w:t>
      </w:r>
      <w:r w:rsidRPr="00355646">
        <w:rPr>
          <w:rFonts w:ascii="Book Antiqua" w:hAnsi="Book Antiqua"/>
          <w:b/>
          <w:bCs/>
        </w:rPr>
        <w:t>68</w:t>
      </w:r>
      <w:r w:rsidRPr="00355646">
        <w:rPr>
          <w:rFonts w:ascii="Book Antiqua" w:hAnsi="Book Antiqua"/>
        </w:rPr>
        <w:t>: 1100-1105 [PMID: 20185221 DOI: 10.1016/j.joms.2009.12.018]</w:t>
      </w:r>
    </w:p>
    <w:p w14:paraId="548A1F27"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11 </w:t>
      </w:r>
      <w:r w:rsidRPr="00355646">
        <w:rPr>
          <w:rFonts w:ascii="Book Antiqua" w:hAnsi="Book Antiqua"/>
          <w:b/>
          <w:bCs/>
        </w:rPr>
        <w:t>Naylor BH</w:t>
      </w:r>
      <w:r w:rsidRPr="00355646">
        <w:rPr>
          <w:rFonts w:ascii="Book Antiqua" w:hAnsi="Book Antiqua"/>
        </w:rPr>
        <w:t xml:space="preserve">, Iturriaga CR, Bisen YB, Caid MJ, Reinhardt KR. Heterotopic Ossification Following Direct Anterior Total Hip Arthroplasty </w:t>
      </w:r>
      <w:proofErr w:type="gramStart"/>
      <w:r w:rsidRPr="00355646">
        <w:rPr>
          <w:rFonts w:ascii="Book Antiqua" w:hAnsi="Book Antiqua"/>
        </w:rPr>
        <w:t>With</w:t>
      </w:r>
      <w:proofErr w:type="gramEnd"/>
      <w:r w:rsidRPr="00355646">
        <w:rPr>
          <w:rFonts w:ascii="Book Antiqua" w:hAnsi="Book Antiqua"/>
        </w:rPr>
        <w:t xml:space="preserve"> and Without Postoperative Analgesic Nonsteroidal Anti-inflammatories. </w:t>
      </w:r>
      <w:r w:rsidRPr="00355646">
        <w:rPr>
          <w:rFonts w:ascii="Book Antiqua" w:hAnsi="Book Antiqua"/>
          <w:i/>
          <w:iCs/>
        </w:rPr>
        <w:t>J Arthroplasty</w:t>
      </w:r>
      <w:r w:rsidRPr="00355646">
        <w:rPr>
          <w:rFonts w:ascii="Book Antiqua" w:hAnsi="Book Antiqua"/>
        </w:rPr>
        <w:t xml:space="preserve"> 2021; </w:t>
      </w:r>
      <w:r w:rsidRPr="00355646">
        <w:rPr>
          <w:rFonts w:ascii="Book Antiqua" w:hAnsi="Book Antiqua"/>
          <w:b/>
          <w:bCs/>
        </w:rPr>
        <w:t>36</w:t>
      </w:r>
      <w:r w:rsidRPr="00355646">
        <w:rPr>
          <w:rFonts w:ascii="Book Antiqua" w:hAnsi="Book Antiqua"/>
        </w:rPr>
        <w:t>: 3471-3477 [PMID: 34130870 DOI: 10.1016/j.arth.2021.05.017]</w:t>
      </w:r>
    </w:p>
    <w:p w14:paraId="51DA02DE"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12 </w:t>
      </w:r>
      <w:r w:rsidRPr="00355646">
        <w:rPr>
          <w:rFonts w:ascii="Book Antiqua" w:hAnsi="Book Antiqua"/>
          <w:b/>
          <w:bCs/>
        </w:rPr>
        <w:t>Kamineni S</w:t>
      </w:r>
      <w:r w:rsidRPr="00355646">
        <w:rPr>
          <w:rFonts w:ascii="Book Antiqua" w:hAnsi="Book Antiqua"/>
        </w:rPr>
        <w:t xml:space="preserve">, Maritz NG, Morrey BF. Proximal radial resection for posttraumatic radioulnar synostosis: a new technique to improve forearm rotation. </w:t>
      </w:r>
      <w:r w:rsidRPr="00355646">
        <w:rPr>
          <w:rFonts w:ascii="Book Antiqua" w:hAnsi="Book Antiqua"/>
          <w:i/>
          <w:iCs/>
        </w:rPr>
        <w:t>J Bone Joint Surg Am</w:t>
      </w:r>
      <w:r w:rsidRPr="00355646">
        <w:rPr>
          <w:rFonts w:ascii="Book Antiqua" w:hAnsi="Book Antiqua"/>
        </w:rPr>
        <w:t xml:space="preserve"> 2002; </w:t>
      </w:r>
      <w:r w:rsidRPr="00355646">
        <w:rPr>
          <w:rFonts w:ascii="Book Antiqua" w:hAnsi="Book Antiqua"/>
          <w:b/>
          <w:bCs/>
        </w:rPr>
        <w:t>84</w:t>
      </w:r>
      <w:r w:rsidRPr="00355646">
        <w:rPr>
          <w:rFonts w:ascii="Book Antiqua" w:hAnsi="Book Antiqua"/>
        </w:rPr>
        <w:t>: 745-751 [PMID: 12004015 DOI: 10.2106/00004623-200205000-00007]</w:t>
      </w:r>
    </w:p>
    <w:p w14:paraId="33ACE779"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13 </w:t>
      </w:r>
      <w:r w:rsidRPr="00355646">
        <w:rPr>
          <w:rFonts w:ascii="Book Antiqua" w:hAnsi="Book Antiqua"/>
          <w:b/>
          <w:bCs/>
        </w:rPr>
        <w:t>Schonauer C</w:t>
      </w:r>
      <w:r w:rsidRPr="00355646">
        <w:rPr>
          <w:rFonts w:ascii="Book Antiqua" w:hAnsi="Book Antiqua"/>
        </w:rPr>
        <w:t xml:space="preserve">, Tessitore E, Barbagallo G, Albanese V, </w:t>
      </w:r>
      <w:proofErr w:type="spellStart"/>
      <w:r w:rsidRPr="00355646">
        <w:rPr>
          <w:rFonts w:ascii="Book Antiqua" w:hAnsi="Book Antiqua"/>
        </w:rPr>
        <w:t>Moraci</w:t>
      </w:r>
      <w:proofErr w:type="spellEnd"/>
      <w:r w:rsidRPr="00355646">
        <w:rPr>
          <w:rFonts w:ascii="Book Antiqua" w:hAnsi="Book Antiqua"/>
        </w:rPr>
        <w:t xml:space="preserve"> A. The use of local agents: bone wax, gelatin, collagen, oxidized cellulose. </w:t>
      </w:r>
      <w:proofErr w:type="spellStart"/>
      <w:r w:rsidRPr="00355646">
        <w:rPr>
          <w:rFonts w:ascii="Book Antiqua" w:hAnsi="Book Antiqua"/>
          <w:i/>
          <w:iCs/>
        </w:rPr>
        <w:t>Eur</w:t>
      </w:r>
      <w:proofErr w:type="spellEnd"/>
      <w:r w:rsidRPr="00355646">
        <w:rPr>
          <w:rFonts w:ascii="Book Antiqua" w:hAnsi="Book Antiqua"/>
          <w:i/>
          <w:iCs/>
        </w:rPr>
        <w:t xml:space="preserve"> Spine J</w:t>
      </w:r>
      <w:r w:rsidRPr="00355646">
        <w:rPr>
          <w:rFonts w:ascii="Book Antiqua" w:hAnsi="Book Antiqua"/>
        </w:rPr>
        <w:t xml:space="preserve"> 2004; </w:t>
      </w:r>
      <w:r w:rsidRPr="00355646">
        <w:rPr>
          <w:rFonts w:ascii="Book Antiqua" w:hAnsi="Book Antiqua"/>
          <w:b/>
          <w:bCs/>
        </w:rPr>
        <w:t xml:space="preserve">13 </w:t>
      </w:r>
      <w:r w:rsidRPr="00355646">
        <w:rPr>
          <w:rFonts w:ascii="Book Antiqua" w:hAnsi="Book Antiqua"/>
        </w:rPr>
        <w:t>Suppl 1: S89-S96 [PMID: 15221572 DOI: 10.1007/s00586-004-0727-z]</w:t>
      </w:r>
    </w:p>
    <w:p w14:paraId="0B38EB38" w14:textId="77777777" w:rsidR="00913D50" w:rsidRPr="00355646" w:rsidRDefault="00913D50" w:rsidP="00355646">
      <w:pPr>
        <w:spacing w:line="360" w:lineRule="auto"/>
        <w:jc w:val="both"/>
        <w:rPr>
          <w:rFonts w:ascii="Book Antiqua" w:hAnsi="Book Antiqua"/>
        </w:rPr>
      </w:pPr>
      <w:r w:rsidRPr="00355646">
        <w:rPr>
          <w:rFonts w:ascii="Book Antiqua" w:hAnsi="Book Antiqua"/>
        </w:rPr>
        <w:lastRenderedPageBreak/>
        <w:t xml:space="preserve">14 </w:t>
      </w:r>
      <w:r w:rsidRPr="00355646">
        <w:rPr>
          <w:rFonts w:ascii="Book Antiqua" w:hAnsi="Book Antiqua"/>
          <w:b/>
          <w:bCs/>
        </w:rPr>
        <w:t>Krueger A</w:t>
      </w:r>
      <w:r w:rsidRPr="00355646">
        <w:rPr>
          <w:rFonts w:ascii="Book Antiqua" w:hAnsi="Book Antiqua"/>
        </w:rPr>
        <w:t xml:space="preserve">, Leunig M, </w:t>
      </w:r>
      <w:proofErr w:type="spellStart"/>
      <w:r w:rsidRPr="00355646">
        <w:rPr>
          <w:rFonts w:ascii="Book Antiqua" w:hAnsi="Book Antiqua"/>
        </w:rPr>
        <w:t>Siebenrock</w:t>
      </w:r>
      <w:proofErr w:type="spellEnd"/>
      <w:r w:rsidRPr="00355646">
        <w:rPr>
          <w:rFonts w:ascii="Book Antiqua" w:hAnsi="Book Antiqua"/>
        </w:rPr>
        <w:t xml:space="preserve"> KA, Beck M. Hip arthroscopy after previous surgical hip dislocation for </w:t>
      </w:r>
      <w:proofErr w:type="spellStart"/>
      <w:r w:rsidRPr="00355646">
        <w:rPr>
          <w:rFonts w:ascii="Book Antiqua" w:hAnsi="Book Antiqua"/>
        </w:rPr>
        <w:t>femoroacetabular</w:t>
      </w:r>
      <w:proofErr w:type="spellEnd"/>
      <w:r w:rsidRPr="00355646">
        <w:rPr>
          <w:rFonts w:ascii="Book Antiqua" w:hAnsi="Book Antiqua"/>
        </w:rPr>
        <w:t xml:space="preserve"> impingement. </w:t>
      </w:r>
      <w:r w:rsidRPr="00355646">
        <w:rPr>
          <w:rFonts w:ascii="Book Antiqua" w:hAnsi="Book Antiqua"/>
          <w:i/>
          <w:iCs/>
        </w:rPr>
        <w:t>Arthroscopy</w:t>
      </w:r>
      <w:r w:rsidRPr="00355646">
        <w:rPr>
          <w:rFonts w:ascii="Book Antiqua" w:hAnsi="Book Antiqua"/>
        </w:rPr>
        <w:t xml:space="preserve"> 2007; </w:t>
      </w:r>
      <w:r w:rsidRPr="00355646">
        <w:rPr>
          <w:rFonts w:ascii="Book Antiqua" w:hAnsi="Book Antiqua"/>
          <w:b/>
          <w:bCs/>
        </w:rPr>
        <w:t>23</w:t>
      </w:r>
      <w:r w:rsidRPr="00355646">
        <w:rPr>
          <w:rFonts w:ascii="Book Antiqua" w:hAnsi="Book Antiqua"/>
        </w:rPr>
        <w:t>: 1285-1289.e1 [PMID: 18063171 DOI: 10.1016/j.arthro.2007.07.002]</w:t>
      </w:r>
    </w:p>
    <w:p w14:paraId="21A48A27"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15 </w:t>
      </w:r>
      <w:r w:rsidRPr="00355646">
        <w:rPr>
          <w:rFonts w:ascii="Book Antiqua" w:hAnsi="Book Antiqua"/>
          <w:b/>
          <w:bCs/>
        </w:rPr>
        <w:t>Solomon LB</w:t>
      </w:r>
      <w:r w:rsidRPr="00355646">
        <w:rPr>
          <w:rFonts w:ascii="Book Antiqua" w:hAnsi="Book Antiqua"/>
        </w:rPr>
        <w:t xml:space="preserve">, Guevara C, </w:t>
      </w:r>
      <w:proofErr w:type="spellStart"/>
      <w:r w:rsidRPr="00355646">
        <w:rPr>
          <w:rFonts w:ascii="Book Antiqua" w:hAnsi="Book Antiqua"/>
        </w:rPr>
        <w:t>Büchler</w:t>
      </w:r>
      <w:proofErr w:type="spellEnd"/>
      <w:r w:rsidRPr="00355646">
        <w:rPr>
          <w:rFonts w:ascii="Book Antiqua" w:hAnsi="Book Antiqua"/>
        </w:rPr>
        <w:t xml:space="preserve"> L, Howie DW, Byard RW, Beck M. Does bone wax induce a chronic inflammatory articular reaction? </w:t>
      </w:r>
      <w:r w:rsidRPr="00355646">
        <w:rPr>
          <w:rFonts w:ascii="Book Antiqua" w:hAnsi="Book Antiqua"/>
          <w:i/>
          <w:iCs/>
        </w:rPr>
        <w:t xml:space="preserve">Clin </w:t>
      </w:r>
      <w:proofErr w:type="spellStart"/>
      <w:r w:rsidRPr="00355646">
        <w:rPr>
          <w:rFonts w:ascii="Book Antiqua" w:hAnsi="Book Antiqua"/>
          <w:i/>
          <w:iCs/>
        </w:rPr>
        <w:t>Orthop</w:t>
      </w:r>
      <w:proofErr w:type="spellEnd"/>
      <w:r w:rsidRPr="00355646">
        <w:rPr>
          <w:rFonts w:ascii="Book Antiqua" w:hAnsi="Book Antiqua"/>
          <w:i/>
          <w:iCs/>
        </w:rPr>
        <w:t xml:space="preserve"> </w:t>
      </w:r>
      <w:proofErr w:type="spellStart"/>
      <w:r w:rsidRPr="00355646">
        <w:rPr>
          <w:rFonts w:ascii="Book Antiqua" w:hAnsi="Book Antiqua"/>
          <w:i/>
          <w:iCs/>
        </w:rPr>
        <w:t>Relat</w:t>
      </w:r>
      <w:proofErr w:type="spellEnd"/>
      <w:r w:rsidRPr="00355646">
        <w:rPr>
          <w:rFonts w:ascii="Book Antiqua" w:hAnsi="Book Antiqua"/>
          <w:i/>
          <w:iCs/>
        </w:rPr>
        <w:t xml:space="preserve"> Res</w:t>
      </w:r>
      <w:r w:rsidRPr="00355646">
        <w:rPr>
          <w:rFonts w:ascii="Book Antiqua" w:hAnsi="Book Antiqua"/>
        </w:rPr>
        <w:t xml:space="preserve"> 2012; </w:t>
      </w:r>
      <w:r w:rsidRPr="00355646">
        <w:rPr>
          <w:rFonts w:ascii="Book Antiqua" w:hAnsi="Book Antiqua"/>
          <w:b/>
          <w:bCs/>
        </w:rPr>
        <w:t>470</w:t>
      </w:r>
      <w:r w:rsidRPr="00355646">
        <w:rPr>
          <w:rFonts w:ascii="Book Antiqua" w:hAnsi="Book Antiqua"/>
        </w:rPr>
        <w:t>: 3207-3212 [PMID: 22760602 DOI: 10.1007/s11999-012-2457-6]</w:t>
      </w:r>
    </w:p>
    <w:p w14:paraId="4054C698"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16 </w:t>
      </w:r>
      <w:r w:rsidRPr="00355646">
        <w:rPr>
          <w:rFonts w:ascii="Book Antiqua" w:hAnsi="Book Antiqua"/>
          <w:b/>
          <w:bCs/>
        </w:rPr>
        <w:t>Dennis K</w:t>
      </w:r>
      <w:r w:rsidRPr="00355646">
        <w:rPr>
          <w:rFonts w:ascii="Book Antiqua" w:hAnsi="Book Antiqua"/>
        </w:rPr>
        <w:t xml:space="preserve">, Poon M, Chow E. </w:t>
      </w:r>
      <w:proofErr w:type="gramStart"/>
      <w:r w:rsidRPr="00355646">
        <w:rPr>
          <w:rFonts w:ascii="Book Antiqua" w:hAnsi="Book Antiqua"/>
        </w:rPr>
        <w:t>Nausea</w:t>
      </w:r>
      <w:proofErr w:type="gramEnd"/>
      <w:r w:rsidRPr="00355646">
        <w:rPr>
          <w:rFonts w:ascii="Book Antiqua" w:hAnsi="Book Antiqua"/>
        </w:rPr>
        <w:t xml:space="preserve"> and vomiting induced by gastrointestinal radiation therapy: current status and future directions. </w:t>
      </w:r>
      <w:proofErr w:type="spellStart"/>
      <w:r w:rsidRPr="00355646">
        <w:rPr>
          <w:rFonts w:ascii="Book Antiqua" w:hAnsi="Book Antiqua"/>
          <w:i/>
          <w:iCs/>
        </w:rPr>
        <w:t>Curr</w:t>
      </w:r>
      <w:proofErr w:type="spellEnd"/>
      <w:r w:rsidRPr="00355646">
        <w:rPr>
          <w:rFonts w:ascii="Book Antiqua" w:hAnsi="Book Antiqua"/>
          <w:i/>
          <w:iCs/>
        </w:rPr>
        <w:t xml:space="preserve"> </w:t>
      </w:r>
      <w:proofErr w:type="spellStart"/>
      <w:r w:rsidRPr="00355646">
        <w:rPr>
          <w:rFonts w:ascii="Book Antiqua" w:hAnsi="Book Antiqua"/>
          <w:i/>
          <w:iCs/>
        </w:rPr>
        <w:t>Opin</w:t>
      </w:r>
      <w:proofErr w:type="spellEnd"/>
      <w:r w:rsidRPr="00355646">
        <w:rPr>
          <w:rFonts w:ascii="Book Antiqua" w:hAnsi="Book Antiqua"/>
          <w:i/>
          <w:iCs/>
        </w:rPr>
        <w:t xml:space="preserve"> Support </w:t>
      </w:r>
      <w:proofErr w:type="spellStart"/>
      <w:r w:rsidRPr="00355646">
        <w:rPr>
          <w:rFonts w:ascii="Book Antiqua" w:hAnsi="Book Antiqua"/>
          <w:i/>
          <w:iCs/>
        </w:rPr>
        <w:t>Palliat</w:t>
      </w:r>
      <w:proofErr w:type="spellEnd"/>
      <w:r w:rsidRPr="00355646">
        <w:rPr>
          <w:rFonts w:ascii="Book Antiqua" w:hAnsi="Book Antiqua"/>
          <w:i/>
          <w:iCs/>
        </w:rPr>
        <w:t xml:space="preserve"> Care</w:t>
      </w:r>
      <w:r w:rsidRPr="00355646">
        <w:rPr>
          <w:rFonts w:ascii="Book Antiqua" w:hAnsi="Book Antiqua"/>
        </w:rPr>
        <w:t xml:space="preserve"> 2015; </w:t>
      </w:r>
      <w:r w:rsidRPr="00355646">
        <w:rPr>
          <w:rFonts w:ascii="Book Antiqua" w:hAnsi="Book Antiqua"/>
          <w:b/>
          <w:bCs/>
        </w:rPr>
        <w:t>9</w:t>
      </w:r>
      <w:r w:rsidRPr="00355646">
        <w:rPr>
          <w:rFonts w:ascii="Book Antiqua" w:hAnsi="Book Antiqua"/>
        </w:rPr>
        <w:t>: 182-188 [PMID: 25872120 DOI: 10.1097/SPC.0000000000000130]</w:t>
      </w:r>
    </w:p>
    <w:p w14:paraId="0F53998D"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17 </w:t>
      </w:r>
      <w:r w:rsidRPr="00355646">
        <w:rPr>
          <w:rFonts w:ascii="Book Antiqua" w:hAnsi="Book Antiqua"/>
          <w:b/>
          <w:bCs/>
        </w:rPr>
        <w:t>Koch M</w:t>
      </w:r>
      <w:r w:rsidRPr="00355646">
        <w:rPr>
          <w:rFonts w:ascii="Book Antiqua" w:hAnsi="Book Antiqua"/>
        </w:rPr>
        <w:t xml:space="preserve">, Dezi A, Ferrario F, Capurso I. Prevention of nonsteroidal anti-inflammatory drug-induced gastrointestinal mucosal injury. A meta-analysis of randomized controlled clinical trials. </w:t>
      </w:r>
      <w:r w:rsidRPr="00355646">
        <w:rPr>
          <w:rFonts w:ascii="Book Antiqua" w:hAnsi="Book Antiqua"/>
          <w:i/>
          <w:iCs/>
        </w:rPr>
        <w:t>Arch Intern Med</w:t>
      </w:r>
      <w:r w:rsidRPr="00355646">
        <w:rPr>
          <w:rFonts w:ascii="Book Antiqua" w:hAnsi="Book Antiqua"/>
        </w:rPr>
        <w:t xml:space="preserve"> 1996; </w:t>
      </w:r>
      <w:r w:rsidRPr="00355646">
        <w:rPr>
          <w:rFonts w:ascii="Book Antiqua" w:hAnsi="Book Antiqua"/>
          <w:b/>
          <w:bCs/>
        </w:rPr>
        <w:t>156</w:t>
      </w:r>
      <w:r w:rsidRPr="00355646">
        <w:rPr>
          <w:rFonts w:ascii="Book Antiqua" w:hAnsi="Book Antiqua"/>
        </w:rPr>
        <w:t>: 2321-2332 [PMID: 8911239]</w:t>
      </w:r>
    </w:p>
    <w:p w14:paraId="15367205"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18 </w:t>
      </w:r>
      <w:r w:rsidRPr="00355646">
        <w:rPr>
          <w:rFonts w:ascii="Book Antiqua" w:hAnsi="Book Antiqua"/>
          <w:b/>
          <w:bCs/>
        </w:rPr>
        <w:t>Samrat R</w:t>
      </w:r>
      <w:r w:rsidRPr="00355646">
        <w:rPr>
          <w:rFonts w:ascii="Book Antiqua" w:hAnsi="Book Antiqua"/>
        </w:rPr>
        <w:t xml:space="preserve">, Naimish M, Samiran N. Post-Gastrectomy Complications - An Overview. </w:t>
      </w:r>
      <w:proofErr w:type="spellStart"/>
      <w:r w:rsidRPr="00355646">
        <w:rPr>
          <w:rFonts w:ascii="Book Antiqua" w:hAnsi="Book Antiqua"/>
          <w:i/>
          <w:iCs/>
        </w:rPr>
        <w:t>Chirurgia</w:t>
      </w:r>
      <w:proofErr w:type="spellEnd"/>
      <w:r w:rsidRPr="00355646">
        <w:rPr>
          <w:rFonts w:ascii="Book Antiqua" w:hAnsi="Book Antiqua"/>
          <w:i/>
          <w:iCs/>
        </w:rPr>
        <w:t xml:space="preserve"> (Bucur)</w:t>
      </w:r>
      <w:r w:rsidRPr="00355646">
        <w:rPr>
          <w:rFonts w:ascii="Book Antiqua" w:hAnsi="Book Antiqua"/>
        </w:rPr>
        <w:t xml:space="preserve"> 2020; </w:t>
      </w:r>
      <w:r w:rsidRPr="00355646">
        <w:rPr>
          <w:rFonts w:ascii="Book Antiqua" w:hAnsi="Book Antiqua"/>
          <w:b/>
          <w:bCs/>
        </w:rPr>
        <w:t>115</w:t>
      </w:r>
      <w:r w:rsidRPr="00355646">
        <w:rPr>
          <w:rFonts w:ascii="Book Antiqua" w:hAnsi="Book Antiqua"/>
        </w:rPr>
        <w:t>: 423-431 [PMID: 32876015 DOI: 10.21614/chirurgia.115.4.423]</w:t>
      </w:r>
    </w:p>
    <w:p w14:paraId="64C0DB58" w14:textId="77777777" w:rsidR="00913D50" w:rsidRPr="00355646" w:rsidRDefault="00913D50" w:rsidP="00355646">
      <w:pPr>
        <w:spacing w:line="360" w:lineRule="auto"/>
        <w:jc w:val="both"/>
        <w:rPr>
          <w:rFonts w:ascii="Book Antiqua" w:hAnsi="Book Antiqua"/>
        </w:rPr>
      </w:pPr>
      <w:r w:rsidRPr="00355646">
        <w:rPr>
          <w:rFonts w:ascii="Book Antiqua" w:hAnsi="Book Antiqua"/>
        </w:rPr>
        <w:t xml:space="preserve">19 </w:t>
      </w:r>
      <w:r w:rsidRPr="00355646">
        <w:rPr>
          <w:rFonts w:ascii="Book Antiqua" w:hAnsi="Book Antiqua"/>
          <w:b/>
          <w:bCs/>
        </w:rPr>
        <w:t>Alegre M</w:t>
      </w:r>
      <w:r w:rsidRPr="00355646">
        <w:rPr>
          <w:rFonts w:ascii="Book Antiqua" w:hAnsi="Book Antiqua"/>
        </w:rPr>
        <w:t xml:space="preserve">, </w:t>
      </w:r>
      <w:proofErr w:type="spellStart"/>
      <w:r w:rsidRPr="00355646">
        <w:rPr>
          <w:rFonts w:ascii="Book Antiqua" w:hAnsi="Book Antiqua"/>
        </w:rPr>
        <w:t>Garcés</w:t>
      </w:r>
      <w:proofErr w:type="spellEnd"/>
      <w:r w:rsidRPr="00355646">
        <w:rPr>
          <w:rFonts w:ascii="Book Antiqua" w:hAnsi="Book Antiqua"/>
        </w:rPr>
        <w:t xml:space="preserve"> JR, Puig L. Bone wax in dermatologic surgery. </w:t>
      </w:r>
      <w:proofErr w:type="spellStart"/>
      <w:r w:rsidRPr="00355646">
        <w:rPr>
          <w:rFonts w:ascii="Book Antiqua" w:hAnsi="Book Antiqua"/>
          <w:i/>
          <w:iCs/>
        </w:rPr>
        <w:t>Actas</w:t>
      </w:r>
      <w:proofErr w:type="spellEnd"/>
      <w:r w:rsidRPr="00355646">
        <w:rPr>
          <w:rFonts w:ascii="Book Antiqua" w:hAnsi="Book Antiqua"/>
          <w:i/>
          <w:iCs/>
        </w:rPr>
        <w:t xml:space="preserve"> </w:t>
      </w:r>
      <w:proofErr w:type="spellStart"/>
      <w:r w:rsidRPr="00355646">
        <w:rPr>
          <w:rFonts w:ascii="Book Antiqua" w:hAnsi="Book Antiqua"/>
          <w:i/>
          <w:iCs/>
        </w:rPr>
        <w:t>Dermosifiliogr</w:t>
      </w:r>
      <w:proofErr w:type="spellEnd"/>
      <w:r w:rsidRPr="00355646">
        <w:rPr>
          <w:rFonts w:ascii="Book Antiqua" w:hAnsi="Book Antiqua"/>
        </w:rPr>
        <w:t xml:space="preserve"> 2013; </w:t>
      </w:r>
      <w:r w:rsidRPr="00355646">
        <w:rPr>
          <w:rFonts w:ascii="Book Antiqua" w:hAnsi="Book Antiqua"/>
          <w:b/>
          <w:bCs/>
        </w:rPr>
        <w:t>104</w:t>
      </w:r>
      <w:r w:rsidRPr="00355646">
        <w:rPr>
          <w:rFonts w:ascii="Book Antiqua" w:hAnsi="Book Antiqua"/>
        </w:rPr>
        <w:t>: 299-303 [PMID: 23582299 DOI: 10.1016/j.adengl.2013.03.001]</w:t>
      </w:r>
    </w:p>
    <w:p w14:paraId="0A36AD66" w14:textId="3E87C076" w:rsidR="00A77B3E" w:rsidRPr="00355646" w:rsidRDefault="00A77B3E" w:rsidP="00355646">
      <w:pPr>
        <w:spacing w:line="360" w:lineRule="auto"/>
        <w:jc w:val="both"/>
        <w:rPr>
          <w:rFonts w:ascii="Book Antiqua" w:hAnsi="Book Antiqua"/>
        </w:rPr>
      </w:pPr>
    </w:p>
    <w:p w14:paraId="6EA6D47B" w14:textId="77777777" w:rsidR="00A77B3E" w:rsidRPr="00355646" w:rsidRDefault="00A77B3E" w:rsidP="00355646">
      <w:pPr>
        <w:spacing w:line="360" w:lineRule="auto"/>
        <w:jc w:val="both"/>
        <w:rPr>
          <w:rFonts w:ascii="Book Antiqua" w:hAnsi="Book Antiqua"/>
        </w:rPr>
        <w:sectPr w:rsidR="00A77B3E" w:rsidRPr="00355646">
          <w:pgSz w:w="12240" w:h="15840"/>
          <w:pgMar w:top="1440" w:right="1440" w:bottom="1440" w:left="1440" w:header="720" w:footer="720" w:gutter="0"/>
          <w:cols w:space="720"/>
          <w:docGrid w:linePitch="360"/>
        </w:sectPr>
      </w:pPr>
    </w:p>
    <w:p w14:paraId="113255E4"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lastRenderedPageBreak/>
        <w:t>Footnotes</w:t>
      </w:r>
    </w:p>
    <w:p w14:paraId="5315D22F"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rPr>
        <w:t xml:space="preserve">Informed consent statement: </w:t>
      </w:r>
      <w:r w:rsidRPr="00355646">
        <w:rPr>
          <w:rFonts w:ascii="Book Antiqua" w:eastAsia="Book Antiqua" w:hAnsi="Book Antiqua" w:cs="Book Antiqua"/>
        </w:rPr>
        <w:t>The patient provided informed written consent prior to study enrollment.</w:t>
      </w:r>
    </w:p>
    <w:p w14:paraId="072D446C" w14:textId="77777777" w:rsidR="00A77B3E" w:rsidRPr="00355646" w:rsidRDefault="00A77B3E" w:rsidP="00355646">
      <w:pPr>
        <w:spacing w:line="360" w:lineRule="auto"/>
        <w:jc w:val="both"/>
        <w:rPr>
          <w:rFonts w:ascii="Book Antiqua" w:hAnsi="Book Antiqua"/>
        </w:rPr>
      </w:pPr>
    </w:p>
    <w:p w14:paraId="6EA69390"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rPr>
        <w:t xml:space="preserve">Conflict-of-interest statement: </w:t>
      </w:r>
      <w:r w:rsidRPr="00355646">
        <w:rPr>
          <w:rFonts w:ascii="Book Antiqua" w:eastAsia="Book Antiqua" w:hAnsi="Book Antiqua" w:cs="Book Antiqua"/>
          <w:color w:val="000000"/>
        </w:rPr>
        <w:t>All the authors report no relevant conflicts of interest for this article.</w:t>
      </w:r>
    </w:p>
    <w:p w14:paraId="0777DB39" w14:textId="77777777" w:rsidR="00A77B3E" w:rsidRPr="00355646" w:rsidRDefault="00A77B3E" w:rsidP="00355646">
      <w:pPr>
        <w:spacing w:line="360" w:lineRule="auto"/>
        <w:jc w:val="both"/>
        <w:rPr>
          <w:rFonts w:ascii="Book Antiqua" w:hAnsi="Book Antiqua"/>
        </w:rPr>
      </w:pPr>
    </w:p>
    <w:p w14:paraId="1C21E05E"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rPr>
        <w:t xml:space="preserve">CARE Checklist (2016) statement: </w:t>
      </w:r>
      <w:r w:rsidRPr="00355646">
        <w:rPr>
          <w:rFonts w:ascii="Book Antiqua" w:eastAsia="Book Antiqua" w:hAnsi="Book Antiqua" w:cs="Book Antiqua"/>
          <w:color w:val="000000"/>
        </w:rPr>
        <w:t>The authors have read the CARE Checklist (2016), and the manuscript was prepared and revised according to the CARE Checklist (2016).</w:t>
      </w:r>
    </w:p>
    <w:p w14:paraId="5AA934A3" w14:textId="77777777" w:rsidR="00A77B3E" w:rsidRPr="00355646" w:rsidRDefault="00A77B3E" w:rsidP="00355646">
      <w:pPr>
        <w:spacing w:line="360" w:lineRule="auto"/>
        <w:jc w:val="both"/>
        <w:rPr>
          <w:rFonts w:ascii="Book Antiqua" w:hAnsi="Book Antiqua"/>
        </w:rPr>
      </w:pPr>
    </w:p>
    <w:p w14:paraId="28553DCA"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rPr>
        <w:t xml:space="preserve">Open-Access: </w:t>
      </w:r>
      <w:r w:rsidRPr="0035564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55646">
        <w:rPr>
          <w:rFonts w:ascii="Book Antiqua" w:eastAsia="Book Antiqua" w:hAnsi="Book Antiqua" w:cs="Book Antiqua"/>
        </w:rPr>
        <w:t>NonCommercial</w:t>
      </w:r>
      <w:proofErr w:type="spellEnd"/>
      <w:r w:rsidRPr="0035564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30296D" w14:textId="77777777" w:rsidR="00A77B3E" w:rsidRPr="00355646" w:rsidRDefault="00A77B3E" w:rsidP="00355646">
      <w:pPr>
        <w:spacing w:line="360" w:lineRule="auto"/>
        <w:jc w:val="both"/>
        <w:rPr>
          <w:rFonts w:ascii="Book Antiqua" w:hAnsi="Book Antiqua"/>
        </w:rPr>
      </w:pPr>
    </w:p>
    <w:p w14:paraId="77B21987"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t xml:space="preserve">Provenance and peer review: </w:t>
      </w:r>
      <w:r w:rsidRPr="00355646">
        <w:rPr>
          <w:rFonts w:ascii="Book Antiqua" w:eastAsia="Book Antiqua" w:hAnsi="Book Antiqua" w:cs="Book Antiqua"/>
        </w:rPr>
        <w:t>Unsolicited article; Externally peer reviewed.</w:t>
      </w:r>
    </w:p>
    <w:p w14:paraId="068A5592"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t xml:space="preserve">Peer-review model: </w:t>
      </w:r>
      <w:r w:rsidRPr="00355646">
        <w:rPr>
          <w:rFonts w:ascii="Book Antiqua" w:eastAsia="Book Antiqua" w:hAnsi="Book Antiqua" w:cs="Book Antiqua"/>
        </w:rPr>
        <w:t>Single blind</w:t>
      </w:r>
    </w:p>
    <w:p w14:paraId="04016988" w14:textId="77777777" w:rsidR="00A77B3E" w:rsidRPr="00355646" w:rsidRDefault="00A77B3E" w:rsidP="00355646">
      <w:pPr>
        <w:spacing w:line="360" w:lineRule="auto"/>
        <w:jc w:val="both"/>
        <w:rPr>
          <w:rFonts w:ascii="Book Antiqua" w:hAnsi="Book Antiqua"/>
        </w:rPr>
      </w:pPr>
    </w:p>
    <w:p w14:paraId="453A2F51"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t xml:space="preserve">Peer-review started: </w:t>
      </w:r>
      <w:r w:rsidRPr="00355646">
        <w:rPr>
          <w:rFonts w:ascii="Book Antiqua" w:eastAsia="Book Antiqua" w:hAnsi="Book Antiqua" w:cs="Book Antiqua"/>
        </w:rPr>
        <w:t>October 16, 2023</w:t>
      </w:r>
    </w:p>
    <w:p w14:paraId="64361702"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t xml:space="preserve">First decision: </w:t>
      </w:r>
      <w:r w:rsidRPr="00355646">
        <w:rPr>
          <w:rFonts w:ascii="Book Antiqua" w:eastAsia="Book Antiqua" w:hAnsi="Book Antiqua" w:cs="Book Antiqua"/>
        </w:rPr>
        <w:t>November 21, 2023</w:t>
      </w:r>
    </w:p>
    <w:p w14:paraId="0A1D86BD"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t xml:space="preserve">Article in press: </w:t>
      </w:r>
    </w:p>
    <w:p w14:paraId="29C6C06D" w14:textId="77777777" w:rsidR="00A77B3E" w:rsidRPr="00355646" w:rsidRDefault="00A77B3E" w:rsidP="00355646">
      <w:pPr>
        <w:spacing w:line="360" w:lineRule="auto"/>
        <w:jc w:val="both"/>
        <w:rPr>
          <w:rFonts w:ascii="Book Antiqua" w:hAnsi="Book Antiqua"/>
        </w:rPr>
      </w:pPr>
    </w:p>
    <w:p w14:paraId="48D0DF2D" w14:textId="2AF4E98F"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t xml:space="preserve">Specialty type: </w:t>
      </w:r>
      <w:bookmarkStart w:id="37" w:name="OLE_LINK1739"/>
      <w:bookmarkStart w:id="38" w:name="OLE_LINK1740"/>
      <w:bookmarkStart w:id="39" w:name="OLE_LINK1741"/>
      <w:bookmarkStart w:id="40" w:name="OLE_LINK1762"/>
      <w:bookmarkStart w:id="41" w:name="OLE_LINK1890"/>
      <w:bookmarkStart w:id="42" w:name="OLE_LINK2005"/>
      <w:bookmarkStart w:id="43" w:name="OLE_LINK1973"/>
      <w:bookmarkStart w:id="44" w:name="OLE_LINK1988"/>
      <w:bookmarkStart w:id="45" w:name="OLE_LINK293"/>
      <w:r w:rsidR="00913D50" w:rsidRPr="00355646">
        <w:rPr>
          <w:rFonts w:ascii="Book Antiqua" w:eastAsia="微软雅黑" w:hAnsi="Book Antiqua" w:cs="宋体"/>
        </w:rPr>
        <w:t>Medicine, research and experimental</w:t>
      </w:r>
      <w:bookmarkEnd w:id="37"/>
      <w:bookmarkEnd w:id="38"/>
      <w:bookmarkEnd w:id="39"/>
      <w:bookmarkEnd w:id="40"/>
      <w:bookmarkEnd w:id="41"/>
      <w:bookmarkEnd w:id="42"/>
      <w:bookmarkEnd w:id="43"/>
      <w:bookmarkEnd w:id="44"/>
      <w:bookmarkEnd w:id="45"/>
    </w:p>
    <w:p w14:paraId="100EA96D"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t xml:space="preserve">Country/Territory of origin: </w:t>
      </w:r>
      <w:r w:rsidRPr="00355646">
        <w:rPr>
          <w:rFonts w:ascii="Book Antiqua" w:eastAsia="Book Antiqua" w:hAnsi="Book Antiqua" w:cs="Book Antiqua"/>
        </w:rPr>
        <w:t>South Korea</w:t>
      </w:r>
    </w:p>
    <w:p w14:paraId="1D86798A"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color w:val="000000"/>
        </w:rPr>
        <w:t>Peer-review report’s scientific quality classification</w:t>
      </w:r>
    </w:p>
    <w:p w14:paraId="4AF16CC9"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rPr>
        <w:t>Grade A (Excellent): 0</w:t>
      </w:r>
    </w:p>
    <w:p w14:paraId="2AE74A11"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rPr>
        <w:t>Grade B (Very good): 0</w:t>
      </w:r>
    </w:p>
    <w:p w14:paraId="06112900"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rPr>
        <w:lastRenderedPageBreak/>
        <w:t>Grade C (Good): C</w:t>
      </w:r>
    </w:p>
    <w:p w14:paraId="5B5E88AA"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rPr>
        <w:t>Grade D (Fair): 0</w:t>
      </w:r>
    </w:p>
    <w:p w14:paraId="54ADCD47"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rPr>
        <w:t>Grade E (Poor): 0</w:t>
      </w:r>
    </w:p>
    <w:p w14:paraId="2AA90FBC" w14:textId="77777777" w:rsidR="00A77B3E" w:rsidRPr="00355646" w:rsidRDefault="00A77B3E" w:rsidP="00355646">
      <w:pPr>
        <w:spacing w:line="360" w:lineRule="auto"/>
        <w:jc w:val="both"/>
        <w:rPr>
          <w:rFonts w:ascii="Book Antiqua" w:hAnsi="Book Antiqua"/>
        </w:rPr>
      </w:pPr>
    </w:p>
    <w:p w14:paraId="0899B0F8" w14:textId="77777777" w:rsidR="00913D50" w:rsidRPr="00355646" w:rsidRDefault="00000000" w:rsidP="00355646">
      <w:pPr>
        <w:spacing w:line="360" w:lineRule="auto"/>
        <w:jc w:val="both"/>
        <w:rPr>
          <w:rFonts w:ascii="Book Antiqua" w:eastAsia="Book Antiqua" w:hAnsi="Book Antiqua" w:cs="Book Antiqua"/>
          <w:b/>
          <w:color w:val="000000"/>
        </w:rPr>
      </w:pPr>
      <w:r w:rsidRPr="00355646">
        <w:rPr>
          <w:rFonts w:ascii="Book Antiqua" w:eastAsia="Book Antiqua" w:hAnsi="Book Antiqua" w:cs="Book Antiqua"/>
          <w:b/>
          <w:color w:val="000000"/>
        </w:rPr>
        <w:t xml:space="preserve">P-Reviewer: </w:t>
      </w:r>
      <w:r w:rsidRPr="00355646">
        <w:rPr>
          <w:rFonts w:ascii="Book Antiqua" w:eastAsia="Book Antiqua" w:hAnsi="Book Antiqua" w:cs="Book Antiqua"/>
        </w:rPr>
        <w:t>Augustin G, Croatia</w:t>
      </w:r>
      <w:r w:rsidRPr="00355646">
        <w:rPr>
          <w:rFonts w:ascii="Book Antiqua" w:eastAsia="Book Antiqua" w:hAnsi="Book Antiqua" w:cs="Book Antiqua"/>
          <w:b/>
          <w:color w:val="000000"/>
        </w:rPr>
        <w:t xml:space="preserve"> S-Editor: </w:t>
      </w:r>
      <w:r w:rsidR="00913D50" w:rsidRPr="00355646">
        <w:rPr>
          <w:rFonts w:ascii="Book Antiqua" w:eastAsia="Book Antiqua" w:hAnsi="Book Antiqua" w:cs="Book Antiqua"/>
          <w:bCs/>
          <w:color w:val="000000"/>
        </w:rPr>
        <w:t>Wang JJ</w:t>
      </w:r>
      <w:r w:rsidRPr="00355646">
        <w:rPr>
          <w:rFonts w:ascii="Book Antiqua" w:eastAsia="Book Antiqua" w:hAnsi="Book Antiqua" w:cs="Book Antiqua"/>
          <w:b/>
          <w:color w:val="000000"/>
        </w:rPr>
        <w:t xml:space="preserve"> L-Editor: </w:t>
      </w:r>
      <w:r w:rsidR="00913D50" w:rsidRPr="00355646">
        <w:rPr>
          <w:rFonts w:ascii="Book Antiqua" w:eastAsia="Book Antiqua" w:hAnsi="Book Antiqua" w:cs="Book Antiqua"/>
          <w:bCs/>
          <w:color w:val="000000"/>
        </w:rPr>
        <w:t>A</w:t>
      </w:r>
      <w:r w:rsidRPr="00355646">
        <w:rPr>
          <w:rFonts w:ascii="Book Antiqua" w:eastAsia="Book Antiqua" w:hAnsi="Book Antiqua" w:cs="Book Antiqua"/>
          <w:b/>
          <w:color w:val="000000"/>
        </w:rPr>
        <w:t xml:space="preserve"> P-Editor:</w:t>
      </w:r>
    </w:p>
    <w:p w14:paraId="32CD6B33" w14:textId="0B26DBE2" w:rsidR="00A77B3E" w:rsidRPr="00355646" w:rsidRDefault="00A77B3E" w:rsidP="00355646">
      <w:pPr>
        <w:spacing w:line="360" w:lineRule="auto"/>
        <w:jc w:val="both"/>
        <w:rPr>
          <w:rFonts w:ascii="Book Antiqua" w:hAnsi="Book Antiqua"/>
        </w:rPr>
        <w:sectPr w:rsidR="00A77B3E" w:rsidRPr="00355646">
          <w:pgSz w:w="12240" w:h="15840"/>
          <w:pgMar w:top="1440" w:right="1440" w:bottom="1440" w:left="1440" w:header="720" w:footer="720" w:gutter="0"/>
          <w:cols w:space="720"/>
          <w:docGrid w:linePitch="360"/>
        </w:sectPr>
      </w:pPr>
    </w:p>
    <w:p w14:paraId="0D965D72" w14:textId="77777777" w:rsidR="00A77B3E" w:rsidRPr="00355646" w:rsidRDefault="00000000" w:rsidP="00355646">
      <w:pPr>
        <w:spacing w:line="360" w:lineRule="auto"/>
        <w:jc w:val="both"/>
        <w:rPr>
          <w:rFonts w:ascii="Book Antiqua" w:eastAsia="Book Antiqua" w:hAnsi="Book Antiqua" w:cs="Book Antiqua"/>
          <w:b/>
          <w:color w:val="000000"/>
        </w:rPr>
      </w:pPr>
      <w:r w:rsidRPr="00355646">
        <w:rPr>
          <w:rFonts w:ascii="Book Antiqua" w:eastAsia="Book Antiqua" w:hAnsi="Book Antiqua" w:cs="Book Antiqua"/>
          <w:b/>
          <w:color w:val="000000"/>
        </w:rPr>
        <w:lastRenderedPageBreak/>
        <w:t>Figure Legends</w:t>
      </w:r>
    </w:p>
    <w:p w14:paraId="3D87BFA0" w14:textId="188BC0DB" w:rsidR="00913D50" w:rsidRPr="00355646" w:rsidRDefault="00913D50" w:rsidP="00355646">
      <w:pPr>
        <w:spacing w:line="360" w:lineRule="auto"/>
        <w:jc w:val="both"/>
        <w:rPr>
          <w:rFonts w:ascii="Book Antiqua" w:hAnsi="Book Antiqua"/>
        </w:rPr>
      </w:pPr>
      <w:r w:rsidRPr="00355646">
        <w:rPr>
          <w:rFonts w:ascii="Book Antiqua" w:hAnsi="Book Antiqua"/>
          <w:noProof/>
        </w:rPr>
        <w:drawing>
          <wp:inline distT="0" distB="0" distL="0" distR="0" wp14:anchorId="4472537F" wp14:editId="0DFD946B">
            <wp:extent cx="5943600" cy="3166110"/>
            <wp:effectExtent l="0" t="0" r="0" b="0"/>
            <wp:docPr id="1787150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50072" name=""/>
                    <pic:cNvPicPr/>
                  </pic:nvPicPr>
                  <pic:blipFill>
                    <a:blip r:embed="rId7"/>
                    <a:stretch>
                      <a:fillRect/>
                    </a:stretch>
                  </pic:blipFill>
                  <pic:spPr>
                    <a:xfrm>
                      <a:off x="0" y="0"/>
                      <a:ext cx="5943600" cy="3166110"/>
                    </a:xfrm>
                    <a:prstGeom prst="rect">
                      <a:avLst/>
                    </a:prstGeom>
                  </pic:spPr>
                </pic:pic>
              </a:graphicData>
            </a:graphic>
          </wp:inline>
        </w:drawing>
      </w:r>
    </w:p>
    <w:p w14:paraId="5C8B90B1" w14:textId="42F91914" w:rsidR="00A77B3E" w:rsidRPr="00355646" w:rsidRDefault="00000000" w:rsidP="00355646">
      <w:pPr>
        <w:spacing w:line="360" w:lineRule="auto"/>
        <w:jc w:val="both"/>
        <w:rPr>
          <w:rFonts w:ascii="Book Antiqua" w:eastAsia="Book Antiqua" w:hAnsi="Book Antiqua" w:cs="Book Antiqua"/>
        </w:rPr>
      </w:pPr>
      <w:r w:rsidRPr="00355646">
        <w:rPr>
          <w:rFonts w:ascii="Book Antiqua" w:eastAsia="Book Antiqua" w:hAnsi="Book Antiqua" w:cs="Book Antiqua"/>
          <w:b/>
          <w:bCs/>
        </w:rPr>
        <w:t>Figure 1</w:t>
      </w:r>
      <w:r w:rsidRPr="00355646">
        <w:rPr>
          <w:rFonts w:ascii="Book Antiqua" w:eastAsia="Book Antiqua" w:hAnsi="Book Antiqua" w:cs="Book Antiqua"/>
        </w:rPr>
        <w:t xml:space="preserve"> </w:t>
      </w:r>
      <w:r w:rsidRPr="00355646">
        <w:rPr>
          <w:rFonts w:ascii="Book Antiqua" w:eastAsia="Book Antiqua" w:hAnsi="Book Antiqua" w:cs="Book Antiqua"/>
          <w:b/>
          <w:bCs/>
        </w:rPr>
        <w:t>Computerized tomography images showing heterotopic ossification (arrow).</w:t>
      </w:r>
      <w:r w:rsidRPr="00355646">
        <w:rPr>
          <w:rFonts w:ascii="Book Antiqua" w:eastAsia="Book Antiqua" w:hAnsi="Book Antiqua" w:cs="Book Antiqua"/>
        </w:rPr>
        <w:t xml:space="preserve"> A: A 10 cm-sized ossification was located along the laparotomy scar six months after surgery</w:t>
      </w:r>
      <w:r w:rsidR="00913D50" w:rsidRPr="00355646">
        <w:rPr>
          <w:rFonts w:ascii="Book Antiqua" w:eastAsia="Book Antiqua" w:hAnsi="Book Antiqua" w:cs="Book Antiqua"/>
        </w:rPr>
        <w:t>;</w:t>
      </w:r>
      <w:r w:rsidRPr="00355646">
        <w:rPr>
          <w:rFonts w:ascii="Book Antiqua" w:eastAsia="Book Antiqua" w:hAnsi="Book Antiqua" w:cs="Book Antiqua"/>
        </w:rPr>
        <w:t xml:space="preserve"> B: A slight increase in size was observed one year after surgery.</w:t>
      </w:r>
    </w:p>
    <w:p w14:paraId="7DD771ED" w14:textId="77777777" w:rsidR="00913D50" w:rsidRPr="00355646" w:rsidRDefault="00913D50" w:rsidP="00355646">
      <w:pPr>
        <w:spacing w:line="360" w:lineRule="auto"/>
        <w:jc w:val="both"/>
        <w:rPr>
          <w:rFonts w:ascii="Book Antiqua" w:hAnsi="Book Antiqua"/>
        </w:rPr>
        <w:sectPr w:rsidR="00913D50" w:rsidRPr="00355646">
          <w:pgSz w:w="12240" w:h="15840"/>
          <w:pgMar w:top="1440" w:right="1440" w:bottom="1440" w:left="1440" w:header="720" w:footer="720" w:gutter="0"/>
          <w:cols w:space="720"/>
          <w:docGrid w:linePitch="360"/>
        </w:sectPr>
      </w:pPr>
    </w:p>
    <w:p w14:paraId="5864F5C5" w14:textId="1F5874F3" w:rsidR="00913D50" w:rsidRPr="00355646" w:rsidRDefault="00913D50" w:rsidP="00355646">
      <w:pPr>
        <w:spacing w:line="360" w:lineRule="auto"/>
        <w:jc w:val="both"/>
        <w:rPr>
          <w:rFonts w:ascii="Book Antiqua" w:hAnsi="Book Antiqua"/>
        </w:rPr>
      </w:pPr>
      <w:r w:rsidRPr="00355646">
        <w:rPr>
          <w:rFonts w:ascii="Book Antiqua" w:hAnsi="Book Antiqua"/>
          <w:noProof/>
        </w:rPr>
        <w:lastRenderedPageBreak/>
        <w:drawing>
          <wp:inline distT="0" distB="0" distL="0" distR="0" wp14:anchorId="1F8B63FF" wp14:editId="4187FFAF">
            <wp:extent cx="5220152" cy="4168501"/>
            <wp:effectExtent l="0" t="0" r="0" b="3810"/>
            <wp:docPr id="1390590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90395" name=""/>
                    <pic:cNvPicPr/>
                  </pic:nvPicPr>
                  <pic:blipFill>
                    <a:blip r:embed="rId8"/>
                    <a:stretch>
                      <a:fillRect/>
                    </a:stretch>
                  </pic:blipFill>
                  <pic:spPr>
                    <a:xfrm>
                      <a:off x="0" y="0"/>
                      <a:ext cx="5220152" cy="4168501"/>
                    </a:xfrm>
                    <a:prstGeom prst="rect">
                      <a:avLst/>
                    </a:prstGeom>
                  </pic:spPr>
                </pic:pic>
              </a:graphicData>
            </a:graphic>
          </wp:inline>
        </w:drawing>
      </w:r>
    </w:p>
    <w:p w14:paraId="713AAB91" w14:textId="3225B2F8" w:rsidR="00A77B3E" w:rsidRPr="00355646" w:rsidRDefault="00000000" w:rsidP="00355646">
      <w:pPr>
        <w:spacing w:line="360" w:lineRule="auto"/>
        <w:jc w:val="both"/>
        <w:rPr>
          <w:rFonts w:ascii="Book Antiqua" w:eastAsia="Book Antiqua" w:hAnsi="Book Antiqua" w:cs="Book Antiqua"/>
        </w:rPr>
      </w:pPr>
      <w:r w:rsidRPr="00355646">
        <w:rPr>
          <w:rFonts w:ascii="Book Antiqua" w:eastAsia="Book Antiqua" w:hAnsi="Book Antiqua" w:cs="Book Antiqua"/>
          <w:b/>
          <w:bCs/>
        </w:rPr>
        <w:t>Figure 2</w:t>
      </w:r>
      <w:r w:rsidRPr="00355646">
        <w:rPr>
          <w:rFonts w:ascii="Book Antiqua" w:eastAsia="Book Antiqua" w:hAnsi="Book Antiqua" w:cs="Book Antiqua"/>
        </w:rPr>
        <w:t xml:space="preserve"> </w:t>
      </w:r>
      <w:r w:rsidRPr="00355646">
        <w:rPr>
          <w:rFonts w:ascii="Book Antiqua" w:eastAsia="Book Antiqua" w:hAnsi="Book Antiqua" w:cs="Book Antiqua"/>
          <w:b/>
          <w:bCs/>
        </w:rPr>
        <w:t>Excision of heterotopic ossification.</w:t>
      </w:r>
      <w:r w:rsidRPr="00355646">
        <w:rPr>
          <w:rFonts w:ascii="Book Antiqua" w:eastAsia="Book Antiqua" w:hAnsi="Book Antiqua" w:cs="Book Antiqua"/>
        </w:rPr>
        <w:t xml:space="preserve"> A: The structure originated from the xiphoid process, extending inferiorly along the midline of the abdomen</w:t>
      </w:r>
      <w:r w:rsidR="00913D50" w:rsidRPr="00355646">
        <w:rPr>
          <w:rFonts w:ascii="Book Antiqua" w:eastAsia="Book Antiqua" w:hAnsi="Book Antiqua" w:cs="Book Antiqua"/>
        </w:rPr>
        <w:t>;</w:t>
      </w:r>
      <w:r w:rsidRPr="00355646">
        <w:rPr>
          <w:rFonts w:ascii="Book Antiqua" w:eastAsia="Book Antiqua" w:hAnsi="Book Antiqua" w:cs="Book Antiqua"/>
        </w:rPr>
        <w:t xml:space="preserve"> B: The 11 cm-sized ossification was excised completely</w:t>
      </w:r>
      <w:r w:rsidR="00913D50" w:rsidRPr="00355646">
        <w:rPr>
          <w:rFonts w:ascii="Book Antiqua" w:eastAsia="Book Antiqua" w:hAnsi="Book Antiqua" w:cs="Book Antiqua"/>
        </w:rPr>
        <w:t>;</w:t>
      </w:r>
      <w:r w:rsidRPr="00355646">
        <w:rPr>
          <w:rFonts w:ascii="Book Antiqua" w:eastAsia="Book Antiqua" w:hAnsi="Book Antiqua" w:cs="Book Antiqua"/>
        </w:rPr>
        <w:t xml:space="preserve"> C: Bone wax was applied to the excisional margin.</w:t>
      </w:r>
    </w:p>
    <w:p w14:paraId="7F0E312B" w14:textId="77777777" w:rsidR="00913D50" w:rsidRPr="00355646" w:rsidRDefault="00913D50" w:rsidP="00355646">
      <w:pPr>
        <w:spacing w:line="360" w:lineRule="auto"/>
        <w:jc w:val="both"/>
        <w:rPr>
          <w:rFonts w:ascii="Book Antiqua" w:hAnsi="Book Antiqua"/>
        </w:rPr>
        <w:sectPr w:rsidR="00913D50" w:rsidRPr="00355646">
          <w:pgSz w:w="12240" w:h="15840"/>
          <w:pgMar w:top="1440" w:right="1440" w:bottom="1440" w:left="1440" w:header="720" w:footer="720" w:gutter="0"/>
          <w:cols w:space="720"/>
          <w:docGrid w:linePitch="360"/>
        </w:sectPr>
      </w:pPr>
    </w:p>
    <w:p w14:paraId="67DF5D61" w14:textId="78EFE78F" w:rsidR="00913D50" w:rsidRPr="00355646" w:rsidRDefault="00913D50" w:rsidP="00355646">
      <w:pPr>
        <w:spacing w:line="360" w:lineRule="auto"/>
        <w:jc w:val="both"/>
        <w:rPr>
          <w:rFonts w:ascii="Book Antiqua" w:hAnsi="Book Antiqua"/>
        </w:rPr>
      </w:pPr>
      <w:r w:rsidRPr="00355646">
        <w:rPr>
          <w:rFonts w:ascii="Book Antiqua" w:hAnsi="Book Antiqua"/>
          <w:noProof/>
        </w:rPr>
        <w:lastRenderedPageBreak/>
        <w:drawing>
          <wp:inline distT="0" distB="0" distL="0" distR="0" wp14:anchorId="2693649E" wp14:editId="23EEA4D6">
            <wp:extent cx="5943600" cy="2596515"/>
            <wp:effectExtent l="0" t="0" r="0" b="0"/>
            <wp:docPr id="591932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32335" name=""/>
                    <pic:cNvPicPr/>
                  </pic:nvPicPr>
                  <pic:blipFill>
                    <a:blip r:embed="rId9"/>
                    <a:stretch>
                      <a:fillRect/>
                    </a:stretch>
                  </pic:blipFill>
                  <pic:spPr>
                    <a:xfrm>
                      <a:off x="0" y="0"/>
                      <a:ext cx="5943600" cy="2596515"/>
                    </a:xfrm>
                    <a:prstGeom prst="rect">
                      <a:avLst/>
                    </a:prstGeom>
                  </pic:spPr>
                </pic:pic>
              </a:graphicData>
            </a:graphic>
          </wp:inline>
        </w:drawing>
      </w:r>
    </w:p>
    <w:p w14:paraId="72D4CEA3" w14:textId="77777777" w:rsidR="00A77B3E" w:rsidRPr="00355646" w:rsidRDefault="00000000" w:rsidP="00355646">
      <w:pPr>
        <w:spacing w:line="360" w:lineRule="auto"/>
        <w:jc w:val="both"/>
        <w:rPr>
          <w:rFonts w:ascii="Book Antiqua" w:hAnsi="Book Antiqua"/>
        </w:rPr>
      </w:pPr>
      <w:r w:rsidRPr="00355646">
        <w:rPr>
          <w:rFonts w:ascii="Book Antiqua" w:eastAsia="Book Antiqua" w:hAnsi="Book Antiqua" w:cs="Book Antiqua"/>
          <w:b/>
          <w:bCs/>
        </w:rPr>
        <w:t>Figure 3 An abdominal computerized tomographic scan, taken one year after excision, showing no sign of recurred heterotopic ossification.</w:t>
      </w:r>
    </w:p>
    <w:sectPr w:rsidR="00A77B3E" w:rsidRPr="003556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5B1DD" w14:textId="77777777" w:rsidR="00FF7F04" w:rsidRDefault="00FF7F04" w:rsidP="00913D50">
      <w:r>
        <w:separator/>
      </w:r>
    </w:p>
  </w:endnote>
  <w:endnote w:type="continuationSeparator" w:id="0">
    <w:p w14:paraId="326E9AA4" w14:textId="77777777" w:rsidR="00FF7F04" w:rsidRDefault="00FF7F04" w:rsidP="00913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91D8" w14:textId="76ABF94C" w:rsidR="00913D50" w:rsidRPr="00913D50" w:rsidRDefault="00913D50" w:rsidP="00913D50">
    <w:pPr>
      <w:pStyle w:val="a5"/>
      <w:jc w:val="right"/>
      <w:rPr>
        <w:rFonts w:ascii="Book Antiqua" w:hAnsi="Book Antiqua"/>
        <w:color w:val="000000" w:themeColor="text1"/>
        <w:sz w:val="24"/>
        <w:szCs w:val="24"/>
      </w:rPr>
    </w:pPr>
    <w:r>
      <w:rPr>
        <w:color w:val="4F81BD" w:themeColor="accent1"/>
        <w:lang w:val="zh-CN" w:eastAsia="zh-CN"/>
      </w:rPr>
      <w:t xml:space="preserve"> </w:t>
    </w:r>
    <w:r w:rsidRPr="00913D50">
      <w:rPr>
        <w:rFonts w:ascii="Book Antiqua" w:hAnsi="Book Antiqua"/>
        <w:color w:val="000000" w:themeColor="text1"/>
        <w:sz w:val="24"/>
        <w:szCs w:val="24"/>
      </w:rPr>
      <w:fldChar w:fldCharType="begin"/>
    </w:r>
    <w:r w:rsidRPr="00913D50">
      <w:rPr>
        <w:rFonts w:ascii="Book Antiqua" w:hAnsi="Book Antiqua"/>
        <w:color w:val="000000" w:themeColor="text1"/>
        <w:sz w:val="24"/>
        <w:szCs w:val="24"/>
      </w:rPr>
      <w:instrText>PAGE  \* Arabic  \* MERGEFORMAT</w:instrText>
    </w:r>
    <w:r w:rsidRPr="00913D50">
      <w:rPr>
        <w:rFonts w:ascii="Book Antiqua" w:hAnsi="Book Antiqua"/>
        <w:color w:val="000000" w:themeColor="text1"/>
        <w:sz w:val="24"/>
        <w:szCs w:val="24"/>
      </w:rPr>
      <w:fldChar w:fldCharType="separate"/>
    </w:r>
    <w:r w:rsidRPr="00913D50">
      <w:rPr>
        <w:rFonts w:ascii="Book Antiqua" w:hAnsi="Book Antiqua"/>
        <w:color w:val="000000" w:themeColor="text1"/>
        <w:sz w:val="24"/>
        <w:szCs w:val="24"/>
        <w:lang w:val="zh-CN" w:eastAsia="zh-CN"/>
      </w:rPr>
      <w:t>2</w:t>
    </w:r>
    <w:r w:rsidRPr="00913D50">
      <w:rPr>
        <w:rFonts w:ascii="Book Antiqua" w:hAnsi="Book Antiqua"/>
        <w:color w:val="000000" w:themeColor="text1"/>
        <w:sz w:val="24"/>
        <w:szCs w:val="24"/>
      </w:rPr>
      <w:fldChar w:fldCharType="end"/>
    </w:r>
    <w:r w:rsidRPr="00913D50">
      <w:rPr>
        <w:rFonts w:ascii="Book Antiqua" w:hAnsi="Book Antiqua"/>
        <w:color w:val="000000" w:themeColor="text1"/>
        <w:sz w:val="24"/>
        <w:szCs w:val="24"/>
        <w:lang w:val="zh-CN" w:eastAsia="zh-CN"/>
      </w:rPr>
      <w:t xml:space="preserve"> / </w:t>
    </w:r>
    <w:r w:rsidRPr="00913D50">
      <w:rPr>
        <w:rFonts w:ascii="Book Antiqua" w:hAnsi="Book Antiqua"/>
        <w:color w:val="000000" w:themeColor="text1"/>
        <w:sz w:val="24"/>
        <w:szCs w:val="24"/>
      </w:rPr>
      <w:fldChar w:fldCharType="begin"/>
    </w:r>
    <w:r w:rsidRPr="00913D50">
      <w:rPr>
        <w:rFonts w:ascii="Book Antiqua" w:hAnsi="Book Antiqua"/>
        <w:color w:val="000000" w:themeColor="text1"/>
        <w:sz w:val="24"/>
        <w:szCs w:val="24"/>
      </w:rPr>
      <w:instrText>NUMPAGES  \* Arabic  \* MERGEFORMAT</w:instrText>
    </w:r>
    <w:r w:rsidRPr="00913D50">
      <w:rPr>
        <w:rFonts w:ascii="Book Antiqua" w:hAnsi="Book Antiqua"/>
        <w:color w:val="000000" w:themeColor="text1"/>
        <w:sz w:val="24"/>
        <w:szCs w:val="24"/>
      </w:rPr>
      <w:fldChar w:fldCharType="separate"/>
    </w:r>
    <w:r w:rsidRPr="00913D50">
      <w:rPr>
        <w:rFonts w:ascii="Book Antiqua" w:hAnsi="Book Antiqua"/>
        <w:color w:val="000000" w:themeColor="text1"/>
        <w:sz w:val="24"/>
        <w:szCs w:val="24"/>
        <w:lang w:val="zh-CN" w:eastAsia="zh-CN"/>
      </w:rPr>
      <w:t>2</w:t>
    </w:r>
    <w:r w:rsidRPr="00913D5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CF3FB" w14:textId="77777777" w:rsidR="00FF7F04" w:rsidRDefault="00FF7F04" w:rsidP="00913D50">
      <w:r>
        <w:separator/>
      </w:r>
    </w:p>
  </w:footnote>
  <w:footnote w:type="continuationSeparator" w:id="0">
    <w:p w14:paraId="47685C5F" w14:textId="77777777" w:rsidR="00FF7F04" w:rsidRDefault="00FF7F04" w:rsidP="00913D5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728E"/>
    <w:rsid w:val="00135542"/>
    <w:rsid w:val="00355646"/>
    <w:rsid w:val="00805C73"/>
    <w:rsid w:val="00913D50"/>
    <w:rsid w:val="009D5E08"/>
    <w:rsid w:val="00A77B3E"/>
    <w:rsid w:val="00BE09DA"/>
    <w:rsid w:val="00CA2A55"/>
    <w:rsid w:val="00E272EB"/>
    <w:rsid w:val="00FF7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929056"/>
  <w15:docId w15:val="{E8EA33EE-52B4-47EC-A3EA-73CA0ECA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13D50"/>
    <w:pPr>
      <w:tabs>
        <w:tab w:val="center" w:pos="4153"/>
        <w:tab w:val="right" w:pos="8306"/>
      </w:tabs>
      <w:snapToGrid w:val="0"/>
      <w:jc w:val="center"/>
    </w:pPr>
    <w:rPr>
      <w:sz w:val="18"/>
      <w:szCs w:val="18"/>
    </w:rPr>
  </w:style>
  <w:style w:type="character" w:customStyle="1" w:styleId="a4">
    <w:name w:val="页眉 字符"/>
    <w:basedOn w:val="a0"/>
    <w:link w:val="a3"/>
    <w:rsid w:val="00913D50"/>
    <w:rPr>
      <w:sz w:val="18"/>
      <w:szCs w:val="18"/>
    </w:rPr>
  </w:style>
  <w:style w:type="paragraph" w:styleId="a5">
    <w:name w:val="footer"/>
    <w:basedOn w:val="a"/>
    <w:link w:val="a6"/>
    <w:uiPriority w:val="99"/>
    <w:rsid w:val="00913D50"/>
    <w:pPr>
      <w:tabs>
        <w:tab w:val="center" w:pos="4153"/>
        <w:tab w:val="right" w:pos="8306"/>
      </w:tabs>
      <w:snapToGrid w:val="0"/>
    </w:pPr>
    <w:rPr>
      <w:sz w:val="18"/>
      <w:szCs w:val="18"/>
    </w:rPr>
  </w:style>
  <w:style w:type="character" w:customStyle="1" w:styleId="a6">
    <w:name w:val="页脚 字符"/>
    <w:basedOn w:val="a0"/>
    <w:link w:val="a5"/>
    <w:uiPriority w:val="99"/>
    <w:rsid w:val="00913D50"/>
    <w:rPr>
      <w:sz w:val="18"/>
      <w:szCs w:val="18"/>
    </w:rPr>
  </w:style>
  <w:style w:type="paragraph" w:styleId="a7">
    <w:name w:val="Revision"/>
    <w:hidden/>
    <w:uiPriority w:val="99"/>
    <w:semiHidden/>
    <w:rsid w:val="00BE09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15</Pages>
  <Words>2993</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5</cp:revision>
  <dcterms:created xsi:type="dcterms:W3CDTF">2023-12-12T08:00:00Z</dcterms:created>
  <dcterms:modified xsi:type="dcterms:W3CDTF">2023-12-13T06:06:00Z</dcterms:modified>
</cp:coreProperties>
</file>