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11746" w14:textId="77777777" w:rsidR="007006AA"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7E76C67F" w14:textId="77777777" w:rsidR="007006AA"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89034</w:t>
      </w:r>
    </w:p>
    <w:p w14:paraId="2DA9EFD2" w14:textId="77777777" w:rsidR="007006AA"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B622487" w14:textId="77777777" w:rsidR="007006AA" w:rsidRDefault="007006AA">
      <w:pPr>
        <w:spacing w:line="360" w:lineRule="auto"/>
        <w:jc w:val="both"/>
        <w:rPr>
          <w:rFonts w:ascii="Book Antiqua" w:hAnsi="Book Antiqua"/>
        </w:rPr>
      </w:pPr>
    </w:p>
    <w:p w14:paraId="2F2035B2" w14:textId="77777777" w:rsidR="007006AA" w:rsidRDefault="00000000">
      <w:pPr>
        <w:spacing w:line="360" w:lineRule="auto"/>
        <w:jc w:val="both"/>
        <w:rPr>
          <w:rFonts w:ascii="Book Antiqua" w:hAnsi="Book Antiqua"/>
        </w:rPr>
      </w:pPr>
      <w:r>
        <w:rPr>
          <w:rFonts w:ascii="Book Antiqua" w:eastAsia="Book Antiqua" w:hAnsi="Book Antiqua" w:cs="Book Antiqua"/>
          <w:b/>
          <w:i/>
        </w:rPr>
        <w:t>Basic Study</w:t>
      </w:r>
    </w:p>
    <w:p w14:paraId="01B8C1AA"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t xml:space="preserve">Effects of different concentrations of nicotinamide on hematopoietic stem cells cultured </w:t>
      </w:r>
      <w:proofErr w:type="gramStart"/>
      <w:r>
        <w:rPr>
          <w:rFonts w:ascii="Book Antiqua" w:eastAsia="Book Antiqua" w:hAnsi="Book Antiqua" w:cs="Book Antiqua"/>
          <w:b/>
          <w:bCs/>
          <w:i/>
          <w:iCs/>
          <w:color w:val="000000"/>
        </w:rPr>
        <w:t>in vitro</w:t>
      </w:r>
      <w:proofErr w:type="gramEnd"/>
    </w:p>
    <w:p w14:paraId="27EA3BA0" w14:textId="77777777" w:rsidR="007006AA" w:rsidRDefault="007006AA">
      <w:pPr>
        <w:spacing w:line="360" w:lineRule="auto"/>
        <w:jc w:val="both"/>
        <w:rPr>
          <w:rFonts w:ascii="Book Antiqua" w:hAnsi="Book Antiqua"/>
        </w:rPr>
      </w:pPr>
    </w:p>
    <w:p w14:paraId="5FFE2AB0"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Ren Y</w:t>
      </w:r>
      <w:r>
        <w:rPr>
          <w:rFonts w:ascii="Book Antiqua" w:hAnsi="Book Antiqua"/>
          <w:color w:val="000000"/>
        </w:rPr>
        <w:t xml:space="preserve"> </w:t>
      </w:r>
      <w:r>
        <w:rPr>
          <w:rFonts w:ascii="Book Antiqua" w:hAnsi="Book Antiqua"/>
          <w:i/>
          <w:color w:val="000000"/>
        </w:rPr>
        <w:t>et al</w:t>
      </w:r>
      <w:r>
        <w:rPr>
          <w:rFonts w:ascii="Book Antiqua" w:hAnsi="Book Antiqua"/>
          <w:color w:val="000000"/>
        </w:rPr>
        <w:t xml:space="preserve">. Concentration of NAM affects HSC </w:t>
      </w:r>
      <w:proofErr w:type="gramStart"/>
      <w:r>
        <w:rPr>
          <w:rFonts w:ascii="Book Antiqua" w:hAnsi="Book Antiqua"/>
          <w:color w:val="000000"/>
        </w:rPr>
        <w:t>expansion</w:t>
      </w:r>
      <w:proofErr w:type="gramEnd"/>
    </w:p>
    <w:p w14:paraId="34B8904F" w14:textId="77777777" w:rsidR="007006AA" w:rsidRDefault="007006AA">
      <w:pPr>
        <w:spacing w:line="360" w:lineRule="auto"/>
        <w:jc w:val="both"/>
        <w:rPr>
          <w:rFonts w:ascii="Book Antiqua" w:hAnsi="Book Antiqua"/>
        </w:rPr>
      </w:pPr>
    </w:p>
    <w:p w14:paraId="2784EF88"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Yan Ren, </w:t>
      </w:r>
      <w:r>
        <w:rPr>
          <w:rFonts w:ascii="Book Antiqua" w:hAnsi="Book Antiqua"/>
          <w:color w:val="000000"/>
        </w:rPr>
        <w:t>Yan-Ni Cui, Hong-Wei Wang</w:t>
      </w:r>
    </w:p>
    <w:p w14:paraId="31E5FD2A" w14:textId="77777777" w:rsidR="007006AA" w:rsidRDefault="007006AA">
      <w:pPr>
        <w:spacing w:line="360" w:lineRule="auto"/>
        <w:jc w:val="both"/>
        <w:rPr>
          <w:rFonts w:ascii="Book Antiqua" w:hAnsi="Book Antiqua"/>
        </w:rPr>
      </w:pPr>
    </w:p>
    <w:p w14:paraId="5F2DF60B"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t xml:space="preserve">Yan Ren, Yan-Ni Cui, </w:t>
      </w:r>
      <w:r>
        <w:rPr>
          <w:rFonts w:ascii="Book Antiqua" w:eastAsia="Book Antiqua" w:hAnsi="Book Antiqua" w:cs="Book Antiqua"/>
          <w:color w:val="000000"/>
        </w:rPr>
        <w:t>The Second Clinical Medical College, Shanxi Medical University, Taiyuan 030001, Shanxi Province, China</w:t>
      </w:r>
    </w:p>
    <w:p w14:paraId="0144F046" w14:textId="77777777" w:rsidR="007006AA" w:rsidRDefault="007006AA">
      <w:pPr>
        <w:spacing w:line="360" w:lineRule="auto"/>
        <w:jc w:val="both"/>
        <w:rPr>
          <w:rFonts w:ascii="Book Antiqua" w:hAnsi="Book Antiqua"/>
        </w:rPr>
      </w:pPr>
    </w:p>
    <w:p w14:paraId="4CC24C99"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t xml:space="preserve">Yan Ren, Yan-Ni Cui, Hong-Wei Wang, </w:t>
      </w:r>
      <w:r>
        <w:rPr>
          <w:rFonts w:ascii="Book Antiqua" w:eastAsia="Book Antiqua" w:hAnsi="Book Antiqua" w:cs="Book Antiqua"/>
          <w:color w:val="000000"/>
        </w:rPr>
        <w:t>Department of Hematology, The Second Hospital of Shanxi Medical University, Taiyuan 030001, Shanxi Province, China</w:t>
      </w:r>
    </w:p>
    <w:p w14:paraId="55017900" w14:textId="77777777" w:rsidR="007006AA" w:rsidRDefault="007006AA">
      <w:pPr>
        <w:spacing w:line="360" w:lineRule="auto"/>
        <w:jc w:val="both"/>
        <w:rPr>
          <w:rFonts w:ascii="Book Antiqua" w:hAnsi="Book Antiqua"/>
        </w:rPr>
      </w:pPr>
    </w:p>
    <w:p w14:paraId="348BDE20"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t xml:space="preserve">Hong-Wei Wang, </w:t>
      </w:r>
      <w:r>
        <w:rPr>
          <w:rFonts w:ascii="Book Antiqua" w:eastAsia="Book Antiqua" w:hAnsi="Book Antiqua" w:cs="Book Antiqua"/>
          <w:color w:val="000000"/>
        </w:rPr>
        <w:t>Department of Hematology, Key Laboratory of Molecular Diagnosis and Treatment of Blood Diseases in Shanxi Province, Taiyuan 030001, Shanxi Province, China</w:t>
      </w:r>
    </w:p>
    <w:p w14:paraId="74D54564" w14:textId="77777777" w:rsidR="007006AA" w:rsidRDefault="007006AA">
      <w:pPr>
        <w:spacing w:line="360" w:lineRule="auto"/>
        <w:jc w:val="both"/>
        <w:rPr>
          <w:rFonts w:ascii="Book Antiqua" w:hAnsi="Book Antiqua"/>
        </w:rPr>
      </w:pPr>
    </w:p>
    <w:p w14:paraId="34D41061" w14:textId="77777777" w:rsidR="007006AA" w:rsidRDefault="00000000">
      <w:pPr>
        <w:spacing w:line="360" w:lineRule="auto"/>
        <w:jc w:val="both"/>
        <w:rPr>
          <w:rFonts w:ascii="Book Antiqua" w:eastAsia="宋体" w:hAnsi="Book Antiqua" w:cs="Book Antiqua"/>
          <w:b/>
          <w:bCs/>
          <w:highlight w:val="yellow"/>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 xml:space="preserve">Yan Ren and </w:t>
      </w:r>
      <w:r>
        <w:rPr>
          <w:rFonts w:ascii="Book Antiqua" w:hAnsi="Book Antiqua"/>
          <w:color w:val="000000"/>
        </w:rPr>
        <w:t>Yan-Ni Cui.</w:t>
      </w:r>
    </w:p>
    <w:p w14:paraId="4685273D" w14:textId="77777777" w:rsidR="007006AA" w:rsidRDefault="007006AA">
      <w:pPr>
        <w:spacing w:line="360" w:lineRule="auto"/>
        <w:jc w:val="both"/>
        <w:rPr>
          <w:rFonts w:ascii="Book Antiqua" w:hAnsi="Book Antiqua"/>
        </w:rPr>
      </w:pPr>
    </w:p>
    <w:p w14:paraId="7D3F2C5E"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Ren Y and Cui YN designed and coordinated the study; Ren Y performed experiments and wrote the manuscript; Cui YN acquired and analyzed the data; Wang HW contributed to ideas, supervision, </w:t>
      </w:r>
      <w:proofErr w:type="gramStart"/>
      <w:r>
        <w:rPr>
          <w:rFonts w:ascii="Book Antiqua" w:eastAsia="Book Antiqua" w:hAnsi="Book Antiqua" w:cs="Book Antiqua"/>
          <w:color w:val="000000"/>
        </w:rPr>
        <w:t>review</w:t>
      </w:r>
      <w:proofErr w:type="gramEnd"/>
      <w:r>
        <w:rPr>
          <w:rFonts w:ascii="Book Antiqua" w:eastAsia="Book Antiqua" w:hAnsi="Book Antiqua" w:cs="Book Antiqua"/>
          <w:color w:val="000000"/>
        </w:rPr>
        <w:t xml:space="preserve"> and editing; and all authors approved the final version of the article.</w:t>
      </w:r>
    </w:p>
    <w:p w14:paraId="7B9610D9" w14:textId="77777777" w:rsidR="007006AA" w:rsidRDefault="007006AA">
      <w:pPr>
        <w:spacing w:line="360" w:lineRule="auto"/>
        <w:jc w:val="both"/>
        <w:rPr>
          <w:rFonts w:ascii="Book Antiqua" w:hAnsi="Book Antiqua"/>
        </w:rPr>
      </w:pPr>
    </w:p>
    <w:p w14:paraId="47115B07"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Science and Technology Department of Shanxi Province, No. YDZJSX2021B009; Health Commission of Shanxi Province, No. 2021XM07; and Shanxi Provincial Department of Education, No. 2023KY380.</w:t>
      </w:r>
    </w:p>
    <w:p w14:paraId="7FDE01AB" w14:textId="77777777" w:rsidR="007006AA" w:rsidRDefault="007006AA">
      <w:pPr>
        <w:spacing w:line="360" w:lineRule="auto"/>
        <w:jc w:val="both"/>
        <w:rPr>
          <w:rFonts w:ascii="Book Antiqua" w:hAnsi="Book Antiqua"/>
        </w:rPr>
      </w:pPr>
    </w:p>
    <w:p w14:paraId="02F2ED11" w14:textId="77777777" w:rsidR="007006A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Hong-Wei Wang, PhD, Professor, </w:t>
      </w:r>
      <w:r>
        <w:rPr>
          <w:rFonts w:ascii="Book Antiqua" w:eastAsia="Book Antiqua" w:hAnsi="Book Antiqua" w:cs="Book Antiqua"/>
          <w:color w:val="000000"/>
        </w:rPr>
        <w:t>Department of Hematology, The Second Hospital of Shanxi Medical University, No. 382 Wuyi Road, Taiyuan 030001, Shanxi Province, China. wanghw68@hotmail.com</w:t>
      </w:r>
    </w:p>
    <w:p w14:paraId="3C7D66E3" w14:textId="77777777" w:rsidR="007006AA" w:rsidRDefault="007006AA">
      <w:pPr>
        <w:spacing w:line="360" w:lineRule="auto"/>
        <w:jc w:val="both"/>
        <w:rPr>
          <w:rFonts w:ascii="Book Antiqua" w:hAnsi="Book Antiqua"/>
        </w:rPr>
      </w:pPr>
    </w:p>
    <w:p w14:paraId="31E0F7C5"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18, 2023</w:t>
      </w:r>
    </w:p>
    <w:p w14:paraId="1E8E213A"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14, 2023</w:t>
      </w:r>
    </w:p>
    <w:p w14:paraId="4D9D6DAF" w14:textId="77777777" w:rsidR="007006AA"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7699"/>
      <w:bookmarkStart w:id="1" w:name="OLE_LINK7616"/>
      <w:bookmarkStart w:id="2" w:name="OLE_LINK7903"/>
      <w:bookmarkStart w:id="3" w:name="OLE_LINK7574"/>
      <w:bookmarkStart w:id="4" w:name="OLE_LINK7709"/>
      <w:bookmarkStart w:id="5" w:name="OLE_LINK29"/>
      <w:bookmarkStart w:id="6" w:name="OLE_LINK7718"/>
      <w:bookmarkStart w:id="7" w:name="OLE_LINK7895"/>
      <w:bookmarkStart w:id="8" w:name="OLE_LINK7843"/>
      <w:bookmarkStart w:id="9" w:name="OLE_LINK7867"/>
      <w:bookmarkStart w:id="10" w:name="OLE_LINK17"/>
      <w:bookmarkStart w:id="11" w:name="OLE_LINK7721"/>
      <w:bookmarkStart w:id="12" w:name="OLE_LINK7703"/>
      <w:bookmarkStart w:id="13" w:name="OLE_LINK7813"/>
      <w:bookmarkStart w:id="14" w:name="OLE_LINK7706"/>
      <w:bookmarkStart w:id="15" w:name="OLE_LINK7695"/>
      <w:bookmarkStart w:id="16" w:name="OLE_LINK7879"/>
      <w:bookmarkStart w:id="17" w:name="OLE_LINK7809"/>
      <w:bookmarkStart w:id="18" w:name="OLE_LINK7796"/>
      <w:bookmarkStart w:id="19" w:name="OLE_LINK4"/>
      <w:bookmarkStart w:id="20" w:name="OLE_LINK7738"/>
      <w:bookmarkStart w:id="21" w:name="OLE_LINK78"/>
      <w:bookmarkStart w:id="22" w:name="OLE_LINK1"/>
      <w:bookmarkStart w:id="23" w:name="OLE_LINK7977"/>
      <w:bookmarkStart w:id="24" w:name="OLE_LINK30"/>
      <w:bookmarkStart w:id="25" w:name="OLE_LINK10"/>
      <w:bookmarkStart w:id="26" w:name="OLE_LINK7122"/>
      <w:bookmarkStart w:id="27" w:name="OLE_LINK1241"/>
      <w:bookmarkStart w:id="28" w:name="OLE_LINK1307"/>
      <w:bookmarkStart w:id="29" w:name="OLE_LINK66"/>
      <w:bookmarkStart w:id="30" w:name="OLE_LINK11"/>
      <w:bookmarkStart w:id="31" w:name="OLE_LINK7730"/>
      <w:bookmarkStart w:id="32" w:name="OLE_LINK1236"/>
      <w:bookmarkStart w:id="33" w:name="OLE_LINK40"/>
      <w:bookmarkStart w:id="34" w:name="OLE_LINK1272"/>
      <w:bookmarkStart w:id="35" w:name="OLE_LINK51"/>
      <w:bookmarkStart w:id="36" w:name="OLE_LINK1247"/>
      <w:bookmarkStart w:id="37" w:name="OLE_LINK1299"/>
      <w:bookmarkStart w:id="38" w:name="OLE_LINK1327"/>
      <w:bookmarkStart w:id="39" w:name="OLE_LINK1233"/>
      <w:bookmarkStart w:id="40" w:name="OLE_LINK1303"/>
      <w:bookmarkStart w:id="41" w:name="OLE_LINK61"/>
      <w:bookmarkStart w:id="42" w:name="OLE_LINK219"/>
      <w:bookmarkStart w:id="43" w:name="OLE_LINK197"/>
      <w:bookmarkStart w:id="44" w:name="OLE_LINK14"/>
      <w:bookmarkStart w:id="45" w:name="OLE_LINK7735"/>
      <w:bookmarkStart w:id="46" w:name="OLE_LINK42"/>
      <w:bookmarkStart w:id="47" w:name="OLE_LINK177"/>
      <w:bookmarkStart w:id="48" w:name="OLE_LINK1219"/>
      <w:bookmarkStart w:id="49" w:name="OLE_LINK34"/>
      <w:bookmarkStart w:id="50" w:name="OLE_LINK7711"/>
      <w:bookmarkStart w:id="51" w:name="OLE_LINK1255"/>
      <w:bookmarkStart w:id="52" w:name="OLE_LINK7846"/>
      <w:bookmarkStart w:id="53" w:name="OLE_LINK1199"/>
      <w:bookmarkStart w:id="54" w:name="OLE_LINK1267"/>
      <w:bookmarkStart w:id="55" w:name="OLE_LINK1218"/>
      <w:bookmarkStart w:id="56" w:name="OLE_LINK6827"/>
      <w:bookmarkStart w:id="57" w:name="OLE_LINK1295"/>
      <w:bookmarkStart w:id="58" w:name="OLE_LINK226"/>
      <w:bookmarkStart w:id="59" w:name="OLE_LINK1242"/>
      <w:bookmarkStart w:id="60" w:name="OLE_LINK7235"/>
      <w:bookmarkStart w:id="61" w:name="OLE_LINK1311"/>
      <w:bookmarkStart w:id="62" w:name="OLE_LINK7513"/>
      <w:bookmarkStart w:id="63" w:name="OLE_LINK7150"/>
      <w:bookmarkStart w:id="64" w:name="OLE_LINK1223"/>
      <w:bookmarkStart w:id="65" w:name="OLE_LINK7547"/>
      <w:bookmarkStart w:id="66" w:name="OLE_LINK1291"/>
      <w:bookmarkStart w:id="67" w:name="OLE_LINK1261"/>
      <w:bookmarkStart w:id="68" w:name="OLE_LINK100"/>
      <w:bookmarkStart w:id="69" w:name="OLE_LINK1222"/>
      <w:bookmarkStart w:id="70" w:name="OLE_LINK74"/>
      <w:bookmarkStart w:id="71" w:name="OLE_LINK7140"/>
      <w:bookmarkStart w:id="72" w:name="OLE_LINK6816"/>
      <w:bookmarkStart w:id="73" w:name="OLE_LINK7555"/>
      <w:bookmarkStart w:id="74" w:name="OLE_LINK7125"/>
      <w:bookmarkStart w:id="75" w:name="OLE_LINK36"/>
      <w:bookmarkStart w:id="76" w:name="OLE_LINK1290"/>
      <w:bookmarkStart w:id="77" w:name="OLE_LINK7116"/>
      <w:bookmarkStart w:id="78" w:name="OLE_LINK7213"/>
      <w:bookmarkStart w:id="79" w:name="OLE_LINK7126"/>
      <w:bookmarkStart w:id="80" w:name="OLE_LINK1246"/>
      <w:bookmarkStart w:id="81" w:name="OLE_LINK19"/>
      <w:bookmarkStart w:id="82" w:name="OLE_LINK7228"/>
      <w:bookmarkStart w:id="83" w:name="OLE_LINK7522"/>
      <w:bookmarkStart w:id="84" w:name="OLE_LINK1220"/>
      <w:bookmarkStart w:id="85" w:name="OLE_LINK1227"/>
      <w:bookmarkStart w:id="86" w:name="OLE_LINK7550"/>
      <w:bookmarkStart w:id="87" w:name="OLE_LINK1231"/>
      <w:bookmarkStart w:id="88" w:name="OLE_LINK7561"/>
      <w:bookmarkStart w:id="89" w:name="OLE_LINK7119"/>
      <w:bookmarkStart w:id="90" w:name="OLE_LINK7641"/>
      <w:bookmarkStart w:id="91" w:name="OLE_LINK7215"/>
      <w:bookmarkStart w:id="92" w:name="OLE_LINK7223"/>
      <w:bookmarkStart w:id="93" w:name="OLE_LINK7527"/>
      <w:bookmarkStart w:id="94" w:name="OLE_LINK7214"/>
      <w:bookmarkStart w:id="95" w:name="OLE_LINK7635"/>
      <w:bookmarkStart w:id="96" w:name="OLE_LINK6834"/>
      <w:bookmarkStart w:id="97" w:name="OLE_LINK6798"/>
      <w:bookmarkStart w:id="98" w:name="OLE_LINK6812"/>
      <w:bookmarkStart w:id="99" w:name="OLE_LINK7617"/>
      <w:bookmarkStart w:id="100" w:name="OLE_LINK7629"/>
      <w:bookmarkStart w:id="101" w:name="OLE_LINK7559"/>
      <w:bookmarkStart w:id="102" w:name="OLE_LINK7133"/>
      <w:bookmarkStart w:id="103" w:name="OLE_LINK7173"/>
      <w:bookmarkStart w:id="104" w:name="OLE_LINK6830"/>
      <w:bookmarkStart w:id="105" w:name="OLE_LINK1224"/>
      <w:bookmarkStart w:id="106" w:name="OLE_LINK1198"/>
      <w:bookmarkStart w:id="107" w:name="OLE_LINK6803"/>
      <w:bookmarkStart w:id="108" w:name="OLE_LINK7127"/>
      <w:bookmarkStart w:id="109" w:name="OLE_LINK7243"/>
      <w:bookmarkStart w:id="110" w:name="OLE_LINK7130"/>
      <w:bookmarkStart w:id="111" w:name="OLE_LINK7145"/>
      <w:bookmarkStart w:id="112" w:name="OLE_LINK7153"/>
      <w:bookmarkStart w:id="113" w:name="OLE_LINK7253"/>
      <w:bookmarkStart w:id="114" w:name="OLE_LINK7587"/>
      <w:bookmarkStart w:id="115" w:name="OLE_LINK7583"/>
      <w:bookmarkStart w:id="116" w:name="OLE_LINK7158"/>
      <w:bookmarkStart w:id="117" w:name="OLE_LINK7710"/>
      <w:bookmarkStart w:id="118" w:name="OLE_LINK7515"/>
      <w:bookmarkStart w:id="119" w:name="OLE_LINK7605"/>
      <w:bookmarkStart w:id="120" w:name="OLE_LINK7141"/>
      <w:bookmarkStart w:id="121" w:name="OLE_LINK7655"/>
      <w:bookmarkStart w:id="122" w:name="OLE_LINK7876"/>
      <w:bookmarkStart w:id="123" w:name="OLE_LINK7712"/>
      <w:bookmarkStart w:id="124" w:name="OLE_LINK7625"/>
      <w:bookmarkStart w:id="125" w:name="OLE_LINK7734"/>
      <w:bookmarkStart w:id="126" w:name="OLE_LINK7665"/>
      <w:bookmarkStart w:id="127" w:name="OLE_LINK7237"/>
      <w:bookmarkStart w:id="128" w:name="OLE_LINK7737"/>
      <w:bookmarkStart w:id="129" w:name="OLE_LINK7602"/>
      <w:bookmarkStart w:id="130" w:name="OLE_LINK7212"/>
      <w:bookmarkStart w:id="131" w:name="OLE_LINK7577"/>
      <w:bookmarkStart w:id="132" w:name="OLE_LINK7568"/>
      <w:bookmarkStart w:id="133" w:name="OLE_LINK7649"/>
      <w:bookmarkStart w:id="134" w:name="OLE_LINK7236"/>
      <w:bookmarkStart w:id="135" w:name="OLE_LINK7837"/>
      <w:bookmarkStart w:id="136" w:name="OLE_LINK7628"/>
      <w:bookmarkStart w:id="137" w:name="OLE_LINK7652"/>
      <w:bookmarkStart w:id="138" w:name="OLE_LINK7736"/>
      <w:bookmarkStart w:id="139" w:name="OLE_LINK7690"/>
      <w:bookmarkStart w:id="140" w:name="OLE_LINK7611"/>
      <w:bookmarkStart w:id="141" w:name="OLE_LINK7569"/>
      <w:bookmarkStart w:id="142" w:name="OLE_LINK7722"/>
      <w:bookmarkStart w:id="143" w:name="OLE_LINK7633"/>
      <w:bookmarkStart w:id="144" w:name="OLE_LINK7530"/>
      <w:bookmarkStart w:id="145" w:name="OLE_LINK7250"/>
      <w:bookmarkStart w:id="146" w:name="OLE_LINK7606"/>
      <w:bookmarkStart w:id="147" w:name="OLE_LINK7608"/>
      <w:bookmarkStart w:id="148" w:name="OLE_LINK7240"/>
      <w:bookmarkStart w:id="149" w:name="OLE_LINK7839"/>
      <w:bookmarkStart w:id="150" w:name="OLE_LINK7984"/>
      <w:bookmarkStart w:id="151" w:name="OLE_LINK174"/>
      <w:bookmarkStart w:id="152" w:name="OLE_LINK49"/>
      <w:bookmarkStart w:id="153" w:name="OLE_LINK7687"/>
      <w:bookmarkStart w:id="154" w:name="OLE_LINK7799"/>
      <w:bookmarkStart w:id="155" w:name="OLE_LINK7896"/>
      <w:bookmarkStart w:id="156" w:name="OLE_LINK7985"/>
      <w:bookmarkStart w:id="157" w:name="OLE_LINK7610"/>
      <w:bookmarkStart w:id="158" w:name="OLE_LINK7620"/>
      <w:bookmarkStart w:id="159" w:name="OLE_LINK7167"/>
      <w:bookmarkStart w:id="160" w:name="OLE_LINK192"/>
      <w:bookmarkStart w:id="161" w:name="OLE_LINK7597"/>
      <w:bookmarkStart w:id="162" w:name="OLE_LINK108"/>
      <w:bookmarkStart w:id="163" w:name="OLE_LINK7894"/>
      <w:bookmarkStart w:id="164" w:name="OLE_LINK41"/>
      <w:bookmarkStart w:id="165" w:name="OLE_LINK7691"/>
      <w:bookmarkStart w:id="166" w:name="OLE_LINK37"/>
      <w:bookmarkStart w:id="167" w:name="OLE_LINK65"/>
      <w:bookmarkStart w:id="168" w:name="OLE_LINK57"/>
      <w:bookmarkStart w:id="169" w:name="OLE_LINK7836"/>
      <w:bookmarkStart w:id="170" w:name="OLE_LINK7820"/>
      <w:bookmarkStart w:id="171" w:name="OLE_LINK6"/>
      <w:bookmarkStart w:id="172" w:name="OLE_LINK87"/>
      <w:bookmarkStart w:id="173" w:name="OLE_LINK54"/>
      <w:bookmarkStart w:id="174" w:name="OLE_LINK7882"/>
      <w:bookmarkStart w:id="175" w:name="OLE_LINK7838"/>
      <w:bookmarkStart w:id="176" w:name="OLE_LINK7571"/>
      <w:bookmarkStart w:id="177" w:name="OLE_LINK7910"/>
      <w:bookmarkStart w:id="178" w:name="OLE_LINK7578"/>
      <w:bookmarkStart w:id="179" w:name="OLE_LINK7873"/>
      <w:bookmarkStart w:id="180" w:name="OLE_LINK7684"/>
      <w:bookmarkStart w:id="181" w:name="OLE_LINK208"/>
      <w:bookmarkStart w:id="182" w:name="OLE_LINK1297"/>
      <w:bookmarkStart w:id="183" w:name="OLE_LINK72"/>
      <w:bookmarkStart w:id="184" w:name="OLE_LINK236"/>
      <w:bookmarkStart w:id="185" w:name="OLE_LINK1326"/>
      <w:bookmarkStart w:id="186" w:name="OLE_LINK1319"/>
      <w:bookmarkStart w:id="187" w:name="OLE_LINK200"/>
      <w:bookmarkStart w:id="188" w:name="OLE_LINK1346"/>
      <w:bookmarkStart w:id="189" w:name="OLE_LINK7983"/>
      <w:bookmarkStart w:id="190" w:name="OLE_LINK1292"/>
      <w:bookmarkStart w:id="191" w:name="OLE_LINK233"/>
      <w:bookmarkStart w:id="192" w:name="OLE_LINK7"/>
      <w:bookmarkStart w:id="193" w:name="OLE_LINK241"/>
      <w:bookmarkStart w:id="194" w:name="OLE_LINK3"/>
      <w:bookmarkStart w:id="195" w:name="OLE_LINK1325"/>
      <w:bookmarkStart w:id="196" w:name="OLE_LINK184"/>
      <w:bookmarkStart w:id="197" w:name="OLE_LINK7979"/>
      <w:bookmarkStart w:id="198" w:name="OLE_LINK187"/>
      <w:bookmarkStart w:id="199" w:name="OLE_LINK15"/>
      <w:bookmarkStart w:id="200" w:name="OLE_LINK229"/>
      <w:bookmarkStart w:id="201" w:name="OLE_LINK46"/>
      <w:bookmarkStart w:id="202" w:name="OLE_LINK203"/>
      <w:bookmarkStart w:id="203" w:name="OLE_LINK7897"/>
      <w:bookmarkStart w:id="204" w:name="OLE_LINK2"/>
      <w:bookmarkStart w:id="205" w:name="OLE_LINK60"/>
      <w:bookmarkStart w:id="206" w:name="OLE_LINK75"/>
      <w:bookmarkStart w:id="207" w:name="OLE_LINK103"/>
      <w:bookmarkStart w:id="208" w:name="OLE_LINK220"/>
      <w:bookmarkStart w:id="209" w:name="OLE_LINK1324"/>
      <w:bookmarkStart w:id="210" w:name="OLE_LINK1318"/>
      <w:bookmarkStart w:id="211" w:name="OLE_LINK82"/>
      <w:bookmarkStart w:id="212" w:name="OLE_LINK7885"/>
      <w:bookmarkStart w:id="213" w:name="OLE_LINK1301"/>
      <w:bookmarkStart w:id="214" w:name="OLE_LINK1244"/>
      <w:bookmarkStart w:id="215" w:name="OLE_LINK7268"/>
      <w:bookmarkStart w:id="216" w:name="OLE_LINK1283"/>
      <w:bookmarkStart w:id="217" w:name="OLE_LINK1251"/>
      <w:bookmarkStart w:id="218" w:name="OLE_LINK7229"/>
      <w:bookmarkStart w:id="219" w:name="OLE_LINK1225"/>
      <w:bookmarkStart w:id="220" w:name="OLE_LINK1286"/>
      <w:bookmarkStart w:id="221" w:name="OLE_LINK1273"/>
      <w:bookmarkStart w:id="222" w:name="OLE_LINK7241"/>
      <w:bookmarkStart w:id="223" w:name="OLE_LINK84"/>
      <w:bookmarkStart w:id="224" w:name="OLE_LINK1232"/>
      <w:bookmarkStart w:id="225" w:name="OLE_LINK1250"/>
      <w:bookmarkStart w:id="226" w:name="OLE_LINK216"/>
      <w:bookmarkStart w:id="227" w:name="OLE_LINK7639"/>
      <w:bookmarkStart w:id="228" w:name="OLE_LINK12"/>
      <w:bookmarkStart w:id="229" w:name="OLE_LINK1312"/>
      <w:bookmarkStart w:id="230" w:name="OLE_LINK7244"/>
      <w:bookmarkStart w:id="231" w:name="OLE_LINK1305"/>
      <w:bookmarkStart w:id="232" w:name="OLE_LINK1352"/>
      <w:bookmarkStart w:id="233" w:name="OLE_LINK1310"/>
      <w:bookmarkStart w:id="234" w:name="OLE_LINK7681"/>
      <w:bookmarkStart w:id="235" w:name="OLE_LINK1334"/>
      <w:bookmarkStart w:id="236" w:name="OLE_LINK26"/>
      <w:bookmarkStart w:id="237" w:name="OLE_LINK1340"/>
      <w:bookmarkStart w:id="238" w:name="OLE_LINK7234"/>
      <w:bookmarkStart w:id="239" w:name="OLE_LINK7630"/>
      <w:bookmarkStart w:id="240" w:name="OLE_LINK1256"/>
      <w:bookmarkStart w:id="241" w:name="OLE_LINK1269"/>
      <w:bookmarkStart w:id="242" w:name="OLE_LINK1276"/>
      <w:bookmarkStart w:id="243" w:name="OLE_LINK7308"/>
      <w:bookmarkStart w:id="244" w:name="OLE_LINK7224"/>
      <w:bookmarkStart w:id="245" w:name="OLE_LINK7254"/>
      <w:bookmarkStart w:id="246" w:name="OLE_LINK7815"/>
      <w:bookmarkStart w:id="247" w:name="OLE_LINK7287"/>
      <w:bookmarkStart w:id="248" w:name="OLE_LINK7675"/>
      <w:bookmarkStart w:id="249" w:name="OLE_LINK7727"/>
      <w:bookmarkStart w:id="250" w:name="OLE_LINK7288"/>
      <w:bookmarkStart w:id="251" w:name="OLE_LINK7700"/>
      <w:bookmarkStart w:id="252" w:name="OLE_LINK7618"/>
      <w:bookmarkStart w:id="253" w:name="OLE_LINK7644"/>
      <w:bookmarkStart w:id="254" w:name="OLE_LINK7295"/>
      <w:bookmarkStart w:id="255" w:name="OLE_LINK7806"/>
      <w:bookmarkStart w:id="256" w:name="OLE_LINK7724"/>
      <w:bookmarkStart w:id="257" w:name="OLE_LINK7693"/>
      <w:bookmarkStart w:id="258" w:name="OLE_LINK1322"/>
      <w:bookmarkStart w:id="259" w:name="OLE_LINK1315"/>
      <w:bookmarkStart w:id="260" w:name="OLE_LINK7290"/>
      <w:bookmarkStart w:id="261" w:name="OLE_LINK23"/>
      <w:bookmarkStart w:id="262" w:name="OLE_LINK1342"/>
      <w:bookmarkStart w:id="263" w:name="OLE_LINK1262"/>
      <w:bookmarkStart w:id="264" w:name="OLE_LINK7264"/>
      <w:bookmarkStart w:id="265" w:name="OLE_LINK7302"/>
      <w:bookmarkStart w:id="266" w:name="OLE_LINK1237"/>
      <w:bookmarkStart w:id="267" w:name="OLE_LINK7300"/>
      <w:bookmarkStart w:id="268" w:name="OLE_LINK7650"/>
      <w:bookmarkStart w:id="269" w:name="OLE_LINK7301"/>
      <w:bookmarkStart w:id="270" w:name="OLE_LINK1282"/>
      <w:bookmarkStart w:id="271" w:name="OLE_LINK7305"/>
      <w:bookmarkStart w:id="272" w:name="OLE_LINK7732"/>
      <w:bookmarkStart w:id="273" w:name="OLE_LINK7682"/>
      <w:bookmarkStart w:id="274" w:name="OLE_LINK7810"/>
      <w:bookmarkStart w:id="275" w:name="OLE_LINK7688"/>
      <w:bookmarkStart w:id="276" w:name="OLE_LINK7238"/>
      <w:bookmarkStart w:id="277" w:name="OLE_LINK7642"/>
      <w:bookmarkStart w:id="278" w:name="OLE_LINK7313"/>
      <w:bookmarkStart w:id="279" w:name="OLE_LINK7619"/>
      <w:bookmarkStart w:id="280" w:name="OLE_LINK7666"/>
      <w:bookmarkStart w:id="281" w:name="OLE_LINK7744"/>
      <w:bookmarkStart w:id="282" w:name="OLE_LINK7654"/>
      <w:bookmarkStart w:id="283" w:name="OLE_LINK7403"/>
      <w:bookmarkStart w:id="284" w:name="OLE_LINK7265"/>
      <w:bookmarkStart w:id="285" w:name="OLE_LINK7761"/>
      <w:bookmarkStart w:id="286" w:name="OLE_LINK7282"/>
      <w:bookmarkStart w:id="287" w:name="OLE_LINK7646"/>
      <w:bookmarkStart w:id="288" w:name="OLE_LINK7296"/>
      <w:bookmarkStart w:id="289" w:name="OLE_LINK7259"/>
      <w:bookmarkStart w:id="290" w:name="OLE_LINK7326"/>
      <w:bookmarkStart w:id="291" w:name="OLE_LINK7775"/>
      <w:bookmarkStart w:id="292" w:name="OLE_LINK7432"/>
      <w:bookmarkStart w:id="293" w:name="OLE_LINK7785"/>
      <w:bookmarkStart w:id="294" w:name="OLE_LINK7794"/>
      <w:bookmarkStart w:id="295" w:name="OLE_LINK7623"/>
      <w:bookmarkStart w:id="296" w:name="OLE_LINK7670"/>
      <w:bookmarkStart w:id="297" w:name="OLE_LINK7753"/>
      <w:bookmarkStart w:id="298" w:name="OLE_LINK7440"/>
      <w:bookmarkStart w:id="299" w:name="OLE_LINK7772"/>
      <w:bookmarkStart w:id="300" w:name="OLE_LINK7263"/>
      <w:bookmarkStart w:id="301" w:name="OLE_LINK7260"/>
      <w:bookmarkStart w:id="302" w:name="OLE_LINK7779"/>
      <w:bookmarkStart w:id="303" w:name="OLE_LINK7811"/>
      <w:bookmarkStart w:id="304" w:name="OLE_LINK7274"/>
      <w:bookmarkStart w:id="305" w:name="OLE_LINK7803"/>
      <w:bookmarkStart w:id="306" w:name="OLE_LINK7245"/>
      <w:bookmarkStart w:id="307" w:name="OLE_LINK7292"/>
      <w:bookmarkStart w:id="308" w:name="OLE_LINK7538"/>
      <w:bookmarkStart w:id="309" w:name="OLE_LINK7523"/>
      <w:bookmarkStart w:id="310" w:name="OLE_LINK7749"/>
      <w:bookmarkStart w:id="311" w:name="OLE_LINK7303"/>
      <w:bookmarkStart w:id="312" w:name="OLE_LINK7786"/>
      <w:bookmarkStart w:id="313" w:name="OLE_LINK7279"/>
      <w:bookmarkStart w:id="314" w:name="OLE_LINK7588"/>
      <w:bookmarkStart w:id="315" w:name="OLE_LINK7658"/>
      <w:bookmarkStart w:id="316" w:name="OLE_LINK7769"/>
      <w:bookmarkStart w:id="317" w:name="OLE_LINK7743"/>
      <w:bookmarkStart w:id="318" w:name="OLE_LINK7266"/>
      <w:bookmarkStart w:id="319" w:name="OLE_LINK7573"/>
      <w:bookmarkStart w:id="320" w:name="OLE_LINK7533"/>
      <w:bookmarkStart w:id="321" w:name="OLE_LINK7272"/>
      <w:bookmarkStart w:id="322" w:name="OLE_LINK7548"/>
      <w:bookmarkStart w:id="323" w:name="OLE_LINK7788"/>
      <w:bookmarkStart w:id="324" w:name="OLE_LINK7818"/>
      <w:bookmarkStart w:id="325" w:name="OLE_LINK7805"/>
      <w:bookmarkStart w:id="326" w:name="OLE_LINK7814"/>
      <w:bookmarkStart w:id="327" w:name="OLE_LINK7822"/>
      <w:bookmarkStart w:id="328" w:name="OLE_LINK7801"/>
      <w:bookmarkStart w:id="329" w:name="OLE_LINK7379"/>
      <w:bookmarkStart w:id="330" w:name="OLE_LINK7552"/>
      <w:bookmarkStart w:id="331" w:name="OLE_LINK7834"/>
      <w:bookmarkStart w:id="332" w:name="OLE_LINK7562"/>
      <w:bookmarkStart w:id="333" w:name="OLE_LINK7791"/>
      <w:bookmarkStart w:id="334" w:name="OLE_LINK7648"/>
      <w:bookmarkStart w:id="335" w:name="OLE_LINK7765"/>
      <w:bookmarkStart w:id="336" w:name="OLE_LINK7756"/>
      <w:bookmarkStart w:id="337" w:name="OLE_LINK7394"/>
      <w:bookmarkStart w:id="338" w:name="OLE_LINK7800"/>
      <w:bookmarkStart w:id="339" w:name="OLE_LINK7526"/>
      <w:bookmarkStart w:id="340" w:name="OLE_LINK7307"/>
      <w:bookmarkStart w:id="341" w:name="OLE_LINK7579"/>
      <w:bookmarkStart w:id="342" w:name="OLE_LINK7534"/>
      <w:bookmarkStart w:id="343" w:name="OLE_LINK7317"/>
      <w:bookmarkStart w:id="344" w:name="OLE_LINK7322"/>
      <w:bookmarkStart w:id="345" w:name="OLE_LINK7389"/>
      <w:bookmarkStart w:id="346" w:name="OLE_LINK7631"/>
      <w:bookmarkStart w:id="347" w:name="OLE_LINK7422"/>
      <w:bookmarkStart w:id="348" w:name="OLE_LINK7376"/>
      <w:bookmarkStart w:id="349" w:name="OLE_LINK7572"/>
      <w:bookmarkStart w:id="350" w:name="OLE_LINK7383"/>
      <w:bookmarkStart w:id="351" w:name="OLE_LINK7793"/>
      <w:bookmarkStart w:id="352" w:name="OLE_LINK7426"/>
      <w:bookmarkStart w:id="353" w:name="OLE_LINK7739"/>
      <w:bookmarkStart w:id="354" w:name="OLE_LINK7386"/>
      <w:bookmarkStart w:id="355" w:name="OLE_LINK7840"/>
      <w:bookmarkStart w:id="356" w:name="OLE_LINK7825"/>
      <w:bookmarkStart w:id="357" w:name="OLE_LINK7593"/>
      <w:r>
        <w:rPr>
          <w:rFonts w:ascii="Book Antiqua" w:hAnsi="Book Antiqua"/>
        </w:rPr>
        <w:t>January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B85B495"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February 26, 2024</w:t>
      </w:r>
    </w:p>
    <w:p w14:paraId="436D8215" w14:textId="77777777" w:rsidR="007006AA" w:rsidRDefault="007006AA">
      <w:pPr>
        <w:spacing w:line="360" w:lineRule="auto"/>
        <w:jc w:val="both"/>
        <w:rPr>
          <w:rFonts w:ascii="Book Antiqua" w:hAnsi="Book Antiqua"/>
        </w:rPr>
        <w:sectPr w:rsidR="007006AA" w:rsidSect="00DC2844">
          <w:footerReference w:type="default" r:id="rId7"/>
          <w:pgSz w:w="12240" w:h="15840"/>
          <w:pgMar w:top="1440" w:right="1440" w:bottom="1440" w:left="1440" w:header="720" w:footer="720" w:gutter="0"/>
          <w:cols w:space="720"/>
          <w:docGrid w:linePitch="360"/>
        </w:sectPr>
      </w:pPr>
    </w:p>
    <w:p w14:paraId="5B24442E"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9588FC6"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5906A74" w14:textId="77777777" w:rsidR="007006AA" w:rsidRDefault="00000000">
      <w:pPr>
        <w:spacing w:line="360" w:lineRule="auto"/>
        <w:jc w:val="both"/>
        <w:rPr>
          <w:rFonts w:ascii="Book Antiqua" w:hAnsi="Book Antiqua"/>
        </w:rPr>
      </w:pPr>
      <w:r>
        <w:rPr>
          <w:rFonts w:ascii="Book Antiqua" w:eastAsia="Book Antiqua" w:hAnsi="Book Antiqua" w:cs="Book Antiqua"/>
          <w:i/>
          <w:iCs/>
        </w:rPr>
        <w:t>In vitro</w:t>
      </w:r>
      <w:r>
        <w:rPr>
          <w:rFonts w:ascii="Book Antiqua" w:eastAsia="Book Antiqua" w:hAnsi="Book Antiqua" w:cs="Book Antiqua"/>
        </w:rPr>
        <w:t xml:space="preserve"> expansion to increase numbers of hematopoietic stem cells (HSCs) in cord blood could improve clinical efficacy of this vital resource. Nicotinamide (NAM) can promote HSC expansion </w:t>
      </w:r>
      <w:r>
        <w:rPr>
          <w:rFonts w:ascii="Book Antiqua" w:eastAsia="Book Antiqua" w:hAnsi="Book Antiqua" w:cs="Book Antiqua"/>
          <w:i/>
          <w:iCs/>
        </w:rPr>
        <w:t>ex vivo</w:t>
      </w:r>
      <w:r>
        <w:rPr>
          <w:rFonts w:ascii="Book Antiqua" w:eastAsia="Book Antiqua" w:hAnsi="Book Antiqua" w:cs="Book Antiqua"/>
        </w:rPr>
        <w:t>, but its effect on hematopoietic stem and progenitor cells (HSPCs, CD34</w:t>
      </w:r>
      <w:r>
        <w:rPr>
          <w:rFonts w:ascii="Book Antiqua" w:eastAsia="Book Antiqua" w:hAnsi="Book Antiqua" w:cs="Book Antiqua"/>
          <w:vertAlign w:val="superscript"/>
        </w:rPr>
        <w:t>+</w:t>
      </w:r>
      <w:r>
        <w:rPr>
          <w:rFonts w:ascii="Book Antiqua" w:eastAsia="Book Antiqua" w:hAnsi="Book Antiqua" w:cs="Book Antiqua"/>
        </w:rPr>
        <w:t>CD38</w:t>
      </w:r>
      <w:r>
        <w:rPr>
          <w:rFonts w:ascii="Book Antiqua" w:eastAsia="Book Antiqua" w:hAnsi="Book Antiqua" w:cs="Book Antiqua"/>
          <w:vertAlign w:val="superscript"/>
        </w:rPr>
        <w:sym w:font="Symbol" w:char="F02D"/>
      </w:r>
      <w:r>
        <w:rPr>
          <w:rFonts w:ascii="Book Antiqua" w:eastAsia="Book Antiqua" w:hAnsi="Book Antiqua" w:cs="Book Antiqua"/>
        </w:rPr>
        <w:t>) and functional subtypes of HSCs</w:t>
      </w:r>
      <w:bookmarkStart w:id="358" w:name="_Hlk154333925"/>
      <w:r>
        <w:rPr>
          <w:rFonts w:ascii="Book Antiqua" w:eastAsia="Book Antiqua" w:hAnsi="Book Antiqua" w:cs="Book Antiqua"/>
        </w:rPr>
        <w:t xml:space="preserve"> – short-term repopulating HSCs</w:t>
      </w:r>
      <w:bookmarkEnd w:id="358"/>
      <w:r>
        <w:rPr>
          <w:rFonts w:ascii="Book Antiqua" w:eastAsia="Book Antiqua" w:hAnsi="Book Antiqua" w:cs="Book Antiqua"/>
        </w:rPr>
        <w:t xml:space="preserve"> (ST-HSCs, CD34</w:t>
      </w:r>
      <w:r>
        <w:rPr>
          <w:rFonts w:ascii="Book Antiqua" w:eastAsia="Book Antiqua" w:hAnsi="Book Antiqua" w:cs="Book Antiqua"/>
          <w:vertAlign w:val="superscript"/>
        </w:rPr>
        <w:t>+</w:t>
      </w:r>
      <w:r>
        <w:rPr>
          <w:rFonts w:ascii="Book Antiqua" w:eastAsia="Book Antiqua" w:hAnsi="Book Antiqua" w:cs="Book Antiqua"/>
        </w:rPr>
        <w:t>CD38</w:t>
      </w:r>
      <w:r>
        <w:rPr>
          <w:rFonts w:ascii="Book Antiqua" w:eastAsia="Book Antiqua" w:hAnsi="Book Antiqua" w:cs="Book Antiqua"/>
          <w:vertAlign w:val="superscript"/>
        </w:rPr>
        <w:sym w:font="Symbol" w:char="F02D"/>
      </w:r>
      <w:r>
        <w:rPr>
          <w:rFonts w:ascii="Book Antiqua" w:eastAsia="Book Antiqua" w:hAnsi="Book Antiqua" w:cs="Book Antiqua"/>
        </w:rPr>
        <w:t>CD45RA</w:t>
      </w:r>
      <w:r>
        <w:rPr>
          <w:rFonts w:ascii="Book Antiqua" w:eastAsia="Book Antiqua" w:hAnsi="Book Antiqua" w:cs="Book Antiqua"/>
          <w:vertAlign w:val="superscript"/>
        </w:rPr>
        <w:sym w:font="Symbol" w:char="F02D"/>
      </w:r>
      <w:r>
        <w:rPr>
          <w:rFonts w:ascii="Book Antiqua" w:eastAsia="Book Antiqua" w:hAnsi="Book Antiqua" w:cs="Book Antiqua"/>
        </w:rPr>
        <w:t>CD49f</w:t>
      </w:r>
      <w:r>
        <w:rPr>
          <w:rFonts w:ascii="Book Antiqua" w:eastAsia="Book Antiqua" w:hAnsi="Book Antiqua" w:cs="Book Antiqua"/>
          <w:vertAlign w:val="superscript"/>
        </w:rPr>
        <w:t>+</w:t>
      </w:r>
      <w:r>
        <w:rPr>
          <w:rFonts w:ascii="Book Antiqua" w:eastAsia="Book Antiqua" w:hAnsi="Book Antiqua" w:cs="Book Antiqua"/>
        </w:rPr>
        <w:t xml:space="preserve">) and </w:t>
      </w:r>
      <w:bookmarkStart w:id="359" w:name="_Hlk154333992"/>
      <w:r>
        <w:rPr>
          <w:rFonts w:ascii="Book Antiqua" w:eastAsia="Book Antiqua" w:hAnsi="Book Antiqua" w:cs="Book Antiqua"/>
        </w:rPr>
        <w:t>long-term repopulating HSCs (LT-HSCs</w:t>
      </w:r>
      <w:bookmarkEnd w:id="359"/>
      <w:r>
        <w:rPr>
          <w:rFonts w:ascii="Book Antiqua" w:eastAsia="Book Antiqua" w:hAnsi="Book Antiqua" w:cs="Book Antiqua"/>
        </w:rPr>
        <w:t>, CD34</w:t>
      </w:r>
      <w:r>
        <w:rPr>
          <w:rFonts w:ascii="Book Antiqua" w:eastAsia="Book Antiqua" w:hAnsi="Book Antiqua" w:cs="Book Antiqua"/>
          <w:vertAlign w:val="superscript"/>
        </w:rPr>
        <w:t>+</w:t>
      </w:r>
      <w:r>
        <w:rPr>
          <w:rFonts w:ascii="Book Antiqua" w:eastAsia="Book Antiqua" w:hAnsi="Book Antiqua" w:cs="Book Antiqua"/>
        </w:rPr>
        <w:t>CD38</w:t>
      </w:r>
      <w:r>
        <w:rPr>
          <w:rFonts w:ascii="Book Antiqua" w:eastAsia="Book Antiqua" w:hAnsi="Book Antiqua" w:cs="Book Antiqua"/>
          <w:vertAlign w:val="superscript"/>
        </w:rPr>
        <w:sym w:font="Symbol" w:char="F02D"/>
      </w:r>
      <w:r>
        <w:rPr>
          <w:rFonts w:ascii="Book Antiqua" w:eastAsia="Book Antiqua" w:hAnsi="Book Antiqua" w:cs="Book Antiqua"/>
        </w:rPr>
        <w:t>CD45RA</w:t>
      </w:r>
      <w:r>
        <w:rPr>
          <w:rFonts w:ascii="Book Antiqua" w:eastAsia="Book Antiqua" w:hAnsi="Book Antiqua" w:cs="Book Antiqua"/>
          <w:vertAlign w:val="superscript"/>
        </w:rPr>
        <w:sym w:font="Symbol" w:char="F02D"/>
      </w:r>
      <w:r>
        <w:rPr>
          <w:rFonts w:ascii="Book Antiqua" w:eastAsia="Book Antiqua" w:hAnsi="Book Antiqua" w:cs="Book Antiqua"/>
        </w:rPr>
        <w:t>CD49f</w:t>
      </w:r>
      <w:r>
        <w:rPr>
          <w:rFonts w:ascii="Book Antiqua" w:eastAsia="Book Antiqua" w:hAnsi="Book Antiqua" w:cs="Book Antiqua"/>
          <w:vertAlign w:val="superscript"/>
        </w:rPr>
        <w:t>+</w:t>
      </w:r>
      <w:r>
        <w:rPr>
          <w:rFonts w:ascii="Book Antiqua" w:eastAsia="Book Antiqua" w:hAnsi="Book Antiqua" w:cs="Book Antiqua"/>
        </w:rPr>
        <w:t>CD90</w:t>
      </w:r>
      <w:r>
        <w:rPr>
          <w:rFonts w:ascii="Book Antiqua" w:eastAsia="Book Antiqua" w:hAnsi="Book Antiqua" w:cs="Book Antiqua"/>
          <w:vertAlign w:val="superscript"/>
        </w:rPr>
        <w:t>+</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is not yet known. As a </w:t>
      </w:r>
      <w:proofErr w:type="spellStart"/>
      <w:r>
        <w:rPr>
          <w:rFonts w:ascii="Book Antiqua" w:eastAsia="Book Antiqua" w:hAnsi="Book Antiqua" w:cs="Book Antiqua"/>
        </w:rPr>
        <w:t>sirtuin</w:t>
      </w:r>
      <w:proofErr w:type="spellEnd"/>
      <w:r>
        <w:rPr>
          <w:rFonts w:ascii="Book Antiqua" w:eastAsia="Book Antiqua" w:hAnsi="Book Antiqua" w:cs="Book Antiqua"/>
        </w:rPr>
        <w:t xml:space="preserve"> 1 (SIRT1) inhibitor, NAM participates in regulating cell adhesion, polarity, migration, proliferation, and differentiation. However, SIRT1 exhibits dual effects by promoting or inhibiting differentiation in different tissues or cells. We propose that the concentration of NAM may influence proliferation, differentiation, and SIRT1 signaling of HSCs.</w:t>
      </w:r>
    </w:p>
    <w:p w14:paraId="4050E7F1" w14:textId="77777777" w:rsidR="007006AA" w:rsidRDefault="007006AA">
      <w:pPr>
        <w:spacing w:line="360" w:lineRule="auto"/>
        <w:jc w:val="both"/>
        <w:rPr>
          <w:rFonts w:ascii="Book Antiqua" w:hAnsi="Book Antiqua"/>
        </w:rPr>
      </w:pPr>
    </w:p>
    <w:p w14:paraId="7ADECF81"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AIM</w:t>
      </w:r>
    </w:p>
    <w:p w14:paraId="50CB8897" w14:textId="77777777" w:rsidR="007006AA" w:rsidRDefault="00000000">
      <w:pPr>
        <w:spacing w:line="360" w:lineRule="auto"/>
        <w:jc w:val="both"/>
        <w:rPr>
          <w:rFonts w:ascii="Book Antiqua" w:hAnsi="Book Antiqua"/>
        </w:rPr>
      </w:pPr>
      <w:r>
        <w:rPr>
          <w:rFonts w:ascii="Book Antiqua" w:eastAsia="Book Antiqua" w:hAnsi="Book Antiqua" w:cs="Book Antiqua"/>
        </w:rPr>
        <w:t>To evaluate the effects and underlying mechanisms of action of different concentrations of NAM on HSC proliferation and differentiation.</w:t>
      </w:r>
    </w:p>
    <w:p w14:paraId="2B43E4F2" w14:textId="77777777" w:rsidR="007006AA" w:rsidRDefault="007006AA">
      <w:pPr>
        <w:spacing w:line="360" w:lineRule="auto"/>
        <w:jc w:val="both"/>
        <w:rPr>
          <w:rFonts w:ascii="Book Antiqua" w:hAnsi="Book Antiqua"/>
        </w:rPr>
      </w:pPr>
    </w:p>
    <w:p w14:paraId="66B2D474"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58D5D59" w14:textId="77777777" w:rsidR="007006AA" w:rsidRDefault="00000000">
      <w:pPr>
        <w:spacing w:line="360" w:lineRule="auto"/>
        <w:jc w:val="both"/>
        <w:rPr>
          <w:rFonts w:ascii="Book Antiqua" w:hAnsi="Book Antiqua"/>
        </w:rPr>
      </w:pPr>
      <w:r>
        <w:rPr>
          <w:rFonts w:ascii="Book Antiqua" w:eastAsia="Book Antiqua" w:hAnsi="Book Antiqua" w:cs="Book Antiqua"/>
        </w:rPr>
        <w:t>CD34</w:t>
      </w:r>
      <w:r>
        <w:rPr>
          <w:rFonts w:ascii="Book Antiqua" w:eastAsia="Book Antiqua" w:hAnsi="Book Antiqua" w:cs="Book Antiqua"/>
          <w:vertAlign w:val="superscript"/>
        </w:rPr>
        <w:t>+</w:t>
      </w:r>
      <w:r>
        <w:rPr>
          <w:rFonts w:ascii="Book Antiqua" w:eastAsia="Book Antiqua" w:hAnsi="Book Antiqua" w:cs="Book Antiqua"/>
        </w:rPr>
        <w:t xml:space="preserve"> cells were purified from umbilical cord blood using MacsCD34 </w:t>
      </w:r>
      <w:proofErr w:type="gramStart"/>
      <w:r>
        <w:rPr>
          <w:rFonts w:ascii="Book Antiqua" w:eastAsia="Book Antiqua" w:hAnsi="Book Antiqua" w:cs="Book Antiqua"/>
        </w:rPr>
        <w:t>beads, and</w:t>
      </w:r>
      <w:proofErr w:type="gramEnd"/>
      <w:r>
        <w:rPr>
          <w:rFonts w:ascii="Book Antiqua" w:eastAsia="Book Antiqua" w:hAnsi="Book Antiqua" w:cs="Book Antiqua"/>
        </w:rPr>
        <w:t xml:space="preserve"> cultured for 10–12 d in a serum-free medium supplemented with cytokines, with different concentrations of NAM added according to experimental requirements. Flow cytometry was used to detect phenotype, cell cycle distribution, and apoptosis of the cultured cells. </w:t>
      </w:r>
      <w:bookmarkStart w:id="360" w:name="_Hlk154332278"/>
      <w:r>
        <w:rPr>
          <w:rFonts w:ascii="Book Antiqua" w:eastAsia="Book Antiqua" w:hAnsi="Book Antiqua" w:cs="Book Antiqua"/>
        </w:rPr>
        <w:t>Real-time polymerase chain reaction</w:t>
      </w:r>
      <w:bookmarkEnd w:id="360"/>
      <w:r>
        <w:rPr>
          <w:rFonts w:ascii="Book Antiqua" w:eastAsia="Book Antiqua" w:hAnsi="Book Antiqua" w:cs="Book Antiqua"/>
        </w:rPr>
        <w:t xml:space="preserve"> was used to detect the transcription levels of target genes encoding stemness-related factors, chemokines, components of hypoxia pathways, and antioxidant enzymes. Dichloro-dihydro-fluorescein diacetate probes were used to evaluate intracellular production of reactive oxygen species (ROS). Determination of the effect of different culture conditions on the balance of cytokine by cytometric bead array.</w:t>
      </w:r>
    </w:p>
    <w:p w14:paraId="4B431F29" w14:textId="77777777" w:rsidR="007006AA" w:rsidRDefault="007006AA">
      <w:pPr>
        <w:spacing w:line="360" w:lineRule="auto"/>
        <w:jc w:val="both"/>
        <w:rPr>
          <w:rFonts w:ascii="Book Antiqua" w:hAnsi="Book Antiqua"/>
        </w:rPr>
      </w:pPr>
    </w:p>
    <w:p w14:paraId="690F3D16"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RESULTS</w:t>
      </w:r>
    </w:p>
    <w:p w14:paraId="08A762FE" w14:textId="77777777" w:rsidR="007006AA" w:rsidRDefault="00000000">
      <w:pPr>
        <w:spacing w:line="360" w:lineRule="auto"/>
        <w:jc w:val="both"/>
        <w:rPr>
          <w:rFonts w:ascii="Book Antiqua" w:hAnsi="Book Antiqua"/>
        </w:rPr>
      </w:pPr>
      <w:r>
        <w:rPr>
          <w:rFonts w:ascii="Book Antiqua" w:eastAsia="Book Antiqua" w:hAnsi="Book Antiqua" w:cs="Book Antiqua"/>
        </w:rPr>
        <w:lastRenderedPageBreak/>
        <w:t>Compared with the control group, the proportion and expansion folds of HSPCs (CD34</w:t>
      </w:r>
      <w:r>
        <w:rPr>
          <w:rFonts w:ascii="Book Antiqua" w:eastAsia="Book Antiqua" w:hAnsi="Book Antiqua" w:cs="Book Antiqua"/>
          <w:vertAlign w:val="superscript"/>
        </w:rPr>
        <w:t>+</w:t>
      </w:r>
      <w:r>
        <w:rPr>
          <w:rFonts w:ascii="Book Antiqua" w:eastAsia="Book Antiqua" w:hAnsi="Book Antiqua" w:cs="Book Antiqua"/>
        </w:rPr>
        <w:t>CD38</w:t>
      </w:r>
      <w:r>
        <w:rPr>
          <w:rFonts w:ascii="Book Antiqua" w:eastAsia="Book Antiqua" w:hAnsi="Book Antiqua" w:cs="Book Antiqua"/>
          <w:vertAlign w:val="superscript"/>
        </w:rPr>
        <w:sym w:font="Symbol" w:char="F02D"/>
      </w:r>
      <w:r>
        <w:rPr>
          <w:rFonts w:ascii="Book Antiqua" w:eastAsia="Book Antiqua" w:hAnsi="Book Antiqua" w:cs="Book Antiqua"/>
        </w:rPr>
        <w:t xml:space="preserve">) incubated with 5 mmol/L or 10 mmol/L NAM were significantly increased (all </w:t>
      </w:r>
      <w:r>
        <w:rPr>
          <w:rFonts w:ascii="Book Antiqua" w:eastAsia="Book Antiqua" w:hAnsi="Book Antiqua" w:cs="Book Antiqua"/>
          <w:i/>
          <w:iCs/>
        </w:rPr>
        <w:t>P</w:t>
      </w:r>
      <w:r>
        <w:rPr>
          <w:rFonts w:ascii="Book Antiqua" w:eastAsia="Book Antiqua" w:hAnsi="Book Antiqua" w:cs="Book Antiqua"/>
        </w:rPr>
        <w:t xml:space="preserve"> &lt; 0.05). The ST-HSCs ratio and fold expansion of the 5 mmol/L NAM group were significantly higher than those of the control and 10 mmol/L NAM groups (all </w:t>
      </w:r>
      <w:r>
        <w:rPr>
          <w:rFonts w:ascii="Book Antiqua" w:eastAsia="Book Antiqua" w:hAnsi="Book Antiqua" w:cs="Book Antiqua"/>
          <w:i/>
          <w:iCs/>
        </w:rPr>
        <w:t>P</w:t>
      </w:r>
      <w:r>
        <w:rPr>
          <w:rFonts w:ascii="Book Antiqua" w:eastAsia="Book Antiqua" w:hAnsi="Book Antiqua" w:cs="Book Antiqua"/>
        </w:rPr>
        <w:t xml:space="preserve"> &lt; 0.001), whereas the LT-HSCs ratio and fold expansion of the 10 mmol/L NAM group were significantly higher than those of the other two groups (all </w:t>
      </w:r>
      <w:r>
        <w:rPr>
          <w:rFonts w:ascii="Book Antiqua" w:eastAsia="Book Antiqua" w:hAnsi="Book Antiqua" w:cs="Book Antiqua"/>
          <w:i/>
          <w:iCs/>
        </w:rPr>
        <w:t>P</w:t>
      </w:r>
      <w:r>
        <w:rPr>
          <w:rFonts w:ascii="Book Antiqua" w:eastAsia="Book Antiqua" w:hAnsi="Book Antiqua" w:cs="Book Antiqua"/>
        </w:rPr>
        <w:t xml:space="preserve"> &lt; 0.05). When the NAM concentration was &gt; 10 mmol/L, cell viability significantly decreased. In addition, compared with the 5 mmol/L NAM group, the proportion of apoptotic cells in the 10 mmol/L NAM group increased and the proportion of cells in S and G2 phase decreased. Compared with the 5 mmol/L NAM group, the HSCs incubated with 10 mmol/L NAM exhibited significantly inhibited SIRT1 expression, increased intracellular ROS content, and downregulated expression of genes encoding antioxidant enzymes (superoxide dismutase 1, peroxiredoxin 1).</w:t>
      </w:r>
    </w:p>
    <w:p w14:paraId="188D5044" w14:textId="77777777" w:rsidR="007006AA" w:rsidRDefault="007006AA">
      <w:pPr>
        <w:spacing w:line="360" w:lineRule="auto"/>
        <w:jc w:val="both"/>
        <w:rPr>
          <w:rFonts w:ascii="Book Antiqua" w:hAnsi="Book Antiqua"/>
        </w:rPr>
      </w:pPr>
    </w:p>
    <w:p w14:paraId="004CF7B4"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3C7744E" w14:textId="77777777" w:rsidR="007006AA" w:rsidRDefault="00000000">
      <w:pPr>
        <w:spacing w:line="360" w:lineRule="auto"/>
        <w:jc w:val="both"/>
        <w:rPr>
          <w:rFonts w:ascii="Book Antiqua" w:hAnsi="Book Antiqua"/>
        </w:rPr>
      </w:pPr>
      <w:r>
        <w:rPr>
          <w:rFonts w:ascii="Book Antiqua" w:eastAsia="Book Antiqua" w:hAnsi="Book Antiqua" w:cs="Book Antiqua"/>
        </w:rPr>
        <w:t>Low concentrations (5 mmol/L) of NAM can better regulate the balance between proliferation and differentiation, thereby promoting expansion of HSCs. These findings allow adjustment of NAM concentrations according to expansion needs.</w:t>
      </w:r>
    </w:p>
    <w:p w14:paraId="35C5ABDB" w14:textId="77777777" w:rsidR="007006AA" w:rsidRDefault="007006AA">
      <w:pPr>
        <w:spacing w:line="360" w:lineRule="auto"/>
        <w:jc w:val="both"/>
        <w:rPr>
          <w:rFonts w:ascii="Book Antiqua" w:hAnsi="Book Antiqua"/>
        </w:rPr>
      </w:pPr>
    </w:p>
    <w:p w14:paraId="7B5EB869"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Hematopoietic stem cells; Nicotinamide; Concentration; Proliferation; Differentiation; </w:t>
      </w:r>
      <w:proofErr w:type="spellStart"/>
      <w:r>
        <w:rPr>
          <w:rFonts w:ascii="Book Antiqua" w:eastAsia="Book Antiqua" w:hAnsi="Book Antiqua" w:cs="Book Antiqua"/>
        </w:rPr>
        <w:t>Sirtuin</w:t>
      </w:r>
      <w:proofErr w:type="spellEnd"/>
      <w:r>
        <w:rPr>
          <w:rFonts w:ascii="Book Antiqua" w:eastAsia="Book Antiqua" w:hAnsi="Book Antiqua" w:cs="Book Antiqua"/>
        </w:rPr>
        <w:t xml:space="preserve"> 1</w:t>
      </w:r>
    </w:p>
    <w:p w14:paraId="7BD59BC3" w14:textId="77777777" w:rsidR="007006AA" w:rsidRDefault="007006AA">
      <w:pPr>
        <w:spacing w:line="360" w:lineRule="auto"/>
        <w:jc w:val="both"/>
        <w:rPr>
          <w:rFonts w:ascii="Book Antiqua" w:hAnsi="Book Antiqua"/>
        </w:rPr>
      </w:pPr>
    </w:p>
    <w:p w14:paraId="4CC57F33" w14:textId="77777777" w:rsidR="007006AA" w:rsidRDefault="0000000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FADAF01" w14:textId="77777777" w:rsidR="007006AA" w:rsidRDefault="007006AA">
      <w:pPr>
        <w:spacing w:line="360" w:lineRule="auto"/>
        <w:jc w:val="both"/>
        <w:rPr>
          <w:rFonts w:ascii="Book Antiqua" w:hAnsi="Book Antiqua"/>
        </w:rPr>
      </w:pPr>
    </w:p>
    <w:p w14:paraId="551F8D48" w14:textId="77777777" w:rsidR="007006AA" w:rsidRDefault="00000000">
      <w:pPr>
        <w:spacing w:line="360" w:lineRule="auto"/>
        <w:jc w:val="both"/>
        <w:rPr>
          <w:rFonts w:ascii="Book Antiqua" w:eastAsia="Book Antiqua" w:hAnsi="Book Antiqua" w:cs="Book Antiqua"/>
        </w:rPr>
      </w:pPr>
      <w:bookmarkStart w:id="361" w:name="_Hlk154330720"/>
      <w:r>
        <w:rPr>
          <w:rFonts w:ascii="Book Antiqua" w:eastAsia="Book Antiqua" w:hAnsi="Book Antiqua" w:cs="Book Antiqua"/>
          <w:b/>
          <w:bCs/>
          <w:color w:val="000000"/>
        </w:rPr>
        <w:t>C</w:t>
      </w:r>
      <w:r>
        <w:rPr>
          <w:rFonts w:ascii="Book Antiqua" w:eastAsia="Book Antiqua" w:hAnsi="Book Antiqua" w:cs="Book Antiqua" w:hint="eastAsia"/>
          <w:b/>
          <w:bCs/>
          <w:color w:val="000000"/>
        </w:rPr>
        <w:t>itation</w:t>
      </w:r>
      <w:r>
        <w:rPr>
          <w:rFonts w:ascii="Book Antiqua" w:eastAsia="Book Antiqua" w:hAnsi="Book Antiqua" w:cs="Book Antiqua"/>
          <w:color w:val="000000"/>
        </w:rPr>
        <w:t xml:space="preserve">: </w:t>
      </w:r>
      <w:r>
        <w:rPr>
          <w:rFonts w:ascii="Book Antiqua" w:eastAsia="Book Antiqua" w:hAnsi="Book Antiqua" w:cs="Book Antiqua"/>
        </w:rPr>
        <w:t>Ren Y, Cui YN</w:t>
      </w:r>
      <w:bookmarkEnd w:id="361"/>
      <w:r>
        <w:rPr>
          <w:rFonts w:ascii="Book Antiqua" w:eastAsia="Book Antiqua" w:hAnsi="Book Antiqua" w:cs="Book Antiqua"/>
        </w:rPr>
        <w:t xml:space="preserve">, Wang HW. Effects of different concentrations of nicotinamide on hematopoietic stem cells cultured </w:t>
      </w:r>
      <w:r>
        <w:rPr>
          <w:rFonts w:ascii="Book Antiqua" w:eastAsia="Book Antiqua" w:hAnsi="Book Antiqua" w:cs="Book Antiqua"/>
          <w:i/>
          <w:iCs/>
        </w:rPr>
        <w:t>in vitro</w:t>
      </w:r>
      <w:r>
        <w:rPr>
          <w:rFonts w:ascii="Book Antiqua" w:eastAsia="Book Antiqua" w:hAnsi="Book Antiqua" w:cs="Book Antiqua"/>
        </w:rPr>
        <w:t xml:space="preserve">. </w:t>
      </w:r>
      <w:r>
        <w:rPr>
          <w:rFonts w:ascii="Book Antiqua" w:eastAsia="Book Antiqua" w:hAnsi="Book Antiqua" w:cs="Book Antiqua"/>
          <w:i/>
          <w:iCs/>
        </w:rPr>
        <w:t>World J Stem Cells</w:t>
      </w:r>
      <w:r>
        <w:rPr>
          <w:rFonts w:ascii="Book Antiqua" w:eastAsia="Book Antiqua" w:hAnsi="Book Antiqua" w:cs="Book Antiqua"/>
        </w:rPr>
        <w:t xml:space="preserve"> 2024; </w:t>
      </w:r>
      <w:r>
        <w:rPr>
          <w:rFonts w:ascii="Book Antiqua" w:eastAsia="Book Antiqua" w:hAnsi="Book Antiqua" w:cs="Book Antiqua" w:hint="eastAsia"/>
        </w:rPr>
        <w:t xml:space="preserve">16(2): </w:t>
      </w:r>
      <w:r>
        <w:rPr>
          <w:rFonts w:ascii="Book Antiqua" w:eastAsia="DengXian" w:hAnsi="Book Antiqua" w:cs="宋体"/>
          <w:color w:val="000000"/>
        </w:rPr>
        <w:t>163-175</w:t>
      </w:r>
    </w:p>
    <w:p w14:paraId="367BEDC8" w14:textId="77777777" w:rsidR="007006AA"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URL</w:t>
      </w:r>
      <w:r>
        <w:rPr>
          <w:rFonts w:ascii="Book Antiqua" w:eastAsia="Book Antiqua" w:hAnsi="Book Antiqua" w:cs="Book Antiqua" w:hint="eastAsia"/>
        </w:rPr>
        <w:t>: https://www.wjgnet.com/1948-0210/full/v16/i2/</w:t>
      </w:r>
      <w:r>
        <w:rPr>
          <w:rFonts w:ascii="Book Antiqua" w:eastAsia="DengXian" w:hAnsi="Book Antiqua" w:cs="宋体"/>
          <w:color w:val="000000"/>
        </w:rPr>
        <w:t>163</w:t>
      </w:r>
      <w:r>
        <w:rPr>
          <w:rFonts w:ascii="Book Antiqua" w:eastAsia="Book Antiqua" w:hAnsi="Book Antiqua" w:cs="Book Antiqua" w:hint="eastAsia"/>
        </w:rPr>
        <w:t>.htm</w:t>
      </w:r>
    </w:p>
    <w:p w14:paraId="4B5DD757" w14:textId="77777777" w:rsidR="007006AA" w:rsidRDefault="00000000">
      <w:pPr>
        <w:spacing w:line="360" w:lineRule="auto"/>
        <w:jc w:val="both"/>
        <w:rPr>
          <w:rFonts w:ascii="Book Antiqua" w:hAnsi="Book Antiqua"/>
        </w:rPr>
      </w:pPr>
      <w:r>
        <w:rPr>
          <w:rFonts w:ascii="Book Antiqua" w:eastAsia="Book Antiqua" w:hAnsi="Book Antiqua" w:cs="Book Antiqua" w:hint="eastAsia"/>
          <w:b/>
          <w:bCs/>
        </w:rPr>
        <w:t>DOI</w:t>
      </w:r>
      <w:r>
        <w:rPr>
          <w:rFonts w:ascii="Book Antiqua" w:eastAsia="Book Antiqua" w:hAnsi="Book Antiqua" w:cs="Book Antiqua" w:hint="eastAsia"/>
        </w:rPr>
        <w:t>: https://dx.doi.org/10.4252/wjsc.v16.i2.</w:t>
      </w:r>
      <w:r>
        <w:rPr>
          <w:rFonts w:ascii="Book Antiqua" w:eastAsia="DengXian" w:hAnsi="Book Antiqua" w:cs="宋体"/>
          <w:color w:val="000000"/>
        </w:rPr>
        <w:t>163</w:t>
      </w:r>
    </w:p>
    <w:p w14:paraId="6A1AFB98" w14:textId="77777777" w:rsidR="007006AA" w:rsidRDefault="007006AA">
      <w:pPr>
        <w:spacing w:line="360" w:lineRule="auto"/>
        <w:jc w:val="both"/>
        <w:rPr>
          <w:rFonts w:ascii="Book Antiqua" w:hAnsi="Book Antiqua"/>
        </w:rPr>
      </w:pPr>
    </w:p>
    <w:p w14:paraId="2832F201" w14:textId="77777777" w:rsidR="007006AA"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 xml:space="preserve">This study reveals the dominant subgroups of hematopoietic stem cells (HSCs) and molecular mechanisms underlying the effects of different nicotinamide (NAM) concentrations. Activation or inhibition of </w:t>
      </w:r>
      <w:proofErr w:type="spellStart"/>
      <w:r>
        <w:rPr>
          <w:rFonts w:ascii="Book Antiqua" w:eastAsia="Book Antiqua" w:hAnsi="Book Antiqua" w:cs="Book Antiqua"/>
        </w:rPr>
        <w:t>sirtuin</w:t>
      </w:r>
      <w:proofErr w:type="spellEnd"/>
      <w:r>
        <w:rPr>
          <w:rFonts w:ascii="Book Antiqua" w:eastAsia="Book Antiqua" w:hAnsi="Book Antiqua" w:cs="Book Antiqua"/>
        </w:rPr>
        <w:t xml:space="preserve"> 1 (SIRT1) is determined by the concentration of NAM. High concentrations inhibit SIRT1 but are not conducive to self-renewal of HSCs, whereas low concentrations balance HSC proliferation and differentiation by regulating the SIRT1–HIF1A pathway and reactive oxygen species production, effectively promoting </w:t>
      </w:r>
      <w:r>
        <w:rPr>
          <w:rFonts w:ascii="Book Antiqua" w:eastAsia="Book Antiqua" w:hAnsi="Book Antiqua" w:cs="Book Antiqua"/>
          <w:i/>
          <w:iCs/>
        </w:rPr>
        <w:t>in vitro</w:t>
      </w:r>
      <w:r>
        <w:rPr>
          <w:rFonts w:ascii="Book Antiqua" w:eastAsia="Book Antiqua" w:hAnsi="Book Antiqua" w:cs="Book Antiqua"/>
        </w:rPr>
        <w:t xml:space="preserve"> expansion of the stem cells. These findings could allow adjustment of NAM concentrations according to expansion needs and may help predict small molecules that synergistically promote expansion with NAM.</w:t>
      </w:r>
    </w:p>
    <w:p w14:paraId="457AC689" w14:textId="77777777" w:rsidR="007006AA" w:rsidRDefault="007006AA">
      <w:pPr>
        <w:spacing w:line="360" w:lineRule="auto"/>
        <w:jc w:val="both"/>
        <w:rPr>
          <w:rFonts w:ascii="Book Antiqua" w:hAnsi="Book Antiqua"/>
        </w:rPr>
      </w:pPr>
    </w:p>
    <w:p w14:paraId="121F5C20"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81DEFBF" w14:textId="77777777" w:rsidR="007006AA" w:rsidRDefault="00000000">
      <w:pPr>
        <w:spacing w:line="360" w:lineRule="auto"/>
        <w:jc w:val="both"/>
        <w:rPr>
          <w:rFonts w:ascii="Book Antiqua" w:hAnsi="Book Antiqua"/>
        </w:rPr>
      </w:pPr>
      <w:r>
        <w:rPr>
          <w:rFonts w:ascii="Book Antiqua" w:hAnsi="Book Antiqua"/>
          <w:color w:val="000000"/>
        </w:rPr>
        <w:t xml:space="preserve">Hematopoietic stem cells (HSCs) can self-renew and give rise to mature cells of all hematopoietic lineages following extensive proliferation and </w:t>
      </w:r>
      <w:proofErr w:type="gramStart"/>
      <w:r>
        <w:rPr>
          <w:rFonts w:ascii="Book Antiqua" w:hAnsi="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Umbilical cord blood (UCB) is an important source of HSCs because it can be obtained through noninvasive means, has low requirements for the matching of human leukocyte antigens, and has a low incidence of chronic graft-versus-host disease. However, the limited cell dose in a single UCB sample can lead to delayed engraftment after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Obtaining </w:t>
      </w:r>
      <w:proofErr w:type="gramStart"/>
      <w:r>
        <w:rPr>
          <w:rFonts w:ascii="Book Antiqua" w:eastAsia="Book Antiqua" w:hAnsi="Book Antiqua" w:cs="Book Antiqua"/>
          <w:color w:val="000000"/>
        </w:rPr>
        <w:t>a sufficient number of</w:t>
      </w:r>
      <w:proofErr w:type="gramEnd"/>
      <w:r>
        <w:rPr>
          <w:rFonts w:ascii="Book Antiqua" w:eastAsia="Book Antiqua" w:hAnsi="Book Antiqua" w:cs="Book Antiqua"/>
          <w:color w:val="000000"/>
        </w:rPr>
        <w:t xml:space="preserve"> HSCs through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expansion has the potential to overcome such challenges.</w:t>
      </w:r>
    </w:p>
    <w:p w14:paraId="0F834E1A"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Small molecules represent novel modalities for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expansion of </w:t>
      </w:r>
      <w:proofErr w:type="gramStart"/>
      <w:r>
        <w:rPr>
          <w:rFonts w:ascii="Book Antiqua" w:eastAsia="Book Antiqua" w:hAnsi="Book Antiqua" w:cs="Book Antiqua"/>
          <w:color w:val="000000"/>
        </w:rPr>
        <w:t>HSCs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and the roles of different molecules in HSC transplantation are diverse. As a form of vitamin B-3, nicotinamide (NAM) can delay differentiation and maintain stemness, as well as promote neutrophil recovery in patients after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In humans,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 xml:space="preserve"> cells are classic hematopoietic stem and progenitor cells (HSPCs), and HSCs can be functionally divided into short-term repopulating HSCs (ST-HSCs,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CD45RA</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CD49f</w:t>
      </w:r>
      <w:r>
        <w:rPr>
          <w:rFonts w:ascii="Book Antiqua" w:eastAsia="Book Antiqua" w:hAnsi="Book Antiqua" w:cs="Book Antiqua"/>
          <w:color w:val="000000"/>
          <w:vertAlign w:val="superscript"/>
        </w:rPr>
        <w:t>+</w:t>
      </w:r>
      <w:r>
        <w:rPr>
          <w:rFonts w:ascii="Book Antiqua" w:eastAsia="Book Antiqua" w:hAnsi="Book Antiqua" w:cs="Book Antiqua"/>
          <w:color w:val="000000"/>
        </w:rPr>
        <w:t>) and long-term repopulating HSCs (LT-HSCs,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CD45RA</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CD49f</w:t>
      </w:r>
      <w:r>
        <w:rPr>
          <w:rFonts w:ascii="Book Antiqua" w:eastAsia="Book Antiqua" w:hAnsi="Book Antiqua" w:cs="Book Antiqua"/>
          <w:color w:val="000000"/>
          <w:vertAlign w:val="superscript"/>
        </w:rPr>
        <w:t>+</w:t>
      </w:r>
      <w:r>
        <w:rPr>
          <w:rFonts w:ascii="Book Antiqua" w:eastAsia="Book Antiqua" w:hAnsi="Book Antiqua" w:cs="Book Antiqua"/>
          <w:color w:val="000000"/>
        </w:rPr>
        <w:t>CD90</w:t>
      </w:r>
      <w:proofErr w:type="gramStart"/>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Preclinical models indicate that the recovery of blood cells immediately after transplantation is repopulated primarily by ST-HSCs while long-term sustenance of trilineage hematopoiesis is the contribution of LT-HSCs that </w:t>
      </w:r>
      <w:proofErr w:type="gramStart"/>
      <w:r>
        <w:rPr>
          <w:rFonts w:ascii="Book Antiqua" w:eastAsia="Book Antiqua" w:hAnsi="Book Antiqua" w:cs="Book Antiqua"/>
          <w:color w:val="000000"/>
        </w:rPr>
        <w:t>have the ability to</w:t>
      </w:r>
      <w:proofErr w:type="gramEnd"/>
      <w:r>
        <w:rPr>
          <w:rFonts w:ascii="Book Antiqua" w:eastAsia="Book Antiqua" w:hAnsi="Book Antiqua" w:cs="Book Antiqua"/>
          <w:color w:val="000000"/>
        </w:rPr>
        <w:t xml:space="preserve"> self-renew. LT-HSCs drive sustained lifelong hematopoiesis, </w:t>
      </w:r>
      <w:r>
        <w:rPr>
          <w:rFonts w:ascii="Book Antiqua" w:eastAsia="Book Antiqua" w:hAnsi="Book Antiqua" w:cs="Book Antiqua"/>
          <w:color w:val="000000"/>
        </w:rPr>
        <w:lastRenderedPageBreak/>
        <w:t xml:space="preserve">these cells are relatively quiescent, hence resulting in a prolonged period of </w:t>
      </w:r>
      <w:proofErr w:type="gramStart"/>
      <w:r>
        <w:rPr>
          <w:rFonts w:ascii="Book Antiqua" w:eastAsia="Book Antiqua" w:hAnsi="Book Antiqua" w:cs="Book Antiqua"/>
          <w:color w:val="000000"/>
        </w:rPr>
        <w:t>leukopenia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10-15]</w:t>
      </w:r>
      <w:r>
        <w:rPr>
          <w:rFonts w:ascii="Book Antiqua" w:eastAsia="Book Antiqua" w:hAnsi="Book Antiqua" w:cs="Book Antiqua"/>
          <w:color w:val="000000"/>
        </w:rPr>
        <w:t xml:space="preserve">. Thus, the primary goal of UCB expansion is twofold; namely, to reduce the time taken to achieve blood cell reconstitution following </w:t>
      </w:r>
      <w:proofErr w:type="gramStart"/>
      <w:r>
        <w:rPr>
          <w:rFonts w:ascii="Book Antiqua" w:eastAsia="Book Antiqua" w:hAnsi="Book Antiqua" w:cs="Book Antiqua"/>
          <w:color w:val="000000"/>
        </w:rPr>
        <w:t>transplantation, and</w:t>
      </w:r>
      <w:proofErr w:type="gramEnd"/>
      <w:r>
        <w:rPr>
          <w:rFonts w:ascii="Book Antiqua" w:eastAsia="Book Antiqua" w:hAnsi="Book Antiqua" w:cs="Book Antiqua"/>
          <w:color w:val="000000"/>
        </w:rPr>
        <w:t xml:space="preserve"> ensuring sustained long-term trilineage hematopoiesis. NAM promotes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expansion of HSPCs, but its effects on ST-HSCs and LT-HSCs have yet to be elucidated. Emerging studies suggest that NAM mediates the metabolic transition of aging stem cells by upregulating the expression of young genes such as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1 (SIRT1), thereby maintaining </w:t>
      </w:r>
      <w:proofErr w:type="gramStart"/>
      <w:r>
        <w:rPr>
          <w:rFonts w:ascii="Book Antiqua" w:eastAsia="Book Antiqua" w:hAnsi="Book Antiqua" w:cs="Book Antiqua"/>
          <w:color w:val="000000"/>
        </w:rPr>
        <w:t>stemness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16-22]</w:t>
      </w:r>
      <w:r>
        <w:rPr>
          <w:rFonts w:ascii="Book Antiqua" w:eastAsia="Book Antiqua" w:hAnsi="Book Antiqua" w:cs="Book Antiqua"/>
          <w:color w:val="000000"/>
        </w:rPr>
        <w:t xml:space="preserve">. This contradicts the viewpoint that NAM acts as a SIRT1 </w:t>
      </w:r>
      <w:proofErr w:type="gramStart"/>
      <w:r>
        <w:rPr>
          <w:rFonts w:ascii="Book Antiqua" w:eastAsia="Book Antiqua" w:hAnsi="Book Antiqua" w:cs="Book Antiqua"/>
          <w:color w:val="000000"/>
        </w:rPr>
        <w:t>inhibitor</w:t>
      </w:r>
      <w:r>
        <w:rPr>
          <w:rFonts w:ascii="Book Antiqua" w:hAnsi="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hAnsi="Book Antiqua"/>
          <w:color w:val="000000"/>
          <w:vertAlign w:val="superscript"/>
        </w:rPr>
        <w:t>]</w:t>
      </w:r>
      <w:r>
        <w:rPr>
          <w:rFonts w:ascii="Book Antiqua" w:eastAsia="Book Antiqua" w:hAnsi="Book Antiqua" w:cs="Book Antiqua"/>
          <w:color w:val="000000"/>
        </w:rPr>
        <w:t xml:space="preserve">. Furthermore, SIRT1 exhibits a dual effect of promoting or inhibiting differentiation in different tissues 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Based on these observations, we propose that the proliferation, differentiation, and SIRT1 signaling pathway of HSCs may be influenced by the concentration of NAM.</w:t>
      </w:r>
    </w:p>
    <w:p w14:paraId="3B57FB82"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this study, we evaluated the effects of different concentrations of NAM on the proliferation and differentiation of HSCs during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 Proliferation is reflected by fold expansion of total nucleated cells (TNCs) and differentiation is reflected by phenotype analysis of HSPC, ST-HSC and LT-HSC populations. Apoptosis ratio and cell cycle distribution were used to reveal the influencing factors of cell quantity differences; reactive oxygen species (ROS) production and cytokine levels were evaluated to reveal the relevant factors of differentiation differences; and real-time polymerase chain reaction (RT-PCR) detection of genes related to stemness, antioxidant enzymes, and homing were used to explore the molecular mechanisms underlying the actions of NAM. NAM at 5 mmol/L and 10 mmol/L could inhibit differentiation and maintain HSPCs, with the higher concentration being more conducive to the maintenance of LT-HSCs. However, owing to significant proapoptotic effects, this high concentration of 10 mmol/L NAM reduced cell survival and self-renewal, whereas the lower concentration of 5 mmol/L of NAM could better regulate the balance between proliferation and differentiation, thereby promoting the effective expansion of HSCs. In general, the differential sensitivities of LT-HSCs and ST-HSCs to NAM may be used to improve the outcome of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expansion.</w:t>
      </w:r>
    </w:p>
    <w:p w14:paraId="39588FAE" w14:textId="77777777" w:rsidR="007006AA" w:rsidRDefault="007006AA">
      <w:pPr>
        <w:spacing w:line="360" w:lineRule="auto"/>
        <w:ind w:firstLine="240"/>
        <w:jc w:val="both"/>
        <w:rPr>
          <w:rFonts w:ascii="Book Antiqua" w:hAnsi="Book Antiqua"/>
        </w:rPr>
      </w:pPr>
    </w:p>
    <w:p w14:paraId="158CDDCE"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MATERIALS AND METHODS</w:t>
      </w:r>
    </w:p>
    <w:p w14:paraId="5825E846"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Sample preparation and isolation of CD34</w:t>
      </w:r>
      <w:r>
        <w:rPr>
          <w:rFonts w:ascii="Book Antiqua" w:eastAsia="Book Antiqua" w:hAnsi="Book Antiqua" w:cs="Book Antiqua"/>
          <w:b/>
          <w:bCs/>
          <w:i/>
          <w:iCs/>
          <w:color w:val="000000"/>
          <w:vertAlign w:val="superscript"/>
        </w:rPr>
        <w:t>+</w:t>
      </w:r>
      <w:r>
        <w:rPr>
          <w:rFonts w:ascii="Book Antiqua" w:eastAsia="Book Antiqua" w:hAnsi="Book Antiqua" w:cs="Book Antiqua"/>
          <w:b/>
          <w:bCs/>
          <w:i/>
          <w:iCs/>
          <w:color w:val="000000"/>
        </w:rPr>
        <w:t xml:space="preserve"> cells from human </w:t>
      </w:r>
      <w:proofErr w:type="gramStart"/>
      <w:r>
        <w:rPr>
          <w:rFonts w:ascii="Book Antiqua" w:eastAsia="Book Antiqua" w:hAnsi="Book Antiqua" w:cs="Book Antiqua"/>
          <w:b/>
          <w:bCs/>
          <w:i/>
          <w:iCs/>
          <w:color w:val="000000"/>
        </w:rPr>
        <w:t>UCB</w:t>
      </w:r>
      <w:proofErr w:type="gramEnd"/>
    </w:p>
    <w:p w14:paraId="414CA75C"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A gynecologist collected UCB samples from consenting donors according to ethical procedures approved by the Second Hospital of Shanxi Medical University (Shanxi, China). UCB mononuclear cells (MNCs) were isolated by </w:t>
      </w:r>
      <w:proofErr w:type="spellStart"/>
      <w:r>
        <w:rPr>
          <w:rFonts w:ascii="Book Antiqua" w:eastAsia="Book Antiqua" w:hAnsi="Book Antiqua" w:cs="Book Antiqua"/>
          <w:color w:val="000000"/>
        </w:rPr>
        <w:t>Ficoll</w:t>
      </w:r>
      <w:proofErr w:type="spellEnd"/>
      <w:r>
        <w:rPr>
          <w:rFonts w:ascii="Book Antiqua" w:eastAsia="Book Antiqua" w:hAnsi="Book Antiqua" w:cs="Book Antiqua"/>
          <w:color w:val="000000"/>
        </w:rPr>
        <w:t xml:space="preserve"> (Tianjin </w:t>
      </w:r>
      <w:proofErr w:type="spellStart"/>
      <w:r>
        <w:rPr>
          <w:rFonts w:ascii="Book Antiqua" w:eastAsia="Book Antiqua" w:hAnsi="Book Antiqua" w:cs="Book Antiqua"/>
          <w:color w:val="000000"/>
        </w:rPr>
        <w:t>Haoyang</w:t>
      </w:r>
      <w:proofErr w:type="spellEnd"/>
      <w:r>
        <w:rPr>
          <w:rFonts w:ascii="Book Antiqua" w:eastAsia="Book Antiqua" w:hAnsi="Book Antiqua" w:cs="Book Antiqua"/>
          <w:color w:val="000000"/>
        </w:rPr>
        <w:t xml:space="preserve"> Biological Products Technology) and density-gradient centrifugation. Specifically, UCB depleted of erythrocytes (by adding hydroxyethyl starch) was slowly pipetted on </w:t>
      </w:r>
      <w:proofErr w:type="spellStart"/>
      <w:r>
        <w:rPr>
          <w:rFonts w:ascii="Book Antiqua" w:eastAsia="Book Antiqua" w:hAnsi="Book Antiqua" w:cs="Book Antiqua"/>
          <w:color w:val="000000"/>
        </w:rPr>
        <w:t>Ficoll</w:t>
      </w:r>
      <w:proofErr w:type="spellEnd"/>
      <w:r>
        <w:rPr>
          <w:rFonts w:ascii="Book Antiqua" w:eastAsia="Book Antiqua" w:hAnsi="Book Antiqua" w:cs="Book Antiqua"/>
          <w:color w:val="000000"/>
        </w:rPr>
        <w:t xml:space="preserve"> at a ratio of 2:1 and centrifuged (2000 rpm, 20 min), followed by collection of the interface layer as MNCs. The MNCs were washed and suspended in column buffer [phosphate buffered saline (PBS) and 0.5% bovine serum albumin; Gibco], then CD34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labeled with CD34 </w:t>
      </w:r>
      <w:proofErr w:type="spellStart"/>
      <w:r>
        <w:rPr>
          <w:rFonts w:ascii="Book Antiqua" w:eastAsia="Book Antiqua" w:hAnsi="Book Antiqua" w:cs="Book Antiqua"/>
          <w:color w:val="000000"/>
        </w:rPr>
        <w:t>MicroBeads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w:t>
      </w:r>
      <w:proofErr w:type="spellEnd"/>
      <w:r>
        <w:rPr>
          <w:rFonts w:ascii="Book Antiqua" w:eastAsia="Book Antiqua" w:hAnsi="Book Antiqua" w:cs="Book Antiqua"/>
          <w:color w:val="000000"/>
        </w:rPr>
        <w:t>) were separated out by loading the cell suspension onto LS Columns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w:t>
      </w:r>
      <w:proofErr w:type="spellEnd"/>
      <w:r>
        <w:rPr>
          <w:rFonts w:ascii="Book Antiqua" w:eastAsia="Book Antiqua" w:hAnsi="Book Antiqua" w:cs="Book Antiqua"/>
          <w:color w:val="000000"/>
        </w:rPr>
        <w:t>) associated with a magnetic field.</w:t>
      </w:r>
    </w:p>
    <w:p w14:paraId="34BD5DC6" w14:textId="77777777" w:rsidR="007006AA" w:rsidRDefault="007006AA">
      <w:pPr>
        <w:spacing w:line="360" w:lineRule="auto"/>
        <w:jc w:val="both"/>
        <w:rPr>
          <w:rFonts w:ascii="Book Antiqua" w:hAnsi="Book Antiqua"/>
        </w:rPr>
      </w:pPr>
    </w:p>
    <w:p w14:paraId="5FC3373D"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Cell culture</w:t>
      </w:r>
    </w:p>
    <w:p w14:paraId="5F2B15D8"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Before being seeded onto 24-well plates (Corning), CD34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were resuspended in serum-free medium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/mL), which was composed of </w:t>
      </w:r>
      <w:proofErr w:type="spellStart"/>
      <w:r>
        <w:rPr>
          <w:rFonts w:ascii="Book Antiqua" w:eastAsia="Book Antiqua" w:hAnsi="Book Antiqua" w:cs="Book Antiqua"/>
          <w:color w:val="000000"/>
        </w:rPr>
        <w:t>Iscove</w:t>
      </w:r>
      <w:proofErr w:type="spellEnd"/>
      <w:r>
        <w:rPr>
          <w:rFonts w:ascii="Book Antiqua" w:eastAsia="Book Antiqua" w:hAnsi="Book Antiqua" w:cs="Book Antiqua"/>
          <w:color w:val="000000"/>
        </w:rPr>
        <w:t xml:space="preserve"> Modified Dulbecco Medium (IMDM; Gibco), supplemented with 10 ng/mL human stem cell factor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w:t>
      </w:r>
      <w:proofErr w:type="spellEnd"/>
      <w:r>
        <w:rPr>
          <w:rFonts w:ascii="Book Antiqua" w:eastAsia="Book Antiqua" w:hAnsi="Book Antiqua" w:cs="Book Antiqua"/>
          <w:color w:val="000000"/>
        </w:rPr>
        <w:t>), 100 ng/mL thrombopoietin (</w:t>
      </w:r>
      <w:proofErr w:type="spellStart"/>
      <w:r>
        <w:rPr>
          <w:rFonts w:ascii="Book Antiqua" w:eastAsia="Book Antiqua" w:hAnsi="Book Antiqua" w:cs="Book Antiqua"/>
          <w:color w:val="000000"/>
        </w:rPr>
        <w:t>Miltenyi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w:t>
      </w:r>
      <w:proofErr w:type="spellEnd"/>
      <w:r>
        <w:rPr>
          <w:rFonts w:ascii="Book Antiqua" w:eastAsia="Book Antiqua" w:hAnsi="Book Antiqua" w:cs="Book Antiqua"/>
          <w:color w:val="000000"/>
        </w:rPr>
        <w:t>), 1% penicillin–streptomycin–glutamine (Gibco), and NAM at different concentrations. According to relevant research data</w:t>
      </w:r>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and preliminary experimental results (Supplementary Figure 1), we set the concentration of NAM to 5 mmol/L, 10 mmol/</w:t>
      </w:r>
      <w:proofErr w:type="spellStart"/>
      <w:r>
        <w:rPr>
          <w:rFonts w:ascii="Book Antiqua" w:eastAsia="Book Antiqua" w:hAnsi="Book Antiqua" w:cs="Book Antiqua"/>
          <w:color w:val="000000"/>
        </w:rPr>
        <w:t>L,or</w:t>
      </w:r>
      <w:proofErr w:type="spellEnd"/>
      <w:r>
        <w:rPr>
          <w:rFonts w:ascii="Book Antiqua" w:eastAsia="Book Antiqua" w:hAnsi="Book Antiqua" w:cs="Book Antiqua"/>
          <w:color w:val="000000"/>
        </w:rPr>
        <w:t xml:space="preserve"> 15 mmol/L. Based on the different concentrations of NAM, the cells were divided into the control group (no NAM), low concentration group (5 mmol/L NAM), and high concentration group (10 mmol/L NAM). Cells were incubated in a humidified incubator at 37 °C, 5% CO</w:t>
      </w:r>
      <w:r>
        <w:rPr>
          <w:rFonts w:ascii="Book Antiqua" w:eastAsia="Book Antiqua" w:hAnsi="Book Antiqua" w:cs="Book Antiqua"/>
          <w:color w:val="000000"/>
          <w:vertAlign w:val="subscript"/>
        </w:rPr>
        <w:t>2</w:t>
      </w:r>
      <w:r>
        <w:rPr>
          <w:rFonts w:ascii="Book Antiqua" w:eastAsia="Book Antiqua" w:hAnsi="Book Antiqua" w:cs="Book Antiqua"/>
          <w:color w:val="000000"/>
        </w:rPr>
        <w:t>, and 5%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10–12 d.</w:t>
      </w:r>
    </w:p>
    <w:p w14:paraId="12F1F4E2" w14:textId="77777777" w:rsidR="007006AA" w:rsidRDefault="007006AA">
      <w:pPr>
        <w:spacing w:line="360" w:lineRule="auto"/>
        <w:jc w:val="both"/>
        <w:rPr>
          <w:rFonts w:ascii="Book Antiqua" w:hAnsi="Book Antiqua"/>
        </w:rPr>
      </w:pPr>
    </w:p>
    <w:p w14:paraId="674C4DC7" w14:textId="77777777" w:rsidR="007006A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Cell survival rate and cell size detection</w:t>
      </w:r>
    </w:p>
    <w:p w14:paraId="7550B6AA" w14:textId="77777777" w:rsidR="007006A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Trypan Blue cell viability counting was performed. Trypan Blue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can only pass through an incomplete cell membrane, and dead cells were dyed clear blue. After mixing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 suspension with 10 </w:t>
      </w:r>
      <w:proofErr w:type="spellStart"/>
      <w:r>
        <w:rPr>
          <w:rFonts w:ascii="Book Antiqua" w:eastAsia="Book Antiqua" w:hAnsi="Book Antiqua" w:cs="Book Antiqua"/>
          <w:color w:val="000000"/>
        </w:rPr>
        <w:t>μL</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Trypan Blue, the </w:t>
      </w:r>
      <w:r>
        <w:rPr>
          <w:rFonts w:ascii="Book Antiqua" w:eastAsia="Book Antiqua" w:hAnsi="Book Antiqua" w:cs="Book Antiqua"/>
          <w:color w:val="000000"/>
        </w:rPr>
        <w:lastRenderedPageBreak/>
        <w:t>viability and size of the cells in suspension were measured by a Countess 3 Automated Cell Counter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w:t>
      </w:r>
    </w:p>
    <w:p w14:paraId="347C7CC3" w14:textId="77777777" w:rsidR="007006AA" w:rsidRDefault="007006AA">
      <w:pPr>
        <w:spacing w:line="360" w:lineRule="auto"/>
        <w:jc w:val="both"/>
        <w:rPr>
          <w:rFonts w:ascii="Book Antiqua" w:eastAsia="宋体" w:hAnsi="Book Antiqua" w:cs="Book Antiqua"/>
          <w:color w:val="000000"/>
          <w:lang w:eastAsia="zh-CN"/>
        </w:rPr>
      </w:pPr>
    </w:p>
    <w:p w14:paraId="26CB18FC"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Phenotypic analysis</w:t>
      </w:r>
    </w:p>
    <w:p w14:paraId="588A54B6"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After incubation with NAM for 10–12 d, the cells were collected and washed with PBS. Next, the cells were stained in PBS supplemented with the following antibody and fluorophore combinations for 30 min at 4°C: ECD-labeled anti-human CD34 (IM2709U; Beckman), FITC-labeled anti-human CD38 (A07778; Beckman), Pacific Blue-labeled anti-human CD45RA (A82946; Beckman), APC-CY7-labeled anti-human CD49f (313628;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xml:space="preserve">), and PerCP-CY5-labeled anti-human CD90 (IM3703; Beckman). After a washing step, the stained cells were analyzed by </w:t>
      </w:r>
      <w:proofErr w:type="spellStart"/>
      <w:r>
        <w:rPr>
          <w:rFonts w:ascii="Book Antiqua" w:eastAsia="Book Antiqua" w:hAnsi="Book Antiqua" w:cs="Book Antiqua"/>
          <w:color w:val="000000"/>
        </w:rPr>
        <w:t>Navios</w:t>
      </w:r>
      <w:proofErr w:type="spellEnd"/>
      <w:r>
        <w:rPr>
          <w:rFonts w:ascii="Book Antiqua" w:eastAsia="Book Antiqua" w:hAnsi="Book Antiqua" w:cs="Book Antiqua"/>
          <w:color w:val="000000"/>
        </w:rPr>
        <w:t xml:space="preserve"> flow cytometer (Beckman Coulter). For each sample, at least 30000 events were recorded. Isotype controls were also prepared for every experiment.</w:t>
      </w:r>
    </w:p>
    <w:p w14:paraId="4DE0A9CD" w14:textId="77777777" w:rsidR="007006AA" w:rsidRDefault="007006AA">
      <w:pPr>
        <w:spacing w:line="360" w:lineRule="auto"/>
        <w:jc w:val="both"/>
        <w:rPr>
          <w:rFonts w:ascii="Book Antiqua" w:hAnsi="Book Antiqua"/>
        </w:rPr>
      </w:pPr>
    </w:p>
    <w:p w14:paraId="3EDEF597" w14:textId="77777777" w:rsidR="007006A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Colony-forming cell assay</w:t>
      </w:r>
    </w:p>
    <w:p w14:paraId="0A806CB6" w14:textId="77777777" w:rsidR="007006A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the cell count, we adjusted the concentration of CD34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of each group to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/mL, add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cells to 450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IMDM (Gibco) for mixing, and added 150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cells to 1.5 mL </w:t>
      </w:r>
      <w:proofErr w:type="spellStart"/>
      <w:r>
        <w:rPr>
          <w:rFonts w:ascii="Book Antiqua" w:eastAsia="Book Antiqua" w:hAnsi="Book Antiqua" w:cs="Book Antiqua"/>
          <w:color w:val="000000"/>
        </w:rPr>
        <w:t>MethodCultTM</w:t>
      </w:r>
      <w:proofErr w:type="spellEnd"/>
      <w:r>
        <w:rPr>
          <w:rFonts w:ascii="Book Antiqua" w:eastAsia="Book Antiqua" w:hAnsi="Book Antiqua" w:cs="Book Antiqua"/>
          <w:color w:val="000000"/>
        </w:rPr>
        <w:t xml:space="preserve"> medium (Stem Cell Technologies). We connected a 1.6-mm needle to a 2-mL disposable sterile syringe and distributed the </w:t>
      </w:r>
      <w:proofErr w:type="spellStart"/>
      <w:r>
        <w:rPr>
          <w:rFonts w:ascii="Book Antiqua" w:eastAsia="Book Antiqua" w:hAnsi="Book Antiqua" w:cs="Book Antiqua"/>
          <w:color w:val="000000"/>
        </w:rPr>
        <w:t>MethodCultTM</w:t>
      </w:r>
      <w:proofErr w:type="spellEnd"/>
      <w:r>
        <w:rPr>
          <w:rFonts w:ascii="Book Antiqua" w:eastAsia="Book Antiqua" w:hAnsi="Book Antiqua" w:cs="Book Antiqua"/>
          <w:color w:val="000000"/>
        </w:rPr>
        <w:t xml:space="preserve"> mixture containing cells into a 35-mm culture dish (Corning), so that the medium was evenly distributed on the surface of each dish. The cells were cultured in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w:t>
      </w:r>
      <w:bookmarkStart w:id="362" w:name="_Hlk106196928"/>
      <w:r>
        <w:rPr>
          <w:rFonts w:ascii="Book Antiqua" w:eastAsia="Book Antiqua" w:hAnsi="Book Antiqua" w:cs="Book Antiqua"/>
          <w:color w:val="000000"/>
        </w:rPr>
        <w:t>°C</w:t>
      </w:r>
      <w:bookmarkEnd w:id="362"/>
      <w:r>
        <w:rPr>
          <w:rFonts w:ascii="Book Antiqua" w:eastAsia="Book Antiqua" w:hAnsi="Book Antiqua" w:cs="Book Antiqua"/>
          <w:color w:val="000000"/>
        </w:rPr>
        <w:t xml:space="preserve"> for 14 d, and culture dishes were visually scored for colony-forming unit (CFU)-granulocyte/macrophage, CFU-erythrocyte (CFU-E) and CFU-granulocyte/erythrocyte/macrophage/megakaryocyte (CFU-GEMM).</w:t>
      </w:r>
    </w:p>
    <w:p w14:paraId="7BD74733" w14:textId="77777777" w:rsidR="007006AA" w:rsidRDefault="007006AA">
      <w:pPr>
        <w:spacing w:line="360" w:lineRule="auto"/>
        <w:jc w:val="both"/>
        <w:rPr>
          <w:rFonts w:ascii="Book Antiqua" w:hAnsi="Book Antiqua"/>
        </w:rPr>
      </w:pPr>
    </w:p>
    <w:p w14:paraId="0CD35B81"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Apoptosis detection</w:t>
      </w:r>
    </w:p>
    <w:p w14:paraId="236A0D9A"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The cultured cells were collected and washed twice with precooled PBS. Cells were stained for 15 min at room temperature with PE-Annexin V Apoptosis Detection Kit (BD Biosciences). Specifically,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PE-Annexin V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7-amino-actinomycin D </w:t>
      </w:r>
      <w:r>
        <w:rPr>
          <w:rFonts w:ascii="Book Antiqua" w:eastAsia="Book Antiqua" w:hAnsi="Book Antiqua" w:cs="Book Antiqua"/>
          <w:color w:val="000000"/>
        </w:rPr>
        <w:lastRenderedPageBreak/>
        <w:t xml:space="preserve">were added to each sample. Samples were analyzed by </w:t>
      </w:r>
      <w:proofErr w:type="spellStart"/>
      <w:r>
        <w:rPr>
          <w:rFonts w:ascii="Book Antiqua" w:eastAsia="Book Antiqua" w:hAnsi="Book Antiqua" w:cs="Book Antiqua"/>
          <w:color w:val="000000"/>
        </w:rPr>
        <w:t>Navios</w:t>
      </w:r>
      <w:proofErr w:type="spellEnd"/>
      <w:r>
        <w:rPr>
          <w:rFonts w:ascii="Book Antiqua" w:eastAsia="Book Antiqua" w:hAnsi="Book Antiqua" w:cs="Book Antiqua"/>
          <w:color w:val="000000"/>
        </w:rPr>
        <w:t xml:space="preserve"> flow cytometer within 1 h.</w:t>
      </w:r>
    </w:p>
    <w:p w14:paraId="36988717" w14:textId="77777777" w:rsidR="007006AA" w:rsidRDefault="007006AA">
      <w:pPr>
        <w:spacing w:line="360" w:lineRule="auto"/>
        <w:jc w:val="both"/>
        <w:rPr>
          <w:rFonts w:ascii="Book Antiqua" w:hAnsi="Book Antiqua"/>
        </w:rPr>
      </w:pPr>
    </w:p>
    <w:p w14:paraId="14835566"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Cell cycle analysis</w:t>
      </w:r>
    </w:p>
    <w:p w14:paraId="0D6FEDF1"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The cultured cells were washed with precooled PBS, resuspended in 70% ethanol at 4°C for 2–6 h, and washed with PBS and incubated with 0.4 mL propidium iodide staining solution (Biosciences) for 30 min at 37°C in the dark. The 0.4 mL of propidium iodide staining solution was composed of 384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staining buffer, 15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25× propidium solution, and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RNase (10 mg/mL). A minimum of 40 000 cells were collected at a low speed for each sample.</w:t>
      </w:r>
    </w:p>
    <w:p w14:paraId="1A07FFC2" w14:textId="77777777" w:rsidR="007006AA" w:rsidRDefault="007006AA">
      <w:pPr>
        <w:spacing w:line="360" w:lineRule="auto"/>
        <w:jc w:val="both"/>
        <w:rPr>
          <w:rFonts w:ascii="Book Antiqua" w:hAnsi="Book Antiqua"/>
        </w:rPr>
      </w:pPr>
    </w:p>
    <w:p w14:paraId="3FEB7AB6"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ROS detection</w:t>
      </w:r>
    </w:p>
    <w:p w14:paraId="47CF6BA9"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The cultured cells were resuspended at a density of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to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 and the dichloro-dihydro-fluorescein diacetate (DCFH-DA) probe was diluted with serum-free medium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The cells were resuspended in diluted DCFH-DA and incubated for 20 min in a 37°C incubator. The cells were mixed upside down every 3–5 min to ensure full contact between the probe and the cell. The cells were washed with serum-free medium three times to fully remove DCFH-DA that had not entered the cells. The fluorescence intensity of ROS was measured within 2 h by </w:t>
      </w:r>
      <w:proofErr w:type="spellStart"/>
      <w:r>
        <w:rPr>
          <w:rFonts w:ascii="Book Antiqua" w:eastAsia="Book Antiqua" w:hAnsi="Book Antiqua" w:cs="Book Antiqua"/>
          <w:color w:val="000000"/>
        </w:rPr>
        <w:t>Navios</w:t>
      </w:r>
      <w:proofErr w:type="spellEnd"/>
      <w:r>
        <w:rPr>
          <w:rFonts w:ascii="Book Antiqua" w:eastAsia="Book Antiqua" w:hAnsi="Book Antiqua" w:cs="Book Antiqua"/>
          <w:color w:val="000000"/>
        </w:rPr>
        <w:t xml:space="preserve"> flow cytometer. The median level of mean fluorescence intensity of ROS was obtained in Kaluza software (Beckman) for each sample after adjusting them to the same measuring cell number.</w:t>
      </w:r>
    </w:p>
    <w:p w14:paraId="7B622089" w14:textId="77777777" w:rsidR="007006AA" w:rsidRDefault="007006AA">
      <w:pPr>
        <w:spacing w:line="360" w:lineRule="auto"/>
        <w:jc w:val="both"/>
        <w:rPr>
          <w:rFonts w:ascii="Book Antiqua" w:hAnsi="Book Antiqua"/>
        </w:rPr>
      </w:pPr>
    </w:p>
    <w:p w14:paraId="7E87286B"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RT-PCR</w:t>
      </w:r>
    </w:p>
    <w:p w14:paraId="22268C6E"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Total RNA was extracted from the cells cultured with or without NAM by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method. For cDNA synthesis, total RNA was reverse transcribed with a cDNA synthesis kit (Bio-Rad). PCR was performed using a SYBR Premix Ex </w:t>
      </w:r>
      <w:proofErr w:type="spellStart"/>
      <w:r>
        <w:rPr>
          <w:rFonts w:ascii="Book Antiqua" w:eastAsia="Book Antiqua" w:hAnsi="Book Antiqua" w:cs="Book Antiqua"/>
          <w:color w:val="000000"/>
        </w:rPr>
        <w:t>TaqTMII</w:t>
      </w:r>
      <w:proofErr w:type="spellEnd"/>
      <w:r>
        <w:rPr>
          <w:rFonts w:ascii="Book Antiqua" w:eastAsia="Book Antiqua" w:hAnsi="Book Antiqua" w:cs="Book Antiqua"/>
          <w:color w:val="000000"/>
        </w:rPr>
        <w:t xml:space="preserve"> (Tli </w:t>
      </w:r>
      <w:proofErr w:type="spellStart"/>
      <w:r>
        <w:rPr>
          <w:rFonts w:ascii="Book Antiqua" w:eastAsia="Book Antiqua" w:hAnsi="Book Antiqua" w:cs="Book Antiqua"/>
          <w:color w:val="000000"/>
        </w:rPr>
        <w:t>RNaseH</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and the CFX96 RT-PCR detection system (Bio-Rad). Each reaction was repeated at least three times to demonstrate reproducibility, and data were analyzed using the CFX96 Real-Time System. Normalized values were obtained by </w:t>
      </w:r>
      <w:r>
        <w:rPr>
          <w:rFonts w:ascii="Book Antiqua" w:eastAsia="Book Antiqua" w:hAnsi="Book Antiqua" w:cs="Book Antiqua"/>
          <w:color w:val="000000"/>
        </w:rPr>
        <w:lastRenderedPageBreak/>
        <w:t xml:space="preserve">subtracting the threshold cycle (Ct) of GAPDH from the Ct values of the target genes, yielding </w:t>
      </w:r>
      <w:r>
        <w:rPr>
          <w:rFonts w:ascii="Cambria Math" w:eastAsia="宋体" w:hAnsi="Cambria Math" w:cs="Cambria Math" w:hint="eastAsia"/>
          <w:color w:val="000000"/>
        </w:rPr>
        <w:t>△</w:t>
      </w:r>
      <w:r>
        <w:rPr>
          <w:rFonts w:ascii="Book Antiqua" w:eastAsia="Book Antiqua" w:hAnsi="Book Antiqua" w:cs="Book Antiqua"/>
          <w:color w:val="000000"/>
        </w:rPr>
        <w:t xml:space="preserve">Ct values, and the </w:t>
      </w:r>
      <w:r>
        <w:rPr>
          <w:rFonts w:ascii="Cambria Math" w:eastAsia="宋体" w:hAnsi="Cambria Math" w:cs="Cambria Math" w:hint="eastAsia"/>
          <w:color w:val="000000"/>
        </w:rPr>
        <w:t>△△</w:t>
      </w:r>
      <w:r>
        <w:rPr>
          <w:rFonts w:ascii="Book Antiqua" w:eastAsia="Book Antiqua" w:hAnsi="Book Antiqua" w:cs="Book Antiqua"/>
          <w:color w:val="000000"/>
        </w:rPr>
        <w:t>Ct formula was used as an indication of the relative transcriptional level. The primer sequences used were: CD34 forward (5’-CTACAACACCTAGTACCCTTGGA-3’) and reverse (5’-GGTGAACACTGTGCTGATTACA-3’);</w:t>
      </w:r>
      <w:r>
        <w:rPr>
          <w:rFonts w:ascii="Book Antiqua" w:hAnsi="Book Antiqua"/>
          <w:lang w:eastAsia="zh-CN"/>
        </w:rPr>
        <w:t xml:space="preserve"> </w:t>
      </w:r>
      <w:r>
        <w:rPr>
          <w:rFonts w:ascii="Book Antiqua" w:eastAsia="Book Antiqua" w:hAnsi="Book Antiqua" w:cs="Book Antiqua"/>
          <w:color w:val="000000"/>
        </w:rPr>
        <w:t>CD133 forward (5’-AGTCGGAAACTGGCAGATAGC-3’) and reverse (5’-GGTAGTGTTGTACTGGGCCAAT-3’);</w:t>
      </w:r>
      <w:r>
        <w:rPr>
          <w:rFonts w:ascii="Book Antiqua" w:hAnsi="Book Antiqua"/>
          <w:lang w:eastAsia="zh-CN"/>
        </w:rPr>
        <w:t xml:space="preserve"> </w:t>
      </w:r>
      <w:r>
        <w:rPr>
          <w:rFonts w:ascii="Book Antiqua" w:eastAsia="Book Antiqua" w:hAnsi="Book Antiqua" w:cs="Book Antiqua"/>
          <w:color w:val="000000"/>
        </w:rPr>
        <w:t>CXCR4 forward (5’-GGGCAATGGATTGGTCATCCT-3’) and reverse (5’-TGCAGCCTGTACTTGTCCG-3’);</w:t>
      </w:r>
      <w:r>
        <w:rPr>
          <w:rFonts w:ascii="Book Antiqua" w:hAnsi="Book Antiqua"/>
          <w:lang w:eastAsia="zh-CN"/>
        </w:rPr>
        <w:t xml:space="preserve"> </w:t>
      </w:r>
      <w:r>
        <w:rPr>
          <w:rFonts w:ascii="Book Antiqua" w:eastAsia="Book Antiqua" w:hAnsi="Book Antiqua" w:cs="Book Antiqua"/>
          <w:color w:val="000000"/>
        </w:rPr>
        <w:t>SIRT1 forward (5’-CAAACTTTGCTGTAACCCTGT-3’) and reverse (5’-CAGCCACTGAAGTTCTTTCAT-3’); HIF1A forward (5’-GGTCTAGGAAACTCAAAACCTGA-3’) and reverse</w:t>
      </w:r>
      <w:r>
        <w:rPr>
          <w:rFonts w:ascii="Book Antiqua" w:hAnsi="Book Antiqua"/>
          <w:lang w:eastAsia="zh-CN"/>
        </w:rPr>
        <w:t xml:space="preserve"> </w:t>
      </w:r>
      <w:r>
        <w:rPr>
          <w:rFonts w:ascii="Book Antiqua" w:eastAsia="Book Antiqua" w:hAnsi="Book Antiqua" w:cs="Book Antiqua"/>
          <w:color w:val="000000"/>
        </w:rPr>
        <w:t xml:space="preserve">(5’-TCCTCACACGCAAATAGCTGA-3’); superoxide dismutase </w:t>
      </w:r>
      <w:r>
        <w:rPr>
          <w:rFonts w:ascii="Book Antiqua" w:hAnsi="Book Antiqua"/>
          <w:lang w:eastAsia="zh-CN"/>
        </w:rPr>
        <w:t>(</w:t>
      </w:r>
      <w:r>
        <w:rPr>
          <w:rFonts w:ascii="Book Antiqua" w:eastAsia="Book Antiqua" w:hAnsi="Book Antiqua" w:cs="Book Antiqua"/>
          <w:color w:val="000000"/>
        </w:rPr>
        <w:t>SOD)1 forward (5’-GGTGGGCCAAAGGATGAAGAG-3’) and reverse (5’-CCACAAGCCAAACGACTTCC-3’);</w:t>
      </w:r>
      <w:r>
        <w:rPr>
          <w:rFonts w:ascii="Book Antiqua" w:hAnsi="Book Antiqua"/>
          <w:lang w:eastAsia="zh-CN"/>
        </w:rPr>
        <w:t xml:space="preserve"> </w:t>
      </w:r>
      <w:r>
        <w:rPr>
          <w:rFonts w:ascii="Book Antiqua" w:eastAsia="Book Antiqua" w:hAnsi="Book Antiqua" w:cs="Book Antiqua"/>
          <w:color w:val="000000"/>
        </w:rPr>
        <w:t>SOD2 forward (5’-GCTCCGGTTTTGGGGTATCTG-3’) and reverse (5’-GCGTTGATGTGAGGTTCCAG-3’);</w:t>
      </w:r>
      <w:r>
        <w:rPr>
          <w:rFonts w:ascii="Book Antiqua" w:hAnsi="Book Antiqua"/>
          <w:lang w:eastAsia="zh-CN"/>
        </w:rPr>
        <w:t xml:space="preserve"> </w:t>
      </w:r>
      <w:r>
        <w:rPr>
          <w:rFonts w:ascii="Book Antiqua" w:eastAsia="Book Antiqua" w:hAnsi="Book Antiqua" w:cs="Book Antiqua"/>
          <w:color w:val="000000"/>
        </w:rPr>
        <w:t xml:space="preserve">peroxiredoxin 1 </w:t>
      </w:r>
      <w:r>
        <w:rPr>
          <w:rFonts w:ascii="Book Antiqua" w:hAnsi="Book Antiqua"/>
          <w:lang w:eastAsia="zh-CN"/>
        </w:rPr>
        <w:t>(</w:t>
      </w:r>
      <w:r>
        <w:rPr>
          <w:rFonts w:ascii="Book Antiqua" w:eastAsia="Book Antiqua" w:hAnsi="Book Antiqua" w:cs="Book Antiqua"/>
          <w:color w:val="000000"/>
        </w:rPr>
        <w:t>PRDX1) forward (5’-CCACGGAGATCATTGCTTTCA-3’) and reverse (5’-AGGTGTATTGACCCATGCTAGAT-3’);</w:t>
      </w:r>
      <w:r>
        <w:rPr>
          <w:rFonts w:ascii="Book Antiqua" w:hAnsi="Book Antiqua"/>
          <w:lang w:eastAsia="zh-CN"/>
        </w:rPr>
        <w:t xml:space="preserve"> </w:t>
      </w:r>
      <w:r>
        <w:rPr>
          <w:rFonts w:ascii="Book Antiqua" w:eastAsia="Book Antiqua" w:hAnsi="Book Antiqua" w:cs="Book Antiqua"/>
          <w:color w:val="000000"/>
        </w:rPr>
        <w:t>β-actin forward (5’-AGAGCTACGAGCTGCCTGAC-3’) and reverse (5’-AGCACTGTGTTGGCGTACAG-3’).</w:t>
      </w:r>
    </w:p>
    <w:p w14:paraId="3BE61FAB" w14:textId="77777777" w:rsidR="007006AA" w:rsidRDefault="007006AA">
      <w:pPr>
        <w:spacing w:line="360" w:lineRule="auto"/>
        <w:jc w:val="both"/>
        <w:rPr>
          <w:rFonts w:ascii="Book Antiqua" w:hAnsi="Book Antiqua"/>
        </w:rPr>
      </w:pPr>
    </w:p>
    <w:p w14:paraId="0659B672"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Cytokine assay</w:t>
      </w:r>
    </w:p>
    <w:p w14:paraId="3AB8E64B"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This assay was conducted according to the Instruction Manual of BD™ Cytometric Bead Array Human Th1/Th2/Th17 Cytokine Kit (Catalog No. 560484). The fresh cytokine standards were prepared to run with each experiment. We added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sample and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Human Th1/Th2/Th17 PE Detection Reagent to the sample tubes and incubate the assay tubes for 3 h at room temperature, protected from light. Data were analyzed using FCAP Array software.</w:t>
      </w:r>
    </w:p>
    <w:p w14:paraId="62678B88" w14:textId="77777777" w:rsidR="007006AA" w:rsidRDefault="007006AA">
      <w:pPr>
        <w:spacing w:line="360" w:lineRule="auto"/>
        <w:jc w:val="both"/>
        <w:rPr>
          <w:rFonts w:ascii="Book Antiqua" w:hAnsi="Book Antiqua"/>
        </w:rPr>
      </w:pPr>
    </w:p>
    <w:p w14:paraId="3960DAC4"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3B55C6E"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The significant differences between each group were analyzed using SPSS 22.0 for all experimental data. The comparison was analyzed between two groups with an </w:t>
      </w:r>
      <w:r>
        <w:rPr>
          <w:rFonts w:ascii="Book Antiqua" w:eastAsia="Book Antiqua" w:hAnsi="Book Antiqua" w:cs="Book Antiqua"/>
          <w:color w:val="000000"/>
        </w:rPr>
        <w:lastRenderedPageBreak/>
        <w:t xml:space="preserve">independent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and among three groups with single-factor analysis of variance. The values were plotted as the mean ± SD. Probability values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significant.</w:t>
      </w:r>
    </w:p>
    <w:p w14:paraId="6FA7CFE2" w14:textId="77777777" w:rsidR="007006AA" w:rsidRDefault="007006AA">
      <w:pPr>
        <w:spacing w:line="360" w:lineRule="auto"/>
        <w:jc w:val="both"/>
        <w:rPr>
          <w:rFonts w:ascii="Book Antiqua" w:hAnsi="Book Antiqua"/>
        </w:rPr>
      </w:pPr>
    </w:p>
    <w:p w14:paraId="13DF0ED6"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F48D346"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Effect of different concentrations of NAM on the quality of HSCs</w:t>
      </w:r>
    </w:p>
    <w:p w14:paraId="57DE12B9"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We measured the proportion of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 xml:space="preserve"> (HSPCs),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CD45RA</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CD49f</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(ST-HSCs), and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CD45RA</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CD49f</w:t>
      </w:r>
      <w:r>
        <w:rPr>
          <w:rFonts w:ascii="Book Antiqua" w:eastAsia="Book Antiqua" w:hAnsi="Book Antiqua" w:cs="Book Antiqua"/>
          <w:color w:val="000000"/>
          <w:vertAlign w:val="superscript"/>
        </w:rPr>
        <w:t>+</w:t>
      </w:r>
      <w:r>
        <w:rPr>
          <w:rFonts w:ascii="Book Antiqua" w:eastAsia="Book Antiqua" w:hAnsi="Book Antiqua" w:cs="Book Antiqua"/>
          <w:color w:val="000000"/>
        </w:rPr>
        <w:t>CD90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(LT-HSCs) subsets in the control group (no NAM) and different NAM groups (5, 10 and 15 mmol/L). </w:t>
      </w:r>
      <w:r>
        <w:rPr>
          <w:rFonts w:ascii="Book Antiqua" w:hAnsi="Book Antiqua"/>
          <w:color w:val="000000"/>
        </w:rPr>
        <w:t>The proportion of HSPCs in th</w:t>
      </w:r>
      <w:r>
        <w:rPr>
          <w:rFonts w:ascii="Book Antiqua" w:eastAsia="Book Antiqua" w:hAnsi="Book Antiqua" w:cs="Book Antiqua"/>
          <w:color w:val="000000"/>
        </w:rPr>
        <w:t>e control group was 14.28% ± 0.36%, while the 5</w:t>
      </w:r>
      <w:r>
        <w:rPr>
          <w:rFonts w:ascii="Book Antiqua" w:hAnsi="Book Antiqua"/>
          <w:color w:val="000000"/>
        </w:rPr>
        <w:t xml:space="preserve"> mmol/L and 10 mmol/L NAM groups</w:t>
      </w:r>
      <w:r>
        <w:rPr>
          <w:rFonts w:ascii="Book Antiqua" w:eastAsia="Book Antiqua" w:hAnsi="Book Antiqua" w:cs="Book Antiqua"/>
          <w:color w:val="000000"/>
        </w:rPr>
        <w:t xml:space="preserve"> accounted for 15.03% ± 0.36% and 15.37% ± 0.46% respectively, which was significantly higher than in the control group (all </w:t>
      </w:r>
      <w:r>
        <w:rPr>
          <w:rFonts w:ascii="Book Antiqua" w:hAnsi="Book Antiqua"/>
          <w:i/>
          <w:color w:val="000000"/>
        </w:rPr>
        <w:t>P</w:t>
      </w:r>
      <w:r>
        <w:rPr>
          <w:rFonts w:ascii="Book Antiqua" w:hAnsi="Book Antiqua"/>
          <w:color w:val="000000"/>
        </w:rPr>
        <w:t xml:space="preserve"> &lt; 0.05),</w:t>
      </w:r>
      <w:r>
        <w:rPr>
          <w:rFonts w:ascii="Book Antiqua" w:eastAsia="Book Antiqua" w:hAnsi="Book Antiqua" w:cs="Book Antiqua"/>
          <w:color w:val="000000"/>
        </w:rPr>
        <w:t xml:space="preserve"> whereas there was no significant difference between the first two groups (Figure 1A). The proportion of ST-HSCs was highest in the 5 mmol/L NAM group (9.51% ± 0.35%), followed by the 10 mmol/L NAM group (4.33% ± 0.31%)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both groups had significantly higher proportions of ST-HSCs than the control group (3.63% ± 0.11%)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1B). The proportion of LT-HSCs in the 10 mmol/L NAM group (1.26% ± 0.16%) was significantly higher than that in the control group (0.39% ± 0.04%) and the 5 mmol/L NAM group (0.34% ± 0.03%), and there was no significant difference between the latter two groups (Figure 1C). The lower the differentiation and senescence of stem cells, the smaller their </w:t>
      </w:r>
      <w:proofErr w:type="gramStart"/>
      <w:r>
        <w:rPr>
          <w:rFonts w:ascii="Book Antiqua" w:eastAsia="Book Antiqua" w:hAnsi="Book Antiqua" w:cs="Book Antiqua"/>
          <w:color w:val="000000"/>
        </w:rPr>
        <w:t>diameter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the results of cell size testing in each group confirmed (Figure 1D). Cell viability for the 15 mmol/L NAM group was poor and the cultures contained a lot of cell debris, which led to nonspecific antibody binding that was unsuitable for phenotype analysis (Figure 1E). In addition, the results of the CFU assay show that the total number of colonies and the number of CFU-E and CFU-GEMM in the 5 mmol/L NAM group was significantly higher than in the control group, while the total colony-forming ability of the 10 mmol/L NAM group was impaired compared to the control group, but the number of CFU-GEMM still significantly increased (Figure 1F and G). These results are consistent with other reports that NAM treatment can inhibit the differentiation of </w:t>
      </w:r>
      <w:proofErr w:type="gramStart"/>
      <w:r>
        <w:rPr>
          <w:rFonts w:ascii="Book Antiqua" w:eastAsia="Book Antiqua" w:hAnsi="Book Antiqua" w:cs="Book Antiqua"/>
          <w:color w:val="000000"/>
        </w:rPr>
        <w:t>HSCs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7D812B6E" w14:textId="77777777" w:rsidR="007006AA" w:rsidRDefault="007006AA">
      <w:pPr>
        <w:spacing w:line="360" w:lineRule="auto"/>
        <w:jc w:val="both"/>
        <w:rPr>
          <w:rFonts w:ascii="Book Antiqua" w:hAnsi="Book Antiqua"/>
        </w:rPr>
      </w:pPr>
    </w:p>
    <w:p w14:paraId="5F6C0E33"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Effect of different concentrations of NAM on the quantity of HSCs</w:t>
      </w:r>
    </w:p>
    <w:p w14:paraId="4F69A24D"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Fold expansion of TNCs and the degree of cell differentiation were reliable indicators for evaluating the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expansion efficiency of HSCs. Under the microscope, small and round HSCs were visible, and the number of cells in the 15 mmol/L NAM group was significantly lower than in the other groups (Figure 2A). The 5 mmol/L NAM group had the highest fold expansion of TNCs, followed by the control group; both of which were significantly higher than the 10 mmol/L and 15 mmol/L NAM groups, with the 15 mmol/L NAM group having the lowest fold expansion of TNCs (Figure 2B). The fold expansion of HSPCs in the 5 mmol/L (107.25 ± 2.71) and 10 mmol/L (100.65 ± 2.13) NAM groups was significantly higher than that in the control group (61.10 ± 2.12)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2C). The fold expansion of ST-HSCs was highest in the 5 mmol/L NAM group (122.17 ± 4.09) and was significantly higher than in the control (48.11 ± 1.54) and 10 mmol/L NAM (30.82 ± 2.50) groups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2D). Fold expansion of LT-HSCs was highest in the 10 mmol/L NAM </w:t>
      </w:r>
      <w:proofErr w:type="gramStart"/>
      <w:r>
        <w:rPr>
          <w:rFonts w:ascii="Book Antiqua" w:eastAsia="Book Antiqua" w:hAnsi="Book Antiqua" w:cs="Book Antiqua"/>
          <w:color w:val="000000"/>
        </w:rPr>
        <w:t>group, and</w:t>
      </w:r>
      <w:proofErr w:type="gramEnd"/>
      <w:r>
        <w:rPr>
          <w:rFonts w:ascii="Book Antiqua" w:eastAsia="Book Antiqua" w:hAnsi="Book Antiqua" w:cs="Book Antiqua"/>
          <w:color w:val="000000"/>
        </w:rPr>
        <w:t xml:space="preserve"> was significantly higher than in the control and 5 mmol/L NAM groups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0.005) (Figure 2E).</w:t>
      </w:r>
    </w:p>
    <w:p w14:paraId="228453C5" w14:textId="77777777" w:rsidR="007006AA" w:rsidRDefault="007006AA">
      <w:pPr>
        <w:spacing w:line="360" w:lineRule="auto"/>
        <w:jc w:val="both"/>
        <w:rPr>
          <w:rFonts w:ascii="Book Antiqua" w:hAnsi="Book Antiqua"/>
        </w:rPr>
      </w:pPr>
    </w:p>
    <w:p w14:paraId="498E6057"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Effect of different concentrations of NAM on HSC apoptosis and cell cycle distribution</w:t>
      </w:r>
    </w:p>
    <w:p w14:paraId="7612D726" w14:textId="77777777" w:rsidR="007006A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investigate whether NAM affected other biological behaviors of HSCs, we measured the proportion of apoptotic cells and cell cycle distribution in each group. The proportion of apoptotic cells in the 10 mmol/L NAM group was significantly higher than in the control and 5 mmol/L NAM groups, with a significant decrease in the proportion in the control group compared with the 5 mmol/L NAM group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(Figures 3A and B). In addition, the proportion of cells in S and G</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phase in the 5 mmol/L NAM group was significantly higher than those in the control and 10 mmol/L NAM groups, with a significant decrease in the proportion in the control group compared with the 10 mmol/L NAM group (Figure 3C). This indicated that the effect of NAM on HSC proliferation and apoptosis was concentration dependent. The high proportion of apoptosis in the 10 mmol/L NAM group may be one of the reasons for its impaired overall colony-formation ability.</w:t>
      </w:r>
    </w:p>
    <w:p w14:paraId="4BD4BC13" w14:textId="77777777" w:rsidR="007006AA" w:rsidRDefault="007006AA">
      <w:pPr>
        <w:spacing w:line="360" w:lineRule="auto"/>
        <w:jc w:val="both"/>
        <w:rPr>
          <w:rFonts w:ascii="Book Antiqua" w:hAnsi="Book Antiqua"/>
        </w:rPr>
      </w:pPr>
    </w:p>
    <w:p w14:paraId="3B3FF4B4" w14:textId="77777777" w:rsidR="007006AA" w:rsidRDefault="00000000">
      <w:pPr>
        <w:spacing w:line="360" w:lineRule="auto"/>
        <w:jc w:val="both"/>
        <w:rPr>
          <w:rFonts w:ascii="Book Antiqua" w:hAnsi="Book Antiqua"/>
        </w:rPr>
      </w:pPr>
      <w:r>
        <w:rPr>
          <w:rFonts w:ascii="Book Antiqua" w:eastAsia="Book Antiqua" w:hAnsi="Book Antiqua" w:cs="Book Antiqua"/>
          <w:b/>
          <w:bCs/>
          <w:i/>
          <w:iCs/>
          <w:color w:val="000000"/>
        </w:rPr>
        <w:t>Molecular mechanism of NAM affecting the proliferation and differentiation of HSCs</w:t>
      </w:r>
    </w:p>
    <w:p w14:paraId="1F9B6207" w14:textId="77777777" w:rsidR="007006AA" w:rsidRDefault="00000000">
      <w:pPr>
        <w:spacing w:line="360" w:lineRule="auto"/>
        <w:jc w:val="both"/>
        <w:rPr>
          <w:rFonts w:ascii="Book Antiqua" w:hAnsi="Book Antiqua"/>
        </w:rPr>
      </w:pPr>
      <w:r>
        <w:rPr>
          <w:rFonts w:ascii="Book Antiqua" w:eastAsia="Book Antiqua" w:hAnsi="Book Antiqua" w:cs="Book Antiqua"/>
          <w:i/>
          <w:iCs/>
          <w:color w:val="000000"/>
        </w:rPr>
        <w:t>In vivo</w:t>
      </w:r>
      <w:r>
        <w:rPr>
          <w:rFonts w:ascii="Book Antiqua" w:eastAsia="Book Antiqua" w:hAnsi="Book Antiqua" w:cs="Book Antiqua"/>
          <w:color w:val="000000"/>
        </w:rPr>
        <w:t xml:space="preserve">, primitive HSCs can be distinguished by their low mitochondrial activity, as they primarily rely on glycolytic metabolism as their energy source to maintain a dormant state.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culture conditions cannot completely mimic the niche of HSCs, but do drive metabolic transitions toward oxidative phosphorylation and activation of inflammatory pathways, leading to an increase in ROS and inflammatory cytokines, which results in rapid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28-33]</w:t>
      </w:r>
      <w:r>
        <w:rPr>
          <w:rFonts w:ascii="Book Antiqua" w:eastAsia="Book Antiqua" w:hAnsi="Book Antiqua" w:cs="Book Antiqua"/>
          <w:color w:val="000000"/>
        </w:rPr>
        <w:t>. In this study, compared with freshly isolated CD34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the control and NAM groups exhibited a significant increase in intracellular ROS levels, with the control group having the highest ROS level and the NAM groups having a significantly lower ROS content than the control group (Figure 4A). Additionally, the concentration of interleukin-6 in the cell supernatant was significantly increased, with that of the 5 mmol/L and 10 mmol/L NAM groups not exceeding 3 ng/mL and being significantly lower than that of the control group (Figure 4B).</w:t>
      </w:r>
    </w:p>
    <w:p w14:paraId="270C68B5"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expression of stemness, chemotaxis, hypoxia pathway and antioxidant enzyme genes are common indicators for exploring the mechanisms of action of different small molecule compounds in HSC amplification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34-39]</w:t>
      </w:r>
      <w:r>
        <w:rPr>
          <w:rFonts w:ascii="Book Antiqua" w:eastAsia="Book Antiqua" w:hAnsi="Book Antiqua" w:cs="Book Antiqua"/>
          <w:color w:val="000000"/>
        </w:rPr>
        <w:t>. To further explore the molecular mechanisms by which NAM affects the proliferation and differentiation of HSCs, we compared the expression of genes encoding stemness-related factors, chemokines, components of hypoxia pathways, and antioxidant enzymes in each group of cells</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4</w:t>
      </w:r>
      <w:r>
        <w:rPr>
          <w:rFonts w:ascii="Book Antiqua" w:eastAsia="宋体" w:hAnsi="Book Antiqua" w:cs="Book Antiqua"/>
          <w:color w:val="000000"/>
          <w:lang w:eastAsia="zh-CN"/>
        </w:rPr>
        <w:t>C</w:t>
      </w:r>
      <w:r>
        <w:rPr>
          <w:rFonts w:ascii="Book Antiqua" w:eastAsia="Book Antiqua" w:hAnsi="Book Antiqua" w:cs="Book Antiqua"/>
          <w:color w:val="000000"/>
        </w:rPr>
        <w:t>). The hypoxia pathway SIRT1–HIF1A was significantly upregulated in the 5 mmol/L NAM group compared with the other two groups. Compared with the control group, the 5 mmol/L NAM group showed significant upregulation of antioxidant enzymes PRDX1 and SOD1, consistent with the results of the ROS detection mentioned above. In addition, compared with the control and 5 mmol/L NAM groups, the 10 mmol/L NAM group had significantly inhibited SIRT1 expression. The expression of the chemokine CXCR4 was significantly increased in the 5 mmol/L and 10 mmol/L NAM groups compared with the control group.</w:t>
      </w:r>
    </w:p>
    <w:p w14:paraId="2219AA24" w14:textId="77777777" w:rsidR="007006AA" w:rsidRDefault="007006AA">
      <w:pPr>
        <w:spacing w:line="360" w:lineRule="auto"/>
        <w:ind w:firstLine="240"/>
        <w:jc w:val="both"/>
        <w:rPr>
          <w:rFonts w:ascii="Book Antiqua" w:hAnsi="Book Antiqua"/>
        </w:rPr>
      </w:pPr>
    </w:p>
    <w:p w14:paraId="4DA0FE5E"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344B4D71"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The basic HSCs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 consists of a serum-free medium supplemented with cytokines, and the addition of small molecule substances can significantly enhance amplification </w:t>
      </w:r>
      <w:proofErr w:type="gramStart"/>
      <w:r>
        <w:rPr>
          <w:rFonts w:ascii="Book Antiqua" w:eastAsia="Book Antiqua" w:hAnsi="Book Antiqua" w:cs="Book Antiqua"/>
          <w:color w:val="000000"/>
        </w:rPr>
        <w:t>efficiency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15,40]</w:t>
      </w:r>
      <w:r>
        <w:rPr>
          <w:rFonts w:ascii="Book Antiqua" w:eastAsia="Book Antiqua" w:hAnsi="Book Antiqua" w:cs="Book Antiqua"/>
          <w:color w:val="000000"/>
        </w:rPr>
        <w:t>. For example, NAM can significantly increase the proportion of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 xml:space="preserve"> cells (HSPCs). However, the CD34</w:t>
      </w:r>
      <w:r>
        <w:rPr>
          <w:rFonts w:ascii="Book Antiqua" w:eastAsia="Book Antiqua" w:hAnsi="Book Antiqua" w:cs="Book Antiqua"/>
          <w:color w:val="000000"/>
          <w:vertAlign w:val="superscript"/>
        </w:rPr>
        <w:t>+</w:t>
      </w:r>
      <w:r>
        <w:rPr>
          <w:rFonts w:ascii="Book Antiqua" w:eastAsia="Book Antiqua" w:hAnsi="Book Antiqua" w:cs="Book Antiqua"/>
          <w:color w:val="000000"/>
        </w:rPr>
        <w:t>CD38</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rPr>
        <w:t xml:space="preserve"> phenotype is an unpredictable surface marker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repopulation of cell cultures, resulting in separation of phenotype from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hematopoietic reconstitution </w:t>
      </w:r>
      <w:proofErr w:type="gramStart"/>
      <w:r>
        <w:rPr>
          <w:rFonts w:ascii="Book Antiqua" w:eastAsia="Book Antiqua" w:hAnsi="Book Antiqua" w:cs="Book Antiqua"/>
          <w:color w:val="000000"/>
        </w:rPr>
        <w: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According to reconstruction dynamics in primary and secondary recipients after transplantation, HSCs can be divided into LT-HSCs and ST-HSCs. LT-HSCs are believed to be located at the top of the hematopoietic system and can differentiate downstream to produce ST-HSCs, pluripotent progenitor cells, lineage-specific progenitor cells, and terminally differentiated hematopoietic cells. LT-HSCs can provide delayed but persistent hematopoiesis, whereas ST-HSCs contribute to early and temporary hematopoiesis </w:t>
      </w:r>
      <w:proofErr w:type="gramStart"/>
      <w:r>
        <w:rPr>
          <w:rFonts w:ascii="Book Antiqua" w:eastAsia="Book Antiqua" w:hAnsi="Book Antiqua" w:cs="Book Antiqua"/>
          <w:color w:val="000000"/>
        </w:rPr>
        <w:t>recovery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Pr>
          <w:rFonts w:ascii="Book Antiqua" w:eastAsia="Book Antiqua" w:hAnsi="Book Antiqua" w:cs="Book Antiqua"/>
          <w:color w:val="000000"/>
        </w:rPr>
        <w:t xml:space="preserve">. Therefore, compared with HSPCs, these two subpopulations can more accurately evaluate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hematopoietic reconstitution ability and the expansion efficiency of NAM on HSCs.</w:t>
      </w:r>
    </w:p>
    <w:p w14:paraId="47E6B41A"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t>In this study, we evaluated the amplification efficiency of different concentrations of NAM on HSPCs, ST-HSCs, and LT-HSCs, and found that 5 mmol/L and 10 mmol/L NAM are beneficial for maintaining HSPCs. The lower concentration (5 mmol/L) of NAM was more conducive to expansion of ST-HSCs, whereas the higher concentration (10 mmol/L) had a more significant effect on promoting expansion of LT-HSCs. Based on these findings, the working concentration of NAM can be adjusted according to the expansion requirements.</w:t>
      </w:r>
    </w:p>
    <w:p w14:paraId="7898314B"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key to promoting self-renewal of HSCs lies in regulating the balance between proliferation and differentiation, which requires activating dormant stem cells to enter the proliferative cell cycle while also preventing excessive oxidative phosphorylation and ROS production. For example, the HSC self-renewal agonist UM171 stimulates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HSC expansion by establishing a critical balance between proinflammatory and anti-inflammatory </w:t>
      </w:r>
      <w:proofErr w:type="gramStart"/>
      <w:r>
        <w:rPr>
          <w:rFonts w:ascii="Book Antiqua" w:eastAsia="Book Antiqua" w:hAnsi="Book Antiqua" w:cs="Book Antiqua"/>
          <w:color w:val="000000"/>
        </w:rPr>
        <w:t>mediators</w:t>
      </w:r>
      <w:r>
        <w:rPr>
          <w:rFonts w:ascii="Book Antiqua" w:hAnsi="Book Antiqua"/>
          <w:color w:val="000000"/>
          <w:vertAlign w:val="superscript"/>
        </w:rPr>
        <w:t>[</w:t>
      </w:r>
      <w:proofErr w:type="gramEnd"/>
      <w:r>
        <w:rPr>
          <w:rFonts w:ascii="Book Antiqua" w:hAnsi="Book Antiqua"/>
          <w:color w:val="000000"/>
          <w:vertAlign w:val="superscript"/>
        </w:rPr>
        <w:t>45]</w:t>
      </w:r>
      <w:r>
        <w:rPr>
          <w:rFonts w:ascii="Book Antiqua" w:hAnsi="Book Antiqua"/>
          <w:color w:val="000000"/>
        </w:rPr>
        <w:t>.</w:t>
      </w:r>
    </w:p>
    <w:p w14:paraId="01A80103"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In our research, low concentrations of NAM caused HSCs to exit G0 phase and enter the proliferative cell cycle, leading to an increase in cell numbers. In addition, the low concentrations of NAM inhibited differentiation by reducing ROS production. This indicates that low concentrations of NAM can better regulate the balance between proliferation and differentiation, thereby promoting effective expansion of HSCs. When the concentration of NAM exceeds 10 mmol/L, </w:t>
      </w:r>
      <w:proofErr w:type="gramStart"/>
      <w:r>
        <w:rPr>
          <w:rFonts w:ascii="Book Antiqua" w:eastAsia="Book Antiqua" w:hAnsi="Book Antiqua" w:cs="Book Antiqua"/>
          <w:color w:val="000000"/>
        </w:rPr>
        <w:t>apoptosis</w:t>
      </w:r>
      <w:proofErr w:type="gramEnd"/>
      <w:r>
        <w:rPr>
          <w:rFonts w:ascii="Book Antiqua" w:eastAsia="Book Antiqua" w:hAnsi="Book Antiqua" w:cs="Book Antiqua"/>
          <w:color w:val="000000"/>
        </w:rPr>
        <w:t xml:space="preserve"> and cell necrosis increase, which is not conducive to the survival and self-renewal of HSCs. The high intracellular ROS levels detected in our 10 mmol/L NAM group contradict the fact that high concentrations of NAM are beneficial for maintaining LT-HSCs. This may be due the cytotoxicity of high concentrations of NAM, and this was confirmed by the significant increase in apoptotic cells and significant decrease in cell viability in the 10 mmol/L and 15 mmol/L NAM groups.</w:t>
      </w:r>
    </w:p>
    <w:p w14:paraId="253B7FD2" w14:textId="77777777" w:rsidR="007006A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Activating SIRT1 can protect cells from oxidative stress damage and regulate cell proliferation by upregulating the SIRT1–HIF1A </w:t>
      </w:r>
      <w:proofErr w:type="gramStart"/>
      <w:r>
        <w:rPr>
          <w:rFonts w:ascii="Book Antiqua" w:eastAsia="Book Antiqua" w:hAnsi="Book Antiqua" w:cs="Book Antiqua"/>
          <w:color w:val="000000"/>
        </w:rPr>
        <w:t>pathway</w:t>
      </w:r>
      <w:r>
        <w:rPr>
          <w:rFonts w:ascii="Book Antiqua" w:hAnsi="Book Antiqua"/>
          <w:color w:val="000000"/>
          <w:vertAlign w:val="superscript"/>
        </w:rPr>
        <w:t>[</w:t>
      </w:r>
      <w:proofErr w:type="gramEnd"/>
      <w:r>
        <w:rPr>
          <w:rFonts w:ascii="Book Antiqua" w:hAnsi="Book Antiqua"/>
          <w:color w:val="000000"/>
          <w:vertAlign w:val="superscript"/>
        </w:rPr>
        <w:t>46,47]</w:t>
      </w:r>
      <w:r>
        <w:rPr>
          <w:rFonts w:ascii="Book Antiqua" w:eastAsia="Book Antiqua" w:hAnsi="Book Antiqua" w:cs="Book Antiqua"/>
          <w:color w:val="000000"/>
        </w:rPr>
        <w:t>, whereas inhibiting SIRT1 may be related to delaying differentiation</w:t>
      </w:r>
      <w:r>
        <w:rPr>
          <w:rFonts w:ascii="Book Antiqua" w:hAnsi="Book Antiqua"/>
          <w:color w:val="000000"/>
          <w:vertAlign w:val="superscript"/>
        </w:rPr>
        <w:t>[48]</w:t>
      </w:r>
      <w:r>
        <w:rPr>
          <w:rFonts w:ascii="Book Antiqua" w:eastAsia="Book Antiqua" w:hAnsi="Book Antiqua" w:cs="Book Antiqua"/>
          <w:color w:val="000000"/>
        </w:rPr>
        <w:t>. NAM is considered a SIRT1 inhibitor that delays stem cell differentiation. We measured the transcription levels of SIRT1 in each group of cells and found that compared with the control group, SIRT1 was significantly upregulated in the 5 mmol/L NAM group and significantly downregulated in the 10 mmol/L NAM group. This indicates that NAM can only inhibit SIRT1 expression at high concentrations, whereas low concentrations of NAM do not inhibit SIRT1 but may upregulate transcription of this crucial regulator. Activation of SIRT1 may promote cell proliferation by upregulating the SIRT1–HIF1A pathway, which is consistent with the higher proportion of S phase cells and fold expansion of TNCs observed in the 5 mmol/L NAM group in our above results.</w:t>
      </w:r>
    </w:p>
    <w:p w14:paraId="76A369D0" w14:textId="77777777" w:rsidR="007006AA" w:rsidRDefault="007006AA">
      <w:pPr>
        <w:spacing w:line="360" w:lineRule="auto"/>
        <w:ind w:firstLine="240"/>
        <w:jc w:val="both"/>
        <w:rPr>
          <w:rFonts w:ascii="Book Antiqua" w:hAnsi="Book Antiqua"/>
        </w:rPr>
      </w:pPr>
    </w:p>
    <w:p w14:paraId="761F43B0"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874A768"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Different concentrations of NAM have distinct effects on proliferation and differentiation of HSCs. Although a high concentration of NAM is more conducive to the expansion of LT-HSCs, the cells are affected by oxidative stress and apoptosis, which may negatively impact hematopoietic reconstitution after transplantation. Low </w:t>
      </w:r>
      <w:r>
        <w:rPr>
          <w:rFonts w:ascii="Book Antiqua" w:eastAsia="Book Antiqua" w:hAnsi="Book Antiqua" w:cs="Book Antiqua"/>
          <w:color w:val="000000"/>
        </w:rPr>
        <w:lastRenderedPageBreak/>
        <w:t>concentrations of NAM can better regulate the balance between proliferation and differentiation, thereby promoting effective expansion of HSCs. In addition, the transcription level of SIRT1 is correlated with the concentration of NAM. Upregulation of SIRT1–HIF1A can promote proliferation, whereas inhibition of SIRT1 may achieve a delayed differentiation effect.</w:t>
      </w:r>
    </w:p>
    <w:p w14:paraId="1E470CFC" w14:textId="77777777" w:rsidR="007006AA" w:rsidRDefault="007006AA">
      <w:pPr>
        <w:spacing w:line="360" w:lineRule="auto"/>
        <w:jc w:val="both"/>
        <w:rPr>
          <w:rFonts w:ascii="Book Antiqua" w:hAnsi="Book Antiqua"/>
        </w:rPr>
      </w:pPr>
    </w:p>
    <w:p w14:paraId="26C9EEF9"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BE18E9D"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background</w:t>
      </w:r>
      <w:proofErr w:type="gramEnd"/>
    </w:p>
    <w:p w14:paraId="0728F3CE"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expansion strategy of increasing the number of </w:t>
      </w:r>
      <w:r>
        <w:rPr>
          <w:rFonts w:ascii="Book Antiqua" w:eastAsia="Book Antiqua" w:hAnsi="Book Antiqua" w:cs="Book Antiqua"/>
        </w:rPr>
        <w:t>hematopoietic stem cells (HSCs)</w:t>
      </w:r>
      <w:r>
        <w:rPr>
          <w:rFonts w:ascii="Book Antiqua" w:eastAsia="Book Antiqua" w:hAnsi="Book Antiqua" w:cs="Book Antiqua"/>
          <w:color w:val="000000"/>
        </w:rPr>
        <w:t xml:space="preserve"> in cord blood is expected to improve its clinical efficacy. Nicotinamide (NAM) is one of the small molecules that can promote the expansion of hematopoietic stem and progenitor cells (HSPCs)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but its mechanism of action and its effects on </w:t>
      </w:r>
      <w:r>
        <w:rPr>
          <w:rFonts w:ascii="Book Antiqua" w:eastAsia="Book Antiqua" w:hAnsi="Book Antiqua" w:cs="Book Antiqua"/>
        </w:rPr>
        <w:t>short-term repopulating HSCs</w:t>
      </w:r>
      <w:r>
        <w:rPr>
          <w:rFonts w:ascii="Book Antiqua" w:eastAsia="Book Antiqua" w:hAnsi="Book Antiqua" w:cs="Book Antiqua"/>
          <w:color w:val="000000"/>
        </w:rPr>
        <w:t xml:space="preserve"> (ST-HSCs) and long-term repopulating HSCs (LT-HSCs) have not yet been established. Revealing the dominant subgroups of NAM and elucidating the relevant mechanisms not only helps to recommend the working concentration of NAM according to demand, but also helps to reveal the signaling pathways involved in the regulation of HSC proliferation and differentiation.</w:t>
      </w:r>
    </w:p>
    <w:p w14:paraId="491DE659" w14:textId="77777777" w:rsidR="007006AA" w:rsidRDefault="007006AA">
      <w:pPr>
        <w:spacing w:line="360" w:lineRule="auto"/>
        <w:jc w:val="both"/>
        <w:rPr>
          <w:rFonts w:ascii="Book Antiqua" w:hAnsi="Book Antiqua"/>
        </w:rPr>
      </w:pPr>
    </w:p>
    <w:p w14:paraId="1B1ACD3C"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motivation</w:t>
      </w:r>
      <w:proofErr w:type="gramEnd"/>
    </w:p>
    <w:p w14:paraId="6E4035A9"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The effects of different concentrations of NAM on proliferation and differentiation of HSCs, as well as whether it affects </w:t>
      </w:r>
      <w:proofErr w:type="spellStart"/>
      <w:r>
        <w:rPr>
          <w:rFonts w:ascii="Book Antiqua" w:eastAsia="Book Antiqua" w:hAnsi="Book Antiqua" w:cs="Book Antiqua"/>
        </w:rPr>
        <w:t>sirtuin</w:t>
      </w:r>
      <w:proofErr w:type="spellEnd"/>
      <w:r>
        <w:rPr>
          <w:rFonts w:ascii="Book Antiqua" w:eastAsia="Book Antiqua" w:hAnsi="Book Antiqua" w:cs="Book Antiqua"/>
        </w:rPr>
        <w:t xml:space="preserve"> 1 (SIRT1)</w:t>
      </w:r>
      <w:r>
        <w:rPr>
          <w:rFonts w:ascii="Book Antiqua" w:eastAsia="Book Antiqua" w:hAnsi="Book Antiqua" w:cs="Book Antiqua"/>
          <w:color w:val="000000"/>
        </w:rPr>
        <w:t xml:space="preserve"> transcription levels, have not been reported. There are various small molecule substances used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 of HSCs (including UM171, SR1, VPA, NAM and ID8), which may affect the maintenance, proliferation, </w:t>
      </w:r>
      <w:proofErr w:type="gramStart"/>
      <w:r>
        <w:rPr>
          <w:rFonts w:ascii="Book Antiqua" w:eastAsia="Book Antiqua" w:hAnsi="Book Antiqua" w:cs="Book Antiqua"/>
          <w:color w:val="000000"/>
        </w:rPr>
        <w:t>differentiation</w:t>
      </w:r>
      <w:proofErr w:type="gramEnd"/>
      <w:r>
        <w:rPr>
          <w:rFonts w:ascii="Book Antiqua" w:eastAsia="Book Antiqua" w:hAnsi="Book Antiqua" w:cs="Book Antiqua"/>
          <w:color w:val="000000"/>
        </w:rPr>
        <w:t xml:space="preserve"> and homing of HSCs by regulating different pathways, and different molecular pathways may have synergistic effects. This study aimed to provide a theoretical basis for the future joint application of multiple small molecules by elucidating the molecular mechanism of NAM. Our work is crucial for selecting the working concentration of NAM and predicting small molecules that have a synergistic effect with NAM.</w:t>
      </w:r>
    </w:p>
    <w:p w14:paraId="30577D72" w14:textId="77777777" w:rsidR="007006AA" w:rsidRDefault="007006AA">
      <w:pPr>
        <w:spacing w:line="360" w:lineRule="auto"/>
        <w:jc w:val="both"/>
        <w:rPr>
          <w:rFonts w:ascii="Book Antiqua" w:hAnsi="Book Antiqua"/>
        </w:rPr>
      </w:pPr>
    </w:p>
    <w:p w14:paraId="27744B38"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 xml:space="preserve">Research </w:t>
      </w:r>
      <w:proofErr w:type="gramStart"/>
      <w:r>
        <w:rPr>
          <w:rFonts w:ascii="Book Antiqua" w:eastAsia="Book Antiqua" w:hAnsi="Book Antiqua" w:cs="Book Antiqua"/>
          <w:b/>
          <w:i/>
          <w:color w:val="000000"/>
        </w:rPr>
        <w:t>objectives</w:t>
      </w:r>
      <w:proofErr w:type="gramEnd"/>
    </w:p>
    <w:p w14:paraId="33765DCA"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To evaluate the effects and mechanisms of different concentrations of NAM on HSC proliferation and differentiation.</w:t>
      </w:r>
    </w:p>
    <w:p w14:paraId="5EF8DBEF" w14:textId="77777777" w:rsidR="007006AA" w:rsidRDefault="007006AA">
      <w:pPr>
        <w:spacing w:line="360" w:lineRule="auto"/>
        <w:jc w:val="both"/>
        <w:rPr>
          <w:rFonts w:ascii="Book Antiqua" w:hAnsi="Book Antiqua"/>
        </w:rPr>
      </w:pPr>
    </w:p>
    <w:p w14:paraId="0C1A3998"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methods</w:t>
      </w:r>
      <w:proofErr w:type="gramEnd"/>
    </w:p>
    <w:p w14:paraId="6520208F"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In this study, we added different concentrations of NAM to serum-free culture medium inoculated with CD34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We then measure the number, molecular phenotype, cycle distribution, and apoptosis of each group of cells and explore the mechanism by detecting the levels of </w:t>
      </w:r>
      <w:r>
        <w:rPr>
          <w:rFonts w:ascii="Book Antiqua" w:eastAsia="Book Antiqua" w:hAnsi="Book Antiqua" w:cs="Book Antiqua"/>
        </w:rPr>
        <w:t>reactive oxygen species</w:t>
      </w:r>
      <w:r>
        <w:rPr>
          <w:rFonts w:ascii="Book Antiqua" w:eastAsia="Book Antiqua" w:hAnsi="Book Antiqua" w:cs="Book Antiqua"/>
          <w:color w:val="000000"/>
        </w:rPr>
        <w:t xml:space="preserve"> (ROS), inflammatory factors and related gene transcription.</w:t>
      </w:r>
    </w:p>
    <w:p w14:paraId="1C8DEB76" w14:textId="77777777" w:rsidR="007006AA" w:rsidRDefault="007006AA">
      <w:pPr>
        <w:spacing w:line="360" w:lineRule="auto"/>
        <w:jc w:val="both"/>
        <w:rPr>
          <w:rFonts w:ascii="Book Antiqua" w:hAnsi="Book Antiqua"/>
        </w:rPr>
      </w:pPr>
    </w:p>
    <w:p w14:paraId="0B8EDBB9"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results</w:t>
      </w:r>
      <w:proofErr w:type="gramEnd"/>
    </w:p>
    <w:p w14:paraId="028FF11F"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We evaluated the expansion efficiency of different concentrations of NAM on HSPCs, ST-HSCs as well as LT-HSCs, and the results showed that 5 mmol/L and 10 mmol/L NAM were beneficial for maintaining HSPCs, with low concentrations (5 mmol/L) of NAM being more conducive to ST-HSCs expansion, while high concentrations (10 mmol/L) of NAM had a more significant effect on promoting LT-HSCs expansion. Low concentrations of NAM can better regulate the balance between proliferation and differentiation, thereby promoting effective expansion of HSCs.</w:t>
      </w:r>
    </w:p>
    <w:p w14:paraId="6721EC7B" w14:textId="77777777" w:rsidR="007006AA" w:rsidRDefault="007006AA">
      <w:pPr>
        <w:spacing w:line="360" w:lineRule="auto"/>
        <w:jc w:val="both"/>
        <w:rPr>
          <w:rFonts w:ascii="Book Antiqua" w:hAnsi="Book Antiqua"/>
        </w:rPr>
      </w:pPr>
    </w:p>
    <w:p w14:paraId="1B7A09B3"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conclusions</w:t>
      </w:r>
      <w:proofErr w:type="gramEnd"/>
    </w:p>
    <w:p w14:paraId="33D2C86F"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Low concentration of NAM did not inhibit but upregulated the transcription of SIRT1, promoting cell proliferation by activating the SIRT1–HIF1A pathway, delaying stem cell differentiation by increasing ROS clearance, and ultimately promoting effective expansion of HSCs.</w:t>
      </w:r>
    </w:p>
    <w:p w14:paraId="38600AD7" w14:textId="77777777" w:rsidR="007006AA" w:rsidRDefault="007006AA">
      <w:pPr>
        <w:spacing w:line="360" w:lineRule="auto"/>
        <w:jc w:val="both"/>
        <w:rPr>
          <w:rFonts w:ascii="Book Antiqua" w:hAnsi="Book Antiqua"/>
        </w:rPr>
      </w:pPr>
    </w:p>
    <w:p w14:paraId="578C9CA4" w14:textId="77777777" w:rsidR="007006AA" w:rsidRDefault="00000000">
      <w:pPr>
        <w:spacing w:line="360" w:lineRule="auto"/>
        <w:jc w:val="both"/>
        <w:rPr>
          <w:rFonts w:ascii="Book Antiqua" w:hAnsi="Book Antiqua"/>
        </w:rPr>
      </w:pPr>
      <w:r>
        <w:rPr>
          <w:rFonts w:ascii="Book Antiqua" w:eastAsia="Book Antiqua" w:hAnsi="Book Antiqua" w:cs="Book Antiqua"/>
          <w:b/>
          <w:i/>
          <w:color w:val="000000"/>
        </w:rPr>
        <w:t xml:space="preserve">Research </w:t>
      </w:r>
      <w:proofErr w:type="gramStart"/>
      <w:r>
        <w:rPr>
          <w:rFonts w:ascii="Book Antiqua" w:eastAsia="Book Antiqua" w:hAnsi="Book Antiqua" w:cs="Book Antiqua"/>
          <w:b/>
          <w:i/>
          <w:color w:val="000000"/>
        </w:rPr>
        <w:t>perspectives</w:t>
      </w:r>
      <w:proofErr w:type="gramEnd"/>
    </w:p>
    <w:p w14:paraId="486224CE"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 xml:space="preserve">Drugs that specifically target LT-HSCs or ST-HSCs may help in the development of tailored HSC grafts that either facilitate sustained blood cell reconstitution or rapidly improve blood cell counts as a bridge after anticancer radiotherapy or chemotherapy. </w:t>
      </w:r>
      <w:r>
        <w:rPr>
          <w:rFonts w:ascii="Book Antiqua" w:eastAsia="Book Antiqua" w:hAnsi="Book Antiqua" w:cs="Book Antiqua"/>
          <w:color w:val="000000"/>
        </w:rPr>
        <w:lastRenderedPageBreak/>
        <w:t>Our findings could allow adjustment of NAM concentrations according to expansion needs and may help predict small molecules that synergistically promote expansion with NAM.</w:t>
      </w:r>
    </w:p>
    <w:p w14:paraId="782ADBE2" w14:textId="77777777" w:rsidR="007006AA" w:rsidRDefault="007006AA">
      <w:pPr>
        <w:spacing w:line="360" w:lineRule="auto"/>
        <w:jc w:val="both"/>
        <w:rPr>
          <w:rFonts w:ascii="Book Antiqua" w:hAnsi="Book Antiqua"/>
        </w:rPr>
      </w:pPr>
    </w:p>
    <w:p w14:paraId="1F426045" w14:textId="77777777" w:rsidR="007006AA"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073F196" w14:textId="77777777" w:rsidR="007006AA" w:rsidRDefault="00000000">
      <w:pPr>
        <w:spacing w:line="360" w:lineRule="auto"/>
        <w:jc w:val="both"/>
        <w:rPr>
          <w:rFonts w:ascii="Book Antiqua" w:hAnsi="Book Antiqua"/>
        </w:rPr>
      </w:pPr>
      <w:r>
        <w:rPr>
          <w:rFonts w:ascii="Book Antiqua" w:eastAsia="Book Antiqua" w:hAnsi="Book Antiqua" w:cs="Book Antiqua"/>
          <w:color w:val="000000"/>
        </w:rPr>
        <w:t>We thank Dr Yong-Hong Wang (Department of Maternity, The Second Hospital of Shanxi Medical University) for providing samples.</w:t>
      </w:r>
    </w:p>
    <w:p w14:paraId="0B07DC04" w14:textId="77777777" w:rsidR="007006AA" w:rsidRDefault="007006AA">
      <w:pPr>
        <w:spacing w:line="360" w:lineRule="auto"/>
        <w:jc w:val="both"/>
        <w:rPr>
          <w:rFonts w:ascii="Book Antiqua" w:hAnsi="Book Antiqua"/>
        </w:rPr>
      </w:pPr>
    </w:p>
    <w:p w14:paraId="479034BC"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243DB61" w14:textId="77777777" w:rsidR="007006AA" w:rsidRDefault="00000000">
      <w:pPr>
        <w:pStyle w:val="a9"/>
        <w:spacing w:before="0" w:beforeAutospacing="0" w:after="0" w:afterAutospacing="0" w:line="360" w:lineRule="auto"/>
        <w:jc w:val="both"/>
        <w:rPr>
          <w:rFonts w:ascii="Book Antiqua" w:hAnsi="Book Antiqua"/>
        </w:rPr>
      </w:pPr>
      <w:bookmarkStart w:id="363" w:name="OLE_LINK7845"/>
      <w:bookmarkStart w:id="364" w:name="OLE_LINK7848"/>
      <w:bookmarkStart w:id="365" w:name="OLE_LINK7847"/>
      <w:r>
        <w:rPr>
          <w:rFonts w:ascii="Book Antiqua" w:hAnsi="Book Antiqua"/>
        </w:rPr>
        <w:t xml:space="preserve">1 </w:t>
      </w:r>
      <w:proofErr w:type="spellStart"/>
      <w:r>
        <w:rPr>
          <w:rFonts w:ascii="Book Antiqua" w:hAnsi="Book Antiqua"/>
          <w:b/>
          <w:bCs/>
        </w:rPr>
        <w:t>Tajer</w:t>
      </w:r>
      <w:proofErr w:type="spellEnd"/>
      <w:r>
        <w:rPr>
          <w:rFonts w:ascii="Book Antiqua" w:hAnsi="Book Antiqua"/>
          <w:b/>
          <w:bCs/>
        </w:rPr>
        <w:t xml:space="preserve"> P</w:t>
      </w:r>
      <w:r>
        <w:rPr>
          <w:rFonts w:ascii="Book Antiqua" w:hAnsi="Book Antiqua"/>
        </w:rPr>
        <w:t>, Pike-</w:t>
      </w:r>
      <w:proofErr w:type="spellStart"/>
      <w:r>
        <w:rPr>
          <w:rFonts w:ascii="Book Antiqua" w:hAnsi="Book Antiqua"/>
        </w:rPr>
        <w:t>Overzet</w:t>
      </w:r>
      <w:proofErr w:type="spellEnd"/>
      <w:r>
        <w:rPr>
          <w:rFonts w:ascii="Book Antiqua" w:hAnsi="Book Antiqua"/>
        </w:rPr>
        <w:t xml:space="preserve"> K, Arias S, </w:t>
      </w:r>
      <w:proofErr w:type="spellStart"/>
      <w:r>
        <w:rPr>
          <w:rFonts w:ascii="Book Antiqua" w:hAnsi="Book Antiqua"/>
        </w:rPr>
        <w:t>Havenga</w:t>
      </w:r>
      <w:proofErr w:type="spellEnd"/>
      <w:r>
        <w:rPr>
          <w:rFonts w:ascii="Book Antiqua" w:hAnsi="Book Antiqua"/>
        </w:rPr>
        <w:t xml:space="preserve"> M, </w:t>
      </w:r>
      <w:proofErr w:type="spellStart"/>
      <w:r>
        <w:rPr>
          <w:rFonts w:ascii="Book Antiqua" w:hAnsi="Book Antiqua"/>
        </w:rPr>
        <w:t>Staal</w:t>
      </w:r>
      <w:proofErr w:type="spellEnd"/>
      <w:r>
        <w:rPr>
          <w:rFonts w:ascii="Book Antiqua" w:hAnsi="Book Antiqua"/>
        </w:rPr>
        <w:t xml:space="preserve"> FJT. Ex Vivo Expansion of Hematopoietic Stem Cells for Therapeutic Purposes: Lessons from Development and the Niche.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30781676 DOI: 10.3390/cells8020169]</w:t>
      </w:r>
    </w:p>
    <w:p w14:paraId="0043CBDE"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Zimran</w:t>
      </w:r>
      <w:proofErr w:type="spellEnd"/>
      <w:r>
        <w:rPr>
          <w:rFonts w:ascii="Book Antiqua" w:hAnsi="Book Antiqua"/>
          <w:b/>
          <w:bCs/>
        </w:rPr>
        <w:t xml:space="preserve"> E</w:t>
      </w:r>
      <w:r>
        <w:rPr>
          <w:rFonts w:ascii="Book Antiqua" w:hAnsi="Book Antiqua"/>
        </w:rPr>
        <w:t xml:space="preserve">, Papa L, Hoffman R. Ex vivo expansion of hematopoietic stem cells: Finally transitioning from the lab to the clinic. </w:t>
      </w:r>
      <w:r>
        <w:rPr>
          <w:rFonts w:ascii="Book Antiqua" w:hAnsi="Book Antiqua"/>
          <w:i/>
          <w:iCs/>
        </w:rPr>
        <w:t>Blood Rev</w:t>
      </w:r>
      <w:r>
        <w:rPr>
          <w:rFonts w:ascii="Book Antiqua" w:hAnsi="Book Antiqua"/>
        </w:rPr>
        <w:t xml:space="preserve"> 2021; </w:t>
      </w:r>
      <w:r>
        <w:rPr>
          <w:rFonts w:ascii="Book Antiqua" w:hAnsi="Book Antiqua"/>
          <w:b/>
          <w:bCs/>
        </w:rPr>
        <w:t>50</w:t>
      </w:r>
      <w:r>
        <w:rPr>
          <w:rFonts w:ascii="Book Antiqua" w:hAnsi="Book Antiqua"/>
        </w:rPr>
        <w:t>: 100853 [PMID: 34112560 DOI: 10.1016/j.blre.2021.100853]</w:t>
      </w:r>
    </w:p>
    <w:p w14:paraId="43F0BCE5"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Ren Y</w:t>
      </w:r>
      <w:r>
        <w:rPr>
          <w:rFonts w:ascii="Book Antiqua" w:hAnsi="Book Antiqua"/>
        </w:rPr>
        <w:t xml:space="preserve">, Cui Y, Tan Y, Xu Z, Wang H. Expansion strategies for umbilical cord blood </w:t>
      </w:r>
      <w:proofErr w:type="spellStart"/>
      <w:r>
        <w:rPr>
          <w:rFonts w:ascii="Book Antiqua" w:hAnsi="Book Antiqua"/>
        </w:rPr>
        <w:t>haematopoietic</w:t>
      </w:r>
      <w:proofErr w:type="spellEnd"/>
      <w:r>
        <w:rPr>
          <w:rFonts w:ascii="Book Antiqua" w:hAnsi="Book Antiqua"/>
        </w:rPr>
        <w:t xml:space="preserve"> stem cells in vitro. </w:t>
      </w:r>
      <w:r>
        <w:rPr>
          <w:rFonts w:ascii="Book Antiqua" w:hAnsi="Book Antiqua"/>
          <w:i/>
          <w:iCs/>
        </w:rPr>
        <w:t>Vox Sang</w:t>
      </w:r>
      <w:r>
        <w:rPr>
          <w:rFonts w:ascii="Book Antiqua" w:hAnsi="Book Antiqua"/>
        </w:rPr>
        <w:t xml:space="preserve"> 2023; </w:t>
      </w:r>
      <w:r>
        <w:rPr>
          <w:rFonts w:ascii="Book Antiqua" w:hAnsi="Book Antiqua"/>
          <w:b/>
          <w:bCs/>
        </w:rPr>
        <w:t>118</w:t>
      </w:r>
      <w:r>
        <w:rPr>
          <w:rFonts w:ascii="Book Antiqua" w:hAnsi="Book Antiqua"/>
        </w:rPr>
        <w:t>: 913-920 [PMID: 37831598 DOI: 10.1111/vox.13505]</w:t>
      </w:r>
    </w:p>
    <w:p w14:paraId="058B8557"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Sakurai M</w:t>
      </w:r>
      <w:r>
        <w:rPr>
          <w:rFonts w:ascii="Book Antiqua" w:hAnsi="Book Antiqua"/>
        </w:rPr>
        <w:t xml:space="preserve">, </w:t>
      </w:r>
      <w:proofErr w:type="spellStart"/>
      <w:r>
        <w:rPr>
          <w:rFonts w:ascii="Book Antiqua" w:hAnsi="Book Antiqua"/>
        </w:rPr>
        <w:t>Ishitsuka</w:t>
      </w:r>
      <w:proofErr w:type="spellEnd"/>
      <w:r>
        <w:rPr>
          <w:rFonts w:ascii="Book Antiqua" w:hAnsi="Book Antiqua"/>
        </w:rPr>
        <w:t xml:space="preserve"> K, Ito R, Wilkinson AC, Kimura T, </w:t>
      </w:r>
      <w:proofErr w:type="spellStart"/>
      <w:r>
        <w:rPr>
          <w:rFonts w:ascii="Book Antiqua" w:hAnsi="Book Antiqua"/>
        </w:rPr>
        <w:t>Mizutani</w:t>
      </w:r>
      <w:proofErr w:type="spellEnd"/>
      <w:r>
        <w:rPr>
          <w:rFonts w:ascii="Book Antiqua" w:hAnsi="Book Antiqua"/>
        </w:rPr>
        <w:t xml:space="preserve"> E, </w:t>
      </w:r>
      <w:proofErr w:type="spellStart"/>
      <w:r>
        <w:rPr>
          <w:rFonts w:ascii="Book Antiqua" w:hAnsi="Book Antiqua"/>
        </w:rPr>
        <w:t>Nishikii</w:t>
      </w:r>
      <w:proofErr w:type="spellEnd"/>
      <w:r>
        <w:rPr>
          <w:rFonts w:ascii="Book Antiqua" w:hAnsi="Book Antiqua"/>
        </w:rPr>
        <w:t xml:space="preserve"> H, </w:t>
      </w:r>
      <w:proofErr w:type="spellStart"/>
      <w:r>
        <w:rPr>
          <w:rFonts w:ascii="Book Antiqua" w:hAnsi="Book Antiqua"/>
        </w:rPr>
        <w:t>Sudo</w:t>
      </w:r>
      <w:proofErr w:type="spellEnd"/>
      <w:r>
        <w:rPr>
          <w:rFonts w:ascii="Book Antiqua" w:hAnsi="Book Antiqua"/>
        </w:rPr>
        <w:t xml:space="preserve"> K, Becker HJ, Takemoto H, Sano T, Kataoka K, Takahashi S, Nakamura Y, Kent DG, </w:t>
      </w:r>
      <w:proofErr w:type="spellStart"/>
      <w:r>
        <w:rPr>
          <w:rFonts w:ascii="Book Antiqua" w:hAnsi="Book Antiqua"/>
        </w:rPr>
        <w:t>Iwama</w:t>
      </w:r>
      <w:proofErr w:type="spellEnd"/>
      <w:r>
        <w:rPr>
          <w:rFonts w:ascii="Book Antiqua" w:hAnsi="Book Antiqua"/>
        </w:rPr>
        <w:t xml:space="preserve"> A, Chiba S, Okamoto S, </w:t>
      </w:r>
      <w:proofErr w:type="spellStart"/>
      <w:r>
        <w:rPr>
          <w:rFonts w:ascii="Book Antiqua" w:hAnsi="Book Antiqua"/>
        </w:rPr>
        <w:t>Nakauchi</w:t>
      </w:r>
      <w:proofErr w:type="spellEnd"/>
      <w:r>
        <w:rPr>
          <w:rFonts w:ascii="Book Antiqua" w:hAnsi="Book Antiqua"/>
        </w:rPr>
        <w:t xml:space="preserve"> H, Yamazaki S. Chemically defined cytokine-free expansion of human </w:t>
      </w:r>
      <w:proofErr w:type="spellStart"/>
      <w:r>
        <w:rPr>
          <w:rFonts w:ascii="Book Antiqua" w:hAnsi="Book Antiqua"/>
        </w:rPr>
        <w:t>haematopoietic</w:t>
      </w:r>
      <w:proofErr w:type="spellEnd"/>
      <w:r>
        <w:rPr>
          <w:rFonts w:ascii="Book Antiqua" w:hAnsi="Book Antiqua"/>
        </w:rPr>
        <w:t xml:space="preserve"> stem cells. </w:t>
      </w:r>
      <w:r>
        <w:rPr>
          <w:rFonts w:ascii="Book Antiqua" w:hAnsi="Book Antiqua"/>
          <w:i/>
          <w:iCs/>
        </w:rPr>
        <w:t>Nature</w:t>
      </w:r>
      <w:r>
        <w:rPr>
          <w:rFonts w:ascii="Book Antiqua" w:hAnsi="Book Antiqua"/>
        </w:rPr>
        <w:t xml:space="preserve"> 2023; </w:t>
      </w:r>
      <w:r>
        <w:rPr>
          <w:rFonts w:ascii="Book Antiqua" w:hAnsi="Book Antiqua"/>
          <w:b/>
          <w:bCs/>
        </w:rPr>
        <w:t>615</w:t>
      </w:r>
      <w:r>
        <w:rPr>
          <w:rFonts w:ascii="Book Antiqua" w:hAnsi="Book Antiqua"/>
        </w:rPr>
        <w:t>: 127-133 [PMID: 36813966 DOI: 10.1038/s41586-023-05739-9]</w:t>
      </w:r>
    </w:p>
    <w:p w14:paraId="54871041"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Ding S</w:t>
      </w:r>
      <w:r>
        <w:rPr>
          <w:rFonts w:ascii="Book Antiqua" w:hAnsi="Book Antiqua"/>
        </w:rPr>
        <w:t xml:space="preserve">, Gray NS, Wu X, Ding Q, Schultz PG. A combinatorial scaffold approach toward kinase-directed heterocycle libraries. </w:t>
      </w:r>
      <w:r>
        <w:rPr>
          <w:rFonts w:ascii="Book Antiqua" w:hAnsi="Book Antiqua"/>
          <w:i/>
          <w:iCs/>
        </w:rPr>
        <w:t>J Am Chem Soc</w:t>
      </w:r>
      <w:r>
        <w:rPr>
          <w:rFonts w:ascii="Book Antiqua" w:hAnsi="Book Antiqua"/>
        </w:rPr>
        <w:t xml:space="preserve"> 2002; </w:t>
      </w:r>
      <w:r>
        <w:rPr>
          <w:rFonts w:ascii="Book Antiqua" w:hAnsi="Book Antiqua"/>
          <w:b/>
          <w:bCs/>
        </w:rPr>
        <w:t>124</w:t>
      </w:r>
      <w:r>
        <w:rPr>
          <w:rFonts w:ascii="Book Antiqua" w:hAnsi="Book Antiqua"/>
        </w:rPr>
        <w:t>: 1594-1596 [PMID: 11853431 DOI: 10.1021/ja0170302]</w:t>
      </w:r>
    </w:p>
    <w:p w14:paraId="5C87698D"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Fares I</w:t>
      </w:r>
      <w:r>
        <w:rPr>
          <w:rFonts w:ascii="Book Antiqua" w:hAnsi="Book Antiqua"/>
        </w:rPr>
        <w:t xml:space="preserve">, </w:t>
      </w:r>
      <w:proofErr w:type="spellStart"/>
      <w:r>
        <w:rPr>
          <w:rFonts w:ascii="Book Antiqua" w:hAnsi="Book Antiqua"/>
        </w:rPr>
        <w:t>Chagraoui</w:t>
      </w:r>
      <w:proofErr w:type="spellEnd"/>
      <w:r>
        <w:rPr>
          <w:rFonts w:ascii="Book Antiqua" w:hAnsi="Book Antiqua"/>
        </w:rPr>
        <w:t xml:space="preserve"> J, </w:t>
      </w:r>
      <w:proofErr w:type="spellStart"/>
      <w:r>
        <w:rPr>
          <w:rFonts w:ascii="Book Antiqua" w:hAnsi="Book Antiqua"/>
        </w:rPr>
        <w:t>Gareau</w:t>
      </w:r>
      <w:proofErr w:type="spellEnd"/>
      <w:r>
        <w:rPr>
          <w:rFonts w:ascii="Book Antiqua" w:hAnsi="Book Antiqua"/>
        </w:rPr>
        <w:t xml:space="preserve"> Y, Gingras S, Ruel R, Mayotte N, </w:t>
      </w:r>
      <w:proofErr w:type="spellStart"/>
      <w:r>
        <w:rPr>
          <w:rFonts w:ascii="Book Antiqua" w:hAnsi="Book Antiqua"/>
        </w:rPr>
        <w:t>Csaszar</w:t>
      </w:r>
      <w:proofErr w:type="spellEnd"/>
      <w:r>
        <w:rPr>
          <w:rFonts w:ascii="Book Antiqua" w:hAnsi="Book Antiqua"/>
        </w:rPr>
        <w:t xml:space="preserve"> E, Knapp DJ, Miller P, </w:t>
      </w:r>
      <w:proofErr w:type="spellStart"/>
      <w:r>
        <w:rPr>
          <w:rFonts w:ascii="Book Antiqua" w:hAnsi="Book Antiqua"/>
        </w:rPr>
        <w:t>Ngom</w:t>
      </w:r>
      <w:proofErr w:type="spellEnd"/>
      <w:r>
        <w:rPr>
          <w:rFonts w:ascii="Book Antiqua" w:hAnsi="Book Antiqua"/>
        </w:rPr>
        <w:t xml:space="preserve"> M, </w:t>
      </w:r>
      <w:proofErr w:type="spellStart"/>
      <w:r>
        <w:rPr>
          <w:rFonts w:ascii="Book Antiqua" w:hAnsi="Book Antiqua"/>
        </w:rPr>
        <w:t>Imren</w:t>
      </w:r>
      <w:proofErr w:type="spellEnd"/>
      <w:r>
        <w:rPr>
          <w:rFonts w:ascii="Book Antiqua" w:hAnsi="Book Antiqua"/>
        </w:rPr>
        <w:t xml:space="preserve"> S, Roy DC, Watts KL, Kiem HP, Herrington R, </w:t>
      </w:r>
      <w:proofErr w:type="spellStart"/>
      <w:r>
        <w:rPr>
          <w:rFonts w:ascii="Book Antiqua" w:hAnsi="Book Antiqua"/>
        </w:rPr>
        <w:t>Iscove</w:t>
      </w:r>
      <w:proofErr w:type="spellEnd"/>
      <w:r>
        <w:rPr>
          <w:rFonts w:ascii="Book Antiqua" w:hAnsi="Book Antiqua"/>
        </w:rPr>
        <w:t xml:space="preserve"> NN, Humphries RK, Eaves CJ, Cohen S, </w:t>
      </w:r>
      <w:proofErr w:type="spellStart"/>
      <w:r>
        <w:rPr>
          <w:rFonts w:ascii="Book Antiqua" w:hAnsi="Book Antiqua"/>
        </w:rPr>
        <w:t>Marinier</w:t>
      </w:r>
      <w:proofErr w:type="spellEnd"/>
      <w:r>
        <w:rPr>
          <w:rFonts w:ascii="Book Antiqua" w:hAnsi="Book Antiqua"/>
        </w:rPr>
        <w:t xml:space="preserve"> A, Zandstra PW, Sauvageau G. Cord blood expansion. </w:t>
      </w:r>
      <w:proofErr w:type="spellStart"/>
      <w:r>
        <w:rPr>
          <w:rFonts w:ascii="Book Antiqua" w:hAnsi="Book Antiqua"/>
        </w:rPr>
        <w:t>Pyrimidoindole</w:t>
      </w:r>
      <w:proofErr w:type="spellEnd"/>
      <w:r>
        <w:rPr>
          <w:rFonts w:ascii="Book Antiqua" w:hAnsi="Book Antiqua"/>
        </w:rPr>
        <w:t xml:space="preserve"> derivatives are agonists of human hematopoietic stem cell </w:t>
      </w:r>
      <w:r>
        <w:rPr>
          <w:rFonts w:ascii="Book Antiqua" w:hAnsi="Book Antiqua"/>
        </w:rPr>
        <w:lastRenderedPageBreak/>
        <w:t xml:space="preserve">self-renewal. </w:t>
      </w:r>
      <w:r>
        <w:rPr>
          <w:rFonts w:ascii="Book Antiqua" w:hAnsi="Book Antiqua"/>
          <w:i/>
          <w:iCs/>
        </w:rPr>
        <w:t>Science</w:t>
      </w:r>
      <w:r>
        <w:rPr>
          <w:rFonts w:ascii="Book Antiqua" w:hAnsi="Book Antiqua"/>
        </w:rPr>
        <w:t xml:space="preserve"> 2014; </w:t>
      </w:r>
      <w:r>
        <w:rPr>
          <w:rFonts w:ascii="Book Antiqua" w:hAnsi="Book Antiqua"/>
          <w:b/>
          <w:bCs/>
        </w:rPr>
        <w:t>345</w:t>
      </w:r>
      <w:r>
        <w:rPr>
          <w:rFonts w:ascii="Book Antiqua" w:hAnsi="Book Antiqua"/>
        </w:rPr>
        <w:t>: 1509-1512 [PMID: 25237102 DOI: 10.1126/science.1256337]</w:t>
      </w:r>
    </w:p>
    <w:p w14:paraId="51E91B31"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Ghafouri-Fard</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Niazi</w:t>
      </w:r>
      <w:proofErr w:type="spellEnd"/>
      <w:r>
        <w:rPr>
          <w:rFonts w:ascii="Book Antiqua" w:hAnsi="Book Antiqua"/>
        </w:rPr>
        <w:t xml:space="preserve"> V, Taheri M, </w:t>
      </w:r>
      <w:proofErr w:type="spellStart"/>
      <w:r>
        <w:rPr>
          <w:rFonts w:ascii="Book Antiqua" w:hAnsi="Book Antiqua"/>
        </w:rPr>
        <w:t>Basiri</w:t>
      </w:r>
      <w:proofErr w:type="spellEnd"/>
      <w:r>
        <w:rPr>
          <w:rFonts w:ascii="Book Antiqua" w:hAnsi="Book Antiqua"/>
        </w:rPr>
        <w:t xml:space="preserve"> A. Effect of Small Molecule on ex vivo Expansion of Cord Blood Hematopoietic Stem Cells: A Concise Review. </w:t>
      </w:r>
      <w:r>
        <w:rPr>
          <w:rFonts w:ascii="Book Antiqua" w:hAnsi="Book Antiqua"/>
          <w:i/>
          <w:iCs/>
        </w:rPr>
        <w:t>Front Cell Dev Biol</w:t>
      </w:r>
      <w:r>
        <w:rPr>
          <w:rFonts w:ascii="Book Antiqua" w:hAnsi="Book Antiqua"/>
        </w:rPr>
        <w:t xml:space="preserve"> 2021; </w:t>
      </w:r>
      <w:r>
        <w:rPr>
          <w:rFonts w:ascii="Book Antiqua" w:hAnsi="Book Antiqua"/>
          <w:b/>
          <w:bCs/>
        </w:rPr>
        <w:t>9</w:t>
      </w:r>
      <w:r>
        <w:rPr>
          <w:rFonts w:ascii="Book Antiqua" w:hAnsi="Book Antiqua"/>
        </w:rPr>
        <w:t>: 649115 [PMID: 33898442 DOI: 10.3389/fcell.2021.649115]</w:t>
      </w:r>
    </w:p>
    <w:p w14:paraId="76C4FFE3"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Horwitz ME</w:t>
      </w:r>
      <w:r>
        <w:rPr>
          <w:rFonts w:ascii="Book Antiqua" w:hAnsi="Book Antiqua"/>
        </w:rPr>
        <w:t xml:space="preserve">, Stiff PJ, Cutler C, Brunstein C, Hanna R, </w:t>
      </w:r>
      <w:proofErr w:type="spellStart"/>
      <w:r>
        <w:rPr>
          <w:rFonts w:ascii="Book Antiqua" w:hAnsi="Book Antiqua"/>
        </w:rPr>
        <w:t>Maziarz</w:t>
      </w:r>
      <w:proofErr w:type="spellEnd"/>
      <w:r>
        <w:rPr>
          <w:rFonts w:ascii="Book Antiqua" w:hAnsi="Book Antiqua"/>
        </w:rPr>
        <w:t xml:space="preserve"> RT, </w:t>
      </w:r>
      <w:proofErr w:type="spellStart"/>
      <w:r>
        <w:rPr>
          <w:rFonts w:ascii="Book Antiqua" w:hAnsi="Book Antiqua"/>
        </w:rPr>
        <w:t>Rezvani</w:t>
      </w:r>
      <w:proofErr w:type="spellEnd"/>
      <w:r>
        <w:rPr>
          <w:rFonts w:ascii="Book Antiqua" w:hAnsi="Book Antiqua"/>
        </w:rPr>
        <w:t xml:space="preserve"> AR, Karris NA, McGuirk J, </w:t>
      </w:r>
      <w:proofErr w:type="spellStart"/>
      <w:r>
        <w:rPr>
          <w:rFonts w:ascii="Book Antiqua" w:hAnsi="Book Antiqua"/>
        </w:rPr>
        <w:t>Valcarcel</w:t>
      </w:r>
      <w:proofErr w:type="spellEnd"/>
      <w:r>
        <w:rPr>
          <w:rFonts w:ascii="Book Antiqua" w:hAnsi="Book Antiqua"/>
        </w:rPr>
        <w:t xml:space="preserve"> D, Schiller GJ, </w:t>
      </w:r>
      <w:proofErr w:type="spellStart"/>
      <w:r>
        <w:rPr>
          <w:rFonts w:ascii="Book Antiqua" w:hAnsi="Book Antiqua"/>
        </w:rPr>
        <w:t>Lindemans</w:t>
      </w:r>
      <w:proofErr w:type="spellEnd"/>
      <w:r>
        <w:rPr>
          <w:rFonts w:ascii="Book Antiqua" w:hAnsi="Book Antiqua"/>
        </w:rPr>
        <w:t xml:space="preserve"> CA, Hwang WYK, Koh LP, Keating A, Khaled Y, </w:t>
      </w:r>
      <w:proofErr w:type="spellStart"/>
      <w:r>
        <w:rPr>
          <w:rFonts w:ascii="Book Antiqua" w:hAnsi="Book Antiqua"/>
        </w:rPr>
        <w:t>Hamerschlak</w:t>
      </w:r>
      <w:proofErr w:type="spellEnd"/>
      <w:r>
        <w:rPr>
          <w:rFonts w:ascii="Book Antiqua" w:hAnsi="Book Antiqua"/>
        </w:rPr>
        <w:t xml:space="preserve"> N, Frankfurt O, Peled T, </w:t>
      </w:r>
      <w:proofErr w:type="spellStart"/>
      <w:r>
        <w:rPr>
          <w:rFonts w:ascii="Book Antiqua" w:hAnsi="Book Antiqua"/>
        </w:rPr>
        <w:t>Segalovich</w:t>
      </w:r>
      <w:proofErr w:type="spellEnd"/>
      <w:r>
        <w:rPr>
          <w:rFonts w:ascii="Book Antiqua" w:hAnsi="Book Antiqua"/>
        </w:rPr>
        <w:t xml:space="preserve"> I, Blackwell B, </w:t>
      </w:r>
      <w:proofErr w:type="spellStart"/>
      <w:r>
        <w:rPr>
          <w:rFonts w:ascii="Book Antiqua" w:hAnsi="Book Antiqua"/>
        </w:rPr>
        <w:t>Wease</w:t>
      </w:r>
      <w:proofErr w:type="spellEnd"/>
      <w:r>
        <w:rPr>
          <w:rFonts w:ascii="Book Antiqua" w:hAnsi="Book Antiqua"/>
        </w:rPr>
        <w:t xml:space="preserve"> S, Freedman LS, </w:t>
      </w:r>
      <w:proofErr w:type="spellStart"/>
      <w:r>
        <w:rPr>
          <w:rFonts w:ascii="Book Antiqua" w:hAnsi="Book Antiqua"/>
        </w:rPr>
        <w:t>Galamidi</w:t>
      </w:r>
      <w:proofErr w:type="spellEnd"/>
      <w:r>
        <w:rPr>
          <w:rFonts w:ascii="Book Antiqua" w:hAnsi="Book Antiqua"/>
        </w:rPr>
        <w:t xml:space="preserve">-Cohen E, Sanz G. </w:t>
      </w:r>
      <w:proofErr w:type="spellStart"/>
      <w:r>
        <w:rPr>
          <w:rFonts w:ascii="Book Antiqua" w:hAnsi="Book Antiqua"/>
        </w:rPr>
        <w:t>Omidubicel</w:t>
      </w:r>
      <w:proofErr w:type="spellEnd"/>
      <w:r>
        <w:rPr>
          <w:rFonts w:ascii="Book Antiqua" w:hAnsi="Book Antiqua"/>
        </w:rPr>
        <w:t xml:space="preserve"> vs standard myeloablative umbilical cord blood transplantation: results of a phase 3 randomized study. </w:t>
      </w:r>
      <w:r>
        <w:rPr>
          <w:rFonts w:ascii="Book Antiqua" w:hAnsi="Book Antiqua"/>
          <w:i/>
          <w:iCs/>
        </w:rPr>
        <w:t>Blood</w:t>
      </w:r>
      <w:r>
        <w:rPr>
          <w:rFonts w:ascii="Book Antiqua" w:hAnsi="Book Antiqua"/>
        </w:rPr>
        <w:t xml:space="preserve"> 2021; </w:t>
      </w:r>
      <w:r>
        <w:rPr>
          <w:rFonts w:ascii="Book Antiqua" w:hAnsi="Book Antiqua"/>
          <w:b/>
          <w:bCs/>
        </w:rPr>
        <w:t>138</w:t>
      </w:r>
      <w:r>
        <w:rPr>
          <w:rFonts w:ascii="Book Antiqua" w:hAnsi="Book Antiqua"/>
        </w:rPr>
        <w:t>: 1429-1440 [PMID: 34157093 DOI: 10.1182/blood.2021011719]</w:t>
      </w:r>
    </w:p>
    <w:p w14:paraId="7E99A68A"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Horwitz ME</w:t>
      </w:r>
      <w:r>
        <w:rPr>
          <w:rFonts w:ascii="Book Antiqua" w:hAnsi="Book Antiqua"/>
        </w:rPr>
        <w:t xml:space="preserve">, </w:t>
      </w:r>
      <w:proofErr w:type="spellStart"/>
      <w:r>
        <w:rPr>
          <w:rFonts w:ascii="Book Antiqua" w:hAnsi="Book Antiqua"/>
        </w:rPr>
        <w:t>Wease</w:t>
      </w:r>
      <w:proofErr w:type="spellEnd"/>
      <w:r>
        <w:rPr>
          <w:rFonts w:ascii="Book Antiqua" w:hAnsi="Book Antiqua"/>
        </w:rPr>
        <w:t xml:space="preserve"> S, Blackwell B, </w:t>
      </w:r>
      <w:proofErr w:type="spellStart"/>
      <w:r>
        <w:rPr>
          <w:rFonts w:ascii="Book Antiqua" w:hAnsi="Book Antiqua"/>
        </w:rPr>
        <w:t>Valcarcel</w:t>
      </w:r>
      <w:proofErr w:type="spellEnd"/>
      <w:r>
        <w:rPr>
          <w:rFonts w:ascii="Book Antiqua" w:hAnsi="Book Antiqua"/>
        </w:rPr>
        <w:t xml:space="preserve"> D, </w:t>
      </w:r>
      <w:proofErr w:type="spellStart"/>
      <w:r>
        <w:rPr>
          <w:rFonts w:ascii="Book Antiqua" w:hAnsi="Book Antiqua"/>
        </w:rPr>
        <w:t>Frassoni</w:t>
      </w:r>
      <w:proofErr w:type="spellEnd"/>
      <w:r>
        <w:rPr>
          <w:rFonts w:ascii="Book Antiqua" w:hAnsi="Book Antiqua"/>
        </w:rPr>
        <w:t xml:space="preserve"> F, </w:t>
      </w:r>
      <w:proofErr w:type="spellStart"/>
      <w:r>
        <w:rPr>
          <w:rFonts w:ascii="Book Antiqua" w:hAnsi="Book Antiqua"/>
        </w:rPr>
        <w:t>Boelens</w:t>
      </w:r>
      <w:proofErr w:type="spellEnd"/>
      <w:r>
        <w:rPr>
          <w:rFonts w:ascii="Book Antiqua" w:hAnsi="Book Antiqua"/>
        </w:rPr>
        <w:t xml:space="preserve"> JJ, </w:t>
      </w:r>
      <w:proofErr w:type="spellStart"/>
      <w:r>
        <w:rPr>
          <w:rFonts w:ascii="Book Antiqua" w:hAnsi="Book Antiqua"/>
        </w:rPr>
        <w:t>Nierkens</w:t>
      </w:r>
      <w:proofErr w:type="spellEnd"/>
      <w:r>
        <w:rPr>
          <w:rFonts w:ascii="Book Antiqua" w:hAnsi="Book Antiqua"/>
        </w:rPr>
        <w:t xml:space="preserve"> S, </w:t>
      </w:r>
      <w:proofErr w:type="spellStart"/>
      <w:r>
        <w:rPr>
          <w:rFonts w:ascii="Book Antiqua" w:hAnsi="Book Antiqua"/>
        </w:rPr>
        <w:t>Jagasia</w:t>
      </w:r>
      <w:proofErr w:type="spellEnd"/>
      <w:r>
        <w:rPr>
          <w:rFonts w:ascii="Book Antiqua" w:hAnsi="Book Antiqua"/>
        </w:rPr>
        <w:t xml:space="preserve"> M, Wagner JE, </w:t>
      </w:r>
      <w:proofErr w:type="spellStart"/>
      <w:r>
        <w:rPr>
          <w:rFonts w:ascii="Book Antiqua" w:hAnsi="Book Antiqua"/>
        </w:rPr>
        <w:t>Kuball</w:t>
      </w:r>
      <w:proofErr w:type="spellEnd"/>
      <w:r>
        <w:rPr>
          <w:rFonts w:ascii="Book Antiqua" w:hAnsi="Book Antiqua"/>
        </w:rPr>
        <w:t xml:space="preserve"> J, Koh LP, </w:t>
      </w:r>
      <w:proofErr w:type="spellStart"/>
      <w:r>
        <w:rPr>
          <w:rFonts w:ascii="Book Antiqua" w:hAnsi="Book Antiqua"/>
        </w:rPr>
        <w:t>Majhail</w:t>
      </w:r>
      <w:proofErr w:type="spellEnd"/>
      <w:r>
        <w:rPr>
          <w:rFonts w:ascii="Book Antiqua" w:hAnsi="Book Antiqua"/>
        </w:rPr>
        <w:t xml:space="preserve"> NS, Stiff PJ, Hanna R, Hwang WYK, </w:t>
      </w:r>
      <w:proofErr w:type="spellStart"/>
      <w:r>
        <w:rPr>
          <w:rFonts w:ascii="Book Antiqua" w:hAnsi="Book Antiqua"/>
        </w:rPr>
        <w:t>Kurtzberg</w:t>
      </w:r>
      <w:proofErr w:type="spellEnd"/>
      <w:r>
        <w:rPr>
          <w:rFonts w:ascii="Book Antiqua" w:hAnsi="Book Antiqua"/>
        </w:rPr>
        <w:t xml:space="preserve"> J, </w:t>
      </w:r>
      <w:proofErr w:type="spellStart"/>
      <w:r>
        <w:rPr>
          <w:rFonts w:ascii="Book Antiqua" w:hAnsi="Book Antiqua"/>
        </w:rPr>
        <w:t>Cilloni</w:t>
      </w:r>
      <w:proofErr w:type="spellEnd"/>
      <w:r>
        <w:rPr>
          <w:rFonts w:ascii="Book Antiqua" w:hAnsi="Book Antiqua"/>
        </w:rPr>
        <w:t xml:space="preserve"> D, Freedman LS, Montesinos P, Sanz G. Phase I/II Study of Stem-Cell Transplantation Using a Single Cord Blood Unit Expanded Ex Vivo </w:t>
      </w:r>
      <w:proofErr w:type="gramStart"/>
      <w:r>
        <w:rPr>
          <w:rFonts w:ascii="Book Antiqua" w:hAnsi="Book Antiqua"/>
        </w:rPr>
        <w:t>With</w:t>
      </w:r>
      <w:proofErr w:type="gramEnd"/>
      <w:r>
        <w:rPr>
          <w:rFonts w:ascii="Book Antiqua" w:hAnsi="Book Antiqua"/>
        </w:rPr>
        <w:t xml:space="preserve"> Nicotinamide. </w:t>
      </w:r>
      <w:r>
        <w:rPr>
          <w:rFonts w:ascii="Book Antiqua" w:hAnsi="Book Antiqua"/>
          <w:i/>
          <w:iCs/>
        </w:rPr>
        <w:t>J Clin Oncol</w:t>
      </w:r>
      <w:r>
        <w:rPr>
          <w:rFonts w:ascii="Book Antiqua" w:hAnsi="Book Antiqua"/>
        </w:rPr>
        <w:t xml:space="preserve"> 2019; </w:t>
      </w:r>
      <w:r>
        <w:rPr>
          <w:rFonts w:ascii="Book Antiqua" w:hAnsi="Book Antiqua"/>
          <w:b/>
          <w:bCs/>
        </w:rPr>
        <w:t>37</w:t>
      </w:r>
      <w:r>
        <w:rPr>
          <w:rFonts w:ascii="Book Antiqua" w:hAnsi="Book Antiqua"/>
        </w:rPr>
        <w:t>: 367-374 [PMID: 30523748 DOI: 10.1200/JCO.18.00053]</w:t>
      </w:r>
    </w:p>
    <w:p w14:paraId="6796FEBB"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Notta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Doulatov</w:t>
      </w:r>
      <w:proofErr w:type="spellEnd"/>
      <w:r>
        <w:rPr>
          <w:rFonts w:ascii="Book Antiqua" w:hAnsi="Book Antiqua"/>
        </w:rPr>
        <w:t xml:space="preserve"> S, </w:t>
      </w:r>
      <w:proofErr w:type="spellStart"/>
      <w:r>
        <w:rPr>
          <w:rFonts w:ascii="Book Antiqua" w:hAnsi="Book Antiqua"/>
        </w:rPr>
        <w:t>Laurenti</w:t>
      </w:r>
      <w:proofErr w:type="spellEnd"/>
      <w:r>
        <w:rPr>
          <w:rFonts w:ascii="Book Antiqua" w:hAnsi="Book Antiqua"/>
        </w:rPr>
        <w:t xml:space="preserve"> E, </w:t>
      </w:r>
      <w:proofErr w:type="spellStart"/>
      <w:r>
        <w:rPr>
          <w:rFonts w:ascii="Book Antiqua" w:hAnsi="Book Antiqua"/>
        </w:rPr>
        <w:t>Poeppl</w:t>
      </w:r>
      <w:proofErr w:type="spellEnd"/>
      <w:r>
        <w:rPr>
          <w:rFonts w:ascii="Book Antiqua" w:hAnsi="Book Antiqua"/>
        </w:rPr>
        <w:t xml:space="preserve"> A, </w:t>
      </w:r>
      <w:proofErr w:type="spellStart"/>
      <w:r>
        <w:rPr>
          <w:rFonts w:ascii="Book Antiqua" w:hAnsi="Book Antiqua"/>
        </w:rPr>
        <w:t>Jurisica</w:t>
      </w:r>
      <w:proofErr w:type="spellEnd"/>
      <w:r>
        <w:rPr>
          <w:rFonts w:ascii="Book Antiqua" w:hAnsi="Book Antiqua"/>
        </w:rPr>
        <w:t xml:space="preserve"> I, Dick JE. Isolation of single human hematopoietic stem cells capable of long-term multilineage engraftment. </w:t>
      </w:r>
      <w:r>
        <w:rPr>
          <w:rFonts w:ascii="Book Antiqua" w:hAnsi="Book Antiqua"/>
          <w:i/>
          <w:iCs/>
        </w:rPr>
        <w:t>Science</w:t>
      </w:r>
      <w:r>
        <w:rPr>
          <w:rFonts w:ascii="Book Antiqua" w:hAnsi="Book Antiqua"/>
        </w:rPr>
        <w:t xml:space="preserve"> 2011; </w:t>
      </w:r>
      <w:r>
        <w:rPr>
          <w:rFonts w:ascii="Book Antiqua" w:hAnsi="Book Antiqua"/>
          <w:b/>
          <w:bCs/>
        </w:rPr>
        <w:t>333</w:t>
      </w:r>
      <w:r>
        <w:rPr>
          <w:rFonts w:ascii="Book Antiqua" w:hAnsi="Book Antiqua"/>
        </w:rPr>
        <w:t>: 218-221 [PMID: 21737740 DOI: 10.1126/science.1201219]</w:t>
      </w:r>
    </w:p>
    <w:p w14:paraId="26B73CDA"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Kent D</w:t>
      </w:r>
      <w:r>
        <w:rPr>
          <w:rFonts w:ascii="Book Antiqua" w:hAnsi="Book Antiqua"/>
        </w:rPr>
        <w:t xml:space="preserve">, Dykstra B, Eaves C. </w:t>
      </w:r>
      <w:proofErr w:type="gramStart"/>
      <w:r>
        <w:rPr>
          <w:rFonts w:ascii="Book Antiqua" w:hAnsi="Book Antiqua"/>
        </w:rPr>
        <w:t>Isolation</w:t>
      </w:r>
      <w:proofErr w:type="gramEnd"/>
      <w:r>
        <w:rPr>
          <w:rFonts w:ascii="Book Antiqua" w:hAnsi="Book Antiqua"/>
        </w:rPr>
        <w:t xml:space="preserve"> and assessment of long-term reconstituting hematopoietic stem cells from adult mouse bone marrow.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Protoc</w:t>
      </w:r>
      <w:proofErr w:type="spellEnd"/>
      <w:r>
        <w:rPr>
          <w:rFonts w:ascii="Book Antiqua" w:hAnsi="Book Antiqua"/>
          <w:i/>
          <w:iCs/>
        </w:rPr>
        <w:t xml:space="preserve"> Stem Cell Biol</w:t>
      </w:r>
      <w:r>
        <w:rPr>
          <w:rFonts w:ascii="Book Antiqua" w:hAnsi="Book Antiqua"/>
        </w:rPr>
        <w:t xml:space="preserve"> 2007; </w:t>
      </w:r>
      <w:r>
        <w:rPr>
          <w:rFonts w:ascii="Book Antiqua" w:hAnsi="Book Antiqua"/>
          <w:b/>
          <w:bCs/>
        </w:rPr>
        <w:t>Chapter 2</w:t>
      </w:r>
      <w:r>
        <w:rPr>
          <w:rFonts w:ascii="Book Antiqua" w:hAnsi="Book Antiqua"/>
        </w:rPr>
        <w:t>: Unit 2A.4 [PMID: 18785176 DOI: 10.1002/9780470151808.sc02a04s3]</w:t>
      </w:r>
    </w:p>
    <w:p w14:paraId="5EA646C5"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Kent DG</w:t>
      </w:r>
      <w:r>
        <w:rPr>
          <w:rFonts w:ascii="Book Antiqua" w:hAnsi="Book Antiqua"/>
        </w:rPr>
        <w:t xml:space="preserve">, Dykstra BJ, Eaves CJ. Isolation and Assessment of Single Long-Term Reconstituting Hematopoietic Stem Cells from Adult Mouse Bone Marrow.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Protoc</w:t>
      </w:r>
      <w:proofErr w:type="spellEnd"/>
      <w:r>
        <w:rPr>
          <w:rFonts w:ascii="Book Antiqua" w:hAnsi="Book Antiqua"/>
          <w:i/>
          <w:iCs/>
        </w:rPr>
        <w:t xml:space="preserve"> Stem Cell Biol</w:t>
      </w:r>
      <w:r>
        <w:rPr>
          <w:rFonts w:ascii="Book Antiqua" w:hAnsi="Book Antiqua"/>
        </w:rPr>
        <w:t xml:space="preserve"> 2016; </w:t>
      </w:r>
      <w:r>
        <w:rPr>
          <w:rFonts w:ascii="Book Antiqua" w:hAnsi="Book Antiqua"/>
          <w:b/>
          <w:bCs/>
        </w:rPr>
        <w:t>38</w:t>
      </w:r>
      <w:r>
        <w:rPr>
          <w:rFonts w:ascii="Book Antiqua" w:hAnsi="Book Antiqua"/>
        </w:rPr>
        <w:t>: 2A.4.1-2A.4.24 [PMID: 27532815 DOI: 10.1002/cpsc.10]</w:t>
      </w:r>
    </w:p>
    <w:p w14:paraId="2BF5C9A9"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Simsek</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Kocabas</w:t>
      </w:r>
      <w:proofErr w:type="spellEnd"/>
      <w:r>
        <w:rPr>
          <w:rFonts w:ascii="Book Antiqua" w:hAnsi="Book Antiqua"/>
        </w:rPr>
        <w:t xml:space="preserve"> F, Zheng J, </w:t>
      </w:r>
      <w:proofErr w:type="spellStart"/>
      <w:r>
        <w:rPr>
          <w:rFonts w:ascii="Book Antiqua" w:hAnsi="Book Antiqua"/>
        </w:rPr>
        <w:t>Deberardinis</w:t>
      </w:r>
      <w:proofErr w:type="spellEnd"/>
      <w:r>
        <w:rPr>
          <w:rFonts w:ascii="Book Antiqua" w:hAnsi="Book Antiqua"/>
        </w:rPr>
        <w:t xml:space="preserve"> RJ, Mahmoud AI, Olson EN, Schneider JW, Zhang CC, </w:t>
      </w:r>
      <w:proofErr w:type="spellStart"/>
      <w:r>
        <w:rPr>
          <w:rFonts w:ascii="Book Antiqua" w:hAnsi="Book Antiqua"/>
        </w:rPr>
        <w:t>Sadek</w:t>
      </w:r>
      <w:proofErr w:type="spellEnd"/>
      <w:r>
        <w:rPr>
          <w:rFonts w:ascii="Book Antiqua" w:hAnsi="Book Antiqua"/>
        </w:rPr>
        <w:t xml:space="preserve"> HA. The distinct metabolic profile of hematopoietic stem cells reflects their location in a hypoxic niche. </w:t>
      </w:r>
      <w:r>
        <w:rPr>
          <w:rFonts w:ascii="Book Antiqua" w:hAnsi="Book Antiqua"/>
          <w:i/>
          <w:iCs/>
        </w:rPr>
        <w:t>Cell Stem Cell</w:t>
      </w:r>
      <w:r>
        <w:rPr>
          <w:rFonts w:ascii="Book Antiqua" w:hAnsi="Book Antiqua"/>
        </w:rPr>
        <w:t xml:space="preserve"> 2010; </w:t>
      </w:r>
      <w:r>
        <w:rPr>
          <w:rFonts w:ascii="Book Antiqua" w:hAnsi="Book Antiqua"/>
          <w:b/>
          <w:bCs/>
        </w:rPr>
        <w:t>7</w:t>
      </w:r>
      <w:r>
        <w:rPr>
          <w:rFonts w:ascii="Book Antiqua" w:hAnsi="Book Antiqua"/>
        </w:rPr>
        <w:t>: 380-390 [PMID: 20804973 DOI: 10.1016/j.stem.2010.07.011]</w:t>
      </w:r>
    </w:p>
    <w:p w14:paraId="0F4626EC"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14 </w:t>
      </w:r>
      <w:proofErr w:type="spellStart"/>
      <w:r>
        <w:rPr>
          <w:rFonts w:ascii="Book Antiqua" w:hAnsi="Book Antiqua"/>
          <w:b/>
          <w:bCs/>
        </w:rPr>
        <w:t>Suda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Takubo</w:t>
      </w:r>
      <w:proofErr w:type="spellEnd"/>
      <w:r>
        <w:rPr>
          <w:rFonts w:ascii="Book Antiqua" w:hAnsi="Book Antiqua"/>
        </w:rPr>
        <w:t xml:space="preserve"> K, </w:t>
      </w:r>
      <w:proofErr w:type="spellStart"/>
      <w:r>
        <w:rPr>
          <w:rFonts w:ascii="Book Antiqua" w:hAnsi="Book Antiqua"/>
        </w:rPr>
        <w:t>Semenza</w:t>
      </w:r>
      <w:proofErr w:type="spellEnd"/>
      <w:r>
        <w:rPr>
          <w:rFonts w:ascii="Book Antiqua" w:hAnsi="Book Antiqua"/>
        </w:rPr>
        <w:t xml:space="preserve"> GL. Metabolic regulation of hematopoietic stem cells in the hypoxic niche. </w:t>
      </w:r>
      <w:r>
        <w:rPr>
          <w:rFonts w:ascii="Book Antiqua" w:hAnsi="Book Antiqua"/>
          <w:i/>
          <w:iCs/>
        </w:rPr>
        <w:t>Cell Stem Cell</w:t>
      </w:r>
      <w:r>
        <w:rPr>
          <w:rFonts w:ascii="Book Antiqua" w:hAnsi="Book Antiqua"/>
        </w:rPr>
        <w:t xml:space="preserve"> 2011; </w:t>
      </w:r>
      <w:r>
        <w:rPr>
          <w:rFonts w:ascii="Book Antiqua" w:hAnsi="Book Antiqua"/>
          <w:b/>
          <w:bCs/>
        </w:rPr>
        <w:t>9</w:t>
      </w:r>
      <w:r>
        <w:rPr>
          <w:rFonts w:ascii="Book Antiqua" w:hAnsi="Book Antiqua"/>
        </w:rPr>
        <w:t>: 298-310 [PMID: 21982230 DOI: 10.1016/j.stem.2011.09.010]</w:t>
      </w:r>
    </w:p>
    <w:p w14:paraId="114FED00"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Cheung AM</w:t>
      </w:r>
      <w:r>
        <w:rPr>
          <w:rFonts w:ascii="Book Antiqua" w:hAnsi="Book Antiqua"/>
        </w:rPr>
        <w:t xml:space="preserve">, Nguyen LV, </w:t>
      </w:r>
      <w:proofErr w:type="spellStart"/>
      <w:r>
        <w:rPr>
          <w:rFonts w:ascii="Book Antiqua" w:hAnsi="Book Antiqua"/>
        </w:rPr>
        <w:t>Carles</w:t>
      </w:r>
      <w:proofErr w:type="spellEnd"/>
      <w:r>
        <w:rPr>
          <w:rFonts w:ascii="Book Antiqua" w:hAnsi="Book Antiqua"/>
        </w:rPr>
        <w:t xml:space="preserve"> A, Beer P, Miller PH, Knapp DJ, Dhillon K, Hirst M, Eaves CJ. Analysis of the clonal growth and differentiation dynamics of primitive barcoded human cord blood cells in NSG mice. </w:t>
      </w:r>
      <w:r>
        <w:rPr>
          <w:rFonts w:ascii="Book Antiqua" w:hAnsi="Book Antiqua"/>
          <w:i/>
          <w:iCs/>
        </w:rPr>
        <w:t>Blood</w:t>
      </w:r>
      <w:r>
        <w:rPr>
          <w:rFonts w:ascii="Book Antiqua" w:hAnsi="Book Antiqua"/>
        </w:rPr>
        <w:t xml:space="preserve"> 2013; </w:t>
      </w:r>
      <w:r>
        <w:rPr>
          <w:rFonts w:ascii="Book Antiqua" w:hAnsi="Book Antiqua"/>
          <w:b/>
          <w:bCs/>
        </w:rPr>
        <w:t>122</w:t>
      </w:r>
      <w:r>
        <w:rPr>
          <w:rFonts w:ascii="Book Antiqua" w:hAnsi="Book Antiqua"/>
        </w:rPr>
        <w:t>: 3129-3137 [PMID: 24030380 DOI: 10.1182/blood-2013-06-508432]</w:t>
      </w:r>
    </w:p>
    <w:p w14:paraId="4243D47E"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Ho TT</w:t>
      </w:r>
      <w:r>
        <w:rPr>
          <w:rFonts w:ascii="Book Antiqua" w:hAnsi="Book Antiqua"/>
        </w:rPr>
        <w:t xml:space="preserve">, Warr MR, Adelman ER, </w:t>
      </w:r>
      <w:proofErr w:type="spellStart"/>
      <w:r>
        <w:rPr>
          <w:rFonts w:ascii="Book Antiqua" w:hAnsi="Book Antiqua"/>
        </w:rPr>
        <w:t>Lansinger</w:t>
      </w:r>
      <w:proofErr w:type="spellEnd"/>
      <w:r>
        <w:rPr>
          <w:rFonts w:ascii="Book Antiqua" w:hAnsi="Book Antiqua"/>
        </w:rPr>
        <w:t xml:space="preserve"> OM, </w:t>
      </w:r>
      <w:proofErr w:type="spellStart"/>
      <w:r>
        <w:rPr>
          <w:rFonts w:ascii="Book Antiqua" w:hAnsi="Book Antiqua"/>
        </w:rPr>
        <w:t>Flach</w:t>
      </w:r>
      <w:proofErr w:type="spellEnd"/>
      <w:r>
        <w:rPr>
          <w:rFonts w:ascii="Book Antiqua" w:hAnsi="Book Antiqua"/>
        </w:rPr>
        <w:t xml:space="preserve"> J, </w:t>
      </w:r>
      <w:proofErr w:type="spellStart"/>
      <w:r>
        <w:rPr>
          <w:rFonts w:ascii="Book Antiqua" w:hAnsi="Book Antiqua"/>
        </w:rPr>
        <w:t>Verovskaya</w:t>
      </w:r>
      <w:proofErr w:type="spellEnd"/>
      <w:r>
        <w:rPr>
          <w:rFonts w:ascii="Book Antiqua" w:hAnsi="Book Antiqua"/>
        </w:rPr>
        <w:t xml:space="preserve"> EV, Figueroa ME, </w:t>
      </w:r>
      <w:proofErr w:type="spellStart"/>
      <w:r>
        <w:rPr>
          <w:rFonts w:ascii="Book Antiqua" w:hAnsi="Book Antiqua"/>
        </w:rPr>
        <w:t>Passegué</w:t>
      </w:r>
      <w:proofErr w:type="spellEnd"/>
      <w:r>
        <w:rPr>
          <w:rFonts w:ascii="Book Antiqua" w:hAnsi="Book Antiqua"/>
        </w:rPr>
        <w:t xml:space="preserve"> E. Autophagy maintains the metabolism and function of young and old stem cells. </w:t>
      </w:r>
      <w:r>
        <w:rPr>
          <w:rFonts w:ascii="Book Antiqua" w:hAnsi="Book Antiqua"/>
          <w:i/>
          <w:iCs/>
        </w:rPr>
        <w:t>Nature</w:t>
      </w:r>
      <w:r>
        <w:rPr>
          <w:rFonts w:ascii="Book Antiqua" w:hAnsi="Book Antiqua"/>
        </w:rPr>
        <w:t xml:space="preserve"> 2017; </w:t>
      </w:r>
      <w:r>
        <w:rPr>
          <w:rFonts w:ascii="Book Antiqua" w:hAnsi="Book Antiqua"/>
          <w:b/>
          <w:bCs/>
        </w:rPr>
        <w:t>543</w:t>
      </w:r>
      <w:r>
        <w:rPr>
          <w:rFonts w:ascii="Book Antiqua" w:hAnsi="Book Antiqua"/>
        </w:rPr>
        <w:t>: 205-210 [PMID: 28241143 DOI: 10.1038/nature21388]</w:t>
      </w:r>
    </w:p>
    <w:p w14:paraId="3F3BC828"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Akunuru</w:t>
      </w:r>
      <w:proofErr w:type="spellEnd"/>
      <w:r>
        <w:rPr>
          <w:rFonts w:ascii="Book Antiqua" w:hAnsi="Book Antiqua"/>
          <w:b/>
          <w:bCs/>
        </w:rPr>
        <w:t xml:space="preserve"> S</w:t>
      </w:r>
      <w:r>
        <w:rPr>
          <w:rFonts w:ascii="Book Antiqua" w:hAnsi="Book Antiqua"/>
        </w:rPr>
        <w:t xml:space="preserve">, Geiger H. Aging, Clonality, and Rejuvenation of Hematopoietic Stem Cells. </w:t>
      </w:r>
      <w:r>
        <w:rPr>
          <w:rFonts w:ascii="Book Antiqua" w:hAnsi="Book Antiqua"/>
          <w:i/>
          <w:iCs/>
        </w:rPr>
        <w:t>Trends Mol Med</w:t>
      </w:r>
      <w:r>
        <w:rPr>
          <w:rFonts w:ascii="Book Antiqua" w:hAnsi="Book Antiqua"/>
        </w:rPr>
        <w:t xml:space="preserve"> 2016; </w:t>
      </w:r>
      <w:r>
        <w:rPr>
          <w:rFonts w:ascii="Book Antiqua" w:hAnsi="Book Antiqua"/>
          <w:b/>
          <w:bCs/>
        </w:rPr>
        <w:t>22</w:t>
      </w:r>
      <w:r>
        <w:rPr>
          <w:rFonts w:ascii="Book Antiqua" w:hAnsi="Book Antiqua"/>
        </w:rPr>
        <w:t>: 701-712 [PMID: 27380967 DOI: 10.1016/j.molmed.2016.06.003]</w:t>
      </w:r>
    </w:p>
    <w:p w14:paraId="737A6CF6"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Dorshkind</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Montecino</w:t>
      </w:r>
      <w:proofErr w:type="spellEnd"/>
      <w:r>
        <w:rPr>
          <w:rFonts w:ascii="Book Antiqua" w:hAnsi="Book Antiqua"/>
        </w:rPr>
        <w:t xml:space="preserve">-Rodriguez E, Signer RA. The ageing immune system: is it ever too old to become young again? </w:t>
      </w:r>
      <w:r>
        <w:rPr>
          <w:rFonts w:ascii="Book Antiqua" w:hAnsi="Book Antiqua"/>
          <w:i/>
          <w:iCs/>
        </w:rPr>
        <w:t>Nat Rev Immunol</w:t>
      </w:r>
      <w:r>
        <w:rPr>
          <w:rFonts w:ascii="Book Antiqua" w:hAnsi="Book Antiqua"/>
        </w:rPr>
        <w:t xml:space="preserve"> 2009; </w:t>
      </w:r>
      <w:r>
        <w:rPr>
          <w:rFonts w:ascii="Book Antiqua" w:hAnsi="Book Antiqua"/>
          <w:b/>
          <w:bCs/>
        </w:rPr>
        <w:t>9</w:t>
      </w:r>
      <w:r>
        <w:rPr>
          <w:rFonts w:ascii="Book Antiqua" w:hAnsi="Book Antiqua"/>
        </w:rPr>
        <w:t>: 57-62 [PMID: 19104499 DOI: 10.1038/nri2471]</w:t>
      </w:r>
    </w:p>
    <w:p w14:paraId="3AB30FAE"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Orkin SH</w:t>
      </w:r>
      <w:r>
        <w:rPr>
          <w:rFonts w:ascii="Book Antiqua" w:hAnsi="Book Antiqua"/>
        </w:rPr>
        <w:t xml:space="preserve">, </w:t>
      </w:r>
      <w:proofErr w:type="spellStart"/>
      <w:r>
        <w:rPr>
          <w:rFonts w:ascii="Book Antiqua" w:hAnsi="Book Antiqua"/>
        </w:rPr>
        <w:t>Zon</w:t>
      </w:r>
      <w:proofErr w:type="spellEnd"/>
      <w:r>
        <w:rPr>
          <w:rFonts w:ascii="Book Antiqua" w:hAnsi="Book Antiqua"/>
        </w:rPr>
        <w:t xml:space="preserve"> LI. Hematopoiesis: an evolving paradigm for stem cell biology. </w:t>
      </w:r>
      <w:r>
        <w:rPr>
          <w:rFonts w:ascii="Book Antiqua" w:hAnsi="Book Antiqua"/>
          <w:i/>
          <w:iCs/>
        </w:rPr>
        <w:t>Cell</w:t>
      </w:r>
      <w:r>
        <w:rPr>
          <w:rFonts w:ascii="Book Antiqua" w:hAnsi="Book Antiqua"/>
        </w:rPr>
        <w:t xml:space="preserve"> 2008; </w:t>
      </w:r>
      <w:r>
        <w:rPr>
          <w:rFonts w:ascii="Book Antiqua" w:hAnsi="Book Antiqua"/>
          <w:b/>
          <w:bCs/>
        </w:rPr>
        <w:t>132</w:t>
      </w:r>
      <w:r>
        <w:rPr>
          <w:rFonts w:ascii="Book Antiqua" w:hAnsi="Book Antiqua"/>
        </w:rPr>
        <w:t>: 631-644 [PMID: 18295580 DOI: 10.1016/j.cell.2008.01.025]</w:t>
      </w:r>
    </w:p>
    <w:p w14:paraId="026D58DC"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Vannini</w:t>
      </w:r>
      <w:proofErr w:type="spellEnd"/>
      <w:r>
        <w:rPr>
          <w:rFonts w:ascii="Book Antiqua" w:hAnsi="Book Antiqua"/>
          <w:b/>
          <w:bCs/>
        </w:rPr>
        <w:t xml:space="preserve"> N</w:t>
      </w:r>
      <w:r>
        <w:rPr>
          <w:rFonts w:ascii="Book Antiqua" w:hAnsi="Book Antiqua"/>
        </w:rPr>
        <w:t xml:space="preserve">, Campos V, </w:t>
      </w:r>
      <w:proofErr w:type="spellStart"/>
      <w:r>
        <w:rPr>
          <w:rFonts w:ascii="Book Antiqua" w:hAnsi="Book Antiqua"/>
        </w:rPr>
        <w:t>Girotra</w:t>
      </w:r>
      <w:proofErr w:type="spellEnd"/>
      <w:r>
        <w:rPr>
          <w:rFonts w:ascii="Book Antiqua" w:hAnsi="Book Antiqua"/>
        </w:rPr>
        <w:t xml:space="preserve"> M, </w:t>
      </w:r>
      <w:proofErr w:type="spellStart"/>
      <w:r>
        <w:rPr>
          <w:rFonts w:ascii="Book Antiqua" w:hAnsi="Book Antiqua"/>
        </w:rPr>
        <w:t>Trachsel</w:t>
      </w:r>
      <w:proofErr w:type="spellEnd"/>
      <w:r>
        <w:rPr>
          <w:rFonts w:ascii="Book Antiqua" w:hAnsi="Book Antiqua"/>
        </w:rPr>
        <w:t xml:space="preserve"> V, Rojas-</w:t>
      </w:r>
      <w:proofErr w:type="spellStart"/>
      <w:r>
        <w:rPr>
          <w:rFonts w:ascii="Book Antiqua" w:hAnsi="Book Antiqua"/>
        </w:rPr>
        <w:t>Sutterlin</w:t>
      </w:r>
      <w:proofErr w:type="spellEnd"/>
      <w:r>
        <w:rPr>
          <w:rFonts w:ascii="Book Antiqua" w:hAnsi="Book Antiqua"/>
        </w:rPr>
        <w:t xml:space="preserve"> S, </w:t>
      </w:r>
      <w:proofErr w:type="spellStart"/>
      <w:r>
        <w:rPr>
          <w:rFonts w:ascii="Book Antiqua" w:hAnsi="Book Antiqua"/>
        </w:rPr>
        <w:t>Tratwal</w:t>
      </w:r>
      <w:proofErr w:type="spellEnd"/>
      <w:r>
        <w:rPr>
          <w:rFonts w:ascii="Book Antiqua" w:hAnsi="Book Antiqua"/>
        </w:rPr>
        <w:t xml:space="preserve"> J, Ragusa S, </w:t>
      </w:r>
      <w:proofErr w:type="spellStart"/>
      <w:r>
        <w:rPr>
          <w:rFonts w:ascii="Book Antiqua" w:hAnsi="Book Antiqua"/>
        </w:rPr>
        <w:t>Stefanidis</w:t>
      </w:r>
      <w:proofErr w:type="spellEnd"/>
      <w:r>
        <w:rPr>
          <w:rFonts w:ascii="Book Antiqua" w:hAnsi="Book Antiqua"/>
        </w:rPr>
        <w:t xml:space="preserve"> E, Ryu D, Rainer PY, </w:t>
      </w:r>
      <w:proofErr w:type="spellStart"/>
      <w:r>
        <w:rPr>
          <w:rFonts w:ascii="Book Antiqua" w:hAnsi="Book Antiqua"/>
        </w:rPr>
        <w:t>Nikitin</w:t>
      </w:r>
      <w:proofErr w:type="spellEnd"/>
      <w:r>
        <w:rPr>
          <w:rFonts w:ascii="Book Antiqua" w:hAnsi="Book Antiqua"/>
        </w:rPr>
        <w:t xml:space="preserve"> G, Giger S, Li TY, </w:t>
      </w:r>
      <w:proofErr w:type="spellStart"/>
      <w:r>
        <w:rPr>
          <w:rFonts w:ascii="Book Antiqua" w:hAnsi="Book Antiqua"/>
        </w:rPr>
        <w:t>Semilietof</w:t>
      </w:r>
      <w:proofErr w:type="spellEnd"/>
      <w:r>
        <w:rPr>
          <w:rFonts w:ascii="Book Antiqua" w:hAnsi="Book Antiqua"/>
        </w:rPr>
        <w:t xml:space="preserve"> A, </w:t>
      </w:r>
      <w:proofErr w:type="spellStart"/>
      <w:r>
        <w:rPr>
          <w:rFonts w:ascii="Book Antiqua" w:hAnsi="Book Antiqua"/>
        </w:rPr>
        <w:t>Oggier</w:t>
      </w:r>
      <w:proofErr w:type="spellEnd"/>
      <w:r>
        <w:rPr>
          <w:rFonts w:ascii="Book Antiqua" w:hAnsi="Book Antiqua"/>
        </w:rPr>
        <w:t xml:space="preserve"> A, </w:t>
      </w:r>
      <w:proofErr w:type="spellStart"/>
      <w:r>
        <w:rPr>
          <w:rFonts w:ascii="Book Antiqua" w:hAnsi="Book Antiqua"/>
        </w:rPr>
        <w:t>Yersin</w:t>
      </w:r>
      <w:proofErr w:type="spellEnd"/>
      <w:r>
        <w:rPr>
          <w:rFonts w:ascii="Book Antiqua" w:hAnsi="Book Antiqua"/>
        </w:rPr>
        <w:t xml:space="preserve"> Y, Tauzin L, </w:t>
      </w:r>
      <w:proofErr w:type="spellStart"/>
      <w:r>
        <w:rPr>
          <w:rFonts w:ascii="Book Antiqua" w:hAnsi="Book Antiqua"/>
        </w:rPr>
        <w:t>Pirinen</w:t>
      </w:r>
      <w:proofErr w:type="spellEnd"/>
      <w:r>
        <w:rPr>
          <w:rFonts w:ascii="Book Antiqua" w:hAnsi="Book Antiqua"/>
        </w:rPr>
        <w:t xml:space="preserve"> E, Cheng WC, </w:t>
      </w:r>
      <w:proofErr w:type="spellStart"/>
      <w:r>
        <w:rPr>
          <w:rFonts w:ascii="Book Antiqua" w:hAnsi="Book Antiqua"/>
        </w:rPr>
        <w:t>Ratajczak</w:t>
      </w:r>
      <w:proofErr w:type="spellEnd"/>
      <w:r>
        <w:rPr>
          <w:rFonts w:ascii="Book Antiqua" w:hAnsi="Book Antiqua"/>
        </w:rPr>
        <w:t xml:space="preserve"> J, Canto C, Ehrbar M, </w:t>
      </w:r>
      <w:proofErr w:type="spellStart"/>
      <w:r>
        <w:rPr>
          <w:rFonts w:ascii="Book Antiqua" w:hAnsi="Book Antiqua"/>
        </w:rPr>
        <w:t>Sizzano</w:t>
      </w:r>
      <w:proofErr w:type="spellEnd"/>
      <w:r>
        <w:rPr>
          <w:rFonts w:ascii="Book Antiqua" w:hAnsi="Book Antiqua"/>
        </w:rPr>
        <w:t xml:space="preserve"> F, </w:t>
      </w:r>
      <w:proofErr w:type="spellStart"/>
      <w:r>
        <w:rPr>
          <w:rFonts w:ascii="Book Antiqua" w:hAnsi="Book Antiqua"/>
        </w:rPr>
        <w:t>Petrova</w:t>
      </w:r>
      <w:proofErr w:type="spellEnd"/>
      <w:r>
        <w:rPr>
          <w:rFonts w:ascii="Book Antiqua" w:hAnsi="Book Antiqua"/>
        </w:rPr>
        <w:t xml:space="preserve"> TV, </w:t>
      </w:r>
      <w:proofErr w:type="spellStart"/>
      <w:r>
        <w:rPr>
          <w:rFonts w:ascii="Book Antiqua" w:hAnsi="Book Antiqua"/>
        </w:rPr>
        <w:t>Vanhecke</w:t>
      </w:r>
      <w:proofErr w:type="spellEnd"/>
      <w:r>
        <w:rPr>
          <w:rFonts w:ascii="Book Antiqua" w:hAnsi="Book Antiqua"/>
        </w:rPr>
        <w:t xml:space="preserve"> D, Zhang L, Romero P, Nahimana A, </w:t>
      </w:r>
      <w:proofErr w:type="spellStart"/>
      <w:r>
        <w:rPr>
          <w:rFonts w:ascii="Book Antiqua" w:hAnsi="Book Antiqua"/>
        </w:rPr>
        <w:t>Cherix</w:t>
      </w:r>
      <w:proofErr w:type="spellEnd"/>
      <w:r>
        <w:rPr>
          <w:rFonts w:ascii="Book Antiqua" w:hAnsi="Book Antiqua"/>
        </w:rPr>
        <w:t xml:space="preserve"> S, </w:t>
      </w:r>
      <w:proofErr w:type="spellStart"/>
      <w:r>
        <w:rPr>
          <w:rFonts w:ascii="Book Antiqua" w:hAnsi="Book Antiqua"/>
        </w:rPr>
        <w:t>Duchosal</w:t>
      </w:r>
      <w:proofErr w:type="spellEnd"/>
      <w:r>
        <w:rPr>
          <w:rFonts w:ascii="Book Antiqua" w:hAnsi="Book Antiqua"/>
        </w:rPr>
        <w:t xml:space="preserve"> MA, Ho PC, </w:t>
      </w:r>
      <w:proofErr w:type="spellStart"/>
      <w:r>
        <w:rPr>
          <w:rFonts w:ascii="Book Antiqua" w:hAnsi="Book Antiqua"/>
        </w:rPr>
        <w:t>Deplancke</w:t>
      </w:r>
      <w:proofErr w:type="spellEnd"/>
      <w:r>
        <w:rPr>
          <w:rFonts w:ascii="Book Antiqua" w:hAnsi="Book Antiqua"/>
        </w:rPr>
        <w:t xml:space="preserve"> B, </w:t>
      </w:r>
      <w:proofErr w:type="spellStart"/>
      <w:r>
        <w:rPr>
          <w:rFonts w:ascii="Book Antiqua" w:hAnsi="Book Antiqua"/>
        </w:rPr>
        <w:t>Coukos</w:t>
      </w:r>
      <w:proofErr w:type="spellEnd"/>
      <w:r>
        <w:rPr>
          <w:rFonts w:ascii="Book Antiqua" w:hAnsi="Book Antiqua"/>
        </w:rPr>
        <w:t xml:space="preserve"> G, </w:t>
      </w:r>
      <w:proofErr w:type="spellStart"/>
      <w:r>
        <w:rPr>
          <w:rFonts w:ascii="Book Antiqua" w:hAnsi="Book Antiqua"/>
        </w:rPr>
        <w:t>Auwerx</w:t>
      </w:r>
      <w:proofErr w:type="spellEnd"/>
      <w:r>
        <w:rPr>
          <w:rFonts w:ascii="Book Antiqua" w:hAnsi="Book Antiqua"/>
        </w:rPr>
        <w:t xml:space="preserve"> J, </w:t>
      </w:r>
      <w:proofErr w:type="spellStart"/>
      <w:r>
        <w:rPr>
          <w:rFonts w:ascii="Book Antiqua" w:hAnsi="Book Antiqua"/>
        </w:rPr>
        <w:t>Lutolf</w:t>
      </w:r>
      <w:proofErr w:type="spellEnd"/>
      <w:r>
        <w:rPr>
          <w:rFonts w:ascii="Book Antiqua" w:hAnsi="Book Antiqua"/>
        </w:rPr>
        <w:t xml:space="preserve"> MP, </w:t>
      </w:r>
      <w:proofErr w:type="spellStart"/>
      <w:r>
        <w:rPr>
          <w:rFonts w:ascii="Book Antiqua" w:hAnsi="Book Antiqua"/>
        </w:rPr>
        <w:t>Naveiras</w:t>
      </w:r>
      <w:proofErr w:type="spellEnd"/>
      <w:r>
        <w:rPr>
          <w:rFonts w:ascii="Book Antiqua" w:hAnsi="Book Antiqua"/>
        </w:rPr>
        <w:t xml:space="preserve"> O. The NAD-Booster Nicotinamide Riboside Potently Stimulates Hematopoiesis through Increased Mitochondrial Clearance. </w:t>
      </w:r>
      <w:r>
        <w:rPr>
          <w:rFonts w:ascii="Book Antiqua" w:hAnsi="Book Antiqua"/>
          <w:i/>
          <w:iCs/>
        </w:rPr>
        <w:t>Cell Stem Cell</w:t>
      </w:r>
      <w:r>
        <w:rPr>
          <w:rFonts w:ascii="Book Antiqua" w:hAnsi="Book Antiqua"/>
        </w:rPr>
        <w:t xml:space="preserve"> 2019; </w:t>
      </w:r>
      <w:r>
        <w:rPr>
          <w:rFonts w:ascii="Book Antiqua" w:hAnsi="Book Antiqua"/>
          <w:b/>
          <w:bCs/>
        </w:rPr>
        <w:t>24</w:t>
      </w:r>
      <w:r>
        <w:rPr>
          <w:rFonts w:ascii="Book Antiqua" w:hAnsi="Book Antiqua"/>
        </w:rPr>
        <w:t>: 405-418.e7 [PMID: 30849366 DOI: 10.1016/j.stem.2019.02.012]</w:t>
      </w:r>
    </w:p>
    <w:p w14:paraId="37F6B0D0"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Jung JJ</w:t>
      </w:r>
      <w:r>
        <w:rPr>
          <w:rFonts w:ascii="Book Antiqua" w:hAnsi="Book Antiqua"/>
        </w:rPr>
        <w:t xml:space="preserve">, </w:t>
      </w:r>
      <w:proofErr w:type="spellStart"/>
      <w:r>
        <w:rPr>
          <w:rFonts w:ascii="Book Antiqua" w:hAnsi="Book Antiqua"/>
        </w:rPr>
        <w:t>Buisman</w:t>
      </w:r>
      <w:proofErr w:type="spellEnd"/>
      <w:r>
        <w:rPr>
          <w:rFonts w:ascii="Book Antiqua" w:hAnsi="Book Antiqua"/>
        </w:rPr>
        <w:t xml:space="preserve"> SC, de </w:t>
      </w:r>
      <w:proofErr w:type="spellStart"/>
      <w:r>
        <w:rPr>
          <w:rFonts w:ascii="Book Antiqua" w:hAnsi="Book Antiqua"/>
        </w:rPr>
        <w:t>Haan</w:t>
      </w:r>
      <w:proofErr w:type="spellEnd"/>
      <w:r>
        <w:rPr>
          <w:rFonts w:ascii="Book Antiqua" w:hAnsi="Book Antiqua"/>
        </w:rPr>
        <w:t xml:space="preserve"> G. Do hematopoietic stem cells get old? </w:t>
      </w:r>
      <w:r>
        <w:rPr>
          <w:rFonts w:ascii="Book Antiqua" w:hAnsi="Book Antiqua"/>
          <w:i/>
          <w:iCs/>
        </w:rPr>
        <w:t>Leukemia</w:t>
      </w:r>
      <w:r>
        <w:rPr>
          <w:rFonts w:ascii="Book Antiqua" w:hAnsi="Book Antiqua"/>
        </w:rPr>
        <w:t xml:space="preserve"> 2017; </w:t>
      </w:r>
      <w:r>
        <w:rPr>
          <w:rFonts w:ascii="Book Antiqua" w:hAnsi="Book Antiqua"/>
          <w:b/>
          <w:bCs/>
        </w:rPr>
        <w:t>31</w:t>
      </w:r>
      <w:r>
        <w:rPr>
          <w:rFonts w:ascii="Book Antiqua" w:hAnsi="Book Antiqua"/>
        </w:rPr>
        <w:t>: 529-531 [PMID: 27773926 DOI: 10.1038/leu.2016.301]</w:t>
      </w:r>
    </w:p>
    <w:p w14:paraId="0DE9DA95"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Liu Y</w:t>
      </w:r>
      <w:r>
        <w:rPr>
          <w:rFonts w:ascii="Book Antiqua" w:hAnsi="Book Antiqua"/>
        </w:rPr>
        <w:t xml:space="preserve">, Van </w:t>
      </w:r>
      <w:proofErr w:type="spellStart"/>
      <w:r>
        <w:rPr>
          <w:rFonts w:ascii="Book Antiqua" w:hAnsi="Book Antiqua"/>
        </w:rPr>
        <w:t>Zant</w:t>
      </w:r>
      <w:proofErr w:type="spellEnd"/>
      <w:r>
        <w:rPr>
          <w:rFonts w:ascii="Book Antiqua" w:hAnsi="Book Antiqua"/>
        </w:rPr>
        <w:t xml:space="preserve"> G, Liang Y. Measuring the aging process in stem cells. </w:t>
      </w:r>
      <w:r>
        <w:rPr>
          <w:rFonts w:ascii="Book Antiqua" w:hAnsi="Book Antiqua"/>
          <w:i/>
          <w:iCs/>
        </w:rPr>
        <w:t>Methods Mol Biol</w:t>
      </w:r>
      <w:r>
        <w:rPr>
          <w:rFonts w:ascii="Book Antiqua" w:hAnsi="Book Antiqua"/>
        </w:rPr>
        <w:t xml:space="preserve"> 2015; </w:t>
      </w:r>
      <w:r>
        <w:rPr>
          <w:rFonts w:ascii="Book Antiqua" w:hAnsi="Book Antiqua"/>
          <w:b/>
          <w:bCs/>
        </w:rPr>
        <w:t>1235</w:t>
      </w:r>
      <w:r>
        <w:rPr>
          <w:rFonts w:ascii="Book Antiqua" w:hAnsi="Book Antiqua"/>
        </w:rPr>
        <w:t>: 19-32 [PMID: 25388383 DOI: 10.1007/978-1-4939-1785-3_3]</w:t>
      </w:r>
    </w:p>
    <w:p w14:paraId="5F734764"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23 </w:t>
      </w:r>
      <w:r>
        <w:rPr>
          <w:rFonts w:ascii="Book Antiqua" w:hAnsi="Book Antiqua"/>
          <w:b/>
          <w:bCs/>
        </w:rPr>
        <w:t>Sun X</w:t>
      </w:r>
      <w:r>
        <w:rPr>
          <w:rFonts w:ascii="Book Antiqua" w:hAnsi="Book Antiqua"/>
        </w:rPr>
        <w:t xml:space="preserve">, Cao B, Naval-Sanchez M, Pham T, Sun YBY, Williams B, </w:t>
      </w:r>
      <w:proofErr w:type="spellStart"/>
      <w:r>
        <w:rPr>
          <w:rFonts w:ascii="Book Antiqua" w:hAnsi="Book Antiqua"/>
        </w:rPr>
        <w:t>Heazlewood</w:t>
      </w:r>
      <w:proofErr w:type="spellEnd"/>
      <w:r>
        <w:rPr>
          <w:rFonts w:ascii="Book Antiqua" w:hAnsi="Book Antiqua"/>
        </w:rPr>
        <w:t xml:space="preserve"> SY, Deshpande N, Li J, Kraus F, Rae J, Nguyen Q, </w:t>
      </w:r>
      <w:proofErr w:type="spellStart"/>
      <w:r>
        <w:rPr>
          <w:rFonts w:ascii="Book Antiqua" w:hAnsi="Book Antiqua"/>
        </w:rPr>
        <w:t>Yari</w:t>
      </w:r>
      <w:proofErr w:type="spellEnd"/>
      <w:r>
        <w:rPr>
          <w:rFonts w:ascii="Book Antiqua" w:hAnsi="Book Antiqua"/>
        </w:rPr>
        <w:t xml:space="preserve"> H, </w:t>
      </w:r>
      <w:proofErr w:type="spellStart"/>
      <w:r>
        <w:rPr>
          <w:rFonts w:ascii="Book Antiqua" w:hAnsi="Book Antiqua"/>
        </w:rPr>
        <w:t>Schröder</w:t>
      </w:r>
      <w:proofErr w:type="spellEnd"/>
      <w:r>
        <w:rPr>
          <w:rFonts w:ascii="Book Antiqua" w:hAnsi="Book Antiqua"/>
        </w:rPr>
        <w:t xml:space="preserve"> J, </w:t>
      </w:r>
      <w:proofErr w:type="spellStart"/>
      <w:r>
        <w:rPr>
          <w:rFonts w:ascii="Book Antiqua" w:hAnsi="Book Antiqua"/>
        </w:rPr>
        <w:t>Heazlewood</w:t>
      </w:r>
      <w:proofErr w:type="spellEnd"/>
      <w:r>
        <w:rPr>
          <w:rFonts w:ascii="Book Antiqua" w:hAnsi="Book Antiqua"/>
        </w:rPr>
        <w:t xml:space="preserve"> CK, Fulton M, </w:t>
      </w:r>
      <w:proofErr w:type="spellStart"/>
      <w:r>
        <w:rPr>
          <w:rFonts w:ascii="Book Antiqua" w:hAnsi="Book Antiqua"/>
        </w:rPr>
        <w:t>Hatwell</w:t>
      </w:r>
      <w:proofErr w:type="spellEnd"/>
      <w:r>
        <w:rPr>
          <w:rFonts w:ascii="Book Antiqua" w:hAnsi="Book Antiqua"/>
        </w:rPr>
        <w:t xml:space="preserve">-Humble J, Das Gupta K, Kapetanovic R, Chen X, Sweet MJ, Parton RG, Ryan MT, Polo JM, </w:t>
      </w:r>
      <w:proofErr w:type="spellStart"/>
      <w:r>
        <w:rPr>
          <w:rFonts w:ascii="Book Antiqua" w:hAnsi="Book Antiqua"/>
        </w:rPr>
        <w:t>Nefzger</w:t>
      </w:r>
      <w:proofErr w:type="spellEnd"/>
      <w:r>
        <w:rPr>
          <w:rFonts w:ascii="Book Antiqua" w:hAnsi="Book Antiqua"/>
        </w:rPr>
        <w:t xml:space="preserve"> CM, Nilsson SK. Nicotinamide riboside attenuates age-associated metabolic and functional changes in hematopoietic stem cells. </w:t>
      </w:r>
      <w:r>
        <w:rPr>
          <w:rFonts w:ascii="Book Antiqua" w:hAnsi="Book Antiqua"/>
          <w:i/>
          <w:iCs/>
        </w:rPr>
        <w:t>Nat Commun</w:t>
      </w:r>
      <w:r>
        <w:rPr>
          <w:rFonts w:ascii="Book Antiqua" w:hAnsi="Book Antiqua"/>
        </w:rPr>
        <w:t xml:space="preserve"> 2021; </w:t>
      </w:r>
      <w:r>
        <w:rPr>
          <w:rFonts w:ascii="Book Antiqua" w:hAnsi="Book Antiqua"/>
          <w:b/>
          <w:bCs/>
        </w:rPr>
        <w:t>12</w:t>
      </w:r>
      <w:r>
        <w:rPr>
          <w:rFonts w:ascii="Book Antiqua" w:hAnsi="Book Antiqua"/>
        </w:rPr>
        <w:t>: 2665 [PMID: 33976125 DOI: 10.1038/s41467-021-22863-0]</w:t>
      </w:r>
    </w:p>
    <w:p w14:paraId="6486A92F"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Vaca</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Berná</w:t>
      </w:r>
      <w:proofErr w:type="spellEnd"/>
      <w:r>
        <w:rPr>
          <w:rFonts w:ascii="Book Antiqua" w:hAnsi="Book Antiqua"/>
        </w:rPr>
        <w:t xml:space="preserve"> G, Martín F, Soria B. Nicotinamide induces both proliferation and differentiation of embryonic stem cells into insulin-producing cells. </w:t>
      </w:r>
      <w:r>
        <w:rPr>
          <w:rFonts w:ascii="Book Antiqua" w:hAnsi="Book Antiqua"/>
          <w:i/>
          <w:iCs/>
        </w:rPr>
        <w:t>Transplant Proc</w:t>
      </w:r>
      <w:r>
        <w:rPr>
          <w:rFonts w:ascii="Book Antiqua" w:hAnsi="Book Antiqua"/>
        </w:rPr>
        <w:t xml:space="preserve"> 2003; </w:t>
      </w:r>
      <w:r>
        <w:rPr>
          <w:rFonts w:ascii="Book Antiqua" w:hAnsi="Book Antiqua"/>
          <w:b/>
          <w:bCs/>
        </w:rPr>
        <w:t>35</w:t>
      </w:r>
      <w:r>
        <w:rPr>
          <w:rFonts w:ascii="Book Antiqua" w:hAnsi="Book Antiqua"/>
        </w:rPr>
        <w:t>: 2021-2023 [PMID: 12962883 DOI: 10.1016/s0041-1345(03)00735-8]</w:t>
      </w:r>
    </w:p>
    <w:p w14:paraId="1D155275"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Son MJ</w:t>
      </w:r>
      <w:r>
        <w:rPr>
          <w:rFonts w:ascii="Book Antiqua" w:hAnsi="Book Antiqua"/>
        </w:rPr>
        <w:t xml:space="preserve">, Son MY, </w:t>
      </w:r>
      <w:proofErr w:type="spellStart"/>
      <w:r>
        <w:rPr>
          <w:rFonts w:ascii="Book Antiqua" w:hAnsi="Book Antiqua"/>
        </w:rPr>
        <w:t>Seol</w:t>
      </w:r>
      <w:proofErr w:type="spellEnd"/>
      <w:r>
        <w:rPr>
          <w:rFonts w:ascii="Book Antiqua" w:hAnsi="Book Antiqua"/>
        </w:rPr>
        <w:t xml:space="preserve"> B, Kim MJ, </w:t>
      </w:r>
      <w:proofErr w:type="spellStart"/>
      <w:r>
        <w:rPr>
          <w:rFonts w:ascii="Book Antiqua" w:hAnsi="Book Antiqua"/>
        </w:rPr>
        <w:t>Yoo</w:t>
      </w:r>
      <w:proofErr w:type="spellEnd"/>
      <w:r>
        <w:rPr>
          <w:rFonts w:ascii="Book Antiqua" w:hAnsi="Book Antiqua"/>
        </w:rPr>
        <w:t xml:space="preserve"> CH, Han MK, Cho YS. Nicotinamide overcomes pluripotency deficits and reprogramming barriers. </w:t>
      </w:r>
      <w:r>
        <w:rPr>
          <w:rFonts w:ascii="Book Antiqua" w:hAnsi="Book Antiqua"/>
          <w:i/>
          <w:iCs/>
        </w:rPr>
        <w:t>Stem Cells</w:t>
      </w:r>
      <w:r>
        <w:rPr>
          <w:rFonts w:ascii="Book Antiqua" w:hAnsi="Book Antiqua"/>
        </w:rPr>
        <w:t xml:space="preserve"> 2013; </w:t>
      </w:r>
      <w:r>
        <w:rPr>
          <w:rFonts w:ascii="Book Antiqua" w:hAnsi="Book Antiqua"/>
          <w:b/>
          <w:bCs/>
        </w:rPr>
        <w:t>31</w:t>
      </w:r>
      <w:r>
        <w:rPr>
          <w:rFonts w:ascii="Book Antiqua" w:hAnsi="Book Antiqua"/>
        </w:rPr>
        <w:t>: 1121-1135 [PMID: 23526681 DOI: 10.1002/stem.1368]</w:t>
      </w:r>
    </w:p>
    <w:p w14:paraId="560918EF"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Horwitz ME</w:t>
      </w:r>
      <w:r>
        <w:rPr>
          <w:rFonts w:ascii="Book Antiqua" w:hAnsi="Book Antiqua"/>
        </w:rPr>
        <w:t xml:space="preserve">, Chao NJ, Rizzieri DA, Long GD, Sullivan KM, </w:t>
      </w:r>
      <w:proofErr w:type="spellStart"/>
      <w:r>
        <w:rPr>
          <w:rFonts w:ascii="Book Antiqua" w:hAnsi="Book Antiqua"/>
        </w:rPr>
        <w:t>Gasparetto</w:t>
      </w:r>
      <w:proofErr w:type="spellEnd"/>
      <w:r>
        <w:rPr>
          <w:rFonts w:ascii="Book Antiqua" w:hAnsi="Book Antiqua"/>
        </w:rPr>
        <w:t xml:space="preserve"> C, Chute JP, Morris A, McDonald C, Waters-Pick B, Stiff P, </w:t>
      </w:r>
      <w:proofErr w:type="spellStart"/>
      <w:r>
        <w:rPr>
          <w:rFonts w:ascii="Book Antiqua" w:hAnsi="Book Antiqua"/>
        </w:rPr>
        <w:t>Wease</w:t>
      </w:r>
      <w:proofErr w:type="spellEnd"/>
      <w:r>
        <w:rPr>
          <w:rFonts w:ascii="Book Antiqua" w:hAnsi="Book Antiqua"/>
        </w:rPr>
        <w:t xml:space="preserve"> S, Peled A, Snyder D, Cohen EG, </w:t>
      </w:r>
      <w:proofErr w:type="spellStart"/>
      <w:r>
        <w:rPr>
          <w:rFonts w:ascii="Book Antiqua" w:hAnsi="Book Antiqua"/>
        </w:rPr>
        <w:t>Shoham</w:t>
      </w:r>
      <w:proofErr w:type="spellEnd"/>
      <w:r>
        <w:rPr>
          <w:rFonts w:ascii="Book Antiqua" w:hAnsi="Book Antiqua"/>
        </w:rPr>
        <w:t xml:space="preserve"> H, Landau E, Friend E, Peleg I, </w:t>
      </w:r>
      <w:proofErr w:type="spellStart"/>
      <w:r>
        <w:rPr>
          <w:rFonts w:ascii="Book Antiqua" w:hAnsi="Book Antiqua"/>
        </w:rPr>
        <w:t>Aschengrau</w:t>
      </w:r>
      <w:proofErr w:type="spellEnd"/>
      <w:r>
        <w:rPr>
          <w:rFonts w:ascii="Book Antiqua" w:hAnsi="Book Antiqua"/>
        </w:rPr>
        <w:t xml:space="preserve"> D, </w:t>
      </w:r>
      <w:proofErr w:type="spellStart"/>
      <w:r>
        <w:rPr>
          <w:rFonts w:ascii="Book Antiqua" w:hAnsi="Book Antiqua"/>
        </w:rPr>
        <w:t>Yackoubov</w:t>
      </w:r>
      <w:proofErr w:type="spellEnd"/>
      <w:r>
        <w:rPr>
          <w:rFonts w:ascii="Book Antiqua" w:hAnsi="Book Antiqua"/>
        </w:rPr>
        <w:t xml:space="preserve"> D, </w:t>
      </w:r>
      <w:proofErr w:type="spellStart"/>
      <w:r>
        <w:rPr>
          <w:rFonts w:ascii="Book Antiqua" w:hAnsi="Book Antiqua"/>
        </w:rPr>
        <w:t>Kurtzberg</w:t>
      </w:r>
      <w:proofErr w:type="spellEnd"/>
      <w:r>
        <w:rPr>
          <w:rFonts w:ascii="Book Antiqua" w:hAnsi="Book Antiqua"/>
        </w:rPr>
        <w:t xml:space="preserve"> J, Peled T. Umbilical cord blood expansion with nicotinamide provides long-term multilineage engraftment. </w:t>
      </w:r>
      <w:r>
        <w:rPr>
          <w:rFonts w:ascii="Book Antiqua" w:hAnsi="Book Antiqua"/>
          <w:i/>
          <w:iCs/>
        </w:rPr>
        <w:t>J Clin Invest</w:t>
      </w:r>
      <w:r>
        <w:rPr>
          <w:rFonts w:ascii="Book Antiqua" w:hAnsi="Book Antiqua"/>
        </w:rPr>
        <w:t xml:space="preserve"> 2014; </w:t>
      </w:r>
      <w:r>
        <w:rPr>
          <w:rFonts w:ascii="Book Antiqua" w:hAnsi="Book Antiqua"/>
          <w:b/>
          <w:bCs/>
        </w:rPr>
        <w:t>124</w:t>
      </w:r>
      <w:r>
        <w:rPr>
          <w:rFonts w:ascii="Book Antiqua" w:hAnsi="Book Antiqua"/>
        </w:rPr>
        <w:t>: 3121-3128 [PMID: 24911148 DOI: 10.1172/JCI74556]</w:t>
      </w:r>
    </w:p>
    <w:p w14:paraId="360E7F23"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Li X</w:t>
      </w:r>
      <w:r>
        <w:rPr>
          <w:rFonts w:ascii="Book Antiqua" w:hAnsi="Book Antiqua"/>
        </w:rPr>
        <w:t xml:space="preserve">, Zeng X, Xu Y, Wang B, Zhao Y, Lai X, Qian P, Huang H. </w:t>
      </w:r>
      <w:proofErr w:type="gramStart"/>
      <w:r>
        <w:rPr>
          <w:rFonts w:ascii="Book Antiqua" w:hAnsi="Book Antiqua"/>
        </w:rPr>
        <w:t>Mechanisms</w:t>
      </w:r>
      <w:proofErr w:type="gramEnd"/>
      <w:r>
        <w:rPr>
          <w:rFonts w:ascii="Book Antiqua" w:hAnsi="Book Antiqua"/>
        </w:rPr>
        <w:t xml:space="preserve"> and rejuvenation strategies for aged hematopoietic stem cells. </w:t>
      </w:r>
      <w:r>
        <w:rPr>
          <w:rFonts w:ascii="Book Antiqua" w:hAnsi="Book Antiqua"/>
          <w:i/>
          <w:iCs/>
        </w:rPr>
        <w:t xml:space="preserve">J </w:t>
      </w:r>
      <w:proofErr w:type="spellStart"/>
      <w:r>
        <w:rPr>
          <w:rFonts w:ascii="Book Antiqua" w:hAnsi="Book Antiqua"/>
          <w:i/>
          <w:iCs/>
        </w:rPr>
        <w:t>Hematol</w:t>
      </w:r>
      <w:proofErr w:type="spellEnd"/>
      <w:r>
        <w:rPr>
          <w:rFonts w:ascii="Book Antiqua" w:hAnsi="Book Antiqua"/>
          <w:i/>
          <w:iCs/>
        </w:rPr>
        <w:t xml:space="preserve"> Oncol</w:t>
      </w:r>
      <w:r>
        <w:rPr>
          <w:rFonts w:ascii="Book Antiqua" w:hAnsi="Book Antiqua"/>
        </w:rPr>
        <w:t xml:space="preserve"> 2020; </w:t>
      </w:r>
      <w:r>
        <w:rPr>
          <w:rFonts w:ascii="Book Antiqua" w:hAnsi="Book Antiqua"/>
          <w:b/>
          <w:bCs/>
        </w:rPr>
        <w:t>13</w:t>
      </w:r>
      <w:r>
        <w:rPr>
          <w:rFonts w:ascii="Book Antiqua" w:hAnsi="Book Antiqua"/>
        </w:rPr>
        <w:t>: 31 [PMID: 32252797 DOI: 10.1186/s13045-020-00864-8]</w:t>
      </w:r>
    </w:p>
    <w:p w14:paraId="65303449"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Mantel CR</w:t>
      </w:r>
      <w:r>
        <w:rPr>
          <w:rFonts w:ascii="Book Antiqua" w:hAnsi="Book Antiqua"/>
        </w:rPr>
        <w:t xml:space="preserve">, O'Leary HA, </w:t>
      </w:r>
      <w:proofErr w:type="spellStart"/>
      <w:r>
        <w:rPr>
          <w:rFonts w:ascii="Book Antiqua" w:hAnsi="Book Antiqua"/>
        </w:rPr>
        <w:t>Chitteti</w:t>
      </w:r>
      <w:proofErr w:type="spellEnd"/>
      <w:r>
        <w:rPr>
          <w:rFonts w:ascii="Book Antiqua" w:hAnsi="Book Antiqua"/>
        </w:rPr>
        <w:t xml:space="preserve"> BR, Huang X, Cooper S, </w:t>
      </w:r>
      <w:proofErr w:type="spellStart"/>
      <w:r>
        <w:rPr>
          <w:rFonts w:ascii="Book Antiqua" w:hAnsi="Book Antiqua"/>
        </w:rPr>
        <w:t>Hangoc</w:t>
      </w:r>
      <w:proofErr w:type="spellEnd"/>
      <w:r>
        <w:rPr>
          <w:rFonts w:ascii="Book Antiqua" w:hAnsi="Book Antiqua"/>
        </w:rPr>
        <w:t xml:space="preserve"> G, </w:t>
      </w:r>
      <w:proofErr w:type="spellStart"/>
      <w:r>
        <w:rPr>
          <w:rFonts w:ascii="Book Antiqua" w:hAnsi="Book Antiqua"/>
        </w:rPr>
        <w:t>Brustovetsky</w:t>
      </w:r>
      <w:proofErr w:type="spellEnd"/>
      <w:r>
        <w:rPr>
          <w:rFonts w:ascii="Book Antiqua" w:hAnsi="Book Antiqua"/>
        </w:rPr>
        <w:t xml:space="preserve"> N, </w:t>
      </w:r>
      <w:proofErr w:type="spellStart"/>
      <w:r>
        <w:rPr>
          <w:rFonts w:ascii="Book Antiqua" w:hAnsi="Book Antiqua"/>
        </w:rPr>
        <w:t>Srour</w:t>
      </w:r>
      <w:proofErr w:type="spellEnd"/>
      <w:r>
        <w:rPr>
          <w:rFonts w:ascii="Book Antiqua" w:hAnsi="Book Antiqua"/>
        </w:rPr>
        <w:t xml:space="preserve"> EF, Lee MR, Messina-Graham S, Haas DM, Falah N, </w:t>
      </w:r>
      <w:proofErr w:type="spellStart"/>
      <w:r>
        <w:rPr>
          <w:rFonts w:ascii="Book Antiqua" w:hAnsi="Book Antiqua"/>
        </w:rPr>
        <w:t>Kapur</w:t>
      </w:r>
      <w:proofErr w:type="spellEnd"/>
      <w:r>
        <w:rPr>
          <w:rFonts w:ascii="Book Antiqua" w:hAnsi="Book Antiqua"/>
        </w:rPr>
        <w:t xml:space="preserve"> R, </w:t>
      </w:r>
      <w:proofErr w:type="spellStart"/>
      <w:r>
        <w:rPr>
          <w:rFonts w:ascii="Book Antiqua" w:hAnsi="Book Antiqua"/>
        </w:rPr>
        <w:t>Pelus</w:t>
      </w:r>
      <w:proofErr w:type="spellEnd"/>
      <w:r>
        <w:rPr>
          <w:rFonts w:ascii="Book Antiqua" w:hAnsi="Book Antiqua"/>
        </w:rPr>
        <w:t xml:space="preserve"> LM, </w:t>
      </w:r>
      <w:proofErr w:type="spellStart"/>
      <w:r>
        <w:rPr>
          <w:rFonts w:ascii="Book Antiqua" w:hAnsi="Book Antiqua"/>
        </w:rPr>
        <w:t>Bardeesy</w:t>
      </w:r>
      <w:proofErr w:type="spellEnd"/>
      <w:r>
        <w:rPr>
          <w:rFonts w:ascii="Book Antiqua" w:hAnsi="Book Antiqua"/>
        </w:rPr>
        <w:t xml:space="preserve"> N, </w:t>
      </w:r>
      <w:proofErr w:type="spellStart"/>
      <w:r>
        <w:rPr>
          <w:rFonts w:ascii="Book Antiqua" w:hAnsi="Book Antiqua"/>
        </w:rPr>
        <w:t>Fitamant</w:t>
      </w:r>
      <w:proofErr w:type="spellEnd"/>
      <w:r>
        <w:rPr>
          <w:rFonts w:ascii="Book Antiqua" w:hAnsi="Book Antiqua"/>
        </w:rPr>
        <w:t xml:space="preserve"> J, Ivan M, Kim KS, </w:t>
      </w:r>
      <w:proofErr w:type="spellStart"/>
      <w:r>
        <w:rPr>
          <w:rFonts w:ascii="Book Antiqua" w:hAnsi="Book Antiqua"/>
        </w:rPr>
        <w:t>Broxmeyer</w:t>
      </w:r>
      <w:proofErr w:type="spellEnd"/>
      <w:r>
        <w:rPr>
          <w:rFonts w:ascii="Book Antiqua" w:hAnsi="Book Antiqua"/>
        </w:rPr>
        <w:t xml:space="preserve"> HE. Enhancing Hematopoietic Stem Cell Transplantation Efficacy by Mitigating Oxygen Shock. </w:t>
      </w:r>
      <w:r>
        <w:rPr>
          <w:rFonts w:ascii="Book Antiqua" w:hAnsi="Book Antiqua"/>
          <w:i/>
          <w:iCs/>
        </w:rPr>
        <w:t>Cell</w:t>
      </w:r>
      <w:r>
        <w:rPr>
          <w:rFonts w:ascii="Book Antiqua" w:hAnsi="Book Antiqua"/>
        </w:rPr>
        <w:t xml:space="preserve"> 2015; </w:t>
      </w:r>
      <w:r>
        <w:rPr>
          <w:rFonts w:ascii="Book Antiqua" w:hAnsi="Book Antiqua"/>
          <w:b/>
          <w:bCs/>
        </w:rPr>
        <w:t>161</w:t>
      </w:r>
      <w:r>
        <w:rPr>
          <w:rFonts w:ascii="Book Antiqua" w:hAnsi="Book Antiqua"/>
        </w:rPr>
        <w:t>: 1553-1565 [PMID: 26073944 DOI: 10.1016/j.cell.2015.04.054]</w:t>
      </w:r>
    </w:p>
    <w:p w14:paraId="0552B4CE"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Filippi</w:t>
      </w:r>
      <w:proofErr w:type="spellEnd"/>
      <w:r>
        <w:rPr>
          <w:rFonts w:ascii="Book Antiqua" w:hAnsi="Book Antiqua"/>
          <w:b/>
          <w:bCs/>
        </w:rPr>
        <w:t xml:space="preserve"> MD</w:t>
      </w:r>
      <w:r>
        <w:rPr>
          <w:rFonts w:ascii="Book Antiqua" w:hAnsi="Book Antiqua"/>
        </w:rPr>
        <w:t xml:space="preserve">, </w:t>
      </w:r>
      <w:proofErr w:type="spellStart"/>
      <w:r>
        <w:rPr>
          <w:rFonts w:ascii="Book Antiqua" w:hAnsi="Book Antiqua"/>
        </w:rPr>
        <w:t>Ghaffari</w:t>
      </w:r>
      <w:proofErr w:type="spellEnd"/>
      <w:r>
        <w:rPr>
          <w:rFonts w:ascii="Book Antiqua" w:hAnsi="Book Antiqua"/>
        </w:rPr>
        <w:t xml:space="preserve"> S. Mitochondria in the maintenance of hematopoietic stem cells: new perspectives and opportunities. </w:t>
      </w:r>
      <w:r>
        <w:rPr>
          <w:rFonts w:ascii="Book Antiqua" w:hAnsi="Book Antiqua"/>
          <w:i/>
          <w:iCs/>
        </w:rPr>
        <w:t>Blood</w:t>
      </w:r>
      <w:r>
        <w:rPr>
          <w:rFonts w:ascii="Book Antiqua" w:hAnsi="Book Antiqua"/>
        </w:rPr>
        <w:t xml:space="preserve"> 2019; </w:t>
      </w:r>
      <w:r>
        <w:rPr>
          <w:rFonts w:ascii="Book Antiqua" w:hAnsi="Book Antiqua"/>
          <w:b/>
          <w:bCs/>
        </w:rPr>
        <w:t>133</w:t>
      </w:r>
      <w:r>
        <w:rPr>
          <w:rFonts w:ascii="Book Antiqua" w:hAnsi="Book Antiqua"/>
        </w:rPr>
        <w:t>: 1943-1952 [PMID: 30808633 DOI: 10.1182/blood-2018-10-808873]</w:t>
      </w:r>
    </w:p>
    <w:p w14:paraId="50EF05F9"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30 </w:t>
      </w:r>
      <w:proofErr w:type="spellStart"/>
      <w:r>
        <w:rPr>
          <w:rFonts w:ascii="Book Antiqua" w:hAnsi="Book Antiqua"/>
          <w:b/>
          <w:bCs/>
        </w:rPr>
        <w:t>Vannini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Girotra</w:t>
      </w:r>
      <w:proofErr w:type="spellEnd"/>
      <w:r>
        <w:rPr>
          <w:rFonts w:ascii="Book Antiqua" w:hAnsi="Book Antiqua"/>
        </w:rPr>
        <w:t xml:space="preserve"> M, </w:t>
      </w:r>
      <w:proofErr w:type="spellStart"/>
      <w:r>
        <w:rPr>
          <w:rFonts w:ascii="Book Antiqua" w:hAnsi="Book Antiqua"/>
        </w:rPr>
        <w:t>Naveiras</w:t>
      </w:r>
      <w:proofErr w:type="spellEnd"/>
      <w:r>
        <w:rPr>
          <w:rFonts w:ascii="Book Antiqua" w:hAnsi="Book Antiqua"/>
        </w:rPr>
        <w:t xml:space="preserve"> O, </w:t>
      </w:r>
      <w:proofErr w:type="spellStart"/>
      <w:r>
        <w:rPr>
          <w:rFonts w:ascii="Book Antiqua" w:hAnsi="Book Antiqua"/>
        </w:rPr>
        <w:t>Nikitin</w:t>
      </w:r>
      <w:proofErr w:type="spellEnd"/>
      <w:r>
        <w:rPr>
          <w:rFonts w:ascii="Book Antiqua" w:hAnsi="Book Antiqua"/>
        </w:rPr>
        <w:t xml:space="preserve"> G, Campos V, Giger S, </w:t>
      </w:r>
      <w:proofErr w:type="spellStart"/>
      <w:r>
        <w:rPr>
          <w:rFonts w:ascii="Book Antiqua" w:hAnsi="Book Antiqua"/>
        </w:rPr>
        <w:t>Roch</w:t>
      </w:r>
      <w:proofErr w:type="spellEnd"/>
      <w:r>
        <w:rPr>
          <w:rFonts w:ascii="Book Antiqua" w:hAnsi="Book Antiqua"/>
        </w:rPr>
        <w:t xml:space="preserve"> A, </w:t>
      </w:r>
      <w:proofErr w:type="spellStart"/>
      <w:r>
        <w:rPr>
          <w:rFonts w:ascii="Book Antiqua" w:hAnsi="Book Antiqua"/>
        </w:rPr>
        <w:t>Auwerx</w:t>
      </w:r>
      <w:proofErr w:type="spellEnd"/>
      <w:r>
        <w:rPr>
          <w:rFonts w:ascii="Book Antiqua" w:hAnsi="Book Antiqua"/>
        </w:rPr>
        <w:t xml:space="preserve"> J, </w:t>
      </w:r>
      <w:proofErr w:type="spellStart"/>
      <w:r>
        <w:rPr>
          <w:rFonts w:ascii="Book Antiqua" w:hAnsi="Book Antiqua"/>
        </w:rPr>
        <w:t>Lutolf</w:t>
      </w:r>
      <w:proofErr w:type="spellEnd"/>
      <w:r>
        <w:rPr>
          <w:rFonts w:ascii="Book Antiqua" w:hAnsi="Book Antiqua"/>
        </w:rPr>
        <w:t xml:space="preserve"> MP. Specification of </w:t>
      </w:r>
      <w:proofErr w:type="spellStart"/>
      <w:r>
        <w:rPr>
          <w:rFonts w:ascii="Book Antiqua" w:hAnsi="Book Antiqua"/>
        </w:rPr>
        <w:t>haematopoietic</w:t>
      </w:r>
      <w:proofErr w:type="spellEnd"/>
      <w:r>
        <w:rPr>
          <w:rFonts w:ascii="Book Antiqua" w:hAnsi="Book Antiqua"/>
        </w:rPr>
        <w:t xml:space="preserve"> stem cell fate via modulation of mitochondrial activity. </w:t>
      </w:r>
      <w:r>
        <w:rPr>
          <w:rFonts w:ascii="Book Antiqua" w:hAnsi="Book Antiqua"/>
          <w:i/>
          <w:iCs/>
        </w:rPr>
        <w:t>Nat Commun</w:t>
      </w:r>
      <w:r>
        <w:rPr>
          <w:rFonts w:ascii="Book Antiqua" w:hAnsi="Book Antiqua"/>
        </w:rPr>
        <w:t xml:space="preserve"> 2016; </w:t>
      </w:r>
      <w:r>
        <w:rPr>
          <w:rFonts w:ascii="Book Antiqua" w:hAnsi="Book Antiqua"/>
          <w:b/>
          <w:bCs/>
        </w:rPr>
        <w:t>7</w:t>
      </w:r>
      <w:r>
        <w:rPr>
          <w:rFonts w:ascii="Book Antiqua" w:hAnsi="Book Antiqua"/>
        </w:rPr>
        <w:t>: 13125 [PMID: 27731316 DOI: 10.1038/ncomms13125]</w:t>
      </w:r>
    </w:p>
    <w:p w14:paraId="7CC4F1B4"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Ito K</w:t>
      </w:r>
      <w:r>
        <w:rPr>
          <w:rFonts w:ascii="Book Antiqua" w:hAnsi="Book Antiqua"/>
        </w:rPr>
        <w:t xml:space="preserve">, </w:t>
      </w:r>
      <w:proofErr w:type="spellStart"/>
      <w:r>
        <w:rPr>
          <w:rFonts w:ascii="Book Antiqua" w:hAnsi="Book Antiqua"/>
        </w:rPr>
        <w:t>Hirao</w:t>
      </w:r>
      <w:proofErr w:type="spellEnd"/>
      <w:r>
        <w:rPr>
          <w:rFonts w:ascii="Book Antiqua" w:hAnsi="Book Antiqua"/>
        </w:rPr>
        <w:t xml:space="preserve"> A, Arai F, Matsuoka S, </w:t>
      </w:r>
      <w:proofErr w:type="spellStart"/>
      <w:r>
        <w:rPr>
          <w:rFonts w:ascii="Book Antiqua" w:hAnsi="Book Antiqua"/>
        </w:rPr>
        <w:t>Takubo</w:t>
      </w:r>
      <w:proofErr w:type="spellEnd"/>
      <w:r>
        <w:rPr>
          <w:rFonts w:ascii="Book Antiqua" w:hAnsi="Book Antiqua"/>
        </w:rPr>
        <w:t xml:space="preserve"> K, Hamaguchi I, </w:t>
      </w:r>
      <w:proofErr w:type="spellStart"/>
      <w:r>
        <w:rPr>
          <w:rFonts w:ascii="Book Antiqua" w:hAnsi="Book Antiqua"/>
        </w:rPr>
        <w:t>Nomiyama</w:t>
      </w:r>
      <w:proofErr w:type="spellEnd"/>
      <w:r>
        <w:rPr>
          <w:rFonts w:ascii="Book Antiqua" w:hAnsi="Book Antiqua"/>
        </w:rPr>
        <w:t xml:space="preserve"> K, Hosokawa K, Sakurada K, </w:t>
      </w:r>
      <w:proofErr w:type="spellStart"/>
      <w:r>
        <w:rPr>
          <w:rFonts w:ascii="Book Antiqua" w:hAnsi="Book Antiqua"/>
        </w:rPr>
        <w:t>Nakagata</w:t>
      </w:r>
      <w:proofErr w:type="spellEnd"/>
      <w:r>
        <w:rPr>
          <w:rFonts w:ascii="Book Antiqua" w:hAnsi="Book Antiqua"/>
        </w:rPr>
        <w:t xml:space="preserve"> N, Ikeda Y, </w:t>
      </w:r>
      <w:proofErr w:type="spellStart"/>
      <w:r>
        <w:rPr>
          <w:rFonts w:ascii="Book Antiqua" w:hAnsi="Book Antiqua"/>
        </w:rPr>
        <w:t>Mak</w:t>
      </w:r>
      <w:proofErr w:type="spellEnd"/>
      <w:r>
        <w:rPr>
          <w:rFonts w:ascii="Book Antiqua" w:hAnsi="Book Antiqua"/>
        </w:rPr>
        <w:t xml:space="preserve"> TW, </w:t>
      </w:r>
      <w:proofErr w:type="spellStart"/>
      <w:r>
        <w:rPr>
          <w:rFonts w:ascii="Book Antiqua" w:hAnsi="Book Antiqua"/>
        </w:rPr>
        <w:t>Suda</w:t>
      </w:r>
      <w:proofErr w:type="spellEnd"/>
      <w:r>
        <w:rPr>
          <w:rFonts w:ascii="Book Antiqua" w:hAnsi="Book Antiqua"/>
        </w:rPr>
        <w:t xml:space="preserve"> T. Regulation of oxidative stress by ATM is required for self-renewal of </w:t>
      </w:r>
      <w:proofErr w:type="spellStart"/>
      <w:r>
        <w:rPr>
          <w:rFonts w:ascii="Book Antiqua" w:hAnsi="Book Antiqua"/>
        </w:rPr>
        <w:t>haematopoietic</w:t>
      </w:r>
      <w:proofErr w:type="spellEnd"/>
      <w:r>
        <w:rPr>
          <w:rFonts w:ascii="Book Antiqua" w:hAnsi="Book Antiqua"/>
        </w:rPr>
        <w:t xml:space="preserve"> stem cells. </w:t>
      </w:r>
      <w:r>
        <w:rPr>
          <w:rFonts w:ascii="Book Antiqua" w:hAnsi="Book Antiqua"/>
          <w:i/>
          <w:iCs/>
        </w:rPr>
        <w:t>Nature</w:t>
      </w:r>
      <w:r>
        <w:rPr>
          <w:rFonts w:ascii="Book Antiqua" w:hAnsi="Book Antiqua"/>
        </w:rPr>
        <w:t xml:space="preserve"> 2004; </w:t>
      </w:r>
      <w:r>
        <w:rPr>
          <w:rFonts w:ascii="Book Antiqua" w:hAnsi="Book Antiqua"/>
          <w:b/>
          <w:bCs/>
        </w:rPr>
        <w:t>431</w:t>
      </w:r>
      <w:r>
        <w:rPr>
          <w:rFonts w:ascii="Book Antiqua" w:hAnsi="Book Antiqua"/>
        </w:rPr>
        <w:t>: 997-1002 [PMID: 15496926 DOI: 10.1038/nature02989]</w:t>
      </w:r>
    </w:p>
    <w:p w14:paraId="2A7974D6"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Carroll D</w:t>
      </w:r>
      <w:r>
        <w:rPr>
          <w:rFonts w:ascii="Book Antiqua" w:hAnsi="Book Antiqua"/>
        </w:rPr>
        <w:t xml:space="preserve">, St Clair DK. Hematopoietic Stem Cells: Normal Versus Malignant. </w:t>
      </w:r>
      <w:proofErr w:type="spellStart"/>
      <w:r>
        <w:rPr>
          <w:rFonts w:ascii="Book Antiqua" w:hAnsi="Book Antiqua"/>
          <w:i/>
          <w:iCs/>
        </w:rPr>
        <w:t>Antioxid</w:t>
      </w:r>
      <w:proofErr w:type="spellEnd"/>
      <w:r>
        <w:rPr>
          <w:rFonts w:ascii="Book Antiqua" w:hAnsi="Book Antiqua"/>
          <w:i/>
          <w:iCs/>
        </w:rPr>
        <w:t xml:space="preserve"> Redox Signal</w:t>
      </w:r>
      <w:r>
        <w:rPr>
          <w:rFonts w:ascii="Book Antiqua" w:hAnsi="Book Antiqua"/>
        </w:rPr>
        <w:t xml:space="preserve"> 2018; </w:t>
      </w:r>
      <w:r>
        <w:rPr>
          <w:rFonts w:ascii="Book Antiqua" w:hAnsi="Book Antiqua"/>
          <w:b/>
          <w:bCs/>
        </w:rPr>
        <w:t>29</w:t>
      </w:r>
      <w:r>
        <w:rPr>
          <w:rFonts w:ascii="Book Antiqua" w:hAnsi="Book Antiqua"/>
        </w:rPr>
        <w:t>: 1612-1632 [PMID: 29084438 DOI: 10.1089/ars.2017.7326]</w:t>
      </w:r>
    </w:p>
    <w:p w14:paraId="1084058B"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Wilkinson AC</w:t>
      </w:r>
      <w:r>
        <w:rPr>
          <w:rFonts w:ascii="Book Antiqua" w:hAnsi="Book Antiqua"/>
        </w:rPr>
        <w:t xml:space="preserve">, Ishida R, Kikuchi M, </w:t>
      </w:r>
      <w:proofErr w:type="spellStart"/>
      <w:r>
        <w:rPr>
          <w:rFonts w:ascii="Book Antiqua" w:hAnsi="Book Antiqua"/>
        </w:rPr>
        <w:t>Sudo</w:t>
      </w:r>
      <w:proofErr w:type="spellEnd"/>
      <w:r>
        <w:rPr>
          <w:rFonts w:ascii="Book Antiqua" w:hAnsi="Book Antiqua"/>
        </w:rPr>
        <w:t xml:space="preserve"> K, Morita M, Crisostomo RV, Yamamoto R, </w:t>
      </w:r>
      <w:proofErr w:type="spellStart"/>
      <w:r>
        <w:rPr>
          <w:rFonts w:ascii="Book Antiqua" w:hAnsi="Book Antiqua"/>
        </w:rPr>
        <w:t>Loh</w:t>
      </w:r>
      <w:proofErr w:type="spellEnd"/>
      <w:r>
        <w:rPr>
          <w:rFonts w:ascii="Book Antiqua" w:hAnsi="Book Antiqua"/>
        </w:rPr>
        <w:t xml:space="preserve"> KM, Nakamura Y, Watanabe M, </w:t>
      </w:r>
      <w:proofErr w:type="spellStart"/>
      <w:r>
        <w:rPr>
          <w:rFonts w:ascii="Book Antiqua" w:hAnsi="Book Antiqua"/>
        </w:rPr>
        <w:t>Nakauchi</w:t>
      </w:r>
      <w:proofErr w:type="spellEnd"/>
      <w:r>
        <w:rPr>
          <w:rFonts w:ascii="Book Antiqua" w:hAnsi="Book Antiqua"/>
        </w:rPr>
        <w:t xml:space="preserve"> H, Yamazaki S. Long-term ex vivo </w:t>
      </w:r>
      <w:proofErr w:type="spellStart"/>
      <w:r>
        <w:rPr>
          <w:rFonts w:ascii="Book Antiqua" w:hAnsi="Book Antiqua"/>
        </w:rPr>
        <w:t>haematopoietic</w:t>
      </w:r>
      <w:proofErr w:type="spellEnd"/>
      <w:r>
        <w:rPr>
          <w:rFonts w:ascii="Book Antiqua" w:hAnsi="Book Antiqua"/>
        </w:rPr>
        <w:t xml:space="preserve">-stem-cell expansion allows nonconditioned transplantation. </w:t>
      </w:r>
      <w:r>
        <w:rPr>
          <w:rFonts w:ascii="Book Antiqua" w:hAnsi="Book Antiqua"/>
          <w:i/>
          <w:iCs/>
        </w:rPr>
        <w:t>Nature</w:t>
      </w:r>
      <w:r>
        <w:rPr>
          <w:rFonts w:ascii="Book Antiqua" w:hAnsi="Book Antiqua"/>
        </w:rPr>
        <w:t xml:space="preserve"> 2019; </w:t>
      </w:r>
      <w:r>
        <w:rPr>
          <w:rFonts w:ascii="Book Antiqua" w:hAnsi="Book Antiqua"/>
          <w:b/>
          <w:bCs/>
        </w:rPr>
        <w:t>571</w:t>
      </w:r>
      <w:r>
        <w:rPr>
          <w:rFonts w:ascii="Book Antiqua" w:hAnsi="Book Antiqua"/>
        </w:rPr>
        <w:t>: 117-121 [PMID: 31142833 DOI: 10.1038/s41586-019-1244-x]</w:t>
      </w:r>
    </w:p>
    <w:p w14:paraId="33D56A22"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Felker S</w:t>
      </w:r>
      <w:r>
        <w:rPr>
          <w:rFonts w:ascii="Book Antiqua" w:hAnsi="Book Antiqua"/>
        </w:rPr>
        <w:t xml:space="preserve">, Shrestha A, Bailey J, </w:t>
      </w:r>
      <w:proofErr w:type="spellStart"/>
      <w:r>
        <w:rPr>
          <w:rFonts w:ascii="Book Antiqua" w:hAnsi="Book Antiqua"/>
        </w:rPr>
        <w:t>Pillis</w:t>
      </w:r>
      <w:proofErr w:type="spellEnd"/>
      <w:r>
        <w:rPr>
          <w:rFonts w:ascii="Book Antiqua" w:hAnsi="Book Antiqua"/>
        </w:rPr>
        <w:t xml:space="preserve"> DM, </w:t>
      </w:r>
      <w:proofErr w:type="spellStart"/>
      <w:r>
        <w:rPr>
          <w:rFonts w:ascii="Book Antiqua" w:hAnsi="Book Antiqua"/>
        </w:rPr>
        <w:t>Siniard</w:t>
      </w:r>
      <w:proofErr w:type="spellEnd"/>
      <w:r>
        <w:rPr>
          <w:rFonts w:ascii="Book Antiqua" w:hAnsi="Book Antiqua"/>
        </w:rPr>
        <w:t xml:space="preserve"> D, Malik P. Differential CXCR4 expression on hematopoietic progenitor cells versus stem cells directs homing and engraftment. </w:t>
      </w:r>
      <w:r>
        <w:rPr>
          <w:rFonts w:ascii="Book Antiqua" w:hAnsi="Book Antiqua"/>
          <w:i/>
          <w:iCs/>
        </w:rPr>
        <w:t>JCI Insight</w:t>
      </w:r>
      <w:r>
        <w:rPr>
          <w:rFonts w:ascii="Book Antiqua" w:hAnsi="Book Antiqua"/>
        </w:rPr>
        <w:t xml:space="preserve"> 2022; </w:t>
      </w:r>
      <w:r>
        <w:rPr>
          <w:rFonts w:ascii="Book Antiqua" w:hAnsi="Book Antiqua"/>
          <w:b/>
          <w:bCs/>
        </w:rPr>
        <w:t>7</w:t>
      </w:r>
      <w:r>
        <w:rPr>
          <w:rFonts w:ascii="Book Antiqua" w:hAnsi="Book Antiqua"/>
        </w:rPr>
        <w:t xml:space="preserve"> [PMID: 35531956 DOI: 10.1172/jci.insight.151847]</w:t>
      </w:r>
    </w:p>
    <w:p w14:paraId="1D555C84"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Calloni</w:t>
      </w:r>
      <w:proofErr w:type="spellEnd"/>
      <w:r>
        <w:rPr>
          <w:rFonts w:ascii="Book Antiqua" w:hAnsi="Book Antiqua"/>
          <w:b/>
          <w:bCs/>
        </w:rPr>
        <w:t xml:space="preserve"> R</w:t>
      </w:r>
      <w:r>
        <w:rPr>
          <w:rFonts w:ascii="Book Antiqua" w:hAnsi="Book Antiqua"/>
        </w:rPr>
        <w:t xml:space="preserve">, Cordero EA, Henriques JA, </w:t>
      </w:r>
      <w:proofErr w:type="spellStart"/>
      <w:r>
        <w:rPr>
          <w:rFonts w:ascii="Book Antiqua" w:hAnsi="Book Antiqua"/>
        </w:rPr>
        <w:t>Bonatto</w:t>
      </w:r>
      <w:proofErr w:type="spellEnd"/>
      <w:r>
        <w:rPr>
          <w:rFonts w:ascii="Book Antiqua" w:hAnsi="Book Antiqua"/>
        </w:rPr>
        <w:t xml:space="preserve"> D. Reviewing and updating the major molecular markers for stem cells. </w:t>
      </w:r>
      <w:r>
        <w:rPr>
          <w:rFonts w:ascii="Book Antiqua" w:hAnsi="Book Antiqua"/>
          <w:i/>
          <w:iCs/>
        </w:rPr>
        <w:t>Stem Cells Dev</w:t>
      </w:r>
      <w:r>
        <w:rPr>
          <w:rFonts w:ascii="Book Antiqua" w:hAnsi="Book Antiqua"/>
        </w:rPr>
        <w:t xml:space="preserve"> 2013; </w:t>
      </w:r>
      <w:r>
        <w:rPr>
          <w:rFonts w:ascii="Book Antiqua" w:hAnsi="Book Antiqua"/>
          <w:b/>
          <w:bCs/>
        </w:rPr>
        <w:t>22</w:t>
      </w:r>
      <w:r>
        <w:rPr>
          <w:rFonts w:ascii="Book Antiqua" w:hAnsi="Book Antiqua"/>
        </w:rPr>
        <w:t>: 1455-1476 [PMID: 23336433 DOI: 10.1089/scd.2012.0637]</w:t>
      </w:r>
    </w:p>
    <w:p w14:paraId="6ECAF656"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Zhang QS</w:t>
      </w:r>
      <w:r>
        <w:rPr>
          <w:rFonts w:ascii="Book Antiqua" w:hAnsi="Book Antiqua"/>
        </w:rPr>
        <w:t xml:space="preserve">, </w:t>
      </w:r>
      <w:proofErr w:type="spellStart"/>
      <w:r>
        <w:rPr>
          <w:rFonts w:ascii="Book Antiqua" w:hAnsi="Book Antiqua"/>
        </w:rPr>
        <w:t>Deater</w:t>
      </w:r>
      <w:proofErr w:type="spellEnd"/>
      <w:r>
        <w:rPr>
          <w:rFonts w:ascii="Book Antiqua" w:hAnsi="Book Antiqua"/>
        </w:rPr>
        <w:t xml:space="preserve"> M, Schubert K, Marquez-</w:t>
      </w:r>
      <w:proofErr w:type="spellStart"/>
      <w:r>
        <w:rPr>
          <w:rFonts w:ascii="Book Antiqua" w:hAnsi="Book Antiqua"/>
        </w:rPr>
        <w:t>Loza</w:t>
      </w:r>
      <w:proofErr w:type="spellEnd"/>
      <w:r>
        <w:rPr>
          <w:rFonts w:ascii="Book Antiqua" w:hAnsi="Book Antiqua"/>
        </w:rPr>
        <w:t xml:space="preserve"> L, </w:t>
      </w:r>
      <w:proofErr w:type="spellStart"/>
      <w:r>
        <w:rPr>
          <w:rFonts w:ascii="Book Antiqua" w:hAnsi="Book Antiqua"/>
        </w:rPr>
        <w:t>Pelz</w:t>
      </w:r>
      <w:proofErr w:type="spellEnd"/>
      <w:r>
        <w:rPr>
          <w:rFonts w:ascii="Book Antiqua" w:hAnsi="Book Antiqua"/>
        </w:rPr>
        <w:t xml:space="preserve"> C, Sinclair DA, </w:t>
      </w:r>
      <w:proofErr w:type="spellStart"/>
      <w:r>
        <w:rPr>
          <w:rFonts w:ascii="Book Antiqua" w:hAnsi="Book Antiqua"/>
        </w:rPr>
        <w:t>Grompe</w:t>
      </w:r>
      <w:proofErr w:type="spellEnd"/>
      <w:r>
        <w:rPr>
          <w:rFonts w:ascii="Book Antiqua" w:hAnsi="Book Antiqua"/>
        </w:rPr>
        <w:t xml:space="preserve"> M. The Sirt1 activator SRT3025 expands hematopoietic stem and progenitor cells and improves hematopoiesis in Fanconi anemia mice. </w:t>
      </w:r>
      <w:r>
        <w:rPr>
          <w:rFonts w:ascii="Book Antiqua" w:hAnsi="Book Antiqua"/>
          <w:i/>
          <w:iCs/>
        </w:rPr>
        <w:t>Stem Cell Res</w:t>
      </w:r>
      <w:r>
        <w:rPr>
          <w:rFonts w:ascii="Book Antiqua" w:hAnsi="Book Antiqua"/>
        </w:rPr>
        <w:t xml:space="preserve"> 2015; </w:t>
      </w:r>
      <w:r>
        <w:rPr>
          <w:rFonts w:ascii="Book Antiqua" w:hAnsi="Book Antiqua"/>
          <w:b/>
          <w:bCs/>
        </w:rPr>
        <w:t>15</w:t>
      </w:r>
      <w:r>
        <w:rPr>
          <w:rFonts w:ascii="Book Antiqua" w:hAnsi="Book Antiqua"/>
        </w:rPr>
        <w:t>: 130-140 [PMID: 26046330 DOI: 10.1016/j.scr.2015.05.007]</w:t>
      </w:r>
    </w:p>
    <w:p w14:paraId="7B593EE5"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Henry E</w:t>
      </w:r>
      <w:r>
        <w:rPr>
          <w:rFonts w:ascii="Book Antiqua" w:hAnsi="Book Antiqua"/>
        </w:rPr>
        <w:t xml:space="preserve">, </w:t>
      </w:r>
      <w:proofErr w:type="spellStart"/>
      <w:r>
        <w:rPr>
          <w:rFonts w:ascii="Book Antiqua" w:hAnsi="Book Antiqua"/>
        </w:rPr>
        <w:t>Picou</w:t>
      </w:r>
      <w:proofErr w:type="spellEnd"/>
      <w:r>
        <w:rPr>
          <w:rFonts w:ascii="Book Antiqua" w:hAnsi="Book Antiqua"/>
        </w:rPr>
        <w:t xml:space="preserve"> F, </w:t>
      </w:r>
      <w:proofErr w:type="spellStart"/>
      <w:r>
        <w:rPr>
          <w:rFonts w:ascii="Book Antiqua" w:hAnsi="Book Antiqua"/>
        </w:rPr>
        <w:t>Barroca</w:t>
      </w:r>
      <w:proofErr w:type="spellEnd"/>
      <w:r>
        <w:rPr>
          <w:rFonts w:ascii="Book Antiqua" w:hAnsi="Book Antiqua"/>
        </w:rPr>
        <w:t xml:space="preserve"> V, </w:t>
      </w:r>
      <w:proofErr w:type="spellStart"/>
      <w:r>
        <w:rPr>
          <w:rFonts w:ascii="Book Antiqua" w:hAnsi="Book Antiqua"/>
        </w:rPr>
        <w:t>Dechamps</w:t>
      </w:r>
      <w:proofErr w:type="spellEnd"/>
      <w:r>
        <w:rPr>
          <w:rFonts w:ascii="Book Antiqua" w:hAnsi="Book Antiqua"/>
        </w:rPr>
        <w:t xml:space="preserve"> N, </w:t>
      </w:r>
      <w:proofErr w:type="spellStart"/>
      <w:r>
        <w:rPr>
          <w:rFonts w:ascii="Book Antiqua" w:hAnsi="Book Antiqua"/>
        </w:rPr>
        <w:t>Sobrino</w:t>
      </w:r>
      <w:proofErr w:type="spellEnd"/>
      <w:r>
        <w:rPr>
          <w:rFonts w:ascii="Book Antiqua" w:hAnsi="Book Antiqua"/>
        </w:rPr>
        <w:t xml:space="preserve"> S, Six E, </w:t>
      </w:r>
      <w:proofErr w:type="spellStart"/>
      <w:r>
        <w:rPr>
          <w:rFonts w:ascii="Book Antiqua" w:hAnsi="Book Antiqua"/>
        </w:rPr>
        <w:t>Gobeaux</w:t>
      </w:r>
      <w:proofErr w:type="spellEnd"/>
      <w:r>
        <w:rPr>
          <w:rFonts w:ascii="Book Antiqua" w:hAnsi="Book Antiqua"/>
        </w:rPr>
        <w:t xml:space="preserve"> C, </w:t>
      </w:r>
      <w:proofErr w:type="spellStart"/>
      <w:r>
        <w:rPr>
          <w:rFonts w:ascii="Book Antiqua" w:hAnsi="Book Antiqua"/>
        </w:rPr>
        <w:t>Auberger</w:t>
      </w:r>
      <w:proofErr w:type="spellEnd"/>
      <w:r>
        <w:rPr>
          <w:rFonts w:ascii="Book Antiqua" w:hAnsi="Book Antiqua"/>
        </w:rPr>
        <w:t xml:space="preserve"> P, </w:t>
      </w:r>
      <w:proofErr w:type="spellStart"/>
      <w:r>
        <w:rPr>
          <w:rFonts w:ascii="Book Antiqua" w:hAnsi="Book Antiqua"/>
        </w:rPr>
        <w:t>Hérault</w:t>
      </w:r>
      <w:proofErr w:type="spellEnd"/>
      <w:r>
        <w:rPr>
          <w:rFonts w:ascii="Book Antiqua" w:hAnsi="Book Antiqua"/>
        </w:rPr>
        <w:t xml:space="preserve"> O, </w:t>
      </w:r>
      <w:proofErr w:type="spellStart"/>
      <w:r>
        <w:rPr>
          <w:rFonts w:ascii="Book Antiqua" w:hAnsi="Book Antiqua"/>
        </w:rPr>
        <w:t>Pflumio</w:t>
      </w:r>
      <w:proofErr w:type="spellEnd"/>
      <w:r>
        <w:rPr>
          <w:rFonts w:ascii="Book Antiqua" w:hAnsi="Book Antiqua"/>
        </w:rPr>
        <w:t xml:space="preserve"> F, </w:t>
      </w:r>
      <w:proofErr w:type="spellStart"/>
      <w:r>
        <w:rPr>
          <w:rFonts w:ascii="Book Antiqua" w:hAnsi="Book Antiqua"/>
        </w:rPr>
        <w:t>Arcangeli</w:t>
      </w:r>
      <w:proofErr w:type="spellEnd"/>
      <w:r>
        <w:rPr>
          <w:rFonts w:ascii="Book Antiqua" w:hAnsi="Book Antiqua"/>
        </w:rPr>
        <w:t xml:space="preserve"> ML. The Antioxidant TEMPOL Protects Human Hematopoietic Stem Cells </w:t>
      </w:r>
      <w:proofErr w:type="gramStart"/>
      <w:r>
        <w:rPr>
          <w:rFonts w:ascii="Book Antiqua" w:hAnsi="Book Antiqua"/>
        </w:rPr>
        <w:t>From</w:t>
      </w:r>
      <w:proofErr w:type="gramEnd"/>
      <w:r>
        <w:rPr>
          <w:rFonts w:ascii="Book Antiqua" w:hAnsi="Book Antiqua"/>
        </w:rPr>
        <w:t xml:space="preserve"> Culture-Mediated Loss of Functions. </w:t>
      </w:r>
      <w:r>
        <w:rPr>
          <w:rFonts w:ascii="Book Antiqua" w:hAnsi="Book Antiqua"/>
          <w:i/>
          <w:iCs/>
        </w:rPr>
        <w:t xml:space="preserve">Stem Cells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2023; </w:t>
      </w:r>
      <w:r>
        <w:rPr>
          <w:rFonts w:ascii="Book Antiqua" w:hAnsi="Book Antiqua"/>
          <w:b/>
          <w:bCs/>
        </w:rPr>
        <w:t>12</w:t>
      </w:r>
      <w:r>
        <w:rPr>
          <w:rFonts w:ascii="Book Antiqua" w:hAnsi="Book Antiqua"/>
        </w:rPr>
        <w:t>: 676-688 [PMID: 37616262 DOI: 10.1093/</w:t>
      </w:r>
      <w:proofErr w:type="spellStart"/>
      <w:r>
        <w:rPr>
          <w:rFonts w:ascii="Book Antiqua" w:hAnsi="Book Antiqua"/>
        </w:rPr>
        <w:t>stcltm</w:t>
      </w:r>
      <w:proofErr w:type="spellEnd"/>
      <w:r>
        <w:rPr>
          <w:rFonts w:ascii="Book Antiqua" w:hAnsi="Book Antiqua"/>
        </w:rPr>
        <w:t>/szad049]</w:t>
      </w:r>
    </w:p>
    <w:p w14:paraId="29CEC88F"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38 </w:t>
      </w:r>
      <w:proofErr w:type="spellStart"/>
      <w:r>
        <w:rPr>
          <w:rFonts w:ascii="Book Antiqua" w:hAnsi="Book Antiqua"/>
          <w:b/>
          <w:bCs/>
        </w:rPr>
        <w:t>Wielockx</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Grinenko</w:t>
      </w:r>
      <w:proofErr w:type="spellEnd"/>
      <w:r>
        <w:rPr>
          <w:rFonts w:ascii="Book Antiqua" w:hAnsi="Book Antiqua"/>
        </w:rPr>
        <w:t xml:space="preserve"> T, </w:t>
      </w:r>
      <w:proofErr w:type="spellStart"/>
      <w:r>
        <w:rPr>
          <w:rFonts w:ascii="Book Antiqua" w:hAnsi="Book Antiqua"/>
        </w:rPr>
        <w:t>Mirtschink</w:t>
      </w:r>
      <w:proofErr w:type="spellEnd"/>
      <w:r>
        <w:rPr>
          <w:rFonts w:ascii="Book Antiqua" w:hAnsi="Book Antiqua"/>
        </w:rPr>
        <w:t xml:space="preserve"> P, </w:t>
      </w:r>
      <w:proofErr w:type="spellStart"/>
      <w:r>
        <w:rPr>
          <w:rFonts w:ascii="Book Antiqua" w:hAnsi="Book Antiqua"/>
        </w:rPr>
        <w:t>Chavakis</w:t>
      </w:r>
      <w:proofErr w:type="spellEnd"/>
      <w:r>
        <w:rPr>
          <w:rFonts w:ascii="Book Antiqua" w:hAnsi="Book Antiqua"/>
        </w:rPr>
        <w:t xml:space="preserve"> T. Hypoxia Pathway Proteins in Normal and Malignant Hematopoiesis.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30781787 DOI: 10.3390/cells8020155]</w:t>
      </w:r>
    </w:p>
    <w:p w14:paraId="7CF0E90B"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Ratajczak</w:t>
      </w:r>
      <w:proofErr w:type="spellEnd"/>
      <w:r>
        <w:rPr>
          <w:rFonts w:ascii="Book Antiqua" w:hAnsi="Book Antiqua"/>
          <w:b/>
          <w:bCs/>
        </w:rPr>
        <w:t xml:space="preserve"> MZ</w:t>
      </w:r>
      <w:r>
        <w:rPr>
          <w:rFonts w:ascii="Book Antiqua" w:hAnsi="Book Antiqua"/>
        </w:rPr>
        <w:t xml:space="preserve">, </w:t>
      </w:r>
      <w:proofErr w:type="spellStart"/>
      <w:r>
        <w:rPr>
          <w:rFonts w:ascii="Book Antiqua" w:hAnsi="Book Antiqua"/>
        </w:rPr>
        <w:t>Suszynska</w:t>
      </w:r>
      <w:proofErr w:type="spellEnd"/>
      <w:r>
        <w:rPr>
          <w:rFonts w:ascii="Book Antiqua" w:hAnsi="Book Antiqua"/>
        </w:rPr>
        <w:t xml:space="preserve"> M. Emerging Strategies to Enhance Homing and Engraftment of Hematopoietic Stem Cells. </w:t>
      </w:r>
      <w:r>
        <w:rPr>
          <w:rFonts w:ascii="Book Antiqua" w:hAnsi="Book Antiqua"/>
          <w:i/>
          <w:iCs/>
        </w:rPr>
        <w:t>Stem Cell Rev Rep</w:t>
      </w:r>
      <w:r>
        <w:rPr>
          <w:rFonts w:ascii="Book Antiqua" w:hAnsi="Book Antiqua"/>
        </w:rPr>
        <w:t xml:space="preserve"> 2016; </w:t>
      </w:r>
      <w:r>
        <w:rPr>
          <w:rFonts w:ascii="Book Antiqua" w:hAnsi="Book Antiqua"/>
          <w:b/>
          <w:bCs/>
        </w:rPr>
        <w:t>12</w:t>
      </w:r>
      <w:r>
        <w:rPr>
          <w:rFonts w:ascii="Book Antiqua" w:hAnsi="Book Antiqua"/>
        </w:rPr>
        <w:t>: 121-128 [PMID: 26400757 DOI: 10.1007/s12015-015-9625-5]</w:t>
      </w:r>
    </w:p>
    <w:p w14:paraId="412935B2"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Branco A</w:t>
      </w:r>
      <w:r>
        <w:rPr>
          <w:rFonts w:ascii="Book Antiqua" w:hAnsi="Book Antiqua"/>
        </w:rPr>
        <w:t xml:space="preserve">, </w:t>
      </w:r>
      <w:proofErr w:type="spellStart"/>
      <w:r>
        <w:rPr>
          <w:rFonts w:ascii="Book Antiqua" w:hAnsi="Book Antiqua"/>
        </w:rPr>
        <w:t>Bucar</w:t>
      </w:r>
      <w:proofErr w:type="spellEnd"/>
      <w:r>
        <w:rPr>
          <w:rFonts w:ascii="Book Antiqua" w:hAnsi="Book Antiqua"/>
        </w:rPr>
        <w:t xml:space="preserve"> S, Moura-Sampaio J, </w:t>
      </w:r>
      <w:proofErr w:type="spellStart"/>
      <w:r>
        <w:rPr>
          <w:rFonts w:ascii="Book Antiqua" w:hAnsi="Book Antiqua"/>
        </w:rPr>
        <w:t>Lilaia</w:t>
      </w:r>
      <w:proofErr w:type="spellEnd"/>
      <w:r>
        <w:rPr>
          <w:rFonts w:ascii="Book Antiqua" w:hAnsi="Book Antiqua"/>
        </w:rPr>
        <w:t xml:space="preserve"> C, Cabral JMS, Fernandes-</w:t>
      </w:r>
      <w:proofErr w:type="spellStart"/>
      <w:r>
        <w:rPr>
          <w:rFonts w:ascii="Book Antiqua" w:hAnsi="Book Antiqua"/>
        </w:rPr>
        <w:t>Platzgummer</w:t>
      </w:r>
      <w:proofErr w:type="spellEnd"/>
      <w:r>
        <w:rPr>
          <w:rFonts w:ascii="Book Antiqua" w:hAnsi="Book Antiqua"/>
        </w:rPr>
        <w:t xml:space="preserve"> A, Lobato da Silva C. Tailored Cytokine Optimization for ex vivo Culture Platforms Targeting the Expansion of Human Hematopoietic Stem/Progenitor Cells. </w:t>
      </w:r>
      <w:r>
        <w:rPr>
          <w:rFonts w:ascii="Book Antiqua" w:hAnsi="Book Antiqua"/>
          <w:i/>
          <w:iCs/>
        </w:rPr>
        <w:t xml:space="preserve">Front </w:t>
      </w:r>
      <w:proofErr w:type="spellStart"/>
      <w:r>
        <w:rPr>
          <w:rFonts w:ascii="Book Antiqua" w:hAnsi="Book Antiqua"/>
          <w:i/>
          <w:iCs/>
        </w:rPr>
        <w:t>Bioeng</w:t>
      </w:r>
      <w:proofErr w:type="spellEnd"/>
      <w:r>
        <w:rPr>
          <w:rFonts w:ascii="Book Antiqua" w:hAnsi="Book Antiqua"/>
          <w:i/>
          <w:iCs/>
        </w:rPr>
        <w:t xml:space="preserve"> </w:t>
      </w:r>
      <w:proofErr w:type="spellStart"/>
      <w:r>
        <w:rPr>
          <w:rFonts w:ascii="Book Antiqua" w:hAnsi="Book Antiqua"/>
          <w:i/>
          <w:iCs/>
        </w:rPr>
        <w:t>Biotechnol</w:t>
      </w:r>
      <w:proofErr w:type="spellEnd"/>
      <w:r>
        <w:rPr>
          <w:rFonts w:ascii="Book Antiqua" w:hAnsi="Book Antiqua"/>
        </w:rPr>
        <w:t xml:space="preserve"> 2020; </w:t>
      </w:r>
      <w:r>
        <w:rPr>
          <w:rFonts w:ascii="Book Antiqua" w:hAnsi="Book Antiqua"/>
          <w:b/>
          <w:bCs/>
        </w:rPr>
        <w:t>8</w:t>
      </w:r>
      <w:r>
        <w:rPr>
          <w:rFonts w:ascii="Book Antiqua" w:hAnsi="Book Antiqua"/>
        </w:rPr>
        <w:t>: 573282 [PMID: 33330414 DOI: 10.3389/fbioe.2020.573282]</w:t>
      </w:r>
    </w:p>
    <w:p w14:paraId="64FDBA50"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Danet</w:t>
      </w:r>
      <w:proofErr w:type="spellEnd"/>
      <w:r>
        <w:rPr>
          <w:rFonts w:ascii="Book Antiqua" w:hAnsi="Book Antiqua"/>
          <w:b/>
          <w:bCs/>
        </w:rPr>
        <w:t xml:space="preserve"> GH</w:t>
      </w:r>
      <w:r>
        <w:rPr>
          <w:rFonts w:ascii="Book Antiqua" w:hAnsi="Book Antiqua"/>
        </w:rPr>
        <w:t xml:space="preserve">, Lee HW, </w:t>
      </w:r>
      <w:proofErr w:type="spellStart"/>
      <w:r>
        <w:rPr>
          <w:rFonts w:ascii="Book Antiqua" w:hAnsi="Book Antiqua"/>
        </w:rPr>
        <w:t>Luongo</w:t>
      </w:r>
      <w:proofErr w:type="spellEnd"/>
      <w:r>
        <w:rPr>
          <w:rFonts w:ascii="Book Antiqua" w:hAnsi="Book Antiqua"/>
        </w:rPr>
        <w:t xml:space="preserve"> JL, Simon MC, Bonnet DA. Dissociation between stem cell phenotype and NOD/SCID repopulating activity in human peripheral blood CD34(+) cells after ex vivo expansion. </w:t>
      </w:r>
      <w:r>
        <w:rPr>
          <w:rFonts w:ascii="Book Antiqua" w:hAnsi="Book Antiqua"/>
          <w:i/>
          <w:iCs/>
        </w:rPr>
        <w:t xml:space="preserve">Exp </w:t>
      </w:r>
      <w:proofErr w:type="spellStart"/>
      <w:r>
        <w:rPr>
          <w:rFonts w:ascii="Book Antiqua" w:hAnsi="Book Antiqua"/>
          <w:i/>
          <w:iCs/>
        </w:rPr>
        <w:t>Hematol</w:t>
      </w:r>
      <w:proofErr w:type="spellEnd"/>
      <w:r>
        <w:rPr>
          <w:rFonts w:ascii="Book Antiqua" w:hAnsi="Book Antiqua"/>
        </w:rPr>
        <w:t xml:space="preserve"> 2001; </w:t>
      </w:r>
      <w:r>
        <w:rPr>
          <w:rFonts w:ascii="Book Antiqua" w:hAnsi="Book Antiqua"/>
          <w:b/>
          <w:bCs/>
        </w:rPr>
        <w:t>29</w:t>
      </w:r>
      <w:r>
        <w:rPr>
          <w:rFonts w:ascii="Book Antiqua" w:hAnsi="Book Antiqua"/>
        </w:rPr>
        <w:t>: 1465-1473 [PMID: 11750106 DOI: 10.1016/s0301-472</w:t>
      </w:r>
      <w:proofErr w:type="gramStart"/>
      <w:r>
        <w:rPr>
          <w:rFonts w:ascii="Book Antiqua" w:hAnsi="Book Antiqua"/>
        </w:rPr>
        <w:t>x(</w:t>
      </w:r>
      <w:proofErr w:type="gramEnd"/>
      <w:r>
        <w:rPr>
          <w:rFonts w:ascii="Book Antiqua" w:hAnsi="Book Antiqua"/>
        </w:rPr>
        <w:t>01)00750-0]</w:t>
      </w:r>
    </w:p>
    <w:p w14:paraId="74E1884B"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Dorrell C</w:t>
      </w:r>
      <w:r>
        <w:rPr>
          <w:rFonts w:ascii="Book Antiqua" w:hAnsi="Book Antiqua"/>
        </w:rPr>
        <w:t>, Gan OI, Pereira DS, Hawley RG, Dick JE. Expansion of human cord blood CD34(</w:t>
      </w:r>
      <w:proofErr w:type="gramStart"/>
      <w:r>
        <w:rPr>
          <w:rFonts w:ascii="Book Antiqua" w:hAnsi="Book Antiqua"/>
        </w:rPr>
        <w:t>+)CD</w:t>
      </w:r>
      <w:proofErr w:type="gramEnd"/>
      <w:r>
        <w:rPr>
          <w:rFonts w:ascii="Book Antiqua" w:hAnsi="Book Antiqua"/>
        </w:rPr>
        <w:t xml:space="preserve">38(-) cells in ex vivo culture during retroviral transduction without a corresponding increase in SCID repopulating cell (SRC) frequency: dissociation of SRC phenotype and function. </w:t>
      </w:r>
      <w:r>
        <w:rPr>
          <w:rFonts w:ascii="Book Antiqua" w:hAnsi="Book Antiqua"/>
          <w:i/>
          <w:iCs/>
        </w:rPr>
        <w:t>Blood</w:t>
      </w:r>
      <w:r>
        <w:rPr>
          <w:rFonts w:ascii="Book Antiqua" w:hAnsi="Book Antiqua"/>
        </w:rPr>
        <w:t xml:space="preserve"> 2000; </w:t>
      </w:r>
      <w:r>
        <w:rPr>
          <w:rFonts w:ascii="Book Antiqua" w:hAnsi="Book Antiqua"/>
          <w:b/>
          <w:bCs/>
        </w:rPr>
        <w:t>95</w:t>
      </w:r>
      <w:r>
        <w:rPr>
          <w:rFonts w:ascii="Book Antiqua" w:hAnsi="Book Antiqua"/>
        </w:rPr>
        <w:t>: 102-110 [PMID: 10607692]</w:t>
      </w:r>
    </w:p>
    <w:p w14:paraId="0B36A168"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Ratajczak</w:t>
      </w:r>
      <w:proofErr w:type="spellEnd"/>
      <w:r>
        <w:rPr>
          <w:rFonts w:ascii="Book Antiqua" w:hAnsi="Book Antiqua"/>
          <w:b/>
          <w:bCs/>
        </w:rPr>
        <w:t xml:space="preserve"> MZ</w:t>
      </w:r>
      <w:r>
        <w:rPr>
          <w:rFonts w:ascii="Book Antiqua" w:hAnsi="Book Antiqua"/>
        </w:rPr>
        <w:t xml:space="preserve">. Phenotypic and functional characterization of hematopoietic stem cells.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w:t>
      </w:r>
      <w:proofErr w:type="spellStart"/>
      <w:r>
        <w:rPr>
          <w:rFonts w:ascii="Book Antiqua" w:hAnsi="Book Antiqua"/>
          <w:i/>
          <w:iCs/>
        </w:rPr>
        <w:t>Hematol</w:t>
      </w:r>
      <w:proofErr w:type="spellEnd"/>
      <w:r>
        <w:rPr>
          <w:rFonts w:ascii="Book Antiqua" w:hAnsi="Book Antiqua"/>
        </w:rPr>
        <w:t xml:space="preserve"> 2008; </w:t>
      </w:r>
      <w:r>
        <w:rPr>
          <w:rFonts w:ascii="Book Antiqua" w:hAnsi="Book Antiqua"/>
          <w:b/>
          <w:bCs/>
        </w:rPr>
        <w:t>15</w:t>
      </w:r>
      <w:r>
        <w:rPr>
          <w:rFonts w:ascii="Book Antiqua" w:hAnsi="Book Antiqua"/>
        </w:rPr>
        <w:t>: 293-300 [PMID: 18536565 DOI: 10.1097/MOH.0b013e328302c7ca]</w:t>
      </w:r>
    </w:p>
    <w:p w14:paraId="49DAC582"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Grahn</w:t>
      </w:r>
      <w:proofErr w:type="spellEnd"/>
      <w:r>
        <w:rPr>
          <w:rFonts w:ascii="Book Antiqua" w:hAnsi="Book Antiqua"/>
          <w:b/>
          <w:bCs/>
        </w:rPr>
        <w:t xml:space="preserve"> THM</w:t>
      </w:r>
      <w:r>
        <w:rPr>
          <w:rFonts w:ascii="Book Antiqua" w:hAnsi="Book Antiqua"/>
        </w:rPr>
        <w:t xml:space="preserve">, </w:t>
      </w:r>
      <w:proofErr w:type="spellStart"/>
      <w:r>
        <w:rPr>
          <w:rFonts w:ascii="Book Antiqua" w:hAnsi="Book Antiqua"/>
        </w:rPr>
        <w:t>Niroula</w:t>
      </w:r>
      <w:proofErr w:type="spellEnd"/>
      <w:r>
        <w:rPr>
          <w:rFonts w:ascii="Book Antiqua" w:hAnsi="Book Antiqua"/>
        </w:rPr>
        <w:t xml:space="preserve"> A, </w:t>
      </w:r>
      <w:proofErr w:type="spellStart"/>
      <w:r>
        <w:rPr>
          <w:rFonts w:ascii="Book Antiqua" w:hAnsi="Book Antiqua"/>
        </w:rPr>
        <w:t>Végvári</w:t>
      </w:r>
      <w:proofErr w:type="spellEnd"/>
      <w:r>
        <w:rPr>
          <w:rFonts w:ascii="Book Antiqua" w:hAnsi="Book Antiqua"/>
        </w:rPr>
        <w:t xml:space="preserve"> Á, </w:t>
      </w:r>
      <w:proofErr w:type="spellStart"/>
      <w:r>
        <w:rPr>
          <w:rFonts w:ascii="Book Antiqua" w:hAnsi="Book Antiqua"/>
        </w:rPr>
        <w:t>Oburoglu</w:t>
      </w:r>
      <w:proofErr w:type="spellEnd"/>
      <w:r>
        <w:rPr>
          <w:rFonts w:ascii="Book Antiqua" w:hAnsi="Book Antiqua"/>
        </w:rPr>
        <w:t xml:space="preserve"> L, </w:t>
      </w:r>
      <w:proofErr w:type="spellStart"/>
      <w:r>
        <w:rPr>
          <w:rFonts w:ascii="Book Antiqua" w:hAnsi="Book Antiqua"/>
        </w:rPr>
        <w:t>Pertesi</w:t>
      </w:r>
      <w:proofErr w:type="spellEnd"/>
      <w:r>
        <w:rPr>
          <w:rFonts w:ascii="Book Antiqua" w:hAnsi="Book Antiqua"/>
        </w:rPr>
        <w:t xml:space="preserve"> M, Warsi S, Safi F, </w:t>
      </w:r>
      <w:proofErr w:type="spellStart"/>
      <w:r>
        <w:rPr>
          <w:rFonts w:ascii="Book Antiqua" w:hAnsi="Book Antiqua"/>
        </w:rPr>
        <w:t>Miharada</w:t>
      </w:r>
      <w:proofErr w:type="spellEnd"/>
      <w:r>
        <w:rPr>
          <w:rFonts w:ascii="Book Antiqua" w:hAnsi="Book Antiqua"/>
        </w:rPr>
        <w:t xml:space="preserve"> N, Garcia SC, Siva K, Liu Y, </w:t>
      </w:r>
      <w:proofErr w:type="spellStart"/>
      <w:r>
        <w:rPr>
          <w:rFonts w:ascii="Book Antiqua" w:hAnsi="Book Antiqua"/>
        </w:rPr>
        <w:t>Rörby</w:t>
      </w:r>
      <w:proofErr w:type="spellEnd"/>
      <w:r>
        <w:rPr>
          <w:rFonts w:ascii="Book Antiqua" w:hAnsi="Book Antiqua"/>
        </w:rPr>
        <w:t xml:space="preserve"> E, Nilsson B, Zubarev RA, Karlsson S. S100A6 is a critical regulator of hematopoietic stem cells. </w:t>
      </w:r>
      <w:r>
        <w:rPr>
          <w:rFonts w:ascii="Book Antiqua" w:hAnsi="Book Antiqua"/>
          <w:i/>
          <w:iCs/>
        </w:rPr>
        <w:t>Leukemia</w:t>
      </w:r>
      <w:r>
        <w:rPr>
          <w:rFonts w:ascii="Book Antiqua" w:hAnsi="Book Antiqua"/>
        </w:rPr>
        <w:t xml:space="preserve"> 2020; </w:t>
      </w:r>
      <w:r>
        <w:rPr>
          <w:rFonts w:ascii="Book Antiqua" w:hAnsi="Book Antiqua"/>
          <w:b/>
          <w:bCs/>
        </w:rPr>
        <w:t>34</w:t>
      </w:r>
      <w:r>
        <w:rPr>
          <w:rFonts w:ascii="Book Antiqua" w:hAnsi="Book Antiqua"/>
        </w:rPr>
        <w:t>: 3323-3337 [PMID: 32555370 DOI: 10.1038/s41375-020-0901-2]</w:t>
      </w:r>
    </w:p>
    <w:p w14:paraId="68D7E4F1"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Chagraoui</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Lehnertz</w:t>
      </w:r>
      <w:proofErr w:type="spellEnd"/>
      <w:r>
        <w:rPr>
          <w:rFonts w:ascii="Book Antiqua" w:hAnsi="Book Antiqua"/>
        </w:rPr>
        <w:t xml:space="preserve"> B, Girard S, </w:t>
      </w:r>
      <w:proofErr w:type="spellStart"/>
      <w:r>
        <w:rPr>
          <w:rFonts w:ascii="Book Antiqua" w:hAnsi="Book Antiqua"/>
        </w:rPr>
        <w:t>Spinella</w:t>
      </w:r>
      <w:proofErr w:type="spellEnd"/>
      <w:r>
        <w:rPr>
          <w:rFonts w:ascii="Book Antiqua" w:hAnsi="Book Antiqua"/>
        </w:rPr>
        <w:t xml:space="preserve"> JF, Fares I, </w:t>
      </w:r>
      <w:proofErr w:type="spellStart"/>
      <w:r>
        <w:rPr>
          <w:rFonts w:ascii="Book Antiqua" w:hAnsi="Book Antiqua"/>
        </w:rPr>
        <w:t>Tomellini</w:t>
      </w:r>
      <w:proofErr w:type="spellEnd"/>
      <w:r>
        <w:rPr>
          <w:rFonts w:ascii="Book Antiqua" w:hAnsi="Book Antiqua"/>
        </w:rPr>
        <w:t xml:space="preserve"> E, Mayotte N, </w:t>
      </w:r>
      <w:proofErr w:type="spellStart"/>
      <w:r>
        <w:rPr>
          <w:rFonts w:ascii="Book Antiqua" w:hAnsi="Book Antiqua"/>
        </w:rPr>
        <w:t>Corneau</w:t>
      </w:r>
      <w:proofErr w:type="spellEnd"/>
      <w:r>
        <w:rPr>
          <w:rFonts w:ascii="Book Antiqua" w:hAnsi="Book Antiqua"/>
        </w:rPr>
        <w:t xml:space="preserve"> S, </w:t>
      </w:r>
      <w:proofErr w:type="spellStart"/>
      <w:r>
        <w:rPr>
          <w:rFonts w:ascii="Book Antiqua" w:hAnsi="Book Antiqua"/>
        </w:rPr>
        <w:t>MacRae</w:t>
      </w:r>
      <w:proofErr w:type="spellEnd"/>
      <w:r>
        <w:rPr>
          <w:rFonts w:ascii="Book Antiqua" w:hAnsi="Book Antiqua"/>
        </w:rPr>
        <w:t xml:space="preserve"> T, Simon L, Sauvageau G. UM171 induces a homeostatic inflammatory-detoxification response supporting human HSC self-renewal.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2019; </w:t>
      </w:r>
      <w:r>
        <w:rPr>
          <w:rFonts w:ascii="Book Antiqua" w:hAnsi="Book Antiqua"/>
          <w:b/>
          <w:bCs/>
        </w:rPr>
        <w:t>14</w:t>
      </w:r>
      <w:r>
        <w:rPr>
          <w:rFonts w:ascii="Book Antiqua" w:hAnsi="Book Antiqua"/>
        </w:rPr>
        <w:t>: e0224900 [PMID: 31703090 DOI: 10.1371/journal.pone.0224900]</w:t>
      </w:r>
    </w:p>
    <w:p w14:paraId="3D76CDCA"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46 </w:t>
      </w:r>
      <w:r>
        <w:rPr>
          <w:rFonts w:ascii="Book Antiqua" w:hAnsi="Book Antiqua"/>
          <w:b/>
          <w:bCs/>
        </w:rPr>
        <w:t>Tan P</w:t>
      </w:r>
      <w:r>
        <w:rPr>
          <w:rFonts w:ascii="Book Antiqua" w:hAnsi="Book Antiqua"/>
        </w:rPr>
        <w:t xml:space="preserve">, Wang M, Zhong A, Wang Y, Du J, Wang J, Qi L, Bi Z, Zhang P, Lin T, Zhang J, Yang L, Chen J, Han P, Gong Q, Liu Y, Chen C, Wei Q. SRT1720 inhibits the growth of bladder cancer in organoids and murine models through the SIRT1-HIF axis. </w:t>
      </w:r>
      <w:r>
        <w:rPr>
          <w:rFonts w:ascii="Book Antiqua" w:hAnsi="Book Antiqua"/>
          <w:i/>
          <w:iCs/>
        </w:rPr>
        <w:t>Oncogene</w:t>
      </w:r>
      <w:r>
        <w:rPr>
          <w:rFonts w:ascii="Book Antiqua" w:hAnsi="Book Antiqua"/>
        </w:rPr>
        <w:t xml:space="preserve"> 2021; </w:t>
      </w:r>
      <w:r>
        <w:rPr>
          <w:rFonts w:ascii="Book Antiqua" w:hAnsi="Book Antiqua"/>
          <w:b/>
          <w:bCs/>
        </w:rPr>
        <w:t>40</w:t>
      </w:r>
      <w:r>
        <w:rPr>
          <w:rFonts w:ascii="Book Antiqua" w:hAnsi="Book Antiqua"/>
        </w:rPr>
        <w:t>: 6081-6092 [PMID: 34471236 DOI: 10.1038/s41388-021-01999-9]</w:t>
      </w:r>
    </w:p>
    <w:p w14:paraId="11C188DD"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Ren Y</w:t>
      </w:r>
      <w:r>
        <w:rPr>
          <w:rFonts w:ascii="Book Antiqua" w:hAnsi="Book Antiqua"/>
        </w:rPr>
        <w:t xml:space="preserve">, Cui Y, Feng J, Tan Y, Ren F, Zhang Y, Wang H. Synergistic </w:t>
      </w:r>
      <w:proofErr w:type="gramStart"/>
      <w:r>
        <w:rPr>
          <w:rFonts w:ascii="Book Antiqua" w:hAnsi="Book Antiqua"/>
        </w:rPr>
        <w:t>effect</w:t>
      </w:r>
      <w:proofErr w:type="gramEnd"/>
      <w:r>
        <w:rPr>
          <w:rFonts w:ascii="Book Antiqua" w:hAnsi="Book Antiqua"/>
        </w:rPr>
        <w:t xml:space="preserve"> and molecular mechanism of PVA and UM171 in ex vivo expansion of primitive hematopoietic stem cells. </w:t>
      </w:r>
      <w:r>
        <w:rPr>
          <w:rFonts w:ascii="Book Antiqua" w:hAnsi="Book Antiqua"/>
          <w:i/>
          <w:iCs/>
        </w:rPr>
        <w:t xml:space="preserve">J Cell </w:t>
      </w:r>
      <w:proofErr w:type="spellStart"/>
      <w:r>
        <w:rPr>
          <w:rFonts w:ascii="Book Antiqua" w:hAnsi="Book Antiqua"/>
          <w:i/>
          <w:iCs/>
        </w:rPr>
        <w:t>Biochem</w:t>
      </w:r>
      <w:proofErr w:type="spellEnd"/>
      <w:r>
        <w:rPr>
          <w:rFonts w:ascii="Book Antiqua" w:hAnsi="Book Antiqua"/>
        </w:rPr>
        <w:t xml:space="preserve"> 2023 [PMID: 37992216 DOI: 10.1002/jcb.30505]</w:t>
      </w:r>
    </w:p>
    <w:p w14:paraId="48AC4EE4" w14:textId="77777777" w:rsidR="007006AA"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48 </w:t>
      </w:r>
      <w:r>
        <w:rPr>
          <w:rFonts w:ascii="Book Antiqua" w:hAnsi="Book Antiqua"/>
          <w:b/>
          <w:bCs/>
        </w:rPr>
        <w:t>Peled T</w:t>
      </w:r>
      <w:r>
        <w:rPr>
          <w:rFonts w:ascii="Book Antiqua" w:hAnsi="Book Antiqua"/>
        </w:rPr>
        <w:t xml:space="preserve">, </w:t>
      </w:r>
      <w:proofErr w:type="spellStart"/>
      <w:r>
        <w:rPr>
          <w:rFonts w:ascii="Book Antiqua" w:hAnsi="Book Antiqua"/>
        </w:rPr>
        <w:t>Shoham</w:t>
      </w:r>
      <w:proofErr w:type="spellEnd"/>
      <w:r>
        <w:rPr>
          <w:rFonts w:ascii="Book Antiqua" w:hAnsi="Book Antiqua"/>
        </w:rPr>
        <w:t xml:space="preserve"> H, </w:t>
      </w:r>
      <w:proofErr w:type="spellStart"/>
      <w:r>
        <w:rPr>
          <w:rFonts w:ascii="Book Antiqua" w:hAnsi="Book Antiqua"/>
        </w:rPr>
        <w:t>Aschengrau</w:t>
      </w:r>
      <w:proofErr w:type="spellEnd"/>
      <w:r>
        <w:rPr>
          <w:rFonts w:ascii="Book Antiqua" w:hAnsi="Book Antiqua"/>
        </w:rPr>
        <w:t xml:space="preserve"> D, </w:t>
      </w:r>
      <w:proofErr w:type="spellStart"/>
      <w:r>
        <w:rPr>
          <w:rFonts w:ascii="Book Antiqua" w:hAnsi="Book Antiqua"/>
        </w:rPr>
        <w:t>Yackoubov</w:t>
      </w:r>
      <w:proofErr w:type="spellEnd"/>
      <w:r>
        <w:rPr>
          <w:rFonts w:ascii="Book Antiqua" w:hAnsi="Book Antiqua"/>
        </w:rPr>
        <w:t xml:space="preserve"> D, Frei G, </w:t>
      </w:r>
      <w:proofErr w:type="spellStart"/>
      <w:r>
        <w:rPr>
          <w:rFonts w:ascii="Book Antiqua" w:hAnsi="Book Antiqua"/>
        </w:rPr>
        <w:t>Rosenheimer</w:t>
      </w:r>
      <w:proofErr w:type="spellEnd"/>
      <w:r>
        <w:rPr>
          <w:rFonts w:ascii="Book Antiqua" w:hAnsi="Book Antiqua"/>
        </w:rPr>
        <w:t xml:space="preserve"> G N, </w:t>
      </w:r>
      <w:proofErr w:type="spellStart"/>
      <w:r>
        <w:rPr>
          <w:rFonts w:ascii="Book Antiqua" w:hAnsi="Book Antiqua"/>
        </w:rPr>
        <w:t>Lerrer</w:t>
      </w:r>
      <w:proofErr w:type="spellEnd"/>
      <w:r>
        <w:rPr>
          <w:rFonts w:ascii="Book Antiqua" w:hAnsi="Book Antiqua"/>
        </w:rPr>
        <w:t xml:space="preserve"> B, Cohen HY, </w:t>
      </w:r>
      <w:proofErr w:type="spellStart"/>
      <w:r>
        <w:rPr>
          <w:rFonts w:ascii="Book Antiqua" w:hAnsi="Book Antiqua"/>
        </w:rPr>
        <w:t>Nagler</w:t>
      </w:r>
      <w:proofErr w:type="spellEnd"/>
      <w:r>
        <w:rPr>
          <w:rFonts w:ascii="Book Antiqua" w:hAnsi="Book Antiqua"/>
        </w:rPr>
        <w:t xml:space="preserve"> A, </w:t>
      </w:r>
      <w:proofErr w:type="spellStart"/>
      <w:r>
        <w:rPr>
          <w:rFonts w:ascii="Book Antiqua" w:hAnsi="Book Antiqua"/>
        </w:rPr>
        <w:t>Fibach</w:t>
      </w:r>
      <w:proofErr w:type="spellEnd"/>
      <w:r>
        <w:rPr>
          <w:rFonts w:ascii="Book Antiqua" w:hAnsi="Book Antiqua"/>
        </w:rPr>
        <w:t xml:space="preserve"> E, Peled A. Nicotinamide, a SIRT1 inhibitor, inhibits differentiation and facilitates expansion of hematopoietic progenitor cells with enhanced bone marrow homing and engraftment. </w:t>
      </w:r>
      <w:r>
        <w:rPr>
          <w:rFonts w:ascii="Book Antiqua" w:hAnsi="Book Antiqua"/>
          <w:i/>
          <w:iCs/>
        </w:rPr>
        <w:t xml:space="preserve">Exp </w:t>
      </w:r>
      <w:proofErr w:type="spellStart"/>
      <w:r>
        <w:rPr>
          <w:rFonts w:ascii="Book Antiqua" w:hAnsi="Book Antiqua"/>
          <w:i/>
          <w:iCs/>
        </w:rPr>
        <w:t>Hematol</w:t>
      </w:r>
      <w:proofErr w:type="spellEnd"/>
      <w:r>
        <w:rPr>
          <w:rFonts w:ascii="Book Antiqua" w:hAnsi="Book Antiqua"/>
        </w:rPr>
        <w:t xml:space="preserve"> 2012; </w:t>
      </w:r>
      <w:r>
        <w:rPr>
          <w:rFonts w:ascii="Book Antiqua" w:hAnsi="Book Antiqua"/>
          <w:b/>
          <w:bCs/>
        </w:rPr>
        <w:t>40</w:t>
      </w:r>
      <w:r>
        <w:rPr>
          <w:rFonts w:ascii="Book Antiqua" w:hAnsi="Book Antiqua"/>
        </w:rPr>
        <w:t>: 342-</w:t>
      </w:r>
      <w:proofErr w:type="gramStart"/>
      <w:r>
        <w:rPr>
          <w:rFonts w:ascii="Book Antiqua" w:hAnsi="Book Antiqua"/>
        </w:rPr>
        <w:t>55.e</w:t>
      </w:r>
      <w:proofErr w:type="gramEnd"/>
      <w:r>
        <w:rPr>
          <w:rFonts w:ascii="Book Antiqua" w:hAnsi="Book Antiqua"/>
        </w:rPr>
        <w:t>1 [PMID: 22198152 DOI: 10.1016/j.exphem.2011.12.005]</w:t>
      </w:r>
    </w:p>
    <w:bookmarkEnd w:id="363"/>
    <w:bookmarkEnd w:id="364"/>
    <w:bookmarkEnd w:id="365"/>
    <w:p w14:paraId="155B5B0B" w14:textId="77777777" w:rsidR="007006AA" w:rsidRDefault="007006AA">
      <w:pPr>
        <w:spacing w:line="360" w:lineRule="auto"/>
        <w:jc w:val="both"/>
        <w:rPr>
          <w:rFonts w:ascii="Book Antiqua" w:hAnsi="Book Antiqua"/>
          <w:highlight w:val="yellow"/>
        </w:rPr>
        <w:sectPr w:rsidR="007006AA" w:rsidSect="00DC2844">
          <w:pgSz w:w="12240" w:h="15840"/>
          <w:pgMar w:top="1440" w:right="1440" w:bottom="1440" w:left="1440" w:header="720" w:footer="720" w:gutter="0"/>
          <w:cols w:space="720"/>
          <w:docGrid w:linePitch="360"/>
        </w:sectPr>
      </w:pPr>
    </w:p>
    <w:p w14:paraId="6CC08325"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0740D97"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approved by the Second Hospital of Shanxi Medical University (Approval No. 20230055).</w:t>
      </w:r>
    </w:p>
    <w:p w14:paraId="6F3A29F4" w14:textId="77777777" w:rsidR="007006AA" w:rsidRDefault="007006AA">
      <w:pPr>
        <w:spacing w:line="360" w:lineRule="auto"/>
        <w:jc w:val="both"/>
        <w:rPr>
          <w:rFonts w:ascii="Book Antiqua" w:hAnsi="Book Antiqua"/>
        </w:rPr>
      </w:pPr>
    </w:p>
    <w:p w14:paraId="25685626"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2EBDC7D9" w14:textId="77777777" w:rsidR="007006AA" w:rsidRDefault="007006AA">
      <w:pPr>
        <w:spacing w:line="360" w:lineRule="auto"/>
        <w:jc w:val="both"/>
        <w:rPr>
          <w:rFonts w:ascii="Book Antiqua" w:hAnsi="Book Antiqua"/>
        </w:rPr>
      </w:pPr>
    </w:p>
    <w:p w14:paraId="41A893B8"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7B37C30C" w14:textId="77777777" w:rsidR="007006AA" w:rsidRDefault="007006AA">
      <w:pPr>
        <w:spacing w:line="360" w:lineRule="auto"/>
        <w:jc w:val="both"/>
        <w:rPr>
          <w:rFonts w:ascii="Book Antiqua" w:hAnsi="Book Antiqua"/>
        </w:rPr>
      </w:pPr>
    </w:p>
    <w:p w14:paraId="25428EF5" w14:textId="77777777" w:rsidR="007006AA"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73208E" w14:textId="77777777" w:rsidR="007006AA" w:rsidRDefault="007006AA">
      <w:pPr>
        <w:spacing w:line="360" w:lineRule="auto"/>
        <w:jc w:val="both"/>
        <w:rPr>
          <w:rFonts w:ascii="Book Antiqua" w:hAnsi="Book Antiqua"/>
        </w:rPr>
      </w:pPr>
    </w:p>
    <w:p w14:paraId="2CB48901"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4F8C5A7"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6C36CC9" w14:textId="77777777" w:rsidR="007006AA" w:rsidRDefault="007006AA">
      <w:pPr>
        <w:spacing w:line="360" w:lineRule="auto"/>
        <w:jc w:val="both"/>
        <w:rPr>
          <w:rFonts w:ascii="Book Antiqua" w:hAnsi="Book Antiqua"/>
        </w:rPr>
      </w:pPr>
    </w:p>
    <w:p w14:paraId="4231420C"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18, 2023</w:t>
      </w:r>
    </w:p>
    <w:p w14:paraId="76BF96E7"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2, 2023</w:t>
      </w:r>
    </w:p>
    <w:p w14:paraId="2F0D263D"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January 12, 2024</w:t>
      </w:r>
    </w:p>
    <w:p w14:paraId="2680B17A" w14:textId="77777777" w:rsidR="007006AA" w:rsidRDefault="007006AA">
      <w:pPr>
        <w:spacing w:line="360" w:lineRule="auto"/>
        <w:jc w:val="both"/>
        <w:rPr>
          <w:rFonts w:ascii="Book Antiqua" w:hAnsi="Book Antiqua"/>
        </w:rPr>
      </w:pPr>
    </w:p>
    <w:p w14:paraId="32255B74"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366" w:name="OLE_LINK1673"/>
      <w:bookmarkStart w:id="367" w:name="OLE_LINK20"/>
      <w:bookmarkStart w:id="368" w:name="OLE_LINK21"/>
      <w:bookmarkStart w:id="369" w:name="OLE_LINK1805"/>
      <w:bookmarkStart w:id="370" w:name="OLE_LINK2101"/>
      <w:r>
        <w:rPr>
          <w:rFonts w:ascii="Book Antiqua" w:eastAsia="微软雅黑" w:hAnsi="Book Antiqua" w:cs="宋体"/>
        </w:rPr>
        <w:t>Cell and tissue engineering</w:t>
      </w:r>
      <w:bookmarkEnd w:id="366"/>
      <w:bookmarkEnd w:id="367"/>
      <w:bookmarkEnd w:id="368"/>
      <w:bookmarkEnd w:id="369"/>
      <w:bookmarkEnd w:id="370"/>
    </w:p>
    <w:p w14:paraId="5E324B94"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A8A4FD2" w14:textId="77777777" w:rsidR="007006A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7250A13" w14:textId="77777777" w:rsidR="007006AA" w:rsidRDefault="00000000">
      <w:pPr>
        <w:spacing w:line="360" w:lineRule="auto"/>
        <w:jc w:val="both"/>
        <w:rPr>
          <w:rFonts w:ascii="Book Antiqua" w:hAnsi="Book Antiqua"/>
        </w:rPr>
      </w:pPr>
      <w:r>
        <w:rPr>
          <w:rFonts w:ascii="Book Antiqua" w:eastAsia="Book Antiqua" w:hAnsi="Book Antiqua" w:cs="Book Antiqua"/>
        </w:rPr>
        <w:t>Grade A (Excellent): 0</w:t>
      </w:r>
    </w:p>
    <w:p w14:paraId="23004C20" w14:textId="77777777" w:rsidR="007006AA" w:rsidRDefault="00000000">
      <w:pPr>
        <w:spacing w:line="360" w:lineRule="auto"/>
        <w:jc w:val="both"/>
        <w:rPr>
          <w:rFonts w:ascii="Book Antiqua" w:hAnsi="Book Antiqua"/>
        </w:rPr>
      </w:pPr>
      <w:r>
        <w:rPr>
          <w:rFonts w:ascii="Book Antiqua" w:eastAsia="Book Antiqua" w:hAnsi="Book Antiqua" w:cs="Book Antiqua"/>
        </w:rPr>
        <w:t>Grade B (Very good): B, B</w:t>
      </w:r>
    </w:p>
    <w:p w14:paraId="5D753D91" w14:textId="77777777" w:rsidR="007006AA" w:rsidRDefault="00000000">
      <w:pPr>
        <w:spacing w:line="360" w:lineRule="auto"/>
        <w:jc w:val="both"/>
        <w:rPr>
          <w:rFonts w:ascii="Book Antiqua" w:hAnsi="Book Antiqua"/>
        </w:rPr>
      </w:pPr>
      <w:r>
        <w:rPr>
          <w:rFonts w:ascii="Book Antiqua" w:eastAsia="Book Antiqua" w:hAnsi="Book Antiqua" w:cs="Book Antiqua"/>
        </w:rPr>
        <w:t>Grade C (Good): C, C</w:t>
      </w:r>
    </w:p>
    <w:p w14:paraId="75C7CAA0" w14:textId="77777777" w:rsidR="007006AA" w:rsidRDefault="00000000">
      <w:pPr>
        <w:spacing w:line="360" w:lineRule="auto"/>
        <w:jc w:val="both"/>
        <w:rPr>
          <w:rFonts w:ascii="Book Antiqua" w:hAnsi="Book Antiqua"/>
        </w:rPr>
      </w:pPr>
      <w:r>
        <w:rPr>
          <w:rFonts w:ascii="Book Antiqua" w:eastAsia="Book Antiqua" w:hAnsi="Book Antiqua" w:cs="Book Antiqua"/>
        </w:rPr>
        <w:lastRenderedPageBreak/>
        <w:t>Grade D (Fair): 0</w:t>
      </w:r>
    </w:p>
    <w:p w14:paraId="0CB54BFF" w14:textId="77777777" w:rsidR="007006AA" w:rsidRDefault="00000000">
      <w:pPr>
        <w:spacing w:line="360" w:lineRule="auto"/>
        <w:jc w:val="both"/>
        <w:rPr>
          <w:rFonts w:ascii="Book Antiqua" w:hAnsi="Book Antiqua"/>
        </w:rPr>
      </w:pPr>
      <w:r>
        <w:rPr>
          <w:rFonts w:ascii="Book Antiqua" w:eastAsia="Book Antiqua" w:hAnsi="Book Antiqua" w:cs="Book Antiqua"/>
        </w:rPr>
        <w:t>Grade E (Poor): 0</w:t>
      </w:r>
    </w:p>
    <w:p w14:paraId="22313075" w14:textId="77777777" w:rsidR="007006AA" w:rsidRDefault="007006AA">
      <w:pPr>
        <w:spacing w:line="360" w:lineRule="auto"/>
        <w:jc w:val="both"/>
        <w:rPr>
          <w:rFonts w:ascii="Book Antiqua" w:hAnsi="Book Antiqua"/>
        </w:rPr>
      </w:pPr>
    </w:p>
    <w:p w14:paraId="541CC288" w14:textId="77777777" w:rsidR="007006AA"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P-Reviewer:</w:t>
      </w:r>
      <w:r>
        <w:rPr>
          <w:rFonts w:ascii="Book Antiqua" w:eastAsia="Book Antiqua" w:hAnsi="Book Antiqua" w:cs="Book Antiqua"/>
          <w:bCs/>
          <w:color w:val="000000"/>
        </w:rPr>
        <w:t xml:space="preserve"> Li SC, </w:t>
      </w:r>
      <w:r>
        <w:rPr>
          <w:rFonts w:ascii="Book Antiqua" w:hAnsi="Book Antiqua"/>
        </w:rPr>
        <w:t>United States</w:t>
      </w:r>
      <w:r>
        <w:rPr>
          <w:rFonts w:ascii="Book Antiqua" w:eastAsia="Book Antiqua" w:hAnsi="Book Antiqua" w:cs="Book Antiqua"/>
          <w:bCs/>
          <w:color w:val="000000"/>
        </w:rPr>
        <w:t xml:space="preserve">; </w:t>
      </w:r>
      <w:proofErr w:type="spellStart"/>
      <w:r>
        <w:rPr>
          <w:rFonts w:ascii="Book Antiqua" w:eastAsia="Book Antiqua" w:hAnsi="Book Antiqua" w:cs="Book Antiqua"/>
        </w:rPr>
        <w:t>Rezus</w:t>
      </w:r>
      <w:proofErr w:type="spellEnd"/>
      <w:r>
        <w:rPr>
          <w:rFonts w:ascii="Book Antiqua" w:eastAsia="Book Antiqua" w:hAnsi="Book Antiqua" w:cs="Book Antiqua"/>
        </w:rPr>
        <w:t xml:space="preserve"> E, Romania; </w:t>
      </w:r>
      <w:proofErr w:type="spellStart"/>
      <w:r>
        <w:rPr>
          <w:rFonts w:ascii="Book Antiqua" w:eastAsia="Book Antiqua" w:hAnsi="Book Antiqua" w:cs="Book Antiqua"/>
        </w:rPr>
        <w:t>Roomi</w:t>
      </w:r>
      <w:proofErr w:type="spellEnd"/>
      <w:r>
        <w:rPr>
          <w:rFonts w:ascii="Book Antiqua" w:eastAsia="Book Antiqua" w:hAnsi="Book Antiqua" w:cs="Book Antiqua"/>
        </w:rPr>
        <w:t xml:space="preserve"> AB, Iraq; </w:t>
      </w:r>
      <w:proofErr w:type="spellStart"/>
      <w:r>
        <w:rPr>
          <w:rFonts w:ascii="Book Antiqua" w:eastAsia="Book Antiqua" w:hAnsi="Book Antiqua" w:cs="Book Antiqua"/>
        </w:rPr>
        <w:t>Salceda</w:t>
      </w:r>
      <w:proofErr w:type="spellEnd"/>
      <w:r>
        <w:rPr>
          <w:rFonts w:ascii="Book Antiqua" w:eastAsia="Book Antiqua" w:hAnsi="Book Antiqua" w:cs="Book Antiqua"/>
        </w:rPr>
        <w:t xml:space="preserve"> R, Mexico</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Kerr C</w:t>
      </w:r>
      <w:r>
        <w:rPr>
          <w:rFonts w:ascii="Book Antiqua" w:eastAsia="Book Antiqua" w:hAnsi="Book Antiqua" w:cs="Book Antiqua"/>
          <w:b/>
          <w:color w:val="000000"/>
        </w:rPr>
        <w:t xml:space="preserve"> P-Editor: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Xu ZH</w:t>
      </w:r>
    </w:p>
    <w:p w14:paraId="6E5FC6ED" w14:textId="77777777" w:rsidR="007006AA" w:rsidRDefault="007006AA">
      <w:pPr>
        <w:spacing w:line="360" w:lineRule="auto"/>
        <w:jc w:val="both"/>
        <w:rPr>
          <w:rFonts w:ascii="Book Antiqua" w:hAnsi="Book Antiqua"/>
        </w:rPr>
        <w:sectPr w:rsidR="007006AA" w:rsidSect="00DC2844">
          <w:pgSz w:w="12240" w:h="15840"/>
          <w:pgMar w:top="1440" w:right="1440" w:bottom="1440" w:left="1440" w:header="720" w:footer="720" w:gutter="0"/>
          <w:cols w:space="720"/>
          <w:docGrid w:linePitch="360"/>
        </w:sectPr>
      </w:pPr>
    </w:p>
    <w:p w14:paraId="6B5F6509" w14:textId="77777777" w:rsidR="007006A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5B3FC89" w14:textId="77777777" w:rsidR="007006AA" w:rsidRDefault="00000000">
      <w:pPr>
        <w:spacing w:line="360" w:lineRule="auto"/>
        <w:jc w:val="both"/>
        <w:rPr>
          <w:rFonts w:ascii="Book Antiqua" w:hAnsi="Book Antiqua"/>
          <w:highlight w:val="yellow"/>
        </w:rPr>
      </w:pPr>
      <w:r>
        <w:rPr>
          <w:rFonts w:ascii="Book Antiqua" w:hAnsi="Book Antiqua"/>
          <w:noProof/>
        </w:rPr>
        <w:drawing>
          <wp:inline distT="0" distB="0" distL="114300" distR="114300" wp14:anchorId="6CC5EE3B" wp14:editId="00514835">
            <wp:extent cx="4328160" cy="7772400"/>
            <wp:effectExtent l="0" t="0" r="0" b="0"/>
            <wp:docPr id="13" name="图片 13" descr="/data/weboffice/tmp/webword_2138726020/upload_post_object_v2_28385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ata/weboffice/tmp/webword_2138726020/upload_post_object_v2_2838553301"/>
                    <pic:cNvPicPr>
                      <a:picLocks noChangeAspect="1"/>
                    </pic:cNvPicPr>
                  </pic:nvPicPr>
                  <pic:blipFill>
                    <a:blip r:embed="rId8"/>
                    <a:srcRect/>
                    <a:stretch>
                      <a:fillRect/>
                    </a:stretch>
                  </pic:blipFill>
                  <pic:spPr>
                    <a:xfrm>
                      <a:off x="0" y="0"/>
                      <a:ext cx="4330950" cy="7777739"/>
                    </a:xfrm>
                    <a:prstGeom prst="rect">
                      <a:avLst/>
                    </a:prstGeom>
                  </pic:spPr>
                </pic:pic>
              </a:graphicData>
            </a:graphic>
          </wp:inline>
        </w:drawing>
      </w:r>
    </w:p>
    <w:p w14:paraId="24EBEDC3" w14:textId="77777777" w:rsidR="007006AA" w:rsidRDefault="00000000">
      <w:pPr>
        <w:widowControl w:val="0"/>
        <w:spacing w:line="360" w:lineRule="auto"/>
        <w:jc w:val="both"/>
        <w:rPr>
          <w:rFonts w:ascii="Book Antiqua" w:hAnsi="Book Antiqua"/>
          <w:highlight w:val="yellow"/>
        </w:rPr>
      </w:pPr>
      <w:r>
        <w:rPr>
          <w:rFonts w:ascii="Book Antiqua" w:eastAsia="Book Antiqua" w:hAnsi="Book Antiqua" w:cs="Book Antiqua"/>
          <w:b/>
          <w:bCs/>
        </w:rPr>
        <w:lastRenderedPageBreak/>
        <w:t xml:space="preserve">Figure 1 Proportion of hematopoietic stem and progenitor cells, short-term </w:t>
      </w:r>
      <w:bookmarkStart w:id="371" w:name="_Hlk154334247"/>
      <w:r>
        <w:rPr>
          <w:rFonts w:ascii="Book Antiqua" w:eastAsia="Book Antiqua" w:hAnsi="Book Antiqua" w:cs="Book Antiqua"/>
          <w:b/>
          <w:bCs/>
        </w:rPr>
        <w:t>repopulating</w:t>
      </w:r>
      <w:bookmarkEnd w:id="371"/>
      <w:r>
        <w:rPr>
          <w:rFonts w:ascii="Book Antiqua" w:eastAsia="Book Antiqua" w:hAnsi="Book Antiqua" w:cs="Book Antiqua"/>
          <w:b/>
          <w:bCs/>
        </w:rPr>
        <w:t xml:space="preserve"> </w:t>
      </w:r>
      <w:bookmarkStart w:id="372" w:name="_Hlk154334216"/>
      <w:r>
        <w:rPr>
          <w:rFonts w:ascii="Book Antiqua" w:eastAsia="Book Antiqua" w:hAnsi="Book Antiqua" w:cs="Book Antiqua"/>
          <w:b/>
          <w:bCs/>
        </w:rPr>
        <w:t>hematopoietic stem cells</w:t>
      </w:r>
      <w:bookmarkEnd w:id="372"/>
      <w:r>
        <w:rPr>
          <w:rFonts w:ascii="Book Antiqua" w:eastAsia="Book Antiqua" w:hAnsi="Book Antiqua" w:cs="Book Antiqua"/>
          <w:b/>
          <w:bCs/>
        </w:rPr>
        <w:t xml:space="preserve"> and long-term repopulating hematopoietic stem cells populations in each group of cultured cells.</w:t>
      </w:r>
      <w:r>
        <w:rPr>
          <w:rFonts w:ascii="Book Antiqua" w:eastAsia="Book Antiqua" w:hAnsi="Book Antiqua" w:cs="Book Antiqua"/>
        </w:rPr>
        <w:t xml:space="preserve"> A: Phenotype (up) and proportion (down) of hematopoietic stem and progenitor cells; B: Phenotype (up) and proportion (down) of short-term repopulating hematopoietic stem cells (ST-HSCs); C: Phenotype (up) and proportion (down) of long-term</w:t>
      </w:r>
      <w:r>
        <w:rPr>
          <w:rFonts w:ascii="Book Antiqua" w:hAnsi="Book Antiqua"/>
        </w:rPr>
        <w:t xml:space="preserve"> </w:t>
      </w:r>
      <w:r>
        <w:rPr>
          <w:rFonts w:ascii="Book Antiqua" w:eastAsia="Book Antiqua" w:hAnsi="Book Antiqua" w:cs="Book Antiqua"/>
        </w:rPr>
        <w:t xml:space="preserve">repopulating HSCs; D: Cell size for each group of cells; E: Viability of each group of cells; F: Typical images of representative morphologies of various type of colonies as indicated; G: Colony formation assay showing the number of various types of cell colonies as indicated. The number of colony-forming unit (CFU)-erythroid, CFU-macrophage and CFU-granulocyte/erythroid/macrophage/megakaryocyte were scored.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w:t>
      </w:r>
      <w:r>
        <w:rPr>
          <w:rFonts w:ascii="Book Antiqua" w:eastAsia="Book Antiqua" w:hAnsi="Book Antiqua" w:cs="Book Antiqua"/>
          <w:i/>
          <w:iCs/>
        </w:rPr>
        <w:t xml:space="preserve"> </w:t>
      </w:r>
      <w:r>
        <w:rPr>
          <w:rFonts w:ascii="Book Antiqua" w:eastAsia="Book Antiqua" w:hAnsi="Book Antiqua" w:cs="Book Antiqua"/>
        </w:rPr>
        <w:t xml:space="preserve">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w:t>
      </w:r>
      <w:proofErr w:type="spellStart"/>
      <w:r>
        <w:rPr>
          <w:rFonts w:ascii="Book Antiqua" w:eastAsia="Book Antiqua" w:hAnsi="Book Antiqua" w:cs="Book Antiqua"/>
          <w:vertAlign w:val="superscript"/>
        </w:rPr>
        <w:t>d</w:t>
      </w:r>
      <w:r>
        <w:rPr>
          <w:rFonts w:ascii="Book Antiqua" w:eastAsia="Book Antiqua" w:hAnsi="Book Antiqua" w:cs="Book Antiqua"/>
          <w:i/>
          <w:iCs/>
        </w:rPr>
        <w:t>P</w:t>
      </w:r>
      <w:proofErr w:type="spellEnd"/>
      <w:r>
        <w:rPr>
          <w:rFonts w:ascii="Book Antiqua" w:eastAsia="Book Antiqua" w:hAnsi="Book Antiqua" w:cs="Book Antiqua"/>
        </w:rPr>
        <w:t xml:space="preserve"> &lt; 0.0001; ns: Not significant. NAM: Nicotinamide; CFU-E: Colony-forming unit-erythroid; CFU-GM: Colony-forming unit-granulocyte, macrophage; CFU-GEMM: Colony-forming unit-granulocyte/erythroid/macrophage/megakaryocyte.</w:t>
      </w:r>
    </w:p>
    <w:p w14:paraId="0A0D0B17" w14:textId="77777777" w:rsidR="007006AA" w:rsidRDefault="007006AA">
      <w:pPr>
        <w:spacing w:line="360" w:lineRule="auto"/>
        <w:jc w:val="both"/>
        <w:rPr>
          <w:rFonts w:ascii="Book Antiqua" w:hAnsi="Book Antiqua"/>
        </w:rPr>
        <w:sectPr w:rsidR="007006AA" w:rsidSect="00DC2844">
          <w:pgSz w:w="12240" w:h="15840"/>
          <w:pgMar w:top="1440" w:right="1440" w:bottom="1440" w:left="1440" w:header="720" w:footer="720" w:gutter="0"/>
          <w:cols w:space="720"/>
          <w:docGrid w:linePitch="360"/>
        </w:sectPr>
      </w:pPr>
    </w:p>
    <w:p w14:paraId="316F1C24" w14:textId="77777777" w:rsidR="007006AA"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94BD13A" wp14:editId="7CA66BD8">
            <wp:extent cx="3031490" cy="2588895"/>
            <wp:effectExtent l="0" t="0" r="16510" b="1905"/>
            <wp:docPr id="35968361" name="图片 1" descr="/data/weboffice/tmp/webword_4001457916/upload_post_object_v2_286924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8361" name="图片 1" descr="/data/weboffice/tmp/webword_4001457916/upload_post_object_v2_2869241521"/>
                    <pic:cNvPicPr>
                      <a:picLocks noChangeAspect="1"/>
                    </pic:cNvPicPr>
                  </pic:nvPicPr>
                  <pic:blipFill>
                    <a:blip r:embed="rId9"/>
                    <a:srcRect/>
                    <a:stretch>
                      <a:fillRect/>
                    </a:stretch>
                  </pic:blipFill>
                  <pic:spPr>
                    <a:xfrm>
                      <a:off x="0" y="0"/>
                      <a:ext cx="3031490" cy="2597825"/>
                    </a:xfrm>
                    <a:prstGeom prst="rect">
                      <a:avLst/>
                    </a:prstGeom>
                  </pic:spPr>
                </pic:pic>
              </a:graphicData>
            </a:graphic>
          </wp:inline>
        </w:drawing>
      </w:r>
      <w:r>
        <w:rPr>
          <w:rFonts w:ascii="Book Antiqua" w:hAnsi="Book Antiqua"/>
          <w:noProof/>
        </w:rPr>
        <w:drawing>
          <wp:inline distT="0" distB="0" distL="0" distR="0" wp14:anchorId="17843A87" wp14:editId="46C606AA">
            <wp:extent cx="4282440" cy="4850765"/>
            <wp:effectExtent l="0" t="0" r="0" b="0"/>
            <wp:docPr id="489774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74049" name="图片 1"/>
                    <pic:cNvPicPr>
                      <a:picLocks noChangeAspect="1"/>
                    </pic:cNvPicPr>
                  </pic:nvPicPr>
                  <pic:blipFill>
                    <a:blip r:embed="rId10"/>
                    <a:stretch>
                      <a:fillRect/>
                    </a:stretch>
                  </pic:blipFill>
                  <pic:spPr>
                    <a:xfrm>
                      <a:off x="0" y="0"/>
                      <a:ext cx="4298490" cy="4869271"/>
                    </a:xfrm>
                    <a:prstGeom prst="rect">
                      <a:avLst/>
                    </a:prstGeom>
                  </pic:spPr>
                </pic:pic>
              </a:graphicData>
            </a:graphic>
          </wp:inline>
        </w:drawing>
      </w:r>
    </w:p>
    <w:p w14:paraId="0E97600E" w14:textId="77777777" w:rsidR="007006A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Expansion efficiency of subsets of hematopoietic stem cells in different concentrations of nicotinamide.</w:t>
      </w:r>
      <w:r>
        <w:rPr>
          <w:rFonts w:ascii="Book Antiqua" w:eastAsia="Book Antiqua" w:hAnsi="Book Antiqua" w:cs="Book Antiqua"/>
        </w:rPr>
        <w:t xml:space="preserve"> A: Microscopic observation of cultured cells in each </w:t>
      </w:r>
      <w:r>
        <w:rPr>
          <w:rFonts w:ascii="Book Antiqua" w:eastAsia="Book Antiqua" w:hAnsi="Book Antiqua" w:cs="Book Antiqua"/>
        </w:rPr>
        <w:lastRenderedPageBreak/>
        <w:t xml:space="preserve">group (Bar = 200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B: Fold expansion of total nucleated cells; C: Fold expansion of hematopoietic stem and progenitor cells; D: Fold expansion of short-term repopulating hematopoietic stem cells; E: Fold expansion of long-term repopulating hematopoietic stem cells.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ns: Not significant. NAM: </w:t>
      </w:r>
      <w:bookmarkStart w:id="373" w:name="_Hlk154334339"/>
      <w:r>
        <w:rPr>
          <w:rFonts w:ascii="Book Antiqua" w:eastAsia="Book Antiqua" w:hAnsi="Book Antiqua" w:cs="Book Antiqua"/>
        </w:rPr>
        <w:t>Nicotinamide</w:t>
      </w:r>
      <w:bookmarkEnd w:id="373"/>
      <w:r>
        <w:rPr>
          <w:rFonts w:ascii="Book Antiqua" w:eastAsia="Book Antiqua" w:hAnsi="Book Antiqua" w:cs="Book Antiqua"/>
        </w:rPr>
        <w:t>; TNC: Total nucleated cells.</w:t>
      </w:r>
    </w:p>
    <w:p w14:paraId="604CBDCB" w14:textId="77777777" w:rsidR="007006AA" w:rsidRDefault="007006AA">
      <w:pPr>
        <w:spacing w:line="360" w:lineRule="auto"/>
        <w:jc w:val="both"/>
        <w:rPr>
          <w:rFonts w:ascii="Book Antiqua" w:hAnsi="Book Antiqua"/>
        </w:rPr>
        <w:sectPr w:rsidR="007006AA" w:rsidSect="00DC2844">
          <w:pgSz w:w="12240" w:h="15840"/>
          <w:pgMar w:top="1440" w:right="1440" w:bottom="1440" w:left="1440" w:header="720" w:footer="720" w:gutter="0"/>
          <w:cols w:space="720"/>
          <w:docGrid w:linePitch="360"/>
        </w:sectPr>
      </w:pPr>
    </w:p>
    <w:p w14:paraId="7B1A043C" w14:textId="77777777" w:rsidR="007006AA"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35FA7562" wp14:editId="64761155">
            <wp:extent cx="4571365" cy="3741420"/>
            <wp:effectExtent l="0" t="0" r="0" b="0"/>
            <wp:docPr id="1189604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4543" name="图片 1"/>
                    <pic:cNvPicPr>
                      <a:picLocks noChangeAspect="1"/>
                    </pic:cNvPicPr>
                  </pic:nvPicPr>
                  <pic:blipFill>
                    <a:blip r:embed="rId11"/>
                    <a:stretch>
                      <a:fillRect/>
                    </a:stretch>
                  </pic:blipFill>
                  <pic:spPr>
                    <a:xfrm>
                      <a:off x="0" y="0"/>
                      <a:ext cx="4585621" cy="3752762"/>
                    </a:xfrm>
                    <a:prstGeom prst="rect">
                      <a:avLst/>
                    </a:prstGeom>
                  </pic:spPr>
                </pic:pic>
              </a:graphicData>
            </a:graphic>
          </wp:inline>
        </w:drawing>
      </w:r>
      <w:r>
        <w:rPr>
          <w:rFonts w:ascii="Book Antiqua" w:hAnsi="Book Antiqua"/>
          <w:noProof/>
        </w:rPr>
        <w:drawing>
          <wp:inline distT="0" distB="0" distL="0" distR="0" wp14:anchorId="2083D6D4" wp14:editId="7CD53A89">
            <wp:extent cx="1805940" cy="2602230"/>
            <wp:effectExtent l="0" t="0" r="0" b="0"/>
            <wp:docPr id="1640565944" name="图片 1" descr="/data/weboffice/tmp/webword_2138726020/upload_post_object_v2_36101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65944" name="图片 1" descr="/data/weboffice/tmp/webword_2138726020/upload_post_object_v2_3610174193"/>
                    <pic:cNvPicPr>
                      <a:picLocks noChangeAspect="1"/>
                    </pic:cNvPicPr>
                  </pic:nvPicPr>
                  <pic:blipFill>
                    <a:blip r:embed="rId12"/>
                    <a:srcRect/>
                    <a:stretch>
                      <a:fillRect/>
                    </a:stretch>
                  </pic:blipFill>
                  <pic:spPr>
                    <a:xfrm>
                      <a:off x="0" y="0"/>
                      <a:ext cx="1807786" cy="2605498"/>
                    </a:xfrm>
                    <a:prstGeom prst="rect">
                      <a:avLst/>
                    </a:prstGeom>
                  </pic:spPr>
                </pic:pic>
              </a:graphicData>
            </a:graphic>
          </wp:inline>
        </w:drawing>
      </w:r>
      <w:r>
        <w:rPr>
          <w:rFonts w:ascii="Book Antiqua" w:hAnsi="Book Antiqua"/>
          <w:noProof/>
        </w:rPr>
        <w:drawing>
          <wp:inline distT="0" distB="0" distL="0" distR="0" wp14:anchorId="1B338A77" wp14:editId="2353B1E7">
            <wp:extent cx="2354580" cy="2508885"/>
            <wp:effectExtent l="0" t="0" r="0" b="0"/>
            <wp:docPr id="1189088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88012" name="图片 1"/>
                    <pic:cNvPicPr>
                      <a:picLocks noChangeAspect="1"/>
                    </pic:cNvPicPr>
                  </pic:nvPicPr>
                  <pic:blipFill>
                    <a:blip r:embed="rId13"/>
                    <a:stretch>
                      <a:fillRect/>
                    </a:stretch>
                  </pic:blipFill>
                  <pic:spPr>
                    <a:xfrm>
                      <a:off x="0" y="0"/>
                      <a:ext cx="2363989" cy="2519004"/>
                    </a:xfrm>
                    <a:prstGeom prst="rect">
                      <a:avLst/>
                    </a:prstGeom>
                  </pic:spPr>
                </pic:pic>
              </a:graphicData>
            </a:graphic>
          </wp:inline>
        </w:drawing>
      </w:r>
    </w:p>
    <w:p w14:paraId="30217CCA" w14:textId="77777777" w:rsidR="007006A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Effect of different concentrations of nicotinamide on the proportion of apoptotic cells and cell cycle distribution.</w:t>
      </w:r>
      <w:r>
        <w:rPr>
          <w:rFonts w:ascii="Book Antiqua" w:eastAsia="Book Antiqua" w:hAnsi="Book Antiqua" w:cs="Book Antiqua"/>
        </w:rPr>
        <w:t xml:space="preserve"> A: Representative flow cytometry for apoptosis detection in each group; B: Proportion of apoptotic cells in each group; C: Comparison of cell cycle distribution among different groups.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w:t>
      </w:r>
      <w:bookmarkStart w:id="374" w:name="_Hlk154334414"/>
      <w:r>
        <w:rPr>
          <w:rFonts w:ascii="Book Antiqua" w:eastAsia="Book Antiqua" w:hAnsi="Book Antiqua" w:cs="Book Antiqua"/>
        </w:rPr>
        <w:t>NAM</w:t>
      </w:r>
      <w:bookmarkEnd w:id="374"/>
      <w:r>
        <w:rPr>
          <w:rFonts w:ascii="Book Antiqua" w:eastAsia="Book Antiqua" w:hAnsi="Book Antiqua" w:cs="Book Antiqua"/>
        </w:rPr>
        <w:t xml:space="preserve">: </w:t>
      </w:r>
      <w:bookmarkStart w:id="375" w:name="_Hlk154334422"/>
      <w:r>
        <w:rPr>
          <w:rFonts w:ascii="Book Antiqua" w:eastAsia="Book Antiqua" w:hAnsi="Book Antiqua" w:cs="Book Antiqua"/>
        </w:rPr>
        <w:t>Nicotinamide</w:t>
      </w:r>
      <w:bookmarkEnd w:id="375"/>
      <w:r>
        <w:rPr>
          <w:rFonts w:ascii="Book Antiqua" w:eastAsia="Book Antiqua" w:hAnsi="Book Antiqua" w:cs="Book Antiqua"/>
        </w:rPr>
        <w:t>.</w:t>
      </w:r>
    </w:p>
    <w:p w14:paraId="0FBD2921" w14:textId="77777777" w:rsidR="007006AA" w:rsidRDefault="007006AA">
      <w:pPr>
        <w:spacing w:line="360" w:lineRule="auto"/>
        <w:jc w:val="both"/>
        <w:rPr>
          <w:rFonts w:ascii="Book Antiqua" w:eastAsia="Book Antiqua" w:hAnsi="Book Antiqua" w:cs="Book Antiqua"/>
        </w:rPr>
        <w:sectPr w:rsidR="007006AA" w:rsidSect="00DC2844">
          <w:pgSz w:w="12240" w:h="15840"/>
          <w:pgMar w:top="1440" w:right="1440" w:bottom="1440" w:left="1440" w:header="720" w:footer="720" w:gutter="0"/>
          <w:cols w:space="720"/>
          <w:docGrid w:linePitch="360"/>
        </w:sectPr>
      </w:pPr>
    </w:p>
    <w:p w14:paraId="66DF7EFF" w14:textId="77777777" w:rsidR="007006AA"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5CDCA702" wp14:editId="17FFEB7E">
            <wp:extent cx="5698490" cy="2553335"/>
            <wp:effectExtent l="0" t="0" r="0" b="0"/>
            <wp:docPr id="282608607" name="图片 1" descr="/data/weboffice/tmp/webword_2138726020/upload_post_object_v2_162748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08607" name="图片 1" descr="/data/weboffice/tmp/webword_2138726020/upload_post_object_v2_1627487554"/>
                    <pic:cNvPicPr>
                      <a:picLocks noChangeAspect="1"/>
                    </pic:cNvPicPr>
                  </pic:nvPicPr>
                  <pic:blipFill>
                    <a:blip r:embed="rId14"/>
                    <a:srcRect/>
                    <a:stretch>
                      <a:fillRect/>
                    </a:stretch>
                  </pic:blipFill>
                  <pic:spPr>
                    <a:xfrm>
                      <a:off x="0" y="0"/>
                      <a:ext cx="5698490" cy="2553335"/>
                    </a:xfrm>
                    <a:prstGeom prst="rect">
                      <a:avLst/>
                    </a:prstGeom>
                  </pic:spPr>
                </pic:pic>
              </a:graphicData>
            </a:graphic>
          </wp:inline>
        </w:drawing>
      </w:r>
      <w:r>
        <w:rPr>
          <w:rFonts w:ascii="Book Antiqua" w:hAnsi="Book Antiqua"/>
          <w:noProof/>
        </w:rPr>
        <w:drawing>
          <wp:inline distT="0" distB="0" distL="0" distR="0" wp14:anchorId="4FFA0C9A" wp14:editId="46C242E4">
            <wp:extent cx="5943600" cy="2591435"/>
            <wp:effectExtent l="0" t="0" r="0" b="0"/>
            <wp:docPr id="1626922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22896" name="图片 1"/>
                    <pic:cNvPicPr>
                      <a:picLocks noChangeAspect="1"/>
                    </pic:cNvPicPr>
                  </pic:nvPicPr>
                  <pic:blipFill>
                    <a:blip r:embed="rId15"/>
                    <a:stretch>
                      <a:fillRect/>
                    </a:stretch>
                  </pic:blipFill>
                  <pic:spPr>
                    <a:xfrm>
                      <a:off x="0" y="0"/>
                      <a:ext cx="5943600" cy="2591435"/>
                    </a:xfrm>
                    <a:prstGeom prst="rect">
                      <a:avLst/>
                    </a:prstGeom>
                  </pic:spPr>
                </pic:pic>
              </a:graphicData>
            </a:graphic>
          </wp:inline>
        </w:drawing>
      </w:r>
      <w:r>
        <w:rPr>
          <w:rFonts w:ascii="Book Antiqua" w:hAnsi="Book Antiqua"/>
          <w:noProof/>
        </w:rPr>
        <w:drawing>
          <wp:inline distT="0" distB="0" distL="0" distR="0" wp14:anchorId="258D0197" wp14:editId="2D82D2C0">
            <wp:extent cx="5943600" cy="2132965"/>
            <wp:effectExtent l="0" t="0" r="0" b="0"/>
            <wp:docPr id="1877403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3234" name="图片 1"/>
                    <pic:cNvPicPr>
                      <a:picLocks noChangeAspect="1"/>
                    </pic:cNvPicPr>
                  </pic:nvPicPr>
                  <pic:blipFill>
                    <a:blip r:embed="rId16"/>
                    <a:stretch>
                      <a:fillRect/>
                    </a:stretch>
                  </pic:blipFill>
                  <pic:spPr>
                    <a:xfrm>
                      <a:off x="0" y="0"/>
                      <a:ext cx="5943600" cy="2132965"/>
                    </a:xfrm>
                    <a:prstGeom prst="rect">
                      <a:avLst/>
                    </a:prstGeom>
                  </pic:spPr>
                </pic:pic>
              </a:graphicData>
            </a:graphic>
          </wp:inline>
        </w:drawing>
      </w:r>
    </w:p>
    <w:p w14:paraId="2717FCB1" w14:textId="77777777" w:rsidR="007006A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Effect of different concentrations of nicotinamide on reactive oxygen species content, cytokine levels, and gene expression in cultured hematopoietic stem cells.</w:t>
      </w:r>
      <w:r>
        <w:rPr>
          <w:rFonts w:ascii="Book Antiqua" w:eastAsia="Book Antiqua" w:hAnsi="Book Antiqua" w:cs="Book Antiqua"/>
        </w:rPr>
        <w:t xml:space="preserve"> A: Reactive oxygen species in different groups of cells determined by mean fluorescence </w:t>
      </w:r>
      <w:r>
        <w:rPr>
          <w:rFonts w:ascii="Book Antiqua" w:eastAsia="Book Antiqua" w:hAnsi="Book Antiqua" w:cs="Book Antiqua"/>
        </w:rPr>
        <w:lastRenderedPageBreak/>
        <w:t xml:space="preserve">intensity; B: Cytokine levels in the supernatant of cultured cells in each group; C: Comparison of expression of genes encoding stemness-related factors, chemokines, components of hypoxia pathways, and antioxidant enzymes among different groups.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r>
        <w:rPr>
          <w:rFonts w:ascii="Book Antiqua" w:eastAsia="宋体" w:hAnsi="Book Antiqua" w:cs="Book Antiqua"/>
          <w:lang w:eastAsia="zh-CN"/>
        </w:rPr>
        <w:t xml:space="preserve"> </w:t>
      </w:r>
      <w:proofErr w:type="spellStart"/>
      <w:r>
        <w:rPr>
          <w:rFonts w:ascii="Book Antiqua" w:eastAsia="宋体" w:hAnsi="Book Antiqua" w:cs="Book Antiqua"/>
          <w:vertAlign w:val="superscript"/>
          <w:lang w:eastAsia="zh-CN"/>
        </w:rPr>
        <w:t>d</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w:t>
      </w:r>
      <w:r>
        <w:rPr>
          <w:rFonts w:ascii="Book Antiqua" w:eastAsia="宋体" w:hAnsi="Book Antiqua" w:cs="Book Antiqua"/>
          <w:lang w:eastAsia="zh-CN"/>
        </w:rPr>
        <w:t>0</w:t>
      </w:r>
      <w:r>
        <w:rPr>
          <w:rFonts w:ascii="Book Antiqua" w:eastAsia="Book Antiqua" w:hAnsi="Book Antiqua" w:cs="Book Antiqua"/>
        </w:rPr>
        <w:t xml:space="preserve">01. NAM: Nicotinamide; PRDX1: </w:t>
      </w:r>
      <w:bookmarkStart w:id="376" w:name="_Hlk154335500"/>
      <w:r>
        <w:rPr>
          <w:rFonts w:ascii="Book Antiqua" w:eastAsia="Book Antiqua" w:hAnsi="Book Antiqua" w:cs="Book Antiqua"/>
        </w:rPr>
        <w:t>Peroxiredoxin 1</w:t>
      </w:r>
      <w:bookmarkEnd w:id="376"/>
      <w:r>
        <w:rPr>
          <w:rFonts w:ascii="Book Antiqua" w:eastAsia="Book Antiqua" w:hAnsi="Book Antiqua" w:cs="Book Antiqua"/>
        </w:rPr>
        <w:t xml:space="preserve">; SOD: </w:t>
      </w:r>
      <w:bookmarkStart w:id="377" w:name="_Hlk154332513"/>
      <w:r>
        <w:rPr>
          <w:rFonts w:ascii="Book Antiqua" w:eastAsia="Book Antiqua" w:hAnsi="Book Antiqua" w:cs="Book Antiqua"/>
        </w:rPr>
        <w:t>Superoxide dismutase</w:t>
      </w:r>
      <w:bookmarkEnd w:id="377"/>
      <w:r>
        <w:rPr>
          <w:rFonts w:ascii="Book Antiqua" w:eastAsia="Book Antiqua" w:hAnsi="Book Antiqua" w:cs="Book Antiqua"/>
        </w:rPr>
        <w:t>; IL: Interleukin; TNF: Tumor necrosis factor; IFN: Interferon.</w:t>
      </w:r>
    </w:p>
    <w:p w14:paraId="5E45D609" w14:textId="77777777" w:rsidR="007006AA" w:rsidRDefault="00000000">
      <w:pPr>
        <w:rPr>
          <w:rFonts w:ascii="Book Antiqua" w:hAnsi="Book Antiqua"/>
        </w:rPr>
      </w:pPr>
      <w:r>
        <w:rPr>
          <w:rFonts w:ascii="Book Antiqua" w:eastAsia="Book Antiqua" w:hAnsi="Book Antiqua" w:cs="Book Antiqua"/>
        </w:rPr>
        <w:br w:type="page"/>
      </w:r>
    </w:p>
    <w:p w14:paraId="3830F8E7" w14:textId="77777777" w:rsidR="007006AA" w:rsidRDefault="007006AA">
      <w:pPr>
        <w:snapToGrid w:val="0"/>
        <w:ind w:leftChars="100" w:left="240"/>
        <w:jc w:val="center"/>
        <w:rPr>
          <w:rFonts w:ascii="Book Antiqua" w:hAnsi="Book Antiqua"/>
        </w:rPr>
      </w:pPr>
    </w:p>
    <w:p w14:paraId="49C98365" w14:textId="77777777" w:rsidR="007006AA" w:rsidRDefault="007006AA">
      <w:pPr>
        <w:snapToGrid w:val="0"/>
        <w:ind w:leftChars="100" w:left="240"/>
        <w:jc w:val="center"/>
        <w:rPr>
          <w:rFonts w:ascii="Book Antiqua" w:hAnsi="Book Antiqua"/>
        </w:rPr>
      </w:pPr>
    </w:p>
    <w:p w14:paraId="52C28C7D" w14:textId="77777777" w:rsidR="007006AA" w:rsidRDefault="007006AA">
      <w:pPr>
        <w:snapToGrid w:val="0"/>
        <w:ind w:leftChars="100" w:left="240"/>
        <w:jc w:val="center"/>
        <w:rPr>
          <w:rFonts w:ascii="Book Antiqua" w:hAnsi="Book Antiqua"/>
        </w:rPr>
      </w:pPr>
    </w:p>
    <w:p w14:paraId="0C94663D" w14:textId="77777777" w:rsidR="007006AA" w:rsidRDefault="007006AA">
      <w:pPr>
        <w:snapToGrid w:val="0"/>
        <w:ind w:leftChars="100" w:left="240"/>
        <w:jc w:val="center"/>
        <w:rPr>
          <w:rFonts w:ascii="Book Antiqua" w:hAnsi="Book Antiqua"/>
        </w:rPr>
      </w:pPr>
    </w:p>
    <w:p w14:paraId="3422E8EF" w14:textId="77777777" w:rsidR="007006AA" w:rsidRDefault="00000000">
      <w:pPr>
        <w:snapToGrid w:val="0"/>
        <w:ind w:leftChars="100" w:left="240"/>
        <w:jc w:val="center"/>
        <w:rPr>
          <w:rFonts w:ascii="Book Antiqua" w:hAnsi="Book Antiqua"/>
        </w:rPr>
      </w:pPr>
      <w:r>
        <w:rPr>
          <w:rFonts w:ascii="Book Antiqua" w:hAnsi="Book Antiqua"/>
          <w:noProof/>
        </w:rPr>
        <w:drawing>
          <wp:inline distT="0" distB="0" distL="0" distR="0" wp14:anchorId="0EDBE1E0" wp14:editId="247504D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A4EEA32" w14:textId="77777777" w:rsidR="007006AA" w:rsidRDefault="007006AA">
      <w:pPr>
        <w:snapToGrid w:val="0"/>
        <w:ind w:leftChars="100" w:left="240"/>
        <w:jc w:val="center"/>
        <w:rPr>
          <w:rFonts w:ascii="Book Antiqua" w:hAnsi="Book Antiqua"/>
        </w:rPr>
      </w:pPr>
    </w:p>
    <w:p w14:paraId="007B640C" w14:textId="77777777" w:rsidR="007006AA"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8B9D8B5" w14:textId="77777777" w:rsidR="007006AA"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BB6203" w14:textId="77777777" w:rsidR="007006AA"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ABCC4B" w14:textId="77777777" w:rsidR="007006AA"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office@baishideng.com</w:t>
      </w:r>
    </w:p>
    <w:p w14:paraId="78C9281B" w14:textId="77777777" w:rsidR="007006AA"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814879C" w14:textId="77777777" w:rsidR="007006AA" w:rsidRDefault="000000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6A34E34" w14:textId="77777777" w:rsidR="007006AA" w:rsidRDefault="007006AA">
      <w:pPr>
        <w:snapToGrid w:val="0"/>
        <w:ind w:leftChars="100" w:left="240"/>
        <w:jc w:val="center"/>
        <w:rPr>
          <w:rFonts w:ascii="Book Antiqua" w:hAnsi="Book Antiqua"/>
        </w:rPr>
      </w:pPr>
    </w:p>
    <w:p w14:paraId="61FBF542" w14:textId="77777777" w:rsidR="007006AA" w:rsidRDefault="007006AA">
      <w:pPr>
        <w:snapToGrid w:val="0"/>
        <w:ind w:leftChars="100" w:left="240"/>
        <w:jc w:val="center"/>
        <w:rPr>
          <w:rFonts w:ascii="Book Antiqua" w:hAnsi="Book Antiqua"/>
        </w:rPr>
      </w:pPr>
    </w:p>
    <w:p w14:paraId="19FCD30D" w14:textId="77777777" w:rsidR="007006AA" w:rsidRDefault="007006AA">
      <w:pPr>
        <w:snapToGrid w:val="0"/>
        <w:ind w:leftChars="100" w:left="240"/>
        <w:jc w:val="center"/>
        <w:rPr>
          <w:rFonts w:ascii="Book Antiqua" w:hAnsi="Book Antiqua"/>
        </w:rPr>
      </w:pPr>
    </w:p>
    <w:p w14:paraId="133946AF" w14:textId="77777777" w:rsidR="007006AA" w:rsidRDefault="00000000">
      <w:pPr>
        <w:snapToGrid w:val="0"/>
        <w:ind w:leftChars="100" w:left="240"/>
        <w:jc w:val="center"/>
        <w:rPr>
          <w:rFonts w:ascii="Book Antiqua" w:hAnsi="Book Antiqua"/>
        </w:rPr>
      </w:pPr>
      <w:r>
        <w:rPr>
          <w:rFonts w:ascii="Book Antiqua" w:hAnsi="Book Antiqua"/>
          <w:noProof/>
        </w:rPr>
        <w:drawing>
          <wp:inline distT="0" distB="0" distL="0" distR="0" wp14:anchorId="3847D4B2" wp14:editId="36B77EA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7595A74" w14:textId="77777777" w:rsidR="007006AA" w:rsidRDefault="007006AA">
      <w:pPr>
        <w:snapToGrid w:val="0"/>
        <w:ind w:leftChars="100" w:left="240"/>
        <w:jc w:val="center"/>
        <w:rPr>
          <w:rFonts w:ascii="Book Antiqua" w:hAnsi="Book Antiqua"/>
        </w:rPr>
      </w:pPr>
    </w:p>
    <w:p w14:paraId="59EFD46E" w14:textId="77777777" w:rsidR="007006AA" w:rsidRDefault="007006AA">
      <w:pPr>
        <w:snapToGrid w:val="0"/>
        <w:ind w:leftChars="100" w:left="240"/>
        <w:jc w:val="center"/>
        <w:rPr>
          <w:rFonts w:ascii="Book Antiqua" w:hAnsi="Book Antiqua"/>
        </w:rPr>
      </w:pPr>
    </w:p>
    <w:p w14:paraId="60B553F4" w14:textId="77777777" w:rsidR="007006AA" w:rsidRDefault="007006AA">
      <w:pPr>
        <w:snapToGrid w:val="0"/>
        <w:ind w:leftChars="100" w:left="240"/>
        <w:jc w:val="center"/>
        <w:rPr>
          <w:rFonts w:ascii="Book Antiqua" w:hAnsi="Book Antiqua"/>
        </w:rPr>
      </w:pPr>
    </w:p>
    <w:p w14:paraId="2762A93C" w14:textId="77777777" w:rsidR="007006AA" w:rsidRDefault="007006AA">
      <w:pPr>
        <w:snapToGrid w:val="0"/>
        <w:ind w:leftChars="100" w:left="240"/>
        <w:jc w:val="center"/>
        <w:rPr>
          <w:rFonts w:ascii="Book Antiqua" w:hAnsi="Book Antiqua"/>
        </w:rPr>
      </w:pPr>
    </w:p>
    <w:p w14:paraId="0F03245D" w14:textId="77777777" w:rsidR="007006AA" w:rsidRDefault="007006AA">
      <w:pPr>
        <w:snapToGrid w:val="0"/>
        <w:ind w:leftChars="100" w:left="240"/>
        <w:jc w:val="center"/>
        <w:rPr>
          <w:rFonts w:ascii="Book Antiqua" w:hAnsi="Book Antiqua"/>
        </w:rPr>
      </w:pPr>
    </w:p>
    <w:p w14:paraId="0696B4CB" w14:textId="77777777" w:rsidR="007006AA" w:rsidRDefault="007006AA">
      <w:pPr>
        <w:snapToGrid w:val="0"/>
        <w:ind w:leftChars="100" w:left="240"/>
        <w:jc w:val="center"/>
        <w:rPr>
          <w:rFonts w:ascii="Book Antiqua" w:hAnsi="Book Antiqua"/>
        </w:rPr>
      </w:pPr>
    </w:p>
    <w:p w14:paraId="5EA27B47" w14:textId="77777777" w:rsidR="007006AA" w:rsidRDefault="007006AA">
      <w:pPr>
        <w:snapToGrid w:val="0"/>
        <w:ind w:leftChars="100" w:left="240"/>
        <w:jc w:val="center"/>
        <w:rPr>
          <w:rFonts w:ascii="Book Antiqua" w:hAnsi="Book Antiqua"/>
        </w:rPr>
      </w:pPr>
    </w:p>
    <w:p w14:paraId="1A604117" w14:textId="77777777" w:rsidR="007006AA" w:rsidRDefault="007006AA">
      <w:pPr>
        <w:snapToGrid w:val="0"/>
        <w:ind w:leftChars="100" w:left="240"/>
        <w:jc w:val="center"/>
        <w:rPr>
          <w:rFonts w:ascii="Book Antiqua" w:hAnsi="Book Antiqua"/>
        </w:rPr>
      </w:pPr>
    </w:p>
    <w:p w14:paraId="79ADD137" w14:textId="77777777" w:rsidR="007006AA" w:rsidRDefault="007006AA">
      <w:pPr>
        <w:snapToGrid w:val="0"/>
        <w:ind w:leftChars="100" w:left="240"/>
        <w:jc w:val="center"/>
        <w:rPr>
          <w:rFonts w:ascii="Book Antiqua" w:hAnsi="Book Antiqua"/>
        </w:rPr>
      </w:pPr>
    </w:p>
    <w:p w14:paraId="1C401E39" w14:textId="77777777" w:rsidR="007006AA" w:rsidRDefault="007006AA">
      <w:pPr>
        <w:snapToGrid w:val="0"/>
        <w:ind w:leftChars="100" w:left="240"/>
        <w:jc w:val="right"/>
        <w:rPr>
          <w:rFonts w:ascii="Book Antiqua" w:hAnsi="Book Antiqua"/>
          <w:color w:val="000000" w:themeColor="text1"/>
        </w:rPr>
      </w:pPr>
    </w:p>
    <w:p w14:paraId="16559871" w14:textId="5D892ADD" w:rsidR="007006AA" w:rsidRPr="00772A19" w:rsidRDefault="00000000" w:rsidP="00772A1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sectPr w:rsidR="007006AA" w:rsidRPr="00772A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7EB1F" w14:textId="77777777" w:rsidR="00DC2844" w:rsidRDefault="00DC2844">
      <w:r>
        <w:separator/>
      </w:r>
    </w:p>
  </w:endnote>
  <w:endnote w:type="continuationSeparator" w:id="0">
    <w:p w14:paraId="176532A5" w14:textId="77777777" w:rsidR="00DC2844" w:rsidRDefault="00DC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2A84" w14:textId="77777777" w:rsidR="007006A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D5D9" w14:textId="77777777" w:rsidR="00DC2844" w:rsidRDefault="00DC2844">
      <w:r>
        <w:separator/>
      </w:r>
    </w:p>
  </w:footnote>
  <w:footnote w:type="continuationSeparator" w:id="0">
    <w:p w14:paraId="75D608C6" w14:textId="77777777" w:rsidR="00DC2844" w:rsidRDefault="00DC28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B7FFA515"/>
    <w:rsid w:val="CFDDFC40"/>
    <w:rsid w:val="D71FC657"/>
    <w:rsid w:val="D99F7F04"/>
    <w:rsid w:val="DDE45407"/>
    <w:rsid w:val="DEBB48A3"/>
    <w:rsid w:val="DEEFC881"/>
    <w:rsid w:val="DF2FA0C6"/>
    <w:rsid w:val="E7DF4E05"/>
    <w:rsid w:val="F776FA18"/>
    <w:rsid w:val="F7B93E1D"/>
    <w:rsid w:val="F7FFDE71"/>
    <w:rsid w:val="FDF7F6C9"/>
    <w:rsid w:val="FDFA6F13"/>
    <w:rsid w:val="FF7D109A"/>
    <w:rsid w:val="FF7D4F35"/>
    <w:rsid w:val="FF9A533A"/>
    <w:rsid w:val="FFAFB125"/>
    <w:rsid w:val="FFBE3501"/>
    <w:rsid w:val="FFFF070B"/>
    <w:rsid w:val="FFFF2F2E"/>
    <w:rsid w:val="00015D71"/>
    <w:rsid w:val="001543CA"/>
    <w:rsid w:val="00173D1A"/>
    <w:rsid w:val="00181B71"/>
    <w:rsid w:val="001D5901"/>
    <w:rsid w:val="0021195D"/>
    <w:rsid w:val="00250B2C"/>
    <w:rsid w:val="00284362"/>
    <w:rsid w:val="00352EF0"/>
    <w:rsid w:val="003E3AAD"/>
    <w:rsid w:val="004017A6"/>
    <w:rsid w:val="0045403C"/>
    <w:rsid w:val="0046186A"/>
    <w:rsid w:val="00467A2C"/>
    <w:rsid w:val="00482A34"/>
    <w:rsid w:val="004A3A60"/>
    <w:rsid w:val="004C4998"/>
    <w:rsid w:val="00690E76"/>
    <w:rsid w:val="006952B5"/>
    <w:rsid w:val="006C4B67"/>
    <w:rsid w:val="007006AA"/>
    <w:rsid w:val="00723BD3"/>
    <w:rsid w:val="00755196"/>
    <w:rsid w:val="00757D42"/>
    <w:rsid w:val="00772A19"/>
    <w:rsid w:val="00783263"/>
    <w:rsid w:val="007D1B70"/>
    <w:rsid w:val="008C2C42"/>
    <w:rsid w:val="00935DBC"/>
    <w:rsid w:val="009A205A"/>
    <w:rsid w:val="009D39E5"/>
    <w:rsid w:val="00A6751A"/>
    <w:rsid w:val="00A67E67"/>
    <w:rsid w:val="00A77B3E"/>
    <w:rsid w:val="00A939D7"/>
    <w:rsid w:val="00AA0ECD"/>
    <w:rsid w:val="00B45F0C"/>
    <w:rsid w:val="00B853DE"/>
    <w:rsid w:val="00C44ED6"/>
    <w:rsid w:val="00CA2A55"/>
    <w:rsid w:val="00DC2844"/>
    <w:rsid w:val="00E41F00"/>
    <w:rsid w:val="00F14C94"/>
    <w:rsid w:val="00F27F00"/>
    <w:rsid w:val="00F4631A"/>
    <w:rsid w:val="00F533AA"/>
    <w:rsid w:val="00F85507"/>
    <w:rsid w:val="00FB0427"/>
    <w:rsid w:val="00FC7762"/>
    <w:rsid w:val="05F73D0B"/>
    <w:rsid w:val="0C712873"/>
    <w:rsid w:val="0EEF7DC0"/>
    <w:rsid w:val="15A07014"/>
    <w:rsid w:val="17D11706"/>
    <w:rsid w:val="18EFEA16"/>
    <w:rsid w:val="1E232A5A"/>
    <w:rsid w:val="1E31209C"/>
    <w:rsid w:val="1F1545CE"/>
    <w:rsid w:val="2337222C"/>
    <w:rsid w:val="23A6368B"/>
    <w:rsid w:val="2DD13DB6"/>
    <w:rsid w:val="329A2711"/>
    <w:rsid w:val="32BF15AA"/>
    <w:rsid w:val="335C332A"/>
    <w:rsid w:val="337E9AC0"/>
    <w:rsid w:val="33CE6A0A"/>
    <w:rsid w:val="3962620A"/>
    <w:rsid w:val="3B699E32"/>
    <w:rsid w:val="3BBD782F"/>
    <w:rsid w:val="3F878571"/>
    <w:rsid w:val="42B147F2"/>
    <w:rsid w:val="42B927D3"/>
    <w:rsid w:val="433B1470"/>
    <w:rsid w:val="444C3D7D"/>
    <w:rsid w:val="46B646A8"/>
    <w:rsid w:val="47F4D2C6"/>
    <w:rsid w:val="4B843940"/>
    <w:rsid w:val="4D640BE9"/>
    <w:rsid w:val="4F3F783B"/>
    <w:rsid w:val="4FD44A54"/>
    <w:rsid w:val="5100644B"/>
    <w:rsid w:val="52EB0BC7"/>
    <w:rsid w:val="53144E64"/>
    <w:rsid w:val="5376E6B4"/>
    <w:rsid w:val="586A5456"/>
    <w:rsid w:val="5CBC75DB"/>
    <w:rsid w:val="5CDA48EB"/>
    <w:rsid w:val="5D79399F"/>
    <w:rsid w:val="5DCD7847"/>
    <w:rsid w:val="5EAF5D1F"/>
    <w:rsid w:val="5EF68B28"/>
    <w:rsid w:val="64A5151D"/>
    <w:rsid w:val="6589499B"/>
    <w:rsid w:val="662856A8"/>
    <w:rsid w:val="6694381D"/>
    <w:rsid w:val="66A82BFF"/>
    <w:rsid w:val="6BDFD4E0"/>
    <w:rsid w:val="72145524"/>
    <w:rsid w:val="73F7986C"/>
    <w:rsid w:val="74093DD1"/>
    <w:rsid w:val="75EFC209"/>
    <w:rsid w:val="75F7AAE2"/>
    <w:rsid w:val="77FF7FE8"/>
    <w:rsid w:val="7DD52B6A"/>
    <w:rsid w:val="7DE918B4"/>
    <w:rsid w:val="7DFEEEA3"/>
    <w:rsid w:val="7FBDD9FE"/>
    <w:rsid w:val="7FEED897"/>
    <w:rsid w:val="83FBCA9C"/>
    <w:rsid w:val="8D7BF5B8"/>
    <w:rsid w:val="92AF8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00B91065"/>
  <w15:docId w15:val="{131B4C41-4CB9-4043-A0BC-706B0AE6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autoRedefine/>
    <w:uiPriority w:val="99"/>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autoRedefine/>
    <w:qFormat/>
    <w:rPr>
      <w:b/>
      <w:bCs/>
    </w:rPr>
  </w:style>
  <w:style w:type="character" w:styleId="ac">
    <w:name w:val="Hyperlink"/>
    <w:basedOn w:val="a0"/>
    <w:autoRedefine/>
    <w:qFormat/>
    <w:rPr>
      <w:color w:val="0000FF" w:themeColor="hyperlink"/>
      <w:u w:val="single"/>
    </w:rPr>
  </w:style>
  <w:style w:type="character" w:styleId="ad">
    <w:name w:val="annotation reference"/>
    <w:basedOn w:val="a0"/>
    <w:autoRedefine/>
    <w:qFormat/>
    <w:rPr>
      <w:sz w:val="21"/>
      <w:szCs w:val="21"/>
    </w:r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autoRedefine/>
    <w:qFormat/>
    <w:rPr>
      <w:rFonts w:eastAsiaTheme="minorEastAsia"/>
      <w:b/>
      <w:bCs/>
      <w:sz w:val="24"/>
      <w:szCs w:val="24"/>
      <w:lang w:eastAsia="en-US"/>
    </w:rPr>
  </w:style>
  <w:style w:type="character" w:customStyle="1" w:styleId="a8">
    <w:name w:val="页眉 字符"/>
    <w:basedOn w:val="a0"/>
    <w:link w:val="a7"/>
    <w:autoRedefine/>
    <w:qFormat/>
    <w:rPr>
      <w:rFonts w:eastAsiaTheme="minorEastAsia"/>
      <w:sz w:val="18"/>
      <w:szCs w:val="18"/>
      <w:lang w:eastAsia="en-US"/>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paragraph" w:customStyle="1" w:styleId="3">
    <w:name w:val="修订3"/>
    <w:autoRedefine/>
    <w:hidden/>
    <w:uiPriority w:val="99"/>
    <w:unhideWhenUsed/>
    <w:qFormat/>
    <w:rPr>
      <w:rFonts w:eastAsiaTheme="minorEastAsia"/>
      <w:sz w:val="24"/>
      <w:szCs w:val="24"/>
      <w:lang w:eastAsia="en-US"/>
    </w:rPr>
  </w:style>
  <w:style w:type="character" w:customStyle="1" w:styleId="10">
    <w:name w:val="未处理的提及1"/>
    <w:basedOn w:val="a0"/>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70451-27FA-4FB4-8487-2CA491F2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7420</Words>
  <Characters>42296</Characters>
  <Application>Microsoft Office Word</Application>
  <DocSecurity>0</DocSecurity>
  <Lines>352</Lines>
  <Paragraphs>99</Paragraphs>
  <ScaleCrop>false</ScaleCrop>
  <Company/>
  <LinksUpToDate>false</LinksUpToDate>
  <CharactersWithSpaces>49617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4</cp:revision>
  <dcterms:created xsi:type="dcterms:W3CDTF">2024-02-02T15:22:00Z</dcterms:created>
  <dcterms:modified xsi:type="dcterms:W3CDTF">2024-02-23T13:58:00Z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A09F90D528A64FF284D8B2B6CFA53BBF_13</vt:lpwstr>
  </property>
</Properties>
</file>