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33F24"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rPr>
        <w:t xml:space="preserve">Name of Journal: </w:t>
      </w:r>
      <w:r w:rsidRPr="003C219A">
        <w:rPr>
          <w:rFonts w:ascii="Book Antiqua" w:eastAsia="Book Antiqua" w:hAnsi="Book Antiqua" w:cs="Book Antiqua"/>
          <w:i/>
        </w:rPr>
        <w:t>World Journal of Gastrointestinal Endoscopy</w:t>
      </w:r>
    </w:p>
    <w:p w14:paraId="479A36BF"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rPr>
        <w:t xml:space="preserve">Manuscript NO: </w:t>
      </w:r>
      <w:r w:rsidRPr="003C219A">
        <w:rPr>
          <w:rFonts w:ascii="Book Antiqua" w:eastAsia="Book Antiqua" w:hAnsi="Book Antiqua" w:cs="Book Antiqua"/>
        </w:rPr>
        <w:t>89039</w:t>
      </w:r>
    </w:p>
    <w:p w14:paraId="0233222B"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rPr>
        <w:t xml:space="preserve">Manuscript Type: </w:t>
      </w:r>
      <w:r w:rsidRPr="003C219A">
        <w:rPr>
          <w:rFonts w:ascii="Book Antiqua" w:eastAsia="Book Antiqua" w:hAnsi="Book Antiqua" w:cs="Book Antiqua"/>
        </w:rPr>
        <w:t>ORIGINAL ARTICLE</w:t>
      </w:r>
    </w:p>
    <w:p w14:paraId="7EB28ADB" w14:textId="77777777" w:rsidR="00A77B3E" w:rsidRPr="003C219A" w:rsidRDefault="00A77B3E" w:rsidP="003C219A">
      <w:pPr>
        <w:spacing w:line="360" w:lineRule="auto"/>
        <w:jc w:val="both"/>
        <w:rPr>
          <w:rFonts w:ascii="Book Antiqua" w:hAnsi="Book Antiqua" w:hint="eastAsia"/>
          <w:lang w:eastAsia="zh-CN"/>
        </w:rPr>
      </w:pPr>
    </w:p>
    <w:p w14:paraId="2285FF74"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i/>
        </w:rPr>
        <w:t>Observational Study</w:t>
      </w:r>
    </w:p>
    <w:p w14:paraId="09A5D458" w14:textId="5E686EC0"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color w:val="000000"/>
        </w:rPr>
        <w:t>Could near focus endoscopy, narrow-band imaging</w:t>
      </w:r>
      <w:r w:rsidR="00BD0D0A" w:rsidRPr="003C219A">
        <w:rPr>
          <w:rFonts w:ascii="Book Antiqua" w:eastAsia="Book Antiqua" w:hAnsi="Book Antiqua" w:cs="Book Antiqua"/>
          <w:b/>
          <w:bCs/>
          <w:color w:val="000000"/>
        </w:rPr>
        <w:t>,</w:t>
      </w:r>
      <w:r w:rsidRPr="003C219A">
        <w:rPr>
          <w:rFonts w:ascii="Book Antiqua" w:eastAsia="Book Antiqua" w:hAnsi="Book Antiqua" w:cs="Book Antiqua"/>
          <w:b/>
          <w:bCs/>
          <w:color w:val="000000"/>
        </w:rPr>
        <w:t xml:space="preserve"> and acetic acid improve the visualization </w:t>
      </w:r>
      <w:r w:rsidR="00BD0D0A" w:rsidRPr="003C219A">
        <w:rPr>
          <w:rFonts w:ascii="Book Antiqua" w:eastAsia="Book Antiqua" w:hAnsi="Book Antiqua" w:cs="Book Antiqua"/>
          <w:b/>
          <w:bCs/>
          <w:color w:val="000000"/>
        </w:rPr>
        <w:t xml:space="preserve">of </w:t>
      </w:r>
      <w:r w:rsidRPr="003C219A">
        <w:rPr>
          <w:rFonts w:ascii="Book Antiqua" w:eastAsia="Book Antiqua" w:hAnsi="Book Antiqua" w:cs="Book Antiqua"/>
          <w:b/>
          <w:bCs/>
          <w:color w:val="000000"/>
        </w:rPr>
        <w:t>microscopic features of stomach mucosa?</w:t>
      </w:r>
    </w:p>
    <w:p w14:paraId="39CFE738" w14:textId="77777777" w:rsidR="00A77B3E" w:rsidRPr="003C219A" w:rsidRDefault="00A77B3E" w:rsidP="003C219A">
      <w:pPr>
        <w:spacing w:line="360" w:lineRule="auto"/>
        <w:jc w:val="both"/>
        <w:rPr>
          <w:rFonts w:ascii="Book Antiqua" w:hAnsi="Book Antiqua"/>
        </w:rPr>
      </w:pPr>
    </w:p>
    <w:p w14:paraId="77E63279" w14:textId="5BDA2C2A" w:rsidR="00A77B3E" w:rsidRPr="003C219A" w:rsidRDefault="00F72C92" w:rsidP="003C219A">
      <w:pPr>
        <w:spacing w:line="360" w:lineRule="auto"/>
        <w:jc w:val="both"/>
        <w:rPr>
          <w:rFonts w:ascii="Book Antiqua" w:hAnsi="Book Antiqua"/>
        </w:rPr>
      </w:pPr>
      <w:proofErr w:type="spellStart"/>
      <w:r w:rsidRPr="003C219A">
        <w:rPr>
          <w:rFonts w:ascii="Book Antiqua" w:eastAsia="Book Antiqua" w:hAnsi="Book Antiqua" w:cs="Book Antiqua"/>
        </w:rPr>
        <w:t>Kurtcehajic</w:t>
      </w:r>
      <w:proofErr w:type="spellEnd"/>
      <w:r w:rsidRPr="003C219A">
        <w:rPr>
          <w:rFonts w:ascii="Book Antiqua" w:eastAsia="Book Antiqua" w:hAnsi="Book Antiqua" w:cs="Book Antiqua"/>
        </w:rPr>
        <w:t xml:space="preserve"> A</w:t>
      </w:r>
      <w:r w:rsidRPr="003C219A">
        <w:rPr>
          <w:rFonts w:ascii="Book Antiqua" w:eastAsia="Book Antiqua" w:hAnsi="Book Antiqua" w:cs="Book Antiqua"/>
          <w:color w:val="000000"/>
        </w:rPr>
        <w:t xml:space="preserve"> </w:t>
      </w:r>
      <w:r w:rsidRPr="003C219A">
        <w:rPr>
          <w:rFonts w:ascii="Book Antiqua" w:eastAsia="Book Antiqua" w:hAnsi="Book Antiqua" w:cs="Book Antiqua"/>
          <w:i/>
          <w:iCs/>
          <w:color w:val="000000"/>
        </w:rPr>
        <w:t>et al</w:t>
      </w:r>
      <w:r w:rsidRPr="003C219A">
        <w:rPr>
          <w:rFonts w:ascii="Book Antiqua" w:eastAsia="Book Antiqua" w:hAnsi="Book Antiqua" w:cs="Book Antiqua"/>
          <w:color w:val="000000"/>
        </w:rPr>
        <w:t>. Endoscopic microanatomy of the gastric mucosa</w:t>
      </w:r>
    </w:p>
    <w:p w14:paraId="552B31B5" w14:textId="77777777" w:rsidR="00A77B3E" w:rsidRPr="003C219A" w:rsidRDefault="00A77B3E" w:rsidP="003C219A">
      <w:pPr>
        <w:spacing w:line="360" w:lineRule="auto"/>
        <w:jc w:val="both"/>
        <w:rPr>
          <w:rFonts w:ascii="Book Antiqua" w:hAnsi="Book Antiqua"/>
        </w:rPr>
      </w:pPr>
    </w:p>
    <w:p w14:paraId="751EE05E" w14:textId="77777777" w:rsidR="00A77B3E" w:rsidRPr="003C219A" w:rsidRDefault="00000000" w:rsidP="003C219A">
      <w:pPr>
        <w:spacing w:line="360" w:lineRule="auto"/>
        <w:jc w:val="both"/>
        <w:rPr>
          <w:rFonts w:ascii="Book Antiqua" w:hAnsi="Book Antiqua"/>
        </w:rPr>
      </w:pPr>
      <w:proofErr w:type="spellStart"/>
      <w:r w:rsidRPr="003C219A">
        <w:rPr>
          <w:rFonts w:ascii="Book Antiqua" w:eastAsia="Book Antiqua" w:hAnsi="Book Antiqua" w:cs="Book Antiqua"/>
          <w:color w:val="000000"/>
        </w:rPr>
        <w:t>Admir</w:t>
      </w:r>
      <w:proofErr w:type="spellEnd"/>
      <w:r w:rsidRPr="003C219A">
        <w:rPr>
          <w:rFonts w:ascii="Book Antiqua" w:eastAsia="Book Antiqua" w:hAnsi="Book Antiqua" w:cs="Book Antiqua"/>
          <w:color w:val="000000"/>
        </w:rPr>
        <w:t xml:space="preserve"> </w:t>
      </w:r>
      <w:proofErr w:type="spellStart"/>
      <w:r w:rsidRPr="003C219A">
        <w:rPr>
          <w:rFonts w:ascii="Book Antiqua" w:eastAsia="Book Antiqua" w:hAnsi="Book Antiqua" w:cs="Book Antiqua"/>
          <w:color w:val="000000"/>
        </w:rPr>
        <w:t>Kurtcehajic</w:t>
      </w:r>
      <w:proofErr w:type="spellEnd"/>
      <w:r w:rsidRPr="003C219A">
        <w:rPr>
          <w:rFonts w:ascii="Book Antiqua" w:eastAsia="Book Antiqua" w:hAnsi="Book Antiqua" w:cs="Book Antiqua"/>
          <w:color w:val="000000"/>
        </w:rPr>
        <w:t xml:space="preserve">, </w:t>
      </w:r>
      <w:proofErr w:type="spellStart"/>
      <w:r w:rsidRPr="003C219A">
        <w:rPr>
          <w:rFonts w:ascii="Book Antiqua" w:eastAsia="Book Antiqua" w:hAnsi="Book Antiqua" w:cs="Book Antiqua"/>
          <w:color w:val="000000"/>
        </w:rPr>
        <w:t>Enver</w:t>
      </w:r>
      <w:proofErr w:type="spellEnd"/>
      <w:r w:rsidRPr="003C219A">
        <w:rPr>
          <w:rFonts w:ascii="Book Antiqua" w:eastAsia="Book Antiqua" w:hAnsi="Book Antiqua" w:cs="Book Antiqua"/>
          <w:color w:val="000000"/>
        </w:rPr>
        <w:t xml:space="preserve"> </w:t>
      </w:r>
      <w:proofErr w:type="spellStart"/>
      <w:r w:rsidRPr="003C219A">
        <w:rPr>
          <w:rFonts w:ascii="Book Antiqua" w:eastAsia="Book Antiqua" w:hAnsi="Book Antiqua" w:cs="Book Antiqua"/>
          <w:color w:val="000000"/>
        </w:rPr>
        <w:t>Zerem</w:t>
      </w:r>
      <w:proofErr w:type="spellEnd"/>
      <w:r w:rsidRPr="003C219A">
        <w:rPr>
          <w:rFonts w:ascii="Book Antiqua" w:eastAsia="Book Antiqua" w:hAnsi="Book Antiqua" w:cs="Book Antiqua"/>
          <w:color w:val="000000"/>
        </w:rPr>
        <w:t xml:space="preserve">, Tomislav </w:t>
      </w:r>
      <w:proofErr w:type="spellStart"/>
      <w:r w:rsidRPr="003C219A">
        <w:rPr>
          <w:rFonts w:ascii="Book Antiqua" w:eastAsia="Book Antiqua" w:hAnsi="Book Antiqua" w:cs="Book Antiqua"/>
          <w:color w:val="000000"/>
        </w:rPr>
        <w:t>Bokun</w:t>
      </w:r>
      <w:proofErr w:type="spellEnd"/>
      <w:r w:rsidRPr="003C219A">
        <w:rPr>
          <w:rFonts w:ascii="Book Antiqua" w:eastAsia="Book Antiqua" w:hAnsi="Book Antiqua" w:cs="Book Antiqua"/>
          <w:color w:val="000000"/>
        </w:rPr>
        <w:t xml:space="preserve">, Ervin </w:t>
      </w:r>
      <w:proofErr w:type="spellStart"/>
      <w:r w:rsidRPr="003C219A">
        <w:rPr>
          <w:rFonts w:ascii="Book Antiqua" w:eastAsia="Book Antiqua" w:hAnsi="Book Antiqua" w:cs="Book Antiqua"/>
          <w:color w:val="000000"/>
        </w:rPr>
        <w:t>Alibegovic</w:t>
      </w:r>
      <w:proofErr w:type="spellEnd"/>
      <w:r w:rsidRPr="003C219A">
        <w:rPr>
          <w:rFonts w:ascii="Book Antiqua" w:eastAsia="Book Antiqua" w:hAnsi="Book Antiqua" w:cs="Book Antiqua"/>
          <w:color w:val="000000"/>
        </w:rPr>
        <w:t xml:space="preserve">, </w:t>
      </w:r>
      <w:proofErr w:type="spellStart"/>
      <w:r w:rsidRPr="003C219A">
        <w:rPr>
          <w:rFonts w:ascii="Book Antiqua" w:eastAsia="Book Antiqua" w:hAnsi="Book Antiqua" w:cs="Book Antiqua"/>
          <w:color w:val="000000"/>
        </w:rPr>
        <w:t>Suad</w:t>
      </w:r>
      <w:proofErr w:type="spellEnd"/>
      <w:r w:rsidRPr="003C219A">
        <w:rPr>
          <w:rFonts w:ascii="Book Antiqua" w:eastAsia="Book Antiqua" w:hAnsi="Book Antiqua" w:cs="Book Antiqua"/>
          <w:color w:val="000000"/>
        </w:rPr>
        <w:t xml:space="preserve"> </w:t>
      </w:r>
      <w:proofErr w:type="spellStart"/>
      <w:r w:rsidRPr="003C219A">
        <w:rPr>
          <w:rFonts w:ascii="Book Antiqua" w:eastAsia="Book Antiqua" w:hAnsi="Book Antiqua" w:cs="Book Antiqua"/>
          <w:color w:val="000000"/>
        </w:rPr>
        <w:t>Kunosic</w:t>
      </w:r>
      <w:proofErr w:type="spellEnd"/>
      <w:r w:rsidRPr="003C219A">
        <w:rPr>
          <w:rFonts w:ascii="Book Antiqua" w:eastAsia="Book Antiqua" w:hAnsi="Book Antiqua" w:cs="Book Antiqua"/>
          <w:color w:val="000000"/>
        </w:rPr>
        <w:t xml:space="preserve">, Ahmed </w:t>
      </w:r>
      <w:proofErr w:type="spellStart"/>
      <w:r w:rsidRPr="003C219A">
        <w:rPr>
          <w:rFonts w:ascii="Book Antiqua" w:eastAsia="Book Antiqua" w:hAnsi="Book Antiqua" w:cs="Book Antiqua"/>
          <w:color w:val="000000"/>
        </w:rPr>
        <w:t>Hujdurovic</w:t>
      </w:r>
      <w:proofErr w:type="spellEnd"/>
      <w:r w:rsidRPr="003C219A">
        <w:rPr>
          <w:rFonts w:ascii="Book Antiqua" w:eastAsia="Book Antiqua" w:hAnsi="Book Antiqua" w:cs="Book Antiqua"/>
          <w:color w:val="000000"/>
        </w:rPr>
        <w:t xml:space="preserve">, Amir </w:t>
      </w:r>
      <w:proofErr w:type="spellStart"/>
      <w:r w:rsidRPr="003C219A">
        <w:rPr>
          <w:rFonts w:ascii="Book Antiqua" w:eastAsia="Book Antiqua" w:hAnsi="Book Antiqua" w:cs="Book Antiqua"/>
          <w:color w:val="000000"/>
        </w:rPr>
        <w:t>Tursunovic</w:t>
      </w:r>
      <w:proofErr w:type="spellEnd"/>
      <w:r w:rsidRPr="003C219A">
        <w:rPr>
          <w:rFonts w:ascii="Book Antiqua" w:eastAsia="Book Antiqua" w:hAnsi="Book Antiqua" w:cs="Book Antiqua"/>
          <w:color w:val="000000"/>
        </w:rPr>
        <w:t xml:space="preserve">, </w:t>
      </w:r>
      <w:proofErr w:type="spellStart"/>
      <w:r w:rsidRPr="003C219A">
        <w:rPr>
          <w:rFonts w:ascii="Book Antiqua" w:eastAsia="Book Antiqua" w:hAnsi="Book Antiqua" w:cs="Book Antiqua"/>
          <w:color w:val="000000"/>
        </w:rPr>
        <w:t>Kenana</w:t>
      </w:r>
      <w:proofErr w:type="spellEnd"/>
      <w:r w:rsidRPr="003C219A">
        <w:rPr>
          <w:rFonts w:ascii="Book Antiqua" w:eastAsia="Book Antiqua" w:hAnsi="Book Antiqua" w:cs="Book Antiqua"/>
          <w:color w:val="000000"/>
        </w:rPr>
        <w:t xml:space="preserve"> </w:t>
      </w:r>
      <w:proofErr w:type="spellStart"/>
      <w:r w:rsidRPr="003C219A">
        <w:rPr>
          <w:rFonts w:ascii="Book Antiqua" w:eastAsia="Book Antiqua" w:hAnsi="Book Antiqua" w:cs="Book Antiqua"/>
          <w:color w:val="000000"/>
        </w:rPr>
        <w:t>Ljuca</w:t>
      </w:r>
      <w:proofErr w:type="spellEnd"/>
    </w:p>
    <w:p w14:paraId="3C925A67" w14:textId="77777777" w:rsidR="00A77B3E" w:rsidRPr="003C219A" w:rsidRDefault="00A77B3E" w:rsidP="003C219A">
      <w:pPr>
        <w:spacing w:line="360" w:lineRule="auto"/>
        <w:jc w:val="both"/>
        <w:rPr>
          <w:rFonts w:ascii="Book Antiqua" w:hAnsi="Book Antiqua"/>
        </w:rPr>
      </w:pPr>
    </w:p>
    <w:p w14:paraId="55A2FCC1" w14:textId="77777777" w:rsidR="00A77B3E" w:rsidRPr="003C219A" w:rsidRDefault="00000000" w:rsidP="003C219A">
      <w:pPr>
        <w:spacing w:line="360" w:lineRule="auto"/>
        <w:jc w:val="both"/>
        <w:rPr>
          <w:rFonts w:ascii="Book Antiqua" w:hAnsi="Book Antiqua"/>
        </w:rPr>
      </w:pPr>
      <w:proofErr w:type="spellStart"/>
      <w:r w:rsidRPr="003C219A">
        <w:rPr>
          <w:rFonts w:ascii="Book Antiqua" w:eastAsia="Book Antiqua" w:hAnsi="Book Antiqua" w:cs="Book Antiqua"/>
          <w:b/>
          <w:bCs/>
          <w:color w:val="000000"/>
        </w:rPr>
        <w:t>Admir</w:t>
      </w:r>
      <w:proofErr w:type="spellEnd"/>
      <w:r w:rsidRPr="003C219A">
        <w:rPr>
          <w:rFonts w:ascii="Book Antiqua" w:eastAsia="Book Antiqua" w:hAnsi="Book Antiqua" w:cs="Book Antiqua"/>
          <w:b/>
          <w:bCs/>
          <w:color w:val="000000"/>
        </w:rPr>
        <w:t xml:space="preserve"> </w:t>
      </w:r>
      <w:proofErr w:type="spellStart"/>
      <w:r w:rsidRPr="003C219A">
        <w:rPr>
          <w:rFonts w:ascii="Book Antiqua" w:eastAsia="Book Antiqua" w:hAnsi="Book Antiqua" w:cs="Book Antiqua"/>
          <w:b/>
          <w:bCs/>
          <w:color w:val="000000"/>
        </w:rPr>
        <w:t>Kurtcehajic</w:t>
      </w:r>
      <w:proofErr w:type="spellEnd"/>
      <w:r w:rsidRPr="003C219A">
        <w:rPr>
          <w:rFonts w:ascii="Book Antiqua" w:eastAsia="Book Antiqua" w:hAnsi="Book Antiqua" w:cs="Book Antiqua"/>
          <w:b/>
          <w:bCs/>
          <w:color w:val="000000"/>
        </w:rPr>
        <w:t xml:space="preserve">, </w:t>
      </w:r>
      <w:r w:rsidRPr="003C219A">
        <w:rPr>
          <w:rFonts w:ascii="Book Antiqua" w:eastAsia="Book Antiqua" w:hAnsi="Book Antiqua" w:cs="Book Antiqua"/>
          <w:color w:val="000000"/>
        </w:rPr>
        <w:t>Department of Gastroenterology and Hepatology, Blue Medical Group, Tuzla 75000, Tuzla Kanton, Bosnia and Herzegovina</w:t>
      </w:r>
    </w:p>
    <w:p w14:paraId="68C7620F" w14:textId="77777777" w:rsidR="00A77B3E" w:rsidRPr="003C219A" w:rsidRDefault="00A77B3E" w:rsidP="003C219A">
      <w:pPr>
        <w:spacing w:line="360" w:lineRule="auto"/>
        <w:jc w:val="both"/>
        <w:rPr>
          <w:rFonts w:ascii="Book Antiqua" w:hAnsi="Book Antiqua"/>
        </w:rPr>
      </w:pPr>
    </w:p>
    <w:p w14:paraId="4409D382" w14:textId="77777777" w:rsidR="00A77B3E" w:rsidRPr="003C219A" w:rsidRDefault="00000000" w:rsidP="003C219A">
      <w:pPr>
        <w:spacing w:line="360" w:lineRule="auto"/>
        <w:jc w:val="both"/>
        <w:rPr>
          <w:rFonts w:ascii="Book Antiqua" w:hAnsi="Book Antiqua"/>
        </w:rPr>
      </w:pPr>
      <w:proofErr w:type="spellStart"/>
      <w:r w:rsidRPr="003C219A">
        <w:rPr>
          <w:rFonts w:ascii="Book Antiqua" w:eastAsia="Book Antiqua" w:hAnsi="Book Antiqua" w:cs="Book Antiqua"/>
          <w:b/>
          <w:bCs/>
          <w:color w:val="000000"/>
        </w:rPr>
        <w:t>Enver</w:t>
      </w:r>
      <w:proofErr w:type="spellEnd"/>
      <w:r w:rsidRPr="003C219A">
        <w:rPr>
          <w:rFonts w:ascii="Book Antiqua" w:eastAsia="Book Antiqua" w:hAnsi="Book Antiqua" w:cs="Book Antiqua"/>
          <w:b/>
          <w:bCs/>
          <w:color w:val="000000"/>
        </w:rPr>
        <w:t xml:space="preserve"> </w:t>
      </w:r>
      <w:proofErr w:type="spellStart"/>
      <w:r w:rsidRPr="003C219A">
        <w:rPr>
          <w:rFonts w:ascii="Book Antiqua" w:eastAsia="Book Antiqua" w:hAnsi="Book Antiqua" w:cs="Book Antiqua"/>
          <w:b/>
          <w:bCs/>
          <w:color w:val="000000"/>
        </w:rPr>
        <w:t>Zerem</w:t>
      </w:r>
      <w:proofErr w:type="spellEnd"/>
      <w:r w:rsidRPr="003C219A">
        <w:rPr>
          <w:rFonts w:ascii="Book Antiqua" w:eastAsia="Book Antiqua" w:hAnsi="Book Antiqua" w:cs="Book Antiqua"/>
          <w:b/>
          <w:bCs/>
          <w:color w:val="000000"/>
        </w:rPr>
        <w:t xml:space="preserve">, </w:t>
      </w:r>
      <w:r w:rsidRPr="003C219A">
        <w:rPr>
          <w:rFonts w:ascii="Book Antiqua" w:eastAsia="Book Antiqua" w:hAnsi="Book Antiqua" w:cs="Book Antiqua"/>
          <w:color w:val="000000"/>
        </w:rPr>
        <w:t>Department of Medical Sciences, The Academy of Sciences and Arts of Bosnia and Herzegovina, Sarajevo 71000, Bosnia and Herzegovina</w:t>
      </w:r>
    </w:p>
    <w:p w14:paraId="4803F7F2" w14:textId="77777777" w:rsidR="00A77B3E" w:rsidRPr="003C219A" w:rsidRDefault="00A77B3E" w:rsidP="003C219A">
      <w:pPr>
        <w:spacing w:line="360" w:lineRule="auto"/>
        <w:jc w:val="both"/>
        <w:rPr>
          <w:rFonts w:ascii="Book Antiqua" w:hAnsi="Book Antiqua"/>
        </w:rPr>
      </w:pPr>
    </w:p>
    <w:p w14:paraId="5B4BD0F6"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color w:val="000000"/>
        </w:rPr>
        <w:t xml:space="preserve">Tomislav Bokun, </w:t>
      </w:r>
      <w:r w:rsidRPr="003C219A">
        <w:rPr>
          <w:rFonts w:ascii="Book Antiqua" w:eastAsia="Book Antiqua" w:hAnsi="Book Antiqua" w:cs="Book Antiqua"/>
          <w:color w:val="000000"/>
        </w:rPr>
        <w:t>Department of Gastroenterology and Hepatology, University Clinical Hospital Dubrava, Zagreb 10000, Croatia</w:t>
      </w:r>
    </w:p>
    <w:p w14:paraId="069C433D" w14:textId="77777777" w:rsidR="00A77B3E" w:rsidRPr="003C219A" w:rsidRDefault="00A77B3E" w:rsidP="003C219A">
      <w:pPr>
        <w:spacing w:line="360" w:lineRule="auto"/>
        <w:jc w:val="both"/>
        <w:rPr>
          <w:rFonts w:ascii="Book Antiqua" w:hAnsi="Book Antiqua"/>
        </w:rPr>
      </w:pPr>
    </w:p>
    <w:p w14:paraId="33CC34C8"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color w:val="000000"/>
        </w:rPr>
        <w:t xml:space="preserve">Ervin </w:t>
      </w:r>
      <w:proofErr w:type="spellStart"/>
      <w:r w:rsidRPr="003C219A">
        <w:rPr>
          <w:rFonts w:ascii="Book Antiqua" w:eastAsia="Book Antiqua" w:hAnsi="Book Antiqua" w:cs="Book Antiqua"/>
          <w:b/>
          <w:bCs/>
          <w:color w:val="000000"/>
        </w:rPr>
        <w:t>Alibegovic</w:t>
      </w:r>
      <w:proofErr w:type="spellEnd"/>
      <w:r w:rsidRPr="003C219A">
        <w:rPr>
          <w:rFonts w:ascii="Book Antiqua" w:eastAsia="Book Antiqua" w:hAnsi="Book Antiqua" w:cs="Book Antiqua"/>
          <w:b/>
          <w:bCs/>
          <w:color w:val="000000"/>
        </w:rPr>
        <w:t xml:space="preserve">, </w:t>
      </w:r>
      <w:r w:rsidRPr="003C219A">
        <w:rPr>
          <w:rFonts w:ascii="Book Antiqua" w:eastAsia="Book Antiqua" w:hAnsi="Book Antiqua" w:cs="Book Antiqua"/>
          <w:color w:val="000000"/>
        </w:rPr>
        <w:t>Department of Gastroenterology and Hepatology, University Clinical Center Tuzla, Tuzla 75000, Tuzla Kanton, Bosnia and Herzegovina</w:t>
      </w:r>
    </w:p>
    <w:p w14:paraId="3C11AA48" w14:textId="77777777" w:rsidR="00A77B3E" w:rsidRPr="003C219A" w:rsidRDefault="00A77B3E" w:rsidP="003C219A">
      <w:pPr>
        <w:spacing w:line="360" w:lineRule="auto"/>
        <w:jc w:val="both"/>
        <w:rPr>
          <w:rFonts w:ascii="Book Antiqua" w:hAnsi="Book Antiqua"/>
        </w:rPr>
      </w:pPr>
    </w:p>
    <w:p w14:paraId="0CBE6CE4" w14:textId="77777777" w:rsidR="00A77B3E" w:rsidRPr="003C219A" w:rsidRDefault="00000000" w:rsidP="003C219A">
      <w:pPr>
        <w:spacing w:line="360" w:lineRule="auto"/>
        <w:jc w:val="both"/>
        <w:rPr>
          <w:rFonts w:ascii="Book Antiqua" w:hAnsi="Book Antiqua"/>
        </w:rPr>
      </w:pPr>
      <w:proofErr w:type="spellStart"/>
      <w:r w:rsidRPr="003C219A">
        <w:rPr>
          <w:rFonts w:ascii="Book Antiqua" w:eastAsia="Book Antiqua" w:hAnsi="Book Antiqua" w:cs="Book Antiqua"/>
          <w:b/>
          <w:bCs/>
          <w:color w:val="000000"/>
        </w:rPr>
        <w:t>Suad</w:t>
      </w:r>
      <w:proofErr w:type="spellEnd"/>
      <w:r w:rsidRPr="003C219A">
        <w:rPr>
          <w:rFonts w:ascii="Book Antiqua" w:eastAsia="Book Antiqua" w:hAnsi="Book Antiqua" w:cs="Book Antiqua"/>
          <w:b/>
          <w:bCs/>
          <w:color w:val="000000"/>
        </w:rPr>
        <w:t xml:space="preserve"> </w:t>
      </w:r>
      <w:proofErr w:type="spellStart"/>
      <w:r w:rsidRPr="003C219A">
        <w:rPr>
          <w:rFonts w:ascii="Book Antiqua" w:eastAsia="Book Antiqua" w:hAnsi="Book Antiqua" w:cs="Book Antiqua"/>
          <w:b/>
          <w:bCs/>
          <w:color w:val="000000"/>
        </w:rPr>
        <w:t>Kunosic</w:t>
      </w:r>
      <w:proofErr w:type="spellEnd"/>
      <w:r w:rsidRPr="003C219A">
        <w:rPr>
          <w:rFonts w:ascii="Book Antiqua" w:eastAsia="Book Antiqua" w:hAnsi="Book Antiqua" w:cs="Book Antiqua"/>
          <w:b/>
          <w:bCs/>
          <w:color w:val="000000"/>
        </w:rPr>
        <w:t xml:space="preserve">, </w:t>
      </w:r>
      <w:r w:rsidRPr="003C219A">
        <w:rPr>
          <w:rFonts w:ascii="Book Antiqua" w:eastAsia="Book Antiqua" w:hAnsi="Book Antiqua" w:cs="Book Antiqua"/>
          <w:color w:val="000000"/>
        </w:rPr>
        <w:t>Department of Physics, Faculty of Natural Sciences and Mathematics, University of Tuzla, Tuzla 75000, Tuzla Kanton, Bosnia and Herzegovina</w:t>
      </w:r>
    </w:p>
    <w:p w14:paraId="00642D6A" w14:textId="77777777" w:rsidR="00A77B3E" w:rsidRPr="003C219A" w:rsidRDefault="00A77B3E" w:rsidP="003C219A">
      <w:pPr>
        <w:spacing w:line="360" w:lineRule="auto"/>
        <w:jc w:val="both"/>
        <w:rPr>
          <w:rFonts w:ascii="Book Antiqua" w:hAnsi="Book Antiqua"/>
        </w:rPr>
      </w:pPr>
    </w:p>
    <w:p w14:paraId="1E2EF308"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color w:val="000000"/>
        </w:rPr>
        <w:t xml:space="preserve">Ahmed Hujdurovic, </w:t>
      </w:r>
      <w:r w:rsidRPr="003C219A">
        <w:rPr>
          <w:rFonts w:ascii="Book Antiqua" w:eastAsia="Book Antiqua" w:hAnsi="Book Antiqua" w:cs="Book Antiqua"/>
          <w:color w:val="000000"/>
        </w:rPr>
        <w:t>Department of Internal Medicine, Blue Medical Group, Tuzla 75000, Tuzla Kanton, Bosnia and Herzegovina</w:t>
      </w:r>
    </w:p>
    <w:p w14:paraId="0A2E443D" w14:textId="77777777" w:rsidR="00A77B3E" w:rsidRPr="003C219A" w:rsidRDefault="00A77B3E" w:rsidP="003C219A">
      <w:pPr>
        <w:spacing w:line="360" w:lineRule="auto"/>
        <w:jc w:val="both"/>
        <w:rPr>
          <w:rFonts w:ascii="Book Antiqua" w:hAnsi="Book Antiqua"/>
        </w:rPr>
      </w:pPr>
    </w:p>
    <w:p w14:paraId="2BFCA137"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color w:val="000000"/>
        </w:rPr>
        <w:t xml:space="preserve">Amir </w:t>
      </w:r>
      <w:proofErr w:type="spellStart"/>
      <w:r w:rsidRPr="003C219A">
        <w:rPr>
          <w:rFonts w:ascii="Book Antiqua" w:eastAsia="Book Antiqua" w:hAnsi="Book Antiqua" w:cs="Book Antiqua"/>
          <w:b/>
          <w:bCs/>
          <w:color w:val="000000"/>
        </w:rPr>
        <w:t>Tursunovic</w:t>
      </w:r>
      <w:proofErr w:type="spellEnd"/>
      <w:r w:rsidRPr="003C219A">
        <w:rPr>
          <w:rFonts w:ascii="Book Antiqua" w:eastAsia="Book Antiqua" w:hAnsi="Book Antiqua" w:cs="Book Antiqua"/>
          <w:b/>
          <w:bCs/>
          <w:color w:val="000000"/>
        </w:rPr>
        <w:t xml:space="preserve">, </w:t>
      </w:r>
      <w:r w:rsidRPr="003C219A">
        <w:rPr>
          <w:rFonts w:ascii="Book Antiqua" w:eastAsia="Book Antiqua" w:hAnsi="Book Antiqua" w:cs="Book Antiqua"/>
          <w:color w:val="000000"/>
        </w:rPr>
        <w:t>Department of Surgery, University Clinical Center Tuzla, Tuzla 75000, Bosnia and Herzegovina</w:t>
      </w:r>
    </w:p>
    <w:p w14:paraId="15C198A5" w14:textId="77777777" w:rsidR="00A77B3E" w:rsidRPr="003C219A" w:rsidRDefault="00A77B3E" w:rsidP="003C219A">
      <w:pPr>
        <w:spacing w:line="360" w:lineRule="auto"/>
        <w:jc w:val="both"/>
        <w:rPr>
          <w:rFonts w:ascii="Book Antiqua" w:hAnsi="Book Antiqua"/>
        </w:rPr>
      </w:pPr>
    </w:p>
    <w:p w14:paraId="3F09A75E" w14:textId="77777777" w:rsidR="00A77B3E" w:rsidRPr="003C219A" w:rsidRDefault="00000000" w:rsidP="003C219A">
      <w:pPr>
        <w:spacing w:line="360" w:lineRule="auto"/>
        <w:jc w:val="both"/>
        <w:rPr>
          <w:rFonts w:ascii="Book Antiqua" w:hAnsi="Book Antiqua"/>
        </w:rPr>
      </w:pPr>
      <w:proofErr w:type="spellStart"/>
      <w:r w:rsidRPr="003C219A">
        <w:rPr>
          <w:rFonts w:ascii="Book Antiqua" w:eastAsia="Book Antiqua" w:hAnsi="Book Antiqua" w:cs="Book Antiqua"/>
          <w:b/>
          <w:bCs/>
          <w:color w:val="000000"/>
        </w:rPr>
        <w:t>Kenana</w:t>
      </w:r>
      <w:proofErr w:type="spellEnd"/>
      <w:r w:rsidRPr="003C219A">
        <w:rPr>
          <w:rFonts w:ascii="Book Antiqua" w:eastAsia="Book Antiqua" w:hAnsi="Book Antiqua" w:cs="Book Antiqua"/>
          <w:b/>
          <w:bCs/>
          <w:color w:val="000000"/>
        </w:rPr>
        <w:t xml:space="preserve"> </w:t>
      </w:r>
      <w:proofErr w:type="spellStart"/>
      <w:r w:rsidRPr="003C219A">
        <w:rPr>
          <w:rFonts w:ascii="Book Antiqua" w:eastAsia="Book Antiqua" w:hAnsi="Book Antiqua" w:cs="Book Antiqua"/>
          <w:b/>
          <w:bCs/>
          <w:color w:val="000000"/>
        </w:rPr>
        <w:t>Ljuca</w:t>
      </w:r>
      <w:proofErr w:type="spellEnd"/>
      <w:r w:rsidRPr="003C219A">
        <w:rPr>
          <w:rFonts w:ascii="Book Antiqua" w:eastAsia="Book Antiqua" w:hAnsi="Book Antiqua" w:cs="Book Antiqua"/>
          <w:b/>
          <w:bCs/>
          <w:color w:val="000000"/>
        </w:rPr>
        <w:t xml:space="preserve">, </w:t>
      </w:r>
      <w:r w:rsidRPr="003C219A">
        <w:rPr>
          <w:rFonts w:ascii="Book Antiqua" w:eastAsia="Book Antiqua" w:hAnsi="Book Antiqua" w:cs="Book Antiqua"/>
          <w:color w:val="000000"/>
        </w:rPr>
        <w:t>School of Medicine, University of Tuzla, Tuzla 75000, Bosnia and Herzegovina</w:t>
      </w:r>
    </w:p>
    <w:p w14:paraId="7066882E" w14:textId="77777777" w:rsidR="00A77B3E" w:rsidRPr="003C219A" w:rsidRDefault="00A77B3E" w:rsidP="003C219A">
      <w:pPr>
        <w:spacing w:line="360" w:lineRule="auto"/>
        <w:jc w:val="both"/>
        <w:rPr>
          <w:rFonts w:ascii="Book Antiqua" w:hAnsi="Book Antiqua"/>
        </w:rPr>
      </w:pPr>
    </w:p>
    <w:p w14:paraId="28832E0B" w14:textId="084C0AF5"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color w:val="000000"/>
        </w:rPr>
        <w:t xml:space="preserve">Author contributions: </w:t>
      </w:r>
      <w:proofErr w:type="spellStart"/>
      <w:r w:rsidRPr="003C219A">
        <w:rPr>
          <w:rFonts w:ascii="Book Antiqua" w:eastAsia="Book Antiqua" w:hAnsi="Book Antiqua" w:cs="Book Antiqua"/>
          <w:color w:val="000000"/>
        </w:rPr>
        <w:t>Kurtcehajic</w:t>
      </w:r>
      <w:proofErr w:type="spellEnd"/>
      <w:r w:rsidRPr="003C219A">
        <w:rPr>
          <w:rFonts w:ascii="Book Antiqua" w:eastAsia="Book Antiqua" w:hAnsi="Book Antiqua" w:cs="Book Antiqua"/>
          <w:color w:val="000000"/>
        </w:rPr>
        <w:t xml:space="preserve"> A, </w:t>
      </w:r>
      <w:proofErr w:type="spellStart"/>
      <w:r w:rsidRPr="003C219A">
        <w:rPr>
          <w:rFonts w:ascii="Book Antiqua" w:eastAsia="Book Antiqua" w:hAnsi="Book Antiqua" w:cs="Book Antiqua"/>
          <w:color w:val="000000"/>
        </w:rPr>
        <w:t>Bokun</w:t>
      </w:r>
      <w:proofErr w:type="spellEnd"/>
      <w:r w:rsidRPr="003C219A">
        <w:rPr>
          <w:rFonts w:ascii="Book Antiqua" w:eastAsia="Book Antiqua" w:hAnsi="Book Antiqua" w:cs="Book Antiqua"/>
          <w:color w:val="000000"/>
        </w:rPr>
        <w:t xml:space="preserve"> T, and </w:t>
      </w:r>
      <w:proofErr w:type="spellStart"/>
      <w:r w:rsidRPr="003C219A">
        <w:rPr>
          <w:rFonts w:ascii="Book Antiqua" w:eastAsia="Book Antiqua" w:hAnsi="Book Antiqua" w:cs="Book Antiqua"/>
          <w:color w:val="000000"/>
        </w:rPr>
        <w:t>Alibegovic</w:t>
      </w:r>
      <w:proofErr w:type="spellEnd"/>
      <w:r w:rsidRPr="003C219A">
        <w:rPr>
          <w:rFonts w:ascii="Book Antiqua" w:eastAsia="Book Antiqua" w:hAnsi="Book Antiqua" w:cs="Book Antiqua"/>
          <w:color w:val="000000"/>
        </w:rPr>
        <w:t xml:space="preserve"> E provided the basic idea and designed, edited</w:t>
      </w:r>
      <w:r w:rsidR="00BD0D0A"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wrote the core of the manuscript; </w:t>
      </w:r>
      <w:proofErr w:type="spellStart"/>
      <w:r w:rsidRPr="003C219A">
        <w:rPr>
          <w:rFonts w:ascii="Book Antiqua" w:eastAsia="Book Antiqua" w:hAnsi="Book Antiqua" w:cs="Book Antiqua"/>
          <w:color w:val="000000"/>
        </w:rPr>
        <w:t>Zerem</w:t>
      </w:r>
      <w:proofErr w:type="spellEnd"/>
      <w:r w:rsidRPr="003C219A">
        <w:rPr>
          <w:rFonts w:ascii="Book Antiqua" w:eastAsia="Book Antiqua" w:hAnsi="Book Antiqua" w:cs="Book Antiqua"/>
          <w:color w:val="000000"/>
        </w:rPr>
        <w:t xml:space="preserve"> E reviewed the manuscript and provided intellectual input and academic writing; </w:t>
      </w:r>
      <w:proofErr w:type="spellStart"/>
      <w:r w:rsidRPr="003C219A">
        <w:rPr>
          <w:rFonts w:ascii="Book Antiqua" w:eastAsia="Book Antiqua" w:hAnsi="Book Antiqua" w:cs="Book Antiqua"/>
          <w:color w:val="000000"/>
        </w:rPr>
        <w:t>Kunosic</w:t>
      </w:r>
      <w:proofErr w:type="spellEnd"/>
      <w:r w:rsidRPr="003C219A">
        <w:rPr>
          <w:rFonts w:ascii="Book Antiqua" w:eastAsia="Book Antiqua" w:hAnsi="Book Antiqua" w:cs="Book Antiqua"/>
          <w:color w:val="000000"/>
        </w:rPr>
        <w:t xml:space="preserve"> S analyzed data and performed the statistical analysis; </w:t>
      </w:r>
      <w:proofErr w:type="spellStart"/>
      <w:r w:rsidRPr="003C219A">
        <w:rPr>
          <w:rFonts w:ascii="Book Antiqua" w:eastAsia="Book Antiqua" w:hAnsi="Book Antiqua" w:cs="Book Antiqua"/>
          <w:color w:val="000000"/>
        </w:rPr>
        <w:t>Hujdurovic</w:t>
      </w:r>
      <w:proofErr w:type="spellEnd"/>
      <w:r w:rsidRPr="003C219A">
        <w:rPr>
          <w:rFonts w:ascii="Book Antiqua" w:eastAsia="Book Antiqua" w:hAnsi="Book Antiqua" w:cs="Book Antiqua"/>
          <w:color w:val="000000"/>
        </w:rPr>
        <w:t xml:space="preserve"> A, </w:t>
      </w:r>
      <w:proofErr w:type="spellStart"/>
      <w:r w:rsidRPr="003C219A">
        <w:rPr>
          <w:rFonts w:ascii="Book Antiqua" w:eastAsia="Book Antiqua" w:hAnsi="Book Antiqua" w:cs="Book Antiqua"/>
          <w:color w:val="000000"/>
        </w:rPr>
        <w:t>Tursunovic</w:t>
      </w:r>
      <w:proofErr w:type="spellEnd"/>
      <w:r w:rsidRPr="003C219A">
        <w:rPr>
          <w:rFonts w:ascii="Book Antiqua" w:eastAsia="Book Antiqua" w:hAnsi="Book Antiqua" w:cs="Book Antiqua"/>
          <w:color w:val="000000"/>
        </w:rPr>
        <w:t xml:space="preserve"> A, and </w:t>
      </w:r>
      <w:proofErr w:type="spellStart"/>
      <w:r w:rsidRPr="003C219A">
        <w:rPr>
          <w:rFonts w:ascii="Book Antiqua" w:eastAsia="Book Antiqua" w:hAnsi="Book Antiqua" w:cs="Book Antiqua"/>
          <w:color w:val="000000"/>
        </w:rPr>
        <w:t>Ljuca</w:t>
      </w:r>
      <w:proofErr w:type="spellEnd"/>
      <w:r w:rsidRPr="003C219A">
        <w:rPr>
          <w:rFonts w:ascii="Book Antiqua" w:eastAsia="Book Antiqua" w:hAnsi="Book Antiqua" w:cs="Book Antiqua"/>
          <w:color w:val="000000"/>
        </w:rPr>
        <w:t xml:space="preserve"> K wrote the extended version of the manuscript and reviewed the literature data; and all authors read and approved the final version of the manuscript.</w:t>
      </w:r>
    </w:p>
    <w:p w14:paraId="4B8A3409" w14:textId="77777777" w:rsidR="00A77B3E" w:rsidRPr="003C219A" w:rsidRDefault="00A77B3E" w:rsidP="003C219A">
      <w:pPr>
        <w:spacing w:line="360" w:lineRule="auto"/>
        <w:jc w:val="both"/>
        <w:rPr>
          <w:rFonts w:ascii="Book Antiqua" w:hAnsi="Book Antiqua"/>
        </w:rPr>
      </w:pPr>
    </w:p>
    <w:p w14:paraId="0FFB2785" w14:textId="6E188589"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color w:val="000000"/>
        </w:rPr>
        <w:t xml:space="preserve">Corresponding author: </w:t>
      </w:r>
      <w:proofErr w:type="spellStart"/>
      <w:r w:rsidRPr="003C219A">
        <w:rPr>
          <w:rFonts w:ascii="Book Antiqua" w:eastAsia="Book Antiqua" w:hAnsi="Book Antiqua" w:cs="Book Antiqua"/>
          <w:b/>
          <w:bCs/>
          <w:color w:val="000000"/>
        </w:rPr>
        <w:t>Admir</w:t>
      </w:r>
      <w:proofErr w:type="spellEnd"/>
      <w:r w:rsidRPr="003C219A">
        <w:rPr>
          <w:rFonts w:ascii="Book Antiqua" w:eastAsia="Book Antiqua" w:hAnsi="Book Antiqua" w:cs="Book Antiqua"/>
          <w:b/>
          <w:bCs/>
          <w:color w:val="000000"/>
        </w:rPr>
        <w:t xml:space="preserve"> </w:t>
      </w:r>
      <w:proofErr w:type="spellStart"/>
      <w:r w:rsidRPr="003C219A">
        <w:rPr>
          <w:rFonts w:ascii="Book Antiqua" w:eastAsia="Book Antiqua" w:hAnsi="Book Antiqua" w:cs="Book Antiqua"/>
          <w:b/>
          <w:bCs/>
          <w:color w:val="000000"/>
        </w:rPr>
        <w:t>Kurtcehajic</w:t>
      </w:r>
      <w:proofErr w:type="spellEnd"/>
      <w:r w:rsidRPr="003C219A">
        <w:rPr>
          <w:rFonts w:ascii="Book Antiqua" w:eastAsia="Book Antiqua" w:hAnsi="Book Antiqua" w:cs="Book Antiqua"/>
          <w:b/>
          <w:bCs/>
          <w:color w:val="000000"/>
        </w:rPr>
        <w:t xml:space="preserve">, PhD, Academic Research, Research Assistant, Research Scientist, </w:t>
      </w:r>
      <w:r w:rsidRPr="003C219A">
        <w:rPr>
          <w:rFonts w:ascii="Book Antiqua" w:eastAsia="Book Antiqua" w:hAnsi="Book Antiqua" w:cs="Book Antiqua"/>
          <w:color w:val="000000"/>
        </w:rPr>
        <w:t>Department of Gastroenterology and Hepatology, Blue Medical Group, 3</w:t>
      </w:r>
      <w:r w:rsidR="00BD0D0A" w:rsidRPr="003C219A">
        <w:rPr>
          <w:rFonts w:ascii="Book Antiqua" w:eastAsia="Book Antiqua" w:hAnsi="Book Antiqua" w:cs="Book Antiqua"/>
          <w:color w:val="000000"/>
          <w:vertAlign w:val="superscript"/>
        </w:rPr>
        <w:t>rd</w:t>
      </w:r>
      <w:r w:rsidRPr="003C219A">
        <w:rPr>
          <w:rFonts w:ascii="Book Antiqua" w:eastAsia="Book Antiqua" w:hAnsi="Book Antiqua" w:cs="Book Antiqua"/>
          <w:color w:val="000000"/>
        </w:rPr>
        <w:t xml:space="preserve"> </w:t>
      </w:r>
      <w:proofErr w:type="spellStart"/>
      <w:r w:rsidRPr="003C219A">
        <w:rPr>
          <w:rFonts w:ascii="Book Antiqua" w:eastAsia="Book Antiqua" w:hAnsi="Book Antiqua" w:cs="Book Antiqua"/>
          <w:color w:val="000000"/>
        </w:rPr>
        <w:t>Tuzlanska</w:t>
      </w:r>
      <w:proofErr w:type="spellEnd"/>
      <w:r w:rsidRPr="003C219A">
        <w:rPr>
          <w:rFonts w:ascii="Book Antiqua" w:eastAsia="Book Antiqua" w:hAnsi="Book Antiqua" w:cs="Book Antiqua"/>
          <w:color w:val="000000"/>
        </w:rPr>
        <w:t xml:space="preserve"> Brigada No. 7, Tuzla 75000, Tuzla Kanton, Bosnia and Herzegovina. admircg7@gmail.com</w:t>
      </w:r>
    </w:p>
    <w:p w14:paraId="3127E286" w14:textId="77777777" w:rsidR="00A77B3E" w:rsidRPr="003C219A" w:rsidRDefault="00A77B3E" w:rsidP="003C219A">
      <w:pPr>
        <w:spacing w:line="360" w:lineRule="auto"/>
        <w:jc w:val="both"/>
        <w:rPr>
          <w:rFonts w:ascii="Book Antiqua" w:hAnsi="Book Antiqua"/>
        </w:rPr>
      </w:pPr>
    </w:p>
    <w:p w14:paraId="6229F3E9"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Received: </w:t>
      </w:r>
      <w:r w:rsidRPr="003C219A">
        <w:rPr>
          <w:rFonts w:ascii="Book Antiqua" w:eastAsia="Book Antiqua" w:hAnsi="Book Antiqua" w:cs="Book Antiqua"/>
        </w:rPr>
        <w:t>October 18, 2023</w:t>
      </w:r>
    </w:p>
    <w:p w14:paraId="7E7F2B8D"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Revised: </w:t>
      </w:r>
      <w:r w:rsidRPr="003C219A">
        <w:rPr>
          <w:rFonts w:ascii="Book Antiqua" w:eastAsia="Book Antiqua" w:hAnsi="Book Antiqua" w:cs="Book Antiqua"/>
        </w:rPr>
        <w:t>January 7, 2024</w:t>
      </w:r>
    </w:p>
    <w:p w14:paraId="6FB6AE5D" w14:textId="2408A4A0" w:rsidR="00A77B3E" w:rsidRPr="003C219A" w:rsidRDefault="00000000" w:rsidP="00C917BE">
      <w:pPr>
        <w:spacing w:line="360" w:lineRule="auto"/>
        <w:rPr>
          <w:rFonts w:ascii="Book Antiqua" w:hAnsi="Book Antiqua"/>
        </w:rPr>
        <w:pPrChange w:id="0" w:author="yan jiaping" w:date="2024-02-18T16:40:00Z">
          <w:pPr>
            <w:spacing w:line="360" w:lineRule="auto"/>
            <w:jc w:val="both"/>
          </w:pPr>
        </w:pPrChange>
      </w:pPr>
      <w:r w:rsidRPr="003C219A">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ins w:id="824" w:author="yan jiaping" w:date="2024-02-18T16:40:00Z">
        <w:r w:rsidR="00C917BE">
          <w:rPr>
            <w:rFonts w:ascii="Book Antiqua" w:hAnsi="Book Antiqua"/>
          </w:rPr>
          <w:t>F</w:t>
        </w:r>
        <w:bookmarkStart w:id="825" w:name="OLE_LINK1750"/>
        <w:bookmarkStart w:id="826" w:name="OLE_LINK1751"/>
        <w:r w:rsidR="00C917BE">
          <w:rPr>
            <w:rFonts w:ascii="Book Antiqua" w:hAnsi="Book Antiqua"/>
          </w:rPr>
          <w:t>ebruary 18,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5"/>
      <w:bookmarkEnd w:id="826"/>
    </w:p>
    <w:p w14:paraId="4E4C2696"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Published online: </w:t>
      </w:r>
    </w:p>
    <w:p w14:paraId="4CB127AC" w14:textId="77777777" w:rsidR="00A77B3E" w:rsidRPr="003C219A" w:rsidRDefault="00A77B3E" w:rsidP="003C219A">
      <w:pPr>
        <w:spacing w:line="360" w:lineRule="auto"/>
        <w:jc w:val="both"/>
        <w:rPr>
          <w:rFonts w:ascii="Book Antiqua" w:hAnsi="Book Antiqua"/>
        </w:rPr>
        <w:sectPr w:rsidR="00A77B3E" w:rsidRPr="003C219A" w:rsidSect="00F1617B">
          <w:headerReference w:type="default" r:id="rId7"/>
          <w:footerReference w:type="default" r:id="rId8"/>
          <w:pgSz w:w="12240" w:h="15840"/>
          <w:pgMar w:top="1440" w:right="1440" w:bottom="1440" w:left="1440" w:header="720" w:footer="720" w:gutter="0"/>
          <w:cols w:space="720"/>
          <w:docGrid w:linePitch="360"/>
        </w:sectPr>
      </w:pPr>
    </w:p>
    <w:p w14:paraId="42A35884" w14:textId="70713DB0"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lastRenderedPageBreak/>
        <w:t>Abstract</w:t>
      </w:r>
    </w:p>
    <w:p w14:paraId="0F878D0F"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BACKGROUND</w:t>
      </w:r>
    </w:p>
    <w:p w14:paraId="5E3B2867" w14:textId="593B85B2"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Conventional magnifying endoscopy with narrow-band imaging (NBI) observation of the gastric body mucosa</w:t>
      </w:r>
      <w:r w:rsidR="00E17948" w:rsidRPr="003C219A">
        <w:rPr>
          <w:rFonts w:ascii="Book Antiqua" w:eastAsia="Book Antiqua" w:hAnsi="Book Antiqua" w:cs="Book Antiqua"/>
          <w:color w:val="000000"/>
        </w:rPr>
        <w:t xml:space="preserve"> shows</w:t>
      </w:r>
      <w:r w:rsidRPr="003C219A">
        <w:rPr>
          <w:rFonts w:ascii="Book Antiqua" w:eastAsia="Book Antiqua" w:hAnsi="Book Antiqua" w:cs="Book Antiqua"/>
          <w:color w:val="000000"/>
        </w:rPr>
        <w:t xml:space="preserve"> dominant patterns in relation to </w:t>
      </w:r>
      <w:r w:rsidR="00E17948" w:rsidRPr="003C219A">
        <w:rPr>
          <w:rFonts w:ascii="Book Antiqua" w:eastAsia="Book Antiqua" w:hAnsi="Book Antiqua" w:cs="Book Antiqua"/>
          <w:color w:val="000000"/>
        </w:rPr>
        <w:t xml:space="preserve">the </w:t>
      </w:r>
      <w:r w:rsidRPr="003C219A">
        <w:rPr>
          <w:rFonts w:ascii="Book Antiqua" w:eastAsia="Book Antiqua" w:hAnsi="Book Antiqua" w:cs="Book Antiqua"/>
          <w:color w:val="000000"/>
        </w:rPr>
        <w:t>regular arrangement of collecting venules, subepithelial capillary network</w:t>
      </w:r>
      <w:r w:rsidR="00E17948"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gastric pits.</w:t>
      </w:r>
    </w:p>
    <w:p w14:paraId="1E89DADA" w14:textId="77777777" w:rsidR="00A77B3E" w:rsidRPr="003C219A" w:rsidRDefault="00A77B3E" w:rsidP="003C219A">
      <w:pPr>
        <w:spacing w:line="360" w:lineRule="auto"/>
        <w:jc w:val="both"/>
        <w:rPr>
          <w:rFonts w:ascii="Book Antiqua" w:hAnsi="Book Antiqua"/>
        </w:rPr>
      </w:pPr>
    </w:p>
    <w:p w14:paraId="299D9219"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AIM</w:t>
      </w:r>
    </w:p>
    <w:p w14:paraId="1CFA85B4" w14:textId="3C151DF8"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 xml:space="preserve">To evaluate the </w:t>
      </w:r>
      <w:r w:rsidR="00E17948" w:rsidRPr="003C219A">
        <w:rPr>
          <w:rFonts w:ascii="Book Antiqua" w:eastAsia="Book Antiqua" w:hAnsi="Book Antiqua" w:cs="Book Antiqua"/>
          <w:color w:val="000000"/>
        </w:rPr>
        <w:t>effectiveness</w:t>
      </w:r>
      <w:r w:rsidRPr="003C219A">
        <w:rPr>
          <w:rFonts w:ascii="Book Antiqua" w:eastAsia="Book Antiqua" w:hAnsi="Book Antiqua" w:cs="Book Antiqua"/>
          <w:color w:val="000000"/>
        </w:rPr>
        <w:t xml:space="preserve"> of a new one-dual (near) focus, NBI mode in the assessment of the microscopic features of gastric body mucosa</w:t>
      </w:r>
      <w:r w:rsidR="00E17948" w:rsidRPr="003C219A">
        <w:rPr>
          <w:rFonts w:ascii="Book Antiqua" w:eastAsia="Book Antiqua" w:hAnsi="Book Antiqua" w:cs="Book Antiqua"/>
          <w:color w:val="000000"/>
        </w:rPr>
        <w:t xml:space="preserve"> compared to </w:t>
      </w:r>
      <w:r w:rsidRPr="003C219A">
        <w:rPr>
          <w:rFonts w:ascii="Book Antiqua" w:eastAsia="Book Antiqua" w:hAnsi="Book Antiqua" w:cs="Book Antiqua"/>
          <w:color w:val="000000"/>
        </w:rPr>
        <w:t>conventional magnification.</w:t>
      </w:r>
    </w:p>
    <w:p w14:paraId="51E7FBD8" w14:textId="77777777" w:rsidR="00A77B3E" w:rsidRPr="003C219A" w:rsidRDefault="00A77B3E" w:rsidP="003C219A">
      <w:pPr>
        <w:spacing w:line="360" w:lineRule="auto"/>
        <w:jc w:val="both"/>
        <w:rPr>
          <w:rFonts w:ascii="Book Antiqua" w:hAnsi="Book Antiqua"/>
        </w:rPr>
      </w:pPr>
    </w:p>
    <w:p w14:paraId="4BB562D0"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METHODS</w:t>
      </w:r>
    </w:p>
    <w:p w14:paraId="089C9B22" w14:textId="33915F2A"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 xml:space="preserve">During 2021 and 2022, 68 patients underwent proximal gastrointestinal endoscopy using magnification endoscopic modalities subsequently applying acetic acid (AA). The GIF-190HQ series NBI system with dual focus capability was used for the investigation of gastric mucosa. </w:t>
      </w:r>
      <w:r w:rsidRPr="003C219A">
        <w:rPr>
          <w:rFonts w:ascii="Book Antiqua" w:eastAsia="Book Antiqua" w:hAnsi="Book Antiqua" w:cs="Book Antiqua"/>
        </w:rPr>
        <w:t>At the time of the endoscopy, the gastric body mucosa of all enrolled patients was photographed using the white light endoscopy (WLE), near focus (NF), NF-NBI, AA-NF</w:t>
      </w:r>
      <w:r w:rsidR="00E17948" w:rsidRPr="003C219A">
        <w:rPr>
          <w:rFonts w:ascii="Book Antiqua" w:eastAsia="Book Antiqua" w:hAnsi="Book Antiqua" w:cs="Book Antiqua"/>
        </w:rPr>
        <w:t>,</w:t>
      </w:r>
      <w:r w:rsidRPr="003C219A">
        <w:rPr>
          <w:rFonts w:ascii="Book Antiqua" w:eastAsia="Book Antiqua" w:hAnsi="Book Antiqua" w:cs="Book Antiqua"/>
        </w:rPr>
        <w:t xml:space="preserve"> and AA-NF-NBI modes.</w:t>
      </w:r>
    </w:p>
    <w:p w14:paraId="7AF82B75" w14:textId="77777777" w:rsidR="00A77B3E" w:rsidRPr="003C219A" w:rsidRDefault="00A77B3E" w:rsidP="003C219A">
      <w:pPr>
        <w:spacing w:line="360" w:lineRule="auto"/>
        <w:jc w:val="both"/>
        <w:rPr>
          <w:rFonts w:ascii="Book Antiqua" w:hAnsi="Book Antiqua"/>
        </w:rPr>
      </w:pPr>
    </w:p>
    <w:p w14:paraId="1DA82BFB"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RESULTS</w:t>
      </w:r>
    </w:p>
    <w:p w14:paraId="57ABF50E" w14:textId="28355F2C" w:rsidR="00A77B3E" w:rsidRPr="003C219A" w:rsidRDefault="00E17948" w:rsidP="003C219A">
      <w:pPr>
        <w:spacing w:line="360" w:lineRule="auto"/>
        <w:jc w:val="both"/>
        <w:rPr>
          <w:rFonts w:ascii="Book Antiqua" w:hAnsi="Book Antiqua"/>
        </w:rPr>
      </w:pPr>
      <w:r w:rsidRPr="003C219A">
        <w:rPr>
          <w:rFonts w:ascii="Book Antiqua" w:eastAsia="Book Antiqua" w:hAnsi="Book Antiqua" w:cs="Book Antiqua"/>
          <w:color w:val="000000"/>
        </w:rPr>
        <w:t>The WLE, NF and NF-NBI endoscopic modes for all patients (204 images) were classified in the same order into three groups. Two images from each patient for the AA-NF and AA-NF-NBI endoscopic modes were classified in the same order. According to all three observers who completed the work independently, NF magnification was significantly superior to WLE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 and the NF-NBI mode was significantly superior to NF magnification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 After applying AA, the three observers confirmed that AA-NF-NBI was significantly superior to AA-NF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w:t>
      </w:r>
      <w:r w:rsidRPr="003C219A">
        <w:rPr>
          <w:rFonts w:ascii="Book Antiqua" w:eastAsia="Book Antiqua" w:hAnsi="Book Antiqua" w:cs="Book Antiqua"/>
        </w:rPr>
        <w:t xml:space="preserve"> Interobserver kappa values for WLE were 0.609, 0.704, and 0.598, respectively and were 0.600, 0.721, and 0.637, respectively, for NF magnification. For the NF-NBI mode, the values were 0.378, 0.471</w:t>
      </w:r>
      <w:r w:rsidR="00F71A54" w:rsidRPr="003C219A">
        <w:rPr>
          <w:rFonts w:ascii="Book Antiqua" w:eastAsia="Book Antiqua" w:hAnsi="Book Antiqua" w:cs="Book Antiqua"/>
        </w:rPr>
        <w:t>,</w:t>
      </w:r>
      <w:r w:rsidRPr="003C219A">
        <w:rPr>
          <w:rFonts w:ascii="Book Antiqua" w:eastAsia="Book Antiqua" w:hAnsi="Book Antiqua" w:cs="Book Antiqua"/>
        </w:rPr>
        <w:t xml:space="preserve"> and 0.553, </w:t>
      </w:r>
      <w:r w:rsidRPr="003C219A">
        <w:rPr>
          <w:rFonts w:ascii="Book Antiqua" w:eastAsia="Book Antiqua" w:hAnsi="Book Antiqua" w:cs="Book Antiqua"/>
        </w:rPr>
        <w:lastRenderedPageBreak/>
        <w:t>respectively</w:t>
      </w:r>
      <w:r w:rsidR="00F71A54" w:rsidRPr="003C219A">
        <w:rPr>
          <w:rFonts w:ascii="Book Antiqua" w:eastAsia="Book Antiqua" w:hAnsi="Book Antiqua" w:cs="Book Antiqua"/>
        </w:rPr>
        <w:t>.</w:t>
      </w:r>
      <w:r w:rsidRPr="003C219A">
        <w:rPr>
          <w:rFonts w:ascii="Book Antiqua" w:eastAsia="Book Antiqua" w:hAnsi="Book Antiqua" w:cs="Book Antiqua"/>
        </w:rPr>
        <w:t xml:space="preserve"> </w:t>
      </w:r>
      <w:r w:rsidR="00F71A54" w:rsidRPr="003C219A">
        <w:rPr>
          <w:rFonts w:ascii="Book Antiqua" w:eastAsia="Book Antiqua" w:hAnsi="Book Antiqua" w:cs="Book Antiqua"/>
        </w:rPr>
        <w:t>F</w:t>
      </w:r>
      <w:r w:rsidRPr="003C219A">
        <w:rPr>
          <w:rFonts w:ascii="Book Antiqua" w:eastAsia="Book Antiqua" w:hAnsi="Book Antiqua" w:cs="Book Antiqua"/>
        </w:rPr>
        <w:t>or AA-NF, they were 0.453, 0.603</w:t>
      </w:r>
      <w:r w:rsidR="00F71A54" w:rsidRPr="003C219A">
        <w:rPr>
          <w:rFonts w:ascii="Book Antiqua" w:eastAsia="Book Antiqua" w:hAnsi="Book Antiqua" w:cs="Book Antiqua"/>
        </w:rPr>
        <w:t>,</w:t>
      </w:r>
      <w:r w:rsidRPr="003C219A">
        <w:rPr>
          <w:rFonts w:ascii="Book Antiqua" w:eastAsia="Book Antiqua" w:hAnsi="Book Antiqua" w:cs="Book Antiqua"/>
        </w:rPr>
        <w:t xml:space="preserve"> and 0.480, respectively</w:t>
      </w:r>
      <w:r w:rsidR="00F71A54" w:rsidRPr="003C219A">
        <w:rPr>
          <w:rFonts w:ascii="Book Antiqua" w:eastAsia="Book Antiqua" w:hAnsi="Book Antiqua" w:cs="Book Antiqua"/>
        </w:rPr>
        <w:t>,</w:t>
      </w:r>
      <w:r w:rsidRPr="003C219A">
        <w:rPr>
          <w:rFonts w:ascii="Book Antiqua" w:eastAsia="Book Antiqua" w:hAnsi="Book Antiqua" w:cs="Book Antiqua"/>
        </w:rPr>
        <w:t xml:space="preserve"> and for AA-NF-NBI, they were 0.643, 0.506</w:t>
      </w:r>
      <w:r w:rsidR="00F71A54" w:rsidRPr="003C219A">
        <w:rPr>
          <w:rFonts w:ascii="Book Antiqua" w:eastAsia="Book Antiqua" w:hAnsi="Book Antiqua" w:cs="Book Antiqua"/>
        </w:rPr>
        <w:t>,</w:t>
      </w:r>
      <w:r w:rsidRPr="003C219A">
        <w:rPr>
          <w:rFonts w:ascii="Book Antiqua" w:eastAsia="Book Antiqua" w:hAnsi="Book Antiqua" w:cs="Book Antiqua"/>
        </w:rPr>
        <w:t xml:space="preserve"> and 0.354, respectively.</w:t>
      </w:r>
    </w:p>
    <w:p w14:paraId="7AE4EEC0" w14:textId="77777777" w:rsidR="00A77B3E" w:rsidRPr="003C219A" w:rsidRDefault="00A77B3E" w:rsidP="003C219A">
      <w:pPr>
        <w:spacing w:line="360" w:lineRule="auto"/>
        <w:jc w:val="both"/>
        <w:rPr>
          <w:rFonts w:ascii="Book Antiqua" w:hAnsi="Book Antiqua"/>
        </w:rPr>
      </w:pPr>
    </w:p>
    <w:p w14:paraId="3BA845B2"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CONCLUSION</w:t>
      </w:r>
    </w:p>
    <w:p w14:paraId="41868093" w14:textId="2A9D77B0"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When</w:t>
      </w:r>
      <w:r w:rsidRPr="003C219A">
        <w:rPr>
          <w:rFonts w:ascii="Book Antiqua" w:eastAsia="Book Antiqua" w:hAnsi="Book Antiqua" w:cs="Book Antiqua"/>
        </w:rPr>
        <w:t xml:space="preserve"> investigating gastric mucosa </w:t>
      </w:r>
      <w:r w:rsidR="00F71A54" w:rsidRPr="003C219A">
        <w:rPr>
          <w:rFonts w:ascii="Book Antiqua" w:eastAsia="Book Antiqua" w:hAnsi="Book Antiqua" w:cs="Book Antiqua"/>
        </w:rPr>
        <w:t>in</w:t>
      </w:r>
      <w:r w:rsidRPr="003C219A">
        <w:rPr>
          <w:rFonts w:ascii="Book Antiqua" w:eastAsia="Book Antiqua" w:hAnsi="Book Antiqua" w:cs="Book Antiqua"/>
        </w:rPr>
        <w:t xml:space="preserve"> microscopic detail, NF-NBI was the most powerful endoscopic mode for assessing </w:t>
      </w:r>
      <w:r w:rsidR="00E17948" w:rsidRPr="003C219A">
        <w:rPr>
          <w:rFonts w:ascii="Book Antiqua" w:eastAsia="Book Antiqua" w:hAnsi="Book Antiqua" w:cs="Book Antiqua"/>
          <w:color w:val="000000"/>
        </w:rPr>
        <w:t>regular arrangement of collecting venules</w:t>
      </w:r>
      <w:r w:rsidRPr="003C219A">
        <w:rPr>
          <w:rFonts w:ascii="Book Antiqua" w:eastAsia="Book Antiqua" w:hAnsi="Book Antiqua" w:cs="Book Antiqua"/>
        </w:rPr>
        <w:t xml:space="preserve">, </w:t>
      </w:r>
      <w:r w:rsidR="00E17948" w:rsidRPr="003C219A">
        <w:rPr>
          <w:rFonts w:ascii="Book Antiqua" w:eastAsia="Book Antiqua" w:hAnsi="Book Antiqua" w:cs="Book Antiqua"/>
          <w:color w:val="000000"/>
        </w:rPr>
        <w:t>subepithelial capillary network</w:t>
      </w:r>
      <w:r w:rsidR="00F71A54" w:rsidRPr="003C219A">
        <w:rPr>
          <w:rFonts w:ascii="Book Antiqua" w:eastAsia="Book Antiqua" w:hAnsi="Book Antiqua" w:cs="Book Antiqua"/>
          <w:color w:val="000000"/>
        </w:rPr>
        <w:t>,</w:t>
      </w:r>
      <w:r w:rsidRPr="003C219A">
        <w:rPr>
          <w:rFonts w:ascii="Book Antiqua" w:eastAsia="Book Antiqua" w:hAnsi="Book Antiqua" w:cs="Book Antiqua"/>
        </w:rPr>
        <w:t xml:space="preserve"> and </w:t>
      </w:r>
      <w:r w:rsidR="00E17948" w:rsidRPr="003C219A">
        <w:rPr>
          <w:rFonts w:ascii="Book Antiqua" w:eastAsia="Book Antiqua" w:hAnsi="Book Antiqua" w:cs="Book Antiqua"/>
          <w:color w:val="000000"/>
        </w:rPr>
        <w:t>gastric pits</w:t>
      </w:r>
      <w:r w:rsidR="00F71A54" w:rsidRPr="003C219A">
        <w:rPr>
          <w:rFonts w:ascii="Book Antiqua" w:eastAsia="Book Antiqua" w:hAnsi="Book Antiqua" w:cs="Book Antiqua"/>
        </w:rPr>
        <w:t xml:space="preserve"> among the five endoscopic modalities investigated in this study</w:t>
      </w:r>
      <w:r w:rsidRPr="003C219A">
        <w:rPr>
          <w:rFonts w:ascii="Book Antiqua" w:eastAsia="Book Antiqua" w:hAnsi="Book Antiqua" w:cs="Book Antiqua"/>
        </w:rPr>
        <w:t>. AA-NF-NBI was the most powerful endoscopic mode for analy</w:t>
      </w:r>
      <w:r w:rsidR="00F71A54" w:rsidRPr="003C219A">
        <w:rPr>
          <w:rFonts w:ascii="Book Antiqua" w:eastAsia="Book Antiqua" w:hAnsi="Book Antiqua" w:cs="Book Antiqua"/>
        </w:rPr>
        <w:t>z</w:t>
      </w:r>
      <w:r w:rsidRPr="003C219A">
        <w:rPr>
          <w:rFonts w:ascii="Book Antiqua" w:eastAsia="Book Antiqua" w:hAnsi="Book Antiqua" w:cs="Book Antiqua"/>
        </w:rPr>
        <w:t>ing crypt opening and intervening part.</w:t>
      </w:r>
    </w:p>
    <w:p w14:paraId="5FFF691B" w14:textId="77777777" w:rsidR="00A77B3E" w:rsidRPr="003C219A" w:rsidRDefault="00A77B3E" w:rsidP="003C219A">
      <w:pPr>
        <w:spacing w:line="360" w:lineRule="auto"/>
        <w:jc w:val="both"/>
        <w:rPr>
          <w:rFonts w:ascii="Book Antiqua" w:hAnsi="Book Antiqua"/>
        </w:rPr>
      </w:pPr>
    </w:p>
    <w:p w14:paraId="64702B9D"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Key Words: </w:t>
      </w:r>
      <w:r w:rsidRPr="003C219A">
        <w:rPr>
          <w:rFonts w:ascii="Book Antiqua" w:eastAsia="Book Antiqua" w:hAnsi="Book Antiqua" w:cs="Book Antiqua"/>
          <w:color w:val="000000"/>
        </w:rPr>
        <w:t>Gastric mucosa; Endoscopic microanatomy; Magnifying endoscopy; Near focus; Narrow-band imaging; Acetic acid</w:t>
      </w:r>
    </w:p>
    <w:p w14:paraId="3E461B13" w14:textId="77777777" w:rsidR="00A77B3E" w:rsidRPr="003C219A" w:rsidRDefault="00A77B3E" w:rsidP="003C219A">
      <w:pPr>
        <w:spacing w:line="360" w:lineRule="auto"/>
        <w:jc w:val="both"/>
        <w:rPr>
          <w:rFonts w:ascii="Book Antiqua" w:hAnsi="Book Antiqua"/>
        </w:rPr>
      </w:pPr>
    </w:p>
    <w:p w14:paraId="2289771B" w14:textId="006051C2" w:rsidR="00A77B3E" w:rsidRPr="003C219A" w:rsidRDefault="00000000" w:rsidP="003C219A">
      <w:pPr>
        <w:spacing w:line="360" w:lineRule="auto"/>
        <w:jc w:val="both"/>
        <w:rPr>
          <w:rFonts w:ascii="Book Antiqua" w:hAnsi="Book Antiqua"/>
        </w:rPr>
      </w:pPr>
      <w:bookmarkStart w:id="827" w:name="_Hlk158060864"/>
      <w:proofErr w:type="spellStart"/>
      <w:r w:rsidRPr="003C219A">
        <w:rPr>
          <w:rFonts w:ascii="Book Antiqua" w:eastAsia="Book Antiqua" w:hAnsi="Book Antiqua" w:cs="Book Antiqua"/>
        </w:rPr>
        <w:t>Kurtcehajic</w:t>
      </w:r>
      <w:proofErr w:type="spellEnd"/>
      <w:r w:rsidRPr="003C219A">
        <w:rPr>
          <w:rFonts w:ascii="Book Antiqua" w:eastAsia="Book Antiqua" w:hAnsi="Book Antiqua" w:cs="Book Antiqua"/>
        </w:rPr>
        <w:t xml:space="preserve"> A, </w:t>
      </w:r>
      <w:proofErr w:type="spellStart"/>
      <w:r w:rsidRPr="003C219A">
        <w:rPr>
          <w:rFonts w:ascii="Book Antiqua" w:eastAsia="Book Antiqua" w:hAnsi="Book Antiqua" w:cs="Book Antiqua"/>
        </w:rPr>
        <w:t>Zerem</w:t>
      </w:r>
      <w:proofErr w:type="spellEnd"/>
      <w:r w:rsidRPr="003C219A">
        <w:rPr>
          <w:rFonts w:ascii="Book Antiqua" w:eastAsia="Book Antiqua" w:hAnsi="Book Antiqua" w:cs="Book Antiqua"/>
        </w:rPr>
        <w:t xml:space="preserve"> E, </w:t>
      </w:r>
      <w:proofErr w:type="spellStart"/>
      <w:r w:rsidRPr="003C219A">
        <w:rPr>
          <w:rFonts w:ascii="Book Antiqua" w:eastAsia="Book Antiqua" w:hAnsi="Book Antiqua" w:cs="Book Antiqua"/>
        </w:rPr>
        <w:t>Bokun</w:t>
      </w:r>
      <w:proofErr w:type="spellEnd"/>
      <w:r w:rsidRPr="003C219A">
        <w:rPr>
          <w:rFonts w:ascii="Book Antiqua" w:eastAsia="Book Antiqua" w:hAnsi="Book Antiqua" w:cs="Book Antiqua"/>
        </w:rPr>
        <w:t xml:space="preserve"> T, </w:t>
      </w:r>
      <w:proofErr w:type="spellStart"/>
      <w:r w:rsidRPr="003C219A">
        <w:rPr>
          <w:rFonts w:ascii="Book Antiqua" w:eastAsia="Book Antiqua" w:hAnsi="Book Antiqua" w:cs="Book Antiqua"/>
        </w:rPr>
        <w:t>Alibegovic</w:t>
      </w:r>
      <w:proofErr w:type="spellEnd"/>
      <w:r w:rsidRPr="003C219A">
        <w:rPr>
          <w:rFonts w:ascii="Book Antiqua" w:eastAsia="Book Antiqua" w:hAnsi="Book Antiqua" w:cs="Book Antiqua"/>
        </w:rPr>
        <w:t xml:space="preserve"> E, </w:t>
      </w:r>
      <w:proofErr w:type="spellStart"/>
      <w:r w:rsidRPr="003C219A">
        <w:rPr>
          <w:rFonts w:ascii="Book Antiqua" w:eastAsia="Book Antiqua" w:hAnsi="Book Antiqua" w:cs="Book Antiqua"/>
        </w:rPr>
        <w:t>Kunosic</w:t>
      </w:r>
      <w:proofErr w:type="spellEnd"/>
      <w:r w:rsidRPr="003C219A">
        <w:rPr>
          <w:rFonts w:ascii="Book Antiqua" w:eastAsia="Book Antiqua" w:hAnsi="Book Antiqua" w:cs="Book Antiqua"/>
        </w:rPr>
        <w:t xml:space="preserve"> S, </w:t>
      </w:r>
      <w:proofErr w:type="spellStart"/>
      <w:r w:rsidRPr="003C219A">
        <w:rPr>
          <w:rFonts w:ascii="Book Antiqua" w:eastAsia="Book Antiqua" w:hAnsi="Book Antiqua" w:cs="Book Antiqua"/>
        </w:rPr>
        <w:t>Hujdurovic</w:t>
      </w:r>
      <w:proofErr w:type="spellEnd"/>
      <w:r w:rsidRPr="003C219A">
        <w:rPr>
          <w:rFonts w:ascii="Book Antiqua" w:eastAsia="Book Antiqua" w:hAnsi="Book Antiqua" w:cs="Book Antiqua"/>
        </w:rPr>
        <w:t xml:space="preserve"> A, </w:t>
      </w:r>
      <w:proofErr w:type="spellStart"/>
      <w:r w:rsidRPr="003C219A">
        <w:rPr>
          <w:rFonts w:ascii="Book Antiqua" w:eastAsia="Book Antiqua" w:hAnsi="Book Antiqua" w:cs="Book Antiqua"/>
        </w:rPr>
        <w:t>Tursunovic</w:t>
      </w:r>
      <w:proofErr w:type="spellEnd"/>
      <w:r w:rsidRPr="003C219A">
        <w:rPr>
          <w:rFonts w:ascii="Book Antiqua" w:eastAsia="Book Antiqua" w:hAnsi="Book Antiqua" w:cs="Book Antiqua"/>
        </w:rPr>
        <w:t xml:space="preserve"> A, </w:t>
      </w:r>
      <w:proofErr w:type="spellStart"/>
      <w:r w:rsidRPr="003C219A">
        <w:rPr>
          <w:rFonts w:ascii="Book Antiqua" w:eastAsia="Book Antiqua" w:hAnsi="Book Antiqua" w:cs="Book Antiqua"/>
        </w:rPr>
        <w:t>Ljuca</w:t>
      </w:r>
      <w:proofErr w:type="spellEnd"/>
      <w:r w:rsidRPr="003C219A">
        <w:rPr>
          <w:rFonts w:ascii="Book Antiqua" w:eastAsia="Book Antiqua" w:hAnsi="Book Antiqua" w:cs="Book Antiqua"/>
        </w:rPr>
        <w:t xml:space="preserve"> K</w:t>
      </w:r>
      <w:bookmarkEnd w:id="827"/>
      <w:r w:rsidRPr="003C219A">
        <w:rPr>
          <w:rFonts w:ascii="Book Antiqua" w:eastAsia="Book Antiqua" w:hAnsi="Book Antiqua" w:cs="Book Antiqua"/>
        </w:rPr>
        <w:t>. Could near focus endoscopy, narrow-band imaging</w:t>
      </w:r>
      <w:r w:rsidR="00F71A54" w:rsidRPr="003C219A">
        <w:rPr>
          <w:rFonts w:ascii="Book Antiqua" w:eastAsia="Book Antiqua" w:hAnsi="Book Antiqua" w:cs="Book Antiqua"/>
        </w:rPr>
        <w:t>,</w:t>
      </w:r>
      <w:r w:rsidRPr="003C219A">
        <w:rPr>
          <w:rFonts w:ascii="Book Antiqua" w:eastAsia="Book Antiqua" w:hAnsi="Book Antiqua" w:cs="Book Antiqua"/>
        </w:rPr>
        <w:t xml:space="preserve"> and acetic acid improve the visualization</w:t>
      </w:r>
      <w:r w:rsidR="00F71A54" w:rsidRPr="003C219A">
        <w:rPr>
          <w:rFonts w:ascii="Book Antiqua" w:eastAsia="Book Antiqua" w:hAnsi="Book Antiqua" w:cs="Book Antiqua"/>
        </w:rPr>
        <w:t xml:space="preserve"> of</w:t>
      </w:r>
      <w:r w:rsidRPr="003C219A">
        <w:rPr>
          <w:rFonts w:ascii="Book Antiqua" w:eastAsia="Book Antiqua" w:hAnsi="Book Antiqua" w:cs="Book Antiqua"/>
        </w:rPr>
        <w:t xml:space="preserve"> microscopic features of stomach mucosa? </w:t>
      </w:r>
      <w:r w:rsidRPr="003C219A">
        <w:rPr>
          <w:rFonts w:ascii="Book Antiqua" w:eastAsia="Book Antiqua" w:hAnsi="Book Antiqua" w:cs="Book Antiqua"/>
          <w:i/>
          <w:iCs/>
        </w:rPr>
        <w:t xml:space="preserve">World J </w:t>
      </w:r>
      <w:proofErr w:type="spellStart"/>
      <w:r w:rsidRPr="003C219A">
        <w:rPr>
          <w:rFonts w:ascii="Book Antiqua" w:eastAsia="Book Antiqua" w:hAnsi="Book Antiqua" w:cs="Book Antiqua"/>
          <w:i/>
          <w:iCs/>
        </w:rPr>
        <w:t>Gastrointest</w:t>
      </w:r>
      <w:proofErr w:type="spellEnd"/>
      <w:r w:rsidRPr="003C219A">
        <w:rPr>
          <w:rFonts w:ascii="Book Antiqua" w:eastAsia="Book Antiqua" w:hAnsi="Book Antiqua" w:cs="Book Antiqua"/>
          <w:i/>
          <w:iCs/>
        </w:rPr>
        <w:t xml:space="preserve"> </w:t>
      </w:r>
      <w:proofErr w:type="spellStart"/>
      <w:r w:rsidRPr="003C219A">
        <w:rPr>
          <w:rFonts w:ascii="Book Antiqua" w:eastAsia="Book Antiqua" w:hAnsi="Book Antiqua" w:cs="Book Antiqua"/>
          <w:i/>
          <w:iCs/>
        </w:rPr>
        <w:t>Endosc</w:t>
      </w:r>
      <w:proofErr w:type="spellEnd"/>
      <w:r w:rsidRPr="003C219A">
        <w:rPr>
          <w:rFonts w:ascii="Book Antiqua" w:eastAsia="Book Antiqua" w:hAnsi="Book Antiqua" w:cs="Book Antiqua"/>
        </w:rPr>
        <w:t xml:space="preserve"> 2024; In press</w:t>
      </w:r>
    </w:p>
    <w:p w14:paraId="0EAAFA10" w14:textId="77777777" w:rsidR="00A77B3E" w:rsidRPr="003C219A" w:rsidRDefault="00A77B3E" w:rsidP="003C219A">
      <w:pPr>
        <w:spacing w:line="360" w:lineRule="auto"/>
        <w:jc w:val="both"/>
        <w:rPr>
          <w:rFonts w:ascii="Book Antiqua" w:hAnsi="Book Antiqua"/>
        </w:rPr>
      </w:pPr>
    </w:p>
    <w:p w14:paraId="5047F494" w14:textId="22EF6B3A"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Core Tip: </w:t>
      </w:r>
      <w:r w:rsidRPr="003C219A">
        <w:rPr>
          <w:rFonts w:ascii="Book Antiqua" w:eastAsia="Book Antiqua" w:hAnsi="Book Antiqua" w:cs="Book Antiqua"/>
          <w:color w:val="000000"/>
        </w:rPr>
        <w:t>Narrow-band imaging ha</w:t>
      </w:r>
      <w:r w:rsidR="00F71A54" w:rsidRPr="003C219A">
        <w:rPr>
          <w:rFonts w:ascii="Book Antiqua" w:eastAsia="Book Antiqua" w:hAnsi="Book Antiqua" w:cs="Book Antiqua"/>
          <w:color w:val="000000"/>
        </w:rPr>
        <w:t>s</w:t>
      </w:r>
      <w:r w:rsidRPr="003C219A">
        <w:rPr>
          <w:rFonts w:ascii="Book Antiqua" w:eastAsia="Book Antiqua" w:hAnsi="Book Antiqua" w:cs="Book Antiqua"/>
          <w:color w:val="000000"/>
        </w:rPr>
        <w:t xml:space="preserve"> enabled the analysis of gastrointestinal mucosa </w:t>
      </w:r>
      <w:r w:rsidR="00F71A54" w:rsidRPr="003C219A">
        <w:rPr>
          <w:rFonts w:ascii="Book Antiqua" w:eastAsia="Book Antiqua" w:hAnsi="Book Antiqua" w:cs="Book Antiqua"/>
          <w:color w:val="000000"/>
        </w:rPr>
        <w:t>in</w:t>
      </w:r>
      <w:r w:rsidRPr="003C219A">
        <w:rPr>
          <w:rFonts w:ascii="Book Antiqua" w:eastAsia="Book Antiqua" w:hAnsi="Book Antiqua" w:cs="Book Antiqua"/>
        </w:rPr>
        <w:t xml:space="preserve"> microscopic detail</w:t>
      </w:r>
      <w:r w:rsidRPr="003C219A">
        <w:rPr>
          <w:rFonts w:ascii="Book Antiqua" w:eastAsia="Book Antiqua" w:hAnsi="Book Antiqua" w:cs="Book Antiqua"/>
          <w:color w:val="000000"/>
        </w:rPr>
        <w:t>. However, this technique gives a dark image and makes it impossible to identify the color and structural microanatomy changes of the stomach mucosa, and it is necessary to combine it with the mechanical addit</w:t>
      </w:r>
      <w:r w:rsidR="00F71A54" w:rsidRPr="003C219A">
        <w:rPr>
          <w:rFonts w:ascii="Book Antiqua" w:eastAsia="Book Antiqua" w:hAnsi="Book Antiqua" w:cs="Book Antiqua"/>
          <w:color w:val="000000"/>
        </w:rPr>
        <w:t>ion</w:t>
      </w:r>
      <w:r w:rsidRPr="003C219A">
        <w:rPr>
          <w:rFonts w:ascii="Book Antiqua" w:eastAsia="Book Antiqua" w:hAnsi="Book Antiqua" w:cs="Book Antiqua"/>
          <w:color w:val="000000"/>
        </w:rPr>
        <w:t xml:space="preserve"> on the top of the scope (conventional magnification</w:t>
      </w:r>
      <w:r w:rsidR="00F71A54" w:rsidRPr="003C219A">
        <w:rPr>
          <w:rFonts w:ascii="Book Antiqua" w:eastAsia="Book Antiqua" w:hAnsi="Book Antiqua" w:cs="Book Antiqua"/>
          <w:color w:val="000000"/>
        </w:rPr>
        <w:t>)</w:t>
      </w:r>
      <w:r w:rsidRPr="003C219A">
        <w:rPr>
          <w:rFonts w:ascii="Book Antiqua" w:eastAsia="Book Antiqua" w:hAnsi="Book Antiqua" w:cs="Book Antiqua"/>
          <w:color w:val="000000"/>
        </w:rPr>
        <w:t>. These additions improve the visualization of the gastric mucosa but significantly complicate the procedure. We present</w:t>
      </w:r>
      <w:r w:rsidR="00F71A54" w:rsidRPr="003C219A">
        <w:rPr>
          <w:rFonts w:ascii="Book Antiqua" w:eastAsia="Book Antiqua" w:hAnsi="Book Antiqua" w:cs="Book Antiqua"/>
          <w:color w:val="000000"/>
        </w:rPr>
        <w:t>ed</w:t>
      </w:r>
      <w:r w:rsidRPr="003C219A">
        <w:rPr>
          <w:rFonts w:ascii="Book Antiqua" w:eastAsia="Book Antiqua" w:hAnsi="Book Antiqua" w:cs="Book Antiqua"/>
          <w:color w:val="000000"/>
        </w:rPr>
        <w:t xml:space="preserve"> a new endoscopic mode called “near focus” that achieves the same or better visuali</w:t>
      </w:r>
      <w:r w:rsidR="00F71A54" w:rsidRPr="003C219A">
        <w:rPr>
          <w:rFonts w:ascii="Book Antiqua" w:eastAsia="Book Antiqua" w:hAnsi="Book Antiqua" w:cs="Book Antiqua"/>
          <w:color w:val="000000"/>
        </w:rPr>
        <w:t>z</w:t>
      </w:r>
      <w:r w:rsidRPr="003C219A">
        <w:rPr>
          <w:rFonts w:ascii="Book Antiqua" w:eastAsia="Book Antiqua" w:hAnsi="Book Antiqua" w:cs="Book Antiqua"/>
          <w:color w:val="000000"/>
        </w:rPr>
        <w:t>ation and does not require any additional accessories.</w:t>
      </w:r>
    </w:p>
    <w:p w14:paraId="737EB784" w14:textId="77777777" w:rsidR="00A77B3E" w:rsidRPr="003C219A" w:rsidRDefault="00A77B3E" w:rsidP="003C219A">
      <w:pPr>
        <w:spacing w:line="360" w:lineRule="auto"/>
        <w:jc w:val="both"/>
        <w:rPr>
          <w:rFonts w:ascii="Book Antiqua" w:hAnsi="Book Antiqua"/>
        </w:rPr>
      </w:pPr>
    </w:p>
    <w:p w14:paraId="5F53366B"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aps/>
          <w:color w:val="000000"/>
          <w:u w:val="single"/>
        </w:rPr>
        <w:t>INTRODUCTION</w:t>
      </w:r>
    </w:p>
    <w:p w14:paraId="165B7D44" w14:textId="4BF39D35"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Currently, endoscopic platforms offer high-resolution images, image-enhanced endoscopy (IEE) techniques</w:t>
      </w:r>
      <w:r w:rsidR="00F71A54"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magnification, allowing for the inspection of gastric </w:t>
      </w:r>
      <w:r w:rsidRPr="003C219A">
        <w:rPr>
          <w:rFonts w:ascii="Book Antiqua" w:eastAsia="Book Antiqua" w:hAnsi="Book Antiqua" w:cs="Book Antiqua"/>
          <w:color w:val="000000"/>
        </w:rPr>
        <w:lastRenderedPageBreak/>
        <w:t xml:space="preserve">mucosa at a more detailed level. Endoscopic microscopic features (microanatomy) of the gastric body mucosa are classified into the microvascular architecture, such as the regular arrangement of collecting venules (RAC) and the regular honeycomb subepithelial capillary network (SECN). The </w:t>
      </w:r>
      <w:proofErr w:type="spellStart"/>
      <w:r w:rsidRPr="003C219A">
        <w:rPr>
          <w:rFonts w:ascii="Book Antiqua" w:eastAsia="Book Antiqua" w:hAnsi="Book Antiqua" w:cs="Book Antiqua"/>
          <w:color w:val="000000"/>
        </w:rPr>
        <w:t>microsurface</w:t>
      </w:r>
      <w:proofErr w:type="spellEnd"/>
      <w:r w:rsidRPr="003C219A">
        <w:rPr>
          <w:rFonts w:ascii="Book Antiqua" w:eastAsia="Book Antiqua" w:hAnsi="Book Antiqua" w:cs="Book Antiqua"/>
          <w:color w:val="000000"/>
        </w:rPr>
        <w:t xml:space="preserve"> structure is characterized by regular round gastric pits (GP), regular oval crypt opening (CO)</w:t>
      </w:r>
      <w:r w:rsidR="00CD298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the intervening part (IP), which constitutes the space between the crypts. In gastric</w:t>
      </w:r>
      <w:r w:rsidR="00CD298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related diseases such as </w:t>
      </w:r>
      <w:r w:rsidRPr="003C219A">
        <w:rPr>
          <w:rFonts w:ascii="Book Antiqua" w:eastAsia="Book Antiqua" w:hAnsi="Book Antiqua" w:cs="Book Antiqua"/>
          <w:i/>
          <w:iCs/>
          <w:color w:val="000000"/>
        </w:rPr>
        <w:t>Helicobacter pylori</w:t>
      </w:r>
      <w:r w:rsidRPr="003C219A">
        <w:rPr>
          <w:rFonts w:ascii="Book Antiqua" w:eastAsia="Book Antiqua" w:hAnsi="Book Antiqua" w:cs="Book Antiqua"/>
          <w:color w:val="000000"/>
        </w:rPr>
        <w:t xml:space="preserve"> (</w:t>
      </w:r>
      <w:r w:rsidR="00354993" w:rsidRPr="003C219A">
        <w:rPr>
          <w:rFonts w:ascii="Book Antiqua" w:eastAsia="Book Antiqua" w:hAnsi="Book Antiqua" w:cs="Book Antiqua"/>
          <w:i/>
          <w:iCs/>
          <w:color w:val="000000"/>
        </w:rPr>
        <w:t>H. pylori</w:t>
      </w:r>
      <w:r w:rsidRPr="003C219A">
        <w:rPr>
          <w:rFonts w:ascii="Book Antiqua" w:eastAsia="Book Antiqua" w:hAnsi="Book Antiqua" w:cs="Book Antiqua"/>
          <w:color w:val="000000"/>
        </w:rPr>
        <w:t>) infection, intestinal metaplasia, and gastric atrophy</w:t>
      </w:r>
      <w:r w:rsidR="00CD298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the microanatomy has been structurally changed </w:t>
      </w:r>
      <w:r w:rsidR="00CD298B" w:rsidRPr="003C219A">
        <w:rPr>
          <w:rFonts w:ascii="Book Antiqua" w:eastAsia="Book Antiqua" w:hAnsi="Book Antiqua" w:cs="Book Antiqua"/>
          <w:color w:val="000000"/>
        </w:rPr>
        <w:t>to an</w:t>
      </w:r>
      <w:r w:rsidRPr="003C219A">
        <w:rPr>
          <w:rFonts w:ascii="Book Antiqua" w:eastAsia="Book Antiqua" w:hAnsi="Book Antiqua" w:cs="Book Antiqua"/>
          <w:color w:val="000000"/>
        </w:rPr>
        <w:t xml:space="preserve"> absence of venules, irregularity of capillary network,</w:t>
      </w:r>
      <w:r w:rsidR="00CD298B" w:rsidRPr="003C219A">
        <w:rPr>
          <w:rFonts w:ascii="Book Antiqua" w:eastAsia="Book Antiqua" w:hAnsi="Book Antiqua" w:cs="Book Antiqua"/>
          <w:color w:val="000000"/>
        </w:rPr>
        <w:t xml:space="preserve"> and</w:t>
      </w:r>
      <w:r w:rsidRPr="003C219A">
        <w:rPr>
          <w:rFonts w:ascii="Book Antiqua" w:eastAsia="Book Antiqua" w:hAnsi="Book Antiqua" w:cs="Book Antiqua"/>
          <w:color w:val="000000"/>
        </w:rPr>
        <w:t xml:space="preserve"> enlarging pits and </w:t>
      </w:r>
      <w:proofErr w:type="gramStart"/>
      <w:r w:rsidRPr="003C219A">
        <w:rPr>
          <w:rFonts w:ascii="Book Antiqua" w:eastAsia="Book Antiqua" w:hAnsi="Book Antiqua" w:cs="Book Antiqua"/>
          <w:color w:val="000000"/>
        </w:rPr>
        <w:t>crypts</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1-6]</w:t>
      </w:r>
      <w:r w:rsidRPr="003C219A">
        <w:rPr>
          <w:rFonts w:ascii="Book Antiqua" w:eastAsia="Book Antiqua" w:hAnsi="Book Antiqua" w:cs="Book Antiqua"/>
          <w:color w:val="000000"/>
        </w:rPr>
        <w:t>.</w:t>
      </w:r>
    </w:p>
    <w:p w14:paraId="4EE15DBD" w14:textId="490AE25B"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In previous reports, white light endoscopy (WLE) has failed to assess endoscopic microanatomy. The need and wish to improve the differentiation of normal, inflammatory, and malignant lesions by gastrointestinal endoscopy has fueled research to accelerate the development of novel types of video endoscopy systems, based on new optical technologies. Electronic chromoendoscopy </w:t>
      </w:r>
      <w:r w:rsidRPr="003C219A">
        <w:rPr>
          <w:rFonts w:ascii="Book Antiqua" w:eastAsia="Book Antiqua" w:hAnsi="Book Antiqua" w:cs="Book Antiqua"/>
          <w:i/>
          <w:iCs/>
          <w:color w:val="000000"/>
        </w:rPr>
        <w:t>via</w:t>
      </w:r>
      <w:r w:rsidRPr="003C219A">
        <w:rPr>
          <w:rFonts w:ascii="Book Antiqua" w:eastAsia="Book Antiqua" w:hAnsi="Book Antiqua" w:cs="Book Antiqua"/>
          <w:color w:val="000000"/>
        </w:rPr>
        <w:t xml:space="preserve"> narrow-band imaging (NBI)</w:t>
      </w:r>
      <w:r w:rsidR="00CD298B" w:rsidRPr="003C219A">
        <w:rPr>
          <w:rFonts w:ascii="Book Antiqua" w:eastAsia="Book Antiqua" w:hAnsi="Book Antiqua" w:cs="Book Antiqua"/>
          <w:color w:val="000000"/>
        </w:rPr>
        <w:t xml:space="preserve"> (the most useful tool in the many clinical trials)</w:t>
      </w:r>
      <w:r w:rsidRPr="003C219A">
        <w:rPr>
          <w:rFonts w:ascii="Book Antiqua" w:eastAsia="Book Antiqua" w:hAnsi="Book Antiqua" w:cs="Book Antiqua"/>
          <w:color w:val="000000"/>
        </w:rPr>
        <w:t xml:space="preserve"> has highlighted the vascular patterns of gastric </w:t>
      </w:r>
      <w:proofErr w:type="gramStart"/>
      <w:r w:rsidRPr="003C219A">
        <w:rPr>
          <w:rFonts w:ascii="Book Antiqua" w:eastAsia="Book Antiqua" w:hAnsi="Book Antiqua" w:cs="Book Antiqua"/>
          <w:color w:val="000000"/>
        </w:rPr>
        <w:t>mucosa</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1,3,6</w:t>
      </w:r>
      <w:r w:rsidR="00354993" w:rsidRPr="003C219A">
        <w:rPr>
          <w:rFonts w:ascii="Book Antiqua" w:eastAsia="Book Antiqua" w:hAnsi="Book Antiqua" w:cs="Book Antiqua"/>
          <w:color w:val="000000"/>
          <w:vertAlign w:val="superscript"/>
        </w:rPr>
        <w:t>-</w:t>
      </w:r>
      <w:r w:rsidRPr="003C219A">
        <w:rPr>
          <w:rFonts w:ascii="Book Antiqua" w:eastAsia="Book Antiqua" w:hAnsi="Book Antiqua" w:cs="Book Antiqua"/>
          <w:color w:val="000000"/>
          <w:vertAlign w:val="superscript"/>
        </w:rPr>
        <w:t>8]</w:t>
      </w:r>
      <w:r w:rsidRPr="003C219A">
        <w:rPr>
          <w:rFonts w:ascii="Book Antiqua" w:eastAsia="Book Antiqua" w:hAnsi="Book Antiqua" w:cs="Book Antiqua"/>
          <w:color w:val="000000"/>
        </w:rPr>
        <w:t>. Three studies focused on acetic acid (AA)</w:t>
      </w:r>
      <w:r w:rsidR="00CD298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which enhances and determines the pathology of gastric </w:t>
      </w:r>
      <w:proofErr w:type="gramStart"/>
      <w:r w:rsidRPr="003C219A">
        <w:rPr>
          <w:rFonts w:ascii="Book Antiqua" w:eastAsia="Book Antiqua" w:hAnsi="Book Antiqua" w:cs="Book Antiqua"/>
          <w:color w:val="000000"/>
        </w:rPr>
        <w:t>lesions</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9</w:t>
      </w:r>
      <w:r w:rsidR="00354993" w:rsidRPr="003C219A">
        <w:rPr>
          <w:rFonts w:ascii="Book Antiqua" w:eastAsia="Book Antiqua" w:hAnsi="Book Antiqua" w:cs="Book Antiqua"/>
          <w:color w:val="000000"/>
          <w:vertAlign w:val="superscript"/>
        </w:rPr>
        <w:t>-</w:t>
      </w:r>
      <w:r w:rsidRPr="003C219A">
        <w:rPr>
          <w:rFonts w:ascii="Book Antiqua" w:eastAsia="Book Antiqua" w:hAnsi="Book Antiqua" w:cs="Book Antiqua"/>
          <w:color w:val="000000"/>
          <w:vertAlign w:val="superscript"/>
        </w:rPr>
        <w:t>11]</w:t>
      </w:r>
      <w:r w:rsidRPr="003C219A">
        <w:rPr>
          <w:rFonts w:ascii="Book Antiqua" w:eastAsia="Book Antiqua" w:hAnsi="Book Antiqua" w:cs="Book Antiqua"/>
          <w:color w:val="000000"/>
        </w:rPr>
        <w:t>.</w:t>
      </w:r>
    </w:p>
    <w:p w14:paraId="36D5F2CD" w14:textId="63950AB7" w:rsidR="00A77B3E" w:rsidRPr="003C219A" w:rsidRDefault="00CD298B"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There has been a need for </w:t>
      </w:r>
      <w:r w:rsidR="00202DDC" w:rsidRPr="003C219A">
        <w:rPr>
          <w:rFonts w:ascii="Book Antiqua" w:eastAsia="Book Antiqua" w:hAnsi="Book Antiqua" w:cs="Book Antiqua"/>
          <w:color w:val="000000"/>
        </w:rPr>
        <w:t xml:space="preserve">increased </w:t>
      </w:r>
      <w:r w:rsidRPr="003C219A">
        <w:rPr>
          <w:rFonts w:ascii="Book Antiqua" w:eastAsia="Book Antiqua" w:hAnsi="Book Antiqua" w:cs="Book Antiqua"/>
          <w:color w:val="000000"/>
        </w:rPr>
        <w:t>magnification to assess the endoscopic microscopic features in more detail. Conventional magnifying endoscopy (ME) with NBI observation of the normal gastric mucosa has been described previously; studies reported dominant patterns with RAC, SECN</w:t>
      </w:r>
      <w:r w:rsidR="00202DDC"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w:t>
      </w:r>
      <w:proofErr w:type="gramStart"/>
      <w:r w:rsidRPr="003C219A">
        <w:rPr>
          <w:rFonts w:ascii="Book Antiqua" w:eastAsia="Book Antiqua" w:hAnsi="Book Antiqua" w:cs="Book Antiqua"/>
          <w:color w:val="000000"/>
        </w:rPr>
        <w:t>GP</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2</w:t>
      </w:r>
      <w:r w:rsidR="00354993" w:rsidRPr="003C219A">
        <w:rPr>
          <w:rFonts w:ascii="Book Antiqua" w:eastAsia="Book Antiqua" w:hAnsi="Book Antiqua" w:cs="Book Antiqua"/>
          <w:color w:val="000000"/>
          <w:vertAlign w:val="superscript"/>
        </w:rPr>
        <w:t>-</w:t>
      </w:r>
      <w:r w:rsidRPr="003C219A">
        <w:rPr>
          <w:rFonts w:ascii="Book Antiqua" w:eastAsia="Book Antiqua" w:hAnsi="Book Antiqua" w:cs="Book Antiqua"/>
          <w:color w:val="000000"/>
          <w:vertAlign w:val="superscript"/>
        </w:rPr>
        <w:t>4,6,7]</w:t>
      </w:r>
      <w:r w:rsidRPr="003C219A">
        <w:rPr>
          <w:rFonts w:ascii="Book Antiqua" w:eastAsia="Book Antiqua" w:hAnsi="Book Antiqua" w:cs="Book Antiqua"/>
          <w:color w:val="000000"/>
        </w:rPr>
        <w:t xml:space="preserve">. Recent, optical innovation relating to the dual focus function allows the endoscopist to select between a normal mode and a near focus (NF) mode. The NF mode is optimized for near-field observation with 45-fold magnification. Studies have reported that NF-NBI successfully replaced ME-NBI in the detection of pathological lesions in the esophagus and pharynx as well as the identification of celiac </w:t>
      </w:r>
      <w:proofErr w:type="gramStart"/>
      <w:r w:rsidRPr="003C219A">
        <w:rPr>
          <w:rFonts w:ascii="Book Antiqua" w:eastAsia="Book Antiqua" w:hAnsi="Book Antiqua" w:cs="Book Antiqua"/>
          <w:color w:val="000000"/>
        </w:rPr>
        <w:t>disease</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12</w:t>
      </w:r>
      <w:r w:rsidR="00354993" w:rsidRPr="003C219A">
        <w:rPr>
          <w:rFonts w:ascii="Book Antiqua" w:eastAsia="Book Antiqua" w:hAnsi="Book Antiqua" w:cs="Book Antiqua"/>
          <w:color w:val="000000"/>
          <w:vertAlign w:val="superscript"/>
        </w:rPr>
        <w:t>-</w:t>
      </w:r>
      <w:r w:rsidRPr="003C219A">
        <w:rPr>
          <w:rFonts w:ascii="Book Antiqua" w:eastAsia="Book Antiqua" w:hAnsi="Book Antiqua" w:cs="Book Antiqua"/>
          <w:color w:val="000000"/>
          <w:vertAlign w:val="superscript"/>
        </w:rPr>
        <w:t>15]</w:t>
      </w:r>
      <w:r w:rsidRPr="003C219A">
        <w:rPr>
          <w:rFonts w:ascii="Book Antiqua" w:eastAsia="Book Antiqua" w:hAnsi="Book Antiqua" w:cs="Book Antiqua"/>
          <w:color w:val="000000"/>
        </w:rPr>
        <w:t xml:space="preserve">. Recent studies reported the ability of the NF-NBI mode </w:t>
      </w:r>
      <w:r w:rsidR="00202DDC" w:rsidRPr="003C219A">
        <w:rPr>
          <w:rFonts w:ascii="Book Antiqua" w:eastAsia="Book Antiqua" w:hAnsi="Book Antiqua" w:cs="Book Antiqua"/>
          <w:color w:val="000000"/>
        </w:rPr>
        <w:t xml:space="preserve">for </w:t>
      </w:r>
      <w:r w:rsidRPr="003C219A">
        <w:rPr>
          <w:rFonts w:ascii="Book Antiqua" w:eastAsia="Book Antiqua" w:hAnsi="Book Antiqua" w:cs="Book Antiqua"/>
          <w:color w:val="000000"/>
        </w:rPr>
        <w:t xml:space="preserve">the detection of early gastric cancer </w:t>
      </w:r>
      <w:proofErr w:type="gramStart"/>
      <w:r w:rsidRPr="003C219A">
        <w:rPr>
          <w:rFonts w:ascii="Book Antiqua" w:eastAsia="Book Antiqua" w:hAnsi="Book Antiqua" w:cs="Book Antiqua"/>
          <w:color w:val="000000"/>
        </w:rPr>
        <w:t>lesions</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16,17]</w:t>
      </w:r>
      <w:r w:rsidRPr="003C219A">
        <w:rPr>
          <w:rFonts w:ascii="Book Antiqua" w:eastAsia="Book Antiqua" w:hAnsi="Book Antiqua" w:cs="Book Antiqua"/>
          <w:color w:val="000000"/>
        </w:rPr>
        <w:t xml:space="preserve">. Two recently published studies considered NF endoscopy in the evaluation of gastric atrophy, intestinal metaplasia, and </w:t>
      </w:r>
      <w:r w:rsidR="00354993" w:rsidRPr="003C219A">
        <w:rPr>
          <w:rFonts w:ascii="Book Antiqua" w:eastAsia="Book Antiqua" w:hAnsi="Book Antiqua" w:cs="Book Antiqua"/>
          <w:i/>
          <w:iCs/>
          <w:color w:val="000000"/>
        </w:rPr>
        <w:t>H. pylori</w:t>
      </w:r>
      <w:r w:rsidRPr="003C219A">
        <w:rPr>
          <w:rFonts w:ascii="Book Antiqua" w:eastAsia="Book Antiqua" w:hAnsi="Book Antiqua" w:cs="Book Antiqua"/>
          <w:color w:val="000000"/>
        </w:rPr>
        <w:t xml:space="preserve"> </w:t>
      </w:r>
      <w:proofErr w:type="gramStart"/>
      <w:r w:rsidRPr="003C219A">
        <w:rPr>
          <w:rFonts w:ascii="Book Antiqua" w:eastAsia="Book Antiqua" w:hAnsi="Book Antiqua" w:cs="Book Antiqua"/>
          <w:color w:val="000000"/>
        </w:rPr>
        <w:t>infection</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18,19]</w:t>
      </w:r>
      <w:r w:rsidRPr="003C219A">
        <w:rPr>
          <w:rFonts w:ascii="Book Antiqua" w:eastAsia="Book Antiqua" w:hAnsi="Book Antiqua" w:cs="Book Antiqua"/>
          <w:color w:val="000000"/>
        </w:rPr>
        <w:t>.</w:t>
      </w:r>
    </w:p>
    <w:p w14:paraId="48D085D4" w14:textId="41E339F8"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lastRenderedPageBreak/>
        <w:t>Conventional ME us</w:t>
      </w:r>
      <w:r w:rsidR="00202DDC" w:rsidRPr="003C219A">
        <w:rPr>
          <w:rFonts w:ascii="Book Antiqua" w:eastAsia="Book Antiqua" w:hAnsi="Book Antiqua" w:cs="Book Antiqua"/>
          <w:color w:val="000000"/>
        </w:rPr>
        <w:t>es</w:t>
      </w:r>
      <w:r w:rsidRPr="003C219A">
        <w:rPr>
          <w:rFonts w:ascii="Book Antiqua" w:eastAsia="Book Antiqua" w:hAnsi="Book Antiqua" w:cs="Book Antiqua"/>
          <w:color w:val="000000"/>
        </w:rPr>
        <w:t xml:space="preserve"> a soft rubber at the top of the scope due to the demanding manipulation in </w:t>
      </w:r>
      <w:r w:rsidR="00202DDC" w:rsidRPr="003C219A">
        <w:rPr>
          <w:rFonts w:ascii="Book Antiqua" w:eastAsia="Book Antiqua" w:hAnsi="Book Antiqua" w:cs="Book Antiqua"/>
          <w:color w:val="000000"/>
        </w:rPr>
        <w:t xml:space="preserve">the remaining </w:t>
      </w:r>
      <w:r w:rsidRPr="003C219A">
        <w:rPr>
          <w:rFonts w:ascii="Book Antiqua" w:eastAsia="Book Antiqua" w:hAnsi="Book Antiqua" w:cs="Book Antiqua"/>
          <w:color w:val="000000"/>
        </w:rPr>
        <w:t xml:space="preserve">stomach </w:t>
      </w:r>
      <w:r w:rsidR="00202DDC" w:rsidRPr="003C219A">
        <w:rPr>
          <w:rFonts w:ascii="Book Antiqua" w:eastAsia="Book Antiqua" w:hAnsi="Book Antiqua" w:cs="Book Antiqua"/>
          <w:color w:val="000000"/>
        </w:rPr>
        <w:t>can</w:t>
      </w:r>
      <w:r w:rsidRPr="003C219A">
        <w:rPr>
          <w:rFonts w:ascii="Book Antiqua" w:eastAsia="Book Antiqua" w:hAnsi="Book Antiqua" w:cs="Book Antiqua"/>
          <w:color w:val="000000"/>
        </w:rPr>
        <w:t xml:space="preserve"> be replaced with the simple, more pragmatic, and novel endoscopic way of magnification. Therefore, in this study, we evaluate</w:t>
      </w:r>
      <w:r w:rsidR="00202DDC" w:rsidRPr="003C219A">
        <w:rPr>
          <w:rFonts w:ascii="Book Antiqua" w:eastAsia="Book Antiqua" w:hAnsi="Book Antiqua" w:cs="Book Antiqua"/>
          <w:color w:val="000000"/>
        </w:rPr>
        <w:t>d</w:t>
      </w:r>
      <w:r w:rsidRPr="003C219A">
        <w:rPr>
          <w:rFonts w:ascii="Book Antiqua" w:eastAsia="Book Antiqua" w:hAnsi="Book Antiqua" w:cs="Book Antiqua"/>
          <w:color w:val="000000"/>
        </w:rPr>
        <w:t xml:space="preserve"> the possibilit</w:t>
      </w:r>
      <w:r w:rsidR="00202DDC" w:rsidRPr="003C219A">
        <w:rPr>
          <w:rFonts w:ascii="Book Antiqua" w:eastAsia="Book Antiqua" w:hAnsi="Book Antiqua" w:cs="Book Antiqua"/>
          <w:color w:val="000000"/>
        </w:rPr>
        <w:t>y</w:t>
      </w:r>
      <w:r w:rsidRPr="003C219A">
        <w:rPr>
          <w:rFonts w:ascii="Book Antiqua" w:eastAsia="Book Antiqua" w:hAnsi="Book Antiqua" w:cs="Book Antiqua"/>
          <w:color w:val="000000"/>
        </w:rPr>
        <w:t xml:space="preserve"> of a new one-dual (near) focus, NBI mode in the assessment of RAC, SECN, GP</w:t>
      </w:r>
      <w:r w:rsidR="00202DDC"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CO in the gastric body</w:t>
      </w:r>
      <w:r w:rsidR="00202DDC" w:rsidRPr="003C219A">
        <w:rPr>
          <w:rFonts w:ascii="Book Antiqua" w:eastAsia="Book Antiqua" w:hAnsi="Book Antiqua" w:cs="Book Antiqua"/>
          <w:color w:val="000000"/>
        </w:rPr>
        <w:t xml:space="preserve"> for the visualization of</w:t>
      </w:r>
      <w:r w:rsidRPr="003C219A">
        <w:rPr>
          <w:rFonts w:ascii="Book Antiqua" w:eastAsia="Book Antiqua" w:hAnsi="Book Antiqua" w:cs="Book Antiqua"/>
          <w:color w:val="000000"/>
        </w:rPr>
        <w:t xml:space="preserve"> microscopic features of the mucosa.</w:t>
      </w:r>
    </w:p>
    <w:p w14:paraId="02AAEA50" w14:textId="0D806769"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The first aim of this study was to determine the clinical (endoscopic) usefulness of the NF-NBI mode in the observation of gastric microvascular architecture and </w:t>
      </w:r>
      <w:proofErr w:type="spellStart"/>
      <w:r w:rsidRPr="003C219A">
        <w:rPr>
          <w:rFonts w:ascii="Book Antiqua" w:eastAsia="Book Antiqua" w:hAnsi="Book Antiqua" w:cs="Book Antiqua"/>
          <w:color w:val="000000"/>
        </w:rPr>
        <w:t>microsurface</w:t>
      </w:r>
      <w:proofErr w:type="spellEnd"/>
      <w:r w:rsidRPr="003C219A">
        <w:rPr>
          <w:rFonts w:ascii="Book Antiqua" w:eastAsia="Book Antiqua" w:hAnsi="Book Antiqua" w:cs="Book Antiqua"/>
          <w:color w:val="000000"/>
        </w:rPr>
        <w:t xml:space="preserve"> structure. Secondly, by applying 1.5% AA, we compare</w:t>
      </w:r>
      <w:r w:rsidR="005D7377" w:rsidRPr="003C219A">
        <w:rPr>
          <w:rFonts w:ascii="Book Antiqua" w:eastAsia="Book Antiqua" w:hAnsi="Book Antiqua" w:cs="Book Antiqua"/>
          <w:color w:val="000000"/>
        </w:rPr>
        <w:t>d</w:t>
      </w:r>
      <w:r w:rsidRPr="003C219A">
        <w:rPr>
          <w:rFonts w:ascii="Book Antiqua" w:eastAsia="Book Antiqua" w:hAnsi="Book Antiqua" w:cs="Book Antiqua"/>
          <w:color w:val="000000"/>
        </w:rPr>
        <w:t xml:space="preserve"> the power of visualization of the AA-NF and AA-NF-NBI mode when assessing </w:t>
      </w:r>
      <w:proofErr w:type="spellStart"/>
      <w:r w:rsidRPr="003C219A">
        <w:rPr>
          <w:rFonts w:ascii="Book Antiqua" w:eastAsia="Book Antiqua" w:hAnsi="Book Antiqua" w:cs="Book Antiqua"/>
          <w:color w:val="000000"/>
        </w:rPr>
        <w:t>microsurface</w:t>
      </w:r>
      <w:proofErr w:type="spellEnd"/>
      <w:r w:rsidRPr="003C219A">
        <w:rPr>
          <w:rFonts w:ascii="Book Antiqua" w:eastAsia="Book Antiqua" w:hAnsi="Book Antiqua" w:cs="Book Antiqua"/>
          <w:color w:val="000000"/>
        </w:rPr>
        <w:t xml:space="preserve"> patterns containing CO and IP.</w:t>
      </w:r>
    </w:p>
    <w:p w14:paraId="71EBBFCC" w14:textId="77777777" w:rsidR="00A77B3E" w:rsidRPr="003C219A" w:rsidRDefault="00A77B3E" w:rsidP="003C219A">
      <w:pPr>
        <w:spacing w:line="360" w:lineRule="auto"/>
        <w:jc w:val="both"/>
        <w:rPr>
          <w:rFonts w:ascii="Book Antiqua" w:hAnsi="Book Antiqua"/>
        </w:rPr>
      </w:pPr>
    </w:p>
    <w:p w14:paraId="7C29F2EA"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aps/>
          <w:color w:val="000000"/>
          <w:u w:val="single"/>
        </w:rPr>
        <w:t>MATERIALS AND METHODS</w:t>
      </w:r>
    </w:p>
    <w:p w14:paraId="7058EAE0" w14:textId="77777777" w:rsidR="00A77B3E" w:rsidRPr="003C219A" w:rsidRDefault="00000000" w:rsidP="003C219A">
      <w:pPr>
        <w:spacing w:line="360" w:lineRule="auto"/>
        <w:jc w:val="both"/>
        <w:rPr>
          <w:rFonts w:ascii="Book Antiqua" w:hAnsi="Book Antiqua"/>
        </w:rPr>
      </w:pPr>
      <w:r w:rsidRPr="003C219A">
        <w:rPr>
          <w:rStyle w:val="jlqj4b"/>
          <w:rFonts w:ascii="Book Antiqua" w:eastAsia="Book Antiqua" w:hAnsi="Book Antiqua" w:cs="Book Antiqua"/>
          <w:b/>
          <w:bCs/>
          <w:i/>
          <w:iCs/>
          <w:color w:val="000000"/>
        </w:rPr>
        <w:t>Patients</w:t>
      </w:r>
    </w:p>
    <w:p w14:paraId="1E37748F" w14:textId="05C4346D" w:rsidR="00A77B3E" w:rsidRPr="003C219A" w:rsidRDefault="00000000" w:rsidP="003C219A">
      <w:pPr>
        <w:spacing w:line="360" w:lineRule="auto"/>
        <w:jc w:val="both"/>
        <w:rPr>
          <w:rFonts w:ascii="Book Antiqua" w:hAnsi="Book Antiqua"/>
        </w:rPr>
      </w:pPr>
      <w:r w:rsidRPr="003C219A">
        <w:rPr>
          <w:rStyle w:val="jlqj4b"/>
          <w:rFonts w:ascii="Book Antiqua" w:eastAsia="Book Antiqua" w:hAnsi="Book Antiqua" w:cs="Book Antiqua"/>
          <w:color w:val="000000"/>
        </w:rPr>
        <w:t>B</w:t>
      </w:r>
      <w:r w:rsidRPr="003C219A">
        <w:rPr>
          <w:rFonts w:ascii="Book Antiqua" w:eastAsia="Book Antiqua" w:hAnsi="Book Antiqua" w:cs="Book Antiqua"/>
          <w:color w:val="000000"/>
        </w:rPr>
        <w:t xml:space="preserve">etween September 2021 and May 2022, 68 patients underwent proximal </w:t>
      </w:r>
      <w:r w:rsidRPr="003C219A">
        <w:rPr>
          <w:rStyle w:val="jlqj4b"/>
          <w:rFonts w:ascii="Book Antiqua" w:eastAsia="Book Antiqua" w:hAnsi="Book Antiqua" w:cs="Book Antiqua"/>
          <w:color w:val="000000"/>
        </w:rPr>
        <w:t>gastrointestinal endoscopy</w:t>
      </w:r>
      <w:r w:rsidRPr="003C219A">
        <w:rPr>
          <w:rFonts w:ascii="Book Antiqua" w:eastAsia="Book Antiqua" w:hAnsi="Book Antiqua" w:cs="Book Antiqua"/>
          <w:color w:val="000000"/>
        </w:rPr>
        <w:t xml:space="preserve"> using conventional WLE, NF magnification</w:t>
      </w:r>
      <w:r w:rsidR="005D7377"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NF-NBI with the subsequent application of AA. The patients consisted of 30 m</w:t>
      </w:r>
      <w:r w:rsidR="005D7377" w:rsidRPr="003C219A">
        <w:rPr>
          <w:rFonts w:ascii="Book Antiqua" w:eastAsia="Book Antiqua" w:hAnsi="Book Antiqua" w:cs="Book Antiqua"/>
          <w:color w:val="000000"/>
        </w:rPr>
        <w:t>ales</w:t>
      </w:r>
      <w:r w:rsidRPr="003C219A">
        <w:rPr>
          <w:rFonts w:ascii="Book Antiqua" w:eastAsia="Book Antiqua" w:hAnsi="Book Antiqua" w:cs="Book Antiqua"/>
          <w:color w:val="000000"/>
        </w:rPr>
        <w:t xml:space="preserve"> and 38 </w:t>
      </w:r>
      <w:r w:rsidR="005D7377" w:rsidRPr="003C219A">
        <w:rPr>
          <w:rFonts w:ascii="Book Antiqua" w:eastAsia="Book Antiqua" w:hAnsi="Book Antiqua" w:cs="Book Antiqua"/>
          <w:color w:val="000000"/>
        </w:rPr>
        <w:t xml:space="preserve">females with a </w:t>
      </w:r>
      <w:r w:rsidRPr="003C219A">
        <w:rPr>
          <w:rFonts w:ascii="Book Antiqua" w:eastAsia="Book Antiqua" w:hAnsi="Book Antiqua" w:cs="Book Antiqua"/>
          <w:color w:val="000000"/>
        </w:rPr>
        <w:t xml:space="preserve">mean age </w:t>
      </w:r>
      <w:r w:rsidR="005D7377" w:rsidRPr="003C219A">
        <w:rPr>
          <w:rFonts w:ascii="Book Antiqua" w:eastAsia="Book Antiqua" w:hAnsi="Book Antiqua" w:cs="Book Antiqua"/>
          <w:color w:val="000000"/>
        </w:rPr>
        <w:t>of</w:t>
      </w:r>
      <w:r w:rsidRPr="003C219A">
        <w:rPr>
          <w:rFonts w:ascii="Book Antiqua" w:eastAsia="Book Antiqua" w:hAnsi="Book Antiqua" w:cs="Book Antiqua"/>
          <w:color w:val="000000"/>
        </w:rPr>
        <w:t xml:space="preserve"> 38.5 years </w:t>
      </w:r>
      <w:r w:rsidR="005D7377" w:rsidRPr="003C219A">
        <w:rPr>
          <w:rFonts w:ascii="Book Antiqua" w:eastAsia="Book Antiqua" w:hAnsi="Book Antiqua" w:cs="Book Antiqua"/>
          <w:color w:val="000000"/>
        </w:rPr>
        <w:t>(</w:t>
      </w:r>
      <w:r w:rsidRPr="003C219A">
        <w:rPr>
          <w:rFonts w:ascii="Book Antiqua" w:eastAsia="Book Antiqua" w:hAnsi="Book Antiqua" w:cs="Book Antiqua"/>
          <w:color w:val="000000"/>
        </w:rPr>
        <w:t>range</w:t>
      </w:r>
      <w:r w:rsidR="005D7377"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25-65 years</w:t>
      </w:r>
      <w:r w:rsidR="005D7377" w:rsidRPr="003C219A">
        <w:rPr>
          <w:rFonts w:ascii="Book Antiqua" w:eastAsia="Book Antiqua" w:hAnsi="Book Antiqua" w:cs="Book Antiqua"/>
          <w:color w:val="000000"/>
        </w:rPr>
        <w:t>)</w:t>
      </w:r>
      <w:r w:rsidRPr="003C219A">
        <w:rPr>
          <w:rFonts w:ascii="Book Antiqua" w:eastAsia="Book Antiqua" w:hAnsi="Book Antiqua" w:cs="Book Antiqua"/>
          <w:color w:val="000000"/>
        </w:rPr>
        <w:t>.</w:t>
      </w:r>
    </w:p>
    <w:p w14:paraId="507F5C0D" w14:textId="13FF8A5A" w:rsidR="00A77B3E" w:rsidRPr="003C219A" w:rsidRDefault="00000000" w:rsidP="003C219A">
      <w:pPr>
        <w:spacing w:line="360" w:lineRule="auto"/>
        <w:ind w:firstLine="240"/>
        <w:jc w:val="both"/>
        <w:rPr>
          <w:rFonts w:ascii="Book Antiqua" w:hAnsi="Book Antiqua"/>
        </w:rPr>
      </w:pPr>
      <w:r w:rsidRPr="003C219A">
        <w:rPr>
          <w:rStyle w:val="jlqj4b"/>
          <w:rFonts w:ascii="Book Antiqua" w:eastAsia="Book Antiqua" w:hAnsi="Book Antiqua" w:cs="Book Antiqua"/>
          <w:color w:val="000000"/>
        </w:rPr>
        <w:t xml:space="preserve">The study excluded patients who were </w:t>
      </w:r>
      <w:r w:rsidR="00354993" w:rsidRPr="003C219A">
        <w:rPr>
          <w:rFonts w:ascii="Book Antiqua" w:eastAsia="Book Antiqua" w:hAnsi="Book Antiqua" w:cs="Book Antiqua"/>
          <w:i/>
          <w:iCs/>
          <w:color w:val="000000"/>
        </w:rPr>
        <w:t>H. pylori</w:t>
      </w:r>
      <w:r w:rsidRPr="003C219A">
        <w:rPr>
          <w:rStyle w:val="jlqj4b"/>
          <w:rFonts w:ascii="Book Antiqua" w:eastAsia="Book Antiqua" w:hAnsi="Book Antiqua" w:cs="Book Antiqua"/>
          <w:color w:val="000000"/>
        </w:rPr>
        <w:t xml:space="preserve"> positive</w:t>
      </w:r>
      <w:r w:rsidR="005D7377" w:rsidRPr="003C219A">
        <w:rPr>
          <w:rStyle w:val="jlqj4b"/>
          <w:rFonts w:ascii="Book Antiqua" w:eastAsia="Book Antiqua" w:hAnsi="Book Antiqua" w:cs="Book Antiqua"/>
          <w:color w:val="000000"/>
        </w:rPr>
        <w:t xml:space="preserve"> (</w:t>
      </w:r>
      <w:r w:rsidRPr="003C219A">
        <w:rPr>
          <w:rStyle w:val="jlqj4b"/>
          <w:rFonts w:ascii="Book Antiqua" w:eastAsia="Book Antiqua" w:hAnsi="Book Antiqua" w:cs="Book Antiqua"/>
          <w:color w:val="000000"/>
        </w:rPr>
        <w:t>either one serology or rapid urease test</w:t>
      </w:r>
      <w:r w:rsidR="005D7377" w:rsidRPr="003C219A">
        <w:rPr>
          <w:rStyle w:val="jlqj4b"/>
          <w:rFonts w:ascii="Book Antiqua" w:eastAsia="Book Antiqua" w:hAnsi="Book Antiqua" w:cs="Book Antiqua"/>
          <w:color w:val="000000"/>
        </w:rPr>
        <w:t>)</w:t>
      </w:r>
      <w:r w:rsidRPr="003C219A">
        <w:rPr>
          <w:rStyle w:val="jlqj4b"/>
          <w:rFonts w:ascii="Book Antiqua" w:eastAsia="Book Antiqua" w:hAnsi="Book Antiqua" w:cs="Book Antiqua"/>
          <w:color w:val="000000"/>
        </w:rPr>
        <w:t>, those who had received anticoagulant therapy or drugs for chronic metabolic diseases (diabetes mellitus, hypothyroidism) and systemic inflammation disease as well as nonsteroidal anti-inflammatory drugs and anxiolytics, and patients with chronic decompensated liver and kidney diseases.</w:t>
      </w:r>
      <w:r w:rsidRPr="003C219A">
        <w:rPr>
          <w:rFonts w:ascii="Book Antiqua" w:eastAsia="Book Antiqua" w:hAnsi="Book Antiqua" w:cs="Book Antiqua"/>
          <w:color w:val="000000"/>
        </w:rPr>
        <w:t xml:space="preserve"> The study was approved by the ethical committee of the Blue Medical Group, and signed, well-informed consent was obtained from all participants.</w:t>
      </w:r>
    </w:p>
    <w:p w14:paraId="40FB5137" w14:textId="77777777" w:rsidR="00A77B3E" w:rsidRPr="003C219A" w:rsidRDefault="00A77B3E" w:rsidP="003C219A">
      <w:pPr>
        <w:spacing w:line="360" w:lineRule="auto"/>
        <w:jc w:val="both"/>
        <w:rPr>
          <w:rFonts w:ascii="Book Antiqua" w:hAnsi="Book Antiqua"/>
        </w:rPr>
      </w:pPr>
    </w:p>
    <w:p w14:paraId="04677371"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i/>
          <w:iCs/>
          <w:color w:val="000000"/>
        </w:rPr>
        <w:t>Endoscopic modalities</w:t>
      </w:r>
    </w:p>
    <w:p w14:paraId="0FC45BF8" w14:textId="3919BA3A"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The endoscopic video information system, EVIS EXERA III CLV-190, was used with an Olympus high-resolution endoscope, GIF-190HQ series NBI system, with dual focus capability for the investigation of the gastric mucosa. This scope allows switch</w:t>
      </w:r>
      <w:r w:rsidR="001E03E3" w:rsidRPr="003C219A">
        <w:rPr>
          <w:rFonts w:ascii="Book Antiqua" w:eastAsia="Book Antiqua" w:hAnsi="Book Antiqua" w:cs="Book Antiqua"/>
          <w:color w:val="000000"/>
        </w:rPr>
        <w:t>ing</w:t>
      </w:r>
      <w:r w:rsidRPr="003C219A">
        <w:rPr>
          <w:rFonts w:ascii="Book Antiqua" w:eastAsia="Book Antiqua" w:hAnsi="Book Antiqua" w:cs="Book Antiqua"/>
          <w:color w:val="000000"/>
        </w:rPr>
        <w:t xml:space="preserve"> between two focus settings: “normal mode” and “near focus mode”. The “normal mode” </w:t>
      </w:r>
      <w:r w:rsidRPr="003C219A">
        <w:rPr>
          <w:rFonts w:ascii="Book Antiqua" w:eastAsia="Book Antiqua" w:hAnsi="Book Antiqua" w:cs="Book Antiqua"/>
          <w:color w:val="000000"/>
        </w:rPr>
        <w:lastRenderedPageBreak/>
        <w:t>or WLE suits normal observation at 5</w:t>
      </w:r>
      <w:r w:rsidR="00AA5D8C"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100 mm and a 170° field of view, while the NF magnification of up to </w:t>
      </w:r>
      <w:r w:rsidR="001E03E3" w:rsidRPr="003C219A">
        <w:rPr>
          <w:rFonts w:ascii="Book Antiqua" w:eastAsia="Book Antiqua" w:hAnsi="Book Antiqua" w:cs="Book Antiqua"/>
          <w:color w:val="000000"/>
        </w:rPr>
        <w:t xml:space="preserve">× </w:t>
      </w:r>
      <w:r w:rsidRPr="003C219A">
        <w:rPr>
          <w:rFonts w:ascii="Book Antiqua" w:eastAsia="Book Antiqua" w:hAnsi="Book Antiqua" w:cs="Book Antiqua"/>
          <w:color w:val="000000"/>
        </w:rPr>
        <w:t>70 allows close observation of the finest mucosal surfaces at 2</w:t>
      </w:r>
      <w:r w:rsidR="00AA5D8C" w:rsidRPr="003C219A">
        <w:rPr>
          <w:rFonts w:ascii="Book Antiqua" w:eastAsia="Book Antiqua" w:hAnsi="Book Antiqua" w:cs="Book Antiqua"/>
          <w:color w:val="000000"/>
        </w:rPr>
        <w:t>-</w:t>
      </w:r>
      <w:r w:rsidRPr="003C219A">
        <w:rPr>
          <w:rFonts w:ascii="Book Antiqua" w:eastAsia="Book Antiqua" w:hAnsi="Book Antiqua" w:cs="Book Antiqua"/>
          <w:color w:val="000000"/>
        </w:rPr>
        <w:t>6 mm. When switching to the NF mode at the simple touch of a button, the field of view will remain almost the same (160°).</w:t>
      </w:r>
    </w:p>
    <w:p w14:paraId="7B08E91F" w14:textId="77777777"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NBI is based on the principle that depth of light penetration into tissues is directly proportional to the wavelength, which implies that the shorter the wavelength, the more superficial the penetration. The NBI resembles chromoendoscopy without dye, focusing on the capillaries.</w:t>
      </w:r>
    </w:p>
    <w:p w14:paraId="1FE434AA" w14:textId="71CE5EE1"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AA </w:t>
      </w:r>
      <w:r w:rsidRPr="003C219A">
        <w:rPr>
          <w:rFonts w:ascii="Book Antiqua" w:eastAsia="Book Antiqua" w:hAnsi="Book Antiqua" w:cs="Book Antiqua"/>
          <w:i/>
          <w:iCs/>
          <w:color w:val="000000"/>
        </w:rPr>
        <w:t>via</w:t>
      </w:r>
      <w:r w:rsidRPr="003C219A">
        <w:rPr>
          <w:rFonts w:ascii="Book Antiqua" w:eastAsia="Book Antiqua" w:hAnsi="Book Antiqua" w:cs="Book Antiqua"/>
          <w:color w:val="000000"/>
        </w:rPr>
        <w:t xml:space="preserve"> magnification enables vivid observation of the CO of the glandular epithelium, which has a deep brown appearance</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1E03E3" w:rsidRPr="003C219A">
        <w:rPr>
          <w:rFonts w:ascii="Book Antiqua" w:eastAsia="Book Antiqua" w:hAnsi="Book Antiqua" w:cs="Book Antiqua"/>
          <w:color w:val="000000"/>
        </w:rPr>
        <w:t>T</w:t>
      </w:r>
      <w:r w:rsidRPr="003C219A">
        <w:rPr>
          <w:rFonts w:ascii="Book Antiqua" w:eastAsia="Book Antiqua" w:hAnsi="Book Antiqua" w:cs="Book Antiqua"/>
          <w:color w:val="000000"/>
        </w:rPr>
        <w:t>he IP has a whitish appearance because of reversible alterations in the molecular structure of the cellular proteins that are induced by AA and last</w:t>
      </w:r>
      <w:r w:rsidR="001E03E3" w:rsidRPr="003C219A">
        <w:rPr>
          <w:rFonts w:ascii="Book Antiqua" w:eastAsia="Book Antiqua" w:hAnsi="Book Antiqua" w:cs="Book Antiqua"/>
          <w:color w:val="000000"/>
        </w:rPr>
        <w:t>s</w:t>
      </w:r>
      <w:r w:rsidRPr="003C219A">
        <w:rPr>
          <w:rFonts w:ascii="Book Antiqua" w:eastAsia="Book Antiqua" w:hAnsi="Book Antiqua" w:cs="Book Antiqua"/>
          <w:color w:val="000000"/>
        </w:rPr>
        <w:t xml:space="preserve"> from several seconds to several minutes.</w:t>
      </w:r>
    </w:p>
    <w:p w14:paraId="10C50E8A" w14:textId="77777777" w:rsidR="00A77B3E" w:rsidRPr="003C219A" w:rsidRDefault="00A77B3E" w:rsidP="003C219A">
      <w:pPr>
        <w:spacing w:line="360" w:lineRule="auto"/>
        <w:jc w:val="both"/>
        <w:rPr>
          <w:rFonts w:ascii="Book Antiqua" w:hAnsi="Book Antiqua"/>
        </w:rPr>
      </w:pPr>
    </w:p>
    <w:p w14:paraId="72CB811F"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i/>
          <w:iCs/>
          <w:color w:val="000000"/>
        </w:rPr>
        <w:t>Endoscopic procedure</w:t>
      </w:r>
    </w:p>
    <w:p w14:paraId="04257CEC" w14:textId="2B7333C3"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Two hours before the procedure all patients took 80 mg of simethicone with a small amount of water to remove gastric mucus</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1E03E3" w:rsidRPr="003C219A">
        <w:rPr>
          <w:rFonts w:ascii="Book Antiqua" w:eastAsia="Book Antiqua" w:hAnsi="Book Antiqua" w:cs="Book Antiqua"/>
          <w:color w:val="000000"/>
        </w:rPr>
        <w:t>T</w:t>
      </w:r>
      <w:r w:rsidRPr="003C219A">
        <w:rPr>
          <w:rFonts w:ascii="Book Antiqua" w:eastAsia="Book Antiqua" w:hAnsi="Book Antiqua" w:cs="Book Antiqua"/>
          <w:color w:val="000000"/>
        </w:rPr>
        <w:t>he procedure w</w:t>
      </w:r>
      <w:r w:rsidR="001E03E3" w:rsidRPr="003C219A">
        <w:rPr>
          <w:rFonts w:ascii="Book Antiqua" w:eastAsia="Book Antiqua" w:hAnsi="Book Antiqua" w:cs="Book Antiqua"/>
          <w:color w:val="000000"/>
        </w:rPr>
        <w:t>as</w:t>
      </w:r>
      <w:r w:rsidRPr="003C219A">
        <w:rPr>
          <w:rFonts w:ascii="Book Antiqua" w:eastAsia="Book Antiqua" w:hAnsi="Book Antiqua" w:cs="Book Antiqua"/>
          <w:color w:val="000000"/>
        </w:rPr>
        <w:t xml:space="preserve"> performed under intravenous application of propofol. An experienced gastroenterologist (</w:t>
      </w:r>
      <w:proofErr w:type="spellStart"/>
      <w:r w:rsidR="00AA5D8C" w:rsidRPr="003C219A">
        <w:rPr>
          <w:rFonts w:ascii="Book Antiqua" w:eastAsia="Book Antiqua" w:hAnsi="Book Antiqua" w:cs="Book Antiqua"/>
        </w:rPr>
        <w:t>Kurtcehajic</w:t>
      </w:r>
      <w:proofErr w:type="spellEnd"/>
      <w:r w:rsidR="00AA5D8C" w:rsidRPr="003C219A">
        <w:rPr>
          <w:rFonts w:ascii="Book Antiqua" w:eastAsia="Book Antiqua" w:hAnsi="Book Antiqua" w:cs="Book Antiqua"/>
        </w:rPr>
        <w:t xml:space="preserve"> A</w:t>
      </w:r>
      <w:r w:rsidRPr="003C219A">
        <w:rPr>
          <w:rFonts w:ascii="Book Antiqua" w:eastAsia="Book Antiqua" w:hAnsi="Book Antiqua" w:cs="Book Antiqua"/>
          <w:color w:val="000000"/>
        </w:rPr>
        <w:t>) performed all the procedures. The whole esophagus, stomach</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duodenum were examined to exclude obvious lesions with conventional WLE, followed by the manufacturer incorporated NF-NBI mode in the scope, by applying 3 mL </w:t>
      </w:r>
      <w:r w:rsidR="001E03E3" w:rsidRPr="003C219A">
        <w:rPr>
          <w:rFonts w:ascii="Book Antiqua" w:eastAsia="Book Antiqua" w:hAnsi="Book Antiqua" w:cs="Book Antiqua"/>
          <w:color w:val="000000"/>
        </w:rPr>
        <w:t xml:space="preserve">of </w:t>
      </w:r>
      <w:r w:rsidRPr="003C219A">
        <w:rPr>
          <w:rFonts w:ascii="Book Antiqua" w:eastAsia="Book Antiqua" w:hAnsi="Book Antiqua" w:cs="Book Antiqua"/>
          <w:color w:val="000000"/>
        </w:rPr>
        <w:t xml:space="preserve">AA </w:t>
      </w:r>
      <w:r w:rsidRPr="003C219A">
        <w:rPr>
          <w:rFonts w:ascii="Book Antiqua" w:eastAsia="Book Antiqua" w:hAnsi="Book Antiqua" w:cs="Book Antiqua"/>
          <w:i/>
          <w:iCs/>
          <w:color w:val="000000"/>
        </w:rPr>
        <w:t>via</w:t>
      </w:r>
      <w:r w:rsidRPr="003C219A">
        <w:rPr>
          <w:rFonts w:ascii="Book Antiqua" w:eastAsia="Book Antiqua" w:hAnsi="Book Antiqua" w:cs="Book Antiqua"/>
          <w:color w:val="000000"/>
        </w:rPr>
        <w:t xml:space="preserve"> a single catheter. The focus area was the anterior wall or greater curvature of the upper gastric body. Biopsies were taken from the antrum and corpus mucosa</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w:t>
      </w:r>
      <w:r w:rsidR="005D7377" w:rsidRPr="003C219A">
        <w:rPr>
          <w:rStyle w:val="jlqj4b"/>
          <w:rFonts w:ascii="Book Antiqua" w:eastAsia="Book Antiqua" w:hAnsi="Book Antiqua" w:cs="Book Antiqua"/>
          <w:color w:val="000000"/>
        </w:rPr>
        <w:t>rapid urease test</w:t>
      </w:r>
      <w:r w:rsidRPr="003C219A">
        <w:rPr>
          <w:rFonts w:ascii="Book Antiqua" w:eastAsia="Book Antiqua" w:hAnsi="Book Antiqua" w:cs="Book Antiqua"/>
          <w:color w:val="000000"/>
        </w:rPr>
        <w:t xml:space="preserve"> was performed to evaluate </w:t>
      </w:r>
      <w:r w:rsidR="00354993" w:rsidRPr="003C219A">
        <w:rPr>
          <w:rFonts w:ascii="Book Antiqua" w:eastAsia="Book Antiqua" w:hAnsi="Book Antiqua" w:cs="Book Antiqua"/>
          <w:i/>
          <w:iCs/>
          <w:color w:val="000000"/>
        </w:rPr>
        <w:t>H. pylori</w:t>
      </w:r>
      <w:r w:rsidRPr="003C219A">
        <w:rPr>
          <w:rFonts w:ascii="Book Antiqua" w:eastAsia="Book Antiqua" w:hAnsi="Book Antiqua" w:cs="Book Antiqua"/>
          <w:color w:val="000000"/>
        </w:rPr>
        <w:t xml:space="preserve"> infection.</w:t>
      </w:r>
    </w:p>
    <w:p w14:paraId="2D362A8C" w14:textId="77777777" w:rsidR="00A77B3E" w:rsidRPr="003C219A" w:rsidRDefault="00A77B3E" w:rsidP="003C219A">
      <w:pPr>
        <w:spacing w:line="360" w:lineRule="auto"/>
        <w:jc w:val="both"/>
        <w:rPr>
          <w:rFonts w:ascii="Book Antiqua" w:hAnsi="Book Antiqua"/>
        </w:rPr>
      </w:pPr>
    </w:p>
    <w:p w14:paraId="120B1B46"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i/>
          <w:iCs/>
          <w:color w:val="000000"/>
        </w:rPr>
        <w:t>Endoscopic patterns and scoring</w:t>
      </w:r>
    </w:p>
    <w:p w14:paraId="4F21FACF" w14:textId="7D959A93"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At the time of the endoscopy, the gastric body mucosa of all enrolled patients was photographed using the WLE, NF, NF-NBI, AA-NF</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AA-NF-NBI modes. Regarding the WLE, NF and NF-NBI endoscopic modalities, the regular/clear appearance of each mucosa microscopic feature, RAC, SECN, GP</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CO scored 1 point</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1E03E3" w:rsidRPr="003C219A">
        <w:rPr>
          <w:rFonts w:ascii="Book Antiqua" w:eastAsia="Book Antiqua" w:hAnsi="Book Antiqua" w:cs="Book Antiqua"/>
          <w:color w:val="000000"/>
        </w:rPr>
        <w:t>T</w:t>
      </w:r>
      <w:r w:rsidRPr="003C219A">
        <w:rPr>
          <w:rFonts w:ascii="Book Antiqua" w:eastAsia="Book Antiqua" w:hAnsi="Book Antiqua" w:cs="Book Antiqua"/>
          <w:color w:val="000000"/>
        </w:rPr>
        <w:t>he unclear appearance of each scored a half point</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the absence of each scored 0.</w:t>
      </w:r>
    </w:p>
    <w:p w14:paraId="659FC1BF" w14:textId="242CAE40"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lastRenderedPageBreak/>
        <w:t>In relation to the WLE mode, the WLE-1a and WLE-2a patterns clearly show the RAC and score 1 point</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WLE-2a presents a faded appearance of the RAC</w:t>
      </w:r>
      <w:r w:rsidR="001E03E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1E03E3" w:rsidRPr="003C219A">
        <w:rPr>
          <w:rFonts w:ascii="Book Antiqua" w:eastAsia="Book Antiqua" w:hAnsi="Book Antiqua" w:cs="Book Antiqua"/>
          <w:color w:val="000000"/>
        </w:rPr>
        <w:t>T</w:t>
      </w:r>
      <w:r w:rsidRPr="003C219A">
        <w:rPr>
          <w:rFonts w:ascii="Book Antiqua" w:eastAsia="Book Antiqua" w:hAnsi="Book Antiqua" w:cs="Book Antiqua"/>
          <w:color w:val="000000"/>
        </w:rPr>
        <w:t>he WLE-b pattern shows the RAC less clearly and scores a half point</w:t>
      </w:r>
      <w:r w:rsidR="00334A9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334A9F" w:rsidRPr="003C219A">
        <w:rPr>
          <w:rFonts w:ascii="Book Antiqua" w:eastAsia="Book Antiqua" w:hAnsi="Book Antiqua" w:cs="Book Antiqua"/>
          <w:color w:val="000000"/>
        </w:rPr>
        <w:t>T</w:t>
      </w:r>
      <w:r w:rsidRPr="003C219A">
        <w:rPr>
          <w:rFonts w:ascii="Book Antiqua" w:eastAsia="Book Antiqua" w:hAnsi="Book Antiqua" w:cs="Book Antiqua"/>
          <w:color w:val="000000"/>
        </w:rPr>
        <w:t>he WLE-c pattern does not show the RAC and scores 0 (Figure 1).</w:t>
      </w:r>
    </w:p>
    <w:p w14:paraId="3CD8A177" w14:textId="79A53043"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With reference to the NF magnification, the NF-a pattern clearly shows the RAC, SECN</w:t>
      </w:r>
      <w:r w:rsidR="00334A9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GP and scores 3 points. The NF-b pattern shows the RAC less clearly but clearly shows the SECN and GP and scores 2.5 points. The NF-c pattern does not show the RAC but clearly shows the SECN and GP and scores 2 points (Figure 2).</w:t>
      </w:r>
    </w:p>
    <w:p w14:paraId="5DB72D57" w14:textId="51396B08"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Regarding the NF-NBI endoscopic visualization, the NF-NBI-1a and NF-NBI-2a patterns clearly show the RAC, SECN, GP</w:t>
      </w:r>
      <w:r w:rsidR="008F3BF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CO and score 4 points</w:t>
      </w:r>
      <w:r w:rsidR="008F3BF3" w:rsidRPr="003C219A">
        <w:rPr>
          <w:rFonts w:ascii="Book Antiqua" w:eastAsia="Book Antiqua" w:hAnsi="Book Antiqua" w:cs="Book Antiqua"/>
          <w:color w:val="000000"/>
        </w:rPr>
        <w:t>. T</w:t>
      </w:r>
      <w:r w:rsidRPr="003C219A">
        <w:rPr>
          <w:rFonts w:ascii="Book Antiqua" w:eastAsia="Book Antiqua" w:hAnsi="Book Antiqua" w:cs="Book Antiqua"/>
          <w:color w:val="000000"/>
        </w:rPr>
        <w:t>he 2a pattern has less distribution of the RAC and a slightly enlarged GP and CO than the 1a pattern. The NF-NBI-b pattern does not show the RAC, clearly shows the SECN and GP,</w:t>
      </w:r>
      <w:r w:rsidR="008F3BF3" w:rsidRPr="003C219A">
        <w:rPr>
          <w:rFonts w:ascii="Book Antiqua" w:eastAsia="Book Antiqua" w:hAnsi="Book Antiqua" w:cs="Book Antiqua"/>
          <w:color w:val="000000"/>
        </w:rPr>
        <w:t xml:space="preserve"> and</w:t>
      </w:r>
      <w:r w:rsidRPr="003C219A">
        <w:rPr>
          <w:rFonts w:ascii="Book Antiqua" w:eastAsia="Book Antiqua" w:hAnsi="Book Antiqua" w:cs="Book Antiqua"/>
          <w:color w:val="000000"/>
        </w:rPr>
        <w:t xml:space="preserve"> shows the CO less clearly and scores 2.5 points (Figure 3).</w:t>
      </w:r>
    </w:p>
    <w:p w14:paraId="57535E03" w14:textId="18705C24"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According to the </w:t>
      </w:r>
      <w:r w:rsidR="008F3BF3" w:rsidRPr="003C219A">
        <w:rPr>
          <w:rFonts w:ascii="Book Antiqua" w:eastAsia="Book Antiqua" w:hAnsi="Book Antiqua" w:cs="Book Antiqua"/>
          <w:color w:val="000000"/>
        </w:rPr>
        <w:t>scoring</w:t>
      </w:r>
      <w:r w:rsidRPr="003C219A">
        <w:rPr>
          <w:rFonts w:ascii="Book Antiqua" w:eastAsia="Book Antiqua" w:hAnsi="Book Antiqua" w:cs="Book Antiqua"/>
          <w:color w:val="000000"/>
        </w:rPr>
        <w:t xml:space="preserve"> rules, one pattern could score the most points (4) (clear presence of all microscopic features) or the least number of points (0) (absence of all microscopic features). After enhancing the area of observation with AA, a pattern was suddenly visible on the AA-NF and AA-NF-NBI containing CO and IP. On the AA-NF mode, the pattern shows small</w:t>
      </w:r>
      <w:r w:rsidR="008F3BF3" w:rsidRPr="003C219A">
        <w:rPr>
          <w:rFonts w:ascii="Book Antiqua" w:eastAsia="Book Antiqua" w:hAnsi="Book Antiqua" w:cs="Book Antiqua"/>
          <w:color w:val="000000"/>
        </w:rPr>
        <w:t>, brown,</w:t>
      </w:r>
      <w:r w:rsidRPr="003C219A">
        <w:rPr>
          <w:rFonts w:ascii="Book Antiqua" w:eastAsia="Book Antiqua" w:hAnsi="Book Antiqua" w:cs="Book Antiqua"/>
          <w:color w:val="000000"/>
        </w:rPr>
        <w:t xml:space="preserve"> oval CO and light white IP. On the AA-NF-NBI mode, the pattern shows small</w:t>
      </w:r>
      <w:r w:rsidR="008F3BF3" w:rsidRPr="003C219A">
        <w:rPr>
          <w:rFonts w:ascii="Book Antiqua" w:eastAsia="Book Antiqua" w:hAnsi="Book Antiqua" w:cs="Book Antiqua"/>
          <w:color w:val="000000"/>
        </w:rPr>
        <w:t>, black,</w:t>
      </w:r>
      <w:r w:rsidRPr="003C219A">
        <w:rPr>
          <w:rFonts w:ascii="Book Antiqua" w:eastAsia="Book Antiqua" w:hAnsi="Book Antiqua" w:cs="Book Antiqua"/>
          <w:color w:val="000000"/>
        </w:rPr>
        <w:t xml:space="preserve"> oval CO and dense white IP (Figure 4). The strong contrast between the CO regarding the shape/size and the IP on these two patterns within the same patient </w:t>
      </w:r>
      <w:r w:rsidR="008F3BF3" w:rsidRPr="003C219A">
        <w:rPr>
          <w:rFonts w:ascii="Book Antiqua" w:eastAsia="Book Antiqua" w:hAnsi="Book Antiqua" w:cs="Book Antiqua"/>
          <w:color w:val="000000"/>
        </w:rPr>
        <w:t xml:space="preserve">is </w:t>
      </w:r>
      <w:r w:rsidRPr="003C219A">
        <w:rPr>
          <w:rFonts w:ascii="Book Antiqua" w:eastAsia="Book Antiqua" w:hAnsi="Book Antiqua" w:cs="Book Antiqua"/>
          <w:color w:val="000000"/>
        </w:rPr>
        <w:t>grade</w:t>
      </w:r>
      <w:r w:rsidR="008F3BF3" w:rsidRPr="003C219A">
        <w:rPr>
          <w:rFonts w:ascii="Book Antiqua" w:eastAsia="Book Antiqua" w:hAnsi="Book Antiqua" w:cs="Book Antiqua"/>
          <w:color w:val="000000"/>
        </w:rPr>
        <w:t>d as</w:t>
      </w:r>
      <w:r w:rsidRPr="003C219A">
        <w:rPr>
          <w:rFonts w:ascii="Book Antiqua" w:eastAsia="Book Antiqua" w:hAnsi="Book Antiqua" w:cs="Book Antiqua"/>
          <w:color w:val="000000"/>
        </w:rPr>
        <w:t xml:space="preserve"> </w:t>
      </w:r>
      <w:proofErr w:type="gramStart"/>
      <w:r w:rsidRPr="003C219A">
        <w:rPr>
          <w:rFonts w:ascii="Book Antiqua" w:eastAsia="Book Antiqua" w:hAnsi="Book Antiqua" w:cs="Book Antiqua"/>
          <w:color w:val="000000"/>
        </w:rPr>
        <w:t>1</w:t>
      </w:r>
      <w:r w:rsidR="008F3BF3" w:rsidRPr="003C219A">
        <w:rPr>
          <w:rFonts w:ascii="Book Antiqua" w:eastAsia="Book Antiqua" w:hAnsi="Book Antiqua" w:cs="Book Antiqua"/>
          <w:color w:val="000000"/>
        </w:rPr>
        <w:t xml:space="preserve"> </w:t>
      </w:r>
      <w:r w:rsidRPr="003C219A">
        <w:rPr>
          <w:rFonts w:ascii="Book Antiqua" w:eastAsia="Book Antiqua" w:hAnsi="Book Antiqua" w:cs="Book Antiqua"/>
          <w:color w:val="000000"/>
        </w:rPr>
        <w:t>point</w:t>
      </w:r>
      <w:proofErr w:type="gramEnd"/>
      <w:r w:rsidRPr="003C219A">
        <w:rPr>
          <w:rFonts w:ascii="Book Antiqua" w:eastAsia="Book Antiqua" w:hAnsi="Book Antiqua" w:cs="Book Antiqua"/>
          <w:color w:val="000000"/>
        </w:rPr>
        <w:t xml:space="preserve">, medium contrast </w:t>
      </w:r>
      <w:r w:rsidR="008F3BF3" w:rsidRPr="003C219A">
        <w:rPr>
          <w:rFonts w:ascii="Book Antiqua" w:eastAsia="Book Antiqua" w:hAnsi="Book Antiqua" w:cs="Book Antiqua"/>
          <w:color w:val="000000"/>
        </w:rPr>
        <w:t xml:space="preserve">is </w:t>
      </w:r>
      <w:r w:rsidRPr="003C219A">
        <w:rPr>
          <w:rFonts w:ascii="Book Antiqua" w:eastAsia="Book Antiqua" w:hAnsi="Book Antiqua" w:cs="Book Antiqua"/>
          <w:color w:val="000000"/>
        </w:rPr>
        <w:t>grade</w:t>
      </w:r>
      <w:r w:rsidR="008F3BF3" w:rsidRPr="003C219A">
        <w:rPr>
          <w:rFonts w:ascii="Book Antiqua" w:eastAsia="Book Antiqua" w:hAnsi="Book Antiqua" w:cs="Book Antiqua"/>
          <w:color w:val="000000"/>
        </w:rPr>
        <w:t>d</w:t>
      </w:r>
      <w:r w:rsidRPr="003C219A">
        <w:rPr>
          <w:rFonts w:ascii="Book Antiqua" w:eastAsia="Book Antiqua" w:hAnsi="Book Antiqua" w:cs="Book Antiqua"/>
          <w:color w:val="000000"/>
        </w:rPr>
        <w:t xml:space="preserve"> </w:t>
      </w:r>
      <w:r w:rsidR="008F3BF3" w:rsidRPr="003C219A">
        <w:rPr>
          <w:rFonts w:ascii="Book Antiqua" w:eastAsia="Book Antiqua" w:hAnsi="Book Antiqua" w:cs="Book Antiqua"/>
          <w:color w:val="000000"/>
        </w:rPr>
        <w:t>as</w:t>
      </w:r>
      <w:r w:rsidRPr="003C219A">
        <w:rPr>
          <w:rFonts w:ascii="Book Antiqua" w:eastAsia="Book Antiqua" w:hAnsi="Book Antiqua" w:cs="Book Antiqua"/>
          <w:color w:val="000000"/>
        </w:rPr>
        <w:t xml:space="preserve"> </w:t>
      </w:r>
      <w:r w:rsidR="00AA5D8C" w:rsidRPr="003C219A">
        <w:rPr>
          <w:rFonts w:ascii="Book Antiqua" w:eastAsia="Book Antiqua" w:hAnsi="Book Antiqua" w:cs="Book Antiqua"/>
          <w:color w:val="000000"/>
        </w:rPr>
        <w:t>0.5</w:t>
      </w:r>
      <w:r w:rsidRPr="003C219A">
        <w:rPr>
          <w:rFonts w:ascii="Book Antiqua" w:eastAsia="Book Antiqua" w:hAnsi="Book Antiqua" w:cs="Book Antiqua"/>
          <w:color w:val="000000"/>
        </w:rPr>
        <w:t xml:space="preserve"> point</w:t>
      </w:r>
      <w:r w:rsidR="008F3BF3" w:rsidRPr="003C219A">
        <w:rPr>
          <w:rFonts w:ascii="Book Antiqua" w:eastAsia="Book Antiqua" w:hAnsi="Book Antiqua" w:cs="Book Antiqua"/>
          <w:color w:val="000000"/>
        </w:rPr>
        <w:t>s,</w:t>
      </w:r>
      <w:r w:rsidRPr="003C219A">
        <w:rPr>
          <w:rFonts w:ascii="Book Antiqua" w:eastAsia="Book Antiqua" w:hAnsi="Book Antiqua" w:cs="Book Antiqua"/>
          <w:color w:val="000000"/>
        </w:rPr>
        <w:t xml:space="preserve"> and low contrast </w:t>
      </w:r>
      <w:r w:rsidR="008F3BF3" w:rsidRPr="003C219A">
        <w:rPr>
          <w:rFonts w:ascii="Book Antiqua" w:eastAsia="Book Antiqua" w:hAnsi="Book Antiqua" w:cs="Book Antiqua"/>
          <w:color w:val="000000"/>
        </w:rPr>
        <w:t xml:space="preserve">is </w:t>
      </w:r>
      <w:r w:rsidRPr="003C219A">
        <w:rPr>
          <w:rFonts w:ascii="Book Antiqua" w:eastAsia="Book Antiqua" w:hAnsi="Book Antiqua" w:cs="Book Antiqua"/>
          <w:color w:val="000000"/>
        </w:rPr>
        <w:t>grade</w:t>
      </w:r>
      <w:r w:rsidR="008F3BF3" w:rsidRPr="003C219A">
        <w:rPr>
          <w:rFonts w:ascii="Book Antiqua" w:eastAsia="Book Antiqua" w:hAnsi="Book Antiqua" w:cs="Book Antiqua"/>
          <w:color w:val="000000"/>
        </w:rPr>
        <w:t>d</w:t>
      </w:r>
      <w:r w:rsidRPr="003C219A">
        <w:rPr>
          <w:rFonts w:ascii="Book Antiqua" w:eastAsia="Book Antiqua" w:hAnsi="Book Antiqua" w:cs="Book Antiqua"/>
          <w:color w:val="000000"/>
        </w:rPr>
        <w:t xml:space="preserve"> </w:t>
      </w:r>
      <w:r w:rsidR="008F3BF3" w:rsidRPr="003C219A">
        <w:rPr>
          <w:rFonts w:ascii="Book Antiqua" w:eastAsia="Book Antiqua" w:hAnsi="Book Antiqua" w:cs="Book Antiqua"/>
          <w:color w:val="000000"/>
        </w:rPr>
        <w:t>as</w:t>
      </w:r>
      <w:r w:rsidRPr="003C219A">
        <w:rPr>
          <w:rFonts w:ascii="Book Antiqua" w:eastAsia="Book Antiqua" w:hAnsi="Book Antiqua" w:cs="Book Antiqua"/>
          <w:color w:val="000000"/>
        </w:rPr>
        <w:t xml:space="preserve"> 0 points. Endoscopic patterns were observed and scored by three independent endoscopists.</w:t>
      </w:r>
    </w:p>
    <w:p w14:paraId="344A7926" w14:textId="77777777" w:rsidR="00A77B3E" w:rsidRPr="003C219A" w:rsidRDefault="00A77B3E" w:rsidP="003C219A">
      <w:pPr>
        <w:spacing w:line="360" w:lineRule="auto"/>
        <w:ind w:firstLine="240"/>
        <w:jc w:val="both"/>
        <w:rPr>
          <w:rFonts w:ascii="Book Antiqua" w:hAnsi="Book Antiqua"/>
        </w:rPr>
      </w:pPr>
    </w:p>
    <w:p w14:paraId="28167B67"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i/>
          <w:iCs/>
          <w:color w:val="000000"/>
        </w:rPr>
        <w:t>Statistical analysis</w:t>
      </w:r>
    </w:p>
    <w:p w14:paraId="0188D4AC" w14:textId="50BAEED9"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 xml:space="preserve">The differences between the scoring of each endoscopic modality for all observers were compared using the Wilcoxon Matched Pairs Test. </w:t>
      </w:r>
      <w:r w:rsidRPr="003C219A">
        <w:rPr>
          <w:rFonts w:ascii="Book Antiqua" w:eastAsia="Book Antiqua" w:hAnsi="Book Antiqua" w:cs="Book Antiqua"/>
          <w:i/>
          <w:iCs/>
          <w:color w:val="000000"/>
        </w:rPr>
        <w:t>P</w:t>
      </w:r>
      <w:r w:rsidRPr="003C219A">
        <w:rPr>
          <w:rFonts w:ascii="Book Antiqua" w:eastAsia="Book Antiqua" w:hAnsi="Book Antiqua" w:cs="Book Antiqua"/>
          <w:color w:val="000000"/>
        </w:rPr>
        <w:t xml:space="preserve"> values &lt; 0.05 were considered significant. The interobserver diagnostic agreement was analy</w:t>
      </w:r>
      <w:r w:rsidR="008F3BF3" w:rsidRPr="003C219A">
        <w:rPr>
          <w:rFonts w:ascii="Book Antiqua" w:eastAsia="Book Antiqua" w:hAnsi="Book Antiqua" w:cs="Book Antiqua"/>
          <w:color w:val="000000"/>
        </w:rPr>
        <w:t>z</w:t>
      </w:r>
      <w:r w:rsidRPr="003C219A">
        <w:rPr>
          <w:rFonts w:ascii="Book Antiqua" w:eastAsia="Book Antiqua" w:hAnsi="Book Antiqua" w:cs="Book Antiqua"/>
          <w:color w:val="000000"/>
        </w:rPr>
        <w:t xml:space="preserve">ed with a kappa value. In theory, perfect disagreement has a kappa value of </w:t>
      </w:r>
      <w:r w:rsidR="00AA5D8C"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1, and perfect agreement has a kappa value of +1. A value of 0 means an agreement by chance alone. As per the Landis and </w:t>
      </w:r>
      <w:r w:rsidRPr="003C219A">
        <w:rPr>
          <w:rFonts w:ascii="Book Antiqua" w:eastAsia="Book Antiqua" w:hAnsi="Book Antiqua" w:cs="Book Antiqua"/>
          <w:color w:val="000000"/>
        </w:rPr>
        <w:lastRenderedPageBreak/>
        <w:t>Koch scale, kappa values were graded as follows: 0.01</w:t>
      </w:r>
      <w:r w:rsidR="00AA5D8C" w:rsidRPr="003C219A">
        <w:rPr>
          <w:rFonts w:ascii="Book Antiqua" w:eastAsia="Book Antiqua" w:hAnsi="Book Antiqua" w:cs="Book Antiqua"/>
          <w:color w:val="000000"/>
        </w:rPr>
        <w:t>-</w:t>
      </w:r>
      <w:r w:rsidRPr="003C219A">
        <w:rPr>
          <w:rFonts w:ascii="Book Antiqua" w:eastAsia="Book Antiqua" w:hAnsi="Book Antiqua" w:cs="Book Antiqua"/>
          <w:color w:val="000000"/>
        </w:rPr>
        <w:t>0.2</w:t>
      </w:r>
      <w:r w:rsidR="008F3BF3" w:rsidRPr="003C219A">
        <w:rPr>
          <w:rFonts w:ascii="Book Antiqua" w:eastAsia="Book Antiqua" w:hAnsi="Book Antiqua" w:cs="Book Antiqua"/>
          <w:color w:val="000000"/>
        </w:rPr>
        <w:t>0</w:t>
      </w:r>
      <w:r w:rsidRPr="003C219A">
        <w:rPr>
          <w:rFonts w:ascii="Book Antiqua" w:eastAsia="Book Antiqua" w:hAnsi="Book Antiqua" w:cs="Book Antiqua"/>
          <w:color w:val="000000"/>
        </w:rPr>
        <w:t xml:space="preserve"> slight</w:t>
      </w:r>
      <w:r w:rsidR="008F3BF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0.21</w:t>
      </w:r>
      <w:r w:rsidR="00AA5D8C" w:rsidRPr="003C219A">
        <w:rPr>
          <w:rFonts w:ascii="Book Antiqua" w:eastAsia="Book Antiqua" w:hAnsi="Book Antiqua" w:cs="Book Antiqua"/>
          <w:color w:val="000000"/>
        </w:rPr>
        <w:t>-</w:t>
      </w:r>
      <w:r w:rsidRPr="003C219A">
        <w:rPr>
          <w:rFonts w:ascii="Book Antiqua" w:eastAsia="Book Antiqua" w:hAnsi="Book Antiqua" w:cs="Book Antiqua"/>
          <w:color w:val="000000"/>
        </w:rPr>
        <w:t>0.4</w:t>
      </w:r>
      <w:r w:rsidR="008F3BF3" w:rsidRPr="003C219A">
        <w:rPr>
          <w:rFonts w:ascii="Book Antiqua" w:eastAsia="Book Antiqua" w:hAnsi="Book Antiqua" w:cs="Book Antiqua"/>
          <w:color w:val="000000"/>
        </w:rPr>
        <w:t>0</w:t>
      </w:r>
      <w:r w:rsidRPr="003C219A">
        <w:rPr>
          <w:rFonts w:ascii="Book Antiqua" w:eastAsia="Book Antiqua" w:hAnsi="Book Antiqua" w:cs="Book Antiqua"/>
          <w:color w:val="000000"/>
        </w:rPr>
        <w:t xml:space="preserve"> fair</w:t>
      </w:r>
      <w:r w:rsidR="008F3BF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0.41</w:t>
      </w:r>
      <w:r w:rsidR="00AA5D8C" w:rsidRPr="003C219A">
        <w:rPr>
          <w:rFonts w:ascii="Book Antiqua" w:eastAsia="Book Antiqua" w:hAnsi="Book Antiqua" w:cs="Book Antiqua"/>
          <w:color w:val="000000"/>
        </w:rPr>
        <w:t>-</w:t>
      </w:r>
      <w:r w:rsidRPr="003C219A">
        <w:rPr>
          <w:rFonts w:ascii="Book Antiqua" w:eastAsia="Book Antiqua" w:hAnsi="Book Antiqua" w:cs="Book Antiqua"/>
          <w:color w:val="000000"/>
        </w:rPr>
        <w:t>0.6</w:t>
      </w:r>
      <w:r w:rsidR="008F3BF3" w:rsidRPr="003C219A">
        <w:rPr>
          <w:rFonts w:ascii="Book Antiqua" w:eastAsia="Book Antiqua" w:hAnsi="Book Antiqua" w:cs="Book Antiqua"/>
          <w:color w:val="000000"/>
        </w:rPr>
        <w:t>0</w:t>
      </w:r>
      <w:r w:rsidRPr="003C219A">
        <w:rPr>
          <w:rFonts w:ascii="Book Antiqua" w:eastAsia="Book Antiqua" w:hAnsi="Book Antiqua" w:cs="Book Antiqua"/>
          <w:color w:val="000000"/>
        </w:rPr>
        <w:t xml:space="preserve"> moderate</w:t>
      </w:r>
      <w:r w:rsidR="008F3BF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0.61</w:t>
      </w:r>
      <w:r w:rsidR="00AA5D8C" w:rsidRPr="003C219A">
        <w:rPr>
          <w:rFonts w:ascii="Book Antiqua" w:eastAsia="Book Antiqua" w:hAnsi="Book Antiqua" w:cs="Book Antiqua"/>
          <w:color w:val="000000"/>
        </w:rPr>
        <w:t>-</w:t>
      </w:r>
      <w:r w:rsidRPr="003C219A">
        <w:rPr>
          <w:rFonts w:ascii="Book Antiqua" w:eastAsia="Book Antiqua" w:hAnsi="Book Antiqua" w:cs="Book Antiqua"/>
          <w:color w:val="000000"/>
        </w:rPr>
        <w:t>0.8</w:t>
      </w:r>
      <w:r w:rsidR="008F3BF3" w:rsidRPr="003C219A">
        <w:rPr>
          <w:rFonts w:ascii="Book Antiqua" w:eastAsia="Book Antiqua" w:hAnsi="Book Antiqua" w:cs="Book Antiqua"/>
          <w:color w:val="000000"/>
        </w:rPr>
        <w:t>0</w:t>
      </w:r>
      <w:r w:rsidRPr="003C219A">
        <w:rPr>
          <w:rFonts w:ascii="Book Antiqua" w:eastAsia="Book Antiqua" w:hAnsi="Book Antiqua" w:cs="Book Antiqua"/>
          <w:color w:val="000000"/>
        </w:rPr>
        <w:t xml:space="preserve"> substantial</w:t>
      </w:r>
      <w:r w:rsidR="008F3BF3"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0.81</w:t>
      </w:r>
      <w:r w:rsidR="00AA5D8C" w:rsidRPr="003C219A">
        <w:rPr>
          <w:rFonts w:ascii="Book Antiqua" w:eastAsia="Book Antiqua" w:hAnsi="Book Antiqua" w:cs="Book Antiqua"/>
          <w:color w:val="000000"/>
        </w:rPr>
        <w:t>-</w:t>
      </w:r>
      <w:r w:rsidRPr="003C219A">
        <w:rPr>
          <w:rFonts w:ascii="Book Antiqua" w:eastAsia="Book Antiqua" w:hAnsi="Book Antiqua" w:cs="Book Antiqua"/>
          <w:color w:val="000000"/>
        </w:rPr>
        <w:t>1.0</w:t>
      </w:r>
      <w:r w:rsidR="008F3BF3" w:rsidRPr="003C219A">
        <w:rPr>
          <w:rFonts w:ascii="Book Antiqua" w:eastAsia="Book Antiqua" w:hAnsi="Book Antiqua" w:cs="Book Antiqua"/>
          <w:color w:val="000000"/>
        </w:rPr>
        <w:t>0</w:t>
      </w:r>
      <w:r w:rsidRPr="003C219A">
        <w:rPr>
          <w:rFonts w:ascii="Book Antiqua" w:eastAsia="Book Antiqua" w:hAnsi="Book Antiqua" w:cs="Book Antiqua"/>
          <w:color w:val="000000"/>
        </w:rPr>
        <w:t xml:space="preserve"> almost perfect. Cohen’s suggested interpretation may be too lenient for health-related studies because it implies that a score as low as 0.41 might be </w:t>
      </w:r>
      <w:proofErr w:type="gramStart"/>
      <w:r w:rsidRPr="003C219A">
        <w:rPr>
          <w:rFonts w:ascii="Book Antiqua" w:eastAsia="Book Antiqua" w:hAnsi="Book Antiqua" w:cs="Book Antiqua"/>
          <w:color w:val="000000"/>
        </w:rPr>
        <w:t>acceptable</w:t>
      </w:r>
      <w:r w:rsidR="00E91FDE" w:rsidRPr="003C219A">
        <w:rPr>
          <w:rFonts w:ascii="Book Antiqua" w:eastAsia="Book Antiqua" w:hAnsi="Book Antiqua" w:cs="Book Antiqua"/>
          <w:color w:val="000000"/>
          <w:vertAlign w:val="superscript"/>
        </w:rPr>
        <w:t>[</w:t>
      </w:r>
      <w:proofErr w:type="gramEnd"/>
      <w:r w:rsidR="00E91FDE" w:rsidRPr="003C219A">
        <w:rPr>
          <w:rFonts w:ascii="Book Antiqua" w:eastAsia="Book Antiqua" w:hAnsi="Book Antiqua" w:cs="Book Antiqua"/>
          <w:color w:val="000000"/>
          <w:vertAlign w:val="superscript"/>
        </w:rPr>
        <w:t>9,14,20]</w:t>
      </w:r>
      <w:r w:rsidR="00E91FD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Data were analy</w:t>
      </w:r>
      <w:r w:rsidR="008F3BF3" w:rsidRPr="003C219A">
        <w:rPr>
          <w:rFonts w:ascii="Book Antiqua" w:eastAsia="Book Antiqua" w:hAnsi="Book Antiqua" w:cs="Book Antiqua"/>
          <w:color w:val="000000"/>
        </w:rPr>
        <w:t>z</w:t>
      </w:r>
      <w:r w:rsidRPr="003C219A">
        <w:rPr>
          <w:rFonts w:ascii="Book Antiqua" w:eastAsia="Book Antiqua" w:hAnsi="Book Antiqua" w:cs="Book Antiqua"/>
          <w:color w:val="000000"/>
        </w:rPr>
        <w:t>ed using SPSS 23 (IBM, U</w:t>
      </w:r>
      <w:r w:rsidR="00AA5D8C" w:rsidRPr="003C219A">
        <w:rPr>
          <w:rFonts w:ascii="Book Antiqua" w:eastAsia="Book Antiqua" w:hAnsi="Book Antiqua" w:cs="Book Antiqua"/>
          <w:color w:val="000000"/>
        </w:rPr>
        <w:t xml:space="preserve">nited </w:t>
      </w:r>
      <w:r w:rsidRPr="003C219A">
        <w:rPr>
          <w:rFonts w:ascii="Book Antiqua" w:eastAsia="Book Antiqua" w:hAnsi="Book Antiqua" w:cs="Book Antiqua"/>
          <w:color w:val="000000"/>
        </w:rPr>
        <w:t>S</w:t>
      </w:r>
      <w:r w:rsidR="00AA5D8C" w:rsidRPr="003C219A">
        <w:rPr>
          <w:rFonts w:ascii="Book Antiqua" w:eastAsia="Book Antiqua" w:hAnsi="Book Antiqua" w:cs="Book Antiqua"/>
          <w:color w:val="000000"/>
        </w:rPr>
        <w:t>tates</w:t>
      </w:r>
      <w:r w:rsidRPr="003C219A">
        <w:rPr>
          <w:rFonts w:ascii="Book Antiqua" w:eastAsia="Book Antiqua" w:hAnsi="Book Antiqua" w:cs="Book Antiqua"/>
          <w:color w:val="000000"/>
        </w:rPr>
        <w:t>).</w:t>
      </w:r>
    </w:p>
    <w:p w14:paraId="79536B13" w14:textId="77777777" w:rsidR="00A77B3E" w:rsidRPr="003C219A" w:rsidRDefault="00A77B3E" w:rsidP="003C219A">
      <w:pPr>
        <w:spacing w:line="360" w:lineRule="auto"/>
        <w:jc w:val="both"/>
        <w:rPr>
          <w:rFonts w:ascii="Book Antiqua" w:hAnsi="Book Antiqua"/>
        </w:rPr>
      </w:pPr>
    </w:p>
    <w:p w14:paraId="103FB8A2"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aps/>
          <w:color w:val="000000"/>
          <w:u w:val="single"/>
        </w:rPr>
        <w:t>RESULTS</w:t>
      </w:r>
    </w:p>
    <w:p w14:paraId="779AE01C" w14:textId="5ED5331A" w:rsidR="00A77B3E" w:rsidRPr="003C219A" w:rsidRDefault="00AE2B5F" w:rsidP="003C219A">
      <w:pPr>
        <w:spacing w:line="360" w:lineRule="auto"/>
        <w:jc w:val="both"/>
        <w:rPr>
          <w:rFonts w:ascii="Book Antiqua" w:hAnsi="Book Antiqua"/>
        </w:rPr>
      </w:pPr>
      <w:r w:rsidRPr="003C219A">
        <w:rPr>
          <w:rFonts w:ascii="Book Antiqua" w:eastAsia="Book Antiqua" w:hAnsi="Book Antiqua" w:cs="Book Antiqua"/>
          <w:color w:val="000000"/>
        </w:rPr>
        <w:t>After meeting the criteria of long-term epigastric discomfort and non-specific abdominal pain, the study initially included 74 patients. During the endoscopy, 4 patients (three male, one female) did not undergo NF magnification due to 1 patient having benign stenosis of the distal esophagus, 1 patient having cancer of the cardia, and 2 patients having pyloric stenosis. Two patients (one male, one female) were excluded due to severe bile reflux.</w:t>
      </w:r>
    </w:p>
    <w:p w14:paraId="0B949A65" w14:textId="15BAD532"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Finally, 68 patients underwent proximal gastrointestinal endoscopy using the WLE, NF and NF-NBI modes to analy</w:t>
      </w:r>
      <w:r w:rsidR="00AE2B5F" w:rsidRPr="003C219A">
        <w:rPr>
          <w:rFonts w:ascii="Book Antiqua" w:eastAsia="Book Antiqua" w:hAnsi="Book Antiqua" w:cs="Book Antiqua"/>
          <w:color w:val="000000"/>
        </w:rPr>
        <w:t>z</w:t>
      </w:r>
      <w:r w:rsidRPr="003C219A">
        <w:rPr>
          <w:rFonts w:ascii="Book Antiqua" w:eastAsia="Book Antiqua" w:hAnsi="Book Antiqua" w:cs="Book Antiqua"/>
          <w:color w:val="000000"/>
        </w:rPr>
        <w:t>e the microscopic features of</w:t>
      </w:r>
      <w:r w:rsidR="00AE2B5F" w:rsidRPr="003C219A">
        <w:rPr>
          <w:rFonts w:ascii="Book Antiqua" w:eastAsia="Book Antiqua" w:hAnsi="Book Antiqua" w:cs="Book Antiqua"/>
          <w:color w:val="000000"/>
        </w:rPr>
        <w:t xml:space="preserve"> the</w:t>
      </w:r>
      <w:r w:rsidRPr="003C219A">
        <w:rPr>
          <w:rFonts w:ascii="Book Antiqua" w:eastAsia="Book Antiqua" w:hAnsi="Book Antiqua" w:cs="Book Antiqua"/>
          <w:color w:val="000000"/>
        </w:rPr>
        <w:t xml:space="preserve"> gastric body mucosa. </w:t>
      </w:r>
      <w:r w:rsidR="00AE2B5F" w:rsidRPr="003C219A">
        <w:rPr>
          <w:rFonts w:ascii="Book Antiqua" w:eastAsia="Book Antiqua" w:hAnsi="Book Antiqua" w:cs="Book Antiqua"/>
          <w:color w:val="000000"/>
        </w:rPr>
        <w:t>The images f</w:t>
      </w:r>
      <w:r w:rsidRPr="003C219A">
        <w:rPr>
          <w:rFonts w:ascii="Book Antiqua" w:eastAsia="Book Antiqua" w:hAnsi="Book Antiqua" w:cs="Book Antiqua"/>
          <w:color w:val="000000"/>
        </w:rPr>
        <w:t>rom all patients</w:t>
      </w:r>
      <w:r w:rsidR="00AE2B5F" w:rsidRPr="003C219A">
        <w:rPr>
          <w:rFonts w:ascii="Book Antiqua" w:eastAsia="Book Antiqua" w:hAnsi="Book Antiqua" w:cs="Book Antiqua"/>
          <w:color w:val="000000"/>
        </w:rPr>
        <w:t xml:space="preserve"> (</w:t>
      </w:r>
      <w:r w:rsidRPr="003C219A">
        <w:rPr>
          <w:rFonts w:ascii="Book Antiqua" w:eastAsia="Book Antiqua" w:hAnsi="Book Antiqua" w:cs="Book Antiqua"/>
          <w:color w:val="000000"/>
        </w:rPr>
        <w:t>204 images</w:t>
      </w:r>
      <w:r w:rsidR="00AE2B5F" w:rsidRPr="003C219A">
        <w:rPr>
          <w:rFonts w:ascii="Book Antiqua" w:eastAsia="Book Antiqua" w:hAnsi="Book Antiqua" w:cs="Book Antiqua"/>
          <w:color w:val="000000"/>
        </w:rPr>
        <w:t xml:space="preserve"> in total)</w:t>
      </w:r>
      <w:r w:rsidRPr="003C219A">
        <w:rPr>
          <w:rFonts w:ascii="Book Antiqua" w:eastAsia="Book Antiqua" w:hAnsi="Book Antiqua" w:cs="Book Antiqua"/>
          <w:color w:val="000000"/>
        </w:rPr>
        <w:t xml:space="preserve"> were classified in the same order into three groups in relation to the above endoscopic modality by endoscopist AK</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AE2B5F" w:rsidRPr="003C219A">
        <w:rPr>
          <w:rFonts w:ascii="Book Antiqua" w:eastAsia="Book Antiqua" w:hAnsi="Book Antiqua" w:cs="Book Antiqua"/>
          <w:color w:val="000000"/>
        </w:rPr>
        <w:t>T</w:t>
      </w:r>
      <w:r w:rsidRPr="003C219A">
        <w:rPr>
          <w:rFonts w:ascii="Book Antiqua" w:eastAsia="Book Antiqua" w:hAnsi="Book Antiqua" w:cs="Book Antiqua"/>
          <w:color w:val="000000"/>
        </w:rPr>
        <w:t>hey were observed separately and scored by two experienced endoscopists, JF (observer I) and PJ (observer II)</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one inexperienced endoscopist, OZ (observer III).</w:t>
      </w:r>
    </w:p>
    <w:p w14:paraId="5EF3D0DB" w14:textId="1298057B"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Moreover, after applying AA in the area of observation, the CO and IP were suddenly visible. Regarding the AA-NF and AA-NF-NBI endoscopic modes, 136 images (</w:t>
      </w:r>
      <w:r w:rsidR="00AE2B5F" w:rsidRPr="003C219A">
        <w:rPr>
          <w:rFonts w:ascii="Book Antiqua" w:eastAsia="Book Antiqua" w:hAnsi="Book Antiqua" w:cs="Book Antiqua"/>
          <w:color w:val="000000"/>
        </w:rPr>
        <w:t xml:space="preserve">2 images per </w:t>
      </w:r>
      <w:r w:rsidRPr="003C219A">
        <w:rPr>
          <w:rFonts w:ascii="Book Antiqua" w:eastAsia="Book Antiqua" w:hAnsi="Book Antiqua" w:cs="Book Antiqua"/>
          <w:color w:val="000000"/>
        </w:rPr>
        <w:t xml:space="preserve">patient) were classified in the same order. The contrast between the CO and IP in the same patient was observed and graded separately by the three observers. All observers had previously passed a live course regarding NF magnification and NBI chromoendoscopy mode with AA enhancing. The course was based on the 12 endoscopic patterns </w:t>
      </w:r>
      <w:r w:rsidR="00AE2B5F" w:rsidRPr="003C219A">
        <w:rPr>
          <w:rFonts w:ascii="Book Antiqua" w:eastAsia="Book Antiqua" w:hAnsi="Book Antiqua" w:cs="Book Antiqua"/>
          <w:color w:val="000000"/>
        </w:rPr>
        <w:t>that</w:t>
      </w:r>
      <w:r w:rsidRPr="003C219A">
        <w:rPr>
          <w:rFonts w:ascii="Book Antiqua" w:eastAsia="Book Antiqua" w:hAnsi="Book Antiqua" w:cs="Book Antiqua"/>
          <w:color w:val="000000"/>
        </w:rPr>
        <w:t xml:space="preserve"> would form part of this study</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AE2B5F" w:rsidRPr="003C219A">
        <w:rPr>
          <w:rFonts w:ascii="Book Antiqua" w:eastAsia="Book Antiqua" w:hAnsi="Book Antiqua" w:cs="Book Antiqua"/>
          <w:color w:val="000000"/>
        </w:rPr>
        <w:t>E</w:t>
      </w:r>
      <w:r w:rsidRPr="003C219A">
        <w:rPr>
          <w:rFonts w:ascii="Book Antiqua" w:eastAsia="Book Antiqua" w:hAnsi="Book Antiqua" w:cs="Book Antiqua"/>
          <w:color w:val="000000"/>
        </w:rPr>
        <w:t xml:space="preserve">ach pattern presented with </w:t>
      </w:r>
      <w:r w:rsidR="00AE2B5F" w:rsidRPr="003C219A">
        <w:rPr>
          <w:rFonts w:ascii="Book Antiqua" w:eastAsia="Book Antiqua" w:hAnsi="Book Antiqua" w:cs="Book Antiqua"/>
          <w:color w:val="000000"/>
        </w:rPr>
        <w:t>ten</w:t>
      </w:r>
      <w:r w:rsidRPr="003C219A">
        <w:rPr>
          <w:rFonts w:ascii="Book Antiqua" w:eastAsia="Book Antiqua" w:hAnsi="Book Antiqua" w:cs="Book Antiqua"/>
          <w:color w:val="000000"/>
        </w:rPr>
        <w:t xml:space="preserve"> images.</w:t>
      </w:r>
    </w:p>
    <w:p w14:paraId="4AA05C4A" w14:textId="24AEFB3E"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The frequency and scoring for the WLE, NF</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NF-NBI endoscopic modalities from the point of view of all three observers are shown in Table 1. According to the experienced observers (observer I and observer II), NF magnification was significantly superior to WLE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the NF-NBI mode was significantly superior to NF magnification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w:t>
      </w:r>
      <w:r w:rsidR="00354993" w:rsidRPr="003C219A">
        <w:rPr>
          <w:rFonts w:ascii="Book Antiqua" w:eastAsia="Book Antiqua" w:hAnsi="Book Antiqua" w:cs="Book Antiqua"/>
          <w:color w:val="000000"/>
        </w:rPr>
        <w:lastRenderedPageBreak/>
        <w:t xml:space="preserve">&lt; </w:t>
      </w:r>
      <w:r w:rsidRPr="003C219A">
        <w:rPr>
          <w:rFonts w:ascii="Book Antiqua" w:eastAsia="Book Antiqua" w:hAnsi="Book Antiqua" w:cs="Book Antiqua"/>
          <w:color w:val="000000"/>
        </w:rPr>
        <w:t>0.01). Regarding the third inexperienced observer, NF magnification was significantly superior to WLE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the NF-NBI mode was significantly superior to the NF magnification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w:t>
      </w:r>
    </w:p>
    <w:p w14:paraId="050170F5" w14:textId="47E15757"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The frequency and scoring for the AA-NF and AA-NF-NBI endoscopic modalities from the point of view of all three observers are shown in Table 2. According to the experienced observers (observer I and observer II), AA-NF-NBI was significantly superior to AA-NF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 For the third inexperienced observer, AA-NF-NBI was significantly superior to AA-NF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w:t>
      </w:r>
    </w:p>
    <w:p w14:paraId="235713F7" w14:textId="67E92F18"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The interobserver diagnostic agreement for all five endoscopic modalities was analy</w:t>
      </w:r>
      <w:r w:rsidR="00AE2B5F" w:rsidRPr="003C219A">
        <w:rPr>
          <w:rFonts w:ascii="Book Antiqua" w:eastAsia="Book Antiqua" w:hAnsi="Book Antiqua" w:cs="Book Antiqua"/>
          <w:color w:val="000000"/>
        </w:rPr>
        <w:t>z</w:t>
      </w:r>
      <w:r w:rsidRPr="003C219A">
        <w:rPr>
          <w:rFonts w:ascii="Book Antiqua" w:eastAsia="Book Antiqua" w:hAnsi="Book Antiqua" w:cs="Book Antiqua"/>
          <w:color w:val="000000"/>
        </w:rPr>
        <w:t>ed with a kappa value. Interobserver kappa values for WLE were 0.609 for observer I and observer II, 0.704 for observer I and observer III</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0.598 for observer II and observer III. Interobserver kappa values for NF magnification were 0.600 for observer I and observer II, 0.721 for observer I and observer III</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0.637 for observer II and observer III. Interobserver kappa values for the NF-NBI mode were 0.378 for observer I and observer II, 0.471 for observer I and observer III</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0.553 for observer II and observer III. Interobserver kappa values for AA-NF were 0.453 for observer I and observer II, 0.603 for observer I and observer III</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0.480 for observer II and observer III. Interobserver kappa values for AA-NF-NBI were 0.643 for observer I and observer II, 0.506 for observer I and observer III</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0.354 for observer II and observer III.</w:t>
      </w:r>
    </w:p>
    <w:p w14:paraId="5EA59D9B" w14:textId="77777777" w:rsidR="00A77B3E" w:rsidRPr="003C219A" w:rsidRDefault="00A77B3E" w:rsidP="003C219A">
      <w:pPr>
        <w:spacing w:line="360" w:lineRule="auto"/>
        <w:ind w:firstLine="240"/>
        <w:jc w:val="both"/>
        <w:rPr>
          <w:rFonts w:ascii="Book Antiqua" w:hAnsi="Book Antiqua"/>
        </w:rPr>
      </w:pPr>
    </w:p>
    <w:p w14:paraId="129C29F7"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aps/>
          <w:color w:val="000000"/>
          <w:u w:val="single"/>
        </w:rPr>
        <w:t>DISCUSSION</w:t>
      </w:r>
    </w:p>
    <w:p w14:paraId="0C02965E" w14:textId="4A4E1F2E"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According to the results of our research into the investigation of gastric mucosa at a detailed microscopic level, NF-NBI was the most powerful endoscopic mode for evaluating the RAC, SECN</w:t>
      </w:r>
      <w:r w:rsidR="00AE2B5F"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GP, and AA-NF-NBI was the most powerful endoscopic mode for analy</w:t>
      </w:r>
      <w:r w:rsidR="00AE2B5F" w:rsidRPr="003C219A">
        <w:rPr>
          <w:rFonts w:ascii="Book Antiqua" w:eastAsia="Book Antiqua" w:hAnsi="Book Antiqua" w:cs="Book Antiqua"/>
          <w:color w:val="000000"/>
        </w:rPr>
        <w:t>z</w:t>
      </w:r>
      <w:r w:rsidRPr="003C219A">
        <w:rPr>
          <w:rFonts w:ascii="Book Antiqua" w:eastAsia="Book Antiqua" w:hAnsi="Book Antiqua" w:cs="Book Antiqua"/>
          <w:color w:val="000000"/>
        </w:rPr>
        <w:t xml:space="preserve">ing the CO and IP. There have been many advances in endoscopic imaging technologies. Standard definition endoscopy produces image signals with a resolution of </w:t>
      </w:r>
      <w:r w:rsidR="00AE2B5F" w:rsidRPr="003C219A">
        <w:rPr>
          <w:rFonts w:ascii="Book Antiqua" w:eastAsia="Book Antiqua" w:hAnsi="Book Antiqua" w:cs="Book Antiqua"/>
          <w:color w:val="000000"/>
        </w:rPr>
        <w:t xml:space="preserve">100000-400000 </w:t>
      </w:r>
      <w:r w:rsidRPr="003C219A">
        <w:rPr>
          <w:rFonts w:ascii="Book Antiqua" w:eastAsia="Book Antiqua" w:hAnsi="Book Antiqua" w:cs="Book Antiqua"/>
          <w:color w:val="000000"/>
        </w:rPr>
        <w:t xml:space="preserve">pixels. High-resolution or high-definition endoscopy produces image signals with a resolution of up to </w:t>
      </w:r>
      <w:r w:rsidR="00341481" w:rsidRPr="003C219A">
        <w:rPr>
          <w:rFonts w:ascii="Book Antiqua" w:eastAsia="Book Antiqua" w:hAnsi="Book Antiqua" w:cs="Book Antiqua"/>
          <w:color w:val="000000"/>
        </w:rPr>
        <w:t>1000000</w:t>
      </w:r>
      <w:r w:rsidRPr="003C219A">
        <w:rPr>
          <w:rFonts w:ascii="Book Antiqua" w:eastAsia="Book Antiqua" w:hAnsi="Book Antiqua" w:cs="Book Antiqua"/>
          <w:color w:val="000000"/>
        </w:rPr>
        <w:t xml:space="preserve"> pixels, which has the same effect as visualizing a surface at a 30-35-fold magnification. A novel IEE technique is electronic chromoendoscopy, which includes NBI, </w:t>
      </w:r>
      <w:proofErr w:type="spellStart"/>
      <w:r w:rsidRPr="003C219A">
        <w:rPr>
          <w:rFonts w:ascii="Book Antiqua" w:eastAsia="Book Antiqua" w:hAnsi="Book Antiqua" w:cs="Book Antiqua"/>
          <w:color w:val="000000"/>
        </w:rPr>
        <w:t>i</w:t>
      </w:r>
      <w:proofErr w:type="spellEnd"/>
      <w:r w:rsidRPr="003C219A">
        <w:rPr>
          <w:rFonts w:ascii="Book Antiqua" w:eastAsia="Book Antiqua" w:hAnsi="Book Antiqua" w:cs="Book Antiqua"/>
          <w:color w:val="000000"/>
        </w:rPr>
        <w:t>-Scan</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flexible spectral imaging </w:t>
      </w:r>
      <w:r w:rsidRPr="003C219A">
        <w:rPr>
          <w:rFonts w:ascii="Book Antiqua" w:eastAsia="Book Antiqua" w:hAnsi="Book Antiqua" w:cs="Book Antiqua"/>
          <w:color w:val="000000"/>
        </w:rPr>
        <w:lastRenderedPageBreak/>
        <w:t>color enhancement. Over the last 15 years, NBI has been used most in clinical practice</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341481" w:rsidRPr="003C219A">
        <w:rPr>
          <w:rFonts w:ascii="Book Antiqua" w:eastAsia="Book Antiqua" w:hAnsi="Book Antiqua" w:cs="Book Antiqua"/>
          <w:color w:val="000000"/>
        </w:rPr>
        <w:t>H</w:t>
      </w:r>
      <w:r w:rsidRPr="003C219A">
        <w:rPr>
          <w:rFonts w:ascii="Book Antiqua" w:eastAsia="Book Antiqua" w:hAnsi="Book Antiqua" w:cs="Book Antiqua"/>
          <w:color w:val="000000"/>
        </w:rPr>
        <w:t>owever, it is too dark to identify the color and structural mucosa</w:t>
      </w:r>
      <w:r w:rsidR="00341481" w:rsidRPr="003C219A">
        <w:rPr>
          <w:rFonts w:ascii="Book Antiqua" w:eastAsia="Book Antiqua" w:hAnsi="Book Antiqua" w:cs="Book Antiqua"/>
          <w:color w:val="000000"/>
        </w:rPr>
        <w:t>l</w:t>
      </w:r>
      <w:r w:rsidRPr="003C219A">
        <w:rPr>
          <w:rFonts w:ascii="Book Antiqua" w:eastAsia="Book Antiqua" w:hAnsi="Book Antiqua" w:cs="Book Antiqua"/>
          <w:color w:val="000000"/>
        </w:rPr>
        <w:t xml:space="preserve"> changes in organs with a large lumen, such as the stomach</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341481" w:rsidRPr="003C219A">
        <w:rPr>
          <w:rFonts w:ascii="Book Antiqua" w:eastAsia="Book Antiqua" w:hAnsi="Book Antiqua" w:cs="Book Antiqua"/>
          <w:color w:val="000000"/>
        </w:rPr>
        <w:t>T</w:t>
      </w:r>
      <w:r w:rsidRPr="003C219A">
        <w:rPr>
          <w:rFonts w:ascii="Book Antiqua" w:eastAsia="Book Antiqua" w:hAnsi="Book Antiqua" w:cs="Book Antiqua"/>
          <w:color w:val="000000"/>
        </w:rPr>
        <w:t xml:space="preserve">herefore, these should be combined with </w:t>
      </w:r>
      <w:proofErr w:type="gramStart"/>
      <w:r w:rsidRPr="003C219A">
        <w:rPr>
          <w:rFonts w:ascii="Book Antiqua" w:eastAsia="Book Antiqua" w:hAnsi="Book Antiqua" w:cs="Book Antiqua"/>
          <w:color w:val="000000"/>
        </w:rPr>
        <w:t>ME</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1,6,8,14]</w:t>
      </w:r>
      <w:r w:rsidRPr="003C219A">
        <w:rPr>
          <w:rFonts w:ascii="Book Antiqua" w:eastAsia="Book Antiqua" w:hAnsi="Book Antiqua" w:cs="Book Antiqua"/>
          <w:color w:val="000000"/>
        </w:rPr>
        <w:t>.</w:t>
      </w:r>
    </w:p>
    <w:p w14:paraId="5A4F3903" w14:textId="41E59434"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Over the last two decades, conventional ME was carried out with a soft rubber</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341481" w:rsidRPr="003C219A">
        <w:rPr>
          <w:rFonts w:ascii="Book Antiqua" w:eastAsia="Book Antiqua" w:hAnsi="Book Antiqua" w:cs="Book Antiqua"/>
          <w:color w:val="000000"/>
        </w:rPr>
        <w:t>B</w:t>
      </w:r>
      <w:r w:rsidRPr="003C219A">
        <w:rPr>
          <w:rFonts w:ascii="Book Antiqua" w:eastAsia="Book Antiqua" w:hAnsi="Book Antiqua" w:cs="Book Antiqua"/>
          <w:color w:val="000000"/>
        </w:rPr>
        <w:t>efore the procedure, soft black rubber was attached at the top of the scope. In this way, the area of interest was magnified</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341481" w:rsidRPr="003C219A">
        <w:rPr>
          <w:rFonts w:ascii="Book Antiqua" w:eastAsia="Book Antiqua" w:hAnsi="Book Antiqua" w:cs="Book Antiqua"/>
          <w:color w:val="000000"/>
        </w:rPr>
        <w:t>H</w:t>
      </w:r>
      <w:r w:rsidRPr="003C219A">
        <w:rPr>
          <w:rFonts w:ascii="Book Antiqua" w:eastAsia="Book Antiqua" w:hAnsi="Book Antiqua" w:cs="Book Antiqua"/>
          <w:color w:val="000000"/>
        </w:rPr>
        <w:t>owever</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the view for normal observation was reduced. Magnification with soft rubber requires skill and special training</w:t>
      </w:r>
      <w:r w:rsidR="00341481" w:rsidRPr="003C219A">
        <w:rPr>
          <w:rFonts w:ascii="Book Antiqua" w:eastAsia="Book Antiqua" w:hAnsi="Book Antiqua" w:cs="Book Antiqua"/>
          <w:color w:val="000000"/>
        </w:rPr>
        <w:t>. F</w:t>
      </w:r>
      <w:r w:rsidRPr="003C219A">
        <w:rPr>
          <w:rFonts w:ascii="Book Antiqua" w:eastAsia="Book Antiqua" w:hAnsi="Book Antiqua" w:cs="Book Antiqua"/>
          <w:color w:val="000000"/>
        </w:rPr>
        <w:t xml:space="preserve">or this reason, ME is not frequently used in Western </w:t>
      </w:r>
      <w:proofErr w:type="gramStart"/>
      <w:r w:rsidRPr="003C219A">
        <w:rPr>
          <w:rFonts w:ascii="Book Antiqua" w:eastAsia="Book Antiqua" w:hAnsi="Book Antiqua" w:cs="Book Antiqua"/>
          <w:color w:val="000000"/>
        </w:rPr>
        <w:t>countries</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w:t>
      </w:r>
      <w:r w:rsidR="00AA5D8C" w:rsidRPr="003C219A">
        <w:rPr>
          <w:rFonts w:ascii="Book Antiqua" w:eastAsia="Book Antiqua" w:hAnsi="Book Antiqua" w:cs="Book Antiqua"/>
          <w:color w:val="000000"/>
          <w:vertAlign w:val="superscript"/>
        </w:rPr>
        <w:t>-</w:t>
      </w:r>
      <w:r w:rsidRPr="003C219A">
        <w:rPr>
          <w:rFonts w:ascii="Book Antiqua" w:eastAsia="Book Antiqua" w:hAnsi="Book Antiqua" w:cs="Book Antiqua"/>
          <w:color w:val="000000"/>
          <w:vertAlign w:val="superscript"/>
        </w:rPr>
        <w:t>4,6]</w:t>
      </w:r>
      <w:r w:rsidRPr="003C219A">
        <w:rPr>
          <w:rFonts w:ascii="Book Antiqua" w:eastAsia="Book Antiqua" w:hAnsi="Book Antiqua" w:cs="Book Antiqua"/>
          <w:color w:val="000000"/>
        </w:rPr>
        <w:t>.</w:t>
      </w:r>
    </w:p>
    <w:p w14:paraId="2C4B1004" w14:textId="18B8ADE8"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Several studies using </w:t>
      </w:r>
      <w:r w:rsidR="00AE2B5F" w:rsidRPr="003C219A">
        <w:rPr>
          <w:rFonts w:ascii="Book Antiqua" w:eastAsia="Book Antiqua" w:hAnsi="Book Antiqua" w:cs="Book Antiqua"/>
          <w:color w:val="000000"/>
        </w:rPr>
        <w:t>high-definition</w:t>
      </w:r>
      <w:r w:rsidRPr="003C219A">
        <w:rPr>
          <w:rFonts w:ascii="Book Antiqua" w:eastAsia="Book Antiqua" w:hAnsi="Book Antiqua" w:cs="Book Antiqua"/>
          <w:color w:val="000000"/>
        </w:rPr>
        <w:t xml:space="preserve"> endoscopy, IEE, conventional magnifying, and histopathology have confirmed the normal appearance of gastric body mucosa with the RAC, SECN</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w:t>
      </w:r>
      <w:proofErr w:type="gramStart"/>
      <w:r w:rsidRPr="003C219A">
        <w:rPr>
          <w:rFonts w:ascii="Book Antiqua" w:eastAsia="Book Antiqua" w:hAnsi="Book Antiqua" w:cs="Book Antiqua"/>
          <w:color w:val="000000"/>
        </w:rPr>
        <w:t>GP</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1-3</w:t>
      </w:r>
      <w:r w:rsidR="00AA5D8C" w:rsidRPr="003C219A">
        <w:rPr>
          <w:rFonts w:ascii="Book Antiqua" w:eastAsia="Book Antiqua" w:hAnsi="Book Antiqua" w:cs="Book Antiqua"/>
          <w:color w:val="000000"/>
          <w:vertAlign w:val="superscript"/>
        </w:rPr>
        <w:t>,</w:t>
      </w:r>
      <w:r w:rsidRPr="003C219A">
        <w:rPr>
          <w:rFonts w:ascii="Book Antiqua" w:eastAsia="Book Antiqua" w:hAnsi="Book Antiqua" w:cs="Book Antiqua"/>
          <w:color w:val="000000"/>
          <w:vertAlign w:val="superscript"/>
        </w:rPr>
        <w:t>6-8,21-25]</w:t>
      </w:r>
      <w:r w:rsidRPr="003C219A">
        <w:rPr>
          <w:rFonts w:ascii="Book Antiqua" w:eastAsia="Book Antiqua" w:hAnsi="Book Antiqua" w:cs="Book Antiqua"/>
          <w:color w:val="000000"/>
        </w:rPr>
        <w:t xml:space="preserve">. In our study, we successfully replaced conventional ME with the dual focus (NF magnification). Regarding our results, all three observers noted independently that the NF magnification showed </w:t>
      </w:r>
      <w:r w:rsidR="00341481" w:rsidRPr="003C219A">
        <w:rPr>
          <w:rFonts w:ascii="Book Antiqua" w:eastAsia="Book Antiqua" w:hAnsi="Book Antiqua" w:cs="Book Antiqua"/>
          <w:color w:val="000000"/>
        </w:rPr>
        <w:t>a higher</w:t>
      </w:r>
      <w:r w:rsidRPr="003C219A">
        <w:rPr>
          <w:rFonts w:ascii="Book Antiqua" w:eastAsia="Book Antiqua" w:hAnsi="Book Antiqua" w:cs="Book Antiqua"/>
          <w:color w:val="000000"/>
        </w:rPr>
        <w:t xml:space="preserve"> power of visualization than WLE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 NF magnification from the point of view of all three observers assessed the microscopic features of the gastric body mucosa, such as the RAC at 94%, 95%</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92%, respectively</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the SECN and GP at 100%, in the same way as it was reported in studies powered by conventional </w:t>
      </w:r>
      <w:proofErr w:type="gramStart"/>
      <w:r w:rsidRPr="003C219A">
        <w:rPr>
          <w:rFonts w:ascii="Book Antiqua" w:eastAsia="Book Antiqua" w:hAnsi="Book Antiqua" w:cs="Book Antiqua"/>
          <w:color w:val="000000"/>
        </w:rPr>
        <w:t>ME</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4,22,23]</w:t>
      </w:r>
      <w:r w:rsidRPr="003C219A">
        <w:rPr>
          <w:rFonts w:ascii="Book Antiqua" w:eastAsia="Book Antiqua" w:hAnsi="Book Antiqua" w:cs="Book Antiqua"/>
          <w:color w:val="000000"/>
        </w:rPr>
        <w:t>. The diagnostic interobserver agreement for the NF magnification showed a “substantial” level.</w:t>
      </w:r>
    </w:p>
    <w:p w14:paraId="56B240D2" w14:textId="4C8C8D81"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A retrospective study from the United Kingdom demonstrated that NF magnification improved the diagnostic yield of upper gastrointestinal mucosal lesions</w:t>
      </w:r>
      <w:r w:rsidR="00341481" w:rsidRPr="003C219A">
        <w:rPr>
          <w:rFonts w:ascii="Book Antiqua" w:eastAsia="Book Antiqua" w:hAnsi="Book Antiqua" w:cs="Book Antiqua"/>
          <w:color w:val="000000"/>
        </w:rPr>
        <w:t>. H</w:t>
      </w:r>
      <w:r w:rsidRPr="003C219A">
        <w:rPr>
          <w:rFonts w:ascii="Book Antiqua" w:eastAsia="Book Antiqua" w:hAnsi="Book Antiqua" w:cs="Book Antiqua"/>
          <w:color w:val="000000"/>
        </w:rPr>
        <w:t xml:space="preserve">owever, its usefulness for gastric lesions is </w:t>
      </w:r>
      <w:proofErr w:type="gramStart"/>
      <w:r w:rsidRPr="003C219A">
        <w:rPr>
          <w:rFonts w:ascii="Book Antiqua" w:eastAsia="Book Antiqua" w:hAnsi="Book Antiqua" w:cs="Book Antiqua"/>
          <w:color w:val="000000"/>
        </w:rPr>
        <w:t>questionable</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15]</w:t>
      </w:r>
      <w:r w:rsidRPr="003C219A">
        <w:rPr>
          <w:rFonts w:ascii="Book Antiqua" w:eastAsia="Book Antiqua" w:hAnsi="Book Antiqua" w:cs="Book Antiqua"/>
          <w:color w:val="000000"/>
        </w:rPr>
        <w:t>. In our study, all three observers noted independently that the NF with the NBI showed significantly more power of visualization than the NF magnification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 In the NF-NBI mode, from the point of view all three observers, SECN, GP</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CO were clearly seen at levels of 95.5%, 97% and 92.6%, respectively. The diagnostic interobserver agreement in relation to the NF-NBI mode from the perspective of the experienced observers (one side) and the third inexperienced observer was at the “moderate” level. The diagnostic interobserver agreement among the experienced observers was at the “fair” level. The clinical </w:t>
      </w:r>
      <w:r w:rsidRPr="003C219A">
        <w:rPr>
          <w:rFonts w:ascii="Book Antiqua" w:eastAsia="Book Antiqua" w:hAnsi="Book Antiqua" w:cs="Book Antiqua"/>
          <w:color w:val="000000"/>
        </w:rPr>
        <w:lastRenderedPageBreak/>
        <w:t>explanation could be that NF-NBI “1a” and “1b” patterns were scored the same and that the differences were qualitative (distribution of the RAC, size of GP and CO).</w:t>
      </w:r>
    </w:p>
    <w:p w14:paraId="0F6D8A30" w14:textId="7B5E0F2A"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In the progression of gastric</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related diseases</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microscopic features of the stomach mucosa such as venules, capillary network, </w:t>
      </w:r>
      <w:r w:rsidR="00341481" w:rsidRPr="003C219A">
        <w:rPr>
          <w:rFonts w:ascii="Book Antiqua" w:eastAsia="Book Antiqua" w:hAnsi="Book Antiqua" w:cs="Book Antiqua"/>
          <w:color w:val="000000"/>
        </w:rPr>
        <w:t xml:space="preserve">and </w:t>
      </w:r>
      <w:r w:rsidRPr="003C219A">
        <w:rPr>
          <w:rFonts w:ascii="Book Antiqua" w:eastAsia="Book Antiqua" w:hAnsi="Book Antiqua" w:cs="Book Antiqua"/>
          <w:color w:val="000000"/>
        </w:rPr>
        <w:t xml:space="preserve">the shape and size of gastric fossa and recess have been structurally changed. For the first time, two studies used the NF-NBI mode in the stomach for the evaluation of a tumor lesion and its </w:t>
      </w:r>
      <w:proofErr w:type="gramStart"/>
      <w:r w:rsidRPr="003C219A">
        <w:rPr>
          <w:rFonts w:ascii="Book Antiqua" w:eastAsia="Book Antiqua" w:hAnsi="Book Antiqua" w:cs="Book Antiqua"/>
          <w:color w:val="000000"/>
        </w:rPr>
        <w:t>margin</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16,17]</w:t>
      </w:r>
      <w:r w:rsidRPr="003C219A">
        <w:rPr>
          <w:rFonts w:ascii="Book Antiqua" w:eastAsia="Book Antiqua" w:hAnsi="Book Antiqua" w:cs="Book Antiqua"/>
          <w:color w:val="000000"/>
        </w:rPr>
        <w:t>.</w:t>
      </w:r>
      <w:r w:rsidR="00AA5D8C" w:rsidRPr="003C219A">
        <w:rPr>
          <w:rFonts w:ascii="Book Antiqua" w:eastAsia="Book Antiqua" w:hAnsi="Book Antiqua" w:cs="Book Antiqua"/>
          <w:color w:val="000000"/>
        </w:rPr>
        <w:t xml:space="preserve"> </w:t>
      </w:r>
      <w:r w:rsidRPr="003C219A">
        <w:rPr>
          <w:rFonts w:ascii="Book Antiqua" w:eastAsia="Book Antiqua" w:hAnsi="Book Antiqua" w:cs="Book Antiqua"/>
          <w:color w:val="000000"/>
        </w:rPr>
        <w:t xml:space="preserve">The role of the NF-NBI mode has been assessed recently for atrophic gastritis, according to the Kimura-Takemoto classification and intestinal metaplasia (tubular/granular GP pattern of the </w:t>
      </w:r>
      <w:proofErr w:type="gramStart"/>
      <w:r w:rsidRPr="003C219A">
        <w:rPr>
          <w:rFonts w:ascii="Book Antiqua" w:eastAsia="Book Antiqua" w:hAnsi="Book Antiqua" w:cs="Book Antiqua"/>
          <w:color w:val="000000"/>
        </w:rPr>
        <w:t>corpus)</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18]</w:t>
      </w:r>
      <w:r w:rsidRPr="003C219A">
        <w:rPr>
          <w:rFonts w:ascii="Book Antiqua" w:eastAsia="Book Antiqua" w:hAnsi="Book Antiqua" w:cs="Book Antiqua"/>
          <w:color w:val="000000"/>
        </w:rPr>
        <w:t>.</w:t>
      </w:r>
      <w:r w:rsidR="00AA5D8C" w:rsidRPr="003C219A">
        <w:rPr>
          <w:rFonts w:ascii="Book Antiqua" w:eastAsia="Book Antiqua" w:hAnsi="Book Antiqua" w:cs="Book Antiqua"/>
          <w:color w:val="000000"/>
        </w:rPr>
        <w:t xml:space="preserve"> </w:t>
      </w:r>
      <w:r w:rsidRPr="003C219A">
        <w:rPr>
          <w:rFonts w:ascii="Book Antiqua" w:eastAsia="Book Antiqua" w:hAnsi="Book Antiqua" w:cs="Book Antiqua"/>
          <w:color w:val="000000"/>
        </w:rPr>
        <w:t>This study considered the shape of the GP without analy</w:t>
      </w:r>
      <w:r w:rsidR="00341481" w:rsidRPr="003C219A">
        <w:rPr>
          <w:rFonts w:ascii="Book Antiqua" w:eastAsia="Book Antiqua" w:hAnsi="Book Antiqua" w:cs="Book Antiqua"/>
          <w:color w:val="000000"/>
        </w:rPr>
        <w:t>z</w:t>
      </w:r>
      <w:r w:rsidRPr="003C219A">
        <w:rPr>
          <w:rFonts w:ascii="Book Antiqua" w:eastAsia="Book Antiqua" w:hAnsi="Book Antiqua" w:cs="Book Antiqua"/>
          <w:color w:val="000000"/>
        </w:rPr>
        <w:t>ing the RAC, SECN</w:t>
      </w:r>
      <w:r w:rsidR="00341481"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CO. In the absence of the previously verified gastric NF-NBI magnification pattern, it could not be</w:t>
      </w:r>
      <w:r w:rsidR="00341481" w:rsidRPr="003C219A">
        <w:rPr>
          <w:rFonts w:ascii="Book Antiqua" w:eastAsia="Book Antiqua" w:hAnsi="Book Antiqua" w:cs="Book Antiqua"/>
          <w:color w:val="000000"/>
        </w:rPr>
        <w:t xml:space="preserve"> an</w:t>
      </w:r>
      <w:r w:rsidRPr="003C219A">
        <w:rPr>
          <w:rFonts w:ascii="Book Antiqua" w:eastAsia="Book Antiqua" w:hAnsi="Book Antiqua" w:cs="Book Antiqua"/>
          <w:color w:val="000000"/>
        </w:rPr>
        <w:t xml:space="preserve"> appropriate definition of the pathology pattern.</w:t>
      </w:r>
    </w:p>
    <w:p w14:paraId="785B1B5E" w14:textId="6278AD86"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In a recently published study by Fiuza </w:t>
      </w:r>
      <w:r w:rsidRPr="003C219A">
        <w:rPr>
          <w:rFonts w:ascii="Book Antiqua" w:eastAsia="Book Antiqua" w:hAnsi="Book Antiqua" w:cs="Book Antiqua"/>
          <w:i/>
          <w:iCs/>
          <w:color w:val="000000"/>
        </w:rPr>
        <w:t xml:space="preserve">et </w:t>
      </w:r>
      <w:proofErr w:type="gramStart"/>
      <w:r w:rsidRPr="003C219A">
        <w:rPr>
          <w:rFonts w:ascii="Book Antiqua" w:eastAsia="Book Antiqua" w:hAnsi="Book Antiqua" w:cs="Book Antiqua"/>
          <w:i/>
          <w:iCs/>
          <w:color w:val="000000"/>
        </w:rPr>
        <w:t>al</w:t>
      </w:r>
      <w:r w:rsidR="00AA5D8C" w:rsidRPr="003C219A">
        <w:rPr>
          <w:rFonts w:ascii="Book Antiqua" w:eastAsia="Book Antiqua" w:hAnsi="Book Antiqua" w:cs="Book Antiqua"/>
          <w:color w:val="000000"/>
          <w:vertAlign w:val="superscript"/>
        </w:rPr>
        <w:t>[</w:t>
      </w:r>
      <w:proofErr w:type="gramEnd"/>
      <w:r w:rsidR="00AA5D8C" w:rsidRPr="003C219A">
        <w:rPr>
          <w:rFonts w:ascii="Book Antiqua" w:eastAsia="Book Antiqua" w:hAnsi="Book Antiqua" w:cs="Book Antiqua"/>
          <w:color w:val="000000"/>
          <w:vertAlign w:val="superscript"/>
        </w:rPr>
        <w:t>19]</w:t>
      </w:r>
      <w:r w:rsidRPr="003C219A">
        <w:rPr>
          <w:rFonts w:ascii="Book Antiqua" w:eastAsia="Book Antiqua" w:hAnsi="Book Antiqua" w:cs="Book Antiqua"/>
          <w:color w:val="000000"/>
        </w:rPr>
        <w:t xml:space="preserve">, NF magnification was evaluated for the assessment of the mucosal surface pattern in </w:t>
      </w:r>
      <w:r w:rsidR="00354993" w:rsidRPr="003C219A">
        <w:rPr>
          <w:rFonts w:ascii="Book Antiqua" w:eastAsia="Book Antiqua" w:hAnsi="Book Antiqua" w:cs="Book Antiqua"/>
          <w:i/>
          <w:iCs/>
          <w:color w:val="000000"/>
        </w:rPr>
        <w:t>H. pylori</w:t>
      </w:r>
      <w:r w:rsidR="000C6C0B" w:rsidRPr="003C219A">
        <w:rPr>
          <w:rFonts w:ascii="Book Antiqua" w:eastAsia="Book Antiqua" w:hAnsi="Book Antiqua" w:cs="Book Antiqua"/>
          <w:color w:val="000000"/>
        </w:rPr>
        <w:t>-</w:t>
      </w:r>
      <w:r w:rsidRPr="003C219A">
        <w:rPr>
          <w:rFonts w:ascii="Book Antiqua" w:eastAsia="Book Antiqua" w:hAnsi="Book Antiqua" w:cs="Book Antiqua"/>
          <w:color w:val="000000"/>
        </w:rPr>
        <w:t>related gastritis. This study used the NF mode without NBI chromoendoscopy and was unable to consider the appearance of the CO.</w:t>
      </w:r>
    </w:p>
    <w:p w14:paraId="5A35CD5F" w14:textId="7FC021C4"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Conventional ME requires more time, skill, and special endoscopic training</w:t>
      </w:r>
      <w:r w:rsidR="000C6C0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0C6C0B" w:rsidRPr="003C219A">
        <w:rPr>
          <w:rFonts w:ascii="Book Antiqua" w:eastAsia="Book Antiqua" w:hAnsi="Book Antiqua" w:cs="Book Antiqua"/>
          <w:color w:val="000000"/>
        </w:rPr>
        <w:t>T</w:t>
      </w:r>
      <w:r w:rsidRPr="003C219A">
        <w:rPr>
          <w:rFonts w:ascii="Book Antiqua" w:eastAsia="Book Antiqua" w:hAnsi="Book Antiqua" w:cs="Book Antiqua"/>
          <w:color w:val="000000"/>
        </w:rPr>
        <w:t>he mechanical addit</w:t>
      </w:r>
      <w:r w:rsidR="000C6C0B" w:rsidRPr="003C219A">
        <w:rPr>
          <w:rFonts w:ascii="Book Antiqua" w:eastAsia="Book Antiqua" w:hAnsi="Book Antiqua" w:cs="Book Antiqua"/>
          <w:color w:val="000000"/>
        </w:rPr>
        <w:t>ion</w:t>
      </w:r>
      <w:r w:rsidRPr="003C219A">
        <w:rPr>
          <w:rFonts w:ascii="Book Antiqua" w:eastAsia="Book Antiqua" w:hAnsi="Book Antiqua" w:cs="Book Antiqua"/>
          <w:color w:val="000000"/>
        </w:rPr>
        <w:t xml:space="preserve"> on the top of the scope (rubber) and the view of visualization becomes less. On the other hand, NF magnification may be easily manipulated, there is no need for the mechanical attachment, the view of visualization remains normal</w:t>
      </w:r>
      <w:r w:rsidR="000C6C0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w:t>
      </w:r>
      <w:r w:rsidR="000C6C0B" w:rsidRPr="003C219A">
        <w:rPr>
          <w:rFonts w:ascii="Book Antiqua" w:eastAsia="Book Antiqua" w:hAnsi="Book Antiqua" w:cs="Book Antiqua"/>
          <w:color w:val="000000"/>
        </w:rPr>
        <w:t>as observed</w:t>
      </w:r>
      <w:r w:rsidRPr="003C219A">
        <w:rPr>
          <w:rFonts w:ascii="Book Antiqua" w:eastAsia="Book Antiqua" w:hAnsi="Book Antiqua" w:cs="Book Antiqua"/>
          <w:color w:val="000000"/>
        </w:rPr>
        <w:t xml:space="preserve"> in our study NF magnification with NBI chromoendoscopy </w:t>
      </w:r>
      <w:r w:rsidR="000C6C0B" w:rsidRPr="003C219A">
        <w:rPr>
          <w:rFonts w:ascii="Book Antiqua" w:eastAsia="Book Antiqua" w:hAnsi="Book Antiqua" w:cs="Book Antiqua"/>
          <w:color w:val="000000"/>
        </w:rPr>
        <w:t>showed the</w:t>
      </w:r>
      <w:r w:rsidRPr="003C219A">
        <w:rPr>
          <w:rFonts w:ascii="Book Antiqua" w:eastAsia="Book Antiqua" w:hAnsi="Book Antiqua" w:cs="Book Antiqua"/>
          <w:color w:val="000000"/>
        </w:rPr>
        <w:t xml:space="preserve"> presence of CO.</w:t>
      </w:r>
    </w:p>
    <w:p w14:paraId="5D14A8D3" w14:textId="08DC4E9F"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The current era of NF magnification endoscopic technology may be contrasted with the research of Cho </w:t>
      </w:r>
      <w:r w:rsidRPr="003C219A">
        <w:rPr>
          <w:rFonts w:ascii="Book Antiqua" w:eastAsia="Book Antiqua" w:hAnsi="Book Antiqua" w:cs="Book Antiqua"/>
          <w:i/>
          <w:iCs/>
          <w:color w:val="000000"/>
        </w:rPr>
        <w:t xml:space="preserve">et </w:t>
      </w:r>
      <w:proofErr w:type="gramStart"/>
      <w:r w:rsidRPr="003C219A">
        <w:rPr>
          <w:rFonts w:ascii="Book Antiqua" w:eastAsia="Book Antiqua" w:hAnsi="Book Antiqua" w:cs="Book Antiqua"/>
          <w:i/>
          <w:iCs/>
          <w:color w:val="000000"/>
        </w:rPr>
        <w:t>al</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25]</w:t>
      </w:r>
      <w:r w:rsidRPr="003C219A">
        <w:rPr>
          <w:rFonts w:ascii="Book Antiqua" w:eastAsia="Book Antiqua" w:hAnsi="Book Antiqua" w:cs="Book Antiqua"/>
          <w:color w:val="000000"/>
        </w:rPr>
        <w:t xml:space="preserve"> who recently used conventional ME for the evaluation of </w:t>
      </w:r>
      <w:r w:rsidR="00354993" w:rsidRPr="003C219A">
        <w:rPr>
          <w:rFonts w:ascii="Book Antiqua" w:eastAsia="Book Antiqua" w:hAnsi="Book Antiqua" w:cs="Book Antiqua"/>
          <w:i/>
          <w:iCs/>
          <w:color w:val="000000"/>
        </w:rPr>
        <w:t>H. pylori</w:t>
      </w:r>
      <w:r w:rsidR="000C6C0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associated gastritis. The forthcoming studies </w:t>
      </w:r>
      <w:r w:rsidRPr="003C219A">
        <w:rPr>
          <w:rFonts w:ascii="Book Antiqua" w:eastAsia="Book Antiqua" w:hAnsi="Book Antiqua" w:cs="Book Antiqua"/>
          <w:i/>
          <w:iCs/>
          <w:color w:val="000000"/>
        </w:rPr>
        <w:t>via</w:t>
      </w:r>
      <w:r w:rsidRPr="003C219A">
        <w:rPr>
          <w:rFonts w:ascii="Book Antiqua" w:eastAsia="Book Antiqua" w:hAnsi="Book Antiqua" w:cs="Book Antiqua"/>
          <w:color w:val="000000"/>
        </w:rPr>
        <w:t xml:space="preserve"> NF-NBI endoscopy aim to evaluate the presence/absence of RAC, the regularity/irregularity of SECN</w:t>
      </w:r>
      <w:r w:rsidR="000C6C0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the shape and size of the GP and CO in relation to the </w:t>
      </w:r>
      <w:r w:rsidR="00354993" w:rsidRPr="003C219A">
        <w:rPr>
          <w:rFonts w:ascii="Book Antiqua" w:eastAsia="Book Antiqua" w:hAnsi="Book Antiqua" w:cs="Book Antiqua"/>
          <w:i/>
          <w:iCs/>
          <w:color w:val="000000"/>
        </w:rPr>
        <w:t>H. pylori</w:t>
      </w:r>
      <w:r w:rsidRPr="003C219A">
        <w:rPr>
          <w:rFonts w:ascii="Book Antiqua" w:eastAsia="Book Antiqua" w:hAnsi="Book Antiqua" w:cs="Book Antiqua"/>
          <w:color w:val="000000"/>
        </w:rPr>
        <w:t xml:space="preserve"> infection, intestinal metaplasia, and atrophic gastritis, </w:t>
      </w:r>
      <w:r w:rsidRPr="003C219A">
        <w:rPr>
          <w:rFonts w:ascii="Book Antiqua" w:eastAsia="Book Antiqua" w:hAnsi="Book Antiqua" w:cs="Book Antiqua"/>
          <w:i/>
          <w:iCs/>
          <w:color w:val="000000"/>
        </w:rPr>
        <w:t>etc.</w:t>
      </w:r>
    </w:p>
    <w:p w14:paraId="44792F5D" w14:textId="6F0B23F3"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In the previous studies, the focus on the CO was less</w:t>
      </w:r>
      <w:r w:rsidR="000C6C0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w:t>
      </w:r>
      <w:r w:rsidR="000C6C0B" w:rsidRPr="003C219A">
        <w:rPr>
          <w:rFonts w:ascii="Book Antiqua" w:eastAsia="Book Antiqua" w:hAnsi="Book Antiqua" w:cs="Book Antiqua"/>
          <w:color w:val="000000"/>
        </w:rPr>
        <w:t>A</w:t>
      </w:r>
      <w:r w:rsidRPr="003C219A">
        <w:rPr>
          <w:rFonts w:ascii="Book Antiqua" w:eastAsia="Book Antiqua" w:hAnsi="Book Antiqua" w:cs="Book Antiqua"/>
          <w:color w:val="000000"/>
        </w:rPr>
        <w:t xml:space="preserve"> study by Kawamura </w:t>
      </w:r>
      <w:r w:rsidRPr="003C219A">
        <w:rPr>
          <w:rFonts w:ascii="Book Antiqua" w:eastAsia="Book Antiqua" w:hAnsi="Book Antiqua" w:cs="Book Antiqua"/>
          <w:i/>
          <w:iCs/>
          <w:color w:val="000000"/>
        </w:rPr>
        <w:t xml:space="preserve">et </w:t>
      </w:r>
      <w:proofErr w:type="gramStart"/>
      <w:r w:rsidRPr="003C219A">
        <w:rPr>
          <w:rFonts w:ascii="Book Antiqua" w:eastAsia="Book Antiqua" w:hAnsi="Book Antiqua" w:cs="Book Antiqua"/>
          <w:i/>
          <w:iCs/>
          <w:color w:val="000000"/>
        </w:rPr>
        <w:t>al</w:t>
      </w:r>
      <w:r w:rsidRPr="003C219A">
        <w:rPr>
          <w:rFonts w:ascii="Book Antiqua" w:eastAsia="Book Antiqua" w:hAnsi="Book Antiqua" w:cs="Book Antiqua"/>
          <w:color w:val="000000"/>
          <w:vertAlign w:val="superscript"/>
        </w:rPr>
        <w:t>[</w:t>
      </w:r>
      <w:proofErr w:type="gramEnd"/>
      <w:r w:rsidRPr="003C219A">
        <w:rPr>
          <w:rFonts w:ascii="Book Antiqua" w:eastAsia="Book Antiqua" w:hAnsi="Book Antiqua" w:cs="Book Antiqua"/>
          <w:color w:val="000000"/>
          <w:vertAlign w:val="superscript"/>
        </w:rPr>
        <w:t>26]</w:t>
      </w:r>
      <w:r w:rsidRPr="003C219A">
        <w:rPr>
          <w:rFonts w:ascii="Book Antiqua" w:eastAsia="Book Antiqua" w:hAnsi="Book Antiqua" w:cs="Book Antiqua"/>
          <w:color w:val="000000"/>
        </w:rPr>
        <w:t xml:space="preserve"> evaluated the role of conventional ME (without NBI) by analyzing the CO as part of </w:t>
      </w:r>
      <w:r w:rsidR="00354993" w:rsidRPr="003C219A">
        <w:rPr>
          <w:rFonts w:ascii="Book Antiqua" w:eastAsia="Book Antiqua" w:hAnsi="Book Antiqua" w:cs="Book Antiqua"/>
          <w:i/>
          <w:iCs/>
          <w:color w:val="000000"/>
        </w:rPr>
        <w:t>H. pylori</w:t>
      </w:r>
      <w:r w:rsidR="000C6C0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related gastritis. The whiteness of the CO was classified as the “white-edged dark </w:t>
      </w:r>
      <w:r w:rsidRPr="003C219A">
        <w:rPr>
          <w:rFonts w:ascii="Book Antiqua" w:eastAsia="Book Antiqua" w:hAnsi="Book Antiqua" w:cs="Book Antiqua"/>
          <w:color w:val="000000"/>
        </w:rPr>
        <w:lastRenderedPageBreak/>
        <w:t>spot” type, the “white” type</w:t>
      </w:r>
      <w:r w:rsidR="000C6C0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the “dense white pit” type.</w:t>
      </w:r>
      <w:r w:rsidR="000C6C0B" w:rsidRPr="003C219A">
        <w:rPr>
          <w:rFonts w:ascii="Book Antiqua" w:eastAsia="Book Antiqua" w:hAnsi="Book Antiqua" w:cs="Book Antiqua"/>
          <w:color w:val="000000"/>
        </w:rPr>
        <w:t xml:space="preserve"> Regarding our results, the NF-NBI mode assessed the presence of the CO as a black point, but to visualize the CO in more detail, enhancement was carried out using AA. By applying AA in the area of observation, we highlighted a unique pattern containing regular round brown CO and whiteish IP in the normal gastric body mucosa. In the AA-NF-NBI mode, the CO suddenly became black, creating a clear contrast between the CO and IP.</w:t>
      </w:r>
    </w:p>
    <w:p w14:paraId="781ADD5F" w14:textId="7ECACA8A"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Our results, independently noted by all three observers, showed that AA-NF-NBI was superior to AA-NF. Our results clearly </w:t>
      </w:r>
      <w:r w:rsidR="000C6C0B" w:rsidRPr="003C219A">
        <w:rPr>
          <w:rFonts w:ascii="Book Antiqua" w:eastAsia="Book Antiqua" w:hAnsi="Book Antiqua" w:cs="Book Antiqua"/>
          <w:color w:val="000000"/>
        </w:rPr>
        <w:t>indicate the superiority of</w:t>
      </w:r>
      <w:r w:rsidRPr="003C219A">
        <w:rPr>
          <w:rFonts w:ascii="Book Antiqua" w:eastAsia="Book Antiqua" w:hAnsi="Book Antiqua" w:cs="Book Antiqua"/>
          <w:color w:val="000000"/>
        </w:rPr>
        <w:t xml:space="preserve"> the AA-NF-NBI mode in terms of analyzing the shape and size of the CO and IP. The diagnostic interobserver agreement for the AA-NF-NBI mode among the experienced observers was at a “substantial” level. The diagnostic interobserver agreement between the experienced observers (one side) and the third inexperienced observer was at the “moderate” level and “fair” level, respectively. An explanation for this could be that there was no question about the existence of the contrast</w:t>
      </w:r>
      <w:r w:rsidR="000C6C0B" w:rsidRPr="003C219A">
        <w:rPr>
          <w:rFonts w:ascii="Book Antiqua" w:eastAsia="Book Antiqua" w:hAnsi="Book Antiqua" w:cs="Book Antiqua"/>
          <w:color w:val="000000"/>
        </w:rPr>
        <w:t xml:space="preserve"> and that</w:t>
      </w:r>
      <w:r w:rsidRPr="003C219A">
        <w:rPr>
          <w:rFonts w:ascii="Book Antiqua" w:eastAsia="Book Antiqua" w:hAnsi="Book Antiqua" w:cs="Book Antiqua"/>
          <w:color w:val="000000"/>
        </w:rPr>
        <w:t xml:space="preserve"> the </w:t>
      </w:r>
      <w:r w:rsidR="000C6C0B" w:rsidRPr="003C219A">
        <w:rPr>
          <w:rFonts w:ascii="Book Antiqua" w:eastAsia="Book Antiqua" w:hAnsi="Book Antiqua" w:cs="Book Antiqua"/>
          <w:color w:val="000000"/>
        </w:rPr>
        <w:t>discrepancy</w:t>
      </w:r>
      <w:r w:rsidRPr="003C219A">
        <w:rPr>
          <w:rFonts w:ascii="Book Antiqua" w:eastAsia="Book Antiqua" w:hAnsi="Book Antiqua" w:cs="Book Antiqua"/>
          <w:color w:val="000000"/>
        </w:rPr>
        <w:t xml:space="preserve"> related to the grade of the contrast between the CO and IP.</w:t>
      </w:r>
    </w:p>
    <w:p w14:paraId="39AB7681" w14:textId="7BA1C794" w:rsidR="00A77B3E" w:rsidRPr="003C219A" w:rsidRDefault="00000000" w:rsidP="003C219A">
      <w:pPr>
        <w:spacing w:line="360" w:lineRule="auto"/>
        <w:ind w:firstLine="240"/>
        <w:jc w:val="both"/>
        <w:rPr>
          <w:rFonts w:ascii="Book Antiqua" w:hAnsi="Book Antiqua"/>
        </w:rPr>
      </w:pPr>
      <w:r w:rsidRPr="003C219A">
        <w:rPr>
          <w:rFonts w:ascii="Book Antiqua" w:eastAsia="Book Antiqua" w:hAnsi="Book Antiqua" w:cs="Book Antiqua"/>
          <w:color w:val="000000"/>
        </w:rPr>
        <w:t xml:space="preserve">One limitation of this study (as well as other studies related to this issue) </w:t>
      </w:r>
      <w:r w:rsidR="000C6C0B" w:rsidRPr="003C219A">
        <w:rPr>
          <w:rFonts w:ascii="Book Antiqua" w:eastAsia="Book Antiqua" w:hAnsi="Book Antiqua" w:cs="Book Antiqua"/>
          <w:color w:val="000000"/>
        </w:rPr>
        <w:t>wa</w:t>
      </w:r>
      <w:r w:rsidRPr="003C219A">
        <w:rPr>
          <w:rFonts w:ascii="Book Antiqua" w:eastAsia="Book Antiqua" w:hAnsi="Book Antiqua" w:cs="Book Antiqua"/>
          <w:color w:val="000000"/>
        </w:rPr>
        <w:t>s the relatively small number of patients included. Additional research (preferably randomized trials or prospective collaborative studies) is required to improve the endoscopic investigation of gastric mucosa at a detailed microscopic level and to create the conditions for a better diagnosis and treatment of these diseases.</w:t>
      </w:r>
    </w:p>
    <w:p w14:paraId="01EE0969" w14:textId="77777777" w:rsidR="00A77B3E" w:rsidRPr="003C219A" w:rsidRDefault="00A77B3E" w:rsidP="003C219A">
      <w:pPr>
        <w:spacing w:line="360" w:lineRule="auto"/>
        <w:jc w:val="both"/>
        <w:rPr>
          <w:rFonts w:ascii="Book Antiqua" w:hAnsi="Book Antiqua"/>
        </w:rPr>
      </w:pPr>
    </w:p>
    <w:p w14:paraId="23EBACC1"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aps/>
          <w:color w:val="000000"/>
          <w:u w:val="single"/>
        </w:rPr>
        <w:t>CONCLUSION</w:t>
      </w:r>
    </w:p>
    <w:p w14:paraId="234F3704" w14:textId="3DB5CBFE"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NF-NBI was the most effective endoscopic mode for evaluating RAC, SECN</w:t>
      </w:r>
      <w:r w:rsidR="000C6C0B"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GP. AA-NF-NBI was the most effective endoscopic mode for analy</w:t>
      </w:r>
      <w:r w:rsidR="000C6C0B" w:rsidRPr="003C219A">
        <w:rPr>
          <w:rFonts w:ascii="Book Antiqua" w:eastAsia="Book Antiqua" w:hAnsi="Book Antiqua" w:cs="Book Antiqua"/>
          <w:color w:val="000000"/>
        </w:rPr>
        <w:t>z</w:t>
      </w:r>
      <w:r w:rsidRPr="003C219A">
        <w:rPr>
          <w:rFonts w:ascii="Book Antiqua" w:eastAsia="Book Antiqua" w:hAnsi="Book Antiqua" w:cs="Book Antiqua"/>
          <w:color w:val="000000"/>
        </w:rPr>
        <w:t>ing CO and IP. It provides a higher resolution for evaluating the relationship between the progress of gastric diseases and the existence of gastric venules, the regularity/irregularity of capillary network,</w:t>
      </w:r>
      <w:r w:rsidR="000C6C0B" w:rsidRPr="003C219A">
        <w:rPr>
          <w:rFonts w:ascii="Book Antiqua" w:eastAsia="Book Antiqua" w:hAnsi="Book Antiqua" w:cs="Book Antiqua"/>
          <w:color w:val="000000"/>
        </w:rPr>
        <w:t xml:space="preserve"> and</w:t>
      </w:r>
      <w:r w:rsidRPr="003C219A">
        <w:rPr>
          <w:rFonts w:ascii="Book Antiqua" w:eastAsia="Book Antiqua" w:hAnsi="Book Antiqua" w:cs="Book Antiqua"/>
          <w:color w:val="000000"/>
        </w:rPr>
        <w:t xml:space="preserve"> the shape and size of </w:t>
      </w:r>
      <w:r w:rsidR="00354993" w:rsidRPr="003C219A">
        <w:rPr>
          <w:rFonts w:ascii="Book Antiqua" w:eastAsia="Book Antiqua" w:hAnsi="Book Antiqua" w:cs="Book Antiqua"/>
          <w:color w:val="000000"/>
        </w:rPr>
        <w:t>GP</w:t>
      </w:r>
      <w:r w:rsidRPr="003C219A">
        <w:rPr>
          <w:rFonts w:ascii="Book Antiqua" w:eastAsia="Book Antiqua" w:hAnsi="Book Antiqua" w:cs="Book Antiqua"/>
          <w:color w:val="000000"/>
        </w:rPr>
        <w:t xml:space="preserve"> and recess</w:t>
      </w:r>
      <w:r w:rsidR="000C6C0B" w:rsidRPr="003C219A">
        <w:rPr>
          <w:rFonts w:ascii="Book Antiqua" w:eastAsia="Book Antiqua" w:hAnsi="Book Antiqua" w:cs="Book Antiqua"/>
          <w:color w:val="000000"/>
        </w:rPr>
        <w:t>es</w:t>
      </w:r>
      <w:r w:rsidRPr="003C219A">
        <w:rPr>
          <w:rFonts w:ascii="Book Antiqua" w:eastAsia="Book Antiqua" w:hAnsi="Book Antiqua" w:cs="Book Antiqua"/>
          <w:color w:val="000000"/>
        </w:rPr>
        <w:t>.</w:t>
      </w:r>
    </w:p>
    <w:p w14:paraId="30FE6933" w14:textId="77777777" w:rsidR="00A77B3E" w:rsidRPr="003C219A" w:rsidRDefault="00A77B3E" w:rsidP="003C219A">
      <w:pPr>
        <w:spacing w:line="360" w:lineRule="auto"/>
        <w:jc w:val="both"/>
        <w:rPr>
          <w:rFonts w:ascii="Book Antiqua" w:hAnsi="Book Antiqua"/>
        </w:rPr>
      </w:pPr>
    </w:p>
    <w:p w14:paraId="2B168DB7"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aps/>
          <w:color w:val="000000"/>
          <w:u w:val="single"/>
        </w:rPr>
        <w:t>ARTICLE HIGHLIGHTS</w:t>
      </w:r>
    </w:p>
    <w:p w14:paraId="1B476433"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i/>
          <w:color w:val="000000"/>
        </w:rPr>
        <w:t>Research background</w:t>
      </w:r>
    </w:p>
    <w:p w14:paraId="1CDBAD48" w14:textId="2C4EDF0B"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lastRenderedPageBreak/>
        <w:t>Narrow-band imaging (NBI)</w:t>
      </w:r>
      <w:r w:rsidR="00F72C92" w:rsidRPr="003C219A">
        <w:rPr>
          <w:rFonts w:ascii="Book Antiqua" w:eastAsia="Book Antiqua" w:hAnsi="Book Antiqua" w:cs="Book Antiqua"/>
          <w:color w:val="000000"/>
        </w:rPr>
        <w:t xml:space="preserve"> </w:t>
      </w:r>
      <w:r w:rsidRPr="003C219A">
        <w:rPr>
          <w:rFonts w:ascii="Book Antiqua" w:eastAsia="Book Antiqua" w:hAnsi="Book Antiqua" w:cs="Book Antiqua"/>
          <w:color w:val="000000"/>
        </w:rPr>
        <w:t>is too dark to identify the color and structural microanatomy of stomach mucosa due to large lumen</w:t>
      </w:r>
      <w:r w:rsidR="00DE4D1E" w:rsidRPr="003C219A">
        <w:rPr>
          <w:rFonts w:ascii="Book Antiqua" w:eastAsia="Book Antiqua" w:hAnsi="Book Antiqua" w:cs="Book Antiqua"/>
          <w:color w:val="000000"/>
        </w:rPr>
        <w:t>. T</w:t>
      </w:r>
      <w:r w:rsidRPr="003C219A">
        <w:rPr>
          <w:rFonts w:ascii="Book Antiqua" w:eastAsia="Book Antiqua" w:hAnsi="Book Antiqua" w:cs="Book Antiqua"/>
          <w:color w:val="000000"/>
        </w:rPr>
        <w:t>herefore, these should be combined with magnification.</w:t>
      </w:r>
    </w:p>
    <w:p w14:paraId="329351D6" w14:textId="77777777" w:rsidR="00A77B3E" w:rsidRPr="003C219A" w:rsidRDefault="00A77B3E" w:rsidP="003C219A">
      <w:pPr>
        <w:spacing w:line="360" w:lineRule="auto"/>
        <w:jc w:val="both"/>
        <w:rPr>
          <w:rFonts w:ascii="Book Antiqua" w:hAnsi="Book Antiqua"/>
        </w:rPr>
      </w:pPr>
    </w:p>
    <w:p w14:paraId="58B75ECD"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i/>
          <w:color w:val="000000"/>
        </w:rPr>
        <w:t>Research motivation</w:t>
      </w:r>
    </w:p>
    <w:p w14:paraId="0DBCB312" w14:textId="264BFD82"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Conventional magnification endoscopy using a soft rubber at the top of the scope</w:t>
      </w:r>
      <w:r w:rsidR="00DE4D1E" w:rsidRPr="003C219A">
        <w:rPr>
          <w:rFonts w:ascii="Book Antiqua" w:eastAsia="Book Antiqua" w:hAnsi="Book Antiqua" w:cs="Book Antiqua"/>
          <w:color w:val="000000"/>
        </w:rPr>
        <w:t xml:space="preserve">, which requires </w:t>
      </w:r>
      <w:r w:rsidRPr="003C219A">
        <w:rPr>
          <w:rFonts w:ascii="Book Antiqua" w:eastAsia="Book Antiqua" w:hAnsi="Book Antiqua" w:cs="Book Antiqua"/>
          <w:color w:val="000000"/>
        </w:rPr>
        <w:t>demanding manipulation</w:t>
      </w:r>
      <w:r w:rsidR="00DE4D1E" w:rsidRPr="003C219A">
        <w:rPr>
          <w:rFonts w:ascii="Book Antiqua" w:eastAsia="Book Antiqua" w:hAnsi="Book Antiqua" w:cs="Book Antiqua"/>
          <w:color w:val="000000"/>
        </w:rPr>
        <w:t xml:space="preserve">, could </w:t>
      </w:r>
      <w:r w:rsidRPr="003C219A">
        <w:rPr>
          <w:rFonts w:ascii="Book Antiqua" w:eastAsia="Book Antiqua" w:hAnsi="Book Antiqua" w:cs="Book Antiqua"/>
          <w:color w:val="000000"/>
        </w:rPr>
        <w:t xml:space="preserve">be replaced with </w:t>
      </w:r>
      <w:r w:rsidR="00DE4D1E" w:rsidRPr="003C219A">
        <w:rPr>
          <w:rFonts w:ascii="Book Antiqua" w:eastAsia="Book Antiqua" w:hAnsi="Book Antiqua" w:cs="Book Antiqua"/>
          <w:color w:val="000000"/>
        </w:rPr>
        <w:t>a</w:t>
      </w:r>
      <w:r w:rsidRPr="003C219A">
        <w:rPr>
          <w:rFonts w:ascii="Book Antiqua" w:eastAsia="Book Antiqua" w:hAnsi="Book Antiqua" w:cs="Book Antiqua"/>
          <w:color w:val="000000"/>
        </w:rPr>
        <w:t xml:space="preserve"> simple, more pragmatic, and novel endoscopic magnification</w:t>
      </w:r>
      <w:r w:rsidR="00DE4D1E" w:rsidRPr="003C219A">
        <w:rPr>
          <w:rFonts w:ascii="Book Antiqua" w:eastAsia="Book Antiqua" w:hAnsi="Book Antiqua" w:cs="Book Antiqua"/>
          <w:color w:val="000000"/>
        </w:rPr>
        <w:t xml:space="preserve"> technique</w:t>
      </w:r>
      <w:r w:rsidRPr="003C219A">
        <w:rPr>
          <w:rFonts w:ascii="Book Antiqua" w:eastAsia="Book Antiqua" w:hAnsi="Book Antiqua" w:cs="Book Antiqua"/>
          <w:color w:val="000000"/>
        </w:rPr>
        <w:t>.</w:t>
      </w:r>
    </w:p>
    <w:p w14:paraId="1B2E6FCA" w14:textId="77777777" w:rsidR="00A77B3E" w:rsidRPr="003C219A" w:rsidRDefault="00A77B3E" w:rsidP="003C219A">
      <w:pPr>
        <w:spacing w:line="360" w:lineRule="auto"/>
        <w:jc w:val="both"/>
        <w:rPr>
          <w:rFonts w:ascii="Book Antiqua" w:hAnsi="Book Antiqua"/>
        </w:rPr>
      </w:pPr>
    </w:p>
    <w:p w14:paraId="5F835F57"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i/>
          <w:color w:val="000000"/>
        </w:rPr>
        <w:t>Research objectives</w:t>
      </w:r>
    </w:p>
    <w:p w14:paraId="4DED66F8" w14:textId="2C4458DF"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We evaluate</w:t>
      </w:r>
      <w:r w:rsidR="00DE4D1E" w:rsidRPr="003C219A">
        <w:rPr>
          <w:rFonts w:ascii="Book Antiqua" w:eastAsia="Book Antiqua" w:hAnsi="Book Antiqua" w:cs="Book Antiqua"/>
          <w:color w:val="000000"/>
        </w:rPr>
        <w:t>d</w:t>
      </w:r>
      <w:r w:rsidRPr="003C219A">
        <w:rPr>
          <w:rFonts w:ascii="Book Antiqua" w:eastAsia="Book Antiqua" w:hAnsi="Book Antiqua" w:cs="Book Antiqua"/>
          <w:color w:val="000000"/>
        </w:rPr>
        <w:t xml:space="preserve"> the possibilit</w:t>
      </w:r>
      <w:r w:rsidR="00DE4D1E" w:rsidRPr="003C219A">
        <w:rPr>
          <w:rFonts w:ascii="Book Antiqua" w:eastAsia="Book Antiqua" w:hAnsi="Book Antiqua" w:cs="Book Antiqua"/>
          <w:color w:val="000000"/>
        </w:rPr>
        <w:t>y</w:t>
      </w:r>
      <w:r w:rsidRPr="003C219A">
        <w:rPr>
          <w:rFonts w:ascii="Book Antiqua" w:eastAsia="Book Antiqua" w:hAnsi="Book Antiqua" w:cs="Book Antiqua"/>
          <w:color w:val="000000"/>
        </w:rPr>
        <w:t xml:space="preserve"> of a near focus (NF) magnification, NBI mode with acetic acid (AA), in the assessment of venules, capillary network, pits</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crypts in the gastric body mucosa.</w:t>
      </w:r>
    </w:p>
    <w:p w14:paraId="2794142F" w14:textId="77777777" w:rsidR="00A77B3E" w:rsidRPr="003C219A" w:rsidRDefault="00A77B3E" w:rsidP="003C219A">
      <w:pPr>
        <w:spacing w:line="360" w:lineRule="auto"/>
        <w:jc w:val="both"/>
        <w:rPr>
          <w:rFonts w:ascii="Book Antiqua" w:hAnsi="Book Antiqua"/>
        </w:rPr>
      </w:pPr>
    </w:p>
    <w:p w14:paraId="76D70B9D"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i/>
          <w:color w:val="000000"/>
        </w:rPr>
        <w:t>Research methods</w:t>
      </w:r>
    </w:p>
    <w:p w14:paraId="32E57D3F" w14:textId="1653A131"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The endoscopic video information system, EVIS EXERA III CLV-190, was used with an Olympus high-resolution endoscope, GIF-190HQ series NBI system, with dual focus capability for the investigation of the gastric mucosa. At the time of the endoscopy, the gastric body mucosa of all enrolled patients was photographed using the white light endoscopy (WLE), NF, NF-NBI, AA-NF</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AA-NF-NBI modes.</w:t>
      </w:r>
    </w:p>
    <w:p w14:paraId="2902B36E" w14:textId="77777777" w:rsidR="00A77B3E" w:rsidRPr="003C219A" w:rsidRDefault="00A77B3E" w:rsidP="003C219A">
      <w:pPr>
        <w:spacing w:line="360" w:lineRule="auto"/>
        <w:jc w:val="both"/>
        <w:rPr>
          <w:rFonts w:ascii="Book Antiqua" w:hAnsi="Book Antiqua"/>
        </w:rPr>
      </w:pPr>
    </w:p>
    <w:p w14:paraId="67AA38C2"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i/>
          <w:color w:val="000000"/>
        </w:rPr>
        <w:t>Research results</w:t>
      </w:r>
    </w:p>
    <w:p w14:paraId="0850545B" w14:textId="37E346CC"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From 68 patients, 204 images were classified in the same order into three groups (WLE, NF</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NF-NBI). They were observed separately and scored by two experienced endoscopists and one inexperienced endoscopist. According to all three observers independently, NF magnification was significantly superior to WLE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 and the NF-NBI mode was significantly superior to NF magnification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 Interobserver kappa values for WLE were 0.609, 0.704</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0.598, respectively, and in the case of NF magnification, they were 0.600, 0.721</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0.637, respectively. For the NF-NBI mode, the values were 0.378, 0.471</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0.553, respectively. AA-NF-NBI was significantly superior </w:t>
      </w:r>
      <w:r w:rsidRPr="003C219A">
        <w:rPr>
          <w:rFonts w:ascii="Book Antiqua" w:eastAsia="Book Antiqua" w:hAnsi="Book Antiqua" w:cs="Book Antiqua"/>
          <w:color w:val="000000"/>
        </w:rPr>
        <w:lastRenderedPageBreak/>
        <w:t>to AA-NF (</w:t>
      </w:r>
      <w:r w:rsidR="00354993" w:rsidRPr="003C219A">
        <w:rPr>
          <w:rFonts w:ascii="Book Antiqua" w:eastAsia="Book Antiqua" w:hAnsi="Book Antiqua" w:cs="Book Antiqua"/>
          <w:i/>
          <w:iCs/>
          <w:color w:val="000000"/>
        </w:rPr>
        <w:t>P</w:t>
      </w:r>
      <w:r w:rsidR="00354993" w:rsidRPr="003C219A">
        <w:rPr>
          <w:rFonts w:ascii="Book Antiqua" w:eastAsia="Book Antiqua" w:hAnsi="Book Antiqua" w:cs="Book Antiqua"/>
          <w:color w:val="000000"/>
        </w:rPr>
        <w:t xml:space="preserve"> &lt; </w:t>
      </w:r>
      <w:r w:rsidRPr="003C219A">
        <w:rPr>
          <w:rFonts w:ascii="Book Antiqua" w:eastAsia="Book Antiqua" w:hAnsi="Book Antiqua" w:cs="Book Antiqua"/>
          <w:color w:val="000000"/>
        </w:rPr>
        <w:t>0.01)</w:t>
      </w:r>
      <w:r w:rsidR="00DE4D1E" w:rsidRPr="003C219A">
        <w:rPr>
          <w:rFonts w:ascii="Book Antiqua" w:eastAsia="Book Antiqua" w:hAnsi="Book Antiqua" w:cs="Book Antiqua"/>
          <w:color w:val="000000"/>
        </w:rPr>
        <w:t xml:space="preserve"> by all three observers independently</w:t>
      </w:r>
      <w:r w:rsidRPr="003C219A">
        <w:rPr>
          <w:rFonts w:ascii="Book Antiqua" w:eastAsia="Book Antiqua" w:hAnsi="Book Antiqua" w:cs="Book Antiqua"/>
          <w:color w:val="000000"/>
        </w:rPr>
        <w:t>. Interobserver kappa values for the AA-NF were 0.453, 0.603</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0.480, respectively</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for AA-NF-NBI, they were 0.643, 0.506</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0.354, respectively.</w:t>
      </w:r>
    </w:p>
    <w:p w14:paraId="0CC0CD6D" w14:textId="77777777" w:rsidR="00A77B3E" w:rsidRPr="003C219A" w:rsidRDefault="00A77B3E" w:rsidP="003C219A">
      <w:pPr>
        <w:spacing w:line="360" w:lineRule="auto"/>
        <w:jc w:val="both"/>
        <w:rPr>
          <w:rFonts w:ascii="Book Antiqua" w:hAnsi="Book Antiqua"/>
        </w:rPr>
      </w:pPr>
    </w:p>
    <w:p w14:paraId="5B958212"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i/>
          <w:color w:val="000000"/>
        </w:rPr>
        <w:t>Research conclusions</w:t>
      </w:r>
    </w:p>
    <w:p w14:paraId="11ABE494" w14:textId="4D012894"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 xml:space="preserve">Among the five endoscopic modalities </w:t>
      </w:r>
      <w:r w:rsidR="00DE4D1E" w:rsidRPr="003C219A">
        <w:rPr>
          <w:rFonts w:ascii="Book Antiqua" w:eastAsia="Book Antiqua" w:hAnsi="Book Antiqua" w:cs="Book Antiqua"/>
          <w:color w:val="000000"/>
        </w:rPr>
        <w:t xml:space="preserve">investigated </w:t>
      </w:r>
      <w:r w:rsidRPr="003C219A">
        <w:rPr>
          <w:rFonts w:ascii="Book Antiqua" w:eastAsia="Book Antiqua" w:hAnsi="Book Antiqua" w:cs="Book Antiqua"/>
          <w:color w:val="000000"/>
        </w:rPr>
        <w:t>in this study, NF-NBI was the most powerful endoscopic mode for assessing venules, capillary network, and gastric pits. AA-NF-NBI was the most powerful endoscopic mode for analyzing crypts and space between crypts.</w:t>
      </w:r>
    </w:p>
    <w:p w14:paraId="0A6CB4CC" w14:textId="77777777" w:rsidR="00A77B3E" w:rsidRPr="003C219A" w:rsidRDefault="00A77B3E" w:rsidP="003C219A">
      <w:pPr>
        <w:spacing w:line="360" w:lineRule="auto"/>
        <w:jc w:val="both"/>
        <w:rPr>
          <w:rFonts w:ascii="Book Antiqua" w:hAnsi="Book Antiqua"/>
        </w:rPr>
      </w:pPr>
    </w:p>
    <w:p w14:paraId="07609DFA"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i/>
          <w:color w:val="000000"/>
        </w:rPr>
        <w:t>Research perspectives</w:t>
      </w:r>
    </w:p>
    <w:p w14:paraId="20992536" w14:textId="7D31400E"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 xml:space="preserve">The forthcoming studies </w:t>
      </w:r>
      <w:r w:rsidR="00DE4D1E" w:rsidRPr="003C219A">
        <w:rPr>
          <w:rFonts w:ascii="Book Antiqua" w:eastAsia="Book Antiqua" w:hAnsi="Book Antiqua" w:cs="Book Antiqua"/>
          <w:color w:val="000000"/>
        </w:rPr>
        <w:t>of</w:t>
      </w:r>
      <w:r w:rsidRPr="003C219A">
        <w:rPr>
          <w:rFonts w:ascii="Book Antiqua" w:eastAsia="Book Antiqua" w:hAnsi="Book Antiqua" w:cs="Book Antiqua"/>
          <w:color w:val="000000"/>
        </w:rPr>
        <w:t xml:space="preserve"> NF-NBI and AA-NF-NBI endoscopic modalities aim to evaluate the presence/absence of venules, the regularity/irregularity of capillary network</w:t>
      </w:r>
      <w:r w:rsidR="00DE4D1E" w:rsidRPr="003C219A">
        <w:rPr>
          <w:rFonts w:ascii="Book Antiqua" w:eastAsia="Book Antiqua" w:hAnsi="Book Antiqua" w:cs="Book Antiqua"/>
          <w:color w:val="000000"/>
        </w:rPr>
        <w:t>,</w:t>
      </w:r>
      <w:r w:rsidRPr="003C219A">
        <w:rPr>
          <w:rFonts w:ascii="Book Antiqua" w:eastAsia="Book Antiqua" w:hAnsi="Book Antiqua" w:cs="Book Antiqua"/>
          <w:color w:val="000000"/>
        </w:rPr>
        <w:t xml:space="preserve"> and the shape and size of the</w:t>
      </w:r>
      <w:r w:rsidR="00DE4D1E" w:rsidRPr="003C219A">
        <w:rPr>
          <w:rFonts w:ascii="Book Antiqua" w:eastAsia="Book Antiqua" w:hAnsi="Book Antiqua" w:cs="Book Antiqua"/>
          <w:color w:val="000000"/>
        </w:rPr>
        <w:t xml:space="preserve"> gastric pits</w:t>
      </w:r>
      <w:r w:rsidRPr="003C219A">
        <w:rPr>
          <w:rFonts w:ascii="Book Antiqua" w:eastAsia="Book Antiqua" w:hAnsi="Book Antiqua" w:cs="Book Antiqua"/>
          <w:color w:val="000000"/>
        </w:rPr>
        <w:t xml:space="preserve"> and crypts in relation to </w:t>
      </w:r>
      <w:r w:rsidRPr="003C219A">
        <w:rPr>
          <w:rFonts w:ascii="Book Antiqua" w:eastAsia="Book Antiqua" w:hAnsi="Book Antiqua" w:cs="Book Antiqua"/>
          <w:i/>
          <w:iCs/>
          <w:color w:val="000000"/>
        </w:rPr>
        <w:t>Helicobacter pylori</w:t>
      </w:r>
      <w:r w:rsidRPr="003C219A">
        <w:rPr>
          <w:rFonts w:ascii="Book Antiqua" w:eastAsia="Book Antiqua" w:hAnsi="Book Antiqua" w:cs="Book Antiqua"/>
          <w:color w:val="000000"/>
        </w:rPr>
        <w:t xml:space="preserve"> infection, intestinal metaplasia, and atrophic gastritis, </w:t>
      </w:r>
      <w:r w:rsidRPr="003C219A">
        <w:rPr>
          <w:rFonts w:ascii="Book Antiqua" w:eastAsia="Book Antiqua" w:hAnsi="Book Antiqua" w:cs="Book Antiqua"/>
          <w:i/>
          <w:iCs/>
          <w:color w:val="000000"/>
        </w:rPr>
        <w:t>etc.</w:t>
      </w:r>
    </w:p>
    <w:p w14:paraId="2E355499" w14:textId="77777777" w:rsidR="00A77B3E" w:rsidRPr="003C219A" w:rsidRDefault="00A77B3E" w:rsidP="003C219A">
      <w:pPr>
        <w:spacing w:line="360" w:lineRule="auto"/>
        <w:jc w:val="both"/>
        <w:rPr>
          <w:rFonts w:ascii="Book Antiqua" w:hAnsi="Book Antiqua"/>
          <w:lang w:eastAsia="zh-CN"/>
        </w:rPr>
      </w:pPr>
    </w:p>
    <w:p w14:paraId="4EFB2C1A"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aps/>
          <w:color w:val="000000"/>
          <w:u w:val="single"/>
        </w:rPr>
        <w:t>ACKNOWLEDGEMENTS</w:t>
      </w:r>
    </w:p>
    <w:p w14:paraId="14D7B5F8"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color w:val="000000"/>
        </w:rPr>
        <w:t>The authors would like to thank the staff of the Endoscopic Unit, Department of Gastroenterology and Hepatology, Blue Medical Group for the technical support.</w:t>
      </w:r>
    </w:p>
    <w:p w14:paraId="326C9A60" w14:textId="77777777" w:rsidR="00A77B3E" w:rsidRPr="003C219A" w:rsidRDefault="00A77B3E" w:rsidP="003C219A">
      <w:pPr>
        <w:spacing w:line="360" w:lineRule="auto"/>
        <w:jc w:val="both"/>
        <w:rPr>
          <w:rFonts w:ascii="Book Antiqua" w:hAnsi="Book Antiqua"/>
        </w:rPr>
      </w:pPr>
    </w:p>
    <w:p w14:paraId="0B6B1FF5"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t>REFERENCES</w:t>
      </w:r>
    </w:p>
    <w:p w14:paraId="2AE65D5F" w14:textId="77777777" w:rsidR="00F72C92" w:rsidRPr="003C219A" w:rsidRDefault="00F72C92" w:rsidP="003C219A">
      <w:pPr>
        <w:spacing w:line="360" w:lineRule="auto"/>
        <w:jc w:val="both"/>
        <w:rPr>
          <w:rFonts w:ascii="Book Antiqua" w:hAnsi="Book Antiqua"/>
        </w:rPr>
      </w:pPr>
      <w:bookmarkStart w:id="828" w:name="OLE_LINK1987"/>
      <w:bookmarkStart w:id="829" w:name="OLE_LINK1988"/>
      <w:r w:rsidRPr="003C219A">
        <w:rPr>
          <w:rFonts w:ascii="Book Antiqua" w:hAnsi="Book Antiqua"/>
        </w:rPr>
        <w:t xml:space="preserve">1 </w:t>
      </w:r>
      <w:r w:rsidRPr="003C219A">
        <w:rPr>
          <w:rFonts w:ascii="Book Antiqua" w:hAnsi="Book Antiqua"/>
          <w:b/>
          <w:bCs/>
        </w:rPr>
        <w:t>Kim JW</w:t>
      </w:r>
      <w:r w:rsidRPr="003C219A">
        <w:rPr>
          <w:rFonts w:ascii="Book Antiqua" w:hAnsi="Book Antiqua"/>
        </w:rPr>
        <w:t xml:space="preserve">. Usefulness of Narrow-Band Imaging in Endoscopic Submucosal Dissection of the Stomach. </w:t>
      </w:r>
      <w:r w:rsidRPr="003C219A">
        <w:rPr>
          <w:rFonts w:ascii="Book Antiqua" w:hAnsi="Book Antiqua"/>
          <w:i/>
          <w:iCs/>
        </w:rPr>
        <w:t xml:space="preserve">Clin </w:t>
      </w:r>
      <w:proofErr w:type="spellStart"/>
      <w:r w:rsidRPr="003C219A">
        <w:rPr>
          <w:rFonts w:ascii="Book Antiqua" w:hAnsi="Book Antiqua"/>
          <w:i/>
          <w:iCs/>
        </w:rPr>
        <w:t>Endosc</w:t>
      </w:r>
      <w:proofErr w:type="spellEnd"/>
      <w:r w:rsidRPr="003C219A">
        <w:rPr>
          <w:rFonts w:ascii="Book Antiqua" w:hAnsi="Book Antiqua"/>
        </w:rPr>
        <w:t xml:space="preserve"> 2018; </w:t>
      </w:r>
      <w:r w:rsidRPr="003C219A">
        <w:rPr>
          <w:rFonts w:ascii="Book Antiqua" w:hAnsi="Book Antiqua"/>
          <w:b/>
          <w:bCs/>
        </w:rPr>
        <w:t>51</w:t>
      </w:r>
      <w:r w:rsidRPr="003C219A">
        <w:rPr>
          <w:rFonts w:ascii="Book Antiqua" w:hAnsi="Book Antiqua"/>
        </w:rPr>
        <w:t>: 527-533 [PMID: 30453446 DOI: 10.5946/ce.2018.186]</w:t>
      </w:r>
    </w:p>
    <w:p w14:paraId="6298C08E"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2 </w:t>
      </w:r>
      <w:r w:rsidRPr="003C219A">
        <w:rPr>
          <w:rFonts w:ascii="Book Antiqua" w:hAnsi="Book Antiqua"/>
          <w:b/>
          <w:bCs/>
        </w:rPr>
        <w:t>Yao K</w:t>
      </w:r>
      <w:r w:rsidRPr="003C219A">
        <w:rPr>
          <w:rFonts w:ascii="Book Antiqua" w:hAnsi="Book Antiqua"/>
        </w:rPr>
        <w:t xml:space="preserve">. Clinical Application of Magnifying Endoscopy with Narrow-Band Imaging in the Stomach. </w:t>
      </w:r>
      <w:r w:rsidRPr="003C219A">
        <w:rPr>
          <w:rFonts w:ascii="Book Antiqua" w:hAnsi="Book Antiqua"/>
          <w:i/>
          <w:iCs/>
        </w:rPr>
        <w:t xml:space="preserve">Clin </w:t>
      </w:r>
      <w:proofErr w:type="spellStart"/>
      <w:r w:rsidRPr="003C219A">
        <w:rPr>
          <w:rFonts w:ascii="Book Antiqua" w:hAnsi="Book Antiqua"/>
          <w:i/>
          <w:iCs/>
        </w:rPr>
        <w:t>Endosc</w:t>
      </w:r>
      <w:proofErr w:type="spellEnd"/>
      <w:r w:rsidRPr="003C219A">
        <w:rPr>
          <w:rFonts w:ascii="Book Antiqua" w:hAnsi="Book Antiqua"/>
        </w:rPr>
        <w:t xml:space="preserve"> 2015; </w:t>
      </w:r>
      <w:r w:rsidRPr="003C219A">
        <w:rPr>
          <w:rFonts w:ascii="Book Antiqua" w:hAnsi="Book Antiqua"/>
          <w:b/>
          <w:bCs/>
        </w:rPr>
        <w:t>48</w:t>
      </w:r>
      <w:r w:rsidRPr="003C219A">
        <w:rPr>
          <w:rFonts w:ascii="Book Antiqua" w:hAnsi="Book Antiqua"/>
        </w:rPr>
        <w:t>: 481-490 [PMID: 26668793 DOI: 10.5946/ce.2015.48.6.481]</w:t>
      </w:r>
    </w:p>
    <w:p w14:paraId="191FE686"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3 </w:t>
      </w:r>
      <w:r w:rsidRPr="003C219A">
        <w:rPr>
          <w:rFonts w:ascii="Book Antiqua" w:hAnsi="Book Antiqua"/>
          <w:b/>
          <w:bCs/>
        </w:rPr>
        <w:t>Li HY</w:t>
      </w:r>
      <w:r w:rsidRPr="003C219A">
        <w:rPr>
          <w:rFonts w:ascii="Book Antiqua" w:hAnsi="Book Antiqua"/>
        </w:rPr>
        <w:t xml:space="preserve">, Ge ZZ, </w:t>
      </w:r>
      <w:proofErr w:type="spellStart"/>
      <w:r w:rsidRPr="003C219A">
        <w:rPr>
          <w:rFonts w:ascii="Book Antiqua" w:hAnsi="Book Antiqua"/>
        </w:rPr>
        <w:t>Fujishiro</w:t>
      </w:r>
      <w:proofErr w:type="spellEnd"/>
      <w:r w:rsidRPr="003C219A">
        <w:rPr>
          <w:rFonts w:ascii="Book Antiqua" w:hAnsi="Book Antiqua"/>
        </w:rPr>
        <w:t xml:space="preserve"> M, Li XB. Current clinical applications of magnifying endoscopy with narrow band imaging in the stomach. </w:t>
      </w:r>
      <w:proofErr w:type="spellStart"/>
      <w:r w:rsidRPr="003C219A">
        <w:rPr>
          <w:rFonts w:ascii="Book Antiqua" w:hAnsi="Book Antiqua"/>
          <w:i/>
          <w:iCs/>
        </w:rPr>
        <w:t>Diagn</w:t>
      </w:r>
      <w:proofErr w:type="spellEnd"/>
      <w:r w:rsidRPr="003C219A">
        <w:rPr>
          <w:rFonts w:ascii="Book Antiqua" w:hAnsi="Book Antiqua"/>
          <w:i/>
          <w:iCs/>
        </w:rPr>
        <w:t xml:space="preserve"> </w:t>
      </w:r>
      <w:proofErr w:type="spellStart"/>
      <w:r w:rsidRPr="003C219A">
        <w:rPr>
          <w:rFonts w:ascii="Book Antiqua" w:hAnsi="Book Antiqua"/>
          <w:i/>
          <w:iCs/>
        </w:rPr>
        <w:t>Ther</w:t>
      </w:r>
      <w:proofErr w:type="spellEnd"/>
      <w:r w:rsidRPr="003C219A">
        <w:rPr>
          <w:rFonts w:ascii="Book Antiqua" w:hAnsi="Book Antiqua"/>
          <w:i/>
          <w:iCs/>
        </w:rPr>
        <w:t xml:space="preserve"> </w:t>
      </w:r>
      <w:proofErr w:type="spellStart"/>
      <w:r w:rsidRPr="003C219A">
        <w:rPr>
          <w:rFonts w:ascii="Book Antiqua" w:hAnsi="Book Antiqua"/>
          <w:i/>
          <w:iCs/>
        </w:rPr>
        <w:t>Endosc</w:t>
      </w:r>
      <w:proofErr w:type="spellEnd"/>
      <w:r w:rsidRPr="003C219A">
        <w:rPr>
          <w:rFonts w:ascii="Book Antiqua" w:hAnsi="Book Antiqua"/>
        </w:rPr>
        <w:t xml:space="preserve"> 2012; </w:t>
      </w:r>
      <w:r w:rsidRPr="003C219A">
        <w:rPr>
          <w:rFonts w:ascii="Book Antiqua" w:hAnsi="Book Antiqua"/>
          <w:b/>
          <w:bCs/>
        </w:rPr>
        <w:t>2012</w:t>
      </w:r>
      <w:r w:rsidRPr="003C219A">
        <w:rPr>
          <w:rFonts w:ascii="Book Antiqua" w:hAnsi="Book Antiqua"/>
        </w:rPr>
        <w:t>: 271914 [PMID: 23024577 DOI: 10.1155/2012/271914]</w:t>
      </w:r>
    </w:p>
    <w:p w14:paraId="77DB5B79" w14:textId="77777777" w:rsidR="00F72C92" w:rsidRPr="003C219A" w:rsidRDefault="00F72C92" w:rsidP="003C219A">
      <w:pPr>
        <w:spacing w:line="360" w:lineRule="auto"/>
        <w:jc w:val="both"/>
        <w:rPr>
          <w:rFonts w:ascii="Book Antiqua" w:hAnsi="Book Antiqua"/>
        </w:rPr>
      </w:pPr>
      <w:r w:rsidRPr="003C219A">
        <w:rPr>
          <w:rFonts w:ascii="Book Antiqua" w:hAnsi="Book Antiqua"/>
        </w:rPr>
        <w:lastRenderedPageBreak/>
        <w:t xml:space="preserve">4 </w:t>
      </w:r>
      <w:r w:rsidRPr="003C219A">
        <w:rPr>
          <w:rFonts w:ascii="Book Antiqua" w:hAnsi="Book Antiqua"/>
          <w:b/>
          <w:bCs/>
        </w:rPr>
        <w:t>Qi Q</w:t>
      </w:r>
      <w:r w:rsidRPr="003C219A">
        <w:rPr>
          <w:rFonts w:ascii="Book Antiqua" w:hAnsi="Book Antiqua"/>
        </w:rPr>
        <w:t xml:space="preserve">, Guo C, Ji R, Li Z, Zuo X, Li Y. Diagnostic Performance of Magnifying Endoscopy for Helicobacter pylori Infection: A Meta-Analysis. </w:t>
      </w:r>
      <w:proofErr w:type="spellStart"/>
      <w:r w:rsidRPr="003C219A">
        <w:rPr>
          <w:rFonts w:ascii="Book Antiqua" w:hAnsi="Book Antiqua"/>
          <w:i/>
          <w:iCs/>
        </w:rPr>
        <w:t>PLoS</w:t>
      </w:r>
      <w:proofErr w:type="spellEnd"/>
      <w:r w:rsidRPr="003C219A">
        <w:rPr>
          <w:rFonts w:ascii="Book Antiqua" w:hAnsi="Book Antiqua"/>
          <w:i/>
          <w:iCs/>
        </w:rPr>
        <w:t xml:space="preserve"> One</w:t>
      </w:r>
      <w:r w:rsidRPr="003C219A">
        <w:rPr>
          <w:rFonts w:ascii="Book Antiqua" w:hAnsi="Book Antiqua"/>
        </w:rPr>
        <w:t xml:space="preserve"> 2016; </w:t>
      </w:r>
      <w:r w:rsidRPr="003C219A">
        <w:rPr>
          <w:rFonts w:ascii="Book Antiqua" w:hAnsi="Book Antiqua"/>
          <w:b/>
          <w:bCs/>
        </w:rPr>
        <w:t>11</w:t>
      </w:r>
      <w:r w:rsidRPr="003C219A">
        <w:rPr>
          <w:rFonts w:ascii="Book Antiqua" w:hAnsi="Book Antiqua"/>
        </w:rPr>
        <w:t>: e0168201 [PMID: 27992489 DOI: 10.1371/journal.pone.0168201]</w:t>
      </w:r>
    </w:p>
    <w:p w14:paraId="35512506"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5 </w:t>
      </w:r>
      <w:r w:rsidRPr="003C219A">
        <w:rPr>
          <w:rFonts w:ascii="Book Antiqua" w:hAnsi="Book Antiqua"/>
          <w:b/>
          <w:bCs/>
        </w:rPr>
        <w:t>Glover B</w:t>
      </w:r>
      <w:r w:rsidRPr="003C219A">
        <w:rPr>
          <w:rFonts w:ascii="Book Antiqua" w:hAnsi="Book Antiqua"/>
        </w:rPr>
        <w:t xml:space="preserve">, Teare J, Patel N. A systematic review of the role of non-magnified endoscopy for the assessment of H. pylori infection. </w:t>
      </w:r>
      <w:proofErr w:type="spellStart"/>
      <w:r w:rsidRPr="003C219A">
        <w:rPr>
          <w:rFonts w:ascii="Book Antiqua" w:hAnsi="Book Antiqua"/>
          <w:i/>
          <w:iCs/>
        </w:rPr>
        <w:t>Endosc</w:t>
      </w:r>
      <w:proofErr w:type="spellEnd"/>
      <w:r w:rsidRPr="003C219A">
        <w:rPr>
          <w:rFonts w:ascii="Book Antiqua" w:hAnsi="Book Antiqua"/>
          <w:i/>
          <w:iCs/>
        </w:rPr>
        <w:t xml:space="preserve"> Int Open</w:t>
      </w:r>
      <w:r w:rsidRPr="003C219A">
        <w:rPr>
          <w:rFonts w:ascii="Book Antiqua" w:hAnsi="Book Antiqua"/>
        </w:rPr>
        <w:t xml:space="preserve"> 2020; </w:t>
      </w:r>
      <w:r w:rsidRPr="003C219A">
        <w:rPr>
          <w:rFonts w:ascii="Book Antiqua" w:hAnsi="Book Antiqua"/>
          <w:b/>
          <w:bCs/>
        </w:rPr>
        <w:t>8</w:t>
      </w:r>
      <w:r w:rsidRPr="003C219A">
        <w:rPr>
          <w:rFonts w:ascii="Book Antiqua" w:hAnsi="Book Antiqua"/>
        </w:rPr>
        <w:t>: E105-E114 [PMID: 32010741 DOI: 10.1055/a-0999-5252]</w:t>
      </w:r>
    </w:p>
    <w:p w14:paraId="05061899"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6 </w:t>
      </w:r>
      <w:r w:rsidRPr="003C219A">
        <w:rPr>
          <w:rFonts w:ascii="Book Antiqua" w:hAnsi="Book Antiqua"/>
          <w:b/>
          <w:bCs/>
        </w:rPr>
        <w:t>Ji R</w:t>
      </w:r>
      <w:r w:rsidRPr="003C219A">
        <w:rPr>
          <w:rFonts w:ascii="Book Antiqua" w:hAnsi="Book Antiqua"/>
        </w:rPr>
        <w:t xml:space="preserve">, Li YQ. Diagnosing Helicobacter pylori infection in vivo by novel endoscopic techniques. </w:t>
      </w:r>
      <w:r w:rsidRPr="003C219A">
        <w:rPr>
          <w:rFonts w:ascii="Book Antiqua" w:hAnsi="Book Antiqua"/>
          <w:i/>
          <w:iCs/>
        </w:rPr>
        <w:t>World J Gastroenterol</w:t>
      </w:r>
      <w:r w:rsidRPr="003C219A">
        <w:rPr>
          <w:rFonts w:ascii="Book Antiqua" w:hAnsi="Book Antiqua"/>
        </w:rPr>
        <w:t xml:space="preserve"> 2014; </w:t>
      </w:r>
      <w:r w:rsidRPr="003C219A">
        <w:rPr>
          <w:rFonts w:ascii="Book Antiqua" w:hAnsi="Book Antiqua"/>
          <w:b/>
          <w:bCs/>
        </w:rPr>
        <w:t>20</w:t>
      </w:r>
      <w:r w:rsidRPr="003C219A">
        <w:rPr>
          <w:rFonts w:ascii="Book Antiqua" w:hAnsi="Book Antiqua"/>
        </w:rPr>
        <w:t>: 9314-9320 [PMID: 25071325 DOI: 10.3748/</w:t>
      </w:r>
      <w:proofErr w:type="gramStart"/>
      <w:r w:rsidRPr="003C219A">
        <w:rPr>
          <w:rFonts w:ascii="Book Antiqua" w:hAnsi="Book Antiqua"/>
        </w:rPr>
        <w:t>wjg.v20.i</w:t>
      </w:r>
      <w:proofErr w:type="gramEnd"/>
      <w:r w:rsidRPr="003C219A">
        <w:rPr>
          <w:rFonts w:ascii="Book Antiqua" w:hAnsi="Book Antiqua"/>
        </w:rPr>
        <w:t>28.9314]</w:t>
      </w:r>
    </w:p>
    <w:p w14:paraId="55EA48A6"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7 </w:t>
      </w:r>
      <w:r w:rsidRPr="003C219A">
        <w:rPr>
          <w:rFonts w:ascii="Book Antiqua" w:hAnsi="Book Antiqua"/>
          <w:b/>
          <w:bCs/>
        </w:rPr>
        <w:t>Okubo M</w:t>
      </w:r>
      <w:r w:rsidRPr="003C219A">
        <w:rPr>
          <w:rFonts w:ascii="Book Antiqua" w:hAnsi="Book Antiqua"/>
        </w:rPr>
        <w:t xml:space="preserve">, </w:t>
      </w:r>
      <w:proofErr w:type="spellStart"/>
      <w:r w:rsidRPr="003C219A">
        <w:rPr>
          <w:rFonts w:ascii="Book Antiqua" w:hAnsi="Book Antiqua"/>
        </w:rPr>
        <w:t>Tahara</w:t>
      </w:r>
      <w:proofErr w:type="spellEnd"/>
      <w:r w:rsidRPr="003C219A">
        <w:rPr>
          <w:rFonts w:ascii="Book Antiqua" w:hAnsi="Book Antiqua"/>
        </w:rPr>
        <w:t xml:space="preserve"> T, Shibata T, Nakamura M, Kamiya Y, Yoshioka D, Maeda Y, Yonemura J, Ishizuka T, Arisawa T, Hirata I. Usefulness of magnifying narrow-band imaging endoscopy in the Helicobacter pylori-related chronic gastritis. </w:t>
      </w:r>
      <w:r w:rsidRPr="003C219A">
        <w:rPr>
          <w:rFonts w:ascii="Book Antiqua" w:hAnsi="Book Antiqua"/>
          <w:i/>
          <w:iCs/>
        </w:rPr>
        <w:t>Digestion</w:t>
      </w:r>
      <w:r w:rsidRPr="003C219A">
        <w:rPr>
          <w:rFonts w:ascii="Book Antiqua" w:hAnsi="Book Antiqua"/>
        </w:rPr>
        <w:t xml:space="preserve"> 2011; </w:t>
      </w:r>
      <w:r w:rsidRPr="003C219A">
        <w:rPr>
          <w:rFonts w:ascii="Book Antiqua" w:hAnsi="Book Antiqua"/>
          <w:b/>
          <w:bCs/>
        </w:rPr>
        <w:t>83</w:t>
      </w:r>
      <w:r w:rsidRPr="003C219A">
        <w:rPr>
          <w:rFonts w:ascii="Book Antiqua" w:hAnsi="Book Antiqua"/>
        </w:rPr>
        <w:t>: 161-166 [PMID: 21266810 DOI: 10.1159/000321799]</w:t>
      </w:r>
    </w:p>
    <w:p w14:paraId="17F1E272"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8 </w:t>
      </w:r>
      <w:r w:rsidRPr="003C219A">
        <w:rPr>
          <w:rFonts w:ascii="Book Antiqua" w:hAnsi="Book Antiqua"/>
          <w:b/>
          <w:bCs/>
        </w:rPr>
        <w:t>Jang JY</w:t>
      </w:r>
      <w:r w:rsidRPr="003C219A">
        <w:rPr>
          <w:rFonts w:ascii="Book Antiqua" w:hAnsi="Book Antiqua"/>
        </w:rPr>
        <w:t xml:space="preserve">. The Past, Present, and Future of Image-Enhanced Endoscopy. </w:t>
      </w:r>
      <w:r w:rsidRPr="003C219A">
        <w:rPr>
          <w:rFonts w:ascii="Book Antiqua" w:hAnsi="Book Antiqua"/>
          <w:i/>
          <w:iCs/>
        </w:rPr>
        <w:t xml:space="preserve">Clin </w:t>
      </w:r>
      <w:proofErr w:type="spellStart"/>
      <w:r w:rsidRPr="003C219A">
        <w:rPr>
          <w:rFonts w:ascii="Book Antiqua" w:hAnsi="Book Antiqua"/>
          <w:i/>
          <w:iCs/>
        </w:rPr>
        <w:t>Endosc</w:t>
      </w:r>
      <w:proofErr w:type="spellEnd"/>
      <w:r w:rsidRPr="003C219A">
        <w:rPr>
          <w:rFonts w:ascii="Book Antiqua" w:hAnsi="Book Antiqua"/>
        </w:rPr>
        <w:t xml:space="preserve"> 2015; </w:t>
      </w:r>
      <w:r w:rsidRPr="003C219A">
        <w:rPr>
          <w:rFonts w:ascii="Book Antiqua" w:hAnsi="Book Antiqua"/>
          <w:b/>
          <w:bCs/>
        </w:rPr>
        <w:t>48</w:t>
      </w:r>
      <w:r w:rsidRPr="003C219A">
        <w:rPr>
          <w:rFonts w:ascii="Book Antiqua" w:hAnsi="Book Antiqua"/>
        </w:rPr>
        <w:t>: 466-475 [PMID: 26668791 DOI: 10.5946/ce.2015.48.6.466]</w:t>
      </w:r>
    </w:p>
    <w:p w14:paraId="3588F699"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9 </w:t>
      </w:r>
      <w:proofErr w:type="spellStart"/>
      <w:r w:rsidRPr="003C219A">
        <w:rPr>
          <w:rFonts w:ascii="Book Antiqua" w:hAnsi="Book Antiqua"/>
          <w:b/>
          <w:bCs/>
        </w:rPr>
        <w:t>Shibagaki</w:t>
      </w:r>
      <w:proofErr w:type="spellEnd"/>
      <w:r w:rsidRPr="003C219A">
        <w:rPr>
          <w:rFonts w:ascii="Book Antiqua" w:hAnsi="Book Antiqua"/>
          <w:b/>
          <w:bCs/>
        </w:rPr>
        <w:t xml:space="preserve"> K</w:t>
      </w:r>
      <w:r w:rsidRPr="003C219A">
        <w:rPr>
          <w:rFonts w:ascii="Book Antiqua" w:hAnsi="Book Antiqua"/>
        </w:rPr>
        <w:t xml:space="preserve">, Amano Y, Ishimura N, Taniguchi H, Fujita H, Adachi S, </w:t>
      </w:r>
      <w:proofErr w:type="spellStart"/>
      <w:r w:rsidRPr="003C219A">
        <w:rPr>
          <w:rFonts w:ascii="Book Antiqua" w:hAnsi="Book Antiqua"/>
        </w:rPr>
        <w:t>Kakehi</w:t>
      </w:r>
      <w:proofErr w:type="spellEnd"/>
      <w:r w:rsidRPr="003C219A">
        <w:rPr>
          <w:rFonts w:ascii="Book Antiqua" w:hAnsi="Book Antiqua"/>
        </w:rPr>
        <w:t xml:space="preserve"> E, Fujita R, Kobayashi K, Kinoshita Y. Diagnostic accuracy of magnification endoscopy with acetic acid enhancement and narrow-band imaging in gastric mucosal neoplasms. </w:t>
      </w:r>
      <w:r w:rsidRPr="003C219A">
        <w:rPr>
          <w:rFonts w:ascii="Book Antiqua" w:hAnsi="Book Antiqua"/>
          <w:i/>
          <w:iCs/>
        </w:rPr>
        <w:t>Endoscopy</w:t>
      </w:r>
      <w:r w:rsidRPr="003C219A">
        <w:rPr>
          <w:rFonts w:ascii="Book Antiqua" w:hAnsi="Book Antiqua"/>
        </w:rPr>
        <w:t xml:space="preserve"> 2016; </w:t>
      </w:r>
      <w:r w:rsidRPr="003C219A">
        <w:rPr>
          <w:rFonts w:ascii="Book Antiqua" w:hAnsi="Book Antiqua"/>
          <w:b/>
          <w:bCs/>
        </w:rPr>
        <w:t>48</w:t>
      </w:r>
      <w:r w:rsidRPr="003C219A">
        <w:rPr>
          <w:rFonts w:ascii="Book Antiqua" w:hAnsi="Book Antiqua"/>
        </w:rPr>
        <w:t>: 16-25 [PMID: 26158242 DOI: 10.1055/s-0034-1392542]</w:t>
      </w:r>
    </w:p>
    <w:p w14:paraId="6269147C"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10 </w:t>
      </w:r>
      <w:r w:rsidRPr="003C219A">
        <w:rPr>
          <w:rFonts w:ascii="Book Antiqua" w:hAnsi="Book Antiqua"/>
          <w:b/>
          <w:bCs/>
        </w:rPr>
        <w:t>Kadowaki S</w:t>
      </w:r>
      <w:r w:rsidRPr="003C219A">
        <w:rPr>
          <w:rFonts w:ascii="Book Antiqua" w:hAnsi="Book Antiqua"/>
        </w:rPr>
        <w:t xml:space="preserve">, Tanaka K, Toyoda H, Kosaka R, Imoto I, Hamada Y, </w:t>
      </w:r>
      <w:proofErr w:type="spellStart"/>
      <w:r w:rsidRPr="003C219A">
        <w:rPr>
          <w:rFonts w:ascii="Book Antiqua" w:hAnsi="Book Antiqua"/>
        </w:rPr>
        <w:t>Katsurahara</w:t>
      </w:r>
      <w:proofErr w:type="spellEnd"/>
      <w:r w:rsidRPr="003C219A">
        <w:rPr>
          <w:rFonts w:ascii="Book Antiqua" w:hAnsi="Book Antiqua"/>
        </w:rPr>
        <w:t xml:space="preserve"> M, Inoue H, Aoki M, Noda T, Yamada T, Takei Y, Katayama N. Ease of early gastric cancer demarcation recognition: a comparison of four magnifying endoscopy methods. </w:t>
      </w:r>
      <w:r w:rsidRPr="003C219A">
        <w:rPr>
          <w:rFonts w:ascii="Book Antiqua" w:hAnsi="Book Antiqua"/>
          <w:i/>
          <w:iCs/>
        </w:rPr>
        <w:t>J Gastroenterol Hepatol</w:t>
      </w:r>
      <w:r w:rsidRPr="003C219A">
        <w:rPr>
          <w:rFonts w:ascii="Book Antiqua" w:hAnsi="Book Antiqua"/>
        </w:rPr>
        <w:t xml:space="preserve"> 2009; </w:t>
      </w:r>
      <w:r w:rsidRPr="003C219A">
        <w:rPr>
          <w:rFonts w:ascii="Book Antiqua" w:hAnsi="Book Antiqua"/>
          <w:b/>
          <w:bCs/>
        </w:rPr>
        <w:t>24</w:t>
      </w:r>
      <w:r w:rsidRPr="003C219A">
        <w:rPr>
          <w:rFonts w:ascii="Book Antiqua" w:hAnsi="Book Antiqua"/>
        </w:rPr>
        <w:t>: 1625-1630 [PMID: 19788603 DOI: 10.1111/j.1440-1746.</w:t>
      </w:r>
      <w:proofErr w:type="gramStart"/>
      <w:r w:rsidRPr="003C219A">
        <w:rPr>
          <w:rFonts w:ascii="Book Antiqua" w:hAnsi="Book Antiqua"/>
        </w:rPr>
        <w:t>2009.05918.x</w:t>
      </w:r>
      <w:proofErr w:type="gramEnd"/>
      <w:r w:rsidRPr="003C219A">
        <w:rPr>
          <w:rFonts w:ascii="Book Antiqua" w:hAnsi="Book Antiqua"/>
        </w:rPr>
        <w:t>]</w:t>
      </w:r>
    </w:p>
    <w:p w14:paraId="7443CF22"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11 </w:t>
      </w:r>
      <w:r w:rsidRPr="003C219A">
        <w:rPr>
          <w:rFonts w:ascii="Book Antiqua" w:hAnsi="Book Antiqua"/>
          <w:b/>
          <w:bCs/>
        </w:rPr>
        <w:t>Sha J</w:t>
      </w:r>
      <w:r w:rsidRPr="003C219A">
        <w:rPr>
          <w:rFonts w:ascii="Book Antiqua" w:hAnsi="Book Antiqua"/>
        </w:rPr>
        <w:t xml:space="preserve">, Wang P, Zhu B, Zhu M, Li X, Gao F. Acetic Acid Enhanced Narrow Band Imaging for the Diagnosis of Gastric Intestinal Metaplasia. </w:t>
      </w:r>
      <w:proofErr w:type="spellStart"/>
      <w:r w:rsidRPr="003C219A">
        <w:rPr>
          <w:rFonts w:ascii="Book Antiqua" w:hAnsi="Book Antiqua"/>
          <w:i/>
          <w:iCs/>
        </w:rPr>
        <w:t>PLoS</w:t>
      </w:r>
      <w:proofErr w:type="spellEnd"/>
      <w:r w:rsidRPr="003C219A">
        <w:rPr>
          <w:rFonts w:ascii="Book Antiqua" w:hAnsi="Book Antiqua"/>
          <w:i/>
          <w:iCs/>
        </w:rPr>
        <w:t xml:space="preserve"> One</w:t>
      </w:r>
      <w:r w:rsidRPr="003C219A">
        <w:rPr>
          <w:rFonts w:ascii="Book Antiqua" w:hAnsi="Book Antiqua"/>
        </w:rPr>
        <w:t xml:space="preserve"> 2017; </w:t>
      </w:r>
      <w:r w:rsidRPr="003C219A">
        <w:rPr>
          <w:rFonts w:ascii="Book Antiqua" w:hAnsi="Book Antiqua"/>
          <w:b/>
          <w:bCs/>
        </w:rPr>
        <w:t>12</w:t>
      </w:r>
      <w:r w:rsidRPr="003C219A">
        <w:rPr>
          <w:rFonts w:ascii="Book Antiqua" w:hAnsi="Book Antiqua"/>
        </w:rPr>
        <w:t>: e0170957 [PMID: 28135297 DOI: 10.1371/journal.pone.0170957]</w:t>
      </w:r>
    </w:p>
    <w:p w14:paraId="686E2F61"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12 </w:t>
      </w:r>
      <w:r w:rsidRPr="003C219A">
        <w:rPr>
          <w:rFonts w:ascii="Book Antiqua" w:hAnsi="Book Antiqua"/>
          <w:b/>
          <w:bCs/>
        </w:rPr>
        <w:t>Singh R</w:t>
      </w:r>
      <w:r w:rsidRPr="003C219A">
        <w:rPr>
          <w:rFonts w:ascii="Book Antiqua" w:hAnsi="Book Antiqua"/>
        </w:rPr>
        <w:t xml:space="preserve">, Shahzad MA, Tam W, Goda K, Yu LH, </w:t>
      </w:r>
      <w:proofErr w:type="spellStart"/>
      <w:r w:rsidRPr="003C219A">
        <w:rPr>
          <w:rFonts w:ascii="Book Antiqua" w:hAnsi="Book Antiqua"/>
        </w:rPr>
        <w:t>Fujishiro</w:t>
      </w:r>
      <w:proofErr w:type="spellEnd"/>
      <w:r w:rsidRPr="003C219A">
        <w:rPr>
          <w:rFonts w:ascii="Book Antiqua" w:hAnsi="Book Antiqua"/>
        </w:rPr>
        <w:t xml:space="preserve"> M, </w:t>
      </w:r>
      <w:proofErr w:type="spellStart"/>
      <w:r w:rsidRPr="003C219A">
        <w:rPr>
          <w:rFonts w:ascii="Book Antiqua" w:hAnsi="Book Antiqua"/>
        </w:rPr>
        <w:t>Uedo</w:t>
      </w:r>
      <w:proofErr w:type="spellEnd"/>
      <w:r w:rsidRPr="003C219A">
        <w:rPr>
          <w:rFonts w:ascii="Book Antiqua" w:hAnsi="Book Antiqua"/>
        </w:rPr>
        <w:t xml:space="preserve"> N, Ruszkiewicz A. Preliminary feasibility study using a novel narrow-band imaging system with dual focus </w:t>
      </w:r>
      <w:r w:rsidRPr="003C219A">
        <w:rPr>
          <w:rFonts w:ascii="Book Antiqua" w:hAnsi="Book Antiqua"/>
        </w:rPr>
        <w:lastRenderedPageBreak/>
        <w:t xml:space="preserve">magnification capability in Barrett's esophagus: is the time ripe to abandon random biopsies? </w:t>
      </w:r>
      <w:r w:rsidRPr="003C219A">
        <w:rPr>
          <w:rFonts w:ascii="Book Antiqua" w:hAnsi="Book Antiqua"/>
          <w:i/>
          <w:iCs/>
        </w:rPr>
        <w:t xml:space="preserve">Dig </w:t>
      </w:r>
      <w:proofErr w:type="spellStart"/>
      <w:r w:rsidRPr="003C219A">
        <w:rPr>
          <w:rFonts w:ascii="Book Antiqua" w:hAnsi="Book Antiqua"/>
          <w:i/>
          <w:iCs/>
        </w:rPr>
        <w:t>Endosc</w:t>
      </w:r>
      <w:proofErr w:type="spellEnd"/>
      <w:r w:rsidRPr="003C219A">
        <w:rPr>
          <w:rFonts w:ascii="Book Antiqua" w:hAnsi="Book Antiqua"/>
        </w:rPr>
        <w:t xml:space="preserve"> 2013; </w:t>
      </w:r>
      <w:r w:rsidRPr="003C219A">
        <w:rPr>
          <w:rFonts w:ascii="Book Antiqua" w:hAnsi="Book Antiqua"/>
          <w:b/>
          <w:bCs/>
        </w:rPr>
        <w:t>25</w:t>
      </w:r>
      <w:r w:rsidRPr="003C219A">
        <w:rPr>
          <w:rFonts w:ascii="Book Antiqua" w:hAnsi="Book Antiqua"/>
        </w:rPr>
        <w:t xml:space="preserve"> Suppl 2: 151-156 [PMID: 23617668 DOI: 10.1111/den.12106]</w:t>
      </w:r>
    </w:p>
    <w:p w14:paraId="661C88F5"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13 </w:t>
      </w:r>
      <w:r w:rsidRPr="003C219A">
        <w:rPr>
          <w:rFonts w:ascii="Book Antiqua" w:hAnsi="Book Antiqua"/>
          <w:b/>
          <w:bCs/>
        </w:rPr>
        <w:t>Goda K</w:t>
      </w:r>
      <w:r w:rsidRPr="003C219A">
        <w:rPr>
          <w:rFonts w:ascii="Book Antiqua" w:hAnsi="Book Antiqua"/>
        </w:rPr>
        <w:t xml:space="preserve">, Dobashi A, Yoshimura N, Aihara H, Kato M, </w:t>
      </w:r>
      <w:proofErr w:type="spellStart"/>
      <w:r w:rsidRPr="003C219A">
        <w:rPr>
          <w:rFonts w:ascii="Book Antiqua" w:hAnsi="Book Antiqua"/>
        </w:rPr>
        <w:t>Sumiyama</w:t>
      </w:r>
      <w:proofErr w:type="spellEnd"/>
      <w:r w:rsidRPr="003C219A">
        <w:rPr>
          <w:rFonts w:ascii="Book Antiqua" w:hAnsi="Book Antiqua"/>
        </w:rPr>
        <w:t xml:space="preserve"> K, </w:t>
      </w:r>
      <w:proofErr w:type="spellStart"/>
      <w:r w:rsidRPr="003C219A">
        <w:rPr>
          <w:rFonts w:ascii="Book Antiqua" w:hAnsi="Book Antiqua"/>
        </w:rPr>
        <w:t>Toyoizumi</w:t>
      </w:r>
      <w:proofErr w:type="spellEnd"/>
      <w:r w:rsidRPr="003C219A">
        <w:rPr>
          <w:rFonts w:ascii="Book Antiqua" w:hAnsi="Book Antiqua"/>
        </w:rPr>
        <w:t xml:space="preserve"> H, Kato T, Saijo H, Ikegami M, Tajiri H. Dual-focus versus conventional magnification endoscopy for the diagnosis of superficial squamous neoplasms in the pharynx and esophagus: a randomized trial. </w:t>
      </w:r>
      <w:r w:rsidRPr="003C219A">
        <w:rPr>
          <w:rFonts w:ascii="Book Antiqua" w:hAnsi="Book Antiqua"/>
          <w:i/>
          <w:iCs/>
        </w:rPr>
        <w:t>Endoscopy</w:t>
      </w:r>
      <w:r w:rsidRPr="003C219A">
        <w:rPr>
          <w:rFonts w:ascii="Book Antiqua" w:hAnsi="Book Antiqua"/>
        </w:rPr>
        <w:t xml:space="preserve"> 2016; </w:t>
      </w:r>
      <w:r w:rsidRPr="003C219A">
        <w:rPr>
          <w:rFonts w:ascii="Book Antiqua" w:hAnsi="Book Antiqua"/>
          <w:b/>
          <w:bCs/>
        </w:rPr>
        <w:t>48</w:t>
      </w:r>
      <w:r w:rsidRPr="003C219A">
        <w:rPr>
          <w:rFonts w:ascii="Book Antiqua" w:hAnsi="Book Antiqua"/>
        </w:rPr>
        <w:t>: 321-329 [PMID: 26878247 DOI: 10.1055/s-0035-1569644]</w:t>
      </w:r>
    </w:p>
    <w:p w14:paraId="6FBF0E58"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14 </w:t>
      </w:r>
      <w:r w:rsidRPr="003C219A">
        <w:rPr>
          <w:rFonts w:ascii="Book Antiqua" w:hAnsi="Book Antiqua"/>
          <w:b/>
          <w:bCs/>
        </w:rPr>
        <w:t>Gulati S</w:t>
      </w:r>
      <w:r w:rsidRPr="003C219A">
        <w:rPr>
          <w:rFonts w:ascii="Book Antiqua" w:hAnsi="Book Antiqua"/>
        </w:rPr>
        <w:t>, Emmanuel A, Ong M, Pavlidis P, Patel M, El-</w:t>
      </w:r>
      <w:proofErr w:type="spellStart"/>
      <w:r w:rsidRPr="003C219A">
        <w:rPr>
          <w:rFonts w:ascii="Book Antiqua" w:hAnsi="Book Antiqua"/>
        </w:rPr>
        <w:t>Menabawey</w:t>
      </w:r>
      <w:proofErr w:type="spellEnd"/>
      <w:r w:rsidRPr="003C219A">
        <w:rPr>
          <w:rFonts w:ascii="Book Antiqua" w:hAnsi="Book Antiqua"/>
        </w:rPr>
        <w:t xml:space="preserve"> T, </w:t>
      </w:r>
      <w:proofErr w:type="spellStart"/>
      <w:r w:rsidRPr="003C219A">
        <w:rPr>
          <w:rFonts w:ascii="Book Antiqua" w:hAnsi="Book Antiqua"/>
        </w:rPr>
        <w:t>Vackova</w:t>
      </w:r>
      <w:proofErr w:type="spellEnd"/>
      <w:r w:rsidRPr="003C219A">
        <w:rPr>
          <w:rFonts w:ascii="Book Antiqua" w:hAnsi="Book Antiqua"/>
        </w:rPr>
        <w:t xml:space="preserve"> Z, Dubois P, Murino A, Martinek J, Sethi A, Neumann H, Haji A, Hayee B. Near-focus narrow-band imaging classification of villous atrophy in suspected celiac disease: development and international validation. </w:t>
      </w:r>
      <w:proofErr w:type="spellStart"/>
      <w:r w:rsidRPr="003C219A">
        <w:rPr>
          <w:rFonts w:ascii="Book Antiqua" w:hAnsi="Book Antiqua"/>
          <w:i/>
          <w:iCs/>
        </w:rPr>
        <w:t>Gastrointest</w:t>
      </w:r>
      <w:proofErr w:type="spellEnd"/>
      <w:r w:rsidRPr="003C219A">
        <w:rPr>
          <w:rFonts w:ascii="Book Antiqua" w:hAnsi="Book Antiqua"/>
          <w:i/>
          <w:iCs/>
        </w:rPr>
        <w:t xml:space="preserve"> </w:t>
      </w:r>
      <w:proofErr w:type="spellStart"/>
      <w:r w:rsidRPr="003C219A">
        <w:rPr>
          <w:rFonts w:ascii="Book Antiqua" w:hAnsi="Book Antiqua"/>
          <w:i/>
          <w:iCs/>
        </w:rPr>
        <w:t>Endosc</w:t>
      </w:r>
      <w:proofErr w:type="spellEnd"/>
      <w:r w:rsidRPr="003C219A">
        <w:rPr>
          <w:rFonts w:ascii="Book Antiqua" w:hAnsi="Book Antiqua"/>
        </w:rPr>
        <w:t xml:space="preserve"> 2021; </w:t>
      </w:r>
      <w:r w:rsidRPr="003C219A">
        <w:rPr>
          <w:rFonts w:ascii="Book Antiqua" w:hAnsi="Book Antiqua"/>
          <w:b/>
          <w:bCs/>
        </w:rPr>
        <w:t>94</w:t>
      </w:r>
      <w:r w:rsidRPr="003C219A">
        <w:rPr>
          <w:rFonts w:ascii="Book Antiqua" w:hAnsi="Book Antiqua"/>
        </w:rPr>
        <w:t>: 1071-1081 [PMID: 34228981 DOI: 10.1016/j.gie.2021.06.031]</w:t>
      </w:r>
    </w:p>
    <w:p w14:paraId="0F964307"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15 </w:t>
      </w:r>
      <w:r w:rsidRPr="003C219A">
        <w:rPr>
          <w:rFonts w:ascii="Book Antiqua" w:hAnsi="Book Antiqua"/>
          <w:b/>
          <w:bCs/>
        </w:rPr>
        <w:t>Bond A</w:t>
      </w:r>
      <w:r w:rsidRPr="003C219A">
        <w:rPr>
          <w:rFonts w:ascii="Book Antiqua" w:hAnsi="Book Antiqua"/>
        </w:rPr>
        <w:t xml:space="preserve">, Burkitt MD, Cox T, Smart HL, Probert C, Haslam N, Sarkar S. Dual-focus Magnification, High-Definition Endoscopy Improves Pathology Detection in Direct-to-Test Diagnostic Upper Gastrointestinal Endoscopy. </w:t>
      </w:r>
      <w:r w:rsidRPr="003C219A">
        <w:rPr>
          <w:rFonts w:ascii="Book Antiqua" w:hAnsi="Book Antiqua"/>
          <w:i/>
          <w:iCs/>
        </w:rPr>
        <w:t xml:space="preserve">J </w:t>
      </w:r>
      <w:proofErr w:type="spellStart"/>
      <w:r w:rsidRPr="003C219A">
        <w:rPr>
          <w:rFonts w:ascii="Book Antiqua" w:hAnsi="Book Antiqua"/>
          <w:i/>
          <w:iCs/>
        </w:rPr>
        <w:t>Gastrointestin</w:t>
      </w:r>
      <w:proofErr w:type="spellEnd"/>
      <w:r w:rsidRPr="003C219A">
        <w:rPr>
          <w:rFonts w:ascii="Book Antiqua" w:hAnsi="Book Antiqua"/>
          <w:i/>
          <w:iCs/>
        </w:rPr>
        <w:t xml:space="preserve"> Liver Dis</w:t>
      </w:r>
      <w:r w:rsidRPr="003C219A">
        <w:rPr>
          <w:rFonts w:ascii="Book Antiqua" w:hAnsi="Book Antiqua"/>
        </w:rPr>
        <w:t xml:space="preserve"> 2017; </w:t>
      </w:r>
      <w:r w:rsidRPr="003C219A">
        <w:rPr>
          <w:rFonts w:ascii="Book Antiqua" w:hAnsi="Book Antiqua"/>
          <w:b/>
          <w:bCs/>
        </w:rPr>
        <w:t>26</w:t>
      </w:r>
      <w:r w:rsidRPr="003C219A">
        <w:rPr>
          <w:rFonts w:ascii="Book Antiqua" w:hAnsi="Book Antiqua"/>
        </w:rPr>
        <w:t>: 19-24 [PMID: 28338109 DOI: 10.15403/jgld.2014.1121.261.gen]</w:t>
      </w:r>
    </w:p>
    <w:p w14:paraId="12961D2A"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16 </w:t>
      </w:r>
      <w:r w:rsidRPr="003C219A">
        <w:rPr>
          <w:rFonts w:ascii="Book Antiqua" w:hAnsi="Book Antiqua"/>
          <w:b/>
          <w:bCs/>
        </w:rPr>
        <w:t>Kim JW</w:t>
      </w:r>
      <w:r w:rsidRPr="003C219A">
        <w:rPr>
          <w:rFonts w:ascii="Book Antiqua" w:hAnsi="Book Antiqua"/>
        </w:rPr>
        <w:t xml:space="preserve">, Jung Y, Jang JY, Kim GH, Bang BW, Park JC, Choi HS, Cho JH; Research Group for Endoscopic Instruments and Stents of Korean Society of Gastrointestinal Endoscopy. Narrowband imaging with near-focus magnification for discriminating the gastric tumor margin before endoscopic resection: A prospective randomized multicenter trial. </w:t>
      </w:r>
      <w:r w:rsidRPr="003C219A">
        <w:rPr>
          <w:rFonts w:ascii="Book Antiqua" w:hAnsi="Book Antiqua"/>
          <w:i/>
          <w:iCs/>
        </w:rPr>
        <w:t>J Gastroenterol Hepatol</w:t>
      </w:r>
      <w:r w:rsidRPr="003C219A">
        <w:rPr>
          <w:rFonts w:ascii="Book Antiqua" w:hAnsi="Book Antiqua"/>
        </w:rPr>
        <w:t xml:space="preserve"> 2020; </w:t>
      </w:r>
      <w:r w:rsidRPr="003C219A">
        <w:rPr>
          <w:rFonts w:ascii="Book Antiqua" w:hAnsi="Book Antiqua"/>
          <w:b/>
          <w:bCs/>
        </w:rPr>
        <w:t>35</w:t>
      </w:r>
      <w:r w:rsidRPr="003C219A">
        <w:rPr>
          <w:rFonts w:ascii="Book Antiqua" w:hAnsi="Book Antiqua"/>
        </w:rPr>
        <w:t>: 1930-1937 [PMID: 32433790 DOI: 10.1111/jgh.15109]</w:t>
      </w:r>
    </w:p>
    <w:p w14:paraId="23E9A1E3"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17 </w:t>
      </w:r>
      <w:proofErr w:type="spellStart"/>
      <w:r w:rsidRPr="003C219A">
        <w:rPr>
          <w:rFonts w:ascii="Book Antiqua" w:hAnsi="Book Antiqua"/>
          <w:b/>
          <w:bCs/>
        </w:rPr>
        <w:t>Kakushima</w:t>
      </w:r>
      <w:proofErr w:type="spellEnd"/>
      <w:r w:rsidRPr="003C219A">
        <w:rPr>
          <w:rFonts w:ascii="Book Antiqua" w:hAnsi="Book Antiqua"/>
          <w:b/>
          <w:bCs/>
        </w:rPr>
        <w:t xml:space="preserve"> N</w:t>
      </w:r>
      <w:r w:rsidRPr="003C219A">
        <w:rPr>
          <w:rFonts w:ascii="Book Antiqua" w:hAnsi="Book Antiqua"/>
        </w:rPr>
        <w:t xml:space="preserve">, Yoshida N, </w:t>
      </w:r>
      <w:proofErr w:type="spellStart"/>
      <w:r w:rsidRPr="003C219A">
        <w:rPr>
          <w:rFonts w:ascii="Book Antiqua" w:hAnsi="Book Antiqua"/>
        </w:rPr>
        <w:t>Doyama</w:t>
      </w:r>
      <w:proofErr w:type="spellEnd"/>
      <w:r w:rsidRPr="003C219A">
        <w:rPr>
          <w:rFonts w:ascii="Book Antiqua" w:hAnsi="Book Antiqua"/>
        </w:rPr>
        <w:t xml:space="preserve"> H, Yano T, </w:t>
      </w:r>
      <w:proofErr w:type="spellStart"/>
      <w:r w:rsidRPr="003C219A">
        <w:rPr>
          <w:rFonts w:ascii="Book Antiqua" w:hAnsi="Book Antiqua"/>
        </w:rPr>
        <w:t>Horimatsu</w:t>
      </w:r>
      <w:proofErr w:type="spellEnd"/>
      <w:r w:rsidRPr="003C219A">
        <w:rPr>
          <w:rFonts w:ascii="Book Antiqua" w:hAnsi="Book Antiqua"/>
        </w:rPr>
        <w:t xml:space="preserve"> T, </w:t>
      </w:r>
      <w:proofErr w:type="spellStart"/>
      <w:r w:rsidRPr="003C219A">
        <w:rPr>
          <w:rFonts w:ascii="Book Antiqua" w:hAnsi="Book Antiqua"/>
        </w:rPr>
        <w:t>Uedo</w:t>
      </w:r>
      <w:proofErr w:type="spellEnd"/>
      <w:r w:rsidRPr="003C219A">
        <w:rPr>
          <w:rFonts w:ascii="Book Antiqua" w:hAnsi="Book Antiqua"/>
        </w:rPr>
        <w:t xml:space="preserve"> N, Yamamoto Y, Kanzaki H, Hori S, Yao K, Oda I, Tanabe S, Yokoi C, Ohata K, Yoshimura K, Ishikawa H, Muto M. Near-focus magnification and second-generation narrow-band imaging for early gastric cancer in a randomized trial. </w:t>
      </w:r>
      <w:r w:rsidRPr="003C219A">
        <w:rPr>
          <w:rFonts w:ascii="Book Antiqua" w:hAnsi="Book Antiqua"/>
          <w:i/>
          <w:iCs/>
        </w:rPr>
        <w:t>J Gastroenterol</w:t>
      </w:r>
      <w:r w:rsidRPr="003C219A">
        <w:rPr>
          <w:rFonts w:ascii="Book Antiqua" w:hAnsi="Book Antiqua"/>
        </w:rPr>
        <w:t xml:space="preserve"> 2020; </w:t>
      </w:r>
      <w:r w:rsidRPr="003C219A">
        <w:rPr>
          <w:rFonts w:ascii="Book Antiqua" w:hAnsi="Book Antiqua"/>
          <w:b/>
          <w:bCs/>
        </w:rPr>
        <w:t>55</w:t>
      </w:r>
      <w:r w:rsidRPr="003C219A">
        <w:rPr>
          <w:rFonts w:ascii="Book Antiqua" w:hAnsi="Book Antiqua"/>
        </w:rPr>
        <w:t>: 1127-1137 [PMID: 33021688 DOI: 10.1007/s00535-020-01734-3]</w:t>
      </w:r>
    </w:p>
    <w:p w14:paraId="54F43BD5"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18 </w:t>
      </w:r>
      <w:r w:rsidRPr="003C219A">
        <w:rPr>
          <w:rFonts w:ascii="Book Antiqua" w:hAnsi="Book Antiqua"/>
          <w:b/>
          <w:bCs/>
        </w:rPr>
        <w:t>Na HK</w:t>
      </w:r>
      <w:r w:rsidRPr="003C219A">
        <w:rPr>
          <w:rFonts w:ascii="Book Antiqua" w:hAnsi="Book Antiqua"/>
        </w:rPr>
        <w:t xml:space="preserve">, Choi KD, Park YS, Kim HJ, Ahn JY, Lee JH, Jung KW, Kim DH, Song HJ, Lee GH, Jung HY. Endoscopic scoring system for gastric atrophy and intestinal metaplasia: correlation with OLGA and OLGIM staging: a single-center prospective pilot study in </w:t>
      </w:r>
      <w:r w:rsidRPr="003C219A">
        <w:rPr>
          <w:rFonts w:ascii="Book Antiqua" w:hAnsi="Book Antiqua"/>
        </w:rPr>
        <w:lastRenderedPageBreak/>
        <w:t xml:space="preserve">Korea. </w:t>
      </w:r>
      <w:r w:rsidRPr="003C219A">
        <w:rPr>
          <w:rFonts w:ascii="Book Antiqua" w:hAnsi="Book Antiqua"/>
          <w:i/>
          <w:iCs/>
        </w:rPr>
        <w:t>Scand J Gastroenterol</w:t>
      </w:r>
      <w:r w:rsidRPr="003C219A">
        <w:rPr>
          <w:rFonts w:ascii="Book Antiqua" w:hAnsi="Book Antiqua"/>
        </w:rPr>
        <w:t xml:space="preserve"> 2022; </w:t>
      </w:r>
      <w:r w:rsidRPr="003C219A">
        <w:rPr>
          <w:rFonts w:ascii="Book Antiqua" w:hAnsi="Book Antiqua"/>
          <w:b/>
          <w:bCs/>
        </w:rPr>
        <w:t>57</w:t>
      </w:r>
      <w:r w:rsidRPr="003C219A">
        <w:rPr>
          <w:rFonts w:ascii="Book Antiqua" w:hAnsi="Book Antiqua"/>
        </w:rPr>
        <w:t>: 1097-1104 [PMID: 35387540 DOI: 10.1080/00365521.2022.2055974]</w:t>
      </w:r>
    </w:p>
    <w:p w14:paraId="38A84753"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19 </w:t>
      </w:r>
      <w:r w:rsidRPr="003C219A">
        <w:rPr>
          <w:rFonts w:ascii="Book Antiqua" w:hAnsi="Book Antiqua"/>
          <w:b/>
          <w:bCs/>
        </w:rPr>
        <w:t>Fiuza F</w:t>
      </w:r>
      <w:r w:rsidRPr="003C219A">
        <w:rPr>
          <w:rFonts w:ascii="Book Antiqua" w:hAnsi="Book Antiqua"/>
        </w:rPr>
        <w:t xml:space="preserve">, Maluf-Filho F, Ide E, </w:t>
      </w:r>
      <w:proofErr w:type="spellStart"/>
      <w:r w:rsidRPr="003C219A">
        <w:rPr>
          <w:rFonts w:ascii="Book Antiqua" w:hAnsi="Book Antiqua"/>
        </w:rPr>
        <w:t>Furuya</w:t>
      </w:r>
      <w:proofErr w:type="spellEnd"/>
      <w:r w:rsidRPr="003C219A">
        <w:rPr>
          <w:rFonts w:ascii="Book Antiqua" w:hAnsi="Book Antiqua"/>
        </w:rPr>
        <w:t xml:space="preserve"> CK Jr, </w:t>
      </w:r>
      <w:proofErr w:type="spellStart"/>
      <w:r w:rsidRPr="003C219A">
        <w:rPr>
          <w:rFonts w:ascii="Book Antiqua" w:hAnsi="Book Antiqua"/>
        </w:rPr>
        <w:t>Fylyk</w:t>
      </w:r>
      <w:proofErr w:type="spellEnd"/>
      <w:r w:rsidRPr="003C219A">
        <w:rPr>
          <w:rFonts w:ascii="Book Antiqua" w:hAnsi="Book Antiqua"/>
        </w:rPr>
        <w:t xml:space="preserve"> SN, </w:t>
      </w:r>
      <w:proofErr w:type="spellStart"/>
      <w:r w:rsidRPr="003C219A">
        <w:rPr>
          <w:rFonts w:ascii="Book Antiqua" w:hAnsi="Book Antiqua"/>
        </w:rPr>
        <w:t>Ruas</w:t>
      </w:r>
      <w:proofErr w:type="spellEnd"/>
      <w:r w:rsidRPr="003C219A">
        <w:rPr>
          <w:rFonts w:ascii="Book Antiqua" w:hAnsi="Book Antiqua"/>
        </w:rPr>
        <w:t xml:space="preserve"> JN, </w:t>
      </w:r>
      <w:proofErr w:type="spellStart"/>
      <w:r w:rsidRPr="003C219A">
        <w:rPr>
          <w:rFonts w:ascii="Book Antiqua" w:hAnsi="Book Antiqua"/>
        </w:rPr>
        <w:t>Stabach</w:t>
      </w:r>
      <w:proofErr w:type="spellEnd"/>
      <w:r w:rsidRPr="003C219A">
        <w:rPr>
          <w:rFonts w:ascii="Book Antiqua" w:hAnsi="Book Antiqua"/>
        </w:rPr>
        <w:t xml:space="preserve"> L, Araujo GA, </w:t>
      </w:r>
      <w:proofErr w:type="spellStart"/>
      <w:r w:rsidRPr="003C219A">
        <w:rPr>
          <w:rFonts w:ascii="Book Antiqua" w:hAnsi="Book Antiqua"/>
        </w:rPr>
        <w:t>Matuguma</w:t>
      </w:r>
      <w:proofErr w:type="spellEnd"/>
      <w:r w:rsidRPr="003C219A">
        <w:rPr>
          <w:rFonts w:ascii="Book Antiqua" w:hAnsi="Book Antiqua"/>
        </w:rPr>
        <w:t xml:space="preserve"> SE, </w:t>
      </w:r>
      <w:proofErr w:type="spellStart"/>
      <w:r w:rsidRPr="003C219A">
        <w:rPr>
          <w:rFonts w:ascii="Book Antiqua" w:hAnsi="Book Antiqua"/>
        </w:rPr>
        <w:t>Uemura</w:t>
      </w:r>
      <w:proofErr w:type="spellEnd"/>
      <w:r w:rsidRPr="003C219A">
        <w:rPr>
          <w:rFonts w:ascii="Book Antiqua" w:hAnsi="Book Antiqua"/>
        </w:rPr>
        <w:t xml:space="preserve"> RS, Sakai CM, Yamazaki K, Ueda SS, Sakai P, Martins BC. Association between mucosal surface pattern under near focus technology and Helicobacter pylori infection. </w:t>
      </w:r>
      <w:r w:rsidRPr="003C219A">
        <w:rPr>
          <w:rFonts w:ascii="Book Antiqua" w:hAnsi="Book Antiqua"/>
          <w:i/>
          <w:iCs/>
        </w:rPr>
        <w:t xml:space="preserve">World J </w:t>
      </w:r>
      <w:proofErr w:type="spellStart"/>
      <w:r w:rsidRPr="003C219A">
        <w:rPr>
          <w:rFonts w:ascii="Book Antiqua" w:hAnsi="Book Antiqua"/>
          <w:i/>
          <w:iCs/>
        </w:rPr>
        <w:t>Gastrointest</w:t>
      </w:r>
      <w:proofErr w:type="spellEnd"/>
      <w:r w:rsidRPr="003C219A">
        <w:rPr>
          <w:rFonts w:ascii="Book Antiqua" w:hAnsi="Book Antiqua"/>
          <w:i/>
          <w:iCs/>
        </w:rPr>
        <w:t xml:space="preserve"> </w:t>
      </w:r>
      <w:proofErr w:type="spellStart"/>
      <w:r w:rsidRPr="003C219A">
        <w:rPr>
          <w:rFonts w:ascii="Book Antiqua" w:hAnsi="Book Antiqua"/>
          <w:i/>
          <w:iCs/>
        </w:rPr>
        <w:t>Endosc</w:t>
      </w:r>
      <w:proofErr w:type="spellEnd"/>
      <w:r w:rsidRPr="003C219A">
        <w:rPr>
          <w:rFonts w:ascii="Book Antiqua" w:hAnsi="Book Antiqua"/>
        </w:rPr>
        <w:t xml:space="preserve"> 2021; </w:t>
      </w:r>
      <w:r w:rsidRPr="003C219A">
        <w:rPr>
          <w:rFonts w:ascii="Book Antiqua" w:hAnsi="Book Antiqua"/>
          <w:b/>
          <w:bCs/>
        </w:rPr>
        <w:t>13</w:t>
      </w:r>
      <w:r w:rsidRPr="003C219A">
        <w:rPr>
          <w:rFonts w:ascii="Book Antiqua" w:hAnsi="Book Antiqua"/>
        </w:rPr>
        <w:t>: 518-528 [PMID: 34733412 DOI: 10.4253/</w:t>
      </w:r>
      <w:proofErr w:type="gramStart"/>
      <w:r w:rsidRPr="003C219A">
        <w:rPr>
          <w:rFonts w:ascii="Book Antiqua" w:hAnsi="Book Antiqua"/>
        </w:rPr>
        <w:t>wjge.v13.i</w:t>
      </w:r>
      <w:proofErr w:type="gramEnd"/>
      <w:r w:rsidRPr="003C219A">
        <w:rPr>
          <w:rFonts w:ascii="Book Antiqua" w:hAnsi="Book Antiqua"/>
        </w:rPr>
        <w:t>10.518]</w:t>
      </w:r>
    </w:p>
    <w:p w14:paraId="2AC5190A"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20 </w:t>
      </w:r>
      <w:r w:rsidRPr="003C219A">
        <w:rPr>
          <w:rFonts w:ascii="Book Antiqua" w:hAnsi="Book Antiqua"/>
          <w:b/>
          <w:bCs/>
        </w:rPr>
        <w:t>McHugh ML</w:t>
      </w:r>
      <w:r w:rsidRPr="003C219A">
        <w:rPr>
          <w:rFonts w:ascii="Book Antiqua" w:hAnsi="Book Antiqua"/>
        </w:rPr>
        <w:t xml:space="preserve">. Interrater reliability: the kappa statistic. </w:t>
      </w:r>
      <w:proofErr w:type="spellStart"/>
      <w:r w:rsidRPr="003C219A">
        <w:rPr>
          <w:rFonts w:ascii="Book Antiqua" w:hAnsi="Book Antiqua"/>
          <w:i/>
          <w:iCs/>
        </w:rPr>
        <w:t>Biochem</w:t>
      </w:r>
      <w:proofErr w:type="spellEnd"/>
      <w:r w:rsidRPr="003C219A">
        <w:rPr>
          <w:rFonts w:ascii="Book Antiqua" w:hAnsi="Book Antiqua"/>
          <w:i/>
          <w:iCs/>
        </w:rPr>
        <w:t xml:space="preserve"> Med (Zagreb)</w:t>
      </w:r>
      <w:r w:rsidRPr="003C219A">
        <w:rPr>
          <w:rFonts w:ascii="Book Antiqua" w:hAnsi="Book Antiqua"/>
        </w:rPr>
        <w:t xml:space="preserve"> 2012; </w:t>
      </w:r>
      <w:r w:rsidRPr="003C219A">
        <w:rPr>
          <w:rFonts w:ascii="Book Antiqua" w:hAnsi="Book Antiqua"/>
          <w:b/>
          <w:bCs/>
        </w:rPr>
        <w:t>22</w:t>
      </w:r>
      <w:r w:rsidRPr="003C219A">
        <w:rPr>
          <w:rFonts w:ascii="Book Antiqua" w:hAnsi="Book Antiqua"/>
        </w:rPr>
        <w:t>: 276-282 [PMID: 23092060]</w:t>
      </w:r>
    </w:p>
    <w:p w14:paraId="665E5EF6"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21 </w:t>
      </w:r>
      <w:proofErr w:type="spellStart"/>
      <w:r w:rsidRPr="003C219A">
        <w:rPr>
          <w:rFonts w:ascii="Book Antiqua" w:hAnsi="Book Antiqua"/>
          <w:b/>
          <w:bCs/>
        </w:rPr>
        <w:t>Garcés</w:t>
      </w:r>
      <w:proofErr w:type="spellEnd"/>
      <w:r w:rsidRPr="003C219A">
        <w:rPr>
          <w:rFonts w:ascii="Book Antiqua" w:hAnsi="Book Antiqua"/>
          <w:b/>
          <w:bCs/>
        </w:rPr>
        <w:t>-Durán R</w:t>
      </w:r>
      <w:r w:rsidRPr="003C219A">
        <w:rPr>
          <w:rFonts w:ascii="Book Antiqua" w:hAnsi="Book Antiqua"/>
        </w:rPr>
        <w:t xml:space="preserve">, García-Rodríguez A, </w:t>
      </w:r>
      <w:proofErr w:type="spellStart"/>
      <w:r w:rsidRPr="003C219A">
        <w:rPr>
          <w:rFonts w:ascii="Book Antiqua" w:hAnsi="Book Antiqua"/>
        </w:rPr>
        <w:t>Córdova</w:t>
      </w:r>
      <w:proofErr w:type="spellEnd"/>
      <w:r w:rsidRPr="003C219A">
        <w:rPr>
          <w:rFonts w:ascii="Book Antiqua" w:hAnsi="Book Antiqua"/>
        </w:rPr>
        <w:t xml:space="preserve"> H, </w:t>
      </w:r>
      <w:proofErr w:type="spellStart"/>
      <w:r w:rsidRPr="003C219A">
        <w:rPr>
          <w:rFonts w:ascii="Book Antiqua" w:hAnsi="Book Antiqua"/>
        </w:rPr>
        <w:t>Cuatrecasas</w:t>
      </w:r>
      <w:proofErr w:type="spellEnd"/>
      <w:r w:rsidRPr="003C219A">
        <w:rPr>
          <w:rFonts w:ascii="Book Antiqua" w:hAnsi="Book Antiqua"/>
        </w:rPr>
        <w:t xml:space="preserve"> M, </w:t>
      </w:r>
      <w:proofErr w:type="spellStart"/>
      <w:r w:rsidRPr="003C219A">
        <w:rPr>
          <w:rFonts w:ascii="Book Antiqua" w:hAnsi="Book Antiqua"/>
        </w:rPr>
        <w:t>Ginès</w:t>
      </w:r>
      <w:proofErr w:type="spellEnd"/>
      <w:r w:rsidRPr="003C219A">
        <w:rPr>
          <w:rFonts w:ascii="Book Antiqua" w:hAnsi="Book Antiqua"/>
        </w:rPr>
        <w:t xml:space="preserve"> À, González-Suárez B, Araujo I, </w:t>
      </w:r>
      <w:proofErr w:type="spellStart"/>
      <w:r w:rsidRPr="003C219A">
        <w:rPr>
          <w:rFonts w:ascii="Book Antiqua" w:hAnsi="Book Antiqua"/>
        </w:rPr>
        <w:t>Llach</w:t>
      </w:r>
      <w:proofErr w:type="spellEnd"/>
      <w:r w:rsidRPr="003C219A">
        <w:rPr>
          <w:rFonts w:ascii="Book Antiqua" w:hAnsi="Book Antiqua"/>
        </w:rPr>
        <w:t xml:space="preserve"> J, Fernández-</w:t>
      </w:r>
      <w:proofErr w:type="spellStart"/>
      <w:r w:rsidRPr="003C219A">
        <w:rPr>
          <w:rFonts w:ascii="Book Antiqua" w:hAnsi="Book Antiqua"/>
        </w:rPr>
        <w:t>Esparrach</w:t>
      </w:r>
      <w:proofErr w:type="spellEnd"/>
      <w:r w:rsidRPr="003C219A">
        <w:rPr>
          <w:rFonts w:ascii="Book Antiqua" w:hAnsi="Book Antiqua"/>
        </w:rPr>
        <w:t xml:space="preserve"> G. Association between a regular arrangement of collecting venules and absence of Helicobacter pylori infection in a European population. </w:t>
      </w:r>
      <w:proofErr w:type="spellStart"/>
      <w:r w:rsidRPr="003C219A">
        <w:rPr>
          <w:rFonts w:ascii="Book Antiqua" w:hAnsi="Book Antiqua"/>
          <w:i/>
          <w:iCs/>
        </w:rPr>
        <w:t>Gastrointest</w:t>
      </w:r>
      <w:proofErr w:type="spellEnd"/>
      <w:r w:rsidRPr="003C219A">
        <w:rPr>
          <w:rFonts w:ascii="Book Antiqua" w:hAnsi="Book Antiqua"/>
          <w:i/>
          <w:iCs/>
        </w:rPr>
        <w:t xml:space="preserve"> </w:t>
      </w:r>
      <w:proofErr w:type="spellStart"/>
      <w:r w:rsidRPr="003C219A">
        <w:rPr>
          <w:rFonts w:ascii="Book Antiqua" w:hAnsi="Book Antiqua"/>
          <w:i/>
          <w:iCs/>
        </w:rPr>
        <w:t>Endosc</w:t>
      </w:r>
      <w:proofErr w:type="spellEnd"/>
      <w:r w:rsidRPr="003C219A">
        <w:rPr>
          <w:rFonts w:ascii="Book Antiqua" w:hAnsi="Book Antiqua"/>
        </w:rPr>
        <w:t xml:space="preserve"> 2019; </w:t>
      </w:r>
      <w:r w:rsidRPr="003C219A">
        <w:rPr>
          <w:rFonts w:ascii="Book Antiqua" w:hAnsi="Book Antiqua"/>
          <w:b/>
          <w:bCs/>
        </w:rPr>
        <w:t>90</w:t>
      </w:r>
      <w:r w:rsidRPr="003C219A">
        <w:rPr>
          <w:rFonts w:ascii="Book Antiqua" w:hAnsi="Book Antiqua"/>
        </w:rPr>
        <w:t>: 461-466 [PMID: 31108089 DOI: 10.1016/j.gie.2019.05.027]</w:t>
      </w:r>
    </w:p>
    <w:p w14:paraId="4D6DE466"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22 </w:t>
      </w:r>
      <w:r w:rsidRPr="003C219A">
        <w:rPr>
          <w:rFonts w:ascii="Book Antiqua" w:hAnsi="Book Antiqua"/>
          <w:b/>
          <w:bCs/>
        </w:rPr>
        <w:t>Yagi K</w:t>
      </w:r>
      <w:r w:rsidRPr="003C219A">
        <w:rPr>
          <w:rFonts w:ascii="Book Antiqua" w:hAnsi="Book Antiqua"/>
        </w:rPr>
        <w:t xml:space="preserve">, Nakamura A, Sekine A. Comparison between magnifying endoscopy and histological, culture and urease test findings from the gastric mucosa of the corpus. </w:t>
      </w:r>
      <w:r w:rsidRPr="003C219A">
        <w:rPr>
          <w:rFonts w:ascii="Book Antiqua" w:hAnsi="Book Antiqua"/>
          <w:i/>
          <w:iCs/>
        </w:rPr>
        <w:t>Endoscopy</w:t>
      </w:r>
      <w:r w:rsidRPr="003C219A">
        <w:rPr>
          <w:rFonts w:ascii="Book Antiqua" w:hAnsi="Book Antiqua"/>
        </w:rPr>
        <w:t xml:space="preserve"> 2002; </w:t>
      </w:r>
      <w:r w:rsidRPr="003C219A">
        <w:rPr>
          <w:rFonts w:ascii="Book Antiqua" w:hAnsi="Book Antiqua"/>
          <w:b/>
          <w:bCs/>
        </w:rPr>
        <w:t>34</w:t>
      </w:r>
      <w:r w:rsidRPr="003C219A">
        <w:rPr>
          <w:rFonts w:ascii="Book Antiqua" w:hAnsi="Book Antiqua"/>
        </w:rPr>
        <w:t>: 376-381 [PMID: 11972268 DOI: 10.1055/s-2002-25281]</w:t>
      </w:r>
    </w:p>
    <w:p w14:paraId="0BDFFF84"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23 </w:t>
      </w:r>
      <w:r w:rsidRPr="003C219A">
        <w:rPr>
          <w:rFonts w:ascii="Book Antiqua" w:hAnsi="Book Antiqua"/>
          <w:b/>
          <w:bCs/>
        </w:rPr>
        <w:t>Anagnostopoulos GK</w:t>
      </w:r>
      <w:r w:rsidRPr="003C219A">
        <w:rPr>
          <w:rFonts w:ascii="Book Antiqua" w:hAnsi="Book Antiqua"/>
        </w:rPr>
        <w:t xml:space="preserve">, Yao K, Kaye P, Fogden E, </w:t>
      </w:r>
      <w:proofErr w:type="spellStart"/>
      <w:r w:rsidRPr="003C219A">
        <w:rPr>
          <w:rFonts w:ascii="Book Antiqua" w:hAnsi="Book Antiqua"/>
        </w:rPr>
        <w:t>Fortun</w:t>
      </w:r>
      <w:proofErr w:type="spellEnd"/>
      <w:r w:rsidRPr="003C219A">
        <w:rPr>
          <w:rFonts w:ascii="Book Antiqua" w:hAnsi="Book Antiqua"/>
        </w:rPr>
        <w:t xml:space="preserve"> P, </w:t>
      </w:r>
      <w:proofErr w:type="spellStart"/>
      <w:r w:rsidRPr="003C219A">
        <w:rPr>
          <w:rFonts w:ascii="Book Antiqua" w:hAnsi="Book Antiqua"/>
        </w:rPr>
        <w:t>Shonde</w:t>
      </w:r>
      <w:proofErr w:type="spellEnd"/>
      <w:r w:rsidRPr="003C219A">
        <w:rPr>
          <w:rFonts w:ascii="Book Antiqua" w:hAnsi="Book Antiqua"/>
        </w:rPr>
        <w:t xml:space="preserve"> A, Foley S, Sunil S, Atherton JJ, Hawkey C, Ragunath K. High-resolution magnification endoscopy can reliably identify normal gastric mucosa, Helicobacter pylori-associated gastritis, and gastric atrophy. </w:t>
      </w:r>
      <w:r w:rsidRPr="003C219A">
        <w:rPr>
          <w:rFonts w:ascii="Book Antiqua" w:hAnsi="Book Antiqua"/>
          <w:i/>
          <w:iCs/>
        </w:rPr>
        <w:t>Endoscopy</w:t>
      </w:r>
      <w:r w:rsidRPr="003C219A">
        <w:rPr>
          <w:rFonts w:ascii="Book Antiqua" w:hAnsi="Book Antiqua"/>
        </w:rPr>
        <w:t xml:space="preserve"> 2007; </w:t>
      </w:r>
      <w:r w:rsidRPr="003C219A">
        <w:rPr>
          <w:rFonts w:ascii="Book Antiqua" w:hAnsi="Book Antiqua"/>
          <w:b/>
          <w:bCs/>
        </w:rPr>
        <w:t>39</w:t>
      </w:r>
      <w:r w:rsidRPr="003C219A">
        <w:rPr>
          <w:rFonts w:ascii="Book Antiqua" w:hAnsi="Book Antiqua"/>
        </w:rPr>
        <w:t>: 202-207 [PMID: 17273960 DOI: 10.1055/s-2006-945056]</w:t>
      </w:r>
    </w:p>
    <w:p w14:paraId="2B5A11FE"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24 </w:t>
      </w:r>
      <w:proofErr w:type="spellStart"/>
      <w:r w:rsidRPr="003C219A">
        <w:rPr>
          <w:rFonts w:ascii="Book Antiqua" w:hAnsi="Book Antiqua"/>
          <w:b/>
          <w:bCs/>
        </w:rPr>
        <w:t>Tahara</w:t>
      </w:r>
      <w:proofErr w:type="spellEnd"/>
      <w:r w:rsidRPr="003C219A">
        <w:rPr>
          <w:rFonts w:ascii="Book Antiqua" w:hAnsi="Book Antiqua"/>
          <w:b/>
          <w:bCs/>
        </w:rPr>
        <w:t xml:space="preserve"> T</w:t>
      </w:r>
      <w:r w:rsidRPr="003C219A">
        <w:rPr>
          <w:rFonts w:ascii="Book Antiqua" w:hAnsi="Book Antiqua"/>
        </w:rPr>
        <w:t xml:space="preserve">, Shibata T, Nakamura M, Yoshioka D, Okubo M, Arisawa T, Hirata I. Gastric mucosal pattern by using magnifying narrow-band imaging endoscopy clearly distinguishes histological and serological severity of chronic gastritis. </w:t>
      </w:r>
      <w:proofErr w:type="spellStart"/>
      <w:r w:rsidRPr="003C219A">
        <w:rPr>
          <w:rFonts w:ascii="Book Antiqua" w:hAnsi="Book Antiqua"/>
          <w:i/>
          <w:iCs/>
        </w:rPr>
        <w:t>Gastrointest</w:t>
      </w:r>
      <w:proofErr w:type="spellEnd"/>
      <w:r w:rsidRPr="003C219A">
        <w:rPr>
          <w:rFonts w:ascii="Book Antiqua" w:hAnsi="Book Antiqua"/>
          <w:i/>
          <w:iCs/>
        </w:rPr>
        <w:t xml:space="preserve"> </w:t>
      </w:r>
      <w:proofErr w:type="spellStart"/>
      <w:r w:rsidRPr="003C219A">
        <w:rPr>
          <w:rFonts w:ascii="Book Antiqua" w:hAnsi="Book Antiqua"/>
          <w:i/>
          <w:iCs/>
        </w:rPr>
        <w:t>Endosc</w:t>
      </w:r>
      <w:proofErr w:type="spellEnd"/>
      <w:r w:rsidRPr="003C219A">
        <w:rPr>
          <w:rFonts w:ascii="Book Antiqua" w:hAnsi="Book Antiqua"/>
        </w:rPr>
        <w:t xml:space="preserve"> 2009; </w:t>
      </w:r>
      <w:r w:rsidRPr="003C219A">
        <w:rPr>
          <w:rFonts w:ascii="Book Antiqua" w:hAnsi="Book Antiqua"/>
          <w:b/>
          <w:bCs/>
        </w:rPr>
        <w:t>70</w:t>
      </w:r>
      <w:r w:rsidRPr="003C219A">
        <w:rPr>
          <w:rFonts w:ascii="Book Antiqua" w:hAnsi="Book Antiqua"/>
        </w:rPr>
        <w:t>: 246-253 [PMID: 19386303 DOI: 10.1016/j.gie.2008.11.046]</w:t>
      </w:r>
    </w:p>
    <w:p w14:paraId="3971091A" w14:textId="77777777" w:rsidR="00F72C92" w:rsidRPr="003C219A" w:rsidRDefault="00F72C92" w:rsidP="003C219A">
      <w:pPr>
        <w:spacing w:line="360" w:lineRule="auto"/>
        <w:jc w:val="both"/>
        <w:rPr>
          <w:rFonts w:ascii="Book Antiqua" w:hAnsi="Book Antiqua"/>
        </w:rPr>
      </w:pPr>
      <w:r w:rsidRPr="003C219A">
        <w:rPr>
          <w:rFonts w:ascii="Book Antiqua" w:hAnsi="Book Antiqua"/>
        </w:rPr>
        <w:t xml:space="preserve">25 </w:t>
      </w:r>
      <w:r w:rsidRPr="003C219A">
        <w:rPr>
          <w:rFonts w:ascii="Book Antiqua" w:hAnsi="Book Antiqua"/>
          <w:b/>
          <w:bCs/>
        </w:rPr>
        <w:t>Cho JH</w:t>
      </w:r>
      <w:r w:rsidRPr="003C219A">
        <w:rPr>
          <w:rFonts w:ascii="Book Antiqua" w:hAnsi="Book Antiqua"/>
        </w:rPr>
        <w:t xml:space="preserve">, Jeon SR, Jin SY, Park S. Standard vs magnifying narrow-band imaging endoscopy for diagnosis of Helicobacter pylori infection and gastric precancerous conditions. </w:t>
      </w:r>
      <w:r w:rsidRPr="003C219A">
        <w:rPr>
          <w:rFonts w:ascii="Book Antiqua" w:hAnsi="Book Antiqua"/>
          <w:i/>
          <w:iCs/>
        </w:rPr>
        <w:t>World J Gastroenterol</w:t>
      </w:r>
      <w:r w:rsidRPr="003C219A">
        <w:rPr>
          <w:rFonts w:ascii="Book Antiqua" w:hAnsi="Book Antiqua"/>
        </w:rPr>
        <w:t xml:space="preserve"> 2021; </w:t>
      </w:r>
      <w:r w:rsidRPr="003C219A">
        <w:rPr>
          <w:rFonts w:ascii="Book Antiqua" w:hAnsi="Book Antiqua"/>
          <w:b/>
          <w:bCs/>
        </w:rPr>
        <w:t>27</w:t>
      </w:r>
      <w:r w:rsidRPr="003C219A">
        <w:rPr>
          <w:rFonts w:ascii="Book Antiqua" w:hAnsi="Book Antiqua"/>
        </w:rPr>
        <w:t>: 2238-2250 [PMID: 34025076 DOI: 10.3748/</w:t>
      </w:r>
      <w:proofErr w:type="gramStart"/>
      <w:r w:rsidRPr="003C219A">
        <w:rPr>
          <w:rFonts w:ascii="Book Antiqua" w:hAnsi="Book Antiqua"/>
        </w:rPr>
        <w:t>wjg.v27.i</w:t>
      </w:r>
      <w:proofErr w:type="gramEnd"/>
      <w:r w:rsidRPr="003C219A">
        <w:rPr>
          <w:rFonts w:ascii="Book Antiqua" w:hAnsi="Book Antiqua"/>
        </w:rPr>
        <w:t>18.2238]</w:t>
      </w:r>
    </w:p>
    <w:p w14:paraId="4076FD64" w14:textId="77777777" w:rsidR="00F72C92" w:rsidRPr="003C219A" w:rsidRDefault="00F72C92" w:rsidP="003C219A">
      <w:pPr>
        <w:spacing w:line="360" w:lineRule="auto"/>
        <w:jc w:val="both"/>
        <w:rPr>
          <w:rFonts w:ascii="Book Antiqua" w:hAnsi="Book Antiqua"/>
        </w:rPr>
      </w:pPr>
      <w:r w:rsidRPr="003C219A">
        <w:rPr>
          <w:rFonts w:ascii="Book Antiqua" w:hAnsi="Book Antiqua"/>
        </w:rPr>
        <w:lastRenderedPageBreak/>
        <w:t xml:space="preserve">26 </w:t>
      </w:r>
      <w:r w:rsidRPr="003C219A">
        <w:rPr>
          <w:rFonts w:ascii="Book Antiqua" w:hAnsi="Book Antiqua"/>
          <w:b/>
          <w:bCs/>
        </w:rPr>
        <w:t>Kawamura M</w:t>
      </w:r>
      <w:r w:rsidRPr="003C219A">
        <w:rPr>
          <w:rFonts w:ascii="Book Antiqua" w:hAnsi="Book Antiqua"/>
        </w:rPr>
        <w:t xml:space="preserve">, Sekine H, Abe S, Shibuya D, Kato K, Masuda T. Clinical significance of white gastric crypt openings observed via magnifying endoscopy. </w:t>
      </w:r>
      <w:r w:rsidRPr="003C219A">
        <w:rPr>
          <w:rFonts w:ascii="Book Antiqua" w:hAnsi="Book Antiqua"/>
          <w:i/>
          <w:iCs/>
        </w:rPr>
        <w:t>World J Gastroenterol</w:t>
      </w:r>
      <w:r w:rsidRPr="003C219A">
        <w:rPr>
          <w:rFonts w:ascii="Book Antiqua" w:hAnsi="Book Antiqua"/>
        </w:rPr>
        <w:t xml:space="preserve"> 2013; </w:t>
      </w:r>
      <w:r w:rsidRPr="003C219A">
        <w:rPr>
          <w:rFonts w:ascii="Book Antiqua" w:hAnsi="Book Antiqua"/>
          <w:b/>
          <w:bCs/>
        </w:rPr>
        <w:t>19</w:t>
      </w:r>
      <w:r w:rsidRPr="003C219A">
        <w:rPr>
          <w:rFonts w:ascii="Book Antiqua" w:hAnsi="Book Antiqua"/>
        </w:rPr>
        <w:t>: 9392-9398 [PMID: 24409067 DOI: 10.3748/</w:t>
      </w:r>
      <w:proofErr w:type="gramStart"/>
      <w:r w:rsidRPr="003C219A">
        <w:rPr>
          <w:rFonts w:ascii="Book Antiqua" w:hAnsi="Book Antiqua"/>
        </w:rPr>
        <w:t>wjg.v19.i</w:t>
      </w:r>
      <w:proofErr w:type="gramEnd"/>
      <w:r w:rsidRPr="003C219A">
        <w:rPr>
          <w:rFonts w:ascii="Book Antiqua" w:hAnsi="Book Antiqua"/>
        </w:rPr>
        <w:t>48.9392]</w:t>
      </w:r>
    </w:p>
    <w:bookmarkEnd w:id="828"/>
    <w:bookmarkEnd w:id="829"/>
    <w:p w14:paraId="194E37C4" w14:textId="77777777" w:rsidR="00A77B3E" w:rsidRPr="003C219A" w:rsidRDefault="00A77B3E" w:rsidP="003C219A">
      <w:pPr>
        <w:spacing w:line="360" w:lineRule="auto"/>
        <w:jc w:val="both"/>
        <w:rPr>
          <w:rFonts w:ascii="Book Antiqua" w:hAnsi="Book Antiqua"/>
        </w:rPr>
        <w:sectPr w:rsidR="00A77B3E" w:rsidRPr="003C219A" w:rsidSect="00F1617B">
          <w:footerReference w:type="default" r:id="rId9"/>
          <w:pgSz w:w="12240" w:h="15840"/>
          <w:pgMar w:top="1440" w:right="1440" w:bottom="1440" w:left="1440" w:header="720" w:footer="720" w:gutter="0"/>
          <w:cols w:space="720"/>
          <w:docGrid w:linePitch="360"/>
        </w:sectPr>
      </w:pPr>
    </w:p>
    <w:p w14:paraId="68BE1D90"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lastRenderedPageBreak/>
        <w:t>Footnotes</w:t>
      </w:r>
    </w:p>
    <w:p w14:paraId="60810277"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Institutional review board statement: </w:t>
      </w:r>
      <w:r w:rsidRPr="003C219A">
        <w:rPr>
          <w:rFonts w:ascii="Book Antiqua" w:eastAsia="Book Antiqua" w:hAnsi="Book Antiqua" w:cs="Book Antiqua"/>
        </w:rPr>
        <w:t>The study was reviewed and approved by the Ethical Committee of Blue Medical Group, 75000 Tuzla, Bosnia and Herzegovina.</w:t>
      </w:r>
    </w:p>
    <w:p w14:paraId="50487150" w14:textId="77777777" w:rsidR="00A77B3E" w:rsidRPr="003C219A" w:rsidRDefault="00A77B3E" w:rsidP="003C219A">
      <w:pPr>
        <w:spacing w:line="360" w:lineRule="auto"/>
        <w:jc w:val="both"/>
        <w:rPr>
          <w:rFonts w:ascii="Book Antiqua" w:hAnsi="Book Antiqua"/>
        </w:rPr>
      </w:pPr>
    </w:p>
    <w:p w14:paraId="062FDAFD" w14:textId="1E44380C"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Informed consent statement:</w:t>
      </w:r>
      <w:r w:rsidRPr="003C219A">
        <w:rPr>
          <w:rFonts w:ascii="Book Antiqua" w:eastAsia="Book Antiqua" w:hAnsi="Book Antiqua" w:cs="Book Antiqua"/>
        </w:rPr>
        <w:t xml:space="preserve"> </w:t>
      </w:r>
      <w:r w:rsidR="00F72C92" w:rsidRPr="003C219A">
        <w:rPr>
          <w:rFonts w:ascii="Book Antiqua" w:eastAsia="Book Antiqua" w:hAnsi="Book Antiqua" w:cs="Book Antiqua"/>
        </w:rPr>
        <w:t xml:space="preserve">The </w:t>
      </w:r>
      <w:r w:rsidR="00F72C92" w:rsidRPr="003C219A">
        <w:rPr>
          <w:rFonts w:ascii="Book Antiqua" w:eastAsia="Book Antiqua" w:hAnsi="Book Antiqua" w:cs="Book Antiqua"/>
          <w:color w:val="000000"/>
        </w:rPr>
        <w:t>signed, well-informed consent was obtained from all participants</w:t>
      </w:r>
      <w:r w:rsidRPr="003C219A">
        <w:rPr>
          <w:rFonts w:ascii="Book Antiqua" w:eastAsia="Book Antiqua" w:hAnsi="Book Antiqua" w:cs="Book Antiqua"/>
        </w:rPr>
        <w:t>.</w:t>
      </w:r>
    </w:p>
    <w:p w14:paraId="74F0D5FA" w14:textId="77777777" w:rsidR="00A77B3E" w:rsidRPr="003C219A" w:rsidRDefault="00A77B3E" w:rsidP="003C219A">
      <w:pPr>
        <w:spacing w:line="360" w:lineRule="auto"/>
        <w:jc w:val="both"/>
        <w:rPr>
          <w:rFonts w:ascii="Book Antiqua" w:hAnsi="Book Antiqua"/>
        </w:rPr>
      </w:pPr>
    </w:p>
    <w:p w14:paraId="564DCF41"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Conflict-of-interest statement: </w:t>
      </w:r>
      <w:r w:rsidRPr="003C219A">
        <w:rPr>
          <w:rFonts w:ascii="Book Antiqua" w:eastAsia="Book Antiqua" w:hAnsi="Book Antiqua" w:cs="Book Antiqua"/>
          <w:color w:val="000000"/>
        </w:rPr>
        <w:t>All the authors report no relevant conflicts of interest for this article.</w:t>
      </w:r>
    </w:p>
    <w:p w14:paraId="0214DF23" w14:textId="77777777" w:rsidR="00A77B3E" w:rsidRPr="003C219A" w:rsidRDefault="00A77B3E" w:rsidP="003C219A">
      <w:pPr>
        <w:spacing w:line="360" w:lineRule="auto"/>
        <w:jc w:val="both"/>
        <w:rPr>
          <w:rFonts w:ascii="Book Antiqua" w:hAnsi="Book Antiqua"/>
        </w:rPr>
      </w:pPr>
    </w:p>
    <w:p w14:paraId="75C0F21E"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Data sharing statement: </w:t>
      </w:r>
      <w:r w:rsidRPr="003C219A">
        <w:rPr>
          <w:rFonts w:ascii="Book Antiqua" w:eastAsia="Book Antiqua" w:hAnsi="Book Antiqua" w:cs="Book Antiqua"/>
        </w:rPr>
        <w:t>No additional data are available.</w:t>
      </w:r>
    </w:p>
    <w:p w14:paraId="06154FC8" w14:textId="77777777" w:rsidR="00A77B3E" w:rsidRPr="003C219A" w:rsidRDefault="00A77B3E" w:rsidP="003C219A">
      <w:pPr>
        <w:spacing w:line="360" w:lineRule="auto"/>
        <w:jc w:val="both"/>
        <w:rPr>
          <w:rFonts w:ascii="Book Antiqua" w:hAnsi="Book Antiqua"/>
        </w:rPr>
      </w:pPr>
    </w:p>
    <w:p w14:paraId="7AA25ED4"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STROBE statement: </w:t>
      </w:r>
      <w:r w:rsidRPr="003C219A">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421CED8A" w14:textId="77777777" w:rsidR="00A77B3E" w:rsidRPr="003C219A" w:rsidRDefault="00A77B3E" w:rsidP="003C219A">
      <w:pPr>
        <w:spacing w:line="360" w:lineRule="auto"/>
        <w:jc w:val="both"/>
        <w:rPr>
          <w:rFonts w:ascii="Book Antiqua" w:hAnsi="Book Antiqua"/>
        </w:rPr>
      </w:pPr>
    </w:p>
    <w:p w14:paraId="6AD1B127"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 xml:space="preserve">Open-Access: </w:t>
      </w:r>
      <w:r w:rsidRPr="003C219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C219A">
        <w:rPr>
          <w:rFonts w:ascii="Book Antiqua" w:eastAsia="Book Antiqua" w:hAnsi="Book Antiqua" w:cs="Book Antiqua"/>
        </w:rPr>
        <w:t>NonCommercial</w:t>
      </w:r>
      <w:proofErr w:type="spellEnd"/>
      <w:r w:rsidRPr="003C219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862633" w14:textId="77777777" w:rsidR="00A77B3E" w:rsidRPr="003C219A" w:rsidRDefault="00A77B3E" w:rsidP="003C219A">
      <w:pPr>
        <w:spacing w:line="360" w:lineRule="auto"/>
        <w:jc w:val="both"/>
        <w:rPr>
          <w:rFonts w:ascii="Book Antiqua" w:hAnsi="Book Antiqua"/>
        </w:rPr>
      </w:pPr>
    </w:p>
    <w:p w14:paraId="7A741DE8"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t xml:space="preserve">Provenance and peer review: </w:t>
      </w:r>
      <w:r w:rsidRPr="003C219A">
        <w:rPr>
          <w:rFonts w:ascii="Book Antiqua" w:eastAsia="Book Antiqua" w:hAnsi="Book Antiqua" w:cs="Book Antiqua"/>
        </w:rPr>
        <w:t>Unsolicited article; Externally peer reviewed.</w:t>
      </w:r>
    </w:p>
    <w:p w14:paraId="53AC5400"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t xml:space="preserve">Peer-review model: </w:t>
      </w:r>
      <w:r w:rsidRPr="003C219A">
        <w:rPr>
          <w:rFonts w:ascii="Book Antiqua" w:eastAsia="Book Antiqua" w:hAnsi="Book Antiqua" w:cs="Book Antiqua"/>
        </w:rPr>
        <w:t>Single blind</w:t>
      </w:r>
    </w:p>
    <w:p w14:paraId="151F749F" w14:textId="77777777" w:rsidR="00A77B3E" w:rsidRPr="003C219A" w:rsidRDefault="00A77B3E" w:rsidP="003C219A">
      <w:pPr>
        <w:spacing w:line="360" w:lineRule="auto"/>
        <w:jc w:val="both"/>
        <w:rPr>
          <w:rFonts w:ascii="Book Antiqua" w:hAnsi="Book Antiqua"/>
        </w:rPr>
      </w:pPr>
    </w:p>
    <w:p w14:paraId="72C9AB76"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t xml:space="preserve">Peer-review started: </w:t>
      </w:r>
      <w:r w:rsidRPr="003C219A">
        <w:rPr>
          <w:rFonts w:ascii="Book Antiqua" w:eastAsia="Book Antiqua" w:hAnsi="Book Antiqua" w:cs="Book Antiqua"/>
        </w:rPr>
        <w:t>October 18, 2023</w:t>
      </w:r>
    </w:p>
    <w:p w14:paraId="3DC3B472"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t xml:space="preserve">First decision: </w:t>
      </w:r>
      <w:r w:rsidRPr="003C219A">
        <w:rPr>
          <w:rFonts w:ascii="Book Antiqua" w:eastAsia="Book Antiqua" w:hAnsi="Book Antiqua" w:cs="Book Antiqua"/>
        </w:rPr>
        <w:t>December 25, 2023</w:t>
      </w:r>
    </w:p>
    <w:p w14:paraId="17EE4685"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t xml:space="preserve">Article in press: </w:t>
      </w:r>
    </w:p>
    <w:p w14:paraId="2B140C46" w14:textId="77777777" w:rsidR="00A77B3E" w:rsidRPr="003C219A" w:rsidRDefault="00A77B3E" w:rsidP="003C219A">
      <w:pPr>
        <w:spacing w:line="360" w:lineRule="auto"/>
        <w:jc w:val="both"/>
        <w:rPr>
          <w:rFonts w:ascii="Book Antiqua" w:hAnsi="Book Antiqua"/>
        </w:rPr>
      </w:pPr>
    </w:p>
    <w:p w14:paraId="3B27967F" w14:textId="66846549"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lastRenderedPageBreak/>
        <w:t xml:space="preserve">Specialty type: </w:t>
      </w:r>
      <w:r w:rsidR="00F72C92" w:rsidRPr="003C219A">
        <w:rPr>
          <w:rFonts w:ascii="Book Antiqua" w:eastAsia="微软雅黑" w:hAnsi="Book Antiqua" w:cs="宋体"/>
        </w:rPr>
        <w:t>Gastroenterology and hepatology</w:t>
      </w:r>
    </w:p>
    <w:p w14:paraId="78C56165"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t xml:space="preserve">Country/Territory of origin: </w:t>
      </w:r>
      <w:r w:rsidRPr="003C219A">
        <w:rPr>
          <w:rFonts w:ascii="Book Antiqua" w:eastAsia="Book Antiqua" w:hAnsi="Book Antiqua" w:cs="Book Antiqua"/>
        </w:rPr>
        <w:t>Bosnia and Herzegovina</w:t>
      </w:r>
    </w:p>
    <w:p w14:paraId="47366909"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color w:val="000000"/>
        </w:rPr>
        <w:t>Peer-review report’s scientific quality classification</w:t>
      </w:r>
    </w:p>
    <w:p w14:paraId="0D68562A"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rPr>
        <w:t>Grade A (Excellent): 0</w:t>
      </w:r>
    </w:p>
    <w:p w14:paraId="76BE3F34"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rPr>
        <w:t>Grade B (Very good): 0</w:t>
      </w:r>
    </w:p>
    <w:p w14:paraId="7B8BA5B3"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rPr>
        <w:t>Grade C (Good): C</w:t>
      </w:r>
    </w:p>
    <w:p w14:paraId="3760AEF3"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rPr>
        <w:t>Grade D (Fair): 0</w:t>
      </w:r>
    </w:p>
    <w:p w14:paraId="132481E9" w14:textId="77777777"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rPr>
        <w:t>Grade E (Poor): 0</w:t>
      </w:r>
    </w:p>
    <w:p w14:paraId="7A98951E" w14:textId="77777777" w:rsidR="00A77B3E" w:rsidRPr="003C219A" w:rsidRDefault="00A77B3E" w:rsidP="003C219A">
      <w:pPr>
        <w:spacing w:line="360" w:lineRule="auto"/>
        <w:jc w:val="both"/>
        <w:rPr>
          <w:rFonts w:ascii="Book Antiqua" w:hAnsi="Book Antiqua"/>
        </w:rPr>
      </w:pPr>
    </w:p>
    <w:p w14:paraId="36B5D02B" w14:textId="20AA21D7" w:rsidR="00F72C92" w:rsidRPr="003C219A" w:rsidRDefault="00000000" w:rsidP="003C219A">
      <w:pPr>
        <w:spacing w:line="360" w:lineRule="auto"/>
        <w:jc w:val="both"/>
        <w:rPr>
          <w:rFonts w:ascii="Book Antiqua" w:eastAsia="Book Antiqua" w:hAnsi="Book Antiqua" w:cs="Book Antiqua"/>
          <w:b/>
          <w:color w:val="000000"/>
        </w:rPr>
      </w:pPr>
      <w:r w:rsidRPr="003C219A">
        <w:rPr>
          <w:rFonts w:ascii="Book Antiqua" w:eastAsia="Book Antiqua" w:hAnsi="Book Antiqua" w:cs="Book Antiqua"/>
          <w:b/>
          <w:color w:val="000000"/>
        </w:rPr>
        <w:t xml:space="preserve">P-Reviewer: </w:t>
      </w:r>
      <w:r w:rsidRPr="003C219A">
        <w:rPr>
          <w:rFonts w:ascii="Book Antiqua" w:eastAsia="Book Antiqua" w:hAnsi="Book Antiqua" w:cs="Book Antiqua"/>
        </w:rPr>
        <w:t>Liu J, China</w:t>
      </w:r>
      <w:r w:rsidRPr="003C219A">
        <w:rPr>
          <w:rFonts w:ascii="Book Antiqua" w:eastAsia="Book Antiqua" w:hAnsi="Book Antiqua" w:cs="Book Antiqua"/>
          <w:b/>
          <w:color w:val="000000"/>
        </w:rPr>
        <w:t xml:space="preserve"> S-Editor: </w:t>
      </w:r>
      <w:r w:rsidR="00F72C92" w:rsidRPr="003C219A">
        <w:rPr>
          <w:rFonts w:ascii="Book Antiqua" w:eastAsia="Book Antiqua" w:hAnsi="Book Antiqua" w:cs="Book Antiqua"/>
          <w:bCs/>
          <w:color w:val="000000"/>
        </w:rPr>
        <w:t>Wang JJ</w:t>
      </w:r>
      <w:r w:rsidRPr="003C219A">
        <w:rPr>
          <w:rFonts w:ascii="Book Antiqua" w:eastAsia="Book Antiqua" w:hAnsi="Book Antiqua" w:cs="Book Antiqua"/>
          <w:b/>
          <w:color w:val="000000"/>
        </w:rPr>
        <w:t xml:space="preserve"> L-Editor: </w:t>
      </w:r>
      <w:r w:rsidR="002E0E72" w:rsidRPr="003C219A">
        <w:rPr>
          <w:rFonts w:ascii="Book Antiqua" w:eastAsia="Book Antiqua" w:hAnsi="Book Antiqua" w:cs="Book Antiqua"/>
          <w:bCs/>
          <w:color w:val="000000"/>
        </w:rPr>
        <w:t>Filipodia</w:t>
      </w:r>
      <w:r w:rsidRPr="003C219A">
        <w:rPr>
          <w:rFonts w:ascii="Book Antiqua" w:eastAsia="Book Antiqua" w:hAnsi="Book Antiqua" w:cs="Book Antiqua"/>
          <w:b/>
          <w:color w:val="000000"/>
        </w:rPr>
        <w:t xml:space="preserve"> P-Editor:</w:t>
      </w:r>
    </w:p>
    <w:p w14:paraId="4A9D990F" w14:textId="77FFCB7F" w:rsidR="00A77B3E" w:rsidRPr="003C219A" w:rsidRDefault="00A77B3E" w:rsidP="003C219A">
      <w:pPr>
        <w:spacing w:line="360" w:lineRule="auto"/>
        <w:jc w:val="both"/>
        <w:rPr>
          <w:rFonts w:ascii="Book Antiqua" w:hAnsi="Book Antiqua"/>
        </w:rPr>
        <w:sectPr w:rsidR="00A77B3E" w:rsidRPr="003C219A" w:rsidSect="00F1617B">
          <w:pgSz w:w="12240" w:h="15840"/>
          <w:pgMar w:top="1440" w:right="1440" w:bottom="1440" w:left="1440" w:header="720" w:footer="720" w:gutter="0"/>
          <w:cols w:space="720"/>
          <w:docGrid w:linePitch="360"/>
        </w:sectPr>
      </w:pPr>
    </w:p>
    <w:p w14:paraId="1B05A35A" w14:textId="77777777" w:rsidR="00A77B3E" w:rsidRPr="003C219A" w:rsidRDefault="00000000" w:rsidP="003C219A">
      <w:pPr>
        <w:spacing w:line="360" w:lineRule="auto"/>
        <w:jc w:val="both"/>
        <w:rPr>
          <w:rFonts w:ascii="Book Antiqua" w:eastAsia="Book Antiqua" w:hAnsi="Book Antiqua" w:cs="Book Antiqua"/>
          <w:b/>
          <w:color w:val="000000"/>
        </w:rPr>
      </w:pPr>
      <w:r w:rsidRPr="003C219A">
        <w:rPr>
          <w:rFonts w:ascii="Book Antiqua" w:eastAsia="Book Antiqua" w:hAnsi="Book Antiqua" w:cs="Book Antiqua"/>
          <w:b/>
          <w:color w:val="000000"/>
        </w:rPr>
        <w:lastRenderedPageBreak/>
        <w:t>Figure Legends</w:t>
      </w:r>
    </w:p>
    <w:p w14:paraId="3D66D996" w14:textId="588E42AA" w:rsidR="00F72C92" w:rsidRPr="003C219A" w:rsidRDefault="00F72C92" w:rsidP="003C219A">
      <w:pPr>
        <w:spacing w:line="360" w:lineRule="auto"/>
        <w:jc w:val="both"/>
        <w:rPr>
          <w:rFonts w:ascii="Book Antiqua" w:hAnsi="Book Antiqua"/>
        </w:rPr>
      </w:pPr>
      <w:r w:rsidRPr="003C219A">
        <w:rPr>
          <w:rFonts w:ascii="Book Antiqua" w:hAnsi="Book Antiqua"/>
          <w:noProof/>
        </w:rPr>
        <w:drawing>
          <wp:inline distT="0" distB="0" distL="0" distR="0" wp14:anchorId="64A05816" wp14:editId="76602625">
            <wp:extent cx="4618120" cy="3619814"/>
            <wp:effectExtent l="0" t="0" r="0" b="0"/>
            <wp:docPr id="327542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42650" name=""/>
                    <pic:cNvPicPr/>
                  </pic:nvPicPr>
                  <pic:blipFill>
                    <a:blip r:embed="rId10"/>
                    <a:stretch>
                      <a:fillRect/>
                    </a:stretch>
                  </pic:blipFill>
                  <pic:spPr>
                    <a:xfrm>
                      <a:off x="0" y="0"/>
                      <a:ext cx="4618120" cy="3619814"/>
                    </a:xfrm>
                    <a:prstGeom prst="rect">
                      <a:avLst/>
                    </a:prstGeom>
                  </pic:spPr>
                </pic:pic>
              </a:graphicData>
            </a:graphic>
          </wp:inline>
        </w:drawing>
      </w:r>
    </w:p>
    <w:p w14:paraId="42587170" w14:textId="612B5A82" w:rsidR="00A77B3E" w:rsidRPr="003C219A" w:rsidRDefault="00000000" w:rsidP="003C219A">
      <w:pPr>
        <w:spacing w:line="360" w:lineRule="auto"/>
        <w:jc w:val="both"/>
        <w:rPr>
          <w:rFonts w:ascii="Book Antiqua" w:eastAsia="Book Antiqua" w:hAnsi="Book Antiqua" w:cs="Book Antiqua"/>
        </w:rPr>
      </w:pPr>
      <w:r w:rsidRPr="003C219A">
        <w:rPr>
          <w:rFonts w:ascii="Book Antiqua" w:eastAsia="Book Antiqua" w:hAnsi="Book Antiqua" w:cs="Book Antiqua"/>
          <w:b/>
          <w:bCs/>
        </w:rPr>
        <w:t>Figure 1 White light endoscopy from the point of view of the first observer.</w:t>
      </w:r>
      <w:r w:rsidRPr="003C219A">
        <w:rPr>
          <w:rFonts w:ascii="Book Antiqua" w:eastAsia="Book Antiqua" w:hAnsi="Book Antiqua" w:cs="Book Antiqua"/>
        </w:rPr>
        <w:t xml:space="preserve"> A</w:t>
      </w:r>
      <w:r w:rsidR="00F72C92" w:rsidRPr="003C219A">
        <w:rPr>
          <w:rFonts w:ascii="Book Antiqua" w:eastAsia="Book Antiqua" w:hAnsi="Book Antiqua" w:cs="Book Antiqua"/>
        </w:rPr>
        <w:t xml:space="preserve"> and B</w:t>
      </w:r>
      <w:r w:rsidRPr="003C219A">
        <w:rPr>
          <w:rFonts w:ascii="Book Antiqua" w:eastAsia="Book Antiqua" w:hAnsi="Book Antiqua" w:cs="Book Antiqua"/>
        </w:rPr>
        <w:t xml:space="preserve">: </w:t>
      </w:r>
      <w:r w:rsidR="00334A9F" w:rsidRPr="003C219A">
        <w:rPr>
          <w:rFonts w:ascii="Book Antiqua" w:eastAsia="Book Antiqua" w:hAnsi="Book Antiqua" w:cs="Book Antiqua"/>
        </w:rPr>
        <w:t>W</w:t>
      </w:r>
      <w:r w:rsidRPr="003C219A">
        <w:rPr>
          <w:rFonts w:ascii="Book Antiqua" w:eastAsia="Book Antiqua" w:hAnsi="Book Antiqua" w:cs="Book Antiqua"/>
        </w:rPr>
        <w:t>hite light endoscopy (WLE)-1a pattern</w:t>
      </w:r>
      <w:r w:rsidR="00334A9F" w:rsidRPr="003C219A">
        <w:rPr>
          <w:rFonts w:ascii="Book Antiqua" w:eastAsia="Book Antiqua" w:hAnsi="Book Antiqua" w:cs="Book Antiqua"/>
        </w:rPr>
        <w:t xml:space="preserve"> and </w:t>
      </w:r>
      <w:r w:rsidRPr="003C219A">
        <w:rPr>
          <w:rFonts w:ascii="Book Antiqua" w:eastAsia="Book Antiqua" w:hAnsi="Book Antiqua" w:cs="Book Antiqua"/>
        </w:rPr>
        <w:t>WLE-2a pattern</w:t>
      </w:r>
      <w:r w:rsidR="00334A9F" w:rsidRPr="003C219A">
        <w:rPr>
          <w:rFonts w:ascii="Book Antiqua" w:eastAsia="Book Antiqua" w:hAnsi="Book Antiqua" w:cs="Book Antiqua"/>
        </w:rPr>
        <w:t xml:space="preserve"> shows a c</w:t>
      </w:r>
      <w:r w:rsidRPr="003C219A">
        <w:rPr>
          <w:rFonts w:ascii="Book Antiqua" w:eastAsia="Book Antiqua" w:hAnsi="Book Antiqua" w:cs="Book Antiqua"/>
        </w:rPr>
        <w:t xml:space="preserve">lear appearance of the regular arrangement of collecting venules (RAC) </w:t>
      </w:r>
      <w:r w:rsidR="00334A9F" w:rsidRPr="003C219A">
        <w:rPr>
          <w:rFonts w:ascii="Book Antiqua" w:eastAsia="Book Antiqua" w:hAnsi="Book Antiqua" w:cs="Book Antiqua"/>
        </w:rPr>
        <w:t>(</w:t>
      </w:r>
      <w:r w:rsidRPr="003C219A">
        <w:rPr>
          <w:rFonts w:ascii="Book Antiqua" w:eastAsia="Book Antiqua" w:hAnsi="Book Antiqua" w:cs="Book Antiqua"/>
        </w:rPr>
        <w:t>white arrow</w:t>
      </w:r>
      <w:r w:rsidR="00334A9F" w:rsidRPr="003C219A">
        <w:rPr>
          <w:rFonts w:ascii="Book Antiqua" w:eastAsia="Book Antiqua" w:hAnsi="Book Antiqua" w:cs="Book Antiqua"/>
        </w:rPr>
        <w:t>)</w:t>
      </w:r>
      <w:r w:rsidRPr="003C219A">
        <w:rPr>
          <w:rFonts w:ascii="Book Antiqua" w:eastAsia="Book Antiqua" w:hAnsi="Book Antiqua" w:cs="Book Antiqua"/>
        </w:rPr>
        <w:t>; C: WLE-b pattern</w:t>
      </w:r>
      <w:r w:rsidR="00334A9F" w:rsidRPr="003C219A">
        <w:rPr>
          <w:rFonts w:ascii="Book Antiqua" w:eastAsia="Book Antiqua" w:hAnsi="Book Antiqua" w:cs="Book Antiqua"/>
        </w:rPr>
        <w:t xml:space="preserve"> shows a l</w:t>
      </w:r>
      <w:r w:rsidRPr="003C219A">
        <w:rPr>
          <w:rFonts w:ascii="Book Antiqua" w:eastAsia="Book Antiqua" w:hAnsi="Book Antiqua" w:cs="Book Antiqua"/>
        </w:rPr>
        <w:t>ess clear appearance of the RAC</w:t>
      </w:r>
      <w:r w:rsidR="00334A9F" w:rsidRPr="003C219A">
        <w:rPr>
          <w:rFonts w:ascii="Book Antiqua" w:eastAsia="Book Antiqua" w:hAnsi="Book Antiqua" w:cs="Book Antiqua"/>
        </w:rPr>
        <w:t xml:space="preserve"> (</w:t>
      </w:r>
      <w:r w:rsidRPr="003C219A">
        <w:rPr>
          <w:rFonts w:ascii="Book Antiqua" w:eastAsia="Book Antiqua" w:hAnsi="Book Antiqua" w:cs="Book Antiqua"/>
        </w:rPr>
        <w:t>white arrow</w:t>
      </w:r>
      <w:r w:rsidR="00334A9F" w:rsidRPr="003C219A">
        <w:rPr>
          <w:rFonts w:ascii="Book Antiqua" w:eastAsia="Book Antiqua" w:hAnsi="Book Antiqua" w:cs="Book Antiqua"/>
        </w:rPr>
        <w:t>)</w:t>
      </w:r>
      <w:r w:rsidRPr="003C219A">
        <w:rPr>
          <w:rFonts w:ascii="Book Antiqua" w:eastAsia="Book Antiqua" w:hAnsi="Book Antiqua" w:cs="Book Antiqua"/>
        </w:rPr>
        <w:t>; D: WLE-c pattern</w:t>
      </w:r>
      <w:r w:rsidR="00334A9F" w:rsidRPr="003C219A">
        <w:rPr>
          <w:rFonts w:ascii="Book Antiqua" w:eastAsia="Book Antiqua" w:hAnsi="Book Antiqua" w:cs="Book Antiqua"/>
        </w:rPr>
        <w:t xml:space="preserve"> shows the a</w:t>
      </w:r>
      <w:r w:rsidRPr="003C219A">
        <w:rPr>
          <w:rFonts w:ascii="Book Antiqua" w:eastAsia="Book Antiqua" w:hAnsi="Book Antiqua" w:cs="Book Antiqua"/>
        </w:rPr>
        <w:t>bsence of the RAC.</w:t>
      </w:r>
    </w:p>
    <w:p w14:paraId="79A687D5" w14:textId="77777777" w:rsidR="00334A9F" w:rsidRPr="003C219A" w:rsidRDefault="00334A9F" w:rsidP="003C219A">
      <w:pPr>
        <w:spacing w:line="360" w:lineRule="auto"/>
        <w:jc w:val="both"/>
        <w:rPr>
          <w:rFonts w:ascii="Book Antiqua" w:eastAsia="Book Antiqua" w:hAnsi="Book Antiqua" w:cs="Book Antiqua"/>
        </w:rPr>
      </w:pPr>
    </w:p>
    <w:p w14:paraId="5BF12871" w14:textId="39426707" w:rsidR="00F72C92" w:rsidRPr="003C219A" w:rsidRDefault="00F72C92" w:rsidP="003C219A">
      <w:pPr>
        <w:spacing w:line="360" w:lineRule="auto"/>
        <w:jc w:val="both"/>
        <w:rPr>
          <w:rFonts w:ascii="Book Antiqua" w:hAnsi="Book Antiqua"/>
        </w:rPr>
      </w:pPr>
      <w:r w:rsidRPr="003C219A">
        <w:rPr>
          <w:rFonts w:ascii="Book Antiqua" w:hAnsi="Book Antiqua"/>
          <w:noProof/>
        </w:rPr>
        <w:lastRenderedPageBreak/>
        <w:drawing>
          <wp:inline distT="0" distB="0" distL="0" distR="0" wp14:anchorId="437756B4" wp14:editId="54460517">
            <wp:extent cx="5646909" cy="4412362"/>
            <wp:effectExtent l="0" t="0" r="0" b="7620"/>
            <wp:docPr id="1724441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41400" name=""/>
                    <pic:cNvPicPr/>
                  </pic:nvPicPr>
                  <pic:blipFill>
                    <a:blip r:embed="rId11"/>
                    <a:stretch>
                      <a:fillRect/>
                    </a:stretch>
                  </pic:blipFill>
                  <pic:spPr>
                    <a:xfrm>
                      <a:off x="0" y="0"/>
                      <a:ext cx="5646909" cy="4412362"/>
                    </a:xfrm>
                    <a:prstGeom prst="rect">
                      <a:avLst/>
                    </a:prstGeom>
                  </pic:spPr>
                </pic:pic>
              </a:graphicData>
            </a:graphic>
          </wp:inline>
        </w:drawing>
      </w:r>
    </w:p>
    <w:p w14:paraId="5604A2F0" w14:textId="5B8A09EA" w:rsidR="00A77B3E" w:rsidRPr="003C219A" w:rsidRDefault="00000000" w:rsidP="003C219A">
      <w:pPr>
        <w:spacing w:line="360" w:lineRule="auto"/>
        <w:jc w:val="both"/>
        <w:rPr>
          <w:rFonts w:ascii="Book Antiqua" w:hAnsi="Book Antiqua"/>
        </w:rPr>
      </w:pPr>
      <w:r w:rsidRPr="003C219A">
        <w:rPr>
          <w:rFonts w:ascii="Book Antiqua" w:eastAsia="Book Antiqua" w:hAnsi="Book Antiqua" w:cs="Book Antiqua"/>
          <w:b/>
          <w:bCs/>
        </w:rPr>
        <w:t>Figure 2 Near focus mode from the point of view of the first observer.</w:t>
      </w:r>
      <w:r w:rsidRPr="003C219A">
        <w:rPr>
          <w:rFonts w:ascii="Book Antiqua" w:eastAsia="Book Antiqua" w:hAnsi="Book Antiqua" w:cs="Book Antiqua"/>
        </w:rPr>
        <w:t xml:space="preserve"> A</w:t>
      </w:r>
      <w:r w:rsidR="00F72C92" w:rsidRPr="003C219A">
        <w:rPr>
          <w:rFonts w:ascii="Book Antiqua" w:eastAsia="Book Antiqua" w:hAnsi="Book Antiqua" w:cs="Book Antiqua"/>
        </w:rPr>
        <w:t>:</w:t>
      </w:r>
      <w:r w:rsidRPr="003C219A">
        <w:rPr>
          <w:rFonts w:ascii="Book Antiqua" w:eastAsia="Book Antiqua" w:hAnsi="Book Antiqua" w:cs="Book Antiqua"/>
        </w:rPr>
        <w:t xml:space="preserve"> </w:t>
      </w:r>
      <w:r w:rsidR="00334A9F" w:rsidRPr="003C219A">
        <w:rPr>
          <w:rFonts w:ascii="Book Antiqua" w:eastAsia="Book Antiqua" w:hAnsi="Book Antiqua" w:cs="Book Antiqua"/>
        </w:rPr>
        <w:t>N</w:t>
      </w:r>
      <w:r w:rsidRPr="003C219A">
        <w:rPr>
          <w:rFonts w:ascii="Book Antiqua" w:eastAsia="Book Antiqua" w:hAnsi="Book Antiqua" w:cs="Book Antiqua"/>
        </w:rPr>
        <w:t>ear focus (NF)-a pattern</w:t>
      </w:r>
      <w:r w:rsidR="00334A9F" w:rsidRPr="003C219A">
        <w:rPr>
          <w:rFonts w:ascii="Book Antiqua" w:eastAsia="Book Antiqua" w:hAnsi="Book Antiqua" w:cs="Book Antiqua"/>
        </w:rPr>
        <w:t xml:space="preserve"> shows a c</w:t>
      </w:r>
      <w:r w:rsidRPr="003C219A">
        <w:rPr>
          <w:rFonts w:ascii="Book Antiqua" w:eastAsia="Book Antiqua" w:hAnsi="Book Antiqua" w:cs="Book Antiqua"/>
        </w:rPr>
        <w:t xml:space="preserve">lear appearance of the regular arrangement of collecting venules </w:t>
      </w:r>
      <w:r w:rsidR="008F3BF3" w:rsidRPr="003C219A">
        <w:rPr>
          <w:rFonts w:ascii="Book Antiqua" w:eastAsia="Book Antiqua" w:hAnsi="Book Antiqua" w:cs="Book Antiqua"/>
        </w:rPr>
        <w:t>(</w:t>
      </w:r>
      <w:r w:rsidRPr="003C219A">
        <w:rPr>
          <w:rFonts w:ascii="Book Antiqua" w:eastAsia="Book Antiqua" w:hAnsi="Book Antiqua" w:cs="Book Antiqua"/>
        </w:rPr>
        <w:t>white arrow</w:t>
      </w:r>
      <w:r w:rsidR="008F3BF3" w:rsidRPr="003C219A">
        <w:rPr>
          <w:rFonts w:ascii="Book Antiqua" w:eastAsia="Book Antiqua" w:hAnsi="Book Antiqua" w:cs="Book Antiqua"/>
        </w:rPr>
        <w:t>)</w:t>
      </w:r>
      <w:r w:rsidRPr="003C219A">
        <w:rPr>
          <w:rFonts w:ascii="Book Antiqua" w:eastAsia="Book Antiqua" w:hAnsi="Book Antiqua" w:cs="Book Antiqua"/>
        </w:rPr>
        <w:t xml:space="preserve">, subepithelial capillary network (SECN) </w:t>
      </w:r>
      <w:r w:rsidR="008F3BF3" w:rsidRPr="003C219A">
        <w:rPr>
          <w:rFonts w:ascii="Book Antiqua" w:eastAsia="Book Antiqua" w:hAnsi="Book Antiqua" w:cs="Book Antiqua"/>
        </w:rPr>
        <w:t>(</w:t>
      </w:r>
      <w:r w:rsidRPr="003C219A">
        <w:rPr>
          <w:rFonts w:ascii="Book Antiqua" w:eastAsia="Book Antiqua" w:hAnsi="Book Antiqua" w:cs="Book Antiqua"/>
        </w:rPr>
        <w:t>black arrow</w:t>
      </w:r>
      <w:r w:rsidR="008F3BF3" w:rsidRPr="003C219A">
        <w:rPr>
          <w:rFonts w:ascii="Book Antiqua" w:eastAsia="Book Antiqua" w:hAnsi="Book Antiqua" w:cs="Book Antiqua"/>
        </w:rPr>
        <w:t>),</w:t>
      </w:r>
      <w:r w:rsidRPr="003C219A">
        <w:rPr>
          <w:rFonts w:ascii="Book Antiqua" w:eastAsia="Book Antiqua" w:hAnsi="Book Antiqua" w:cs="Book Antiqua"/>
        </w:rPr>
        <w:t xml:space="preserve"> and gastric pits (GP) </w:t>
      </w:r>
      <w:r w:rsidR="008F3BF3" w:rsidRPr="003C219A">
        <w:rPr>
          <w:rFonts w:ascii="Book Antiqua" w:eastAsia="Book Antiqua" w:hAnsi="Book Antiqua" w:cs="Book Antiqua"/>
        </w:rPr>
        <w:t>(</w:t>
      </w:r>
      <w:r w:rsidRPr="003C219A">
        <w:rPr>
          <w:rFonts w:ascii="Book Antiqua" w:eastAsia="Book Antiqua" w:hAnsi="Book Antiqua" w:cs="Book Antiqua"/>
        </w:rPr>
        <w:t>blue square</w:t>
      </w:r>
      <w:r w:rsidR="008F3BF3" w:rsidRPr="003C219A">
        <w:rPr>
          <w:rFonts w:ascii="Book Antiqua" w:eastAsia="Book Antiqua" w:hAnsi="Book Antiqua" w:cs="Book Antiqua"/>
        </w:rPr>
        <w:t>)</w:t>
      </w:r>
      <w:r w:rsidRPr="003C219A">
        <w:rPr>
          <w:rFonts w:ascii="Book Antiqua" w:eastAsia="Book Antiqua" w:hAnsi="Book Antiqua" w:cs="Book Antiqua"/>
        </w:rPr>
        <w:t>; B: NF-b pattern</w:t>
      </w:r>
      <w:r w:rsidR="008F3BF3" w:rsidRPr="003C219A">
        <w:rPr>
          <w:rFonts w:ascii="Book Antiqua" w:eastAsia="Book Antiqua" w:hAnsi="Book Antiqua" w:cs="Book Antiqua"/>
        </w:rPr>
        <w:t xml:space="preserve"> shows a l</w:t>
      </w:r>
      <w:r w:rsidRPr="003C219A">
        <w:rPr>
          <w:rFonts w:ascii="Book Antiqua" w:eastAsia="Book Antiqua" w:hAnsi="Book Antiqua" w:cs="Book Antiqua"/>
        </w:rPr>
        <w:t xml:space="preserve">ess clear appearance of the </w:t>
      </w:r>
      <w:r w:rsidR="008F3BF3" w:rsidRPr="003C219A">
        <w:rPr>
          <w:rFonts w:ascii="Book Antiqua" w:eastAsia="Book Antiqua" w:hAnsi="Book Antiqua" w:cs="Book Antiqua"/>
        </w:rPr>
        <w:t>regular arrangement of collecting venules</w:t>
      </w:r>
      <w:r w:rsidRPr="003C219A">
        <w:rPr>
          <w:rFonts w:ascii="Book Antiqua" w:eastAsia="Book Antiqua" w:hAnsi="Book Antiqua" w:cs="Book Antiqua"/>
        </w:rPr>
        <w:t xml:space="preserve"> </w:t>
      </w:r>
      <w:r w:rsidR="008F3BF3" w:rsidRPr="003C219A">
        <w:rPr>
          <w:rFonts w:ascii="Book Antiqua" w:eastAsia="Book Antiqua" w:hAnsi="Book Antiqua" w:cs="Book Antiqua"/>
        </w:rPr>
        <w:t>(</w:t>
      </w:r>
      <w:r w:rsidRPr="003C219A">
        <w:rPr>
          <w:rFonts w:ascii="Book Antiqua" w:eastAsia="Book Antiqua" w:hAnsi="Book Antiqua" w:cs="Book Antiqua"/>
        </w:rPr>
        <w:t>white arrow</w:t>
      </w:r>
      <w:r w:rsidR="008F3BF3" w:rsidRPr="003C219A">
        <w:rPr>
          <w:rFonts w:ascii="Book Antiqua" w:eastAsia="Book Antiqua" w:hAnsi="Book Antiqua" w:cs="Book Antiqua"/>
        </w:rPr>
        <w:t>) and a</w:t>
      </w:r>
      <w:r w:rsidRPr="003C219A">
        <w:rPr>
          <w:rFonts w:ascii="Book Antiqua" w:eastAsia="Book Antiqua" w:hAnsi="Book Antiqua" w:cs="Book Antiqua"/>
        </w:rPr>
        <w:t xml:space="preserve"> clear appearance of the SECN </w:t>
      </w:r>
      <w:r w:rsidR="008F3BF3" w:rsidRPr="003C219A">
        <w:rPr>
          <w:rFonts w:ascii="Book Antiqua" w:eastAsia="Book Antiqua" w:hAnsi="Book Antiqua" w:cs="Book Antiqua"/>
        </w:rPr>
        <w:t>(</w:t>
      </w:r>
      <w:r w:rsidRPr="003C219A">
        <w:rPr>
          <w:rFonts w:ascii="Book Antiqua" w:eastAsia="Book Antiqua" w:hAnsi="Book Antiqua" w:cs="Book Antiqua"/>
        </w:rPr>
        <w:t>black arrow</w:t>
      </w:r>
      <w:r w:rsidR="008F3BF3" w:rsidRPr="003C219A">
        <w:rPr>
          <w:rFonts w:ascii="Book Antiqua" w:eastAsia="Book Antiqua" w:hAnsi="Book Antiqua" w:cs="Book Antiqua"/>
        </w:rPr>
        <w:t>)</w:t>
      </w:r>
      <w:r w:rsidRPr="003C219A">
        <w:rPr>
          <w:rFonts w:ascii="Book Antiqua" w:eastAsia="Book Antiqua" w:hAnsi="Book Antiqua" w:cs="Book Antiqua"/>
        </w:rPr>
        <w:t xml:space="preserve"> and GP </w:t>
      </w:r>
      <w:r w:rsidR="008F3BF3" w:rsidRPr="003C219A">
        <w:rPr>
          <w:rFonts w:ascii="Book Antiqua" w:eastAsia="Book Antiqua" w:hAnsi="Book Antiqua" w:cs="Book Antiqua"/>
        </w:rPr>
        <w:t>(</w:t>
      </w:r>
      <w:r w:rsidRPr="003C219A">
        <w:rPr>
          <w:rFonts w:ascii="Book Antiqua" w:eastAsia="Book Antiqua" w:hAnsi="Book Antiqua" w:cs="Book Antiqua"/>
        </w:rPr>
        <w:t>blue square</w:t>
      </w:r>
      <w:r w:rsidR="008F3BF3" w:rsidRPr="003C219A">
        <w:rPr>
          <w:rFonts w:ascii="Book Antiqua" w:eastAsia="Book Antiqua" w:hAnsi="Book Antiqua" w:cs="Book Antiqua"/>
        </w:rPr>
        <w:t>)</w:t>
      </w:r>
      <w:r w:rsidRPr="003C219A">
        <w:rPr>
          <w:rFonts w:ascii="Book Antiqua" w:eastAsia="Book Antiqua" w:hAnsi="Book Antiqua" w:cs="Book Antiqua"/>
        </w:rPr>
        <w:t>; C: NF-c pattern</w:t>
      </w:r>
      <w:r w:rsidR="008F3BF3" w:rsidRPr="003C219A">
        <w:rPr>
          <w:rFonts w:ascii="Book Antiqua" w:eastAsia="Book Antiqua" w:hAnsi="Book Antiqua" w:cs="Book Antiqua"/>
        </w:rPr>
        <w:t xml:space="preserve"> shows a c</w:t>
      </w:r>
      <w:r w:rsidRPr="003C219A">
        <w:rPr>
          <w:rFonts w:ascii="Book Antiqua" w:eastAsia="Book Antiqua" w:hAnsi="Book Antiqua" w:cs="Book Antiqua"/>
        </w:rPr>
        <w:t>lear appearance of the SECN</w:t>
      </w:r>
      <w:r w:rsidR="008F3BF3" w:rsidRPr="003C219A">
        <w:rPr>
          <w:rFonts w:ascii="Book Antiqua" w:eastAsia="Book Antiqua" w:hAnsi="Book Antiqua" w:cs="Book Antiqua"/>
        </w:rPr>
        <w:t xml:space="preserve"> (</w:t>
      </w:r>
      <w:r w:rsidRPr="003C219A">
        <w:rPr>
          <w:rFonts w:ascii="Book Antiqua" w:eastAsia="Book Antiqua" w:hAnsi="Book Antiqua" w:cs="Book Antiqua"/>
        </w:rPr>
        <w:t>black arrow</w:t>
      </w:r>
      <w:r w:rsidR="008F3BF3" w:rsidRPr="003C219A">
        <w:rPr>
          <w:rFonts w:ascii="Book Antiqua" w:eastAsia="Book Antiqua" w:hAnsi="Book Antiqua" w:cs="Book Antiqua"/>
        </w:rPr>
        <w:t>)</w:t>
      </w:r>
      <w:r w:rsidRPr="003C219A">
        <w:rPr>
          <w:rFonts w:ascii="Book Antiqua" w:eastAsia="Book Antiqua" w:hAnsi="Book Antiqua" w:cs="Book Antiqua"/>
        </w:rPr>
        <w:t xml:space="preserve"> and GP </w:t>
      </w:r>
      <w:r w:rsidR="008F3BF3" w:rsidRPr="003C219A">
        <w:rPr>
          <w:rFonts w:ascii="Book Antiqua" w:eastAsia="Book Antiqua" w:hAnsi="Book Antiqua" w:cs="Book Antiqua"/>
        </w:rPr>
        <w:t>(</w:t>
      </w:r>
      <w:r w:rsidRPr="003C219A">
        <w:rPr>
          <w:rFonts w:ascii="Book Antiqua" w:eastAsia="Book Antiqua" w:hAnsi="Book Antiqua" w:cs="Book Antiqua"/>
        </w:rPr>
        <w:t>blue square</w:t>
      </w:r>
      <w:r w:rsidR="008F3BF3" w:rsidRPr="003C219A">
        <w:rPr>
          <w:rFonts w:ascii="Book Antiqua" w:eastAsia="Book Antiqua" w:hAnsi="Book Antiqua" w:cs="Book Antiqua"/>
        </w:rPr>
        <w:t>)</w:t>
      </w:r>
      <w:r w:rsidRPr="003C219A">
        <w:rPr>
          <w:rFonts w:ascii="Book Antiqua" w:eastAsia="Book Antiqua" w:hAnsi="Book Antiqua" w:cs="Book Antiqua"/>
        </w:rPr>
        <w:t>.</w:t>
      </w:r>
    </w:p>
    <w:p w14:paraId="20262D09" w14:textId="77777777" w:rsidR="00F72C92" w:rsidRPr="003C219A" w:rsidRDefault="00F72C92" w:rsidP="003C219A">
      <w:pPr>
        <w:spacing w:line="360" w:lineRule="auto"/>
        <w:jc w:val="both"/>
        <w:rPr>
          <w:rFonts w:ascii="Book Antiqua" w:eastAsia="Book Antiqua" w:hAnsi="Book Antiqua" w:cs="Book Antiqua"/>
          <w:b/>
          <w:bCs/>
        </w:rPr>
        <w:sectPr w:rsidR="00F72C92" w:rsidRPr="003C219A" w:rsidSect="00F1617B">
          <w:pgSz w:w="12240" w:h="15840"/>
          <w:pgMar w:top="1440" w:right="1440" w:bottom="1440" w:left="1440" w:header="720" w:footer="720" w:gutter="0"/>
          <w:cols w:space="720"/>
          <w:docGrid w:linePitch="360"/>
        </w:sectPr>
      </w:pPr>
    </w:p>
    <w:p w14:paraId="374AA586" w14:textId="500B6836" w:rsidR="00F72C92" w:rsidRPr="003C219A" w:rsidRDefault="00F72C92" w:rsidP="003C219A">
      <w:pPr>
        <w:spacing w:line="360" w:lineRule="auto"/>
        <w:jc w:val="both"/>
        <w:rPr>
          <w:rFonts w:ascii="Book Antiqua" w:eastAsia="Book Antiqua" w:hAnsi="Book Antiqua" w:cs="Book Antiqua"/>
          <w:b/>
          <w:bCs/>
        </w:rPr>
      </w:pPr>
      <w:r w:rsidRPr="003C219A">
        <w:rPr>
          <w:rFonts w:ascii="Book Antiqua" w:hAnsi="Book Antiqua"/>
          <w:noProof/>
        </w:rPr>
        <w:lastRenderedPageBreak/>
        <w:drawing>
          <wp:inline distT="0" distB="0" distL="0" distR="0" wp14:anchorId="60A9CC09" wp14:editId="6D056F1A">
            <wp:extent cx="4983912" cy="3878916"/>
            <wp:effectExtent l="0" t="0" r="7620" b="7620"/>
            <wp:docPr id="335417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17184" name=""/>
                    <pic:cNvPicPr/>
                  </pic:nvPicPr>
                  <pic:blipFill>
                    <a:blip r:embed="rId12"/>
                    <a:stretch>
                      <a:fillRect/>
                    </a:stretch>
                  </pic:blipFill>
                  <pic:spPr>
                    <a:xfrm>
                      <a:off x="0" y="0"/>
                      <a:ext cx="4983912" cy="3878916"/>
                    </a:xfrm>
                    <a:prstGeom prst="rect">
                      <a:avLst/>
                    </a:prstGeom>
                  </pic:spPr>
                </pic:pic>
              </a:graphicData>
            </a:graphic>
          </wp:inline>
        </w:drawing>
      </w:r>
    </w:p>
    <w:p w14:paraId="0AEBB572" w14:textId="1CF8012C" w:rsidR="00A77B3E" w:rsidRPr="003C219A" w:rsidRDefault="00000000" w:rsidP="003C219A">
      <w:pPr>
        <w:spacing w:line="360" w:lineRule="auto"/>
        <w:jc w:val="both"/>
        <w:rPr>
          <w:rFonts w:ascii="Book Antiqua" w:eastAsia="Book Antiqua" w:hAnsi="Book Antiqua" w:cs="Book Antiqua"/>
        </w:rPr>
      </w:pPr>
      <w:r w:rsidRPr="003C219A">
        <w:rPr>
          <w:rFonts w:ascii="Book Antiqua" w:eastAsia="Book Antiqua" w:hAnsi="Book Antiqua" w:cs="Book Antiqua"/>
          <w:b/>
          <w:bCs/>
        </w:rPr>
        <w:t xml:space="preserve">Figure 3 </w:t>
      </w:r>
      <w:bookmarkStart w:id="830" w:name="_Hlk158059421"/>
      <w:r w:rsidRPr="003C219A">
        <w:rPr>
          <w:rFonts w:ascii="Book Antiqua" w:eastAsia="Book Antiqua" w:hAnsi="Book Antiqua" w:cs="Book Antiqua"/>
          <w:b/>
          <w:bCs/>
        </w:rPr>
        <w:t>Near focus, narrow-band imaging</w:t>
      </w:r>
      <w:bookmarkEnd w:id="830"/>
      <w:r w:rsidRPr="003C219A">
        <w:rPr>
          <w:rFonts w:ascii="Book Antiqua" w:eastAsia="Book Antiqua" w:hAnsi="Book Antiqua" w:cs="Book Antiqua"/>
          <w:b/>
          <w:bCs/>
        </w:rPr>
        <w:t xml:space="preserve"> mode from the point of view of the first observer.</w:t>
      </w:r>
      <w:r w:rsidRPr="003C219A">
        <w:rPr>
          <w:rFonts w:ascii="Book Antiqua" w:eastAsia="Book Antiqua" w:hAnsi="Book Antiqua" w:cs="Book Antiqua"/>
        </w:rPr>
        <w:t xml:space="preserve"> A</w:t>
      </w:r>
      <w:r w:rsidR="00F72C92" w:rsidRPr="003C219A">
        <w:rPr>
          <w:rFonts w:ascii="Book Antiqua" w:eastAsia="Book Antiqua" w:hAnsi="Book Antiqua" w:cs="Book Antiqua"/>
        </w:rPr>
        <w:t xml:space="preserve"> and B:</w:t>
      </w:r>
      <w:r w:rsidRPr="003C219A">
        <w:rPr>
          <w:rFonts w:ascii="Book Antiqua" w:eastAsia="Book Antiqua" w:hAnsi="Book Antiqua" w:cs="Book Antiqua"/>
        </w:rPr>
        <w:t xml:space="preserve"> </w:t>
      </w:r>
      <w:r w:rsidR="008F3BF3" w:rsidRPr="003C219A">
        <w:rPr>
          <w:rFonts w:ascii="Book Antiqua" w:eastAsia="Book Antiqua" w:hAnsi="Book Antiqua" w:cs="Book Antiqua"/>
        </w:rPr>
        <w:t>N</w:t>
      </w:r>
      <w:r w:rsidR="00F72C92" w:rsidRPr="003C219A">
        <w:rPr>
          <w:rFonts w:ascii="Book Antiqua" w:eastAsia="Book Antiqua" w:hAnsi="Book Antiqua" w:cs="Book Antiqua"/>
        </w:rPr>
        <w:t>ear focus (NF)-narrow-band imaging (NBI)</w:t>
      </w:r>
      <w:r w:rsidRPr="003C219A">
        <w:rPr>
          <w:rFonts w:ascii="Book Antiqua" w:eastAsia="Book Antiqua" w:hAnsi="Book Antiqua" w:cs="Book Antiqua"/>
        </w:rPr>
        <w:t>-1a pattern and NF-NBI-2a pattern</w:t>
      </w:r>
      <w:r w:rsidR="008F3BF3" w:rsidRPr="003C219A">
        <w:rPr>
          <w:rFonts w:ascii="Book Antiqua" w:eastAsia="Book Antiqua" w:hAnsi="Book Antiqua" w:cs="Book Antiqua"/>
        </w:rPr>
        <w:t xml:space="preserve"> show a</w:t>
      </w:r>
      <w:r w:rsidRPr="003C219A">
        <w:rPr>
          <w:rFonts w:ascii="Book Antiqua" w:eastAsia="Book Antiqua" w:hAnsi="Book Antiqua" w:cs="Book Antiqua"/>
        </w:rPr>
        <w:t xml:space="preserve"> </w:t>
      </w:r>
      <w:r w:rsidR="008F3BF3" w:rsidRPr="003C219A">
        <w:rPr>
          <w:rFonts w:ascii="Book Antiqua" w:eastAsia="Book Antiqua" w:hAnsi="Book Antiqua" w:cs="Book Antiqua"/>
        </w:rPr>
        <w:t>c</w:t>
      </w:r>
      <w:r w:rsidRPr="003C219A">
        <w:rPr>
          <w:rFonts w:ascii="Book Antiqua" w:eastAsia="Book Antiqua" w:hAnsi="Book Antiqua" w:cs="Book Antiqua"/>
        </w:rPr>
        <w:t xml:space="preserve">lear appearance of the regular arrangement of collecting venules </w:t>
      </w:r>
      <w:r w:rsidR="008F3BF3" w:rsidRPr="003C219A">
        <w:rPr>
          <w:rFonts w:ascii="Book Antiqua" w:eastAsia="Book Antiqua" w:hAnsi="Book Antiqua" w:cs="Book Antiqua"/>
        </w:rPr>
        <w:t>(</w:t>
      </w:r>
      <w:r w:rsidRPr="003C219A">
        <w:rPr>
          <w:rFonts w:ascii="Book Antiqua" w:eastAsia="Book Antiqua" w:hAnsi="Book Antiqua" w:cs="Book Antiqua"/>
        </w:rPr>
        <w:t>white arrow</w:t>
      </w:r>
      <w:r w:rsidR="008F3BF3" w:rsidRPr="003C219A">
        <w:rPr>
          <w:rFonts w:ascii="Book Antiqua" w:eastAsia="Book Antiqua" w:hAnsi="Book Antiqua" w:cs="Book Antiqua"/>
        </w:rPr>
        <w:t>)</w:t>
      </w:r>
      <w:r w:rsidRPr="003C219A">
        <w:rPr>
          <w:rFonts w:ascii="Book Antiqua" w:eastAsia="Book Antiqua" w:hAnsi="Book Antiqua" w:cs="Book Antiqua"/>
        </w:rPr>
        <w:t xml:space="preserve">, subepithelial capillary network </w:t>
      </w:r>
      <w:r w:rsidR="008F3BF3" w:rsidRPr="003C219A">
        <w:rPr>
          <w:rFonts w:ascii="Book Antiqua" w:eastAsia="Book Antiqua" w:hAnsi="Book Antiqua" w:cs="Book Antiqua"/>
        </w:rPr>
        <w:t>(</w:t>
      </w:r>
      <w:r w:rsidRPr="003C219A">
        <w:rPr>
          <w:rFonts w:ascii="Book Antiqua" w:eastAsia="Book Antiqua" w:hAnsi="Book Antiqua" w:cs="Book Antiqua"/>
        </w:rPr>
        <w:t>black arrow</w:t>
      </w:r>
      <w:r w:rsidR="008F3BF3" w:rsidRPr="003C219A">
        <w:rPr>
          <w:rFonts w:ascii="Book Antiqua" w:eastAsia="Book Antiqua" w:hAnsi="Book Antiqua" w:cs="Book Antiqua"/>
        </w:rPr>
        <w:t>)</w:t>
      </w:r>
      <w:r w:rsidRPr="003C219A">
        <w:rPr>
          <w:rFonts w:ascii="Book Antiqua" w:eastAsia="Book Antiqua" w:hAnsi="Book Antiqua" w:cs="Book Antiqua"/>
        </w:rPr>
        <w:t xml:space="preserve">, gastric pits </w:t>
      </w:r>
      <w:r w:rsidR="008F3BF3" w:rsidRPr="003C219A">
        <w:rPr>
          <w:rFonts w:ascii="Book Antiqua" w:eastAsia="Book Antiqua" w:hAnsi="Book Antiqua" w:cs="Book Antiqua"/>
        </w:rPr>
        <w:t>(</w:t>
      </w:r>
      <w:r w:rsidRPr="003C219A">
        <w:rPr>
          <w:rFonts w:ascii="Book Antiqua" w:eastAsia="Book Antiqua" w:hAnsi="Book Antiqua" w:cs="Book Antiqua"/>
        </w:rPr>
        <w:t>blue square</w:t>
      </w:r>
      <w:r w:rsidR="008F3BF3" w:rsidRPr="003C219A">
        <w:rPr>
          <w:rFonts w:ascii="Book Antiqua" w:eastAsia="Book Antiqua" w:hAnsi="Book Antiqua" w:cs="Book Antiqua"/>
        </w:rPr>
        <w:t>),</w:t>
      </w:r>
      <w:r w:rsidRPr="003C219A">
        <w:rPr>
          <w:rFonts w:ascii="Book Antiqua" w:eastAsia="Book Antiqua" w:hAnsi="Book Antiqua" w:cs="Book Antiqua"/>
        </w:rPr>
        <w:t xml:space="preserve"> and crypt opening (green arrow, right upper corner</w:t>
      </w:r>
      <w:r w:rsidR="008F3BF3" w:rsidRPr="003C219A">
        <w:rPr>
          <w:rFonts w:ascii="Book Antiqua" w:eastAsia="Book Antiqua" w:hAnsi="Book Antiqua" w:cs="Book Antiqua"/>
        </w:rPr>
        <w:t>)</w:t>
      </w:r>
      <w:r w:rsidR="00F72C92" w:rsidRPr="003C219A">
        <w:rPr>
          <w:rFonts w:ascii="Book Antiqua" w:eastAsia="Book Antiqua" w:hAnsi="Book Antiqua" w:cs="Book Antiqua"/>
        </w:rPr>
        <w:t>;</w:t>
      </w:r>
      <w:r w:rsidRPr="003C219A">
        <w:rPr>
          <w:rFonts w:ascii="Book Antiqua" w:eastAsia="Book Antiqua" w:hAnsi="Book Antiqua" w:cs="Book Antiqua"/>
        </w:rPr>
        <w:t xml:space="preserve"> C</w:t>
      </w:r>
      <w:r w:rsidR="00F72C92" w:rsidRPr="003C219A">
        <w:rPr>
          <w:rFonts w:ascii="Book Antiqua" w:eastAsia="Book Antiqua" w:hAnsi="Book Antiqua" w:cs="Book Antiqua"/>
        </w:rPr>
        <w:t>:</w:t>
      </w:r>
      <w:r w:rsidRPr="003C219A">
        <w:rPr>
          <w:rFonts w:ascii="Book Antiqua" w:eastAsia="Book Antiqua" w:hAnsi="Book Antiqua" w:cs="Book Antiqua"/>
        </w:rPr>
        <w:t xml:space="preserve"> NF-NBI-b pattern</w:t>
      </w:r>
      <w:r w:rsidR="008F3BF3" w:rsidRPr="003C219A">
        <w:rPr>
          <w:rFonts w:ascii="Book Antiqua" w:eastAsia="Book Antiqua" w:hAnsi="Book Antiqua" w:cs="Book Antiqua"/>
        </w:rPr>
        <w:t xml:space="preserve"> shows a c</w:t>
      </w:r>
      <w:r w:rsidRPr="003C219A">
        <w:rPr>
          <w:rFonts w:ascii="Book Antiqua" w:eastAsia="Book Antiqua" w:hAnsi="Book Antiqua" w:cs="Book Antiqua"/>
        </w:rPr>
        <w:t xml:space="preserve">lear appearance of the </w:t>
      </w:r>
      <w:r w:rsidR="008F3BF3" w:rsidRPr="003C219A">
        <w:rPr>
          <w:rFonts w:ascii="Book Antiqua" w:eastAsia="Book Antiqua" w:hAnsi="Book Antiqua" w:cs="Book Antiqua"/>
        </w:rPr>
        <w:t>subepithelial capillary network</w:t>
      </w:r>
      <w:r w:rsidRPr="003C219A">
        <w:rPr>
          <w:rFonts w:ascii="Book Antiqua" w:eastAsia="Book Antiqua" w:hAnsi="Book Antiqua" w:cs="Book Antiqua"/>
        </w:rPr>
        <w:t xml:space="preserve"> </w:t>
      </w:r>
      <w:r w:rsidR="008F3BF3" w:rsidRPr="003C219A">
        <w:rPr>
          <w:rFonts w:ascii="Book Antiqua" w:eastAsia="Book Antiqua" w:hAnsi="Book Antiqua" w:cs="Book Antiqua"/>
        </w:rPr>
        <w:t>(</w:t>
      </w:r>
      <w:r w:rsidRPr="003C219A">
        <w:rPr>
          <w:rFonts w:ascii="Book Antiqua" w:eastAsia="Book Antiqua" w:hAnsi="Book Antiqua" w:cs="Book Antiqua"/>
        </w:rPr>
        <w:t>black arrow</w:t>
      </w:r>
      <w:r w:rsidR="008F3BF3" w:rsidRPr="003C219A">
        <w:rPr>
          <w:rFonts w:ascii="Book Antiqua" w:eastAsia="Book Antiqua" w:hAnsi="Book Antiqua" w:cs="Book Antiqua"/>
        </w:rPr>
        <w:t>)</w:t>
      </w:r>
      <w:r w:rsidRPr="003C219A">
        <w:rPr>
          <w:rFonts w:ascii="Book Antiqua" w:eastAsia="Book Antiqua" w:hAnsi="Book Antiqua" w:cs="Book Antiqua"/>
        </w:rPr>
        <w:t xml:space="preserve"> and </w:t>
      </w:r>
      <w:r w:rsidR="008F3BF3" w:rsidRPr="003C219A">
        <w:rPr>
          <w:rFonts w:ascii="Book Antiqua" w:eastAsia="Book Antiqua" w:hAnsi="Book Antiqua" w:cs="Book Antiqua"/>
        </w:rPr>
        <w:t>gastric pits</w:t>
      </w:r>
      <w:r w:rsidRPr="003C219A">
        <w:rPr>
          <w:rFonts w:ascii="Book Antiqua" w:eastAsia="Book Antiqua" w:hAnsi="Book Antiqua" w:cs="Book Antiqua"/>
        </w:rPr>
        <w:t xml:space="preserve"> </w:t>
      </w:r>
      <w:r w:rsidR="008F3BF3" w:rsidRPr="003C219A">
        <w:rPr>
          <w:rFonts w:ascii="Book Antiqua" w:eastAsia="Book Antiqua" w:hAnsi="Book Antiqua" w:cs="Book Antiqua"/>
        </w:rPr>
        <w:t>(</w:t>
      </w:r>
      <w:r w:rsidRPr="003C219A">
        <w:rPr>
          <w:rFonts w:ascii="Book Antiqua" w:eastAsia="Book Antiqua" w:hAnsi="Book Antiqua" w:cs="Book Antiqua"/>
        </w:rPr>
        <w:t>blue square</w:t>
      </w:r>
      <w:r w:rsidR="008F3BF3" w:rsidRPr="003C219A">
        <w:rPr>
          <w:rFonts w:ascii="Book Antiqua" w:eastAsia="Book Antiqua" w:hAnsi="Book Antiqua" w:cs="Book Antiqua"/>
        </w:rPr>
        <w:t>)</w:t>
      </w:r>
      <w:r w:rsidRPr="003C219A">
        <w:rPr>
          <w:rFonts w:ascii="Book Antiqua" w:eastAsia="Book Antiqua" w:hAnsi="Book Antiqua" w:cs="Book Antiqua"/>
        </w:rPr>
        <w:t xml:space="preserve">. </w:t>
      </w:r>
      <w:r w:rsidR="008F3BF3" w:rsidRPr="003C219A">
        <w:rPr>
          <w:rFonts w:ascii="Book Antiqua" w:eastAsia="Book Antiqua" w:hAnsi="Book Antiqua" w:cs="Book Antiqua"/>
        </w:rPr>
        <w:t>A l</w:t>
      </w:r>
      <w:r w:rsidRPr="003C219A">
        <w:rPr>
          <w:rFonts w:ascii="Book Antiqua" w:eastAsia="Book Antiqua" w:hAnsi="Book Antiqua" w:cs="Book Antiqua"/>
        </w:rPr>
        <w:t xml:space="preserve">ess clear appearance of the </w:t>
      </w:r>
      <w:r w:rsidR="008F3BF3" w:rsidRPr="003C219A">
        <w:rPr>
          <w:rFonts w:ascii="Book Antiqua" w:eastAsia="Book Antiqua" w:hAnsi="Book Antiqua" w:cs="Book Antiqua"/>
        </w:rPr>
        <w:t>crypt opening (</w:t>
      </w:r>
      <w:r w:rsidRPr="003C219A">
        <w:rPr>
          <w:rFonts w:ascii="Book Antiqua" w:eastAsia="Book Antiqua" w:hAnsi="Book Antiqua" w:cs="Book Antiqua"/>
        </w:rPr>
        <w:t>green arrow, right upper corner</w:t>
      </w:r>
      <w:r w:rsidR="008F3BF3" w:rsidRPr="003C219A">
        <w:rPr>
          <w:rFonts w:ascii="Book Antiqua" w:eastAsia="Book Antiqua" w:hAnsi="Book Antiqua" w:cs="Book Antiqua"/>
        </w:rPr>
        <w:t>) is observed</w:t>
      </w:r>
      <w:r w:rsidRPr="003C219A">
        <w:rPr>
          <w:rFonts w:ascii="Book Antiqua" w:eastAsia="Book Antiqua" w:hAnsi="Book Antiqua" w:cs="Book Antiqua"/>
        </w:rPr>
        <w:t>.</w:t>
      </w:r>
    </w:p>
    <w:p w14:paraId="49FDCB55" w14:textId="77777777" w:rsidR="00354993" w:rsidRPr="003C219A" w:rsidRDefault="00354993" w:rsidP="003C219A">
      <w:pPr>
        <w:spacing w:line="360" w:lineRule="auto"/>
        <w:jc w:val="both"/>
        <w:rPr>
          <w:rFonts w:ascii="Book Antiqua" w:hAnsi="Book Antiqua"/>
        </w:rPr>
        <w:sectPr w:rsidR="00354993" w:rsidRPr="003C219A" w:rsidSect="00F1617B">
          <w:pgSz w:w="12240" w:h="15840"/>
          <w:pgMar w:top="1440" w:right="1440" w:bottom="1440" w:left="1440" w:header="720" w:footer="720" w:gutter="0"/>
          <w:cols w:space="720"/>
          <w:docGrid w:linePitch="360"/>
        </w:sectPr>
      </w:pPr>
    </w:p>
    <w:p w14:paraId="00F8B576" w14:textId="00BF392D" w:rsidR="00354993" w:rsidRPr="003C219A" w:rsidRDefault="00354993" w:rsidP="003C219A">
      <w:pPr>
        <w:spacing w:line="360" w:lineRule="auto"/>
        <w:jc w:val="both"/>
        <w:rPr>
          <w:rFonts w:ascii="Book Antiqua" w:hAnsi="Book Antiqua"/>
        </w:rPr>
      </w:pPr>
      <w:r w:rsidRPr="003C219A">
        <w:rPr>
          <w:rFonts w:ascii="Book Antiqua" w:hAnsi="Book Antiqua"/>
          <w:noProof/>
        </w:rPr>
        <w:lastRenderedPageBreak/>
        <w:drawing>
          <wp:inline distT="0" distB="0" distL="0" distR="0" wp14:anchorId="43012E8B" wp14:editId="71944A37">
            <wp:extent cx="5943600" cy="3070860"/>
            <wp:effectExtent l="0" t="0" r="0" b="0"/>
            <wp:docPr id="604795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95924" name=""/>
                    <pic:cNvPicPr/>
                  </pic:nvPicPr>
                  <pic:blipFill>
                    <a:blip r:embed="rId13"/>
                    <a:stretch>
                      <a:fillRect/>
                    </a:stretch>
                  </pic:blipFill>
                  <pic:spPr>
                    <a:xfrm>
                      <a:off x="0" y="0"/>
                      <a:ext cx="5943600" cy="3070860"/>
                    </a:xfrm>
                    <a:prstGeom prst="rect">
                      <a:avLst/>
                    </a:prstGeom>
                  </pic:spPr>
                </pic:pic>
              </a:graphicData>
            </a:graphic>
          </wp:inline>
        </w:drawing>
      </w:r>
    </w:p>
    <w:p w14:paraId="0F9C8B3E" w14:textId="0CE841F5" w:rsidR="00A77B3E" w:rsidRPr="003C219A" w:rsidRDefault="00000000" w:rsidP="003C219A">
      <w:pPr>
        <w:spacing w:line="360" w:lineRule="auto"/>
        <w:jc w:val="both"/>
        <w:rPr>
          <w:rFonts w:ascii="Book Antiqua" w:eastAsia="Book Antiqua" w:hAnsi="Book Antiqua" w:cs="Book Antiqua"/>
        </w:rPr>
      </w:pPr>
      <w:r w:rsidRPr="003C219A">
        <w:rPr>
          <w:rFonts w:ascii="Book Antiqua" w:eastAsia="Book Antiqua" w:hAnsi="Book Antiqua" w:cs="Book Antiqua"/>
          <w:b/>
          <w:bCs/>
        </w:rPr>
        <w:t xml:space="preserve">Figure 4 Acetic acid, near focus and </w:t>
      </w:r>
      <w:r w:rsidR="00354993" w:rsidRPr="003C219A">
        <w:rPr>
          <w:rFonts w:ascii="Book Antiqua" w:eastAsia="Book Antiqua" w:hAnsi="Book Antiqua" w:cs="Book Antiqua"/>
          <w:b/>
          <w:bCs/>
        </w:rPr>
        <w:t>acetic acid-near focus</w:t>
      </w:r>
      <w:r w:rsidRPr="003C219A">
        <w:rPr>
          <w:rFonts w:ascii="Book Antiqua" w:eastAsia="Book Antiqua" w:hAnsi="Book Antiqua" w:cs="Book Antiqua"/>
          <w:b/>
          <w:bCs/>
        </w:rPr>
        <w:t>, narrow-band imaging mode from the point of view of the first observer.</w:t>
      </w:r>
      <w:r w:rsidR="00354993" w:rsidRPr="003C219A">
        <w:rPr>
          <w:rFonts w:ascii="Book Antiqua" w:eastAsia="Book Antiqua" w:hAnsi="Book Antiqua" w:cs="Book Antiqua"/>
        </w:rPr>
        <w:t xml:space="preserve"> A and B:</w:t>
      </w:r>
      <w:r w:rsidRPr="003C219A">
        <w:rPr>
          <w:rFonts w:ascii="Book Antiqua" w:eastAsia="Book Antiqua" w:hAnsi="Book Antiqua" w:cs="Book Antiqua"/>
        </w:rPr>
        <w:t xml:space="preserve"> A1 image </w:t>
      </w:r>
      <w:r w:rsidR="00354993" w:rsidRPr="003C219A">
        <w:rPr>
          <w:rFonts w:ascii="Book Antiqua" w:eastAsia="Book Antiqua" w:hAnsi="Book Antiqua" w:cs="Book Antiqua"/>
        </w:rPr>
        <w:t>[acetic acid (AA)-near focus (NF)</w:t>
      </w:r>
      <w:r w:rsidRPr="003C219A">
        <w:rPr>
          <w:rFonts w:ascii="Book Antiqua" w:eastAsia="Book Antiqua" w:hAnsi="Book Antiqua" w:cs="Book Antiqua"/>
        </w:rPr>
        <w:t xml:space="preserve"> pattern</w:t>
      </w:r>
      <w:r w:rsidR="00354993" w:rsidRPr="003C219A">
        <w:rPr>
          <w:rFonts w:ascii="Book Antiqua" w:eastAsia="Book Antiqua" w:hAnsi="Book Antiqua" w:cs="Book Antiqua"/>
        </w:rPr>
        <w:t>]</w:t>
      </w:r>
      <w:r w:rsidRPr="003C219A">
        <w:rPr>
          <w:rFonts w:ascii="Book Antiqua" w:eastAsia="Book Antiqua" w:hAnsi="Book Antiqua" w:cs="Book Antiqua"/>
        </w:rPr>
        <w:t xml:space="preserve"> was scored at 0.5</w:t>
      </w:r>
      <w:r w:rsidR="00354993" w:rsidRPr="003C219A">
        <w:rPr>
          <w:rFonts w:ascii="Book Antiqua" w:eastAsia="Book Antiqua" w:hAnsi="Book Antiqua" w:cs="Book Antiqua"/>
        </w:rPr>
        <w:t>;</w:t>
      </w:r>
      <w:r w:rsidRPr="003C219A">
        <w:rPr>
          <w:rFonts w:ascii="Book Antiqua" w:eastAsia="Book Antiqua" w:hAnsi="Book Antiqua" w:cs="Book Antiqua"/>
        </w:rPr>
        <w:t xml:space="preserve"> B1 image </w:t>
      </w:r>
      <w:r w:rsidR="00354993" w:rsidRPr="003C219A">
        <w:rPr>
          <w:rFonts w:ascii="Book Antiqua" w:eastAsia="Book Antiqua" w:hAnsi="Book Antiqua" w:cs="Book Antiqua"/>
        </w:rPr>
        <w:t>[</w:t>
      </w:r>
      <w:r w:rsidRPr="003C219A">
        <w:rPr>
          <w:rFonts w:ascii="Book Antiqua" w:eastAsia="Book Antiqua" w:hAnsi="Book Antiqua" w:cs="Book Antiqua"/>
        </w:rPr>
        <w:t>AA-NF-</w:t>
      </w:r>
      <w:r w:rsidR="00354993" w:rsidRPr="003C219A">
        <w:rPr>
          <w:rFonts w:ascii="Book Antiqua" w:eastAsia="Book Antiqua" w:hAnsi="Book Antiqua" w:cs="Book Antiqua"/>
        </w:rPr>
        <w:t>narrow-band imaging (NBI)</w:t>
      </w:r>
      <w:r w:rsidRPr="003C219A">
        <w:rPr>
          <w:rFonts w:ascii="Book Antiqua" w:eastAsia="Book Antiqua" w:hAnsi="Book Antiqua" w:cs="Book Antiqua"/>
        </w:rPr>
        <w:t xml:space="preserve"> pattern</w:t>
      </w:r>
      <w:r w:rsidR="00354993" w:rsidRPr="003C219A">
        <w:rPr>
          <w:rFonts w:ascii="Book Antiqua" w:eastAsia="Book Antiqua" w:hAnsi="Book Antiqua" w:cs="Book Antiqua"/>
        </w:rPr>
        <w:t>]</w:t>
      </w:r>
      <w:r w:rsidRPr="003C219A">
        <w:rPr>
          <w:rFonts w:ascii="Book Antiqua" w:eastAsia="Book Antiqua" w:hAnsi="Book Antiqua" w:cs="Book Antiqua"/>
        </w:rPr>
        <w:t xml:space="preserve"> was scored at 1</w:t>
      </w:r>
      <w:r w:rsidR="00354993" w:rsidRPr="003C219A">
        <w:rPr>
          <w:rFonts w:ascii="Book Antiqua" w:eastAsia="Book Antiqua" w:hAnsi="Book Antiqua" w:cs="Book Antiqua"/>
        </w:rPr>
        <w:t>;</w:t>
      </w:r>
      <w:r w:rsidRPr="003C219A">
        <w:rPr>
          <w:rFonts w:ascii="Book Antiqua" w:eastAsia="Book Antiqua" w:hAnsi="Book Antiqua" w:cs="Book Antiqua"/>
        </w:rPr>
        <w:t xml:space="preserve"> A2 image (AA-NF pattern) was scored at 1</w:t>
      </w:r>
      <w:r w:rsidR="00354993" w:rsidRPr="003C219A">
        <w:rPr>
          <w:rFonts w:ascii="Book Antiqua" w:eastAsia="Book Antiqua" w:hAnsi="Book Antiqua" w:cs="Book Antiqua"/>
        </w:rPr>
        <w:t>;</w:t>
      </w:r>
      <w:r w:rsidRPr="003C219A">
        <w:rPr>
          <w:rFonts w:ascii="Book Antiqua" w:eastAsia="Book Antiqua" w:hAnsi="Book Antiqua" w:cs="Book Antiqua"/>
        </w:rPr>
        <w:t xml:space="preserve"> B2 image (AA-NF-NBI pattern) was scored at 1</w:t>
      </w:r>
      <w:r w:rsidR="00354993" w:rsidRPr="003C219A">
        <w:rPr>
          <w:rFonts w:ascii="Book Antiqua" w:eastAsia="Book Antiqua" w:hAnsi="Book Antiqua" w:cs="Book Antiqua"/>
        </w:rPr>
        <w:t>;</w:t>
      </w:r>
      <w:r w:rsidRPr="003C219A">
        <w:rPr>
          <w:rFonts w:ascii="Book Antiqua" w:eastAsia="Book Antiqua" w:hAnsi="Book Antiqua" w:cs="Book Antiqua"/>
        </w:rPr>
        <w:t xml:space="preserve"> A3 (AA-NF pattern) was scored at 0</w:t>
      </w:r>
      <w:r w:rsidR="00354993" w:rsidRPr="003C219A">
        <w:rPr>
          <w:rFonts w:ascii="Book Antiqua" w:eastAsia="Book Antiqua" w:hAnsi="Book Antiqua" w:cs="Book Antiqua"/>
        </w:rPr>
        <w:t>;</w:t>
      </w:r>
      <w:r w:rsidRPr="003C219A">
        <w:rPr>
          <w:rFonts w:ascii="Book Antiqua" w:eastAsia="Book Antiqua" w:hAnsi="Book Antiqua" w:cs="Book Antiqua"/>
        </w:rPr>
        <w:t xml:space="preserve"> B3 image (AA-NF-NBI pattern) was scored at 0.5.</w:t>
      </w:r>
    </w:p>
    <w:p w14:paraId="286E59FE" w14:textId="77777777" w:rsidR="00354993" w:rsidRPr="003C219A" w:rsidRDefault="00354993" w:rsidP="003C219A">
      <w:pPr>
        <w:spacing w:line="360" w:lineRule="auto"/>
        <w:jc w:val="both"/>
        <w:rPr>
          <w:rFonts w:ascii="Book Antiqua" w:hAnsi="Book Antiqua"/>
        </w:rPr>
        <w:sectPr w:rsidR="00354993" w:rsidRPr="003C219A" w:rsidSect="00F1617B">
          <w:pgSz w:w="12240" w:h="15840"/>
          <w:pgMar w:top="1440" w:right="1440" w:bottom="1440" w:left="1440" w:header="720" w:footer="720" w:gutter="0"/>
          <w:cols w:space="720"/>
          <w:docGrid w:linePitch="360"/>
        </w:sectPr>
      </w:pPr>
    </w:p>
    <w:p w14:paraId="694C7D34" w14:textId="3A858F00" w:rsidR="00354993" w:rsidRPr="003C219A" w:rsidRDefault="00354993" w:rsidP="003C219A">
      <w:pPr>
        <w:pStyle w:val="a7"/>
        <w:spacing w:before="0" w:beforeAutospacing="0" w:after="0" w:afterAutospacing="0" w:line="360" w:lineRule="auto"/>
        <w:jc w:val="both"/>
        <w:rPr>
          <w:rFonts w:ascii="Book Antiqua" w:hAnsi="Book Antiqua"/>
          <w:b/>
          <w:color w:val="000000" w:themeColor="text1"/>
          <w:lang w:val="en-US"/>
        </w:rPr>
      </w:pPr>
      <w:r w:rsidRPr="003C219A">
        <w:rPr>
          <w:rFonts w:ascii="Book Antiqua" w:hAnsi="Book Antiqua"/>
          <w:b/>
          <w:color w:val="000000" w:themeColor="text1"/>
          <w:lang w:val="en-US"/>
        </w:rPr>
        <w:lastRenderedPageBreak/>
        <w:t xml:space="preserve">Table 1 Frequency and scoring of the endoscopic patterns </w:t>
      </w:r>
      <w:r w:rsidR="00AE2B5F" w:rsidRPr="003C219A">
        <w:rPr>
          <w:rFonts w:ascii="Book Antiqua" w:hAnsi="Book Antiqua"/>
          <w:b/>
          <w:bCs/>
          <w:color w:val="000000" w:themeColor="text1"/>
          <w:lang w:val="en-US"/>
        </w:rPr>
        <w:t>i</w:t>
      </w:r>
      <w:r w:rsidRPr="003C219A">
        <w:rPr>
          <w:rFonts w:ascii="Book Antiqua" w:hAnsi="Book Antiqua"/>
          <w:b/>
          <w:bCs/>
          <w:color w:val="000000" w:themeColor="text1"/>
          <w:lang w:val="en-US"/>
        </w:rPr>
        <w:t>n</w:t>
      </w:r>
      <w:r w:rsidRPr="003C219A">
        <w:rPr>
          <w:rFonts w:ascii="Book Antiqua" w:hAnsi="Book Antiqua"/>
          <w:b/>
          <w:color w:val="000000" w:themeColor="text1"/>
          <w:lang w:val="en-US"/>
        </w:rPr>
        <w:t xml:space="preserve"> </w:t>
      </w:r>
      <w:bookmarkStart w:id="831" w:name="_Hlk156827090"/>
      <w:r w:rsidRPr="003C219A">
        <w:rPr>
          <w:rFonts w:ascii="Book Antiqua" w:hAnsi="Book Antiqua"/>
          <w:b/>
          <w:color w:val="000000" w:themeColor="text1"/>
          <w:lang w:val="en-US"/>
        </w:rPr>
        <w:t>white light endoscopy</w:t>
      </w:r>
      <w:bookmarkEnd w:id="831"/>
      <w:r w:rsidRPr="003C219A">
        <w:rPr>
          <w:rFonts w:ascii="Book Antiqua" w:hAnsi="Book Antiqua"/>
          <w:b/>
          <w:color w:val="000000" w:themeColor="text1"/>
          <w:lang w:val="en-US"/>
        </w:rPr>
        <w:t xml:space="preserve">, </w:t>
      </w:r>
      <w:bookmarkStart w:id="832" w:name="_Hlk156827099"/>
      <w:r w:rsidRPr="003C219A">
        <w:rPr>
          <w:rFonts w:ascii="Book Antiqua" w:hAnsi="Book Antiqua"/>
          <w:b/>
          <w:color w:val="000000" w:themeColor="text1"/>
          <w:lang w:val="en-US"/>
        </w:rPr>
        <w:t>near focus</w:t>
      </w:r>
      <w:bookmarkEnd w:id="832"/>
      <w:r w:rsidR="00AE2B5F" w:rsidRPr="003C219A">
        <w:rPr>
          <w:rFonts w:ascii="Book Antiqua" w:hAnsi="Book Antiqua"/>
          <w:b/>
          <w:bCs/>
          <w:color w:val="000000" w:themeColor="text1"/>
          <w:lang w:val="en-US"/>
        </w:rPr>
        <w:t>,</w:t>
      </w:r>
      <w:r w:rsidRPr="003C219A">
        <w:rPr>
          <w:rFonts w:ascii="Book Antiqua" w:hAnsi="Book Antiqua"/>
          <w:b/>
          <w:color w:val="000000" w:themeColor="text1"/>
          <w:lang w:val="en-US"/>
        </w:rPr>
        <w:t xml:space="preserve"> and </w:t>
      </w:r>
      <w:bookmarkStart w:id="833" w:name="_Hlk156827108"/>
      <w:r w:rsidRPr="003C219A">
        <w:rPr>
          <w:rFonts w:ascii="Book Antiqua" w:hAnsi="Book Antiqua"/>
          <w:b/>
          <w:color w:val="000000" w:themeColor="text1"/>
          <w:lang w:val="en-US"/>
        </w:rPr>
        <w:t>narrow-band imaging</w:t>
      </w:r>
      <w:bookmarkEnd w:id="833"/>
      <w:r w:rsidRPr="003C219A">
        <w:rPr>
          <w:rFonts w:ascii="Book Antiqua" w:hAnsi="Book Antiqua"/>
          <w:b/>
          <w:color w:val="000000" w:themeColor="text1"/>
          <w:lang w:val="en-US"/>
        </w:rPr>
        <w:t xml:space="preserve"> </w:t>
      </w:r>
      <w:r w:rsidRPr="003C219A">
        <w:rPr>
          <w:rFonts w:ascii="Book Antiqua" w:hAnsi="Book Antiqua"/>
          <w:b/>
          <w:bCs/>
          <w:color w:val="000000" w:themeColor="text1"/>
          <w:lang w:val="en-US"/>
        </w:rPr>
        <w:t>mode</w:t>
      </w:r>
      <w:r w:rsidR="00AE2B5F" w:rsidRPr="003C219A">
        <w:rPr>
          <w:rFonts w:ascii="Book Antiqua" w:hAnsi="Book Antiqua"/>
          <w:b/>
          <w:bCs/>
          <w:color w:val="000000" w:themeColor="text1"/>
          <w:lang w:val="en-US"/>
        </w:rPr>
        <w:t>s</w:t>
      </w:r>
    </w:p>
    <w:tbl>
      <w:tblPr>
        <w:tblW w:w="5000" w:type="pct"/>
        <w:tblLook w:val="04A0" w:firstRow="1" w:lastRow="0" w:firstColumn="1" w:lastColumn="0" w:noHBand="0" w:noVBand="1"/>
      </w:tblPr>
      <w:tblGrid>
        <w:gridCol w:w="1052"/>
        <w:gridCol w:w="1016"/>
        <w:gridCol w:w="1052"/>
        <w:gridCol w:w="1052"/>
        <w:gridCol w:w="1016"/>
        <w:gridCol w:w="1052"/>
        <w:gridCol w:w="1052"/>
        <w:gridCol w:w="1016"/>
        <w:gridCol w:w="1052"/>
      </w:tblGrid>
      <w:tr w:rsidR="00354993" w:rsidRPr="003C219A" w14:paraId="6143AAAF" w14:textId="77777777" w:rsidTr="003C219A">
        <w:trPr>
          <w:trHeight w:val="322"/>
        </w:trPr>
        <w:tc>
          <w:tcPr>
            <w:tcW w:w="1661" w:type="pct"/>
            <w:gridSpan w:val="3"/>
            <w:tcBorders>
              <w:top w:val="single" w:sz="4" w:space="0" w:color="auto"/>
              <w:bottom w:val="single" w:sz="4" w:space="0" w:color="auto"/>
            </w:tcBorders>
            <w:noWrap/>
            <w:hideMark/>
          </w:tcPr>
          <w:p w14:paraId="19B6CA86" w14:textId="77777777" w:rsidR="00354993" w:rsidRPr="003C219A" w:rsidRDefault="00354993" w:rsidP="003C219A">
            <w:pPr>
              <w:spacing w:line="360" w:lineRule="auto"/>
              <w:jc w:val="both"/>
              <w:rPr>
                <w:rFonts w:ascii="Book Antiqua" w:eastAsia="Times New Roman" w:hAnsi="Book Antiqua"/>
                <w:b/>
                <w:bCs/>
                <w:color w:val="000000"/>
                <w:lang w:eastAsia="bs-Latn-BA"/>
              </w:rPr>
            </w:pPr>
            <w:r w:rsidRPr="003C219A">
              <w:rPr>
                <w:rFonts w:ascii="Book Antiqua" w:eastAsia="Times New Roman" w:hAnsi="Book Antiqua"/>
                <w:b/>
                <w:bCs/>
                <w:color w:val="000000"/>
                <w:lang w:eastAsia="bs-Latn-BA"/>
              </w:rPr>
              <w:t>Observer I</w:t>
            </w:r>
          </w:p>
        </w:tc>
        <w:tc>
          <w:tcPr>
            <w:tcW w:w="1562" w:type="pct"/>
            <w:gridSpan w:val="3"/>
            <w:tcBorders>
              <w:top w:val="single" w:sz="4" w:space="0" w:color="auto"/>
              <w:bottom w:val="single" w:sz="4" w:space="0" w:color="auto"/>
            </w:tcBorders>
            <w:noWrap/>
            <w:hideMark/>
          </w:tcPr>
          <w:p w14:paraId="14844967" w14:textId="77777777" w:rsidR="00354993" w:rsidRPr="003C219A" w:rsidRDefault="00354993" w:rsidP="003C219A">
            <w:pPr>
              <w:spacing w:line="360" w:lineRule="auto"/>
              <w:jc w:val="both"/>
              <w:rPr>
                <w:rFonts w:ascii="Book Antiqua" w:eastAsia="Times New Roman" w:hAnsi="Book Antiqua"/>
                <w:b/>
                <w:bCs/>
                <w:color w:val="000000"/>
                <w:lang w:eastAsia="bs-Latn-BA"/>
              </w:rPr>
            </w:pPr>
            <w:r w:rsidRPr="003C219A">
              <w:rPr>
                <w:rFonts w:ascii="Book Antiqua" w:eastAsia="Times New Roman" w:hAnsi="Book Antiqua"/>
                <w:b/>
                <w:bCs/>
                <w:color w:val="000000"/>
                <w:lang w:eastAsia="bs-Latn-BA"/>
              </w:rPr>
              <w:t>Observer II</w:t>
            </w:r>
          </w:p>
        </w:tc>
        <w:tc>
          <w:tcPr>
            <w:tcW w:w="1776" w:type="pct"/>
            <w:gridSpan w:val="3"/>
            <w:tcBorders>
              <w:top w:val="single" w:sz="4" w:space="0" w:color="auto"/>
              <w:bottom w:val="single" w:sz="4" w:space="0" w:color="auto"/>
            </w:tcBorders>
            <w:noWrap/>
            <w:hideMark/>
          </w:tcPr>
          <w:p w14:paraId="3200BC46" w14:textId="77777777" w:rsidR="00354993" w:rsidRPr="003C219A" w:rsidRDefault="00354993" w:rsidP="003C219A">
            <w:pPr>
              <w:spacing w:line="360" w:lineRule="auto"/>
              <w:jc w:val="both"/>
              <w:rPr>
                <w:rFonts w:ascii="Book Antiqua" w:eastAsia="Times New Roman" w:hAnsi="Book Antiqua"/>
                <w:b/>
                <w:bCs/>
                <w:color w:val="000000"/>
                <w:lang w:eastAsia="bs-Latn-BA"/>
              </w:rPr>
            </w:pPr>
            <w:r w:rsidRPr="003C219A">
              <w:rPr>
                <w:rFonts w:ascii="Book Antiqua" w:eastAsia="Times New Roman" w:hAnsi="Book Antiqua"/>
                <w:b/>
                <w:bCs/>
                <w:color w:val="000000"/>
                <w:lang w:eastAsia="bs-Latn-BA"/>
              </w:rPr>
              <w:t>Observer III</w:t>
            </w:r>
          </w:p>
        </w:tc>
      </w:tr>
      <w:tr w:rsidR="00354993" w:rsidRPr="003C219A" w14:paraId="5D46CCC5" w14:textId="77777777" w:rsidTr="003C219A">
        <w:trPr>
          <w:trHeight w:val="322"/>
        </w:trPr>
        <w:tc>
          <w:tcPr>
            <w:tcW w:w="592" w:type="pct"/>
            <w:tcBorders>
              <w:top w:val="single" w:sz="4" w:space="0" w:color="auto"/>
            </w:tcBorders>
            <w:noWrap/>
            <w:hideMark/>
          </w:tcPr>
          <w:p w14:paraId="7BF7F2EF"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WLE</w:t>
            </w:r>
          </w:p>
        </w:tc>
        <w:tc>
          <w:tcPr>
            <w:tcW w:w="526" w:type="pct"/>
            <w:tcBorders>
              <w:top w:val="single" w:sz="4" w:space="0" w:color="auto"/>
            </w:tcBorders>
            <w:noWrap/>
            <w:hideMark/>
          </w:tcPr>
          <w:p w14:paraId="722FA239"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NF</w:t>
            </w:r>
          </w:p>
        </w:tc>
        <w:tc>
          <w:tcPr>
            <w:tcW w:w="543" w:type="pct"/>
            <w:tcBorders>
              <w:top w:val="single" w:sz="4" w:space="0" w:color="auto"/>
            </w:tcBorders>
            <w:noWrap/>
            <w:hideMark/>
          </w:tcPr>
          <w:p w14:paraId="286F5806"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NF-NBI</w:t>
            </w:r>
          </w:p>
        </w:tc>
        <w:tc>
          <w:tcPr>
            <w:tcW w:w="444" w:type="pct"/>
            <w:tcBorders>
              <w:top w:val="single" w:sz="4" w:space="0" w:color="auto"/>
            </w:tcBorders>
            <w:noWrap/>
            <w:hideMark/>
          </w:tcPr>
          <w:p w14:paraId="5290A6A2"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WLE</w:t>
            </w:r>
          </w:p>
        </w:tc>
        <w:tc>
          <w:tcPr>
            <w:tcW w:w="526" w:type="pct"/>
            <w:tcBorders>
              <w:top w:val="single" w:sz="4" w:space="0" w:color="auto"/>
            </w:tcBorders>
            <w:noWrap/>
            <w:hideMark/>
          </w:tcPr>
          <w:p w14:paraId="1255877F"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NF</w:t>
            </w:r>
          </w:p>
        </w:tc>
        <w:tc>
          <w:tcPr>
            <w:tcW w:w="592" w:type="pct"/>
            <w:tcBorders>
              <w:top w:val="single" w:sz="4" w:space="0" w:color="auto"/>
            </w:tcBorders>
            <w:noWrap/>
            <w:hideMark/>
          </w:tcPr>
          <w:p w14:paraId="763BC32A"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NF-NBI</w:t>
            </w:r>
          </w:p>
        </w:tc>
        <w:tc>
          <w:tcPr>
            <w:tcW w:w="592" w:type="pct"/>
            <w:tcBorders>
              <w:top w:val="single" w:sz="4" w:space="0" w:color="auto"/>
            </w:tcBorders>
            <w:noWrap/>
            <w:hideMark/>
          </w:tcPr>
          <w:p w14:paraId="6DBB0CA7"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WLE</w:t>
            </w:r>
          </w:p>
        </w:tc>
        <w:tc>
          <w:tcPr>
            <w:tcW w:w="592" w:type="pct"/>
            <w:tcBorders>
              <w:top w:val="single" w:sz="4" w:space="0" w:color="auto"/>
            </w:tcBorders>
            <w:noWrap/>
            <w:hideMark/>
          </w:tcPr>
          <w:p w14:paraId="3BE1602C"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NF</w:t>
            </w:r>
          </w:p>
        </w:tc>
        <w:tc>
          <w:tcPr>
            <w:tcW w:w="592" w:type="pct"/>
            <w:tcBorders>
              <w:top w:val="single" w:sz="4" w:space="0" w:color="auto"/>
            </w:tcBorders>
            <w:noWrap/>
            <w:hideMark/>
          </w:tcPr>
          <w:p w14:paraId="50335B6A"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NF-NBI</w:t>
            </w:r>
          </w:p>
        </w:tc>
      </w:tr>
      <w:tr w:rsidR="00354993" w:rsidRPr="003C219A" w14:paraId="2964E92D" w14:textId="77777777" w:rsidTr="003C219A">
        <w:trPr>
          <w:trHeight w:val="322"/>
        </w:trPr>
        <w:tc>
          <w:tcPr>
            <w:tcW w:w="592" w:type="pct"/>
            <w:noWrap/>
            <w:hideMark/>
          </w:tcPr>
          <w:p w14:paraId="002A848D"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1a (44 × 1)</w:t>
            </w:r>
          </w:p>
        </w:tc>
        <w:tc>
          <w:tcPr>
            <w:tcW w:w="526" w:type="pct"/>
            <w:noWrap/>
            <w:hideMark/>
          </w:tcPr>
          <w:p w14:paraId="7A2BC6AC"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a (55 × 3)</w:t>
            </w:r>
          </w:p>
        </w:tc>
        <w:tc>
          <w:tcPr>
            <w:tcW w:w="543" w:type="pct"/>
            <w:noWrap/>
            <w:hideMark/>
          </w:tcPr>
          <w:p w14:paraId="7C71B030"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1a (53 × 4)</w:t>
            </w:r>
          </w:p>
        </w:tc>
        <w:tc>
          <w:tcPr>
            <w:tcW w:w="444" w:type="pct"/>
            <w:noWrap/>
            <w:hideMark/>
          </w:tcPr>
          <w:p w14:paraId="30812BD5"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1a (47 × 1)</w:t>
            </w:r>
          </w:p>
        </w:tc>
        <w:tc>
          <w:tcPr>
            <w:tcW w:w="526" w:type="pct"/>
            <w:noWrap/>
            <w:hideMark/>
          </w:tcPr>
          <w:p w14:paraId="667B50BC"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a (58 × 3)</w:t>
            </w:r>
          </w:p>
        </w:tc>
        <w:tc>
          <w:tcPr>
            <w:tcW w:w="592" w:type="pct"/>
            <w:noWrap/>
            <w:hideMark/>
          </w:tcPr>
          <w:p w14:paraId="23D52BA4"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1a (60 × 4)</w:t>
            </w:r>
          </w:p>
        </w:tc>
        <w:tc>
          <w:tcPr>
            <w:tcW w:w="592" w:type="pct"/>
            <w:noWrap/>
            <w:hideMark/>
          </w:tcPr>
          <w:p w14:paraId="43F80945"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1a (51 × 1)</w:t>
            </w:r>
          </w:p>
        </w:tc>
        <w:tc>
          <w:tcPr>
            <w:tcW w:w="592" w:type="pct"/>
            <w:noWrap/>
            <w:hideMark/>
          </w:tcPr>
          <w:p w14:paraId="1D887BFA"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a (56 × 3)</w:t>
            </w:r>
          </w:p>
        </w:tc>
        <w:tc>
          <w:tcPr>
            <w:tcW w:w="592" w:type="pct"/>
            <w:noWrap/>
            <w:hideMark/>
          </w:tcPr>
          <w:p w14:paraId="1808EC7B"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1a (51 × 4)</w:t>
            </w:r>
          </w:p>
        </w:tc>
      </w:tr>
      <w:tr w:rsidR="00354993" w:rsidRPr="003C219A" w14:paraId="48535F94" w14:textId="77777777" w:rsidTr="003C219A">
        <w:trPr>
          <w:trHeight w:val="322"/>
        </w:trPr>
        <w:tc>
          <w:tcPr>
            <w:tcW w:w="592" w:type="pct"/>
            <w:noWrap/>
            <w:hideMark/>
          </w:tcPr>
          <w:p w14:paraId="1F52298F"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2a (2 × 1)</w:t>
            </w:r>
          </w:p>
        </w:tc>
        <w:tc>
          <w:tcPr>
            <w:tcW w:w="526" w:type="pct"/>
            <w:noWrap/>
            <w:hideMark/>
          </w:tcPr>
          <w:p w14:paraId="2E110DFE"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b (9 × 2.5)</w:t>
            </w:r>
          </w:p>
        </w:tc>
        <w:tc>
          <w:tcPr>
            <w:tcW w:w="543" w:type="pct"/>
            <w:noWrap/>
            <w:hideMark/>
          </w:tcPr>
          <w:p w14:paraId="5F52A835"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2a (12 × 4)</w:t>
            </w:r>
          </w:p>
        </w:tc>
        <w:tc>
          <w:tcPr>
            <w:tcW w:w="444" w:type="pct"/>
            <w:noWrap/>
            <w:hideMark/>
          </w:tcPr>
          <w:p w14:paraId="010BD86B"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2a (4 × 1)</w:t>
            </w:r>
          </w:p>
        </w:tc>
        <w:tc>
          <w:tcPr>
            <w:tcW w:w="526" w:type="pct"/>
            <w:noWrap/>
            <w:hideMark/>
          </w:tcPr>
          <w:p w14:paraId="3E7A2835"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b (7 × 2.5)</w:t>
            </w:r>
          </w:p>
        </w:tc>
        <w:tc>
          <w:tcPr>
            <w:tcW w:w="592" w:type="pct"/>
            <w:noWrap/>
            <w:hideMark/>
          </w:tcPr>
          <w:p w14:paraId="6F6560F4"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2a (6 × 4)</w:t>
            </w:r>
          </w:p>
        </w:tc>
        <w:tc>
          <w:tcPr>
            <w:tcW w:w="592" w:type="pct"/>
            <w:noWrap/>
            <w:hideMark/>
          </w:tcPr>
          <w:p w14:paraId="1F4564EF"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2a (0 × 1)</w:t>
            </w:r>
          </w:p>
        </w:tc>
        <w:tc>
          <w:tcPr>
            <w:tcW w:w="592" w:type="pct"/>
            <w:noWrap/>
            <w:hideMark/>
          </w:tcPr>
          <w:p w14:paraId="443DD4B4"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b (7 × 2.5)</w:t>
            </w:r>
          </w:p>
        </w:tc>
        <w:tc>
          <w:tcPr>
            <w:tcW w:w="592" w:type="pct"/>
            <w:noWrap/>
            <w:hideMark/>
          </w:tcPr>
          <w:p w14:paraId="1315D9DB"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2a (12 × 4)</w:t>
            </w:r>
          </w:p>
        </w:tc>
      </w:tr>
      <w:tr w:rsidR="00354993" w:rsidRPr="003C219A" w14:paraId="15262AC8" w14:textId="77777777" w:rsidTr="003C219A">
        <w:trPr>
          <w:trHeight w:val="322"/>
        </w:trPr>
        <w:tc>
          <w:tcPr>
            <w:tcW w:w="592" w:type="pct"/>
            <w:noWrap/>
            <w:hideMark/>
          </w:tcPr>
          <w:p w14:paraId="4186935F"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b (9 × 0.5)</w:t>
            </w:r>
          </w:p>
        </w:tc>
        <w:tc>
          <w:tcPr>
            <w:tcW w:w="526" w:type="pct"/>
            <w:noWrap/>
            <w:hideMark/>
          </w:tcPr>
          <w:p w14:paraId="62D07ED9"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c (4 × 2)</w:t>
            </w:r>
          </w:p>
        </w:tc>
        <w:tc>
          <w:tcPr>
            <w:tcW w:w="543" w:type="pct"/>
            <w:noWrap/>
            <w:hideMark/>
          </w:tcPr>
          <w:p w14:paraId="739F34C7"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b (3 × 2.5)</w:t>
            </w:r>
          </w:p>
        </w:tc>
        <w:tc>
          <w:tcPr>
            <w:tcW w:w="444" w:type="pct"/>
            <w:noWrap/>
            <w:hideMark/>
          </w:tcPr>
          <w:p w14:paraId="3DB8B05A"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b (7 × 0.5)</w:t>
            </w:r>
          </w:p>
        </w:tc>
        <w:tc>
          <w:tcPr>
            <w:tcW w:w="526" w:type="pct"/>
            <w:noWrap/>
            <w:hideMark/>
          </w:tcPr>
          <w:p w14:paraId="7152427C"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c (3 × 2)</w:t>
            </w:r>
          </w:p>
        </w:tc>
        <w:tc>
          <w:tcPr>
            <w:tcW w:w="592" w:type="pct"/>
            <w:noWrap/>
            <w:hideMark/>
          </w:tcPr>
          <w:p w14:paraId="7BCD8E6C"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b (2 × 2.5)</w:t>
            </w:r>
          </w:p>
        </w:tc>
        <w:tc>
          <w:tcPr>
            <w:tcW w:w="592" w:type="pct"/>
            <w:noWrap/>
            <w:hideMark/>
          </w:tcPr>
          <w:p w14:paraId="17DDBD59"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b (2 × 0.5)</w:t>
            </w:r>
          </w:p>
        </w:tc>
        <w:tc>
          <w:tcPr>
            <w:tcW w:w="592" w:type="pct"/>
            <w:noWrap/>
            <w:hideMark/>
          </w:tcPr>
          <w:p w14:paraId="30B5B967"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c (5 × 2)</w:t>
            </w:r>
          </w:p>
        </w:tc>
        <w:tc>
          <w:tcPr>
            <w:tcW w:w="592" w:type="pct"/>
            <w:noWrap/>
            <w:hideMark/>
          </w:tcPr>
          <w:p w14:paraId="4696757E"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b (5 × 2.5)</w:t>
            </w:r>
          </w:p>
        </w:tc>
      </w:tr>
      <w:tr w:rsidR="00354993" w:rsidRPr="003C219A" w14:paraId="617ADBD8" w14:textId="77777777" w:rsidTr="003C219A">
        <w:trPr>
          <w:trHeight w:val="322"/>
        </w:trPr>
        <w:tc>
          <w:tcPr>
            <w:tcW w:w="592" w:type="pct"/>
            <w:noWrap/>
            <w:hideMark/>
          </w:tcPr>
          <w:p w14:paraId="7444037C"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c (13 × 0)</w:t>
            </w:r>
          </w:p>
        </w:tc>
        <w:tc>
          <w:tcPr>
            <w:tcW w:w="526" w:type="pct"/>
            <w:noWrap/>
            <w:hideMark/>
          </w:tcPr>
          <w:p w14:paraId="70469B2A" w14:textId="77777777" w:rsidR="00354993" w:rsidRPr="003C219A" w:rsidRDefault="00354993" w:rsidP="003C219A">
            <w:pPr>
              <w:spacing w:line="360" w:lineRule="auto"/>
              <w:jc w:val="both"/>
              <w:rPr>
                <w:rFonts w:ascii="Book Antiqua" w:eastAsia="Times New Roman" w:hAnsi="Book Antiqua"/>
                <w:color w:val="000000"/>
                <w:lang w:eastAsia="bs-Latn-BA"/>
              </w:rPr>
            </w:pPr>
          </w:p>
        </w:tc>
        <w:tc>
          <w:tcPr>
            <w:tcW w:w="543" w:type="pct"/>
            <w:noWrap/>
            <w:hideMark/>
          </w:tcPr>
          <w:p w14:paraId="5FBB827B" w14:textId="77777777" w:rsidR="00354993" w:rsidRPr="003C219A" w:rsidRDefault="00354993" w:rsidP="003C219A">
            <w:pPr>
              <w:spacing w:line="360" w:lineRule="auto"/>
              <w:jc w:val="both"/>
              <w:rPr>
                <w:rFonts w:ascii="Book Antiqua" w:eastAsia="Times New Roman" w:hAnsi="Book Antiqua"/>
                <w:color w:val="000000"/>
                <w:lang w:eastAsia="bs-Latn-BA"/>
              </w:rPr>
            </w:pPr>
          </w:p>
        </w:tc>
        <w:tc>
          <w:tcPr>
            <w:tcW w:w="444" w:type="pct"/>
            <w:noWrap/>
            <w:hideMark/>
          </w:tcPr>
          <w:p w14:paraId="37899C00"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c (10 × 0)</w:t>
            </w:r>
          </w:p>
        </w:tc>
        <w:tc>
          <w:tcPr>
            <w:tcW w:w="526" w:type="pct"/>
            <w:noWrap/>
            <w:hideMark/>
          </w:tcPr>
          <w:p w14:paraId="35327462" w14:textId="77777777" w:rsidR="00354993" w:rsidRPr="003C219A" w:rsidRDefault="00354993" w:rsidP="003C219A">
            <w:pPr>
              <w:spacing w:line="360" w:lineRule="auto"/>
              <w:jc w:val="both"/>
              <w:rPr>
                <w:rFonts w:ascii="Book Antiqua" w:eastAsia="Times New Roman" w:hAnsi="Book Antiqua"/>
                <w:color w:val="000000"/>
                <w:lang w:eastAsia="bs-Latn-BA"/>
              </w:rPr>
            </w:pPr>
          </w:p>
        </w:tc>
        <w:tc>
          <w:tcPr>
            <w:tcW w:w="592" w:type="pct"/>
            <w:noWrap/>
            <w:hideMark/>
          </w:tcPr>
          <w:p w14:paraId="6BA798E8" w14:textId="77777777" w:rsidR="00354993" w:rsidRPr="003C219A" w:rsidRDefault="00354993" w:rsidP="003C219A">
            <w:pPr>
              <w:spacing w:line="360" w:lineRule="auto"/>
              <w:jc w:val="both"/>
              <w:rPr>
                <w:rFonts w:ascii="Book Antiqua" w:eastAsia="Times New Roman" w:hAnsi="Book Antiqua"/>
                <w:color w:val="000000"/>
                <w:lang w:eastAsia="bs-Latn-BA"/>
              </w:rPr>
            </w:pPr>
          </w:p>
        </w:tc>
        <w:tc>
          <w:tcPr>
            <w:tcW w:w="592" w:type="pct"/>
            <w:noWrap/>
            <w:hideMark/>
          </w:tcPr>
          <w:p w14:paraId="17A1FD29"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c (15 × 0)</w:t>
            </w:r>
          </w:p>
        </w:tc>
        <w:tc>
          <w:tcPr>
            <w:tcW w:w="592" w:type="pct"/>
            <w:noWrap/>
            <w:hideMark/>
          </w:tcPr>
          <w:p w14:paraId="3C79D18E" w14:textId="77777777" w:rsidR="00354993" w:rsidRPr="003C219A" w:rsidRDefault="00354993" w:rsidP="003C219A">
            <w:pPr>
              <w:spacing w:line="360" w:lineRule="auto"/>
              <w:jc w:val="both"/>
              <w:rPr>
                <w:rFonts w:ascii="Book Antiqua" w:eastAsia="Times New Roman" w:hAnsi="Book Antiqua"/>
                <w:color w:val="000000"/>
                <w:lang w:eastAsia="bs-Latn-BA"/>
              </w:rPr>
            </w:pPr>
          </w:p>
        </w:tc>
        <w:tc>
          <w:tcPr>
            <w:tcW w:w="592" w:type="pct"/>
            <w:noWrap/>
            <w:hideMark/>
          </w:tcPr>
          <w:p w14:paraId="28690F40" w14:textId="77777777" w:rsidR="00354993" w:rsidRPr="003C219A" w:rsidRDefault="00354993" w:rsidP="003C219A">
            <w:pPr>
              <w:spacing w:line="360" w:lineRule="auto"/>
              <w:jc w:val="both"/>
              <w:rPr>
                <w:rFonts w:ascii="Book Antiqua" w:eastAsia="Times New Roman" w:hAnsi="Book Antiqua"/>
                <w:color w:val="000000"/>
                <w:lang w:eastAsia="bs-Latn-BA"/>
              </w:rPr>
            </w:pPr>
          </w:p>
        </w:tc>
      </w:tr>
      <w:tr w:rsidR="00354993" w:rsidRPr="003C219A" w14:paraId="61B14260" w14:textId="77777777" w:rsidTr="003C219A">
        <w:trPr>
          <w:trHeight w:val="322"/>
        </w:trPr>
        <w:tc>
          <w:tcPr>
            <w:tcW w:w="592" w:type="pct"/>
            <w:tcBorders>
              <w:bottom w:val="single" w:sz="4" w:space="0" w:color="auto"/>
            </w:tcBorders>
            <w:noWrap/>
            <w:hideMark/>
          </w:tcPr>
          <w:p w14:paraId="4150E641"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50.5</w:t>
            </w:r>
          </w:p>
        </w:tc>
        <w:tc>
          <w:tcPr>
            <w:tcW w:w="526" w:type="pct"/>
            <w:tcBorders>
              <w:bottom w:val="single" w:sz="4" w:space="0" w:color="auto"/>
            </w:tcBorders>
            <w:noWrap/>
            <w:hideMark/>
          </w:tcPr>
          <w:p w14:paraId="579E1DF5"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195.5</w:t>
            </w:r>
          </w:p>
        </w:tc>
        <w:tc>
          <w:tcPr>
            <w:tcW w:w="543" w:type="pct"/>
            <w:tcBorders>
              <w:bottom w:val="single" w:sz="4" w:space="0" w:color="auto"/>
            </w:tcBorders>
            <w:noWrap/>
            <w:hideMark/>
          </w:tcPr>
          <w:p w14:paraId="67F031BE"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267.5</w:t>
            </w:r>
          </w:p>
        </w:tc>
        <w:tc>
          <w:tcPr>
            <w:tcW w:w="444" w:type="pct"/>
            <w:tcBorders>
              <w:bottom w:val="single" w:sz="4" w:space="0" w:color="auto"/>
            </w:tcBorders>
            <w:noWrap/>
            <w:hideMark/>
          </w:tcPr>
          <w:p w14:paraId="04B13BE4"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54.5</w:t>
            </w:r>
          </w:p>
        </w:tc>
        <w:tc>
          <w:tcPr>
            <w:tcW w:w="526" w:type="pct"/>
            <w:tcBorders>
              <w:bottom w:val="single" w:sz="4" w:space="0" w:color="auto"/>
            </w:tcBorders>
            <w:noWrap/>
            <w:hideMark/>
          </w:tcPr>
          <w:p w14:paraId="1E534297"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197.5</w:t>
            </w:r>
          </w:p>
        </w:tc>
        <w:tc>
          <w:tcPr>
            <w:tcW w:w="592" w:type="pct"/>
            <w:tcBorders>
              <w:bottom w:val="single" w:sz="4" w:space="0" w:color="auto"/>
            </w:tcBorders>
            <w:noWrap/>
            <w:hideMark/>
          </w:tcPr>
          <w:p w14:paraId="7B2E6D80" w14:textId="17A6684E"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269</w:t>
            </w:r>
            <w:r w:rsidR="00AE2B5F" w:rsidRPr="003C219A">
              <w:rPr>
                <w:rFonts w:ascii="Book Antiqua" w:eastAsia="Times New Roman" w:hAnsi="Book Antiqua"/>
                <w:color w:val="000000"/>
                <w:lang w:eastAsia="bs-Latn-BA"/>
              </w:rPr>
              <w:t>.0</w:t>
            </w:r>
          </w:p>
        </w:tc>
        <w:tc>
          <w:tcPr>
            <w:tcW w:w="592" w:type="pct"/>
            <w:tcBorders>
              <w:bottom w:val="single" w:sz="4" w:space="0" w:color="auto"/>
            </w:tcBorders>
            <w:noWrap/>
            <w:hideMark/>
          </w:tcPr>
          <w:p w14:paraId="3F2BAEC0" w14:textId="3CC28DC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52</w:t>
            </w:r>
            <w:r w:rsidR="00AE2B5F" w:rsidRPr="003C219A">
              <w:rPr>
                <w:rFonts w:ascii="Book Antiqua" w:eastAsia="Times New Roman" w:hAnsi="Book Antiqua"/>
                <w:color w:val="000000"/>
                <w:lang w:eastAsia="bs-Latn-BA"/>
              </w:rPr>
              <w:t>.0</w:t>
            </w:r>
          </w:p>
        </w:tc>
        <w:tc>
          <w:tcPr>
            <w:tcW w:w="592" w:type="pct"/>
            <w:tcBorders>
              <w:bottom w:val="single" w:sz="4" w:space="0" w:color="auto"/>
            </w:tcBorders>
            <w:noWrap/>
            <w:hideMark/>
          </w:tcPr>
          <w:p w14:paraId="09DBE148"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195.5</w:t>
            </w:r>
          </w:p>
        </w:tc>
        <w:tc>
          <w:tcPr>
            <w:tcW w:w="592" w:type="pct"/>
            <w:tcBorders>
              <w:bottom w:val="single" w:sz="4" w:space="0" w:color="auto"/>
            </w:tcBorders>
            <w:noWrap/>
            <w:hideMark/>
          </w:tcPr>
          <w:p w14:paraId="535E3F5A"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264.5</w:t>
            </w:r>
          </w:p>
        </w:tc>
      </w:tr>
    </w:tbl>
    <w:p w14:paraId="37EFABCC" w14:textId="0647A7FA" w:rsidR="00354993" w:rsidRPr="003C219A" w:rsidRDefault="00354993" w:rsidP="003C219A">
      <w:pPr>
        <w:spacing w:line="360" w:lineRule="auto"/>
        <w:jc w:val="both"/>
        <w:rPr>
          <w:rFonts w:ascii="Book Antiqua" w:hAnsi="Book Antiqua"/>
          <w:lang w:eastAsia="zh-CN"/>
        </w:rPr>
      </w:pPr>
      <w:r w:rsidRPr="003C219A">
        <w:rPr>
          <w:rFonts w:ascii="Book Antiqua" w:hAnsi="Book Antiqua"/>
          <w:lang w:eastAsia="zh-CN"/>
        </w:rPr>
        <w:t>NBI: Narrow-band imaging</w:t>
      </w:r>
      <w:r w:rsidR="006E1E91" w:rsidRPr="003C219A">
        <w:rPr>
          <w:rFonts w:ascii="Book Antiqua" w:hAnsi="Book Antiqua"/>
          <w:lang w:eastAsia="zh-CN"/>
        </w:rPr>
        <w:t>; NF: Near focus; WLE: White light endoscopy.</w:t>
      </w:r>
    </w:p>
    <w:p w14:paraId="53B545F3" w14:textId="77777777" w:rsidR="00354993" w:rsidRPr="003C219A" w:rsidRDefault="00354993" w:rsidP="003C219A">
      <w:pPr>
        <w:spacing w:line="360" w:lineRule="auto"/>
        <w:jc w:val="both"/>
        <w:rPr>
          <w:rFonts w:ascii="Book Antiqua" w:hAnsi="Book Antiqua"/>
          <w:lang w:val="en-GB"/>
        </w:rPr>
        <w:sectPr w:rsidR="00354993" w:rsidRPr="003C219A" w:rsidSect="00F1617B">
          <w:pgSz w:w="12240" w:h="15840"/>
          <w:pgMar w:top="1440" w:right="1440" w:bottom="1440" w:left="1440" w:header="720" w:footer="720" w:gutter="0"/>
          <w:cols w:space="720"/>
          <w:docGrid w:linePitch="360"/>
        </w:sectPr>
      </w:pPr>
    </w:p>
    <w:p w14:paraId="3C94431F" w14:textId="59063654" w:rsidR="00354993" w:rsidRPr="003C219A" w:rsidRDefault="00354993" w:rsidP="003C219A">
      <w:pPr>
        <w:pStyle w:val="a7"/>
        <w:spacing w:before="0" w:beforeAutospacing="0" w:after="0" w:afterAutospacing="0" w:line="360" w:lineRule="auto"/>
        <w:jc w:val="both"/>
        <w:rPr>
          <w:rFonts w:ascii="Book Antiqua" w:hAnsi="Book Antiqua"/>
          <w:b/>
          <w:color w:val="000000"/>
          <w:lang w:val="en-US"/>
        </w:rPr>
      </w:pPr>
      <w:r w:rsidRPr="003C219A">
        <w:rPr>
          <w:rFonts w:ascii="Book Antiqua" w:hAnsi="Book Antiqua"/>
          <w:b/>
          <w:color w:val="000000"/>
          <w:lang w:val="en-US"/>
        </w:rPr>
        <w:lastRenderedPageBreak/>
        <w:t xml:space="preserve">Table 2 Frequency and scoring of the endoscopic patterns </w:t>
      </w:r>
      <w:r w:rsidR="00AE2B5F" w:rsidRPr="003C219A">
        <w:rPr>
          <w:rFonts w:ascii="Book Antiqua" w:hAnsi="Book Antiqua"/>
          <w:b/>
          <w:bCs/>
          <w:color w:val="000000"/>
          <w:lang w:val="en-US" w:eastAsia="bs-Latn-BA"/>
        </w:rPr>
        <w:t>with</w:t>
      </w:r>
      <w:r w:rsidRPr="003C219A">
        <w:rPr>
          <w:rFonts w:ascii="Book Antiqua" w:hAnsi="Book Antiqua"/>
          <w:b/>
          <w:color w:val="000000"/>
          <w:lang w:val="en-US"/>
        </w:rPr>
        <w:t xml:space="preserve"> acetic acid, near focus and acetic acid</w:t>
      </w:r>
      <w:r w:rsidR="00AE2B5F" w:rsidRPr="003C219A">
        <w:rPr>
          <w:rFonts w:ascii="Book Antiqua" w:hAnsi="Book Antiqua"/>
          <w:b/>
          <w:bCs/>
          <w:color w:val="000000"/>
          <w:lang w:val="en-US" w:eastAsia="bs-Latn-BA"/>
        </w:rPr>
        <w:t xml:space="preserve">, </w:t>
      </w:r>
      <w:r w:rsidRPr="003C219A">
        <w:rPr>
          <w:rFonts w:ascii="Book Antiqua" w:hAnsi="Book Antiqua"/>
          <w:b/>
          <w:color w:val="000000"/>
          <w:lang w:val="en-US"/>
        </w:rPr>
        <w:t xml:space="preserve">near focus, </w:t>
      </w:r>
      <w:r w:rsidR="00AE2B5F" w:rsidRPr="003C219A">
        <w:rPr>
          <w:rFonts w:ascii="Book Antiqua" w:hAnsi="Book Antiqua"/>
          <w:b/>
          <w:bCs/>
          <w:color w:val="000000"/>
          <w:lang w:val="en-US" w:eastAsia="bs-Latn-BA"/>
        </w:rPr>
        <w:t xml:space="preserve">and </w:t>
      </w:r>
      <w:r w:rsidRPr="003C219A">
        <w:rPr>
          <w:rFonts w:ascii="Book Antiqua" w:hAnsi="Book Antiqua"/>
          <w:b/>
          <w:color w:val="000000"/>
          <w:lang w:val="en-US"/>
        </w:rPr>
        <w:t xml:space="preserve">narrow-band imaging </w:t>
      </w:r>
      <w:r w:rsidRPr="003C219A">
        <w:rPr>
          <w:rFonts w:ascii="Book Antiqua" w:hAnsi="Book Antiqua"/>
          <w:b/>
          <w:bCs/>
          <w:color w:val="000000"/>
          <w:lang w:val="en-US" w:eastAsia="bs-Latn-BA"/>
        </w:rPr>
        <w:t>mode</w:t>
      </w:r>
      <w:r w:rsidR="00AE2B5F" w:rsidRPr="003C219A">
        <w:rPr>
          <w:rFonts w:ascii="Book Antiqua" w:hAnsi="Book Antiqua"/>
          <w:b/>
          <w:bCs/>
          <w:color w:val="000000"/>
          <w:lang w:val="en-US" w:eastAsia="bs-Latn-BA"/>
        </w:rPr>
        <w:t>s</w:t>
      </w:r>
    </w:p>
    <w:tbl>
      <w:tblPr>
        <w:tblW w:w="8931" w:type="dxa"/>
        <w:tblLook w:val="04A0" w:firstRow="1" w:lastRow="0" w:firstColumn="1" w:lastColumn="0" w:noHBand="0" w:noVBand="1"/>
      </w:tblPr>
      <w:tblGrid>
        <w:gridCol w:w="1276"/>
        <w:gridCol w:w="1843"/>
        <w:gridCol w:w="1276"/>
        <w:gridCol w:w="1701"/>
        <w:gridCol w:w="1134"/>
        <w:gridCol w:w="1701"/>
      </w:tblGrid>
      <w:tr w:rsidR="00354993" w:rsidRPr="003C219A" w14:paraId="3012F045" w14:textId="77777777" w:rsidTr="003C219A">
        <w:trPr>
          <w:trHeight w:val="300"/>
        </w:trPr>
        <w:tc>
          <w:tcPr>
            <w:tcW w:w="3119" w:type="dxa"/>
            <w:gridSpan w:val="2"/>
            <w:tcBorders>
              <w:top w:val="single" w:sz="4" w:space="0" w:color="auto"/>
              <w:bottom w:val="single" w:sz="4" w:space="0" w:color="auto"/>
            </w:tcBorders>
            <w:noWrap/>
            <w:hideMark/>
          </w:tcPr>
          <w:p w14:paraId="169ADDFD" w14:textId="77777777" w:rsidR="00354993" w:rsidRPr="003C219A" w:rsidRDefault="00354993" w:rsidP="003C219A">
            <w:pPr>
              <w:spacing w:line="360" w:lineRule="auto"/>
              <w:jc w:val="both"/>
              <w:rPr>
                <w:rFonts w:ascii="Book Antiqua" w:eastAsia="Times New Roman" w:hAnsi="Book Antiqua"/>
                <w:b/>
                <w:bCs/>
                <w:color w:val="000000"/>
                <w:lang w:eastAsia="bs-Latn-BA"/>
              </w:rPr>
            </w:pPr>
            <w:r w:rsidRPr="003C219A">
              <w:rPr>
                <w:rFonts w:ascii="Book Antiqua" w:eastAsia="Times New Roman" w:hAnsi="Book Antiqua"/>
                <w:b/>
                <w:bCs/>
                <w:color w:val="000000"/>
                <w:lang w:eastAsia="bs-Latn-BA"/>
              </w:rPr>
              <w:t>Observer I</w:t>
            </w:r>
          </w:p>
        </w:tc>
        <w:tc>
          <w:tcPr>
            <w:tcW w:w="2977" w:type="dxa"/>
            <w:gridSpan w:val="2"/>
            <w:tcBorders>
              <w:top w:val="single" w:sz="4" w:space="0" w:color="auto"/>
              <w:bottom w:val="single" w:sz="4" w:space="0" w:color="auto"/>
            </w:tcBorders>
            <w:noWrap/>
            <w:hideMark/>
          </w:tcPr>
          <w:p w14:paraId="4E42F91E" w14:textId="77777777" w:rsidR="00354993" w:rsidRPr="003C219A" w:rsidRDefault="00354993" w:rsidP="003C219A">
            <w:pPr>
              <w:spacing w:line="360" w:lineRule="auto"/>
              <w:jc w:val="both"/>
              <w:rPr>
                <w:rFonts w:ascii="Book Antiqua" w:eastAsia="Times New Roman" w:hAnsi="Book Antiqua"/>
                <w:b/>
                <w:bCs/>
                <w:color w:val="000000"/>
                <w:lang w:eastAsia="bs-Latn-BA"/>
              </w:rPr>
            </w:pPr>
            <w:r w:rsidRPr="003C219A">
              <w:rPr>
                <w:rFonts w:ascii="Book Antiqua" w:eastAsia="Times New Roman" w:hAnsi="Book Antiqua"/>
                <w:b/>
                <w:bCs/>
                <w:color w:val="000000"/>
                <w:lang w:eastAsia="bs-Latn-BA"/>
              </w:rPr>
              <w:t>Observer II</w:t>
            </w:r>
          </w:p>
        </w:tc>
        <w:tc>
          <w:tcPr>
            <w:tcW w:w="2835" w:type="dxa"/>
            <w:gridSpan w:val="2"/>
            <w:tcBorders>
              <w:top w:val="single" w:sz="4" w:space="0" w:color="auto"/>
              <w:bottom w:val="single" w:sz="4" w:space="0" w:color="auto"/>
            </w:tcBorders>
            <w:noWrap/>
            <w:hideMark/>
          </w:tcPr>
          <w:p w14:paraId="7A5BD54D" w14:textId="77777777" w:rsidR="00354993" w:rsidRPr="003C219A" w:rsidRDefault="00354993" w:rsidP="003C219A">
            <w:pPr>
              <w:spacing w:line="360" w:lineRule="auto"/>
              <w:jc w:val="both"/>
              <w:rPr>
                <w:rFonts w:ascii="Book Antiqua" w:eastAsia="Times New Roman" w:hAnsi="Book Antiqua"/>
                <w:b/>
                <w:bCs/>
                <w:color w:val="000000"/>
                <w:lang w:eastAsia="bs-Latn-BA"/>
              </w:rPr>
            </w:pPr>
            <w:r w:rsidRPr="003C219A">
              <w:rPr>
                <w:rFonts w:ascii="Book Antiqua" w:eastAsia="Times New Roman" w:hAnsi="Book Antiqua"/>
                <w:b/>
                <w:bCs/>
                <w:color w:val="000000"/>
                <w:lang w:eastAsia="bs-Latn-BA"/>
              </w:rPr>
              <w:t>Observer III</w:t>
            </w:r>
          </w:p>
        </w:tc>
      </w:tr>
      <w:tr w:rsidR="00354993" w:rsidRPr="003C219A" w14:paraId="58D1E9E4" w14:textId="77777777" w:rsidTr="003C219A">
        <w:trPr>
          <w:trHeight w:val="315"/>
        </w:trPr>
        <w:tc>
          <w:tcPr>
            <w:tcW w:w="1276" w:type="dxa"/>
            <w:tcBorders>
              <w:top w:val="single" w:sz="4" w:space="0" w:color="auto"/>
            </w:tcBorders>
            <w:noWrap/>
            <w:hideMark/>
          </w:tcPr>
          <w:p w14:paraId="6198664C"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AA-NF</w:t>
            </w:r>
          </w:p>
        </w:tc>
        <w:tc>
          <w:tcPr>
            <w:tcW w:w="1843" w:type="dxa"/>
            <w:tcBorders>
              <w:top w:val="single" w:sz="4" w:space="0" w:color="auto"/>
            </w:tcBorders>
            <w:noWrap/>
            <w:hideMark/>
          </w:tcPr>
          <w:p w14:paraId="2E996CA5"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AA-NF-NBI</w:t>
            </w:r>
          </w:p>
        </w:tc>
        <w:tc>
          <w:tcPr>
            <w:tcW w:w="1276" w:type="dxa"/>
            <w:tcBorders>
              <w:top w:val="single" w:sz="4" w:space="0" w:color="auto"/>
            </w:tcBorders>
            <w:noWrap/>
            <w:hideMark/>
          </w:tcPr>
          <w:p w14:paraId="4EE9B328"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AA-NF</w:t>
            </w:r>
          </w:p>
        </w:tc>
        <w:tc>
          <w:tcPr>
            <w:tcW w:w="1701" w:type="dxa"/>
            <w:tcBorders>
              <w:top w:val="single" w:sz="4" w:space="0" w:color="auto"/>
            </w:tcBorders>
            <w:noWrap/>
            <w:hideMark/>
          </w:tcPr>
          <w:p w14:paraId="768AEEBA"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AA-NF-NBI</w:t>
            </w:r>
          </w:p>
        </w:tc>
        <w:tc>
          <w:tcPr>
            <w:tcW w:w="1134" w:type="dxa"/>
            <w:tcBorders>
              <w:top w:val="single" w:sz="4" w:space="0" w:color="auto"/>
            </w:tcBorders>
            <w:noWrap/>
            <w:hideMark/>
          </w:tcPr>
          <w:p w14:paraId="4AF556AC"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AA-NF</w:t>
            </w:r>
          </w:p>
        </w:tc>
        <w:tc>
          <w:tcPr>
            <w:tcW w:w="1701" w:type="dxa"/>
            <w:tcBorders>
              <w:top w:val="single" w:sz="4" w:space="0" w:color="auto"/>
            </w:tcBorders>
            <w:noWrap/>
            <w:hideMark/>
          </w:tcPr>
          <w:p w14:paraId="410ADD20" w14:textId="77777777" w:rsidR="00354993" w:rsidRPr="003C219A" w:rsidRDefault="00354993" w:rsidP="003C219A">
            <w:pPr>
              <w:spacing w:line="360" w:lineRule="auto"/>
              <w:jc w:val="both"/>
              <w:rPr>
                <w:rFonts w:ascii="Book Antiqua" w:eastAsia="Times New Roman" w:hAnsi="Book Antiqua"/>
                <w:lang w:eastAsia="bs-Latn-BA"/>
              </w:rPr>
            </w:pPr>
            <w:r w:rsidRPr="003C219A">
              <w:rPr>
                <w:rFonts w:ascii="Book Antiqua" w:hAnsi="Book Antiqua"/>
              </w:rPr>
              <w:t>AA-NF-NBI</w:t>
            </w:r>
          </w:p>
        </w:tc>
      </w:tr>
      <w:tr w:rsidR="00354993" w:rsidRPr="003C219A" w14:paraId="301015A4" w14:textId="77777777" w:rsidTr="003C219A">
        <w:trPr>
          <w:trHeight w:val="300"/>
        </w:trPr>
        <w:tc>
          <w:tcPr>
            <w:tcW w:w="1276" w:type="dxa"/>
            <w:noWrap/>
            <w:hideMark/>
          </w:tcPr>
          <w:p w14:paraId="0806C4CC"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58 × 0.5</w:t>
            </w:r>
          </w:p>
        </w:tc>
        <w:tc>
          <w:tcPr>
            <w:tcW w:w="1843" w:type="dxa"/>
            <w:noWrap/>
            <w:hideMark/>
          </w:tcPr>
          <w:p w14:paraId="06B867FB"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63 × 1</w:t>
            </w:r>
          </w:p>
        </w:tc>
        <w:tc>
          <w:tcPr>
            <w:tcW w:w="1276" w:type="dxa"/>
            <w:noWrap/>
            <w:hideMark/>
          </w:tcPr>
          <w:p w14:paraId="6B79BF8E"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62 × 0.5</w:t>
            </w:r>
          </w:p>
        </w:tc>
        <w:tc>
          <w:tcPr>
            <w:tcW w:w="1701" w:type="dxa"/>
            <w:noWrap/>
            <w:hideMark/>
          </w:tcPr>
          <w:p w14:paraId="38B68D58"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64 × 1</w:t>
            </w:r>
          </w:p>
        </w:tc>
        <w:tc>
          <w:tcPr>
            <w:tcW w:w="1134" w:type="dxa"/>
            <w:noWrap/>
            <w:hideMark/>
          </w:tcPr>
          <w:p w14:paraId="4E592C07"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55 × 0.5</w:t>
            </w:r>
          </w:p>
        </w:tc>
        <w:tc>
          <w:tcPr>
            <w:tcW w:w="1701" w:type="dxa"/>
            <w:noWrap/>
            <w:hideMark/>
          </w:tcPr>
          <w:p w14:paraId="4DFAF830"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62 × 1</w:t>
            </w:r>
          </w:p>
        </w:tc>
      </w:tr>
      <w:tr w:rsidR="00354993" w:rsidRPr="003C219A" w14:paraId="4EAEB660" w14:textId="77777777" w:rsidTr="003C219A">
        <w:trPr>
          <w:trHeight w:val="300"/>
        </w:trPr>
        <w:tc>
          <w:tcPr>
            <w:tcW w:w="1276" w:type="dxa"/>
            <w:noWrap/>
            <w:hideMark/>
          </w:tcPr>
          <w:p w14:paraId="741B0400"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3 × 1</w:t>
            </w:r>
          </w:p>
        </w:tc>
        <w:tc>
          <w:tcPr>
            <w:tcW w:w="1843" w:type="dxa"/>
            <w:noWrap/>
            <w:hideMark/>
          </w:tcPr>
          <w:p w14:paraId="4B756285" w14:textId="77777777" w:rsidR="00354993" w:rsidRPr="003C219A" w:rsidRDefault="00354993" w:rsidP="003C219A">
            <w:pPr>
              <w:spacing w:line="360" w:lineRule="auto"/>
              <w:jc w:val="both"/>
              <w:rPr>
                <w:rFonts w:ascii="Book Antiqua" w:eastAsia="Times New Roman" w:hAnsi="Book Antiqua"/>
                <w:color w:val="000000"/>
                <w:lang w:eastAsia="bs-Latn-BA"/>
              </w:rPr>
            </w:pPr>
          </w:p>
        </w:tc>
        <w:tc>
          <w:tcPr>
            <w:tcW w:w="1276" w:type="dxa"/>
            <w:noWrap/>
            <w:hideMark/>
          </w:tcPr>
          <w:p w14:paraId="71515F28"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2 × 1</w:t>
            </w:r>
          </w:p>
        </w:tc>
        <w:tc>
          <w:tcPr>
            <w:tcW w:w="1701" w:type="dxa"/>
            <w:noWrap/>
            <w:hideMark/>
          </w:tcPr>
          <w:p w14:paraId="59BC6F60" w14:textId="77777777" w:rsidR="00354993" w:rsidRPr="003C219A" w:rsidRDefault="00354993" w:rsidP="003C219A">
            <w:pPr>
              <w:spacing w:line="360" w:lineRule="auto"/>
              <w:jc w:val="both"/>
              <w:rPr>
                <w:rFonts w:ascii="Book Antiqua" w:eastAsia="Times New Roman" w:hAnsi="Book Antiqua"/>
                <w:color w:val="000000"/>
                <w:lang w:eastAsia="bs-Latn-BA"/>
              </w:rPr>
            </w:pPr>
          </w:p>
        </w:tc>
        <w:tc>
          <w:tcPr>
            <w:tcW w:w="1134" w:type="dxa"/>
            <w:noWrap/>
            <w:hideMark/>
          </w:tcPr>
          <w:p w14:paraId="2D099ACE"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7 × 1</w:t>
            </w:r>
          </w:p>
        </w:tc>
        <w:tc>
          <w:tcPr>
            <w:tcW w:w="1701" w:type="dxa"/>
            <w:noWrap/>
            <w:hideMark/>
          </w:tcPr>
          <w:p w14:paraId="64849E03" w14:textId="77777777" w:rsidR="00354993" w:rsidRPr="003C219A" w:rsidRDefault="00354993" w:rsidP="003C219A">
            <w:pPr>
              <w:spacing w:line="360" w:lineRule="auto"/>
              <w:jc w:val="both"/>
              <w:rPr>
                <w:rFonts w:ascii="Book Antiqua" w:eastAsia="Times New Roman" w:hAnsi="Book Antiqua"/>
                <w:color w:val="000000"/>
                <w:lang w:eastAsia="bs-Latn-BA"/>
              </w:rPr>
            </w:pPr>
          </w:p>
        </w:tc>
      </w:tr>
      <w:tr w:rsidR="00354993" w:rsidRPr="003C219A" w14:paraId="494D5F64" w14:textId="77777777" w:rsidTr="003C219A">
        <w:trPr>
          <w:trHeight w:val="300"/>
        </w:trPr>
        <w:tc>
          <w:tcPr>
            <w:tcW w:w="1276" w:type="dxa"/>
            <w:noWrap/>
            <w:hideMark/>
          </w:tcPr>
          <w:p w14:paraId="1F976030"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7 × 0</w:t>
            </w:r>
          </w:p>
        </w:tc>
        <w:tc>
          <w:tcPr>
            <w:tcW w:w="1843" w:type="dxa"/>
            <w:noWrap/>
            <w:hideMark/>
          </w:tcPr>
          <w:p w14:paraId="0D51C6B7"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5 × 0.5</w:t>
            </w:r>
          </w:p>
        </w:tc>
        <w:tc>
          <w:tcPr>
            <w:tcW w:w="1276" w:type="dxa"/>
            <w:noWrap/>
            <w:hideMark/>
          </w:tcPr>
          <w:p w14:paraId="15411394"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4 × 0</w:t>
            </w:r>
          </w:p>
        </w:tc>
        <w:tc>
          <w:tcPr>
            <w:tcW w:w="1701" w:type="dxa"/>
            <w:noWrap/>
            <w:hideMark/>
          </w:tcPr>
          <w:p w14:paraId="7C98D7F9"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4 × 0.5</w:t>
            </w:r>
          </w:p>
        </w:tc>
        <w:tc>
          <w:tcPr>
            <w:tcW w:w="1134" w:type="dxa"/>
            <w:noWrap/>
            <w:hideMark/>
          </w:tcPr>
          <w:p w14:paraId="0EA2690A"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6 × 0</w:t>
            </w:r>
          </w:p>
        </w:tc>
        <w:tc>
          <w:tcPr>
            <w:tcW w:w="1701" w:type="dxa"/>
            <w:noWrap/>
            <w:hideMark/>
          </w:tcPr>
          <w:p w14:paraId="07A46899"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6 × 0.5</w:t>
            </w:r>
          </w:p>
        </w:tc>
      </w:tr>
      <w:tr w:rsidR="00354993" w:rsidRPr="003C219A" w14:paraId="5C4F498E" w14:textId="77777777" w:rsidTr="00333286">
        <w:trPr>
          <w:trHeight w:val="300"/>
        </w:trPr>
        <w:tc>
          <w:tcPr>
            <w:tcW w:w="1276" w:type="dxa"/>
            <w:tcBorders>
              <w:bottom w:val="single" w:sz="4" w:space="0" w:color="auto"/>
            </w:tcBorders>
            <w:noWrap/>
            <w:hideMark/>
          </w:tcPr>
          <w:p w14:paraId="385166CE" w14:textId="5246284A"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32</w:t>
            </w:r>
            <w:r w:rsidR="00AE2B5F" w:rsidRPr="003C219A">
              <w:rPr>
                <w:rFonts w:ascii="Book Antiqua" w:eastAsia="Times New Roman" w:hAnsi="Book Antiqua"/>
                <w:color w:val="000000"/>
                <w:lang w:eastAsia="bs-Latn-BA"/>
              </w:rPr>
              <w:t>.0</w:t>
            </w:r>
          </w:p>
        </w:tc>
        <w:tc>
          <w:tcPr>
            <w:tcW w:w="1843" w:type="dxa"/>
            <w:tcBorders>
              <w:bottom w:val="single" w:sz="4" w:space="0" w:color="auto"/>
            </w:tcBorders>
            <w:noWrap/>
            <w:hideMark/>
          </w:tcPr>
          <w:p w14:paraId="25E1C0C2"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65.5</w:t>
            </w:r>
          </w:p>
        </w:tc>
        <w:tc>
          <w:tcPr>
            <w:tcW w:w="1276" w:type="dxa"/>
            <w:tcBorders>
              <w:bottom w:val="single" w:sz="4" w:space="0" w:color="auto"/>
            </w:tcBorders>
            <w:noWrap/>
            <w:hideMark/>
          </w:tcPr>
          <w:p w14:paraId="60AC96BC" w14:textId="43B86CC8"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33</w:t>
            </w:r>
            <w:r w:rsidR="00AE2B5F" w:rsidRPr="003C219A">
              <w:rPr>
                <w:rFonts w:ascii="Book Antiqua" w:eastAsia="Times New Roman" w:hAnsi="Book Antiqua"/>
                <w:color w:val="000000"/>
                <w:lang w:eastAsia="bs-Latn-BA"/>
              </w:rPr>
              <w:t>.0</w:t>
            </w:r>
          </w:p>
        </w:tc>
        <w:tc>
          <w:tcPr>
            <w:tcW w:w="1701" w:type="dxa"/>
            <w:tcBorders>
              <w:bottom w:val="single" w:sz="4" w:space="0" w:color="auto"/>
            </w:tcBorders>
            <w:noWrap/>
            <w:hideMark/>
          </w:tcPr>
          <w:p w14:paraId="581F9658" w14:textId="397E1DB6"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66</w:t>
            </w:r>
            <w:r w:rsidR="00AE2B5F" w:rsidRPr="003C219A">
              <w:rPr>
                <w:rFonts w:ascii="Book Antiqua" w:eastAsia="Times New Roman" w:hAnsi="Book Antiqua"/>
                <w:color w:val="000000"/>
                <w:lang w:eastAsia="bs-Latn-BA"/>
              </w:rPr>
              <w:t>.0</w:t>
            </w:r>
          </w:p>
        </w:tc>
        <w:tc>
          <w:tcPr>
            <w:tcW w:w="1134" w:type="dxa"/>
            <w:tcBorders>
              <w:bottom w:val="single" w:sz="4" w:space="0" w:color="auto"/>
            </w:tcBorders>
            <w:noWrap/>
            <w:hideMark/>
          </w:tcPr>
          <w:p w14:paraId="4ED784F6" w14:textId="77777777"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34.5</w:t>
            </w:r>
          </w:p>
        </w:tc>
        <w:tc>
          <w:tcPr>
            <w:tcW w:w="1701" w:type="dxa"/>
            <w:tcBorders>
              <w:bottom w:val="single" w:sz="4" w:space="0" w:color="auto"/>
            </w:tcBorders>
            <w:noWrap/>
            <w:hideMark/>
          </w:tcPr>
          <w:p w14:paraId="3D14A6C9" w14:textId="4670EC15" w:rsidR="00354993" w:rsidRPr="003C219A" w:rsidRDefault="00354993" w:rsidP="003C219A">
            <w:pPr>
              <w:spacing w:line="360" w:lineRule="auto"/>
              <w:jc w:val="both"/>
              <w:rPr>
                <w:rFonts w:ascii="Book Antiqua" w:eastAsia="Times New Roman" w:hAnsi="Book Antiqua"/>
                <w:color w:val="000000"/>
                <w:lang w:eastAsia="bs-Latn-BA"/>
              </w:rPr>
            </w:pPr>
            <w:r w:rsidRPr="003C219A">
              <w:rPr>
                <w:rFonts w:ascii="Book Antiqua" w:hAnsi="Book Antiqua"/>
                <w:color w:val="000000"/>
              </w:rPr>
              <w:t>65</w:t>
            </w:r>
            <w:r w:rsidR="00AE2B5F" w:rsidRPr="003C219A">
              <w:rPr>
                <w:rFonts w:ascii="Book Antiqua" w:eastAsia="Times New Roman" w:hAnsi="Book Antiqua"/>
                <w:color w:val="000000"/>
                <w:lang w:eastAsia="bs-Latn-BA"/>
              </w:rPr>
              <w:t>.0</w:t>
            </w:r>
          </w:p>
        </w:tc>
      </w:tr>
    </w:tbl>
    <w:p w14:paraId="6A29D6BC" w14:textId="34D93A1E" w:rsidR="00354993" w:rsidRPr="003C219A" w:rsidRDefault="00354993" w:rsidP="003C219A">
      <w:pPr>
        <w:spacing w:line="360" w:lineRule="auto"/>
        <w:jc w:val="both"/>
        <w:rPr>
          <w:rFonts w:ascii="Book Antiqua" w:hAnsi="Book Antiqua"/>
        </w:rPr>
      </w:pPr>
      <w:r w:rsidRPr="003C219A">
        <w:rPr>
          <w:rFonts w:ascii="Book Antiqua" w:hAnsi="Book Antiqua"/>
          <w:color w:val="000000"/>
          <w:lang w:eastAsia="bs-Latn-BA"/>
        </w:rPr>
        <w:t>AA: Acetic acid; NBI: Narrow-band imaging</w:t>
      </w:r>
      <w:r w:rsidR="006E1E91" w:rsidRPr="003C219A">
        <w:rPr>
          <w:rFonts w:ascii="Book Antiqua" w:hAnsi="Book Antiqua"/>
          <w:color w:val="000000"/>
          <w:lang w:eastAsia="bs-Latn-BA"/>
        </w:rPr>
        <w:t>; NF: Near focus.</w:t>
      </w:r>
    </w:p>
    <w:sectPr w:rsidR="00354993" w:rsidRPr="003C21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3EBF6" w14:textId="77777777" w:rsidR="005A6D33" w:rsidRDefault="005A6D33" w:rsidP="00F72C92">
      <w:r>
        <w:separator/>
      </w:r>
    </w:p>
  </w:endnote>
  <w:endnote w:type="continuationSeparator" w:id="0">
    <w:p w14:paraId="26FE48A1" w14:textId="77777777" w:rsidR="005A6D33" w:rsidRDefault="005A6D33" w:rsidP="00F72C92">
      <w:r>
        <w:continuationSeparator/>
      </w:r>
    </w:p>
  </w:endnote>
  <w:endnote w:type="continuationNotice" w:id="1">
    <w:p w14:paraId="0541E464" w14:textId="77777777" w:rsidR="005A6D33" w:rsidRDefault="005A6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DB35" w14:textId="77777777" w:rsidR="00F72C92" w:rsidRPr="00F72C92" w:rsidRDefault="00F72C92" w:rsidP="00F72C92">
    <w:pPr>
      <w:pStyle w:val="a5"/>
      <w:jc w:val="right"/>
      <w:rPr>
        <w:rFonts w:ascii="Book Antiqua" w:hAnsi="Book Antiqua"/>
        <w:color w:val="000000" w:themeColor="text1"/>
        <w:sz w:val="24"/>
        <w:szCs w:val="24"/>
      </w:rPr>
    </w:pPr>
    <w:r w:rsidRPr="00F72C92">
      <w:rPr>
        <w:rFonts w:ascii="Book Antiqua" w:hAnsi="Book Antiqua"/>
        <w:color w:val="000000" w:themeColor="text1"/>
        <w:sz w:val="24"/>
        <w:szCs w:val="24"/>
        <w:lang w:val="zh-CN" w:eastAsia="zh-CN"/>
      </w:rPr>
      <w:t xml:space="preserve"> </w:t>
    </w:r>
    <w:r w:rsidRPr="00F72C92">
      <w:rPr>
        <w:rFonts w:ascii="Book Antiqua" w:hAnsi="Book Antiqua"/>
        <w:color w:val="000000" w:themeColor="text1"/>
        <w:sz w:val="24"/>
        <w:szCs w:val="24"/>
      </w:rPr>
      <w:fldChar w:fldCharType="begin"/>
    </w:r>
    <w:r w:rsidRPr="00F72C92">
      <w:rPr>
        <w:rFonts w:ascii="Book Antiqua" w:hAnsi="Book Antiqua"/>
        <w:color w:val="000000" w:themeColor="text1"/>
        <w:sz w:val="24"/>
        <w:szCs w:val="24"/>
      </w:rPr>
      <w:instrText>PAGE  \* Arabic  \* MERGEFORMAT</w:instrText>
    </w:r>
    <w:r w:rsidRPr="00F72C92">
      <w:rPr>
        <w:rFonts w:ascii="Book Antiqua" w:hAnsi="Book Antiqua"/>
        <w:color w:val="000000" w:themeColor="text1"/>
        <w:sz w:val="24"/>
        <w:szCs w:val="24"/>
      </w:rPr>
      <w:fldChar w:fldCharType="separate"/>
    </w:r>
    <w:r w:rsidRPr="00F72C92">
      <w:rPr>
        <w:rFonts w:ascii="Book Antiqua" w:hAnsi="Book Antiqua"/>
        <w:color w:val="000000" w:themeColor="text1"/>
        <w:sz w:val="24"/>
        <w:szCs w:val="24"/>
        <w:lang w:val="zh-CN" w:eastAsia="zh-CN"/>
      </w:rPr>
      <w:t>2</w:t>
    </w:r>
    <w:r w:rsidRPr="00F72C92">
      <w:rPr>
        <w:rFonts w:ascii="Book Antiqua" w:hAnsi="Book Antiqua"/>
        <w:color w:val="000000" w:themeColor="text1"/>
        <w:sz w:val="24"/>
        <w:szCs w:val="24"/>
      </w:rPr>
      <w:fldChar w:fldCharType="end"/>
    </w:r>
    <w:r w:rsidRPr="00F72C92">
      <w:rPr>
        <w:rFonts w:ascii="Book Antiqua" w:hAnsi="Book Antiqua"/>
        <w:color w:val="000000" w:themeColor="text1"/>
        <w:sz w:val="24"/>
        <w:szCs w:val="24"/>
        <w:lang w:val="zh-CN" w:eastAsia="zh-CN"/>
      </w:rPr>
      <w:t xml:space="preserve"> / </w:t>
    </w:r>
    <w:r w:rsidRPr="00F72C92">
      <w:rPr>
        <w:rFonts w:ascii="Book Antiqua" w:hAnsi="Book Antiqua"/>
        <w:color w:val="000000" w:themeColor="text1"/>
        <w:sz w:val="24"/>
        <w:szCs w:val="24"/>
      </w:rPr>
      <w:fldChar w:fldCharType="begin"/>
    </w:r>
    <w:r w:rsidRPr="00F72C92">
      <w:rPr>
        <w:rFonts w:ascii="Book Antiqua" w:hAnsi="Book Antiqua"/>
        <w:color w:val="000000" w:themeColor="text1"/>
        <w:sz w:val="24"/>
        <w:szCs w:val="24"/>
      </w:rPr>
      <w:instrText>NUMPAGES  \* Arabic  \* MERGEFORMAT</w:instrText>
    </w:r>
    <w:r w:rsidRPr="00F72C92">
      <w:rPr>
        <w:rFonts w:ascii="Book Antiqua" w:hAnsi="Book Antiqua"/>
        <w:color w:val="000000" w:themeColor="text1"/>
        <w:sz w:val="24"/>
        <w:szCs w:val="24"/>
      </w:rPr>
      <w:fldChar w:fldCharType="separate"/>
    </w:r>
    <w:r w:rsidRPr="00F72C92">
      <w:rPr>
        <w:rFonts w:ascii="Book Antiqua" w:hAnsi="Book Antiqua"/>
        <w:color w:val="000000" w:themeColor="text1"/>
        <w:sz w:val="24"/>
        <w:szCs w:val="24"/>
        <w:lang w:val="zh-CN" w:eastAsia="zh-CN"/>
      </w:rPr>
      <w:t>2</w:t>
    </w:r>
    <w:r w:rsidRPr="00F72C92">
      <w:rPr>
        <w:rFonts w:ascii="Book Antiqua" w:hAnsi="Book Antiqua"/>
        <w:color w:val="000000" w:themeColor="text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02B2" w14:textId="1F558606" w:rsidR="00F72C92" w:rsidRPr="00FC3331" w:rsidRDefault="00F72C92" w:rsidP="00FC3331">
    <w:pPr>
      <w:pStyle w:val="a5"/>
      <w:jc w:val="right"/>
      <w:rPr>
        <w:rFonts w:ascii="Book Antiqua" w:hAnsi="Book Antiqua"/>
        <w:color w:val="000000" w:themeColor="text1"/>
        <w:sz w:val="24"/>
      </w:rPr>
    </w:pPr>
    <w:r w:rsidRPr="00F72C92">
      <w:rPr>
        <w:rFonts w:ascii="Book Antiqua" w:hAnsi="Book Antiqua"/>
        <w:color w:val="000000" w:themeColor="text1"/>
        <w:sz w:val="24"/>
        <w:szCs w:val="24"/>
      </w:rPr>
      <w:fldChar w:fldCharType="begin"/>
    </w:r>
    <w:r w:rsidRPr="00F72C92">
      <w:rPr>
        <w:rFonts w:ascii="Book Antiqua" w:hAnsi="Book Antiqua"/>
        <w:color w:val="000000" w:themeColor="text1"/>
        <w:sz w:val="24"/>
        <w:szCs w:val="24"/>
      </w:rPr>
      <w:instrText>PAGE</w:instrText>
    </w:r>
    <w:r w:rsidRPr="00F72C92">
      <w:rPr>
        <w:rFonts w:ascii="Book Antiqua" w:hAnsi="Book Antiqua"/>
        <w:color w:val="000000" w:themeColor="text1"/>
        <w:sz w:val="24"/>
        <w:szCs w:val="24"/>
      </w:rPr>
      <w:fldChar w:fldCharType="separate"/>
    </w:r>
    <w:r w:rsidRPr="00F72C92">
      <w:rPr>
        <w:rFonts w:ascii="Book Antiqua" w:hAnsi="Book Antiqua"/>
        <w:color w:val="000000" w:themeColor="text1"/>
        <w:sz w:val="24"/>
        <w:szCs w:val="24"/>
        <w:lang w:val="zh-CN" w:eastAsia="zh-CN"/>
      </w:rPr>
      <w:t>2</w:t>
    </w:r>
    <w:r w:rsidRPr="00F72C92">
      <w:rPr>
        <w:rFonts w:ascii="Book Antiqua" w:hAnsi="Book Antiqua"/>
        <w:color w:val="000000" w:themeColor="text1"/>
        <w:sz w:val="24"/>
        <w:szCs w:val="24"/>
      </w:rPr>
      <w:fldChar w:fldCharType="end"/>
    </w:r>
    <w:r w:rsidRPr="00F72C92">
      <w:rPr>
        <w:rFonts w:ascii="Book Antiqua" w:hAnsi="Book Antiqua"/>
        <w:color w:val="000000" w:themeColor="text1"/>
        <w:sz w:val="24"/>
        <w:szCs w:val="24"/>
        <w:lang w:val="zh-CN" w:eastAsia="zh-CN"/>
      </w:rPr>
      <w:t xml:space="preserve"> / </w:t>
    </w:r>
    <w:r w:rsidRPr="00F72C92">
      <w:rPr>
        <w:rFonts w:ascii="Book Antiqua" w:hAnsi="Book Antiqua"/>
        <w:color w:val="000000" w:themeColor="text1"/>
        <w:sz w:val="24"/>
        <w:szCs w:val="24"/>
      </w:rPr>
      <w:fldChar w:fldCharType="begin"/>
    </w:r>
    <w:r w:rsidRPr="00F72C92">
      <w:rPr>
        <w:rFonts w:ascii="Book Antiqua" w:hAnsi="Book Antiqua"/>
        <w:color w:val="000000" w:themeColor="text1"/>
        <w:sz w:val="24"/>
        <w:szCs w:val="24"/>
      </w:rPr>
      <w:instrText>NUMPAGES</w:instrText>
    </w:r>
    <w:r w:rsidRPr="00F72C92">
      <w:rPr>
        <w:rFonts w:ascii="Book Antiqua" w:hAnsi="Book Antiqua"/>
        <w:color w:val="000000" w:themeColor="text1"/>
        <w:sz w:val="24"/>
        <w:szCs w:val="24"/>
      </w:rPr>
      <w:fldChar w:fldCharType="separate"/>
    </w:r>
    <w:r w:rsidRPr="00F72C92">
      <w:rPr>
        <w:rFonts w:ascii="Book Antiqua" w:hAnsi="Book Antiqua"/>
        <w:color w:val="000000" w:themeColor="text1"/>
        <w:sz w:val="24"/>
        <w:szCs w:val="24"/>
        <w:lang w:val="zh-CN" w:eastAsia="zh-CN"/>
      </w:rPr>
      <w:t>2</w:t>
    </w:r>
    <w:r w:rsidRPr="00F72C9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1A320" w14:textId="77777777" w:rsidR="005A6D33" w:rsidRDefault="005A6D33" w:rsidP="00F72C92">
      <w:r>
        <w:separator/>
      </w:r>
    </w:p>
  </w:footnote>
  <w:footnote w:type="continuationSeparator" w:id="0">
    <w:p w14:paraId="0385BC97" w14:textId="77777777" w:rsidR="005A6D33" w:rsidRDefault="005A6D33" w:rsidP="00F72C92">
      <w:r>
        <w:continuationSeparator/>
      </w:r>
    </w:p>
  </w:footnote>
  <w:footnote w:type="continuationNotice" w:id="1">
    <w:p w14:paraId="7B924A42" w14:textId="77777777" w:rsidR="005A6D33" w:rsidRDefault="005A6D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6A70" w14:textId="77777777" w:rsidR="00FC3331" w:rsidRDefault="00FC3331">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DB4"/>
    <w:rsid w:val="00060F23"/>
    <w:rsid w:val="000C6C0B"/>
    <w:rsid w:val="001037C6"/>
    <w:rsid w:val="0013124B"/>
    <w:rsid w:val="00196E48"/>
    <w:rsid w:val="001E03E3"/>
    <w:rsid w:val="00202DDC"/>
    <w:rsid w:val="00261C9E"/>
    <w:rsid w:val="002E0E72"/>
    <w:rsid w:val="00334A9F"/>
    <w:rsid w:val="00341481"/>
    <w:rsid w:val="00354993"/>
    <w:rsid w:val="003C219A"/>
    <w:rsid w:val="003F45CC"/>
    <w:rsid w:val="0045083D"/>
    <w:rsid w:val="00457D28"/>
    <w:rsid w:val="00461F0E"/>
    <w:rsid w:val="00463C48"/>
    <w:rsid w:val="005A6D33"/>
    <w:rsid w:val="005D7377"/>
    <w:rsid w:val="006E1E91"/>
    <w:rsid w:val="00814D1C"/>
    <w:rsid w:val="008F3BF3"/>
    <w:rsid w:val="009003E1"/>
    <w:rsid w:val="00913585"/>
    <w:rsid w:val="009E3C7B"/>
    <w:rsid w:val="00A11003"/>
    <w:rsid w:val="00A77B3E"/>
    <w:rsid w:val="00A81B64"/>
    <w:rsid w:val="00A85030"/>
    <w:rsid w:val="00AA5D8C"/>
    <w:rsid w:val="00AA6E38"/>
    <w:rsid w:val="00AE2B5F"/>
    <w:rsid w:val="00AE4472"/>
    <w:rsid w:val="00B81389"/>
    <w:rsid w:val="00BD0D0A"/>
    <w:rsid w:val="00C7299F"/>
    <w:rsid w:val="00C917BE"/>
    <w:rsid w:val="00CA2A55"/>
    <w:rsid w:val="00CD298B"/>
    <w:rsid w:val="00DC7B7B"/>
    <w:rsid w:val="00DE4D1E"/>
    <w:rsid w:val="00E17948"/>
    <w:rsid w:val="00E26993"/>
    <w:rsid w:val="00E91FDE"/>
    <w:rsid w:val="00EA1289"/>
    <w:rsid w:val="00ED37C0"/>
    <w:rsid w:val="00F1617B"/>
    <w:rsid w:val="00F448F5"/>
    <w:rsid w:val="00F71A54"/>
    <w:rsid w:val="00F72C92"/>
    <w:rsid w:val="00FA377E"/>
    <w:rsid w:val="00FC3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3FB0B5"/>
  <w15:docId w15:val="{588C12ED-4AB4-4F2D-AD21-69294199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paragraph" w:styleId="a3">
    <w:name w:val="header"/>
    <w:basedOn w:val="a"/>
    <w:link w:val="a4"/>
    <w:rsid w:val="00F72C92"/>
    <w:pPr>
      <w:tabs>
        <w:tab w:val="center" w:pos="4153"/>
        <w:tab w:val="right" w:pos="8306"/>
      </w:tabs>
      <w:snapToGrid w:val="0"/>
      <w:jc w:val="center"/>
    </w:pPr>
    <w:rPr>
      <w:sz w:val="18"/>
      <w:szCs w:val="18"/>
    </w:rPr>
  </w:style>
  <w:style w:type="character" w:customStyle="1" w:styleId="a4">
    <w:name w:val="页眉 字符"/>
    <w:basedOn w:val="a0"/>
    <w:link w:val="a3"/>
    <w:rsid w:val="00F72C92"/>
    <w:rPr>
      <w:sz w:val="18"/>
      <w:szCs w:val="18"/>
    </w:rPr>
  </w:style>
  <w:style w:type="paragraph" w:styleId="a5">
    <w:name w:val="footer"/>
    <w:basedOn w:val="a"/>
    <w:link w:val="a6"/>
    <w:uiPriority w:val="99"/>
    <w:rsid w:val="00F72C92"/>
    <w:pPr>
      <w:tabs>
        <w:tab w:val="center" w:pos="4153"/>
        <w:tab w:val="right" w:pos="8306"/>
      </w:tabs>
      <w:snapToGrid w:val="0"/>
    </w:pPr>
    <w:rPr>
      <w:sz w:val="18"/>
      <w:szCs w:val="18"/>
    </w:rPr>
  </w:style>
  <w:style w:type="character" w:customStyle="1" w:styleId="a6">
    <w:name w:val="页脚 字符"/>
    <w:basedOn w:val="a0"/>
    <w:link w:val="a5"/>
    <w:uiPriority w:val="99"/>
    <w:rsid w:val="00F72C92"/>
    <w:rPr>
      <w:sz w:val="18"/>
      <w:szCs w:val="18"/>
    </w:rPr>
  </w:style>
  <w:style w:type="paragraph" w:styleId="a7">
    <w:name w:val="Normal (Web)"/>
    <w:basedOn w:val="a"/>
    <w:uiPriority w:val="99"/>
    <w:unhideWhenUsed/>
    <w:rsid w:val="00354993"/>
    <w:pPr>
      <w:spacing w:before="100" w:beforeAutospacing="1" w:after="100" w:afterAutospacing="1"/>
    </w:pPr>
    <w:rPr>
      <w:rFonts w:eastAsia="Times New Roman"/>
      <w:lang w:val="en-GB" w:eastAsia="hr-BA"/>
    </w:rPr>
  </w:style>
  <w:style w:type="character" w:styleId="a8">
    <w:name w:val="annotation reference"/>
    <w:basedOn w:val="a0"/>
    <w:rsid w:val="00461F0E"/>
    <w:rPr>
      <w:sz w:val="21"/>
      <w:szCs w:val="21"/>
    </w:rPr>
  </w:style>
  <w:style w:type="paragraph" w:styleId="a9">
    <w:name w:val="annotation text"/>
    <w:basedOn w:val="a"/>
    <w:link w:val="aa"/>
    <w:rsid w:val="00461F0E"/>
  </w:style>
  <w:style w:type="character" w:customStyle="1" w:styleId="aa">
    <w:name w:val="批注文字 字符"/>
    <w:basedOn w:val="a0"/>
    <w:link w:val="a9"/>
    <w:rsid w:val="00461F0E"/>
    <w:rPr>
      <w:sz w:val="24"/>
      <w:szCs w:val="24"/>
    </w:rPr>
  </w:style>
  <w:style w:type="paragraph" w:styleId="ab">
    <w:name w:val="annotation subject"/>
    <w:basedOn w:val="a9"/>
    <w:next w:val="a9"/>
    <w:link w:val="ac"/>
    <w:rsid w:val="00461F0E"/>
    <w:rPr>
      <w:b/>
      <w:bCs/>
    </w:rPr>
  </w:style>
  <w:style w:type="character" w:customStyle="1" w:styleId="ac">
    <w:name w:val="批注主题 字符"/>
    <w:basedOn w:val="aa"/>
    <w:link w:val="ab"/>
    <w:rsid w:val="00461F0E"/>
    <w:rPr>
      <w:b/>
      <w:bCs/>
      <w:sz w:val="24"/>
      <w:szCs w:val="24"/>
    </w:rPr>
  </w:style>
  <w:style w:type="paragraph" w:styleId="ad">
    <w:name w:val="Revision"/>
    <w:hidden/>
    <w:uiPriority w:val="99"/>
    <w:semiHidden/>
    <w:rsid w:val="00461F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47BF3-6A9B-45B5-AAEC-90FF107C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27</Pages>
  <Words>6036</Words>
  <Characters>34409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yan jiaping</cp:lastModifiedBy>
  <cp:revision>3</cp:revision>
  <dcterms:created xsi:type="dcterms:W3CDTF">2024-02-10T20:30:00Z</dcterms:created>
  <dcterms:modified xsi:type="dcterms:W3CDTF">2024-02-18T08:43:00Z</dcterms:modified>
</cp:coreProperties>
</file>