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ECF7F" w14:textId="77777777" w:rsidR="00430080"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Endoscopy</w:t>
      </w:r>
    </w:p>
    <w:p w14:paraId="670AEFBC" w14:textId="77777777" w:rsidR="00430080"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89039</w:t>
      </w:r>
    </w:p>
    <w:p w14:paraId="299BECC5" w14:textId="77777777" w:rsidR="00430080"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5DD70380" w14:textId="77777777" w:rsidR="00430080" w:rsidRDefault="00430080">
      <w:pPr>
        <w:spacing w:line="360" w:lineRule="auto"/>
        <w:jc w:val="both"/>
        <w:rPr>
          <w:rFonts w:ascii="Book Antiqua" w:hAnsi="Book Antiqua"/>
          <w:lang w:eastAsia="zh-CN"/>
        </w:rPr>
      </w:pPr>
    </w:p>
    <w:p w14:paraId="1CAE3FB6" w14:textId="77777777" w:rsidR="00430080" w:rsidRDefault="00000000">
      <w:pPr>
        <w:spacing w:line="360" w:lineRule="auto"/>
        <w:jc w:val="both"/>
        <w:rPr>
          <w:rFonts w:ascii="Book Antiqua" w:hAnsi="Book Antiqua"/>
        </w:rPr>
      </w:pPr>
      <w:r>
        <w:rPr>
          <w:rFonts w:ascii="Book Antiqua" w:eastAsia="Book Antiqua" w:hAnsi="Book Antiqua" w:cs="Book Antiqua"/>
          <w:b/>
          <w:i/>
        </w:rPr>
        <w:t>Observational Study</w:t>
      </w:r>
    </w:p>
    <w:p w14:paraId="63CEE668" w14:textId="77777777" w:rsidR="00430080" w:rsidRDefault="00000000">
      <w:pPr>
        <w:spacing w:line="360" w:lineRule="auto"/>
        <w:jc w:val="both"/>
        <w:rPr>
          <w:rFonts w:ascii="Book Antiqua" w:hAnsi="Book Antiqua"/>
        </w:rPr>
      </w:pPr>
      <w:r>
        <w:rPr>
          <w:rFonts w:ascii="Book Antiqua" w:eastAsia="Book Antiqua" w:hAnsi="Book Antiqua" w:cs="Book Antiqua"/>
          <w:b/>
          <w:bCs/>
          <w:color w:val="000000"/>
        </w:rPr>
        <w:t>Could near focus endoscopy, narrow-band imaging, and acetic acid improve the visualization of microscopic features of stomach mucosa?</w:t>
      </w:r>
    </w:p>
    <w:p w14:paraId="136A13F4" w14:textId="77777777" w:rsidR="00430080" w:rsidRDefault="00430080">
      <w:pPr>
        <w:spacing w:line="360" w:lineRule="auto"/>
        <w:jc w:val="both"/>
        <w:rPr>
          <w:rFonts w:ascii="Book Antiqua" w:hAnsi="Book Antiqua"/>
        </w:rPr>
      </w:pPr>
    </w:p>
    <w:p w14:paraId="678C27E4" w14:textId="77777777" w:rsidR="00430080" w:rsidRDefault="00000000">
      <w:pPr>
        <w:spacing w:line="360" w:lineRule="auto"/>
        <w:jc w:val="both"/>
        <w:rPr>
          <w:rFonts w:ascii="Book Antiqua" w:hAnsi="Book Antiqua"/>
        </w:rPr>
      </w:pPr>
      <w:proofErr w:type="spellStart"/>
      <w:r>
        <w:rPr>
          <w:rFonts w:ascii="Book Antiqua" w:eastAsia="Book Antiqua" w:hAnsi="Book Antiqua" w:cs="Book Antiqua"/>
        </w:rPr>
        <w:t>Kurtcehajic</w:t>
      </w:r>
      <w:proofErr w:type="spellEnd"/>
      <w:r>
        <w:rPr>
          <w:rFonts w:ascii="Book Antiqua" w:eastAsia="Book Antiqua" w:hAnsi="Book Antiqua" w:cs="Book Antiqua"/>
        </w:rPr>
        <w:t xml:space="preserve"> A</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Endoscopic microanatomy of the gastric mucosa</w:t>
      </w:r>
    </w:p>
    <w:p w14:paraId="06E35523" w14:textId="77777777" w:rsidR="00430080" w:rsidRDefault="00430080">
      <w:pPr>
        <w:spacing w:line="360" w:lineRule="auto"/>
        <w:jc w:val="both"/>
        <w:rPr>
          <w:rFonts w:ascii="Book Antiqua" w:hAnsi="Book Antiqua"/>
        </w:rPr>
      </w:pPr>
    </w:p>
    <w:p w14:paraId="5A45C421" w14:textId="77777777" w:rsidR="00430080" w:rsidRDefault="00000000">
      <w:pPr>
        <w:spacing w:line="360" w:lineRule="auto"/>
        <w:jc w:val="both"/>
        <w:rPr>
          <w:rFonts w:ascii="Book Antiqua" w:hAnsi="Book Antiqua"/>
        </w:rPr>
      </w:pPr>
      <w:r>
        <w:rPr>
          <w:rFonts w:ascii="Book Antiqua" w:eastAsia="Book Antiqua" w:hAnsi="Book Antiqua" w:cs="Book Antiqua"/>
          <w:color w:val="000000"/>
        </w:rPr>
        <w:t xml:space="preserve">Admir </w:t>
      </w:r>
      <w:proofErr w:type="spellStart"/>
      <w:r>
        <w:rPr>
          <w:rFonts w:ascii="Book Antiqua" w:eastAsia="Book Antiqua" w:hAnsi="Book Antiqua" w:cs="Book Antiqua"/>
          <w:color w:val="000000"/>
        </w:rPr>
        <w:t>Kurtcehajic</w:t>
      </w:r>
      <w:proofErr w:type="spellEnd"/>
      <w:r>
        <w:rPr>
          <w:rFonts w:ascii="Book Antiqua" w:eastAsia="Book Antiqua" w:hAnsi="Book Antiqua" w:cs="Book Antiqua"/>
          <w:color w:val="000000"/>
        </w:rPr>
        <w:t xml:space="preserve">, Enver </w:t>
      </w:r>
      <w:proofErr w:type="spellStart"/>
      <w:r>
        <w:rPr>
          <w:rFonts w:ascii="Book Antiqua" w:eastAsia="Book Antiqua" w:hAnsi="Book Antiqua" w:cs="Book Antiqua"/>
          <w:color w:val="000000"/>
        </w:rPr>
        <w:t>Zerem</w:t>
      </w:r>
      <w:proofErr w:type="spellEnd"/>
      <w:r>
        <w:rPr>
          <w:rFonts w:ascii="Book Antiqua" w:eastAsia="Book Antiqua" w:hAnsi="Book Antiqua" w:cs="Book Antiqua"/>
          <w:color w:val="000000"/>
        </w:rPr>
        <w:t xml:space="preserve">, Tomislav Bokun, Ervin </w:t>
      </w:r>
      <w:proofErr w:type="spellStart"/>
      <w:r>
        <w:rPr>
          <w:rFonts w:ascii="Book Antiqua" w:eastAsia="Book Antiqua" w:hAnsi="Book Antiqua" w:cs="Book Antiqua"/>
          <w:color w:val="000000"/>
        </w:rPr>
        <w:t>Alibegovic</w:t>
      </w:r>
      <w:proofErr w:type="spellEnd"/>
      <w:r>
        <w:rPr>
          <w:rFonts w:ascii="Book Antiqua" w:eastAsia="Book Antiqua" w:hAnsi="Book Antiqua" w:cs="Book Antiqua"/>
          <w:color w:val="000000"/>
        </w:rPr>
        <w:t xml:space="preserve">, Suad </w:t>
      </w:r>
      <w:proofErr w:type="spellStart"/>
      <w:r>
        <w:rPr>
          <w:rFonts w:ascii="Book Antiqua" w:eastAsia="Book Antiqua" w:hAnsi="Book Antiqua" w:cs="Book Antiqua"/>
          <w:color w:val="000000"/>
        </w:rPr>
        <w:t>Kunosic</w:t>
      </w:r>
      <w:proofErr w:type="spellEnd"/>
      <w:r>
        <w:rPr>
          <w:rFonts w:ascii="Book Antiqua" w:eastAsia="Book Antiqua" w:hAnsi="Book Antiqua" w:cs="Book Antiqua"/>
          <w:color w:val="000000"/>
        </w:rPr>
        <w:t xml:space="preserve">, Ahmed Hujdurovic, Amir </w:t>
      </w:r>
      <w:proofErr w:type="spellStart"/>
      <w:r>
        <w:rPr>
          <w:rFonts w:ascii="Book Antiqua" w:eastAsia="Book Antiqua" w:hAnsi="Book Antiqua" w:cs="Book Antiqua"/>
          <w:color w:val="000000"/>
        </w:rPr>
        <w:t>Tursunovic</w:t>
      </w:r>
      <w:proofErr w:type="spellEnd"/>
      <w:r>
        <w:rPr>
          <w:rFonts w:ascii="Book Antiqua" w:eastAsia="Book Antiqua" w:hAnsi="Book Antiqua" w:cs="Book Antiqua"/>
          <w:color w:val="000000"/>
        </w:rPr>
        <w:t xml:space="preserve">, Kenana </w:t>
      </w:r>
      <w:proofErr w:type="spellStart"/>
      <w:r>
        <w:rPr>
          <w:rFonts w:ascii="Book Antiqua" w:eastAsia="Book Antiqua" w:hAnsi="Book Antiqua" w:cs="Book Antiqua"/>
          <w:color w:val="000000"/>
        </w:rPr>
        <w:t>Ljuca</w:t>
      </w:r>
      <w:proofErr w:type="spellEnd"/>
    </w:p>
    <w:p w14:paraId="41820A78" w14:textId="77777777" w:rsidR="00430080" w:rsidRDefault="00430080">
      <w:pPr>
        <w:spacing w:line="360" w:lineRule="auto"/>
        <w:jc w:val="both"/>
        <w:rPr>
          <w:rFonts w:ascii="Book Antiqua" w:hAnsi="Book Antiqua"/>
        </w:rPr>
      </w:pPr>
    </w:p>
    <w:p w14:paraId="34D86753" w14:textId="77777777" w:rsidR="00430080" w:rsidRDefault="00000000">
      <w:pPr>
        <w:spacing w:line="360" w:lineRule="auto"/>
        <w:jc w:val="both"/>
        <w:rPr>
          <w:rFonts w:ascii="Book Antiqua" w:hAnsi="Book Antiqua"/>
        </w:rPr>
      </w:pPr>
      <w:r>
        <w:rPr>
          <w:rFonts w:ascii="Book Antiqua" w:eastAsia="Book Antiqua" w:hAnsi="Book Antiqua" w:cs="Book Antiqua"/>
          <w:b/>
          <w:bCs/>
          <w:color w:val="000000"/>
        </w:rPr>
        <w:t xml:space="preserve">Admir </w:t>
      </w:r>
      <w:proofErr w:type="spellStart"/>
      <w:r>
        <w:rPr>
          <w:rFonts w:ascii="Book Antiqua" w:eastAsia="Book Antiqua" w:hAnsi="Book Antiqua" w:cs="Book Antiqua"/>
          <w:b/>
          <w:bCs/>
          <w:color w:val="000000"/>
        </w:rPr>
        <w:t>Kurtcehajic</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Gastroenterology and Hepatology, Blue Medical Group, Tuzla 75000, Tuzla Kanton, Bosnia and Herzegovina</w:t>
      </w:r>
    </w:p>
    <w:p w14:paraId="6D00AACC" w14:textId="77777777" w:rsidR="00430080" w:rsidRDefault="00430080">
      <w:pPr>
        <w:spacing w:line="360" w:lineRule="auto"/>
        <w:jc w:val="both"/>
        <w:rPr>
          <w:rFonts w:ascii="Book Antiqua" w:hAnsi="Book Antiqua"/>
        </w:rPr>
      </w:pPr>
    </w:p>
    <w:p w14:paraId="4DA55788" w14:textId="77777777" w:rsidR="00430080" w:rsidRDefault="00000000">
      <w:pPr>
        <w:spacing w:line="360" w:lineRule="auto"/>
        <w:jc w:val="both"/>
        <w:rPr>
          <w:rFonts w:ascii="Book Antiqua" w:hAnsi="Book Antiqua"/>
        </w:rPr>
      </w:pPr>
      <w:r>
        <w:rPr>
          <w:rFonts w:ascii="Book Antiqua" w:eastAsia="Book Antiqua" w:hAnsi="Book Antiqua" w:cs="Book Antiqua"/>
          <w:b/>
          <w:bCs/>
          <w:color w:val="000000"/>
        </w:rPr>
        <w:t xml:space="preserve">Enver </w:t>
      </w:r>
      <w:proofErr w:type="spellStart"/>
      <w:r>
        <w:rPr>
          <w:rFonts w:ascii="Book Antiqua" w:eastAsia="Book Antiqua" w:hAnsi="Book Antiqua" w:cs="Book Antiqua"/>
          <w:b/>
          <w:bCs/>
          <w:color w:val="000000"/>
        </w:rPr>
        <w:t>Zerem</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Medical Sciences, The Academy of Sciences and Arts of Bosnia and Herzegovina, Sarajevo 71000, Bosnia and Herzegovina</w:t>
      </w:r>
    </w:p>
    <w:p w14:paraId="5B1BED52" w14:textId="77777777" w:rsidR="00430080" w:rsidRDefault="00430080">
      <w:pPr>
        <w:spacing w:line="360" w:lineRule="auto"/>
        <w:jc w:val="both"/>
        <w:rPr>
          <w:rFonts w:ascii="Book Antiqua" w:hAnsi="Book Antiqua"/>
        </w:rPr>
      </w:pPr>
    </w:p>
    <w:p w14:paraId="596C58BA" w14:textId="77777777" w:rsidR="00430080" w:rsidRDefault="00000000">
      <w:pPr>
        <w:spacing w:line="360" w:lineRule="auto"/>
        <w:jc w:val="both"/>
        <w:rPr>
          <w:rFonts w:ascii="Book Antiqua" w:hAnsi="Book Antiqua"/>
        </w:rPr>
      </w:pPr>
      <w:r>
        <w:rPr>
          <w:rFonts w:ascii="Book Antiqua" w:eastAsia="Book Antiqua" w:hAnsi="Book Antiqua" w:cs="Book Antiqua"/>
          <w:b/>
          <w:bCs/>
          <w:color w:val="000000"/>
        </w:rPr>
        <w:t xml:space="preserve">Tomislav Bokun, </w:t>
      </w:r>
      <w:r>
        <w:rPr>
          <w:rFonts w:ascii="Book Antiqua" w:eastAsia="Book Antiqua" w:hAnsi="Book Antiqua" w:cs="Book Antiqua"/>
          <w:color w:val="000000"/>
        </w:rPr>
        <w:t>Department of Gastroenterology and Hepatology, University Clinical Hospital Dubrava, Zagreb 10000, Croatia</w:t>
      </w:r>
    </w:p>
    <w:p w14:paraId="2C94ADAA" w14:textId="77777777" w:rsidR="00430080" w:rsidRDefault="00430080">
      <w:pPr>
        <w:spacing w:line="360" w:lineRule="auto"/>
        <w:jc w:val="both"/>
        <w:rPr>
          <w:rFonts w:ascii="Book Antiqua" w:hAnsi="Book Antiqua"/>
        </w:rPr>
      </w:pPr>
    </w:p>
    <w:p w14:paraId="5ED72148" w14:textId="77777777" w:rsidR="00430080" w:rsidRDefault="00000000">
      <w:pPr>
        <w:spacing w:line="360" w:lineRule="auto"/>
        <w:jc w:val="both"/>
        <w:rPr>
          <w:rFonts w:ascii="Book Antiqua" w:hAnsi="Book Antiqua"/>
        </w:rPr>
      </w:pPr>
      <w:r>
        <w:rPr>
          <w:rFonts w:ascii="Book Antiqua" w:eastAsia="Book Antiqua" w:hAnsi="Book Antiqua" w:cs="Book Antiqua"/>
          <w:b/>
          <w:bCs/>
          <w:color w:val="000000"/>
        </w:rPr>
        <w:t xml:space="preserve">Ervin </w:t>
      </w:r>
      <w:proofErr w:type="spellStart"/>
      <w:r>
        <w:rPr>
          <w:rFonts w:ascii="Book Antiqua" w:eastAsia="Book Antiqua" w:hAnsi="Book Antiqua" w:cs="Book Antiqua"/>
          <w:b/>
          <w:bCs/>
          <w:color w:val="000000"/>
        </w:rPr>
        <w:t>Alibegovic</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Gastroenterology and Hepatology, University Clinical Center Tuzla, Tuzla 75000, Tuzla Kanton, Bosnia and Herzegovina</w:t>
      </w:r>
    </w:p>
    <w:p w14:paraId="7E24AEC7" w14:textId="77777777" w:rsidR="00430080" w:rsidRDefault="00430080">
      <w:pPr>
        <w:spacing w:line="360" w:lineRule="auto"/>
        <w:jc w:val="both"/>
        <w:rPr>
          <w:rFonts w:ascii="Book Antiqua" w:hAnsi="Book Antiqua"/>
        </w:rPr>
      </w:pPr>
    </w:p>
    <w:p w14:paraId="60521083" w14:textId="77777777" w:rsidR="00430080" w:rsidRDefault="00000000">
      <w:pPr>
        <w:spacing w:line="360" w:lineRule="auto"/>
        <w:jc w:val="both"/>
        <w:rPr>
          <w:rFonts w:ascii="Book Antiqua" w:hAnsi="Book Antiqua"/>
        </w:rPr>
      </w:pPr>
      <w:r>
        <w:rPr>
          <w:rFonts w:ascii="Book Antiqua" w:eastAsia="Book Antiqua" w:hAnsi="Book Antiqua" w:cs="Book Antiqua"/>
          <w:b/>
          <w:bCs/>
          <w:color w:val="000000"/>
        </w:rPr>
        <w:t xml:space="preserve">Suad </w:t>
      </w:r>
      <w:proofErr w:type="spellStart"/>
      <w:r>
        <w:rPr>
          <w:rFonts w:ascii="Book Antiqua" w:eastAsia="Book Antiqua" w:hAnsi="Book Antiqua" w:cs="Book Antiqua"/>
          <w:b/>
          <w:bCs/>
          <w:color w:val="000000"/>
        </w:rPr>
        <w:t>Kunosic</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Physics, Faculty of Natural Sciences and Mathematics, University of Tuzla, Tuzla 75000, Tuzla Kanton, Bosnia and Herzegovina</w:t>
      </w:r>
    </w:p>
    <w:p w14:paraId="4750541F" w14:textId="77777777" w:rsidR="00430080" w:rsidRDefault="00430080">
      <w:pPr>
        <w:spacing w:line="360" w:lineRule="auto"/>
        <w:jc w:val="both"/>
        <w:rPr>
          <w:rFonts w:ascii="Book Antiqua" w:hAnsi="Book Antiqua"/>
        </w:rPr>
      </w:pPr>
    </w:p>
    <w:p w14:paraId="6FB7FDA1" w14:textId="77777777" w:rsidR="00430080" w:rsidRDefault="00000000">
      <w:pPr>
        <w:spacing w:line="360" w:lineRule="auto"/>
        <w:jc w:val="both"/>
        <w:rPr>
          <w:rFonts w:ascii="Book Antiqua" w:hAnsi="Book Antiqua"/>
        </w:rPr>
      </w:pPr>
      <w:r>
        <w:rPr>
          <w:rFonts w:ascii="Book Antiqua" w:eastAsia="Book Antiqua" w:hAnsi="Book Antiqua" w:cs="Book Antiqua"/>
          <w:b/>
          <w:bCs/>
          <w:color w:val="000000"/>
        </w:rPr>
        <w:lastRenderedPageBreak/>
        <w:t xml:space="preserve">Ahmed Hujdurovic, </w:t>
      </w:r>
      <w:r>
        <w:rPr>
          <w:rFonts w:ascii="Book Antiqua" w:eastAsia="Book Antiqua" w:hAnsi="Book Antiqua" w:cs="Book Antiqua"/>
          <w:color w:val="000000"/>
        </w:rPr>
        <w:t>Department of Internal Medicine, Blue Medical Group, Tuzla 75000, Tuzla Kanton, Bosnia and Herzegovina</w:t>
      </w:r>
    </w:p>
    <w:p w14:paraId="0089F790" w14:textId="77777777" w:rsidR="00430080" w:rsidRDefault="00430080">
      <w:pPr>
        <w:spacing w:line="360" w:lineRule="auto"/>
        <w:jc w:val="both"/>
        <w:rPr>
          <w:rFonts w:ascii="Book Antiqua" w:hAnsi="Book Antiqua"/>
        </w:rPr>
      </w:pPr>
    </w:p>
    <w:p w14:paraId="47EAFC58" w14:textId="77777777" w:rsidR="00430080" w:rsidRDefault="00000000">
      <w:pPr>
        <w:spacing w:line="360" w:lineRule="auto"/>
        <w:jc w:val="both"/>
        <w:rPr>
          <w:rFonts w:ascii="Book Antiqua" w:hAnsi="Book Antiqua"/>
        </w:rPr>
      </w:pPr>
      <w:r>
        <w:rPr>
          <w:rFonts w:ascii="Book Antiqua" w:eastAsia="Book Antiqua" w:hAnsi="Book Antiqua" w:cs="Book Antiqua"/>
          <w:b/>
          <w:bCs/>
          <w:color w:val="000000"/>
        </w:rPr>
        <w:t xml:space="preserve">Amir </w:t>
      </w:r>
      <w:proofErr w:type="spellStart"/>
      <w:r>
        <w:rPr>
          <w:rFonts w:ascii="Book Antiqua" w:eastAsia="Book Antiqua" w:hAnsi="Book Antiqua" w:cs="Book Antiqua"/>
          <w:b/>
          <w:bCs/>
          <w:color w:val="000000"/>
        </w:rPr>
        <w:t>Tursunovic</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Surgery, University Clinical Center Tuzla, Tuzla 75000, Bosnia and Herzegovina</w:t>
      </w:r>
    </w:p>
    <w:p w14:paraId="1CDF9C2E" w14:textId="77777777" w:rsidR="00430080" w:rsidRDefault="00430080">
      <w:pPr>
        <w:spacing w:line="360" w:lineRule="auto"/>
        <w:jc w:val="both"/>
        <w:rPr>
          <w:rFonts w:ascii="Book Antiqua" w:hAnsi="Book Antiqua"/>
        </w:rPr>
      </w:pPr>
    </w:p>
    <w:p w14:paraId="49775858" w14:textId="77777777" w:rsidR="00430080" w:rsidRDefault="00000000">
      <w:pPr>
        <w:spacing w:line="360" w:lineRule="auto"/>
        <w:jc w:val="both"/>
        <w:rPr>
          <w:rFonts w:ascii="Book Antiqua" w:hAnsi="Book Antiqua"/>
        </w:rPr>
      </w:pPr>
      <w:r>
        <w:rPr>
          <w:rFonts w:ascii="Book Antiqua" w:eastAsia="Book Antiqua" w:hAnsi="Book Antiqua" w:cs="Book Antiqua"/>
          <w:b/>
          <w:bCs/>
          <w:color w:val="000000"/>
        </w:rPr>
        <w:t xml:space="preserve">Kenana </w:t>
      </w:r>
      <w:proofErr w:type="spellStart"/>
      <w:r>
        <w:rPr>
          <w:rFonts w:ascii="Book Antiqua" w:eastAsia="Book Antiqua" w:hAnsi="Book Antiqua" w:cs="Book Antiqua"/>
          <w:b/>
          <w:bCs/>
          <w:color w:val="000000"/>
        </w:rPr>
        <w:t>Ljuca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School of Medicine, University of Tuzla, Tuzla 75000, Bosnia and Herzegovina</w:t>
      </w:r>
    </w:p>
    <w:p w14:paraId="0284F453" w14:textId="77777777" w:rsidR="00430080" w:rsidRDefault="00430080">
      <w:pPr>
        <w:spacing w:line="360" w:lineRule="auto"/>
        <w:jc w:val="both"/>
        <w:rPr>
          <w:rFonts w:ascii="Book Antiqua" w:hAnsi="Book Antiqua"/>
        </w:rPr>
      </w:pPr>
    </w:p>
    <w:p w14:paraId="419DCB26" w14:textId="77777777" w:rsidR="00430080"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Kurtcehajic</w:t>
      </w:r>
      <w:proofErr w:type="spellEnd"/>
      <w:r>
        <w:rPr>
          <w:rFonts w:ascii="Book Antiqua" w:eastAsia="Book Antiqua" w:hAnsi="Book Antiqua" w:cs="Book Antiqua"/>
          <w:color w:val="000000"/>
        </w:rPr>
        <w:t xml:space="preserve"> A, Bokun T, and </w:t>
      </w:r>
      <w:proofErr w:type="spellStart"/>
      <w:r>
        <w:rPr>
          <w:rFonts w:ascii="Book Antiqua" w:eastAsia="Book Antiqua" w:hAnsi="Book Antiqua" w:cs="Book Antiqua"/>
          <w:color w:val="000000"/>
        </w:rPr>
        <w:t>Alibegovic</w:t>
      </w:r>
      <w:proofErr w:type="spellEnd"/>
      <w:r>
        <w:rPr>
          <w:rFonts w:ascii="Book Antiqua" w:eastAsia="Book Antiqua" w:hAnsi="Book Antiqua" w:cs="Book Antiqua"/>
          <w:color w:val="000000"/>
        </w:rPr>
        <w:t xml:space="preserve"> E provided the basic idea and designed, edited, and wrote the core of the manuscript; </w:t>
      </w:r>
      <w:proofErr w:type="spellStart"/>
      <w:r>
        <w:rPr>
          <w:rFonts w:ascii="Book Antiqua" w:eastAsia="Book Antiqua" w:hAnsi="Book Antiqua" w:cs="Book Antiqua"/>
          <w:color w:val="000000"/>
        </w:rPr>
        <w:t>Zerem</w:t>
      </w:r>
      <w:proofErr w:type="spellEnd"/>
      <w:r>
        <w:rPr>
          <w:rFonts w:ascii="Book Antiqua" w:eastAsia="Book Antiqua" w:hAnsi="Book Antiqua" w:cs="Book Antiqua"/>
          <w:color w:val="000000"/>
        </w:rPr>
        <w:t xml:space="preserve"> E reviewed the manuscript and provided intellectual input and academic writing; </w:t>
      </w:r>
      <w:proofErr w:type="spellStart"/>
      <w:r>
        <w:rPr>
          <w:rFonts w:ascii="Book Antiqua" w:eastAsia="Book Antiqua" w:hAnsi="Book Antiqua" w:cs="Book Antiqua"/>
          <w:color w:val="000000"/>
        </w:rPr>
        <w:t>Kunosic</w:t>
      </w:r>
      <w:proofErr w:type="spellEnd"/>
      <w:r>
        <w:rPr>
          <w:rFonts w:ascii="Book Antiqua" w:eastAsia="Book Antiqua" w:hAnsi="Book Antiqua" w:cs="Book Antiqua"/>
          <w:color w:val="000000"/>
        </w:rPr>
        <w:t xml:space="preserve"> S analyzed data and performed the statistical analysis; Hujdurovic A, </w:t>
      </w:r>
      <w:proofErr w:type="spellStart"/>
      <w:r>
        <w:rPr>
          <w:rFonts w:ascii="Book Antiqua" w:eastAsia="Book Antiqua" w:hAnsi="Book Antiqua" w:cs="Book Antiqua"/>
          <w:color w:val="000000"/>
        </w:rPr>
        <w:t>Tursunovic</w:t>
      </w:r>
      <w:proofErr w:type="spellEnd"/>
      <w:r>
        <w:rPr>
          <w:rFonts w:ascii="Book Antiqua" w:eastAsia="Book Antiqua" w:hAnsi="Book Antiqua" w:cs="Book Antiqua"/>
          <w:color w:val="000000"/>
        </w:rPr>
        <w:t xml:space="preserve"> A, and </w:t>
      </w:r>
      <w:proofErr w:type="spellStart"/>
      <w:r>
        <w:rPr>
          <w:rFonts w:ascii="Book Antiqua" w:eastAsia="Book Antiqua" w:hAnsi="Book Antiqua" w:cs="Book Antiqua"/>
          <w:color w:val="000000"/>
        </w:rPr>
        <w:t>Ljuca</w:t>
      </w:r>
      <w:proofErr w:type="spellEnd"/>
      <w:r>
        <w:rPr>
          <w:rFonts w:ascii="Book Antiqua" w:eastAsia="Book Antiqua" w:hAnsi="Book Antiqua" w:cs="Book Antiqua"/>
          <w:color w:val="000000"/>
        </w:rPr>
        <w:t xml:space="preserve"> K wrote the extended version of the manuscript and reviewed the literature data; and all authors read and approved the final version of the manuscript.</w:t>
      </w:r>
    </w:p>
    <w:p w14:paraId="5D875715" w14:textId="77777777" w:rsidR="00430080" w:rsidRDefault="00430080">
      <w:pPr>
        <w:spacing w:line="360" w:lineRule="auto"/>
        <w:jc w:val="both"/>
        <w:rPr>
          <w:rFonts w:ascii="Book Antiqua" w:hAnsi="Book Antiqua"/>
        </w:rPr>
      </w:pPr>
    </w:p>
    <w:p w14:paraId="2C24AF26" w14:textId="77777777" w:rsidR="00430080"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Admir </w:t>
      </w:r>
      <w:proofErr w:type="spellStart"/>
      <w:r>
        <w:rPr>
          <w:rFonts w:ascii="Book Antiqua" w:eastAsia="Book Antiqua" w:hAnsi="Book Antiqua" w:cs="Book Antiqua"/>
          <w:b/>
          <w:bCs/>
          <w:color w:val="000000"/>
        </w:rPr>
        <w:t>Kurtcehajic</w:t>
      </w:r>
      <w:proofErr w:type="spellEnd"/>
      <w:r>
        <w:rPr>
          <w:rFonts w:ascii="Book Antiqua" w:eastAsia="Book Antiqua" w:hAnsi="Book Antiqua" w:cs="Book Antiqua"/>
          <w:b/>
          <w:bCs/>
          <w:color w:val="000000"/>
        </w:rPr>
        <w:t xml:space="preserve">, PhD, Academic Research, Research Assistant, Research Scientist, </w:t>
      </w:r>
      <w:r>
        <w:rPr>
          <w:rFonts w:ascii="Book Antiqua" w:eastAsia="Book Antiqua" w:hAnsi="Book Antiqua" w:cs="Book Antiqua"/>
          <w:color w:val="000000"/>
        </w:rPr>
        <w:t>Department of Gastroenterology and Hepatology, Blue Medical Group,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Tuzlanska</w:t>
      </w:r>
      <w:proofErr w:type="spellEnd"/>
      <w:r>
        <w:rPr>
          <w:rFonts w:ascii="Book Antiqua" w:eastAsia="Book Antiqua" w:hAnsi="Book Antiqua" w:cs="Book Antiqua"/>
          <w:color w:val="000000"/>
        </w:rPr>
        <w:t xml:space="preserve"> Brigada No. 7, Tuzla 75000, Tuzla Kanton, Bosnia and Herzegovina. </w:t>
      </w:r>
      <w:proofErr w:type="spellStart"/>
      <w:r>
        <w:rPr>
          <w:rFonts w:ascii="Book Antiqua" w:eastAsia="Book Antiqua" w:hAnsi="Book Antiqua" w:cs="Book Antiqua"/>
          <w:color w:val="000000"/>
        </w:rPr>
        <w:t>admircg7@gmail.com</w:t>
      </w:r>
      <w:proofErr w:type="spellEnd"/>
    </w:p>
    <w:p w14:paraId="16601B93" w14:textId="77777777" w:rsidR="00430080" w:rsidRDefault="00430080">
      <w:pPr>
        <w:spacing w:line="360" w:lineRule="auto"/>
        <w:jc w:val="both"/>
        <w:rPr>
          <w:rFonts w:ascii="Book Antiqua" w:hAnsi="Book Antiqua"/>
        </w:rPr>
      </w:pPr>
    </w:p>
    <w:p w14:paraId="000E96EB" w14:textId="77777777" w:rsidR="00430080"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October 18, 2023</w:t>
      </w:r>
    </w:p>
    <w:p w14:paraId="4AC077E8" w14:textId="77777777" w:rsidR="00430080"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January 7, 2024</w:t>
      </w:r>
    </w:p>
    <w:p w14:paraId="54C4E483" w14:textId="77777777" w:rsidR="00430080" w:rsidRDefault="00000000">
      <w:pPr>
        <w:spacing w:line="360" w:lineRule="auto"/>
        <w:rPr>
          <w:rFonts w:ascii="Book Antiqua" w:hAnsi="Book Antiqua"/>
        </w:rPr>
      </w:pPr>
      <w:r>
        <w:rPr>
          <w:rFonts w:ascii="Book Antiqua" w:eastAsia="Book Antiqua" w:hAnsi="Book Antiqua" w:cs="Book Antiqua"/>
          <w:b/>
          <w:bCs/>
        </w:rPr>
        <w:t xml:space="preserve">Accepted: </w:t>
      </w:r>
      <w:bookmarkStart w:id="0" w:name="OLE_LINK7877"/>
      <w:bookmarkStart w:id="1" w:name="OLE_LINK7648"/>
      <w:bookmarkStart w:id="2" w:name="OLE_LINK7361"/>
      <w:bookmarkStart w:id="3" w:name="OLE_LINK7822"/>
      <w:bookmarkStart w:id="4" w:name="OLE_LINK7280"/>
      <w:bookmarkStart w:id="5" w:name="OLE_LINK7269"/>
      <w:bookmarkStart w:id="6" w:name="OLE_LINK7330"/>
      <w:bookmarkStart w:id="7" w:name="OLE_LINK7801"/>
      <w:bookmarkStart w:id="8" w:name="OLE_LINK7255"/>
      <w:bookmarkStart w:id="9" w:name="OLE_LINK7368"/>
      <w:bookmarkStart w:id="10" w:name="OLE_LINK7858"/>
      <w:bookmarkStart w:id="11" w:name="OLE_LINK7743"/>
      <w:bookmarkStart w:id="12" w:name="OLE_LINK7340"/>
      <w:bookmarkStart w:id="13" w:name="OLE_LINK7343"/>
      <w:bookmarkStart w:id="14" w:name="OLE_LINK7275"/>
      <w:bookmarkStart w:id="15" w:name="OLE_LINK7314"/>
      <w:bookmarkStart w:id="16" w:name="OLE_LINK7863"/>
      <w:bookmarkStart w:id="17" w:name="OLE_LINK7834"/>
      <w:bookmarkStart w:id="18" w:name="OLE_LINK7344"/>
      <w:bookmarkStart w:id="19" w:name="OLE_LINK7862"/>
      <w:bookmarkStart w:id="20" w:name="OLE_LINK7324"/>
      <w:bookmarkStart w:id="21" w:name="OLE_LINK7901"/>
      <w:bookmarkStart w:id="22" w:name="OLE_LINK7793"/>
      <w:bookmarkStart w:id="23" w:name="OLE_LINK7261"/>
      <w:bookmarkStart w:id="24" w:name="OLE_LINK1523"/>
      <w:bookmarkStart w:id="25" w:name="OLE_LINK1486"/>
      <w:bookmarkStart w:id="26" w:name="OLE_LINK31"/>
      <w:bookmarkStart w:id="27" w:name="OLE_LINK1469"/>
      <w:bookmarkStart w:id="28" w:name="OLE_LINK7360"/>
      <w:bookmarkStart w:id="29" w:name="OLE_LINK8355"/>
      <w:bookmarkStart w:id="30" w:name="OLE_LINK1463"/>
      <w:bookmarkStart w:id="31" w:name="OLE_LINK8368"/>
      <w:bookmarkStart w:id="32" w:name="OLE_LINK8198"/>
      <w:bookmarkStart w:id="33" w:name="OLE_LINK1493"/>
      <w:bookmarkStart w:id="34" w:name="OLE_LINK7825"/>
      <w:bookmarkStart w:id="35" w:name="OLE_LINK7883"/>
      <w:bookmarkStart w:id="36" w:name="OLE_LINK1481"/>
      <w:bookmarkStart w:id="37" w:name="OLE_LINK1447"/>
      <w:bookmarkStart w:id="38" w:name="OLE_LINK7572"/>
      <w:bookmarkStart w:id="39" w:name="OLE_LINK1507"/>
      <w:bookmarkStart w:id="40" w:name="OLE_LINK7588"/>
      <w:bookmarkStart w:id="41" w:name="OLE_LINK38"/>
      <w:bookmarkStart w:id="42" w:name="OLE_LINK8204"/>
      <w:bookmarkStart w:id="43" w:name="OLE_LINK1517"/>
      <w:bookmarkStart w:id="44" w:name="OLE_LINK1415"/>
      <w:bookmarkStart w:id="45" w:name="OLE_LINK1494"/>
      <w:bookmarkStart w:id="46" w:name="OLE_LINK7562"/>
      <w:bookmarkStart w:id="47" w:name="OLE_LINK8367"/>
      <w:bookmarkStart w:id="48" w:name="OLE_LINK7631"/>
      <w:bookmarkStart w:id="49" w:name="OLE_LINK1512"/>
      <w:bookmarkStart w:id="50" w:name="OLE_LINK1476"/>
      <w:bookmarkStart w:id="51" w:name="OLE_LINK1468"/>
      <w:bookmarkStart w:id="52" w:name="OLE_LINK8360"/>
      <w:bookmarkStart w:id="53" w:name="OLE_LINK8354"/>
      <w:bookmarkStart w:id="54" w:name="OLE_LINK1416"/>
      <w:bookmarkStart w:id="55" w:name="OLE_LINK7786"/>
      <w:bookmarkStart w:id="56" w:name="OLE_LINK1501"/>
      <w:bookmarkStart w:id="57" w:name="OLE_LINK1831"/>
      <w:bookmarkStart w:id="58" w:name="OLE_LINK8351"/>
      <w:bookmarkStart w:id="59" w:name="OLE_LINK1421"/>
      <w:bookmarkStart w:id="60" w:name="OLE_LINK1453"/>
      <w:bookmarkStart w:id="61" w:name="OLE_LINK1847"/>
      <w:bookmarkStart w:id="62" w:name="OLE_LINK1526"/>
      <w:bookmarkStart w:id="63" w:name="OLE_LINK1824"/>
      <w:bookmarkStart w:id="64" w:name="OLE_LINK1816"/>
      <w:bookmarkStart w:id="65" w:name="OLE_LINK1835"/>
      <w:bookmarkStart w:id="66" w:name="OLE_LINK1836"/>
      <w:bookmarkStart w:id="67" w:name="OLE_LINK1774"/>
      <w:bookmarkStart w:id="68" w:name="OLE_LINK1840"/>
      <w:bookmarkStart w:id="69" w:name="OLE_LINK8361"/>
      <w:bookmarkStart w:id="70" w:name="OLE_LINK1761"/>
      <w:bookmarkStart w:id="71" w:name="OLE_LINK1551"/>
      <w:bookmarkStart w:id="72" w:name="OLE_LINK1377"/>
      <w:bookmarkStart w:id="73" w:name="OLE_LINK1752"/>
      <w:bookmarkStart w:id="74" w:name="OLE_LINK1757"/>
      <w:bookmarkStart w:id="75" w:name="OLE_LINK1785"/>
      <w:bookmarkStart w:id="76" w:name="OLE_LINK1780"/>
      <w:bookmarkStart w:id="77" w:name="OLE_LINK1794"/>
      <w:bookmarkStart w:id="78" w:name="OLE_LINK1403"/>
      <w:bookmarkStart w:id="79" w:name="OLE_LINK1539"/>
      <w:bookmarkStart w:id="80" w:name="OLE_LINK1856"/>
      <w:bookmarkStart w:id="81" w:name="OLE_LINK1766"/>
      <w:bookmarkStart w:id="82" w:name="OLE_LINK1737"/>
      <w:bookmarkStart w:id="83" w:name="OLE_LINK1767"/>
      <w:bookmarkStart w:id="84" w:name="OLE_LINK1810"/>
      <w:bookmarkStart w:id="85" w:name="OLE_LINK1459"/>
      <w:bookmarkStart w:id="86" w:name="OLE_LINK1386"/>
      <w:bookmarkStart w:id="87" w:name="OLE_LINK1529"/>
      <w:bookmarkStart w:id="88" w:name="OLE_LINK1401"/>
      <w:bookmarkStart w:id="89" w:name="OLE_LINK1791"/>
      <w:bookmarkStart w:id="90" w:name="OLE_LINK1906"/>
      <w:bookmarkStart w:id="91" w:name="OLE_LINK1901"/>
      <w:bookmarkStart w:id="92" w:name="OLE_LINK1738"/>
      <w:bookmarkStart w:id="93" w:name="OLE_LINK1910"/>
      <w:bookmarkStart w:id="94" w:name="OLE_LINK1979"/>
      <w:bookmarkStart w:id="95" w:name="OLE_LINK1937"/>
      <w:bookmarkStart w:id="96" w:name="OLE_LINK1866"/>
      <w:bookmarkStart w:id="97" w:name="OLE_LINK1951"/>
      <w:bookmarkStart w:id="98" w:name="OLE_LINK1817"/>
      <w:bookmarkStart w:id="99" w:name="OLE_LINK1800"/>
      <w:bookmarkStart w:id="100" w:name="OLE_LINK1435"/>
      <w:bookmarkStart w:id="101" w:name="OLE_LINK1744"/>
      <w:bookmarkStart w:id="102" w:name="OLE_LINK1883"/>
      <w:bookmarkStart w:id="103" w:name="OLE_LINK1911"/>
      <w:bookmarkStart w:id="104" w:name="OLE_LINK45"/>
      <w:bookmarkStart w:id="105" w:name="OLE_LINK1972"/>
      <w:bookmarkStart w:id="106" w:name="OLE_LINK1846"/>
      <w:bookmarkStart w:id="107" w:name="OLE_LINK1543"/>
      <w:bookmarkStart w:id="108" w:name="OLE_LINK1879"/>
      <w:bookmarkStart w:id="109" w:name="OLE_LINK1960"/>
      <w:bookmarkStart w:id="110" w:name="OLE_LINK1918"/>
      <w:bookmarkStart w:id="111" w:name="OLE_LINK1533"/>
      <w:bookmarkStart w:id="112" w:name="OLE_LINK1978"/>
      <w:bookmarkStart w:id="113" w:name="OLE_LINK1946"/>
      <w:bookmarkStart w:id="114" w:name="OLE_LINK1878"/>
      <w:bookmarkStart w:id="115" w:name="OLE_LINK1925"/>
      <w:bookmarkStart w:id="116" w:name="OLE_LINK1941"/>
      <w:bookmarkStart w:id="117" w:name="OLE_LINK1790"/>
      <w:bookmarkStart w:id="118" w:name="OLE_LINK1971"/>
      <w:bookmarkStart w:id="119" w:name="OLE_LINK1931"/>
      <w:bookmarkStart w:id="120" w:name="OLE_LINK1905"/>
      <w:bookmarkStart w:id="121" w:name="OLE_LINK1871"/>
      <w:bookmarkStart w:id="122" w:name="OLE_LINK1426"/>
      <w:bookmarkStart w:id="123" w:name="OLE_LINK1392"/>
      <w:bookmarkStart w:id="124" w:name="OLE_LINK1464"/>
      <w:bookmarkStart w:id="125" w:name="OLE_LINK1413"/>
      <w:bookmarkStart w:id="126" w:name="OLE_LINK7819"/>
      <w:bookmarkStart w:id="127" w:name="OLE_LINK1431"/>
      <w:bookmarkStart w:id="128" w:name="OLE_LINK1967"/>
      <w:bookmarkStart w:id="129" w:name="OLE_LINK27"/>
      <w:bookmarkStart w:id="130" w:name="OLE_LINK1339"/>
      <w:bookmarkStart w:id="131" w:name="OLE_LINK7891"/>
      <w:bookmarkStart w:id="132" w:name="OLE_LINK35"/>
      <w:bookmarkStart w:id="133" w:name="OLE_LINK1985"/>
      <w:bookmarkStart w:id="134" w:name="OLE_LINK1458"/>
      <w:bookmarkStart w:id="135" w:name="OLE_LINK53"/>
      <w:bookmarkStart w:id="136" w:name="OLE_LINK1242"/>
      <w:bookmarkStart w:id="137" w:name="OLE_LINK1887"/>
      <w:bookmarkStart w:id="138" w:name="OLE_LINK8586"/>
      <w:bookmarkStart w:id="139" w:name="OLE_LINK1861"/>
      <w:bookmarkStart w:id="140" w:name="OLE_LINK1897"/>
      <w:bookmarkStart w:id="141" w:name="OLE_LINK1376"/>
      <w:bookmarkStart w:id="142" w:name="OLE_LINK1408"/>
      <w:bookmarkStart w:id="143" w:name="OLE_LINK1358"/>
      <w:bookmarkStart w:id="144" w:name="OLE_LINK1380"/>
      <w:bookmarkStart w:id="145" w:name="OLE_LINK8"/>
      <w:bookmarkStart w:id="146" w:name="OLE_LINK1227"/>
      <w:bookmarkStart w:id="147" w:name="OLE_LINK1347"/>
      <w:bookmarkStart w:id="148" w:name="OLE_LINK62"/>
      <w:bookmarkStart w:id="149" w:name="OLE_LINK28"/>
      <w:bookmarkStart w:id="150" w:name="OLE_LINK1893"/>
      <w:bookmarkStart w:id="151" w:name="OLE_LINK1442"/>
      <w:bookmarkStart w:id="152" w:name="OLE_LINK5"/>
      <w:bookmarkStart w:id="153" w:name="OLE_LINK7150"/>
      <w:bookmarkStart w:id="154" w:name="OLE_LINK8587"/>
      <w:bookmarkStart w:id="155" w:name="OLE_LINK24"/>
      <w:bookmarkStart w:id="156" w:name="OLE_LINK1446"/>
      <w:bookmarkStart w:id="157" w:name="OLE_LINK7236"/>
      <w:bookmarkStart w:id="158" w:name="OLE_LINK7126"/>
      <w:bookmarkStart w:id="159" w:name="OLE_LINK7140"/>
      <w:bookmarkStart w:id="160" w:name="OLE_LINK1366"/>
      <w:bookmarkStart w:id="161" w:name="OLE_LINK7125"/>
      <w:bookmarkStart w:id="162" w:name="OLE_LINK7127"/>
      <w:bookmarkStart w:id="163" w:name="OLE_LINK7145"/>
      <w:bookmarkStart w:id="164" w:name="OLE_LINK7153"/>
      <w:bookmarkStart w:id="165" w:name="OLE_LINK7808"/>
      <w:bookmarkStart w:id="166" w:name="OLE_LINK1198"/>
      <w:bookmarkStart w:id="167" w:name="OLE_LINK1223"/>
      <w:bookmarkStart w:id="168" w:name="OLE_LINK7215"/>
      <w:bookmarkStart w:id="169" w:name="OLE_LINK7223"/>
      <w:bookmarkStart w:id="170" w:name="OLE_LINK7228"/>
      <w:bookmarkStart w:id="171" w:name="OLE_LINK7167"/>
      <w:bookmarkStart w:id="172" w:name="OLE_LINK1417"/>
      <w:bookmarkStart w:id="173" w:name="OLE_LINK6798"/>
      <w:bookmarkStart w:id="174" w:name="OLE_LINK7141"/>
      <w:bookmarkStart w:id="175" w:name="OLE_LINK7240"/>
      <w:bookmarkStart w:id="176" w:name="OLE_LINK1222"/>
      <w:bookmarkStart w:id="177" w:name="OLE_LINK1199"/>
      <w:bookmarkStart w:id="178" w:name="OLE_LINK7119"/>
      <w:bookmarkStart w:id="179" w:name="OLE_LINK7130"/>
      <w:bookmarkStart w:id="180" w:name="OLE_LINK1450"/>
      <w:bookmarkStart w:id="181" w:name="OLE_LINK6834"/>
      <w:bookmarkStart w:id="182" w:name="OLE_LINK7212"/>
      <w:bookmarkStart w:id="183" w:name="OLE_LINK7122"/>
      <w:bookmarkStart w:id="184" w:name="OLE_LINK1231"/>
      <w:bookmarkStart w:id="185" w:name="OLE_LINK7577"/>
      <w:bookmarkStart w:id="186" w:name="OLE_LINK7513"/>
      <w:bookmarkStart w:id="187" w:name="OLE_LINK7641"/>
      <w:bookmarkStart w:id="188" w:name="OLE_LINK7213"/>
      <w:bookmarkStart w:id="189" w:name="OLE_LINK7158"/>
      <w:bookmarkStart w:id="190" w:name="OLE_LINK7625"/>
      <w:bookmarkStart w:id="191" w:name="OLE_LINK7173"/>
      <w:bookmarkStart w:id="192" w:name="OLE_LINK7253"/>
      <w:bookmarkStart w:id="193" w:name="OLE_LINK7608"/>
      <w:bookmarkStart w:id="194" w:name="OLE_LINK7214"/>
      <w:bookmarkStart w:id="195" w:name="OLE_LINK6827"/>
      <w:bookmarkStart w:id="196" w:name="OLE_LINK7633"/>
      <w:bookmarkStart w:id="197" w:name="OLE_LINK7547"/>
      <w:bookmarkStart w:id="198" w:name="OLE_LINK7561"/>
      <w:bookmarkStart w:id="199" w:name="OLE_LINK7628"/>
      <w:bookmarkStart w:id="200" w:name="OLE_LINK7235"/>
      <w:bookmarkStart w:id="201" w:name="OLE_LINK1246"/>
      <w:bookmarkStart w:id="202" w:name="OLE_LINK1224"/>
      <w:bookmarkStart w:id="203" w:name="OLE_LINK6803"/>
      <w:bookmarkStart w:id="204" w:name="OLE_LINK6816"/>
      <w:bookmarkStart w:id="205" w:name="OLE_LINK6812"/>
      <w:bookmarkStart w:id="206" w:name="OLE_LINK1218"/>
      <w:bookmarkStart w:id="207" w:name="OLE_LINK7237"/>
      <w:bookmarkStart w:id="208" w:name="OLE_LINK7569"/>
      <w:bookmarkStart w:id="209" w:name="OLE_LINK7605"/>
      <w:bookmarkStart w:id="210" w:name="OLE_LINK7574"/>
      <w:bookmarkStart w:id="211" w:name="OLE_LINK7116"/>
      <w:bookmarkStart w:id="212" w:name="OLE_LINK7616"/>
      <w:bookmarkStart w:id="213" w:name="OLE_LINK6830"/>
      <w:bookmarkStart w:id="214" w:name="OLE_LINK7530"/>
      <w:bookmarkStart w:id="215" w:name="OLE_LINK7629"/>
      <w:bookmarkStart w:id="216" w:name="OLE_LINK7699"/>
      <w:bookmarkStart w:id="217" w:name="OLE_LINK7734"/>
      <w:bookmarkStart w:id="218" w:name="OLE_LINK7736"/>
      <w:bookmarkStart w:id="219" w:name="OLE_LINK7712"/>
      <w:bookmarkStart w:id="220" w:name="OLE_LINK7635"/>
      <w:bookmarkStart w:id="221" w:name="OLE_LINK7796"/>
      <w:bookmarkStart w:id="222" w:name="OLE_LINK7243"/>
      <w:bookmarkStart w:id="223" w:name="OLE_LINK7559"/>
      <w:bookmarkStart w:id="224" w:name="OLE_LINK7555"/>
      <w:bookmarkStart w:id="225" w:name="OLE_LINK7515"/>
      <w:bookmarkStart w:id="226" w:name="OLE_LINK7597"/>
      <w:bookmarkStart w:id="227" w:name="OLE_LINK7527"/>
      <w:bookmarkStart w:id="228" w:name="OLE_LINK7522"/>
      <w:bookmarkStart w:id="229" w:name="OLE_LINK7710"/>
      <w:bookmarkStart w:id="230" w:name="OLE_LINK7655"/>
      <w:bookmarkStart w:id="231" w:name="OLE_LINK7550"/>
      <w:bookmarkStart w:id="232" w:name="OLE_LINK7606"/>
      <w:bookmarkStart w:id="233" w:name="OLE_LINK7620"/>
      <w:bookmarkStart w:id="234" w:name="OLE_LINK7799"/>
      <w:bookmarkStart w:id="235" w:name="OLE_LINK7722"/>
      <w:bookmarkStart w:id="236" w:name="OLE_LINK7611"/>
      <w:bookmarkStart w:id="237" w:name="OLE_LINK7665"/>
      <w:bookmarkStart w:id="238" w:name="OLE_LINK7703"/>
      <w:bookmarkStart w:id="239" w:name="OLE_LINK7250"/>
      <w:bookmarkStart w:id="240" w:name="OLE_LINK7568"/>
      <w:bookmarkStart w:id="241" w:name="OLE_LINK7711"/>
      <w:bookmarkStart w:id="242" w:name="OLE_LINK7571"/>
      <w:bookmarkStart w:id="243" w:name="OLE_LINK7133"/>
      <w:bookmarkStart w:id="244" w:name="OLE_LINK7587"/>
      <w:bookmarkStart w:id="245" w:name="OLE_LINK7583"/>
      <w:bookmarkStart w:id="246" w:name="OLE_LINK7602"/>
      <w:bookmarkStart w:id="247" w:name="OLE_LINK7617"/>
      <w:bookmarkStart w:id="248" w:name="OLE_LINK7836"/>
      <w:bookmarkStart w:id="249" w:name="OLE_LINK7695"/>
      <w:bookmarkStart w:id="250" w:name="OLE_LINK7691"/>
      <w:bookmarkStart w:id="251" w:name="OLE_LINK7721"/>
      <w:bookmarkStart w:id="252" w:name="OLE_LINK7894"/>
      <w:bookmarkStart w:id="253" w:name="OLE_LINK7684"/>
      <w:bookmarkStart w:id="254" w:name="OLE_LINK7846"/>
      <w:bookmarkStart w:id="255" w:name="OLE_LINK7730"/>
      <w:bookmarkStart w:id="256" w:name="OLE_LINK7718"/>
      <w:bookmarkStart w:id="257" w:name="OLE_LINK7837"/>
      <w:bookmarkStart w:id="258" w:name="OLE_LINK7896"/>
      <w:bookmarkStart w:id="259" w:name="OLE_LINK7737"/>
      <w:bookmarkStart w:id="260" w:name="OLE_LINK7690"/>
      <w:bookmarkStart w:id="261" w:name="OLE_LINK7578"/>
      <w:bookmarkStart w:id="262" w:name="OLE_LINK7738"/>
      <w:bookmarkStart w:id="263" w:name="OLE_LINK7903"/>
      <w:bookmarkStart w:id="264" w:name="OLE_LINK7979"/>
      <w:bookmarkStart w:id="265" w:name="OLE_LINK7649"/>
      <w:bookmarkStart w:id="266" w:name="OLE_LINK7610"/>
      <w:bookmarkStart w:id="267" w:name="OLE_LINK4"/>
      <w:bookmarkStart w:id="268" w:name="OLE_LINK7652"/>
      <w:bookmarkStart w:id="269" w:name="OLE_LINK7687"/>
      <w:bookmarkStart w:id="270" w:name="OLE_LINK7"/>
      <w:bookmarkStart w:id="271" w:name="OLE_LINK7882"/>
      <w:bookmarkStart w:id="272" w:name="OLE_LINK7897"/>
      <w:bookmarkStart w:id="273" w:name="OLE_LINK7709"/>
      <w:bookmarkStart w:id="274" w:name="OLE_LINK7885"/>
      <w:bookmarkStart w:id="275" w:name="OLE_LINK7843"/>
      <w:bookmarkStart w:id="276" w:name="OLE_LINK7813"/>
      <w:bookmarkStart w:id="277" w:name="OLE_LINK7735"/>
      <w:bookmarkStart w:id="278" w:name="OLE_LINK7809"/>
      <w:bookmarkStart w:id="279" w:name="OLE_LINK7984"/>
      <w:bookmarkStart w:id="280" w:name="OLE_LINK7839"/>
      <w:bookmarkStart w:id="281" w:name="OLE_LINK57"/>
      <w:bookmarkStart w:id="282" w:name="OLE_LINK7867"/>
      <w:bookmarkStart w:id="283" w:name="OLE_LINK60"/>
      <w:bookmarkStart w:id="284" w:name="OLE_LINK7820"/>
      <w:bookmarkStart w:id="285" w:name="OLE_LINK7879"/>
      <w:bookmarkStart w:id="286" w:name="OLE_LINK7977"/>
      <w:bookmarkStart w:id="287" w:name="OLE_LINK82"/>
      <w:bookmarkStart w:id="288" w:name="OLE_LINK46"/>
      <w:bookmarkStart w:id="289" w:name="OLE_LINK7895"/>
      <w:bookmarkStart w:id="290" w:name="OLE_LINK49"/>
      <w:bookmarkStart w:id="291" w:name="OLE_LINK17"/>
      <w:bookmarkStart w:id="292" w:name="OLE_LINK7876"/>
      <w:bookmarkStart w:id="293" w:name="OLE_LINK177"/>
      <w:bookmarkStart w:id="294" w:name="OLE_LINK174"/>
      <w:bookmarkStart w:id="295" w:name="OLE_LINK184"/>
      <w:bookmarkStart w:id="296" w:name="OLE_LINK216"/>
      <w:bookmarkStart w:id="297" w:name="OLE_LINK203"/>
      <w:bookmarkStart w:id="298" w:name="OLE_LINK84"/>
      <w:bookmarkStart w:id="299" w:name="OLE_LINK7873"/>
      <w:bookmarkStart w:id="300" w:name="OLE_LINK1"/>
      <w:bookmarkStart w:id="301" w:name="OLE_LINK20"/>
      <w:bookmarkStart w:id="302" w:name="OLE_LINK37"/>
      <w:bookmarkStart w:id="303" w:name="OLE_LINK10"/>
      <w:bookmarkStart w:id="304" w:name="OLE_LINK7910"/>
      <w:bookmarkStart w:id="305" w:name="OLE_LINK34"/>
      <w:bookmarkStart w:id="306" w:name="OLE_LINK40"/>
      <w:bookmarkStart w:id="307" w:name="OLE_LINK7706"/>
      <w:bookmarkStart w:id="308" w:name="OLE_LINK29"/>
      <w:bookmarkStart w:id="309" w:name="OLE_LINK7985"/>
      <w:bookmarkStart w:id="310" w:name="OLE_LINK14"/>
      <w:bookmarkStart w:id="311" w:name="OLE_LINK7983"/>
      <w:bookmarkStart w:id="312" w:name="OLE_LINK219"/>
      <w:bookmarkStart w:id="313" w:name="OLE_LINK1219"/>
      <w:bookmarkStart w:id="314" w:name="OLE_LINK6"/>
      <w:bookmarkStart w:id="315" w:name="OLE_LINK75"/>
      <w:bookmarkStart w:id="316" w:name="OLE_LINK11"/>
      <w:bookmarkStart w:id="317" w:name="OLE_LINK1310"/>
      <w:bookmarkStart w:id="318" w:name="OLE_LINK200"/>
      <w:bookmarkStart w:id="319" w:name="OLE_LINK220"/>
      <w:bookmarkStart w:id="320" w:name="OLE_LINK61"/>
      <w:bookmarkStart w:id="321" w:name="OLE_LINK1247"/>
      <w:bookmarkStart w:id="322" w:name="OLE_LINK192"/>
      <w:bookmarkStart w:id="323" w:name="OLE_LINK208"/>
      <w:bookmarkStart w:id="324" w:name="OLE_LINK36"/>
      <w:bookmarkStart w:id="325" w:name="OLE_LINK42"/>
      <w:bookmarkStart w:id="326" w:name="OLE_LINK2"/>
      <w:bookmarkStart w:id="327" w:name="OLE_LINK236"/>
      <w:bookmarkStart w:id="328" w:name="OLE_LINK66"/>
      <w:bookmarkStart w:id="329" w:name="OLE_LINK1220"/>
      <w:bookmarkStart w:id="330" w:name="OLE_LINK1255"/>
      <w:bookmarkStart w:id="331" w:name="OLE_LINK54"/>
      <w:bookmarkStart w:id="332" w:name="OLE_LINK1318"/>
      <w:bookmarkStart w:id="333" w:name="OLE_LINK1325"/>
      <w:bookmarkStart w:id="334" w:name="OLE_LINK1232"/>
      <w:bookmarkStart w:id="335" w:name="OLE_LINK100"/>
      <w:bookmarkStart w:id="336" w:name="OLE_LINK226"/>
      <w:bookmarkStart w:id="337" w:name="OLE_LINK7838"/>
      <w:bookmarkStart w:id="338" w:name="OLE_LINK197"/>
      <w:bookmarkStart w:id="339" w:name="OLE_LINK26"/>
      <w:bookmarkStart w:id="340" w:name="OLE_LINK1233"/>
      <w:bookmarkStart w:id="341" w:name="OLE_LINK51"/>
      <w:bookmarkStart w:id="342" w:name="OLE_LINK65"/>
      <w:bookmarkStart w:id="343" w:name="OLE_LINK87"/>
      <w:bookmarkStart w:id="344" w:name="OLE_LINK74"/>
      <w:bookmarkStart w:id="345" w:name="OLE_LINK1307"/>
      <w:bookmarkStart w:id="346" w:name="OLE_LINK1340"/>
      <w:bookmarkStart w:id="347" w:name="OLE_LINK233"/>
      <w:bookmarkStart w:id="348" w:name="OLE_LINK19"/>
      <w:bookmarkStart w:id="349" w:name="OLE_LINK1346"/>
      <w:bookmarkStart w:id="350" w:name="OLE_LINK30"/>
      <w:bookmarkStart w:id="351" w:name="OLE_LINK23"/>
      <w:bookmarkStart w:id="352" w:name="OLE_LINK15"/>
      <w:bookmarkStart w:id="353" w:name="OLE_LINK78"/>
      <w:bookmarkStart w:id="354" w:name="OLE_LINK241"/>
      <w:bookmarkStart w:id="355" w:name="OLE_LINK1267"/>
      <w:bookmarkStart w:id="356" w:name="OLE_LINK1276"/>
      <w:bookmarkStart w:id="357" w:name="OLE_LINK1326"/>
      <w:bookmarkStart w:id="358" w:name="OLE_LINK1261"/>
      <w:bookmarkStart w:id="359" w:name="OLE_LINK108"/>
      <w:bookmarkStart w:id="360" w:name="OLE_LINK1262"/>
      <w:bookmarkStart w:id="361" w:name="OLE_LINK1256"/>
      <w:bookmarkStart w:id="362" w:name="OLE_LINK1303"/>
      <w:bookmarkStart w:id="363" w:name="OLE_LINK1295"/>
      <w:bookmarkStart w:id="364" w:name="OLE_LINK187"/>
      <w:bookmarkStart w:id="365" w:name="OLE_LINK1251"/>
      <w:bookmarkStart w:id="366" w:name="OLE_LINK1272"/>
      <w:bookmarkStart w:id="367" w:name="OLE_LINK1342"/>
      <w:bookmarkStart w:id="368" w:name="OLE_LINK1241"/>
      <w:bookmarkStart w:id="369" w:name="OLE_LINK21"/>
      <w:bookmarkStart w:id="370" w:name="OLE_LINK103"/>
      <w:bookmarkStart w:id="371" w:name="OLE_LINK41"/>
      <w:bookmarkStart w:id="372" w:name="OLE_LINK12"/>
      <w:bookmarkStart w:id="373" w:name="OLE_LINK1236"/>
      <w:bookmarkStart w:id="374" w:name="OLE_LINK72"/>
      <w:bookmarkStart w:id="375" w:name="OLE_LINK229"/>
      <w:bookmarkStart w:id="376" w:name="OLE_LINK1269"/>
      <w:bookmarkStart w:id="377" w:name="OLE_LINK1244"/>
      <w:bookmarkStart w:id="378" w:name="OLE_LINK1291"/>
      <w:bookmarkStart w:id="379" w:name="OLE_LINK1319"/>
      <w:bookmarkStart w:id="380" w:name="OLE_LINK7630"/>
      <w:bookmarkStart w:id="381" w:name="OLE_LINK1237"/>
      <w:bookmarkStart w:id="382" w:name="OLE_LINK1352"/>
      <w:bookmarkStart w:id="383" w:name="OLE_LINK1292"/>
      <w:bookmarkStart w:id="384" w:name="OLE_LINK7288"/>
      <w:bookmarkStart w:id="385" w:name="OLE_LINK7259"/>
      <w:bookmarkStart w:id="386" w:name="OLE_LINK7274"/>
      <w:bookmarkStart w:id="387" w:name="OLE_LINK1324"/>
      <w:bookmarkStart w:id="388" w:name="OLE_LINK1311"/>
      <w:bookmarkStart w:id="389" w:name="OLE_LINK1312"/>
      <w:bookmarkStart w:id="390" w:name="OLE_LINK1282"/>
      <w:bookmarkStart w:id="391" w:name="OLE_LINK1286"/>
      <w:bookmarkStart w:id="392" w:name="OLE_LINK7295"/>
      <w:bookmarkStart w:id="393" w:name="OLE_LINK7279"/>
      <w:bookmarkStart w:id="394" w:name="OLE_LINK1290"/>
      <w:bookmarkStart w:id="395" w:name="OLE_LINK1273"/>
      <w:bookmarkStart w:id="396" w:name="OLE_LINK3"/>
      <w:bookmarkStart w:id="397" w:name="OLE_LINK1225"/>
      <w:bookmarkStart w:id="398" w:name="OLE_LINK1283"/>
      <w:bookmarkStart w:id="399" w:name="OLE_LINK1299"/>
      <w:bookmarkStart w:id="400" w:name="OLE_LINK7264"/>
      <w:bookmarkStart w:id="401" w:name="OLE_LINK7244"/>
      <w:bookmarkStart w:id="402" w:name="OLE_LINK1250"/>
      <w:bookmarkStart w:id="403" w:name="OLE_LINK7623"/>
      <w:bookmarkStart w:id="404" w:name="OLE_LINK7308"/>
      <w:bookmarkStart w:id="405" w:name="OLE_LINK7618"/>
      <w:bookmarkStart w:id="406" w:name="OLE_LINK1327"/>
      <w:bookmarkStart w:id="407" w:name="OLE_LINK1297"/>
      <w:bookmarkStart w:id="408" w:name="OLE_LINK7241"/>
      <w:bookmarkStart w:id="409" w:name="OLE_LINK7800"/>
      <w:bookmarkStart w:id="410" w:name="OLE_LINK7791"/>
      <w:bookmarkStart w:id="411" w:name="OLE_LINK7268"/>
      <w:bookmarkStart w:id="412" w:name="OLE_LINK1305"/>
      <w:bookmarkStart w:id="413" w:name="OLE_LINK7238"/>
      <w:bookmarkStart w:id="414" w:name="OLE_LINK7305"/>
      <w:bookmarkStart w:id="415" w:name="OLE_LINK7224"/>
      <w:bookmarkStart w:id="416" w:name="OLE_LINK7290"/>
      <w:bookmarkStart w:id="417" w:name="OLE_LINK7761"/>
      <w:bookmarkStart w:id="418" w:name="OLE_LINK1334"/>
      <w:bookmarkStart w:id="419" w:name="OLE_LINK7302"/>
      <w:bookmarkStart w:id="420" w:name="OLE_LINK7301"/>
      <w:bookmarkStart w:id="421" w:name="OLE_LINK7788"/>
      <w:bookmarkStart w:id="422" w:name="OLE_LINK7675"/>
      <w:bookmarkStart w:id="423" w:name="OLE_LINK7779"/>
      <w:bookmarkStart w:id="424" w:name="OLE_LINK7811"/>
      <w:bookmarkStart w:id="425" w:name="OLE_LINK7644"/>
      <w:bookmarkStart w:id="426" w:name="OLE_LINK1301"/>
      <w:bookmarkStart w:id="427" w:name="OLE_LINK1322"/>
      <w:bookmarkStart w:id="428" w:name="OLE_LINK7639"/>
      <w:bookmarkStart w:id="429" w:name="OLE_LINK7229"/>
      <w:bookmarkStart w:id="430" w:name="OLE_LINK7769"/>
      <w:bookmarkStart w:id="431" w:name="OLE_LINK1315"/>
      <w:bookmarkStart w:id="432" w:name="OLE_LINK7810"/>
      <w:bookmarkStart w:id="433" w:name="OLE_LINK7681"/>
      <w:bookmarkStart w:id="434" w:name="OLE_LINK7724"/>
      <w:bookmarkStart w:id="435" w:name="OLE_LINK7650"/>
      <w:bookmarkStart w:id="436" w:name="OLE_LINK7300"/>
      <w:bookmarkStart w:id="437" w:name="OLE_LINK7682"/>
      <w:bookmarkStart w:id="438" w:name="OLE_LINK7772"/>
      <w:bookmarkStart w:id="439" w:name="OLE_LINK7234"/>
      <w:bookmarkStart w:id="440" w:name="OLE_LINK7785"/>
      <w:bookmarkStart w:id="441" w:name="OLE_LINK7296"/>
      <w:bookmarkStart w:id="442" w:name="OLE_LINK7303"/>
      <w:bookmarkStart w:id="443" w:name="OLE_LINK7688"/>
      <w:bookmarkStart w:id="444" w:name="OLE_LINK7815"/>
      <w:bookmarkStart w:id="445" w:name="OLE_LINK7282"/>
      <w:bookmarkStart w:id="446" w:name="OLE_LINK7534"/>
      <w:bookmarkStart w:id="447" w:name="OLE_LINK7394"/>
      <w:bookmarkStart w:id="448" w:name="OLE_LINK7806"/>
      <w:bookmarkStart w:id="449" w:name="OLE_LINK7803"/>
      <w:bookmarkStart w:id="450" w:name="OLE_LINK7670"/>
      <w:bookmarkStart w:id="451" w:name="OLE_LINK7379"/>
      <w:bookmarkStart w:id="452" w:name="OLE_LINK7389"/>
      <w:bookmarkStart w:id="453" w:name="OLE_LINK7287"/>
      <w:bookmarkStart w:id="454" w:name="OLE_LINK7654"/>
      <w:bookmarkStart w:id="455" w:name="OLE_LINK7426"/>
      <w:bookmarkStart w:id="456" w:name="OLE_LINK7732"/>
      <w:bookmarkStart w:id="457" w:name="OLE_LINK7422"/>
      <w:bookmarkStart w:id="458" w:name="OLE_LINK7254"/>
      <w:bookmarkStart w:id="459" w:name="OLE_LINK7700"/>
      <w:bookmarkStart w:id="460" w:name="OLE_LINK7744"/>
      <w:bookmarkStart w:id="461" w:name="OLE_LINK7765"/>
      <w:bookmarkStart w:id="462" w:name="OLE_LINK7432"/>
      <w:bookmarkStart w:id="463" w:name="OLE_LINK7775"/>
      <w:bookmarkStart w:id="464" w:name="OLE_LINK7526"/>
      <w:bookmarkStart w:id="465" w:name="OLE_LINK7794"/>
      <w:bookmarkStart w:id="466" w:name="OLE_LINK7753"/>
      <w:bookmarkStart w:id="467" w:name="OLE_LINK7317"/>
      <w:bookmarkStart w:id="468" w:name="OLE_LINK7403"/>
      <w:bookmarkStart w:id="469" w:name="OLE_LINK7292"/>
      <w:bookmarkStart w:id="470" w:name="OLE_LINK7727"/>
      <w:bookmarkStart w:id="471" w:name="OLE_LINK7523"/>
      <w:bookmarkStart w:id="472" w:name="OLE_LINK7693"/>
      <w:bookmarkStart w:id="473" w:name="OLE_LINK7642"/>
      <w:bookmarkStart w:id="474" w:name="OLE_LINK7844"/>
      <w:bookmarkStart w:id="475" w:name="OLE_LINK7266"/>
      <w:bookmarkStart w:id="476" w:name="OLE_LINK7263"/>
      <w:bookmarkStart w:id="477" w:name="OLE_LINK7538"/>
      <w:bookmarkStart w:id="478" w:name="OLE_LINK7646"/>
      <w:bookmarkStart w:id="479" w:name="OLE_LINK7573"/>
      <w:bookmarkStart w:id="480" w:name="OLE_LINK7666"/>
      <w:bookmarkStart w:id="481" w:name="OLE_LINK7533"/>
      <w:bookmarkStart w:id="482" w:name="OLE_LINK7805"/>
      <w:bookmarkStart w:id="483" w:name="OLE_LINK7814"/>
      <w:bookmarkStart w:id="484" w:name="OLE_LINK7749"/>
      <w:bookmarkStart w:id="485" w:name="OLE_LINK7818"/>
      <w:bookmarkStart w:id="486" w:name="OLE_LINK7260"/>
      <w:bookmarkStart w:id="487" w:name="OLE_LINK7383"/>
      <w:bookmarkStart w:id="488" w:name="OLE_LINK7272"/>
      <w:bookmarkStart w:id="489" w:name="OLE_LINK7739"/>
      <w:bookmarkStart w:id="490" w:name="OLE_LINK7756"/>
      <w:bookmarkStart w:id="491" w:name="OLE_LINK7326"/>
      <w:bookmarkStart w:id="492" w:name="OLE_LINK7440"/>
      <w:bookmarkStart w:id="493" w:name="OLE_LINK7376"/>
      <w:bookmarkStart w:id="494" w:name="OLE_LINK7840"/>
      <w:bookmarkStart w:id="495" w:name="OLE_LINK7386"/>
      <w:bookmarkStart w:id="496" w:name="OLE_LINK7322"/>
      <w:bookmarkStart w:id="497" w:name="OLE_LINK7307"/>
      <w:bookmarkStart w:id="498" w:name="OLE_LINK7313"/>
      <w:bookmarkStart w:id="499" w:name="OLE_LINK7552"/>
      <w:bookmarkStart w:id="500" w:name="OLE_LINK7853"/>
      <w:bookmarkStart w:id="501" w:name="OLE_LINK7619"/>
      <w:bookmarkStart w:id="502" w:name="OLE_LINK7265"/>
      <w:bookmarkStart w:id="503" w:name="OLE_LINK7245"/>
      <w:bookmarkStart w:id="504" w:name="OLE_LINK8133"/>
      <w:bookmarkStart w:id="505" w:name="OLE_LINK8292"/>
      <w:bookmarkStart w:id="506" w:name="OLE_LINK7548"/>
      <w:bookmarkStart w:id="507" w:name="OLE_LINK7593"/>
      <w:bookmarkStart w:id="508" w:name="OLE_LINK7850"/>
      <w:bookmarkStart w:id="509" w:name="OLE_LINK8320"/>
      <w:bookmarkStart w:id="510" w:name="OLE_LINK8329"/>
      <w:bookmarkStart w:id="511" w:name="OLE_LINK8154"/>
      <w:bookmarkStart w:id="512" w:name="OLE_LINK8150"/>
      <w:bookmarkStart w:id="513" w:name="OLE_LINK8174"/>
      <w:bookmarkStart w:id="514" w:name="OLE_LINK7658"/>
      <w:bookmarkStart w:id="515" w:name="OLE_LINK8338"/>
      <w:bookmarkStart w:id="516" w:name="OLE_LINK8169"/>
      <w:bookmarkStart w:id="517" w:name="OLE_LINK8111"/>
      <w:bookmarkStart w:id="518" w:name="OLE_LINK8142"/>
      <w:bookmarkStart w:id="519" w:name="OLE_LINK8187"/>
      <w:bookmarkStart w:id="520" w:name="OLE_LINK107"/>
      <w:bookmarkStart w:id="521" w:name="OLE_LINK8161"/>
      <w:bookmarkStart w:id="522" w:name="OLE_LINK8301"/>
      <w:bookmarkStart w:id="523" w:name="OLE_LINK8332"/>
      <w:bookmarkStart w:id="524" w:name="OLE_LINK8307"/>
      <w:bookmarkStart w:id="525" w:name="OLE_LINK8335"/>
      <w:bookmarkStart w:id="526" w:name="OLE_LINK7579"/>
      <w:bookmarkStart w:id="527" w:name="OLE_LINK8210"/>
      <w:bookmarkStart w:id="528" w:name="OLE_LINK8122"/>
      <w:bookmarkStart w:id="529" w:name="OLE_LINK8195"/>
      <w:bookmarkStart w:id="530" w:name="OLE_LINK7677"/>
      <w:bookmarkStart w:id="531" w:name="OLE_LINK8350"/>
      <w:bookmarkStart w:id="532" w:name="OLE_LINK8118"/>
      <w:bookmarkStart w:id="533" w:name="OLE_LINK8164"/>
      <w:bookmarkStart w:id="534" w:name="OLE_LINK8289"/>
      <w:bookmarkStart w:id="535" w:name="OLE_LINK8346"/>
      <w:bookmarkStart w:id="536" w:name="OLE_LINK7746"/>
      <w:bookmarkStart w:id="537" w:name="OLE_LINK76"/>
      <w:bookmarkStart w:id="538" w:name="OLE_LINK7945"/>
      <w:bookmarkStart w:id="539" w:name="OLE_LINK117"/>
      <w:bookmarkStart w:id="540" w:name="OLE_LINK8312"/>
      <w:bookmarkStart w:id="541" w:name="OLE_LINK7941"/>
      <w:bookmarkStart w:id="542" w:name="OLE_LINK124"/>
      <w:bookmarkStart w:id="543" w:name="OLE_LINK8104"/>
      <w:bookmarkStart w:id="544" w:name="OLE_LINK113"/>
      <w:bookmarkStart w:id="545" w:name="OLE_LINK81"/>
      <w:bookmarkStart w:id="546" w:name="OLE_LINK7959"/>
      <w:bookmarkStart w:id="547" w:name="OLE_LINK127"/>
      <w:bookmarkStart w:id="548" w:name="OLE_LINK7821"/>
      <w:bookmarkStart w:id="549" w:name="OLE_LINK92"/>
      <w:bookmarkStart w:id="550" w:name="OLE_LINK7931"/>
      <w:bookmarkStart w:id="551" w:name="OLE_LINK8097"/>
      <w:bookmarkStart w:id="552" w:name="OLE_LINK7919"/>
      <w:bookmarkStart w:id="553" w:name="OLE_LINK7864"/>
      <w:bookmarkStart w:id="554" w:name="OLE_LINK7726"/>
      <w:bookmarkStart w:id="555" w:name="OLE_LINK102"/>
      <w:bookmarkStart w:id="556" w:name="OLE_LINK7771"/>
      <w:bookmarkStart w:id="557" w:name="OLE_LINK68"/>
      <w:bookmarkStart w:id="558" w:name="OLE_LINK7335"/>
      <w:bookmarkStart w:id="559" w:name="OLE_LINK8284"/>
      <w:bookmarkStart w:id="560" w:name="OLE_LINK8126"/>
      <w:bookmarkStart w:id="561" w:name="OLE_LINK130"/>
      <w:bookmarkStart w:id="562" w:name="OLE_LINK7767"/>
      <w:bookmarkStart w:id="563" w:name="OLE_LINK7758"/>
      <w:bookmarkStart w:id="564" w:name="OLE_LINK8101"/>
      <w:bookmarkStart w:id="565" w:name="OLE_LINK88"/>
      <w:bookmarkStart w:id="566" w:name="OLE_LINK8343"/>
      <w:bookmarkStart w:id="567" w:name="OLE_LINK7782"/>
      <w:bookmarkStart w:id="568" w:name="OLE_LINK7304"/>
      <w:bookmarkStart w:id="569" w:name="OLE_LINK7384"/>
      <w:bookmarkStart w:id="570" w:name="OLE_LINK7378"/>
      <w:bookmarkStart w:id="571" w:name="OLE_LINK7898"/>
      <w:bookmarkStart w:id="572" w:name="OLE_LINK7888"/>
      <w:bookmarkStart w:id="573" w:name="OLE_LINK7685"/>
      <w:bookmarkStart w:id="574" w:name="OLE_LINK7667"/>
      <w:bookmarkStart w:id="575" w:name="OLE_LINK7395"/>
      <w:bookmarkStart w:id="576" w:name="OLE_LINK7777"/>
      <w:bookmarkStart w:id="577" w:name="OLE_LINK7871"/>
      <w:bookmarkStart w:id="578" w:name="OLE_LINK7781"/>
      <w:bookmarkStart w:id="579" w:name="OLE_LINK7676"/>
      <w:bookmarkStart w:id="580" w:name="OLE_LINK7795"/>
      <w:bookmarkStart w:id="581" w:name="OLE_LINK7708"/>
      <w:bookmarkStart w:id="582" w:name="OLE_LINK7424"/>
      <w:bookmarkStart w:id="583" w:name="OLE_LINK7404"/>
      <w:bookmarkStart w:id="584" w:name="OLE_LINK7909"/>
      <w:bookmarkStart w:id="585" w:name="OLE_LINK7357"/>
      <w:bookmarkStart w:id="586" w:name="OLE_LINK7804"/>
      <w:bookmarkStart w:id="587" w:name="OLE_LINK7348"/>
      <w:bookmarkStart w:id="588" w:name="OLE_LINK7351"/>
      <w:bookmarkStart w:id="589" w:name="OLE_LINK7306"/>
      <w:bookmarkStart w:id="590" w:name="OLE_LINK7816"/>
      <w:bookmarkStart w:id="591" w:name="OLE_LINK7418"/>
      <w:bookmarkStart w:id="592" w:name="OLE_LINK7854"/>
      <w:bookmarkStart w:id="593" w:name="OLE_LINK7286"/>
      <w:bookmarkStart w:id="594" w:name="OLE_LINK7293"/>
      <w:bookmarkStart w:id="595" w:name="OLE_LINK7411"/>
      <w:bookmarkStart w:id="596" w:name="OLE_LINK7841"/>
      <w:bookmarkStart w:id="597" w:name="OLE_LINK7701"/>
      <w:bookmarkStart w:id="598" w:name="OLE_LINK7848"/>
      <w:bookmarkStart w:id="599" w:name="OLE_LINK7689"/>
      <w:bookmarkStart w:id="600" w:name="OLE_LINK1449"/>
      <w:bookmarkStart w:id="601" w:name="OLE_LINK7900"/>
      <w:bookmarkStart w:id="602" w:name="OLE_LINK1429"/>
      <w:bookmarkStart w:id="603" w:name="OLE_LINK1348"/>
      <w:bookmarkStart w:id="604" w:name="OLE_LINK1365"/>
      <w:bookmarkStart w:id="605" w:name="OLE_LINK7729"/>
      <w:bookmarkStart w:id="606" w:name="OLE_LINK1402"/>
      <w:bookmarkStart w:id="607" w:name="OLE_LINK7789"/>
      <w:bookmarkStart w:id="608" w:name="OLE_LINK7787"/>
      <w:bookmarkStart w:id="609" w:name="OLE_LINK1384"/>
      <w:bookmarkStart w:id="610" w:name="OLE_LINK7407"/>
      <w:bookmarkStart w:id="611" w:name="OLE_LINK7913"/>
      <w:bookmarkStart w:id="612" w:name="OLE_LINK1503"/>
      <w:bookmarkStart w:id="613" w:name="OLE_LINK1375"/>
      <w:bookmarkStart w:id="614" w:name="OLE_LINK7776"/>
      <w:bookmarkStart w:id="615" w:name="OLE_LINK7674"/>
      <w:bookmarkStart w:id="616" w:name="OLE_LINK1399"/>
      <w:bookmarkStart w:id="617" w:name="OLE_LINK7720"/>
      <w:bookmarkStart w:id="618" w:name="OLE_LINK7916"/>
      <w:bookmarkStart w:id="619" w:name="OLE_LINK1412"/>
      <w:bookmarkStart w:id="620" w:name="OLE_LINK1387"/>
      <w:bookmarkStart w:id="621" w:name="OLE_LINK7906"/>
      <w:bookmarkStart w:id="622" w:name="OLE_LINK1356"/>
      <w:bookmarkStart w:id="623" w:name="OLE_LINK7747"/>
      <w:bookmarkStart w:id="624" w:name="OLE_LINK1452"/>
      <w:bookmarkStart w:id="625" w:name="OLE_LINK1361"/>
      <w:bookmarkStart w:id="626" w:name="OLE_LINK1395"/>
      <w:bookmarkStart w:id="627" w:name="OLE_LINK7754"/>
      <w:bookmarkStart w:id="628" w:name="OLE_LINK7889"/>
      <w:bookmarkStart w:id="629" w:name="OLE_LINK7372"/>
      <w:bookmarkStart w:id="630" w:name="OLE_LINK1391"/>
      <w:bookmarkStart w:id="631" w:name="OLE_LINK7415"/>
      <w:bookmarkStart w:id="632" w:name="OLE_LINK7878"/>
      <w:bookmarkStart w:id="633" w:name="OLE_LINK1478"/>
      <w:bookmarkStart w:id="634" w:name="OLE_LINK7851"/>
      <w:bookmarkStart w:id="635" w:name="OLE_LINK7740"/>
      <w:bookmarkStart w:id="636" w:name="OLE_LINK1433"/>
      <w:bookmarkStart w:id="637" w:name="OLE_LINK1371"/>
      <w:bookmarkStart w:id="638" w:name="OLE_LINK7780"/>
      <w:bookmarkStart w:id="639" w:name="OLE_LINK7859"/>
      <w:bookmarkStart w:id="640" w:name="OLE_LINK1335"/>
      <w:bookmarkStart w:id="641" w:name="OLE_LINK7842"/>
      <w:bookmarkStart w:id="642" w:name="OLE_LINK7807"/>
      <w:bookmarkStart w:id="643" w:name="OLE_LINK7704"/>
      <w:bookmarkStart w:id="644" w:name="OLE_LINK7714"/>
      <w:bookmarkStart w:id="645" w:name="OLE_LINK7766"/>
      <w:bookmarkStart w:id="646" w:name="OLE_LINK7797"/>
      <w:bookmarkStart w:id="647" w:name="OLE_LINK7817"/>
      <w:bookmarkStart w:id="648" w:name="OLE_LINK7745"/>
      <w:bookmarkStart w:id="649" w:name="OLE_LINK7866"/>
      <w:bookmarkStart w:id="650" w:name="OLE_LINK8027"/>
      <w:bookmarkStart w:id="651" w:name="OLE_LINK1379"/>
      <w:bookmarkStart w:id="652" w:name="OLE_LINK7947"/>
      <w:bookmarkStart w:id="653" w:name="OLE_LINK1343"/>
      <w:bookmarkStart w:id="654" w:name="OLE_LINK1364"/>
      <w:bookmarkStart w:id="655" w:name="OLE_LINK1436"/>
      <w:bookmarkStart w:id="656" w:name="OLE_LINK1457"/>
      <w:bookmarkStart w:id="657" w:name="OLE_LINK1466"/>
      <w:bookmarkStart w:id="658" w:name="OLE_LINK1353"/>
      <w:bookmarkStart w:id="659" w:name="OLE_LINK7683"/>
      <w:bookmarkStart w:id="660" w:name="OLE_LINK8072"/>
      <w:bookmarkStart w:id="661" w:name="OLE_LINK1474"/>
      <w:bookmarkStart w:id="662" w:name="OLE_LINK1344"/>
      <w:bookmarkStart w:id="663" w:name="OLE_LINK1492"/>
      <w:bookmarkStart w:id="664" w:name="OLE_LINK8046"/>
      <w:bookmarkStart w:id="665" w:name="OLE_LINK8055"/>
      <w:bookmarkStart w:id="666" w:name="OLE_LINK7755"/>
      <w:bookmarkStart w:id="667" w:name="OLE_LINK7952"/>
      <w:bookmarkStart w:id="668" w:name="OLE_LINK7725"/>
      <w:bookmarkStart w:id="669" w:name="OLE_LINK8026"/>
      <w:bookmarkStart w:id="670" w:name="OLE_LINK1477"/>
      <w:bookmarkStart w:id="671" w:name="OLE_LINK7923"/>
      <w:bookmarkStart w:id="672" w:name="OLE_LINK7731"/>
      <w:bookmarkStart w:id="673" w:name="OLE_LINK8012"/>
      <w:bookmarkStart w:id="674" w:name="OLE_LINK8081"/>
      <w:bookmarkStart w:id="675" w:name="OLE_LINK8078"/>
      <w:bookmarkStart w:id="676" w:name="OLE_LINK1490"/>
      <w:bookmarkStart w:id="677" w:name="OLE_LINK8089"/>
      <w:bookmarkStart w:id="678" w:name="OLE_LINK8064"/>
      <w:bookmarkStart w:id="679" w:name="OLE_LINK7868"/>
      <w:bookmarkStart w:id="680" w:name="OLE_LINK8010"/>
      <w:bookmarkStart w:id="681" w:name="OLE_LINK7762"/>
      <w:bookmarkStart w:id="682" w:name="OLE_LINK1397"/>
      <w:bookmarkStart w:id="683" w:name="OLE_LINK8144"/>
      <w:bookmarkStart w:id="684" w:name="OLE_LINK8059"/>
      <w:bookmarkStart w:id="685" w:name="OLE_LINK7917"/>
      <w:bookmarkStart w:id="686" w:name="OLE_LINK1499"/>
      <w:bookmarkStart w:id="687" w:name="OLE_LINK7920"/>
      <w:bookmarkStart w:id="688" w:name="OLE_LINK7884"/>
      <w:bookmarkStart w:id="689" w:name="OLE_LINK7927"/>
      <w:bookmarkStart w:id="690" w:name="OLE_LINK7936"/>
      <w:bookmarkStart w:id="691" w:name="OLE_LINK7907"/>
      <w:bookmarkStart w:id="692" w:name="OLE_LINK1496"/>
      <w:bookmarkStart w:id="693" w:name="OLE_LINK8049"/>
      <w:bookmarkStart w:id="694" w:name="OLE_LINK1484"/>
      <w:bookmarkStart w:id="695" w:name="OLE_LINK1508"/>
      <w:bookmarkStart w:id="696" w:name="OLE_LINK8015"/>
      <w:bookmarkStart w:id="697" w:name="OLE_LINK8199"/>
      <w:bookmarkStart w:id="698" w:name="OLE_LINK8209"/>
      <w:bookmarkStart w:id="699" w:name="OLE_LINK8179"/>
      <w:bookmarkStart w:id="700" w:name="OLE_LINK1407"/>
      <w:bookmarkStart w:id="701" w:name="OLE_LINK8037"/>
      <w:bookmarkStart w:id="702" w:name="OLE_LINK8230"/>
      <w:bookmarkStart w:id="703" w:name="OLE_LINK8166"/>
      <w:bookmarkStart w:id="704" w:name="OLE_LINK8229"/>
      <w:bookmarkStart w:id="705" w:name="OLE_LINK8034"/>
      <w:bookmarkStart w:id="706" w:name="OLE_LINK8137"/>
      <w:bookmarkStart w:id="707" w:name="OLE_LINK8134"/>
      <w:bookmarkStart w:id="708" w:name="OLE_LINK8066"/>
      <w:bookmarkStart w:id="709" w:name="OLE_LINK8222"/>
      <w:bookmarkStart w:id="710" w:name="OLE_LINK7933"/>
      <w:bookmarkStart w:id="711" w:name="OLE_LINK8138"/>
      <w:bookmarkStart w:id="712" w:name="OLE_LINK7902"/>
      <w:bookmarkStart w:id="713" w:name="OLE_LINK8011"/>
      <w:bookmarkStart w:id="714" w:name="OLE_LINK8171"/>
      <w:bookmarkStart w:id="715" w:name="OLE_LINK7960"/>
      <w:bookmarkStart w:id="716" w:name="OLE_LINK8160"/>
      <w:bookmarkStart w:id="717" w:name="OLE_LINK8188"/>
      <w:bookmarkStart w:id="718" w:name="OLE_LINK1414"/>
      <w:bookmarkStart w:id="719" w:name="OLE_LINK1424"/>
      <w:bookmarkStart w:id="720" w:name="OLE_LINK8185"/>
      <w:bookmarkStart w:id="721" w:name="OLE_LINK8226"/>
      <w:bookmarkStart w:id="722" w:name="OLE_LINK8153"/>
      <w:bookmarkStart w:id="723" w:name="OLE_LINK8023"/>
      <w:bookmarkStart w:id="724" w:name="OLE_LINK7938"/>
      <w:bookmarkStart w:id="725" w:name="OLE_LINK8239"/>
      <w:bookmarkStart w:id="726" w:name="OLE_LINK8203"/>
      <w:bookmarkStart w:id="727" w:name="OLE_LINK8192"/>
      <w:bookmarkStart w:id="728" w:name="OLE_LINK8227"/>
      <w:bookmarkStart w:id="729" w:name="OLE_LINK1357"/>
      <w:bookmarkStart w:id="730" w:name="OLE_LINK8213"/>
      <w:bookmarkStart w:id="731" w:name="OLE_LINK8235"/>
      <w:bookmarkStart w:id="732" w:name="OLE_LINK8206"/>
      <w:bookmarkStart w:id="733" w:name="OLE_LINK8219"/>
      <w:bookmarkStart w:id="734" w:name="OLE_LINK8305"/>
      <w:bookmarkStart w:id="735" w:name="OLE_LINK7845"/>
      <w:bookmarkStart w:id="736" w:name="OLE_LINK8194"/>
      <w:bookmarkStart w:id="737" w:name="OLE_LINK7914"/>
      <w:bookmarkStart w:id="738" w:name="OLE_LINK8200"/>
      <w:bookmarkStart w:id="739" w:name="OLE_LINK8177"/>
      <w:bookmarkStart w:id="740" w:name="OLE_LINK1372"/>
      <w:bookmarkStart w:id="741" w:name="OLE_LINK7890"/>
      <w:bookmarkStart w:id="742" w:name="OLE_LINK8217"/>
      <w:bookmarkStart w:id="743" w:name="OLE_LINK8232"/>
      <w:bookmarkStart w:id="744" w:name="OLE_LINK1419"/>
      <w:bookmarkStart w:id="745" w:name="OLE_LINK8399"/>
      <w:bookmarkStart w:id="746" w:name="OLE_LINK8141"/>
      <w:bookmarkStart w:id="747" w:name="OLE_LINK7932"/>
      <w:bookmarkStart w:id="748" w:name="OLE_LINK8241"/>
      <w:bookmarkStart w:id="749" w:name="OLE_LINK7944"/>
      <w:bookmarkStart w:id="750" w:name="OLE_LINK1382"/>
      <w:bookmarkStart w:id="751" w:name="OLE_LINK1434"/>
      <w:bookmarkStart w:id="752" w:name="OLE_LINK7925"/>
      <w:bookmarkStart w:id="753" w:name="OLE_LINK1381"/>
      <w:bookmarkStart w:id="754" w:name="OLE_LINK7953"/>
      <w:bookmarkStart w:id="755" w:name="OLE_LINK8139"/>
      <w:bookmarkStart w:id="756" w:name="OLE_LINK8175"/>
      <w:bookmarkStart w:id="757" w:name="OLE_LINK7918"/>
      <w:bookmarkStart w:id="758" w:name="OLE_LINK8157"/>
      <w:bookmarkStart w:id="759" w:name="OLE_LINK8148"/>
      <w:bookmarkStart w:id="760" w:name="OLE_LINK8272"/>
      <w:bookmarkStart w:id="761" w:name="OLE_LINK8435"/>
      <w:bookmarkStart w:id="762" w:name="OLE_LINK7929"/>
      <w:bookmarkStart w:id="763" w:name="OLE_LINK8245"/>
      <w:bookmarkStart w:id="764" w:name="OLE_LINK8214"/>
      <w:bookmarkStart w:id="765" w:name="OLE_LINK8439"/>
      <w:bookmarkStart w:id="766" w:name="OLE_LINK8262"/>
      <w:bookmarkStart w:id="767" w:name="OLE_LINK1441"/>
      <w:bookmarkStart w:id="768" w:name="OLE_LINK8432"/>
      <w:bookmarkStart w:id="769" w:name="OLE_LINK8393"/>
      <w:bookmarkStart w:id="770" w:name="OLE_LINK8438"/>
      <w:bookmarkStart w:id="771" w:name="OLE_LINK8418"/>
      <w:bookmarkStart w:id="772" w:name="OLE_LINK7939"/>
      <w:bookmarkStart w:id="773" w:name="OLE_LINK8276"/>
      <w:bookmarkStart w:id="774" w:name="OLE_LINK8402"/>
      <w:bookmarkStart w:id="775" w:name="OLE_LINK8303"/>
      <w:bookmarkStart w:id="776" w:name="OLE_LINK8316"/>
      <w:bookmarkStart w:id="777" w:name="OLE_LINK8328"/>
      <w:bookmarkStart w:id="778" w:name="OLE_LINK8283"/>
      <w:bookmarkStart w:id="779" w:name="OLE_LINK8224"/>
      <w:bookmarkStart w:id="780" w:name="OLE_LINK8485"/>
      <w:bookmarkStart w:id="781" w:name="OLE_LINK8406"/>
      <w:bookmarkStart w:id="782" w:name="OLE_LINK8186"/>
      <w:bookmarkStart w:id="783" w:name="OLE_LINK8448"/>
      <w:bookmarkStart w:id="784" w:name="OLE_LINK8443"/>
      <w:bookmarkStart w:id="785" w:name="OLE_LINK8212"/>
      <w:bookmarkStart w:id="786" w:name="OLE_LINK8444"/>
      <w:bookmarkStart w:id="787" w:name="OLE_LINK8267"/>
      <w:bookmarkStart w:id="788" w:name="OLE_LINK8403"/>
      <w:bookmarkStart w:id="789" w:name="OLE_LINK8254"/>
      <w:bookmarkStart w:id="790" w:name="OLE_LINK7860"/>
      <w:bookmarkStart w:id="791" w:name="OLE_LINK8248"/>
      <w:bookmarkStart w:id="792" w:name="OLE_LINK8510"/>
      <w:bookmarkStart w:id="793" w:name="OLE_LINK8467"/>
      <w:bookmarkStart w:id="794" w:name="OLE_LINK8319"/>
      <w:bookmarkStart w:id="795" w:name="OLE_LINK8579"/>
      <w:bookmarkStart w:id="796" w:name="OLE_LINK8422"/>
      <w:bookmarkStart w:id="797" w:name="OLE_LINK8558"/>
      <w:bookmarkStart w:id="798" w:name="OLE_LINK8311"/>
      <w:bookmarkStart w:id="799" w:name="OLE_LINK8462"/>
      <w:bookmarkStart w:id="800" w:name="OLE_LINK8555"/>
      <w:bookmarkStart w:id="801" w:name="OLE_LINK8323"/>
      <w:bookmarkStart w:id="802" w:name="OLE_LINK8549"/>
      <w:bookmarkStart w:id="803" w:name="OLE_LINK8495"/>
      <w:bookmarkStart w:id="804" w:name="OLE_LINK8451"/>
      <w:bookmarkStart w:id="805" w:name="OLE_LINK8466"/>
      <w:bookmarkStart w:id="806" w:name="OLE_LINK8426"/>
      <w:bookmarkStart w:id="807" w:name="OLE_LINK8584"/>
      <w:bookmarkStart w:id="808" w:name="OLE_LINK8471"/>
      <w:bookmarkStart w:id="809" w:name="OLE_LINK8455"/>
      <w:bookmarkStart w:id="810" w:name="OLE_LINK8475"/>
      <w:bookmarkStart w:id="811" w:name="OLE_LINK8498"/>
      <w:bookmarkStart w:id="812" w:name="OLE_LINK8490"/>
      <w:bookmarkStart w:id="813" w:name="OLE_LINK8565"/>
      <w:bookmarkStart w:id="814" w:name="OLE_LINK8410"/>
      <w:bookmarkStart w:id="815" w:name="OLE_LINK8548"/>
      <w:bookmarkStart w:id="816" w:name="OLE_LINK8404"/>
      <w:bookmarkStart w:id="817" w:name="OLE_LINK8390"/>
      <w:bookmarkStart w:id="818" w:name="OLE_LINK8470"/>
      <w:bookmarkStart w:id="819" w:name="OLE_LINK8564"/>
      <w:bookmarkStart w:id="820" w:name="OLE_LINK8575"/>
      <w:bookmarkStart w:id="821" w:name="OLE_LINK8297"/>
      <w:bookmarkStart w:id="822" w:name="OLE_LINK8293"/>
      <w:r>
        <w:rPr>
          <w:rFonts w:ascii="Book Antiqua" w:hAnsi="Book Antiqua"/>
        </w:rPr>
        <w:t>F</w:t>
      </w:r>
      <w:bookmarkStart w:id="823" w:name="OLE_LINK1751"/>
      <w:bookmarkStart w:id="824" w:name="OLE_LINK1750"/>
      <w:r>
        <w:rPr>
          <w:rFonts w:ascii="Book Antiqua" w:hAnsi="Book Antiqua"/>
        </w:rPr>
        <w:t>ebruary 18,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207F45EA" w14:textId="77777777" w:rsidR="00430080"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eastAsia="Book Antiqua" w:hAnsi="Book Antiqua" w:cs="Book Antiqua" w:hint="eastAsia"/>
        </w:rPr>
        <w:t>March 16, 2024</w:t>
      </w:r>
    </w:p>
    <w:p w14:paraId="4DA9F10F" w14:textId="77777777" w:rsidR="00430080" w:rsidRDefault="00430080">
      <w:pPr>
        <w:spacing w:line="360" w:lineRule="auto"/>
        <w:jc w:val="both"/>
        <w:rPr>
          <w:rFonts w:ascii="Book Antiqua" w:hAnsi="Book Antiqua"/>
        </w:rPr>
        <w:sectPr w:rsidR="00430080" w:rsidSect="00963574">
          <w:footerReference w:type="default" r:id="rId7"/>
          <w:pgSz w:w="12240" w:h="15840"/>
          <w:pgMar w:top="1440" w:right="1440" w:bottom="1440" w:left="1440" w:header="720" w:footer="720" w:gutter="0"/>
          <w:cols w:space="720"/>
          <w:docGrid w:linePitch="360"/>
        </w:sectPr>
      </w:pPr>
    </w:p>
    <w:p w14:paraId="0B919821" w14:textId="77777777" w:rsidR="00430080"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6B85EEFF" w14:textId="77777777" w:rsidR="00430080"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0C2E91A5" w14:textId="77777777" w:rsidR="00430080" w:rsidRDefault="00000000">
      <w:pPr>
        <w:spacing w:line="360" w:lineRule="auto"/>
        <w:jc w:val="both"/>
        <w:rPr>
          <w:rFonts w:ascii="Book Antiqua" w:hAnsi="Book Antiqua"/>
        </w:rPr>
      </w:pPr>
      <w:r>
        <w:rPr>
          <w:rFonts w:ascii="Book Antiqua" w:eastAsia="Book Antiqua" w:hAnsi="Book Antiqua" w:cs="Book Antiqua"/>
          <w:color w:val="000000"/>
        </w:rPr>
        <w:t>Conventional magnifying endoscopy with narrow-band imaging (NBI) observation of the gastric body mucosa shows dominant patterns in relation to the regular arrangement of collecting venules, subepithelial capillary network, and gastric pits.</w:t>
      </w:r>
    </w:p>
    <w:p w14:paraId="719614B8" w14:textId="77777777" w:rsidR="00430080" w:rsidRDefault="00430080">
      <w:pPr>
        <w:spacing w:line="360" w:lineRule="auto"/>
        <w:jc w:val="both"/>
        <w:rPr>
          <w:rFonts w:ascii="Book Antiqua" w:hAnsi="Book Antiqua"/>
        </w:rPr>
      </w:pPr>
    </w:p>
    <w:p w14:paraId="25A5D660" w14:textId="77777777" w:rsidR="00430080" w:rsidRDefault="00000000">
      <w:pPr>
        <w:spacing w:line="360" w:lineRule="auto"/>
        <w:jc w:val="both"/>
        <w:rPr>
          <w:rFonts w:ascii="Book Antiqua" w:hAnsi="Book Antiqua"/>
        </w:rPr>
      </w:pPr>
      <w:r>
        <w:rPr>
          <w:rFonts w:ascii="Book Antiqua" w:eastAsia="Book Antiqua" w:hAnsi="Book Antiqua" w:cs="Book Antiqua"/>
          <w:color w:val="000000"/>
        </w:rPr>
        <w:t>AIM</w:t>
      </w:r>
    </w:p>
    <w:p w14:paraId="661DDA58" w14:textId="77777777" w:rsidR="00430080" w:rsidRDefault="00000000">
      <w:pPr>
        <w:spacing w:line="360" w:lineRule="auto"/>
        <w:jc w:val="both"/>
        <w:rPr>
          <w:rFonts w:ascii="Book Antiqua" w:hAnsi="Book Antiqua"/>
        </w:rPr>
      </w:pPr>
      <w:r>
        <w:rPr>
          <w:rFonts w:ascii="Book Antiqua" w:eastAsia="Book Antiqua" w:hAnsi="Book Antiqua" w:cs="Book Antiqua"/>
          <w:color w:val="000000"/>
        </w:rPr>
        <w:t>To evaluate the effectiveness of a new one-dual (near) focus, NBI mode in the assessment of the microscopic features of gastric body mucosa compared to conventional magnification.</w:t>
      </w:r>
    </w:p>
    <w:p w14:paraId="224E4806" w14:textId="77777777" w:rsidR="00430080" w:rsidRDefault="00430080">
      <w:pPr>
        <w:spacing w:line="360" w:lineRule="auto"/>
        <w:jc w:val="both"/>
        <w:rPr>
          <w:rFonts w:ascii="Book Antiqua" w:hAnsi="Book Antiqua"/>
        </w:rPr>
      </w:pPr>
    </w:p>
    <w:p w14:paraId="302DD0CB" w14:textId="77777777" w:rsidR="00430080" w:rsidRDefault="00000000">
      <w:pPr>
        <w:spacing w:line="360" w:lineRule="auto"/>
        <w:jc w:val="both"/>
        <w:rPr>
          <w:rFonts w:ascii="Book Antiqua" w:hAnsi="Book Antiqua"/>
        </w:rPr>
      </w:pPr>
      <w:r>
        <w:rPr>
          <w:rFonts w:ascii="Book Antiqua" w:eastAsia="Book Antiqua" w:hAnsi="Book Antiqua" w:cs="Book Antiqua"/>
          <w:color w:val="000000"/>
        </w:rPr>
        <w:t>METHODS</w:t>
      </w:r>
    </w:p>
    <w:p w14:paraId="68AFC194" w14:textId="77777777" w:rsidR="00430080" w:rsidRDefault="00000000">
      <w:pPr>
        <w:spacing w:line="360" w:lineRule="auto"/>
        <w:jc w:val="both"/>
        <w:rPr>
          <w:rFonts w:ascii="Book Antiqua" w:hAnsi="Book Antiqua"/>
        </w:rPr>
      </w:pPr>
      <w:r>
        <w:rPr>
          <w:rFonts w:ascii="Book Antiqua" w:eastAsia="Book Antiqua" w:hAnsi="Book Antiqua" w:cs="Book Antiqua"/>
          <w:color w:val="000000"/>
        </w:rPr>
        <w:t>During 2021 and 2022, 68 patients underwent proximal gastrointestinal endoscopy using magnification endoscopic modalities subsequently applying acetic acid (AA). The GIF-</w:t>
      </w:r>
      <w:proofErr w:type="spellStart"/>
      <w:r>
        <w:rPr>
          <w:rFonts w:ascii="Book Antiqua" w:eastAsia="Book Antiqua" w:hAnsi="Book Antiqua" w:cs="Book Antiqua"/>
          <w:color w:val="000000"/>
        </w:rPr>
        <w:t>190HQ</w:t>
      </w:r>
      <w:proofErr w:type="spellEnd"/>
      <w:r>
        <w:rPr>
          <w:rFonts w:ascii="Book Antiqua" w:eastAsia="Book Antiqua" w:hAnsi="Book Antiqua" w:cs="Book Antiqua"/>
          <w:color w:val="000000"/>
        </w:rPr>
        <w:t xml:space="preserve"> series NBI system with dual focus capability was used for the investigation of gastric mucosa. </w:t>
      </w:r>
      <w:r>
        <w:rPr>
          <w:rFonts w:ascii="Book Antiqua" w:eastAsia="Book Antiqua" w:hAnsi="Book Antiqua" w:cs="Book Antiqua"/>
        </w:rPr>
        <w:t>At the time of the endoscopy, the gastric body mucosa of all enrolled patients was photographed using the white light endoscopy (</w:t>
      </w:r>
      <w:proofErr w:type="spellStart"/>
      <w:r>
        <w:rPr>
          <w:rFonts w:ascii="Book Antiqua" w:eastAsia="Book Antiqua" w:hAnsi="Book Antiqua" w:cs="Book Antiqua"/>
        </w:rPr>
        <w:t>WLE</w:t>
      </w:r>
      <w:proofErr w:type="spellEnd"/>
      <w:r>
        <w:rPr>
          <w:rFonts w:ascii="Book Antiqua" w:eastAsia="Book Antiqua" w:hAnsi="Book Antiqua" w:cs="Book Antiqua"/>
        </w:rPr>
        <w:t>), near focus (NF), NF-NBI, AA-NF, and AA-NF-NBI modes.</w:t>
      </w:r>
    </w:p>
    <w:p w14:paraId="39A22FB2" w14:textId="77777777" w:rsidR="00430080" w:rsidRDefault="00430080">
      <w:pPr>
        <w:spacing w:line="360" w:lineRule="auto"/>
        <w:jc w:val="both"/>
        <w:rPr>
          <w:rFonts w:ascii="Book Antiqua" w:hAnsi="Book Antiqua"/>
        </w:rPr>
      </w:pPr>
    </w:p>
    <w:p w14:paraId="1E0C8CD8" w14:textId="77777777" w:rsidR="00430080" w:rsidRDefault="00000000">
      <w:pPr>
        <w:spacing w:line="360" w:lineRule="auto"/>
        <w:jc w:val="both"/>
        <w:rPr>
          <w:rFonts w:ascii="Book Antiqua" w:hAnsi="Book Antiqua"/>
        </w:rPr>
      </w:pPr>
      <w:r>
        <w:rPr>
          <w:rFonts w:ascii="Book Antiqua" w:eastAsia="Book Antiqua" w:hAnsi="Book Antiqua" w:cs="Book Antiqua"/>
          <w:color w:val="000000"/>
        </w:rPr>
        <w:t>RESULTS</w:t>
      </w:r>
    </w:p>
    <w:p w14:paraId="6283F164" w14:textId="77777777" w:rsidR="00430080" w:rsidRDefault="00000000">
      <w:pPr>
        <w:spacing w:line="360" w:lineRule="auto"/>
        <w:jc w:val="both"/>
        <w:rPr>
          <w:rFonts w:ascii="Book Antiqua" w:hAnsi="Book Antiqua"/>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WLE</w:t>
      </w:r>
      <w:proofErr w:type="spellEnd"/>
      <w:r>
        <w:rPr>
          <w:rFonts w:ascii="Book Antiqua" w:eastAsia="Book Antiqua" w:hAnsi="Book Antiqua" w:cs="Book Antiqua"/>
          <w:color w:val="000000"/>
        </w:rPr>
        <w:t xml:space="preserve">, NF and NF-NBI endoscopic modes for all patients (204 images) were classified in the same order into three groups. Two images from each patient for the AA-NF and AA-NF-NBI endoscopic modes were classified in the same order. According to all three observers who completed the work independently, NF magnification was significantly superior to </w:t>
      </w:r>
      <w:proofErr w:type="spellStart"/>
      <w:r>
        <w:rPr>
          <w:rFonts w:ascii="Book Antiqua" w:eastAsia="Book Antiqua" w:hAnsi="Book Antiqua" w:cs="Book Antiqua"/>
          <w:color w:val="000000"/>
        </w:rPr>
        <w:t>WLE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and the NF-NBI mode was significantly superior to NF magnification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After applying AA, the three observers confirmed that AA-NF-NBI was significantly superior to AA-NF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w:t>
      </w:r>
      <w:r>
        <w:rPr>
          <w:rFonts w:ascii="Book Antiqua" w:eastAsia="Book Antiqua" w:hAnsi="Book Antiqua" w:cs="Book Antiqua"/>
        </w:rPr>
        <w:t xml:space="preserve"> Interobserver kappa values for </w:t>
      </w:r>
      <w:proofErr w:type="spellStart"/>
      <w:r>
        <w:rPr>
          <w:rFonts w:ascii="Book Antiqua" w:eastAsia="Book Antiqua" w:hAnsi="Book Antiqua" w:cs="Book Antiqua"/>
        </w:rPr>
        <w:t>WLE</w:t>
      </w:r>
      <w:proofErr w:type="spellEnd"/>
      <w:r>
        <w:rPr>
          <w:rFonts w:ascii="Book Antiqua" w:eastAsia="Book Antiqua" w:hAnsi="Book Antiqua" w:cs="Book Antiqua"/>
        </w:rPr>
        <w:t xml:space="preserve"> were 0.609, 0.704, and 0.598, respectively and were 0.600, 0.721, and 0.637, respectively, for NF magnification. For the NF-NBI mode, the values were 0.378, 0.471, and 0.553, </w:t>
      </w:r>
      <w:r>
        <w:rPr>
          <w:rFonts w:ascii="Book Antiqua" w:eastAsia="Book Antiqua" w:hAnsi="Book Antiqua" w:cs="Book Antiqua"/>
        </w:rPr>
        <w:lastRenderedPageBreak/>
        <w:t>respectively. For AA-NF, they were 0.453, 0.603, and 0.480, respectively, and for AA-NF-NBI, they were 0.643, 0.506, and 0.354, respectively.</w:t>
      </w:r>
    </w:p>
    <w:p w14:paraId="7AD068A2" w14:textId="77777777" w:rsidR="00430080" w:rsidRDefault="00430080">
      <w:pPr>
        <w:spacing w:line="360" w:lineRule="auto"/>
        <w:jc w:val="both"/>
        <w:rPr>
          <w:rFonts w:ascii="Book Antiqua" w:hAnsi="Book Antiqua"/>
        </w:rPr>
      </w:pPr>
    </w:p>
    <w:p w14:paraId="284B10DB" w14:textId="77777777" w:rsidR="00430080"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62D25ABA" w14:textId="77777777" w:rsidR="00430080" w:rsidRDefault="00000000">
      <w:pPr>
        <w:spacing w:line="360" w:lineRule="auto"/>
        <w:jc w:val="both"/>
        <w:rPr>
          <w:rFonts w:ascii="Book Antiqua" w:hAnsi="Book Antiqua"/>
        </w:rPr>
      </w:pPr>
      <w:r>
        <w:rPr>
          <w:rFonts w:ascii="Book Antiqua" w:eastAsia="Book Antiqua" w:hAnsi="Book Antiqua" w:cs="Book Antiqua"/>
          <w:color w:val="000000"/>
        </w:rPr>
        <w:t>When</w:t>
      </w:r>
      <w:r>
        <w:rPr>
          <w:rFonts w:ascii="Book Antiqua" w:eastAsia="Book Antiqua" w:hAnsi="Book Antiqua" w:cs="Book Antiqua"/>
        </w:rPr>
        <w:t xml:space="preserve"> investigating gastric mucosa in microscopic detail, NF-NBI was the most powerful endoscopic mode for assessing </w:t>
      </w:r>
      <w:r>
        <w:rPr>
          <w:rFonts w:ascii="Book Antiqua" w:eastAsia="Book Antiqua" w:hAnsi="Book Antiqua" w:cs="Book Antiqua"/>
          <w:color w:val="000000"/>
        </w:rPr>
        <w:t>regular arrangement of collecting venules</w:t>
      </w:r>
      <w:r>
        <w:rPr>
          <w:rFonts w:ascii="Book Antiqua" w:eastAsia="Book Antiqua" w:hAnsi="Book Antiqua" w:cs="Book Antiqua"/>
        </w:rPr>
        <w:t xml:space="preserve">, </w:t>
      </w:r>
      <w:r>
        <w:rPr>
          <w:rFonts w:ascii="Book Antiqua" w:eastAsia="Book Antiqua" w:hAnsi="Book Antiqua" w:cs="Book Antiqua"/>
          <w:color w:val="000000"/>
        </w:rPr>
        <w:t>subepithelial capillary network,</w:t>
      </w:r>
      <w:r>
        <w:rPr>
          <w:rFonts w:ascii="Book Antiqua" w:eastAsia="Book Antiqua" w:hAnsi="Book Antiqua" w:cs="Book Antiqua"/>
        </w:rPr>
        <w:t xml:space="preserve"> and </w:t>
      </w:r>
      <w:r>
        <w:rPr>
          <w:rFonts w:ascii="Book Antiqua" w:eastAsia="Book Antiqua" w:hAnsi="Book Antiqua" w:cs="Book Antiqua"/>
          <w:color w:val="000000"/>
        </w:rPr>
        <w:t>gastric pits</w:t>
      </w:r>
      <w:r>
        <w:rPr>
          <w:rFonts w:ascii="Book Antiqua" w:eastAsia="Book Antiqua" w:hAnsi="Book Antiqua" w:cs="Book Antiqua"/>
        </w:rPr>
        <w:t xml:space="preserve"> among the five endoscopic modalities investigated in this study. AA-NF-NBI was the most powerful endoscopic mode for analyzing crypt opening and intervening part.</w:t>
      </w:r>
    </w:p>
    <w:p w14:paraId="3AEF821D" w14:textId="77777777" w:rsidR="00430080" w:rsidRDefault="00430080">
      <w:pPr>
        <w:spacing w:line="360" w:lineRule="auto"/>
        <w:jc w:val="both"/>
        <w:rPr>
          <w:rFonts w:ascii="Book Antiqua" w:hAnsi="Book Antiqua"/>
        </w:rPr>
      </w:pPr>
    </w:p>
    <w:p w14:paraId="115F65A2" w14:textId="77777777" w:rsidR="00430080"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color w:val="000000"/>
        </w:rPr>
        <w:t>Gastric mucosa; Endoscopic microanatomy; Magnifying endoscopy; Near focus; Narrow-band imaging; Acetic acid</w:t>
      </w:r>
    </w:p>
    <w:p w14:paraId="13CABC30" w14:textId="77777777" w:rsidR="00430080" w:rsidRDefault="00430080">
      <w:pPr>
        <w:spacing w:line="360" w:lineRule="auto"/>
        <w:jc w:val="both"/>
        <w:rPr>
          <w:rFonts w:ascii="Book Antiqua" w:hAnsi="Book Antiqua"/>
        </w:rPr>
      </w:pPr>
    </w:p>
    <w:p w14:paraId="4DA7142E" w14:textId="77777777" w:rsidR="00E9779C" w:rsidRDefault="00E9779C" w:rsidP="00E9779C">
      <w:pPr>
        <w:spacing w:line="360" w:lineRule="auto"/>
        <w:rPr>
          <w:rFonts w:ascii="Book Antiqua" w:eastAsia="Book Antiqua" w:hAnsi="Book Antiqua" w:cs="Book Antiqua"/>
          <w:color w:val="000000"/>
        </w:rPr>
      </w:pPr>
      <w:bookmarkStart w:id="825" w:name="_Hlk160804794"/>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825"/>
    <w:p w14:paraId="3E3D3856" w14:textId="77777777" w:rsidR="00E9779C" w:rsidRDefault="00E9779C">
      <w:pPr>
        <w:spacing w:line="360" w:lineRule="auto"/>
        <w:jc w:val="both"/>
        <w:rPr>
          <w:rFonts w:ascii="Book Antiqua" w:hAnsi="Book Antiqua"/>
        </w:rPr>
      </w:pPr>
    </w:p>
    <w:p w14:paraId="353864BC" w14:textId="4C12F3C6" w:rsidR="00E9779C" w:rsidRDefault="00000000">
      <w:pPr>
        <w:spacing w:line="360" w:lineRule="auto"/>
        <w:jc w:val="both"/>
        <w:rPr>
          <w:rFonts w:ascii="Book Antiqua" w:eastAsia="Book Antiqua" w:hAnsi="Book Antiqua" w:cs="Book Antiqua"/>
        </w:rPr>
      </w:pPr>
      <w:bookmarkStart w:id="826" w:name="_Hlk158060864"/>
      <w:r>
        <w:rPr>
          <w:rFonts w:ascii="Book Antiqua" w:eastAsia="Book Antiqua" w:hAnsi="Book Antiqua" w:cs="Book Antiqua" w:hint="eastAsia"/>
          <w:b/>
          <w:bCs/>
        </w:rPr>
        <w:t>Citation</w:t>
      </w:r>
      <w:r>
        <w:rPr>
          <w:rFonts w:ascii="Book Antiqua" w:eastAsia="Book Antiqua" w:hAnsi="Book Antiqua" w:cs="Book Antiqua" w:hint="eastAsia"/>
        </w:rPr>
        <w:t xml:space="preserve">: </w:t>
      </w:r>
      <w:proofErr w:type="spellStart"/>
      <w:r>
        <w:rPr>
          <w:rFonts w:ascii="Book Antiqua" w:eastAsia="Book Antiqua" w:hAnsi="Book Antiqua" w:cs="Book Antiqua"/>
        </w:rPr>
        <w:t>Kurtcehajic</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Zerem</w:t>
      </w:r>
      <w:proofErr w:type="spellEnd"/>
      <w:r>
        <w:rPr>
          <w:rFonts w:ascii="Book Antiqua" w:eastAsia="Book Antiqua" w:hAnsi="Book Antiqua" w:cs="Book Antiqua"/>
        </w:rPr>
        <w:t xml:space="preserve"> E, Bokun T, </w:t>
      </w:r>
      <w:proofErr w:type="spellStart"/>
      <w:r>
        <w:rPr>
          <w:rFonts w:ascii="Book Antiqua" w:eastAsia="Book Antiqua" w:hAnsi="Book Antiqua" w:cs="Book Antiqua"/>
        </w:rPr>
        <w:t>Alibegovic</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Kunosic</w:t>
      </w:r>
      <w:proofErr w:type="spellEnd"/>
      <w:r>
        <w:rPr>
          <w:rFonts w:ascii="Book Antiqua" w:eastAsia="Book Antiqua" w:hAnsi="Book Antiqua" w:cs="Book Antiqua"/>
        </w:rPr>
        <w:t xml:space="preserve"> S, Hujdurovic A, </w:t>
      </w:r>
      <w:proofErr w:type="spellStart"/>
      <w:r>
        <w:rPr>
          <w:rFonts w:ascii="Book Antiqua" w:eastAsia="Book Antiqua" w:hAnsi="Book Antiqua" w:cs="Book Antiqua"/>
        </w:rPr>
        <w:t>Tursunovic</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Ljuca</w:t>
      </w:r>
      <w:proofErr w:type="spellEnd"/>
      <w:r>
        <w:rPr>
          <w:rFonts w:ascii="Book Antiqua" w:eastAsia="Book Antiqua" w:hAnsi="Book Antiqua" w:cs="Book Antiqua"/>
        </w:rPr>
        <w:t xml:space="preserve"> K</w:t>
      </w:r>
      <w:bookmarkEnd w:id="826"/>
      <w:r>
        <w:rPr>
          <w:rFonts w:ascii="Book Antiqua" w:eastAsia="Book Antiqua" w:hAnsi="Book Antiqua" w:cs="Book Antiqua"/>
        </w:rPr>
        <w:t xml:space="preserve">. Could near focus endoscopy, narrow-band imaging, and acetic acid improve the visualization of microscopic features of stomach mucosa?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2024; </w:t>
      </w:r>
      <w:r>
        <w:rPr>
          <w:rFonts w:ascii="Book Antiqua" w:eastAsia="Book Antiqua" w:hAnsi="Book Antiqua" w:cs="Book Antiqua" w:hint="eastAsia"/>
        </w:rPr>
        <w:t xml:space="preserve">16(3): </w:t>
      </w:r>
      <w:r w:rsidR="00E9779C">
        <w:rPr>
          <w:rFonts w:ascii="Book Antiqua" w:eastAsia="Book Antiqua" w:hAnsi="Book Antiqua" w:cs="Book Antiqua"/>
        </w:rPr>
        <w:t>157</w:t>
      </w:r>
      <w:r>
        <w:rPr>
          <w:rFonts w:ascii="Book Antiqua" w:eastAsia="Book Antiqua" w:hAnsi="Book Antiqua" w:cs="Book Antiqua" w:hint="eastAsia"/>
        </w:rPr>
        <w:t>-</w:t>
      </w:r>
      <w:r w:rsidR="00E9779C">
        <w:rPr>
          <w:rFonts w:ascii="Book Antiqua" w:eastAsia="Book Antiqua" w:hAnsi="Book Antiqua" w:cs="Book Antiqua"/>
        </w:rPr>
        <w:t>167</w:t>
      </w:r>
    </w:p>
    <w:p w14:paraId="1593526D" w14:textId="4FDD4AC3" w:rsidR="00E9779C" w:rsidRDefault="00000000">
      <w:pPr>
        <w:spacing w:line="360" w:lineRule="auto"/>
        <w:jc w:val="both"/>
        <w:rPr>
          <w:rFonts w:ascii="Book Antiqua" w:eastAsia="Book Antiqua" w:hAnsi="Book Antiqua" w:cs="Book Antiqua"/>
        </w:rPr>
      </w:pPr>
      <w:r>
        <w:rPr>
          <w:rFonts w:ascii="Book Antiqua" w:eastAsia="Book Antiqua" w:hAnsi="Book Antiqua" w:cs="Book Antiqua" w:hint="eastAsia"/>
          <w:b/>
          <w:bCs/>
        </w:rPr>
        <w:t>URL</w:t>
      </w:r>
      <w:r>
        <w:rPr>
          <w:rFonts w:ascii="Book Antiqua" w:eastAsia="Book Antiqua" w:hAnsi="Book Antiqua" w:cs="Book Antiqua" w:hint="eastAsia"/>
        </w:rPr>
        <w:t xml:space="preserve">: </w:t>
      </w:r>
      <w:hyperlink r:id="rId8" w:history="1">
        <w:r w:rsidR="00E9779C" w:rsidRPr="0050131A">
          <w:rPr>
            <w:rStyle w:val="ad"/>
            <w:rFonts w:ascii="Book Antiqua" w:eastAsia="Book Antiqua" w:hAnsi="Book Antiqua" w:cs="Book Antiqua" w:hint="eastAsia"/>
          </w:rPr>
          <w:t>https://</w:t>
        </w:r>
        <w:proofErr w:type="spellStart"/>
        <w:r w:rsidR="00E9779C" w:rsidRPr="0050131A">
          <w:rPr>
            <w:rStyle w:val="ad"/>
            <w:rFonts w:ascii="Book Antiqua" w:eastAsia="Book Antiqua" w:hAnsi="Book Antiqua" w:cs="Book Antiqua" w:hint="eastAsia"/>
          </w:rPr>
          <w:t>www.wjgnet.com</w:t>
        </w:r>
        <w:proofErr w:type="spellEnd"/>
        <w:r w:rsidR="00E9779C" w:rsidRPr="0050131A">
          <w:rPr>
            <w:rStyle w:val="ad"/>
            <w:rFonts w:ascii="Book Antiqua" w:eastAsia="Book Antiqua" w:hAnsi="Book Antiqua" w:cs="Book Antiqua" w:hint="eastAsia"/>
          </w:rPr>
          <w:t>/1948-5190/full/</w:t>
        </w:r>
        <w:proofErr w:type="spellStart"/>
        <w:r w:rsidR="00E9779C" w:rsidRPr="0050131A">
          <w:rPr>
            <w:rStyle w:val="ad"/>
            <w:rFonts w:ascii="Book Antiqua" w:eastAsia="Book Antiqua" w:hAnsi="Book Antiqua" w:cs="Book Antiqua" w:hint="eastAsia"/>
          </w:rPr>
          <w:t>v16</w:t>
        </w:r>
        <w:proofErr w:type="spellEnd"/>
        <w:r w:rsidR="00E9779C" w:rsidRPr="0050131A">
          <w:rPr>
            <w:rStyle w:val="ad"/>
            <w:rFonts w:ascii="Book Antiqua" w:eastAsia="Book Antiqua" w:hAnsi="Book Antiqua" w:cs="Book Antiqua" w:hint="eastAsia"/>
          </w:rPr>
          <w:t>/</w:t>
        </w:r>
        <w:proofErr w:type="spellStart"/>
        <w:r w:rsidR="00E9779C" w:rsidRPr="0050131A">
          <w:rPr>
            <w:rStyle w:val="ad"/>
            <w:rFonts w:ascii="Book Antiqua" w:eastAsia="Book Antiqua" w:hAnsi="Book Antiqua" w:cs="Book Antiqua" w:hint="eastAsia"/>
          </w:rPr>
          <w:t>i3</w:t>
        </w:r>
        <w:proofErr w:type="spellEnd"/>
        <w:r w:rsidR="00E9779C" w:rsidRPr="0050131A">
          <w:rPr>
            <w:rStyle w:val="ad"/>
            <w:rFonts w:ascii="Book Antiqua" w:eastAsia="Book Antiqua" w:hAnsi="Book Antiqua" w:cs="Book Antiqua" w:hint="eastAsia"/>
          </w:rPr>
          <w:t>/</w:t>
        </w:r>
        <w:proofErr w:type="spellStart"/>
        <w:r w:rsidR="00E9779C" w:rsidRPr="0050131A">
          <w:rPr>
            <w:rStyle w:val="ad"/>
            <w:rFonts w:ascii="Book Antiqua" w:eastAsia="Book Antiqua" w:hAnsi="Book Antiqua" w:cs="Book Antiqua"/>
          </w:rPr>
          <w:t>157</w:t>
        </w:r>
        <w:r w:rsidR="00E9779C" w:rsidRPr="0050131A">
          <w:rPr>
            <w:rStyle w:val="ad"/>
            <w:rFonts w:ascii="Book Antiqua" w:eastAsia="Book Antiqua" w:hAnsi="Book Antiqua" w:cs="Book Antiqua" w:hint="eastAsia"/>
          </w:rPr>
          <w:t>.htm</w:t>
        </w:r>
        <w:proofErr w:type="spellEnd"/>
      </w:hyperlink>
      <w:r>
        <w:rPr>
          <w:rFonts w:ascii="Book Antiqua" w:eastAsia="Book Antiqua" w:hAnsi="Book Antiqua" w:cs="Book Antiqua" w:hint="eastAsia"/>
        </w:rPr>
        <w:t xml:space="preserve"> </w:t>
      </w:r>
    </w:p>
    <w:p w14:paraId="63A24A16" w14:textId="3A67DB04" w:rsidR="00430080" w:rsidRDefault="00000000">
      <w:pPr>
        <w:spacing w:line="360" w:lineRule="auto"/>
        <w:jc w:val="both"/>
        <w:rPr>
          <w:rFonts w:ascii="Book Antiqua" w:hAnsi="Book Antiqua"/>
        </w:rPr>
      </w:pPr>
      <w:r>
        <w:rPr>
          <w:rFonts w:ascii="Book Antiqua" w:eastAsia="Book Antiqua" w:hAnsi="Book Antiqua" w:cs="Book Antiqua" w:hint="eastAsia"/>
          <w:b/>
          <w:bCs/>
        </w:rPr>
        <w:t>DOI</w:t>
      </w:r>
      <w:r>
        <w:rPr>
          <w:rFonts w:ascii="Book Antiqua" w:eastAsia="Book Antiqua" w:hAnsi="Book Antiqua" w:cs="Book Antiqua" w:hint="eastAsia"/>
        </w:rPr>
        <w:t>: https://</w:t>
      </w:r>
      <w:proofErr w:type="spellStart"/>
      <w:r>
        <w:rPr>
          <w:rFonts w:ascii="Book Antiqua" w:eastAsia="Book Antiqua" w:hAnsi="Book Antiqua" w:cs="Book Antiqua" w:hint="eastAsia"/>
        </w:rPr>
        <w:t>dx.doi.org</w:t>
      </w:r>
      <w:proofErr w:type="spellEnd"/>
      <w:r>
        <w:rPr>
          <w:rFonts w:ascii="Book Antiqua" w:eastAsia="Book Antiqua" w:hAnsi="Book Antiqua" w:cs="Book Antiqua" w:hint="eastAsia"/>
        </w:rPr>
        <w:t>/10.4253/</w:t>
      </w:r>
      <w:proofErr w:type="spellStart"/>
      <w:r>
        <w:rPr>
          <w:rFonts w:ascii="Book Antiqua" w:eastAsia="Book Antiqua" w:hAnsi="Book Antiqua" w:cs="Book Antiqua" w:hint="eastAsia"/>
        </w:rPr>
        <w:t>wjge.v16.i3.</w:t>
      </w:r>
      <w:r w:rsidR="00E9779C">
        <w:rPr>
          <w:rFonts w:ascii="Book Antiqua" w:eastAsia="Book Antiqua" w:hAnsi="Book Antiqua" w:cs="Book Antiqua"/>
        </w:rPr>
        <w:t>157</w:t>
      </w:r>
      <w:proofErr w:type="spellEnd"/>
    </w:p>
    <w:p w14:paraId="64012739" w14:textId="77777777" w:rsidR="00430080" w:rsidRDefault="00430080">
      <w:pPr>
        <w:spacing w:line="360" w:lineRule="auto"/>
        <w:jc w:val="both"/>
        <w:rPr>
          <w:rFonts w:ascii="Book Antiqua" w:hAnsi="Book Antiqua"/>
        </w:rPr>
      </w:pPr>
    </w:p>
    <w:p w14:paraId="1B4AB1DE" w14:textId="77777777" w:rsidR="00430080"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color w:val="000000"/>
        </w:rPr>
        <w:t>Narrow-band imaging has enabled the analysis of gastrointestinal mucosa in</w:t>
      </w:r>
      <w:r>
        <w:rPr>
          <w:rFonts w:ascii="Book Antiqua" w:eastAsia="Book Antiqua" w:hAnsi="Book Antiqua" w:cs="Book Antiqua"/>
        </w:rPr>
        <w:t xml:space="preserve"> microscopic detail</w:t>
      </w:r>
      <w:r>
        <w:rPr>
          <w:rFonts w:ascii="Book Antiqua" w:eastAsia="Book Antiqua" w:hAnsi="Book Antiqua" w:cs="Book Antiqua"/>
          <w:color w:val="000000"/>
        </w:rPr>
        <w:t xml:space="preserve">. However, this technique gives a dark image and makes it impossible to identify the color and structural microanatomy changes of the stomach mucosa, and it is necessary to combine it with the mechanical addition on the top of the scope (conventional magnification). These additions improve the visualization of the gastric mucosa but significantly complicate the procedure. We presented a new endoscopic </w:t>
      </w:r>
      <w:r>
        <w:rPr>
          <w:rFonts w:ascii="Book Antiqua" w:eastAsia="Book Antiqua" w:hAnsi="Book Antiqua" w:cs="Book Antiqua"/>
          <w:color w:val="000000"/>
        </w:rPr>
        <w:lastRenderedPageBreak/>
        <w:t>mode called “near focus” that achieves the same or better visualization and does not require any additional accessories.</w:t>
      </w:r>
    </w:p>
    <w:p w14:paraId="1B96444D" w14:textId="77777777" w:rsidR="00430080" w:rsidRDefault="00430080">
      <w:pPr>
        <w:spacing w:line="360" w:lineRule="auto"/>
        <w:jc w:val="both"/>
        <w:rPr>
          <w:rFonts w:ascii="Book Antiqua" w:hAnsi="Book Antiqua"/>
        </w:rPr>
      </w:pPr>
    </w:p>
    <w:p w14:paraId="6EC70FB8" w14:textId="77777777" w:rsidR="00430080"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65B2E633" w14:textId="77777777" w:rsidR="00430080" w:rsidRDefault="00000000">
      <w:pPr>
        <w:spacing w:line="360" w:lineRule="auto"/>
        <w:jc w:val="both"/>
        <w:rPr>
          <w:rFonts w:ascii="Book Antiqua" w:hAnsi="Book Antiqua"/>
        </w:rPr>
      </w:pPr>
      <w:r>
        <w:rPr>
          <w:rFonts w:ascii="Book Antiqua" w:eastAsia="Book Antiqua" w:hAnsi="Book Antiqua" w:cs="Book Antiqua"/>
          <w:color w:val="000000"/>
        </w:rPr>
        <w:t>Currently, endoscopic platforms offer high-resolution images, image-enhanced endoscopy (IEE) techniques, and magnification, allowing for the inspection of gastric mucosa at a more detailed level. Endoscopic microscopic features (microanatomy) of the gastric body mucosa are classified into the microvascular architecture, such as the regular arrangement of collecting venules (RAC) and the regular honeycomb subepithelial capillary network (</w:t>
      </w:r>
      <w:proofErr w:type="spellStart"/>
      <w:r>
        <w:rPr>
          <w:rFonts w:ascii="Book Antiqua" w:eastAsia="Book Antiqua" w:hAnsi="Book Antiqua" w:cs="Book Antiqua"/>
          <w:color w:val="000000"/>
        </w:rPr>
        <w:t>SECN</w:t>
      </w:r>
      <w:proofErr w:type="spellEnd"/>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microsurface</w:t>
      </w:r>
      <w:proofErr w:type="spellEnd"/>
      <w:r>
        <w:rPr>
          <w:rFonts w:ascii="Book Antiqua" w:eastAsia="Book Antiqua" w:hAnsi="Book Antiqua" w:cs="Book Antiqua"/>
          <w:color w:val="000000"/>
        </w:rPr>
        <w:t xml:space="preserve"> structure is characterized by regular round gastric pits (GP), regular oval crypt opening (CO), and the intervening part (IP), which constitutes the space between the crypts. In gastric-related diseases such as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intestinal metaplasia, and gastric atrophy, the microanatomy has been structurally changed to an absence of venules, irregularity of capillary network, and enlarging pits and </w:t>
      </w:r>
      <w:proofErr w:type="gramStart"/>
      <w:r>
        <w:rPr>
          <w:rFonts w:ascii="Book Antiqua" w:eastAsia="Book Antiqua" w:hAnsi="Book Antiqua" w:cs="Book Antiqua"/>
          <w:color w:val="000000"/>
        </w:rPr>
        <w:t>crypts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14:paraId="1B362326" w14:textId="77777777" w:rsidR="00430080" w:rsidRDefault="00000000">
      <w:pPr>
        <w:spacing w:line="360" w:lineRule="auto"/>
        <w:ind w:firstLine="240"/>
        <w:jc w:val="both"/>
        <w:rPr>
          <w:rFonts w:ascii="Book Antiqua" w:hAnsi="Book Antiqua"/>
        </w:rPr>
      </w:pPr>
      <w:r>
        <w:rPr>
          <w:rFonts w:ascii="Book Antiqua" w:eastAsia="Book Antiqua" w:hAnsi="Book Antiqua" w:cs="Book Antiqua"/>
          <w:color w:val="000000"/>
        </w:rPr>
        <w:t>In previous reports, white light endoscopy (</w:t>
      </w:r>
      <w:proofErr w:type="spellStart"/>
      <w:r>
        <w:rPr>
          <w:rFonts w:ascii="Book Antiqua" w:eastAsia="Book Antiqua" w:hAnsi="Book Antiqua" w:cs="Book Antiqua"/>
          <w:color w:val="000000"/>
        </w:rPr>
        <w:t>WLE</w:t>
      </w:r>
      <w:proofErr w:type="spellEnd"/>
      <w:r>
        <w:rPr>
          <w:rFonts w:ascii="Book Antiqua" w:eastAsia="Book Antiqua" w:hAnsi="Book Antiqua" w:cs="Book Antiqua"/>
          <w:color w:val="000000"/>
        </w:rPr>
        <w:t xml:space="preserve">) has failed to assess endoscopic microanatomy. The need and wish to improve the differentiation of normal, inflammatory, and malignant lesions by gastrointestinal endoscopy has fueled research to accelerate the development of novel types of video endoscopy systems, based on new optical technologies. Electronic chromoendoscopy </w:t>
      </w:r>
      <w:r>
        <w:rPr>
          <w:rFonts w:ascii="Book Antiqua" w:eastAsia="Book Antiqua" w:hAnsi="Book Antiqua" w:cs="Book Antiqua"/>
          <w:i/>
          <w:iCs/>
          <w:color w:val="000000"/>
        </w:rPr>
        <w:t>via</w:t>
      </w:r>
      <w:r>
        <w:rPr>
          <w:rFonts w:ascii="Book Antiqua" w:eastAsia="Book Antiqua" w:hAnsi="Book Antiqua" w:cs="Book Antiqua"/>
          <w:color w:val="000000"/>
        </w:rPr>
        <w:t xml:space="preserve"> narrow-band imaging (NBI) (the most useful tool in the many clinical trials) has highlighted the vascular patterns of gastric </w:t>
      </w:r>
      <w:proofErr w:type="gramStart"/>
      <w:r>
        <w:rPr>
          <w:rFonts w:ascii="Book Antiqua" w:eastAsia="Book Antiqua" w:hAnsi="Book Antiqua" w:cs="Book Antiqua"/>
          <w:color w:val="000000"/>
        </w:rPr>
        <w:t>mucosa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1,3,6-8]</w:t>
      </w:r>
      <w:r>
        <w:rPr>
          <w:rFonts w:ascii="Book Antiqua" w:eastAsia="Book Antiqua" w:hAnsi="Book Antiqua" w:cs="Book Antiqua"/>
          <w:color w:val="000000"/>
        </w:rPr>
        <w:t xml:space="preserve">. Three studies focused on acetic acid (AA), which enhances and determines the pathology of gastric </w:t>
      </w:r>
      <w:proofErr w:type="gramStart"/>
      <w:r>
        <w:rPr>
          <w:rFonts w:ascii="Book Antiqua" w:eastAsia="Book Antiqua" w:hAnsi="Book Antiqua" w:cs="Book Antiqua"/>
          <w:color w:val="000000"/>
        </w:rPr>
        <w:t>lesions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9-11]</w:t>
      </w:r>
      <w:r>
        <w:rPr>
          <w:rFonts w:ascii="Book Antiqua" w:eastAsia="Book Antiqua" w:hAnsi="Book Antiqua" w:cs="Book Antiqua"/>
          <w:color w:val="000000"/>
        </w:rPr>
        <w:t>.</w:t>
      </w:r>
    </w:p>
    <w:p w14:paraId="06EF1C82" w14:textId="77777777" w:rsidR="00430080"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There has been a need for increased magnification to assess the endoscopic microscopic features in more detail. Conventional magnifying endoscopy (ME) with NBI observation of the normal gastric mucosa has been described previously; studies reported dominant patterns with RAC, </w:t>
      </w:r>
      <w:proofErr w:type="spellStart"/>
      <w:r>
        <w:rPr>
          <w:rFonts w:ascii="Book Antiqua" w:eastAsia="Book Antiqua" w:hAnsi="Book Antiqua" w:cs="Book Antiqua"/>
          <w:color w:val="000000"/>
        </w:rPr>
        <w:t>SECN</w:t>
      </w:r>
      <w:proofErr w:type="spellEnd"/>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GP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2-4,6,7]</w:t>
      </w:r>
      <w:r>
        <w:rPr>
          <w:rFonts w:ascii="Book Antiqua" w:eastAsia="Book Antiqua" w:hAnsi="Book Antiqua" w:cs="Book Antiqua"/>
          <w:color w:val="000000"/>
        </w:rPr>
        <w:t xml:space="preserve">. Recent, optical innovation relating to the dual focus function allows the endoscopist to select between a normal mode and a near focus (NF) mode. The NF mode is optimized for near-field observation with 45-fold </w:t>
      </w:r>
      <w:r>
        <w:rPr>
          <w:rFonts w:ascii="Book Antiqua" w:eastAsia="Book Antiqua" w:hAnsi="Book Antiqua" w:cs="Book Antiqua"/>
          <w:color w:val="000000"/>
        </w:rPr>
        <w:lastRenderedPageBreak/>
        <w:t xml:space="preserve">magnification. Studies have reported that NF-NBI successfully replaced ME-NBI in the detection of pathological lesions in the esophagus and pharynx as well as the identification of celiac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12-15]</w:t>
      </w:r>
      <w:r>
        <w:rPr>
          <w:rFonts w:ascii="Book Antiqua" w:eastAsia="Book Antiqua" w:hAnsi="Book Antiqua" w:cs="Book Antiqua"/>
          <w:color w:val="000000"/>
        </w:rPr>
        <w:t xml:space="preserve">. Recent studies reported the ability of the NF-NBI mode for the detection of early gastric cancer </w:t>
      </w:r>
      <w:proofErr w:type="gramStart"/>
      <w:r>
        <w:rPr>
          <w:rFonts w:ascii="Book Antiqua" w:eastAsia="Book Antiqua" w:hAnsi="Book Antiqua" w:cs="Book Antiqua"/>
          <w:color w:val="000000"/>
        </w:rPr>
        <w:t>lesions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16,17]</w:t>
      </w:r>
      <w:r>
        <w:rPr>
          <w:rFonts w:ascii="Book Antiqua" w:eastAsia="Book Antiqua" w:hAnsi="Book Antiqua" w:cs="Book Antiqua"/>
          <w:color w:val="000000"/>
        </w:rPr>
        <w:t xml:space="preserve">. Two recently published studies considered NF endoscopy in the evaluation of gastric atrophy, intestinal metaplasia, and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w:t>
      </w:r>
    </w:p>
    <w:p w14:paraId="1E256771" w14:textId="77777777" w:rsidR="00430080"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Conventional ME uses a soft rubber at the top of the scope due to the demanding manipulation in the remaining stomach can be replaced with the simple, more pragmatic, and novel endoscopic way of magnification. Therefore, in this study, we evaluated the possibility of a new one-dual (near) focus, NBI mode in the assessment of RAC, </w:t>
      </w:r>
      <w:proofErr w:type="spellStart"/>
      <w:r>
        <w:rPr>
          <w:rFonts w:ascii="Book Antiqua" w:eastAsia="Book Antiqua" w:hAnsi="Book Antiqua" w:cs="Book Antiqua"/>
          <w:color w:val="000000"/>
        </w:rPr>
        <w:t>SECN</w:t>
      </w:r>
      <w:proofErr w:type="spellEnd"/>
      <w:r>
        <w:rPr>
          <w:rFonts w:ascii="Book Antiqua" w:eastAsia="Book Antiqua" w:hAnsi="Book Antiqua" w:cs="Book Antiqua"/>
          <w:color w:val="000000"/>
        </w:rPr>
        <w:t>, GP, and CO in the gastric body for the visualization of microscopic features of the mucosa.</w:t>
      </w:r>
    </w:p>
    <w:p w14:paraId="1BFE2714" w14:textId="77777777" w:rsidR="00430080"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 first aim of this study was to determine the clinical (endoscopic) usefulness of the NF-NBI mode in the observation of gastric microvascular architecture and </w:t>
      </w:r>
      <w:proofErr w:type="spellStart"/>
      <w:r>
        <w:rPr>
          <w:rFonts w:ascii="Book Antiqua" w:eastAsia="Book Antiqua" w:hAnsi="Book Antiqua" w:cs="Book Antiqua"/>
          <w:color w:val="000000"/>
        </w:rPr>
        <w:t>microsurface</w:t>
      </w:r>
      <w:proofErr w:type="spellEnd"/>
      <w:r>
        <w:rPr>
          <w:rFonts w:ascii="Book Antiqua" w:eastAsia="Book Antiqua" w:hAnsi="Book Antiqua" w:cs="Book Antiqua"/>
          <w:color w:val="000000"/>
        </w:rPr>
        <w:t xml:space="preserve"> structure. Secondly, by applying 1.5% AA, we compared the power of visualization of the AA-NF and AA-NF-NBI mode when assessing </w:t>
      </w:r>
      <w:proofErr w:type="spellStart"/>
      <w:r>
        <w:rPr>
          <w:rFonts w:ascii="Book Antiqua" w:eastAsia="Book Antiqua" w:hAnsi="Book Antiqua" w:cs="Book Antiqua"/>
          <w:color w:val="000000"/>
        </w:rPr>
        <w:t>microsurface</w:t>
      </w:r>
      <w:proofErr w:type="spellEnd"/>
      <w:r>
        <w:rPr>
          <w:rFonts w:ascii="Book Antiqua" w:eastAsia="Book Antiqua" w:hAnsi="Book Antiqua" w:cs="Book Antiqua"/>
          <w:color w:val="000000"/>
        </w:rPr>
        <w:t xml:space="preserve"> patterns containing CO and IP.</w:t>
      </w:r>
    </w:p>
    <w:p w14:paraId="002DF99E" w14:textId="77777777" w:rsidR="00430080" w:rsidRDefault="00430080">
      <w:pPr>
        <w:spacing w:line="360" w:lineRule="auto"/>
        <w:jc w:val="both"/>
        <w:rPr>
          <w:rFonts w:ascii="Book Antiqua" w:hAnsi="Book Antiqua"/>
        </w:rPr>
      </w:pPr>
    </w:p>
    <w:p w14:paraId="7ECDE395" w14:textId="77777777" w:rsidR="00430080"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3BA0CC62" w14:textId="77777777" w:rsidR="00430080" w:rsidRDefault="00000000">
      <w:pPr>
        <w:spacing w:line="360" w:lineRule="auto"/>
        <w:jc w:val="both"/>
        <w:rPr>
          <w:rFonts w:ascii="Book Antiqua" w:hAnsi="Book Antiqua"/>
        </w:rPr>
      </w:pPr>
      <w:r>
        <w:rPr>
          <w:rStyle w:val="jlqj4b"/>
          <w:rFonts w:ascii="Book Antiqua" w:eastAsia="Book Antiqua" w:hAnsi="Book Antiqua" w:cs="Book Antiqua"/>
          <w:b/>
          <w:bCs/>
          <w:i/>
          <w:iCs/>
          <w:color w:val="000000"/>
        </w:rPr>
        <w:t>Patients</w:t>
      </w:r>
    </w:p>
    <w:p w14:paraId="22CD9A34" w14:textId="77777777" w:rsidR="00430080" w:rsidRDefault="00000000">
      <w:pPr>
        <w:spacing w:line="360" w:lineRule="auto"/>
        <w:jc w:val="both"/>
        <w:rPr>
          <w:rFonts w:ascii="Book Antiqua" w:hAnsi="Book Antiqua"/>
        </w:rPr>
      </w:pPr>
      <w:r>
        <w:rPr>
          <w:rStyle w:val="jlqj4b"/>
          <w:rFonts w:ascii="Book Antiqua" w:eastAsia="Book Antiqua" w:hAnsi="Book Antiqua" w:cs="Book Antiqua"/>
          <w:color w:val="000000"/>
        </w:rPr>
        <w:t>B</w:t>
      </w:r>
      <w:r>
        <w:rPr>
          <w:rFonts w:ascii="Book Antiqua" w:eastAsia="Book Antiqua" w:hAnsi="Book Antiqua" w:cs="Book Antiqua"/>
          <w:color w:val="000000"/>
        </w:rPr>
        <w:t xml:space="preserve">etween September 2021 and May 2022, 68 patients underwent proximal </w:t>
      </w:r>
      <w:r>
        <w:rPr>
          <w:rStyle w:val="jlqj4b"/>
          <w:rFonts w:ascii="Book Antiqua" w:eastAsia="Book Antiqua" w:hAnsi="Book Antiqua" w:cs="Book Antiqua"/>
          <w:color w:val="000000"/>
        </w:rPr>
        <w:t>gastrointestinal endoscopy</w:t>
      </w:r>
      <w:r>
        <w:rPr>
          <w:rFonts w:ascii="Book Antiqua" w:eastAsia="Book Antiqua" w:hAnsi="Book Antiqua" w:cs="Book Antiqua"/>
          <w:color w:val="000000"/>
        </w:rPr>
        <w:t xml:space="preserve"> using conventional </w:t>
      </w:r>
      <w:proofErr w:type="spellStart"/>
      <w:r>
        <w:rPr>
          <w:rFonts w:ascii="Book Antiqua" w:eastAsia="Book Antiqua" w:hAnsi="Book Antiqua" w:cs="Book Antiqua"/>
          <w:color w:val="000000"/>
        </w:rPr>
        <w:t>WLE</w:t>
      </w:r>
      <w:proofErr w:type="spellEnd"/>
      <w:r>
        <w:rPr>
          <w:rFonts w:ascii="Book Antiqua" w:eastAsia="Book Antiqua" w:hAnsi="Book Antiqua" w:cs="Book Antiqua"/>
          <w:color w:val="000000"/>
        </w:rPr>
        <w:t>, NF magnification, and NF-NBI with the subsequent application of AA. The patients consisted of 30 males and 38 females with a mean age of 38.5 years (range: 25-65 years).</w:t>
      </w:r>
    </w:p>
    <w:p w14:paraId="44A1851F" w14:textId="77777777" w:rsidR="00430080" w:rsidRDefault="00000000">
      <w:pPr>
        <w:spacing w:line="360" w:lineRule="auto"/>
        <w:ind w:firstLine="240"/>
        <w:jc w:val="both"/>
        <w:rPr>
          <w:rFonts w:ascii="Book Antiqua" w:hAnsi="Book Antiqua"/>
        </w:rPr>
      </w:pPr>
      <w:r>
        <w:rPr>
          <w:rStyle w:val="jlqj4b"/>
          <w:rFonts w:ascii="Book Antiqua" w:eastAsia="Book Antiqua" w:hAnsi="Book Antiqua" w:cs="Book Antiqua"/>
          <w:color w:val="000000"/>
        </w:rPr>
        <w:t xml:space="preserve">The study excluded patients who were </w:t>
      </w:r>
      <w:r>
        <w:rPr>
          <w:rFonts w:ascii="Book Antiqua" w:eastAsia="Book Antiqua" w:hAnsi="Book Antiqua" w:cs="Book Antiqua"/>
          <w:i/>
          <w:iCs/>
          <w:color w:val="000000"/>
        </w:rPr>
        <w:t>H. pylori</w:t>
      </w:r>
      <w:r>
        <w:rPr>
          <w:rStyle w:val="jlqj4b"/>
          <w:rFonts w:ascii="Book Antiqua" w:eastAsia="Book Antiqua" w:hAnsi="Book Antiqua" w:cs="Book Antiqua"/>
          <w:color w:val="000000"/>
        </w:rPr>
        <w:t xml:space="preserve"> positive (either one serology or rapid urease test), those who had received anticoagulant therapy or drugs for chronic metabolic diseases (diabetes mellitus, hypothyroidism) and systemic inflammation disease as well as nonsteroidal anti-inflammatory drugs and anxiolytics, and patients with chronic decompensated liver and kidney diseases.</w:t>
      </w:r>
      <w:r>
        <w:rPr>
          <w:rFonts w:ascii="Book Antiqua" w:eastAsia="Book Antiqua" w:hAnsi="Book Antiqua" w:cs="Book Antiqua"/>
          <w:color w:val="000000"/>
        </w:rPr>
        <w:t xml:space="preserve"> The study was approved by the ethical </w:t>
      </w:r>
      <w:r>
        <w:rPr>
          <w:rFonts w:ascii="Book Antiqua" w:eastAsia="Book Antiqua" w:hAnsi="Book Antiqua" w:cs="Book Antiqua"/>
          <w:color w:val="000000"/>
        </w:rPr>
        <w:lastRenderedPageBreak/>
        <w:t>committee of the Blue Medical Group, and signed, well-informed consent was obtained from all participants.</w:t>
      </w:r>
    </w:p>
    <w:p w14:paraId="037CD400" w14:textId="77777777" w:rsidR="00430080" w:rsidRDefault="00430080">
      <w:pPr>
        <w:spacing w:line="360" w:lineRule="auto"/>
        <w:jc w:val="both"/>
        <w:rPr>
          <w:rFonts w:ascii="Book Antiqua" w:hAnsi="Book Antiqua"/>
        </w:rPr>
      </w:pPr>
    </w:p>
    <w:p w14:paraId="66DDC064" w14:textId="77777777" w:rsidR="00430080" w:rsidRDefault="00000000">
      <w:pPr>
        <w:spacing w:line="360" w:lineRule="auto"/>
        <w:jc w:val="both"/>
        <w:rPr>
          <w:rFonts w:ascii="Book Antiqua" w:hAnsi="Book Antiqua"/>
        </w:rPr>
      </w:pPr>
      <w:r>
        <w:rPr>
          <w:rFonts w:ascii="Book Antiqua" w:eastAsia="Book Antiqua" w:hAnsi="Book Antiqua" w:cs="Book Antiqua"/>
          <w:b/>
          <w:bCs/>
          <w:i/>
          <w:iCs/>
          <w:color w:val="000000"/>
        </w:rPr>
        <w:t>Endoscopic modalities</w:t>
      </w:r>
    </w:p>
    <w:p w14:paraId="642AA59A" w14:textId="77777777" w:rsidR="00430080" w:rsidRDefault="00000000">
      <w:pPr>
        <w:spacing w:line="360" w:lineRule="auto"/>
        <w:jc w:val="both"/>
        <w:rPr>
          <w:rFonts w:ascii="Book Antiqua" w:hAnsi="Book Antiqua"/>
        </w:rPr>
      </w:pPr>
      <w:r>
        <w:rPr>
          <w:rFonts w:ascii="Book Antiqua" w:eastAsia="Book Antiqua" w:hAnsi="Book Antiqua" w:cs="Book Antiqua"/>
          <w:color w:val="000000"/>
        </w:rPr>
        <w:t>The endoscopic video information system, EVIS EXERA III CLV-190, was used with an Olympus high-resolution endoscope, GIF-</w:t>
      </w:r>
      <w:proofErr w:type="spellStart"/>
      <w:r>
        <w:rPr>
          <w:rFonts w:ascii="Book Antiqua" w:eastAsia="Book Antiqua" w:hAnsi="Book Antiqua" w:cs="Book Antiqua"/>
          <w:color w:val="000000"/>
        </w:rPr>
        <w:t>190HQ</w:t>
      </w:r>
      <w:proofErr w:type="spellEnd"/>
      <w:r>
        <w:rPr>
          <w:rFonts w:ascii="Book Antiqua" w:eastAsia="Book Antiqua" w:hAnsi="Book Antiqua" w:cs="Book Antiqua"/>
          <w:color w:val="000000"/>
        </w:rPr>
        <w:t xml:space="preserve"> series NBI system, with dual focus capability for the investigation of the gastric mucosa. This scope allows switching between two focus settings: “normal mode” and “near focus mode”. The “normal mode” or </w:t>
      </w:r>
      <w:proofErr w:type="spellStart"/>
      <w:r>
        <w:rPr>
          <w:rFonts w:ascii="Book Antiqua" w:eastAsia="Book Antiqua" w:hAnsi="Book Antiqua" w:cs="Book Antiqua"/>
          <w:color w:val="000000"/>
        </w:rPr>
        <w:t>WLE</w:t>
      </w:r>
      <w:proofErr w:type="spellEnd"/>
      <w:r>
        <w:rPr>
          <w:rFonts w:ascii="Book Antiqua" w:eastAsia="Book Antiqua" w:hAnsi="Book Antiqua" w:cs="Book Antiqua"/>
          <w:color w:val="000000"/>
        </w:rPr>
        <w:t xml:space="preserve"> suits normal observation at 5-100 mm and a 170° field of view, while the NF magnification of up to × 70 allows close observation of the finest mucosal surfaces at 2-6 mm. When switching to the NF mode at the simple touch of a button, the field of view will remain almost the same (160°).</w:t>
      </w:r>
    </w:p>
    <w:p w14:paraId="531FE6A7" w14:textId="77777777" w:rsidR="00430080" w:rsidRDefault="00000000">
      <w:pPr>
        <w:spacing w:line="360" w:lineRule="auto"/>
        <w:ind w:firstLine="240"/>
        <w:jc w:val="both"/>
        <w:rPr>
          <w:rFonts w:ascii="Book Antiqua" w:hAnsi="Book Antiqua"/>
        </w:rPr>
      </w:pPr>
      <w:r>
        <w:rPr>
          <w:rFonts w:ascii="Book Antiqua" w:eastAsia="Book Antiqua" w:hAnsi="Book Antiqua" w:cs="Book Antiqua"/>
          <w:color w:val="000000"/>
        </w:rPr>
        <w:t>NBI is based on the principle that depth of light penetration into tissues is directly proportional to the wavelength, which implies that the shorter the wavelength, the more superficial the penetration. The NBI resembles chromoendoscopy without dye, focusing on the capillaries.</w:t>
      </w:r>
    </w:p>
    <w:p w14:paraId="09E0691E" w14:textId="77777777" w:rsidR="00430080"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AA </w:t>
      </w:r>
      <w:r>
        <w:rPr>
          <w:rFonts w:ascii="Book Antiqua" w:eastAsia="Book Antiqua" w:hAnsi="Book Antiqua" w:cs="Book Antiqua"/>
          <w:i/>
          <w:iCs/>
          <w:color w:val="000000"/>
        </w:rPr>
        <w:t>via</w:t>
      </w:r>
      <w:r>
        <w:rPr>
          <w:rFonts w:ascii="Book Antiqua" w:eastAsia="Book Antiqua" w:hAnsi="Book Antiqua" w:cs="Book Antiqua"/>
          <w:color w:val="000000"/>
        </w:rPr>
        <w:t xml:space="preserve"> magnification enables vivid observation of the CO of the glandular epithelium, which has a deep brown appearance. The IP has a whitish appearance because of reversible alterations in the molecular structure of the cellular proteins that are induced by AA and lasts from several seconds to several minutes.</w:t>
      </w:r>
    </w:p>
    <w:p w14:paraId="012D4C37" w14:textId="77777777" w:rsidR="00430080" w:rsidRDefault="00430080">
      <w:pPr>
        <w:spacing w:line="360" w:lineRule="auto"/>
        <w:jc w:val="both"/>
        <w:rPr>
          <w:rFonts w:ascii="Book Antiqua" w:hAnsi="Book Antiqua"/>
        </w:rPr>
      </w:pPr>
    </w:p>
    <w:p w14:paraId="41D182D1" w14:textId="77777777" w:rsidR="00430080" w:rsidRDefault="00000000">
      <w:pPr>
        <w:spacing w:line="360" w:lineRule="auto"/>
        <w:jc w:val="both"/>
        <w:rPr>
          <w:rFonts w:ascii="Book Antiqua" w:hAnsi="Book Antiqua"/>
        </w:rPr>
      </w:pPr>
      <w:r>
        <w:rPr>
          <w:rFonts w:ascii="Book Antiqua" w:eastAsia="Book Antiqua" w:hAnsi="Book Antiqua" w:cs="Book Antiqua"/>
          <w:b/>
          <w:bCs/>
          <w:i/>
          <w:iCs/>
          <w:color w:val="000000"/>
        </w:rPr>
        <w:t>Endoscopic procedure</w:t>
      </w:r>
    </w:p>
    <w:p w14:paraId="1D94658B" w14:textId="77777777" w:rsidR="00430080" w:rsidRDefault="00000000">
      <w:pPr>
        <w:spacing w:line="360" w:lineRule="auto"/>
        <w:jc w:val="both"/>
        <w:rPr>
          <w:rFonts w:ascii="Book Antiqua" w:hAnsi="Book Antiqua"/>
        </w:rPr>
      </w:pPr>
      <w:r>
        <w:rPr>
          <w:rFonts w:ascii="Book Antiqua" w:eastAsia="Book Antiqua" w:hAnsi="Book Antiqua" w:cs="Book Antiqua"/>
          <w:color w:val="000000"/>
        </w:rPr>
        <w:t>Two hours before the procedure all patients took 80 mg of simethicone with a small amount of water to remove gastric mucus. The procedure was performed under intravenous application of propofol. An experienced gastroenterologist (</w:t>
      </w:r>
      <w:proofErr w:type="spellStart"/>
      <w:r>
        <w:rPr>
          <w:rFonts w:ascii="Book Antiqua" w:eastAsia="Book Antiqua" w:hAnsi="Book Antiqua" w:cs="Book Antiqua"/>
        </w:rPr>
        <w:t>Kurtcehajic</w:t>
      </w:r>
      <w:proofErr w:type="spellEnd"/>
      <w:r>
        <w:rPr>
          <w:rFonts w:ascii="Book Antiqua" w:eastAsia="Book Antiqua" w:hAnsi="Book Antiqua" w:cs="Book Antiqua"/>
        </w:rPr>
        <w:t xml:space="preserve"> A</w:t>
      </w:r>
      <w:r>
        <w:rPr>
          <w:rFonts w:ascii="Book Antiqua" w:eastAsia="Book Antiqua" w:hAnsi="Book Antiqua" w:cs="Book Antiqua"/>
          <w:color w:val="000000"/>
        </w:rPr>
        <w:t xml:space="preserve">) performed all the procedures. The whole esophagus, stomach, and duodenum were examined to exclude obvious lesions with conventional </w:t>
      </w:r>
      <w:proofErr w:type="spellStart"/>
      <w:r>
        <w:rPr>
          <w:rFonts w:ascii="Book Antiqua" w:eastAsia="Book Antiqua" w:hAnsi="Book Antiqua" w:cs="Book Antiqua"/>
          <w:color w:val="000000"/>
        </w:rPr>
        <w:t>WLE</w:t>
      </w:r>
      <w:proofErr w:type="spellEnd"/>
      <w:r>
        <w:rPr>
          <w:rFonts w:ascii="Book Antiqua" w:eastAsia="Book Antiqua" w:hAnsi="Book Antiqua" w:cs="Book Antiqua"/>
          <w:color w:val="000000"/>
        </w:rPr>
        <w:t xml:space="preserve">, followed by the manufacturer incorporated NF-NBI mode in the scope, by applying 3 mL of AA </w:t>
      </w:r>
      <w:r>
        <w:rPr>
          <w:rFonts w:ascii="Book Antiqua" w:eastAsia="Book Antiqua" w:hAnsi="Book Antiqua" w:cs="Book Antiqua"/>
          <w:i/>
          <w:iCs/>
          <w:color w:val="000000"/>
        </w:rPr>
        <w:t>via</w:t>
      </w:r>
      <w:r>
        <w:rPr>
          <w:rFonts w:ascii="Book Antiqua" w:eastAsia="Book Antiqua" w:hAnsi="Book Antiqua" w:cs="Book Antiqua"/>
          <w:color w:val="000000"/>
        </w:rPr>
        <w:t xml:space="preserve"> a single catheter. The focus area was the anterior wall or greater curvature of the upper </w:t>
      </w:r>
      <w:r>
        <w:rPr>
          <w:rFonts w:ascii="Book Antiqua" w:eastAsia="Book Antiqua" w:hAnsi="Book Antiqua" w:cs="Book Antiqua"/>
          <w:color w:val="000000"/>
        </w:rPr>
        <w:lastRenderedPageBreak/>
        <w:t xml:space="preserve">gastric body. Biopsies were taken from the antrum and corpus mucosa, and </w:t>
      </w:r>
      <w:r>
        <w:rPr>
          <w:rStyle w:val="jlqj4b"/>
          <w:rFonts w:ascii="Book Antiqua" w:eastAsia="Book Antiqua" w:hAnsi="Book Antiqua" w:cs="Book Antiqua"/>
          <w:color w:val="000000"/>
        </w:rPr>
        <w:t>rapid urease test</w:t>
      </w:r>
      <w:r>
        <w:rPr>
          <w:rFonts w:ascii="Book Antiqua" w:eastAsia="Book Antiqua" w:hAnsi="Book Antiqua" w:cs="Book Antiqua"/>
          <w:color w:val="000000"/>
        </w:rPr>
        <w:t xml:space="preserve"> was performed to evaluate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w:t>
      </w:r>
    </w:p>
    <w:p w14:paraId="61084DBA" w14:textId="77777777" w:rsidR="00430080" w:rsidRDefault="00430080">
      <w:pPr>
        <w:spacing w:line="360" w:lineRule="auto"/>
        <w:jc w:val="both"/>
        <w:rPr>
          <w:rFonts w:ascii="Book Antiqua" w:hAnsi="Book Antiqua"/>
        </w:rPr>
      </w:pPr>
    </w:p>
    <w:p w14:paraId="169AB64F" w14:textId="77777777" w:rsidR="00430080" w:rsidRDefault="00000000">
      <w:pPr>
        <w:spacing w:line="360" w:lineRule="auto"/>
        <w:jc w:val="both"/>
        <w:rPr>
          <w:rFonts w:ascii="Book Antiqua" w:hAnsi="Book Antiqua"/>
        </w:rPr>
      </w:pPr>
      <w:r>
        <w:rPr>
          <w:rFonts w:ascii="Book Antiqua" w:eastAsia="Book Antiqua" w:hAnsi="Book Antiqua" w:cs="Book Antiqua"/>
          <w:b/>
          <w:bCs/>
          <w:i/>
          <w:iCs/>
          <w:color w:val="000000"/>
        </w:rPr>
        <w:t>Endoscopic patterns and scoring</w:t>
      </w:r>
    </w:p>
    <w:p w14:paraId="4850B117" w14:textId="77777777" w:rsidR="00430080" w:rsidRDefault="00000000">
      <w:pPr>
        <w:spacing w:line="360" w:lineRule="auto"/>
        <w:jc w:val="both"/>
        <w:rPr>
          <w:rFonts w:ascii="Book Antiqua" w:hAnsi="Book Antiqua"/>
        </w:rPr>
      </w:pPr>
      <w:r>
        <w:rPr>
          <w:rFonts w:ascii="Book Antiqua" w:eastAsia="Book Antiqua" w:hAnsi="Book Antiqua" w:cs="Book Antiqua"/>
          <w:color w:val="000000"/>
        </w:rPr>
        <w:t xml:space="preserve">At the time of the endoscopy, the gastric body mucosa of all enrolled patients was photographed using the </w:t>
      </w:r>
      <w:proofErr w:type="spellStart"/>
      <w:r>
        <w:rPr>
          <w:rFonts w:ascii="Book Antiqua" w:eastAsia="Book Antiqua" w:hAnsi="Book Antiqua" w:cs="Book Antiqua"/>
          <w:color w:val="000000"/>
        </w:rPr>
        <w:t>WLE</w:t>
      </w:r>
      <w:proofErr w:type="spellEnd"/>
      <w:r>
        <w:rPr>
          <w:rFonts w:ascii="Book Antiqua" w:eastAsia="Book Antiqua" w:hAnsi="Book Antiqua" w:cs="Book Antiqua"/>
          <w:color w:val="000000"/>
        </w:rPr>
        <w:t xml:space="preserve">, NF, NF-NBI, AA-NF, and AA-NF-NBI modes. Regarding the </w:t>
      </w:r>
      <w:proofErr w:type="spellStart"/>
      <w:r>
        <w:rPr>
          <w:rFonts w:ascii="Book Antiqua" w:eastAsia="Book Antiqua" w:hAnsi="Book Antiqua" w:cs="Book Antiqua"/>
          <w:color w:val="000000"/>
        </w:rPr>
        <w:t>WLE</w:t>
      </w:r>
      <w:proofErr w:type="spellEnd"/>
      <w:r>
        <w:rPr>
          <w:rFonts w:ascii="Book Antiqua" w:eastAsia="Book Antiqua" w:hAnsi="Book Antiqua" w:cs="Book Antiqua"/>
          <w:color w:val="000000"/>
        </w:rPr>
        <w:t xml:space="preserve">, NF and NF-NBI endoscopic modalities, the regular/clear appearance of each mucosa microscopic feature, RAC, </w:t>
      </w:r>
      <w:proofErr w:type="spellStart"/>
      <w:r>
        <w:rPr>
          <w:rFonts w:ascii="Book Antiqua" w:eastAsia="Book Antiqua" w:hAnsi="Book Antiqua" w:cs="Book Antiqua"/>
          <w:color w:val="000000"/>
        </w:rPr>
        <w:t>SECN</w:t>
      </w:r>
      <w:proofErr w:type="spellEnd"/>
      <w:r>
        <w:rPr>
          <w:rFonts w:ascii="Book Antiqua" w:eastAsia="Book Antiqua" w:hAnsi="Book Antiqua" w:cs="Book Antiqua"/>
          <w:color w:val="000000"/>
        </w:rPr>
        <w:t>, GP, and CO scored 1 point. The unclear appearance of each scored a half point, and the absence of each scored 0.</w:t>
      </w:r>
    </w:p>
    <w:p w14:paraId="5AA6A8A1" w14:textId="77777777" w:rsidR="00430080"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In relation to the </w:t>
      </w:r>
      <w:proofErr w:type="spellStart"/>
      <w:r>
        <w:rPr>
          <w:rFonts w:ascii="Book Antiqua" w:eastAsia="Book Antiqua" w:hAnsi="Book Antiqua" w:cs="Book Antiqua"/>
          <w:color w:val="000000"/>
        </w:rPr>
        <w:t>WLE</w:t>
      </w:r>
      <w:proofErr w:type="spellEnd"/>
      <w:r>
        <w:rPr>
          <w:rFonts w:ascii="Book Antiqua" w:eastAsia="Book Antiqua" w:hAnsi="Book Antiqua" w:cs="Book Antiqua"/>
          <w:color w:val="000000"/>
        </w:rPr>
        <w:t xml:space="preserve"> mode, the </w:t>
      </w:r>
      <w:proofErr w:type="spellStart"/>
      <w:r>
        <w:rPr>
          <w:rFonts w:ascii="Book Antiqua" w:eastAsia="Book Antiqua" w:hAnsi="Book Antiqua" w:cs="Book Antiqua"/>
          <w:color w:val="000000"/>
        </w:rPr>
        <w:t>WLE-1a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WLE-2a</w:t>
      </w:r>
      <w:proofErr w:type="spellEnd"/>
      <w:r>
        <w:rPr>
          <w:rFonts w:ascii="Book Antiqua" w:eastAsia="Book Antiqua" w:hAnsi="Book Antiqua" w:cs="Book Antiqua"/>
          <w:color w:val="000000"/>
        </w:rPr>
        <w:t xml:space="preserve"> patterns clearly show the RAC and score 1 point. </w:t>
      </w:r>
      <w:proofErr w:type="spellStart"/>
      <w:r>
        <w:rPr>
          <w:rFonts w:ascii="Book Antiqua" w:eastAsia="Book Antiqua" w:hAnsi="Book Antiqua" w:cs="Book Antiqua"/>
          <w:color w:val="000000"/>
        </w:rPr>
        <w:t>WLE-2a</w:t>
      </w:r>
      <w:proofErr w:type="spellEnd"/>
      <w:r>
        <w:rPr>
          <w:rFonts w:ascii="Book Antiqua" w:eastAsia="Book Antiqua" w:hAnsi="Book Antiqua" w:cs="Book Antiqua"/>
          <w:color w:val="000000"/>
        </w:rPr>
        <w:t xml:space="preserve"> presents a faded appearance of the RAC. The </w:t>
      </w:r>
      <w:proofErr w:type="spellStart"/>
      <w:r>
        <w:rPr>
          <w:rFonts w:ascii="Book Antiqua" w:eastAsia="Book Antiqua" w:hAnsi="Book Antiqua" w:cs="Book Antiqua"/>
          <w:color w:val="000000"/>
        </w:rPr>
        <w:t>WLE</w:t>
      </w:r>
      <w:proofErr w:type="spellEnd"/>
      <w:r>
        <w:rPr>
          <w:rFonts w:ascii="Book Antiqua" w:eastAsia="Book Antiqua" w:hAnsi="Book Antiqua" w:cs="Book Antiqua"/>
          <w:color w:val="000000"/>
        </w:rPr>
        <w:t xml:space="preserve">-b pattern shows the RAC less clearly and scores a half point. The </w:t>
      </w:r>
      <w:proofErr w:type="spellStart"/>
      <w:r>
        <w:rPr>
          <w:rFonts w:ascii="Book Antiqua" w:eastAsia="Book Antiqua" w:hAnsi="Book Antiqua" w:cs="Book Antiqua"/>
          <w:color w:val="000000"/>
        </w:rPr>
        <w:t>WLE</w:t>
      </w:r>
      <w:proofErr w:type="spellEnd"/>
      <w:r>
        <w:rPr>
          <w:rFonts w:ascii="Book Antiqua" w:eastAsia="Book Antiqua" w:hAnsi="Book Antiqua" w:cs="Book Antiqua"/>
          <w:color w:val="000000"/>
        </w:rPr>
        <w:t>-c pattern does not show the RAC and scores 0 (Figure 1).</w:t>
      </w:r>
    </w:p>
    <w:p w14:paraId="46A00A32" w14:textId="77777777" w:rsidR="00430080"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With reference to the NF magnification, the NF-a pattern clearly shows the RAC, </w:t>
      </w:r>
      <w:proofErr w:type="spellStart"/>
      <w:r>
        <w:rPr>
          <w:rFonts w:ascii="Book Antiqua" w:eastAsia="Book Antiqua" w:hAnsi="Book Antiqua" w:cs="Book Antiqua"/>
          <w:color w:val="000000"/>
        </w:rPr>
        <w:t>SECN</w:t>
      </w:r>
      <w:proofErr w:type="spellEnd"/>
      <w:r>
        <w:rPr>
          <w:rFonts w:ascii="Book Antiqua" w:eastAsia="Book Antiqua" w:hAnsi="Book Antiqua" w:cs="Book Antiqua"/>
          <w:color w:val="000000"/>
        </w:rPr>
        <w:t xml:space="preserve">, and GP and scores 3 points. The NF-b pattern shows the RAC less clearly but clearly shows the </w:t>
      </w:r>
      <w:proofErr w:type="spellStart"/>
      <w:r>
        <w:rPr>
          <w:rFonts w:ascii="Book Antiqua" w:eastAsia="Book Antiqua" w:hAnsi="Book Antiqua" w:cs="Book Antiqua"/>
          <w:color w:val="000000"/>
        </w:rPr>
        <w:t>SECN</w:t>
      </w:r>
      <w:proofErr w:type="spellEnd"/>
      <w:r>
        <w:rPr>
          <w:rFonts w:ascii="Book Antiqua" w:eastAsia="Book Antiqua" w:hAnsi="Book Antiqua" w:cs="Book Antiqua"/>
          <w:color w:val="000000"/>
        </w:rPr>
        <w:t xml:space="preserve"> and GP and scores 2.5 points. The NF-c pattern does not show the RAC but clearly shows the </w:t>
      </w:r>
      <w:proofErr w:type="spellStart"/>
      <w:r>
        <w:rPr>
          <w:rFonts w:ascii="Book Antiqua" w:eastAsia="Book Antiqua" w:hAnsi="Book Antiqua" w:cs="Book Antiqua"/>
          <w:color w:val="000000"/>
        </w:rPr>
        <w:t>SECN</w:t>
      </w:r>
      <w:proofErr w:type="spellEnd"/>
      <w:r>
        <w:rPr>
          <w:rFonts w:ascii="Book Antiqua" w:eastAsia="Book Antiqua" w:hAnsi="Book Antiqua" w:cs="Book Antiqua"/>
          <w:color w:val="000000"/>
        </w:rPr>
        <w:t xml:space="preserve"> and GP and scores 2 points (Figure 2).</w:t>
      </w:r>
    </w:p>
    <w:p w14:paraId="04B3F49D" w14:textId="77777777" w:rsidR="00430080" w:rsidRDefault="00000000">
      <w:pPr>
        <w:spacing w:line="360" w:lineRule="auto"/>
        <w:ind w:firstLine="240"/>
        <w:jc w:val="both"/>
        <w:rPr>
          <w:rFonts w:ascii="Book Antiqua" w:hAnsi="Book Antiqua"/>
        </w:rPr>
      </w:pPr>
      <w:r>
        <w:rPr>
          <w:rFonts w:ascii="Book Antiqua" w:eastAsia="Book Antiqua" w:hAnsi="Book Antiqua" w:cs="Book Antiqua"/>
          <w:color w:val="000000"/>
        </w:rPr>
        <w:t>Regarding the NF-NBI endoscopic visualization, the NF-NBI-</w:t>
      </w:r>
      <w:proofErr w:type="spellStart"/>
      <w:r>
        <w:rPr>
          <w:rFonts w:ascii="Book Antiqua" w:eastAsia="Book Antiqua" w:hAnsi="Book Antiqua" w:cs="Book Antiqua"/>
          <w:color w:val="000000"/>
        </w:rPr>
        <w:t>1a</w:t>
      </w:r>
      <w:proofErr w:type="spellEnd"/>
      <w:r>
        <w:rPr>
          <w:rFonts w:ascii="Book Antiqua" w:eastAsia="Book Antiqua" w:hAnsi="Book Antiqua" w:cs="Book Antiqua"/>
          <w:color w:val="000000"/>
        </w:rPr>
        <w:t xml:space="preserve"> and NF-NBI-</w:t>
      </w:r>
      <w:proofErr w:type="spellStart"/>
      <w:r>
        <w:rPr>
          <w:rFonts w:ascii="Book Antiqua" w:eastAsia="Book Antiqua" w:hAnsi="Book Antiqua" w:cs="Book Antiqua"/>
          <w:color w:val="000000"/>
        </w:rPr>
        <w:t>2a</w:t>
      </w:r>
      <w:proofErr w:type="spellEnd"/>
      <w:r>
        <w:rPr>
          <w:rFonts w:ascii="Book Antiqua" w:eastAsia="Book Antiqua" w:hAnsi="Book Antiqua" w:cs="Book Antiqua"/>
          <w:color w:val="000000"/>
        </w:rPr>
        <w:t xml:space="preserve"> patterns clearly show the RAC, </w:t>
      </w:r>
      <w:proofErr w:type="spellStart"/>
      <w:r>
        <w:rPr>
          <w:rFonts w:ascii="Book Antiqua" w:eastAsia="Book Antiqua" w:hAnsi="Book Antiqua" w:cs="Book Antiqua"/>
          <w:color w:val="000000"/>
        </w:rPr>
        <w:t>SECN</w:t>
      </w:r>
      <w:proofErr w:type="spellEnd"/>
      <w:r>
        <w:rPr>
          <w:rFonts w:ascii="Book Antiqua" w:eastAsia="Book Antiqua" w:hAnsi="Book Antiqua" w:cs="Book Antiqua"/>
          <w:color w:val="000000"/>
        </w:rPr>
        <w:t xml:space="preserve">, GP, and CO and score 4 points. The </w:t>
      </w:r>
      <w:proofErr w:type="spellStart"/>
      <w:r>
        <w:rPr>
          <w:rFonts w:ascii="Book Antiqua" w:eastAsia="Book Antiqua" w:hAnsi="Book Antiqua" w:cs="Book Antiqua"/>
          <w:color w:val="000000"/>
        </w:rPr>
        <w:t>2a</w:t>
      </w:r>
      <w:proofErr w:type="spellEnd"/>
      <w:r>
        <w:rPr>
          <w:rFonts w:ascii="Book Antiqua" w:eastAsia="Book Antiqua" w:hAnsi="Book Antiqua" w:cs="Book Antiqua"/>
          <w:color w:val="000000"/>
        </w:rPr>
        <w:t xml:space="preserve"> pattern has less distribution of the RAC and a slightly enlarged GP and CO than the </w:t>
      </w:r>
      <w:proofErr w:type="spellStart"/>
      <w:r>
        <w:rPr>
          <w:rFonts w:ascii="Book Antiqua" w:eastAsia="Book Antiqua" w:hAnsi="Book Antiqua" w:cs="Book Antiqua"/>
          <w:color w:val="000000"/>
        </w:rPr>
        <w:t>1a</w:t>
      </w:r>
      <w:proofErr w:type="spellEnd"/>
      <w:r>
        <w:rPr>
          <w:rFonts w:ascii="Book Antiqua" w:eastAsia="Book Antiqua" w:hAnsi="Book Antiqua" w:cs="Book Antiqua"/>
          <w:color w:val="000000"/>
        </w:rPr>
        <w:t xml:space="preserve"> pattern. The NF-NBI-b pattern does not show the RAC, clearly shows the </w:t>
      </w:r>
      <w:proofErr w:type="spellStart"/>
      <w:r>
        <w:rPr>
          <w:rFonts w:ascii="Book Antiqua" w:eastAsia="Book Antiqua" w:hAnsi="Book Antiqua" w:cs="Book Antiqua"/>
          <w:color w:val="000000"/>
        </w:rPr>
        <w:t>SECN</w:t>
      </w:r>
      <w:proofErr w:type="spellEnd"/>
      <w:r>
        <w:rPr>
          <w:rFonts w:ascii="Book Antiqua" w:eastAsia="Book Antiqua" w:hAnsi="Book Antiqua" w:cs="Book Antiqua"/>
          <w:color w:val="000000"/>
        </w:rPr>
        <w:t xml:space="preserve"> and GP, and shows the CO less clearly and scores 2.5 points (Figure 3).</w:t>
      </w:r>
    </w:p>
    <w:p w14:paraId="06BBD35A" w14:textId="77777777" w:rsidR="00430080"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According to the scoring rules, one pattern could score the most points (4) (clear presence of all microscopic features) or the least number of points (0) (absence of all microscopic features). After enhancing the area of observation with AA, a pattern was suddenly visible on the AA-NF and AA-NF-NBI containing CO and IP. On the AA-NF mode, the pattern shows small, brown, oval CO and light white IP. On the AA-NF-NBI mode, the pattern shows small, black, oval CO and dense white IP (Figure 4). The strong contrast between the CO regarding the shape/size and the IP on these two patterns </w:t>
      </w:r>
      <w:r>
        <w:rPr>
          <w:rFonts w:ascii="Book Antiqua" w:eastAsia="Book Antiqua" w:hAnsi="Book Antiqua" w:cs="Book Antiqua"/>
          <w:color w:val="000000"/>
        </w:rPr>
        <w:lastRenderedPageBreak/>
        <w:t xml:space="preserve">within the same patient is graded as </w:t>
      </w:r>
      <w:proofErr w:type="gramStart"/>
      <w:r>
        <w:rPr>
          <w:rFonts w:ascii="Book Antiqua" w:eastAsia="Book Antiqua" w:hAnsi="Book Antiqua" w:cs="Book Antiqua"/>
          <w:color w:val="000000"/>
        </w:rPr>
        <w:t>1 point</w:t>
      </w:r>
      <w:proofErr w:type="gramEnd"/>
      <w:r>
        <w:rPr>
          <w:rFonts w:ascii="Book Antiqua" w:eastAsia="Book Antiqua" w:hAnsi="Book Antiqua" w:cs="Book Antiqua"/>
          <w:color w:val="000000"/>
        </w:rPr>
        <w:t>, medium contrast is graded as 0.5 points, and low contrast is graded as 0 points. Endoscopic patterns were observed and scored by three independent endoscopists.</w:t>
      </w:r>
    </w:p>
    <w:p w14:paraId="6EA7CC87" w14:textId="77777777" w:rsidR="00430080" w:rsidRDefault="00430080">
      <w:pPr>
        <w:spacing w:line="360" w:lineRule="auto"/>
        <w:ind w:firstLine="240"/>
        <w:jc w:val="both"/>
        <w:rPr>
          <w:rFonts w:ascii="Book Antiqua" w:hAnsi="Book Antiqua"/>
        </w:rPr>
      </w:pPr>
    </w:p>
    <w:p w14:paraId="365E5705" w14:textId="77777777" w:rsidR="00430080" w:rsidRDefault="00000000">
      <w:pPr>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5C3D3DF2" w14:textId="77777777" w:rsidR="00430080" w:rsidRDefault="00000000">
      <w:pPr>
        <w:spacing w:line="360" w:lineRule="auto"/>
        <w:jc w:val="both"/>
        <w:rPr>
          <w:rFonts w:ascii="Book Antiqua" w:hAnsi="Book Antiqua"/>
        </w:rPr>
      </w:pPr>
      <w:r>
        <w:rPr>
          <w:rFonts w:ascii="Book Antiqua" w:eastAsia="Book Antiqua" w:hAnsi="Book Antiqua" w:cs="Book Antiqua"/>
          <w:color w:val="000000"/>
        </w:rPr>
        <w:t xml:space="preserve">The differences between the scoring of each endoscopic modality for all observers were compared using the Wilcoxon Matched Pairs Test.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&lt; 0.05 were considered significant. The interobserver diagnostic agreement was analyzed with a kappa value. In theory, perfect disagreement has a kappa value of -1, and perfect agreement has a kappa value of +1. A value of 0 means an agreement by chance alone. As per the Landis and Koch scale, kappa values were graded as follows: 0.01-0.20 slight; 0.21-0.40 fair; 0.41-0.60 moderate; 0.61-0.80 substantial; and 0.81-1.00 almost perfect. Cohen’s suggested interpretation may be too lenient for health-related studies because it implies that a score as low as 0.41 might be </w:t>
      </w:r>
      <w:proofErr w:type="gramStart"/>
      <w:r>
        <w:rPr>
          <w:rFonts w:ascii="Book Antiqua" w:eastAsia="Book Antiqua" w:hAnsi="Book Antiqua" w:cs="Book Antiqua"/>
          <w:color w:val="000000"/>
        </w:rPr>
        <w:t>acceptable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9,14,20]</w:t>
      </w:r>
      <w:r>
        <w:rPr>
          <w:rFonts w:ascii="Book Antiqua" w:eastAsia="Book Antiqua" w:hAnsi="Book Antiqua" w:cs="Book Antiqua"/>
          <w:color w:val="000000"/>
        </w:rPr>
        <w:t>. Data were analyzed using SPSS 23 (IBM, United States).</w:t>
      </w:r>
    </w:p>
    <w:p w14:paraId="347E52AB" w14:textId="77777777" w:rsidR="00430080" w:rsidRDefault="00430080">
      <w:pPr>
        <w:spacing w:line="360" w:lineRule="auto"/>
        <w:jc w:val="both"/>
        <w:rPr>
          <w:rFonts w:ascii="Book Antiqua" w:hAnsi="Book Antiqua"/>
        </w:rPr>
      </w:pPr>
    </w:p>
    <w:p w14:paraId="6D363738" w14:textId="77777777" w:rsidR="00430080"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53F15C06" w14:textId="77777777" w:rsidR="00430080" w:rsidRDefault="00000000">
      <w:pPr>
        <w:spacing w:line="360" w:lineRule="auto"/>
        <w:jc w:val="both"/>
        <w:rPr>
          <w:rFonts w:ascii="Book Antiqua" w:hAnsi="Book Antiqua"/>
        </w:rPr>
      </w:pPr>
      <w:r>
        <w:rPr>
          <w:rFonts w:ascii="Book Antiqua" w:eastAsia="Book Antiqua" w:hAnsi="Book Antiqua" w:cs="Book Antiqua"/>
          <w:color w:val="000000"/>
        </w:rPr>
        <w:t>After meeting the criteria of long-term epigastric discomfort and non-specific abdominal pain, the study initially included 74 patients. During the endoscopy, 4 patients (three male, one female) did not undergo NF magnification due to 1 patient having benign stenosis of the distal esophagus, 1 patient having cancer of the cardia, and 2 patients having pyloric stenosis. Two patients (one male, one female) were excluded due to severe bile reflux.</w:t>
      </w:r>
    </w:p>
    <w:p w14:paraId="6D64359B" w14:textId="77777777" w:rsidR="00430080"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Finally, 68 patients underwent proximal gastrointestinal endoscopy using the </w:t>
      </w:r>
      <w:proofErr w:type="spellStart"/>
      <w:r>
        <w:rPr>
          <w:rFonts w:ascii="Book Antiqua" w:eastAsia="Book Antiqua" w:hAnsi="Book Antiqua" w:cs="Book Antiqua"/>
          <w:color w:val="000000"/>
        </w:rPr>
        <w:t>WLE</w:t>
      </w:r>
      <w:proofErr w:type="spellEnd"/>
      <w:r>
        <w:rPr>
          <w:rFonts w:ascii="Book Antiqua" w:eastAsia="Book Antiqua" w:hAnsi="Book Antiqua" w:cs="Book Antiqua"/>
          <w:color w:val="000000"/>
        </w:rPr>
        <w:t xml:space="preserve">, NF and NF-NBI modes to analyze the microscopic features of the gastric body mucosa. The images from all patients (204 images in total) were classified in the same order into three groups in relation to the above endoscopic modality by endoscopist AK. They were observed separately and scored by two experienced endoscopists, </w:t>
      </w:r>
      <w:proofErr w:type="spellStart"/>
      <w:r>
        <w:rPr>
          <w:rFonts w:ascii="Book Antiqua" w:eastAsia="Book Antiqua" w:hAnsi="Book Antiqua" w:cs="Book Antiqua"/>
          <w:color w:val="000000"/>
        </w:rPr>
        <w:t>JF</w:t>
      </w:r>
      <w:proofErr w:type="spellEnd"/>
      <w:r>
        <w:rPr>
          <w:rFonts w:ascii="Book Antiqua" w:eastAsia="Book Antiqua" w:hAnsi="Book Antiqua" w:cs="Book Antiqua"/>
          <w:color w:val="000000"/>
        </w:rPr>
        <w:t xml:space="preserve"> (observer I) and PJ (observer II), and one inexperienced endoscopist, OZ (observer III).</w:t>
      </w:r>
    </w:p>
    <w:p w14:paraId="38697CEF" w14:textId="77777777" w:rsidR="00430080" w:rsidRDefault="00000000">
      <w:pPr>
        <w:spacing w:line="360" w:lineRule="auto"/>
        <w:ind w:firstLine="240"/>
        <w:jc w:val="both"/>
        <w:rPr>
          <w:rFonts w:ascii="Book Antiqua" w:hAnsi="Book Antiqua"/>
        </w:rPr>
      </w:pPr>
      <w:r>
        <w:rPr>
          <w:rFonts w:ascii="Book Antiqua" w:eastAsia="Book Antiqua" w:hAnsi="Book Antiqua" w:cs="Book Antiqua"/>
          <w:color w:val="000000"/>
        </w:rPr>
        <w:lastRenderedPageBreak/>
        <w:t>Moreover, after applying AA in the area of observation, the CO and IP were suddenly visible. Regarding the AA-NF and AA-NF-NBI endoscopic modes, 136 images (2 images per patient) were classified in the same order. The contrast between the CO and IP in the same patient was observed and graded separately by the three observers. All observers had previously passed a live course regarding NF magnification and NBI chromoendoscopy mode with AA enhancing. The course was based on the 12 endoscopic patterns that would form part of this study. Each pattern presented with ten images.</w:t>
      </w:r>
    </w:p>
    <w:p w14:paraId="41EABFF4" w14:textId="77777777" w:rsidR="00430080"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 frequency and scoring for the </w:t>
      </w:r>
      <w:proofErr w:type="spellStart"/>
      <w:r>
        <w:rPr>
          <w:rFonts w:ascii="Book Antiqua" w:eastAsia="Book Antiqua" w:hAnsi="Book Antiqua" w:cs="Book Antiqua"/>
          <w:color w:val="000000"/>
        </w:rPr>
        <w:t>WLE</w:t>
      </w:r>
      <w:proofErr w:type="spellEnd"/>
      <w:r>
        <w:rPr>
          <w:rFonts w:ascii="Book Antiqua" w:eastAsia="Book Antiqua" w:hAnsi="Book Antiqua" w:cs="Book Antiqua"/>
          <w:color w:val="000000"/>
        </w:rPr>
        <w:t xml:space="preserve">, NF, and NF-NBI endoscopic modalities from the point of view of all three observers are shown in Table 1. According to the experienced observers (observer I and observer II), NF magnification was significantly superior to </w:t>
      </w:r>
      <w:proofErr w:type="spellStart"/>
      <w:r>
        <w:rPr>
          <w:rFonts w:ascii="Book Antiqua" w:eastAsia="Book Antiqua" w:hAnsi="Book Antiqua" w:cs="Book Antiqua"/>
          <w:color w:val="000000"/>
        </w:rPr>
        <w:t>WLE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and the NF-NBI mode was significantly superior to NF magnification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Regarding the third inexperienced observer, NF magnification was significantly superior to </w:t>
      </w:r>
      <w:proofErr w:type="spellStart"/>
      <w:r>
        <w:rPr>
          <w:rFonts w:ascii="Book Antiqua" w:eastAsia="Book Antiqua" w:hAnsi="Book Antiqua" w:cs="Book Antiqua"/>
          <w:color w:val="000000"/>
        </w:rPr>
        <w:t>WLE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and the NF-NBI mode was significantly superior to the NF magnification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w:t>
      </w:r>
    </w:p>
    <w:p w14:paraId="65D2D964" w14:textId="77777777" w:rsidR="00430080" w:rsidRDefault="00000000">
      <w:pPr>
        <w:spacing w:line="360" w:lineRule="auto"/>
        <w:ind w:firstLine="240"/>
        <w:jc w:val="both"/>
        <w:rPr>
          <w:rFonts w:ascii="Book Antiqua" w:hAnsi="Book Antiqua"/>
        </w:rPr>
      </w:pPr>
      <w:r>
        <w:rPr>
          <w:rFonts w:ascii="Book Antiqua" w:eastAsia="Book Antiqua" w:hAnsi="Book Antiqua" w:cs="Book Antiqua"/>
          <w:color w:val="000000"/>
        </w:rPr>
        <w:t>The frequency and scoring for the AA-NF and AA-NF-NBI endoscopic modalities from the point of view of all three observers are shown in Table 2. According to the experienced observers (observer I and observer II), AA-NF-NBI was significantly superior to AA-NF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For the third inexperienced observer, AA-NF-NBI was significantly superior to AA-NF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w:t>
      </w:r>
    </w:p>
    <w:p w14:paraId="64EAC4CA" w14:textId="77777777" w:rsidR="00430080"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 interobserver diagnostic agreement for all five endoscopic modalities was analyzed with a kappa value. Interobserver kappa values for </w:t>
      </w:r>
      <w:proofErr w:type="spellStart"/>
      <w:r>
        <w:rPr>
          <w:rFonts w:ascii="Book Antiqua" w:eastAsia="Book Antiqua" w:hAnsi="Book Antiqua" w:cs="Book Antiqua"/>
          <w:color w:val="000000"/>
        </w:rPr>
        <w:t>WLE</w:t>
      </w:r>
      <w:proofErr w:type="spellEnd"/>
      <w:r>
        <w:rPr>
          <w:rFonts w:ascii="Book Antiqua" w:eastAsia="Book Antiqua" w:hAnsi="Book Antiqua" w:cs="Book Antiqua"/>
          <w:color w:val="000000"/>
        </w:rPr>
        <w:t xml:space="preserve"> were 0.609 for observer I and observer II, 0.704 for observer I and observer III, and 0.598 for observer II and observer III. Interobserver kappa values for NF magnification were 0.600 for observer I and observer II, 0.721 for observer I and observer III, and 0.637 for observer II and observer III. Interobserver kappa values for the NF-NBI mode were 0.378 for observer I and observer II, 0.471 for observer I and observer III, and 0.553 for observer II and observer III. Interobserver kappa values for AA-NF were 0.453 for observer I and observer II, 0.603 for observer I and observer III, and 0.480 for observer II and observer </w:t>
      </w:r>
      <w:r>
        <w:rPr>
          <w:rFonts w:ascii="Book Antiqua" w:eastAsia="Book Antiqua" w:hAnsi="Book Antiqua" w:cs="Book Antiqua"/>
          <w:color w:val="000000"/>
        </w:rPr>
        <w:lastRenderedPageBreak/>
        <w:t>III. Interobserver kappa values for AA-NF-NBI were 0.643 for observer I and observer II, 0.506 for observer I and observer III, and 0.354 for observer II and observer III.</w:t>
      </w:r>
    </w:p>
    <w:p w14:paraId="1D8C7611" w14:textId="77777777" w:rsidR="00430080" w:rsidRDefault="00430080">
      <w:pPr>
        <w:spacing w:line="360" w:lineRule="auto"/>
        <w:ind w:firstLine="240"/>
        <w:jc w:val="both"/>
        <w:rPr>
          <w:rFonts w:ascii="Book Antiqua" w:hAnsi="Book Antiqua"/>
        </w:rPr>
      </w:pPr>
    </w:p>
    <w:p w14:paraId="309A273E" w14:textId="77777777" w:rsidR="00430080"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24E050CA" w14:textId="77777777" w:rsidR="00430080" w:rsidRDefault="00000000">
      <w:pPr>
        <w:spacing w:line="360" w:lineRule="auto"/>
        <w:jc w:val="both"/>
        <w:rPr>
          <w:rFonts w:ascii="Book Antiqua" w:hAnsi="Book Antiqua"/>
        </w:rPr>
      </w:pPr>
      <w:r>
        <w:rPr>
          <w:rFonts w:ascii="Book Antiqua" w:eastAsia="Book Antiqua" w:hAnsi="Book Antiqua" w:cs="Book Antiqua"/>
          <w:color w:val="000000"/>
        </w:rPr>
        <w:t xml:space="preserve">According to the results of our research into the investigation of gastric mucosa at a detailed microscopic level, NF-NBI was the most powerful endoscopic mode for evaluating the RAC, </w:t>
      </w:r>
      <w:proofErr w:type="spellStart"/>
      <w:r>
        <w:rPr>
          <w:rFonts w:ascii="Book Antiqua" w:eastAsia="Book Antiqua" w:hAnsi="Book Antiqua" w:cs="Book Antiqua"/>
          <w:color w:val="000000"/>
        </w:rPr>
        <w:t>SECN</w:t>
      </w:r>
      <w:proofErr w:type="spellEnd"/>
      <w:r>
        <w:rPr>
          <w:rFonts w:ascii="Book Antiqua" w:eastAsia="Book Antiqua" w:hAnsi="Book Antiqua" w:cs="Book Antiqua"/>
          <w:color w:val="000000"/>
        </w:rPr>
        <w:t xml:space="preserve">, and GP, and AA-NF-NBI was the most powerful endoscopic mode for analyzing the CO and IP. There have been many advances in endoscopic imaging technologies. Standard definition endoscopy produces image signals with a resolution of 100000-400000 pixels. High-resolution or high-definition endoscopy produces image signals with a resolution of up to 1000000 pixels, which has the same effect as visualizing a surface at a 30-35-fold magnification. A novel IEE technique is electronic chromoendoscopy, which includes NBI,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-Scan, and flexible spectral imaging color enhancement. Over the last 15 years, NBI has been used most in clinical practice. However, it is too dark to identify the color and structural mucosal changes in organs with a large lumen, such as the stomach. Therefore, these should be combined with </w:t>
      </w:r>
      <w:proofErr w:type="gramStart"/>
      <w:r>
        <w:rPr>
          <w:rFonts w:ascii="Book Antiqua" w:eastAsia="Book Antiqua" w:hAnsi="Book Antiqua" w:cs="Book Antiqua"/>
          <w:color w:val="000000"/>
        </w:rPr>
        <w:t>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1,6,8,14]</w:t>
      </w:r>
      <w:r>
        <w:rPr>
          <w:rFonts w:ascii="Book Antiqua" w:eastAsia="Book Antiqua" w:hAnsi="Book Antiqua" w:cs="Book Antiqua"/>
          <w:color w:val="000000"/>
        </w:rPr>
        <w:t>.</w:t>
      </w:r>
    </w:p>
    <w:p w14:paraId="4C881200" w14:textId="77777777" w:rsidR="00430080"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Over the last two decades, conventional ME was carried out with a soft rubber. Before the procedure, soft black rubber was attached at the top of the scope. In this way, the area of interest was magnified, However, the view for normal observation was reduced. Magnification with soft rubber requires skill and special training. For this reason, ME is not frequently used in Western </w:t>
      </w:r>
      <w:proofErr w:type="gramStart"/>
      <w:r>
        <w:rPr>
          <w:rFonts w:ascii="Book Antiqua" w:eastAsia="Book Antiqua" w:hAnsi="Book Antiqua" w:cs="Book Antiqua"/>
          <w:color w:val="000000"/>
        </w:rPr>
        <w:t>countries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1-4,6]</w:t>
      </w:r>
      <w:r>
        <w:rPr>
          <w:rFonts w:ascii="Book Antiqua" w:eastAsia="Book Antiqua" w:hAnsi="Book Antiqua" w:cs="Book Antiqua"/>
          <w:color w:val="000000"/>
        </w:rPr>
        <w:t>.</w:t>
      </w:r>
    </w:p>
    <w:p w14:paraId="1B2761D2" w14:textId="77777777" w:rsidR="00430080"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Several studies using high-definition endoscopy, IEE, conventional magnifying, and histopathology have confirmed the normal appearance of gastric body mucosa with the RAC, </w:t>
      </w:r>
      <w:proofErr w:type="spellStart"/>
      <w:r>
        <w:rPr>
          <w:rFonts w:ascii="Book Antiqua" w:eastAsia="Book Antiqua" w:hAnsi="Book Antiqua" w:cs="Book Antiqua"/>
          <w:color w:val="000000"/>
        </w:rPr>
        <w:t>SECN</w:t>
      </w:r>
      <w:proofErr w:type="spellEnd"/>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GP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1-3,6-8,21-25]</w:t>
      </w:r>
      <w:r>
        <w:rPr>
          <w:rFonts w:ascii="Book Antiqua" w:eastAsia="Book Antiqua" w:hAnsi="Book Antiqua" w:cs="Book Antiqua"/>
          <w:color w:val="000000"/>
        </w:rPr>
        <w:t xml:space="preserve">. In our study, we successfully replaced conventional ME with the dual focus (NF magnification). Regarding our results, all three observers noted independently that the NF magnification showed a higher power of visualization than </w:t>
      </w:r>
      <w:proofErr w:type="spellStart"/>
      <w:r>
        <w:rPr>
          <w:rFonts w:ascii="Book Antiqua" w:eastAsia="Book Antiqua" w:hAnsi="Book Antiqua" w:cs="Book Antiqua"/>
          <w:color w:val="000000"/>
        </w:rPr>
        <w:t>WLE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NF magnification from the point of view of all three observers assessed the microscopic features of the gastric body mucosa, such as the RAC at 94%, 95%, and </w:t>
      </w:r>
      <w:r>
        <w:rPr>
          <w:rFonts w:ascii="Book Antiqua" w:eastAsia="Book Antiqua" w:hAnsi="Book Antiqua" w:cs="Book Antiqua"/>
          <w:color w:val="000000"/>
        </w:rPr>
        <w:lastRenderedPageBreak/>
        <w:t xml:space="preserve">92%, respectively, and the </w:t>
      </w:r>
      <w:proofErr w:type="spellStart"/>
      <w:r>
        <w:rPr>
          <w:rFonts w:ascii="Book Antiqua" w:eastAsia="Book Antiqua" w:hAnsi="Book Antiqua" w:cs="Book Antiqua"/>
          <w:color w:val="000000"/>
        </w:rPr>
        <w:t>SECN</w:t>
      </w:r>
      <w:proofErr w:type="spellEnd"/>
      <w:r>
        <w:rPr>
          <w:rFonts w:ascii="Book Antiqua" w:eastAsia="Book Antiqua" w:hAnsi="Book Antiqua" w:cs="Book Antiqua"/>
          <w:color w:val="000000"/>
        </w:rPr>
        <w:t xml:space="preserve"> and GP at 100%, in the same way as it was reported in studies powered by conventional </w:t>
      </w:r>
      <w:proofErr w:type="gramStart"/>
      <w:r>
        <w:rPr>
          <w:rFonts w:ascii="Book Antiqua" w:eastAsia="Book Antiqua" w:hAnsi="Book Antiqua" w:cs="Book Antiqua"/>
          <w:color w:val="000000"/>
        </w:rPr>
        <w:t>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4,22,23]</w:t>
      </w:r>
      <w:r>
        <w:rPr>
          <w:rFonts w:ascii="Book Antiqua" w:eastAsia="Book Antiqua" w:hAnsi="Book Antiqua" w:cs="Book Antiqua"/>
          <w:color w:val="000000"/>
        </w:rPr>
        <w:t>. The diagnostic interobserver agreement for the NF magnification showed a “substantial” level.</w:t>
      </w:r>
    </w:p>
    <w:p w14:paraId="50E06445" w14:textId="77777777" w:rsidR="00430080"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A retrospective study from the United Kingdom demonstrated that NF magnification improved the diagnostic yield of upper gastrointestinal mucosal lesions. However, its usefulness for gastric lesions is </w:t>
      </w:r>
      <w:proofErr w:type="gramStart"/>
      <w:r>
        <w:rPr>
          <w:rFonts w:ascii="Book Antiqua" w:eastAsia="Book Antiqua" w:hAnsi="Book Antiqua" w:cs="Book Antiqua"/>
          <w:color w:val="000000"/>
        </w:rPr>
        <w:t>questionable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In our study, all three observers noted independently that the NF with the NBI showed significantly more power of visualization than the NF magnification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In the NF-NBI mode, from the point of view all three observers, </w:t>
      </w:r>
      <w:proofErr w:type="spellStart"/>
      <w:r>
        <w:rPr>
          <w:rFonts w:ascii="Book Antiqua" w:eastAsia="Book Antiqua" w:hAnsi="Book Antiqua" w:cs="Book Antiqua"/>
          <w:color w:val="000000"/>
        </w:rPr>
        <w:t>SECN</w:t>
      </w:r>
      <w:proofErr w:type="spellEnd"/>
      <w:r>
        <w:rPr>
          <w:rFonts w:ascii="Book Antiqua" w:eastAsia="Book Antiqua" w:hAnsi="Book Antiqua" w:cs="Book Antiqua"/>
          <w:color w:val="000000"/>
        </w:rPr>
        <w:t>, GP, and CO were clearly seen at levels of 95.5%, 97% and 92.6%, respectively. The diagnostic interobserver agreement in relation to the NF-NBI mode from the perspective of the experienced observers (one side) and the third inexperienced observer was at the “moderate” level. The diagnostic interobserver agreement among the experienced observers was at the “fair” level. The clinical explanation could be that NF-NBI “</w:t>
      </w:r>
      <w:proofErr w:type="spellStart"/>
      <w:r>
        <w:rPr>
          <w:rFonts w:ascii="Book Antiqua" w:eastAsia="Book Antiqua" w:hAnsi="Book Antiqua" w:cs="Book Antiqua"/>
          <w:color w:val="000000"/>
        </w:rPr>
        <w:t>1a</w:t>
      </w:r>
      <w:proofErr w:type="spellEnd"/>
      <w:r>
        <w:rPr>
          <w:rFonts w:ascii="Book Antiqua" w:eastAsia="Book Antiqua" w:hAnsi="Book Antiqua" w:cs="Book Antiqua"/>
          <w:color w:val="000000"/>
        </w:rPr>
        <w:t>” and “</w:t>
      </w:r>
      <w:proofErr w:type="spellStart"/>
      <w:r>
        <w:rPr>
          <w:rFonts w:ascii="Book Antiqua" w:eastAsia="Book Antiqua" w:hAnsi="Book Antiqua" w:cs="Book Antiqua"/>
          <w:color w:val="000000"/>
        </w:rPr>
        <w:t>1b</w:t>
      </w:r>
      <w:proofErr w:type="spellEnd"/>
      <w:r>
        <w:rPr>
          <w:rFonts w:ascii="Book Antiqua" w:eastAsia="Book Antiqua" w:hAnsi="Book Antiqua" w:cs="Book Antiqua"/>
          <w:color w:val="000000"/>
        </w:rPr>
        <w:t>” patterns were scored the same and that the differences were qualitative (distribution of the RAC, size of GP and CO).</w:t>
      </w:r>
    </w:p>
    <w:p w14:paraId="4B7380A2" w14:textId="77777777" w:rsidR="00430080"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In the progression of gastric-related diseases, microscopic features of the stomach mucosa such as venules, capillary network, and the shape and size of gastric fossa and recess have been structurally changed. For the first time, two studies used the NF-NBI mode in the stomach for the evaluation of a tumor lesion and its </w:t>
      </w:r>
      <w:proofErr w:type="gramStart"/>
      <w:r>
        <w:rPr>
          <w:rFonts w:ascii="Book Antiqua" w:eastAsia="Book Antiqua" w:hAnsi="Book Antiqua" w:cs="Book Antiqua"/>
          <w:color w:val="000000"/>
        </w:rPr>
        <w:t>margin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16,17]</w:t>
      </w:r>
      <w:r>
        <w:rPr>
          <w:rFonts w:ascii="Book Antiqua" w:eastAsia="Book Antiqua" w:hAnsi="Book Antiqua" w:cs="Book Antiqua"/>
          <w:color w:val="000000"/>
        </w:rPr>
        <w:t xml:space="preserve">. The role of the NF-NBI mode has been assessed recently for atrophic gastritis, according to the Kimura-Takemoto classification and intestinal metaplasia (tubular/granular GP pattern of the </w:t>
      </w:r>
      <w:proofErr w:type="gramStart"/>
      <w:r>
        <w:rPr>
          <w:rFonts w:ascii="Book Antiqua" w:eastAsia="Book Antiqua" w:hAnsi="Book Antiqua" w:cs="Book Antiqua"/>
          <w:color w:val="000000"/>
        </w:rPr>
        <w:t>corpus)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This study considered the shape of the GP without analyzing the RAC, </w:t>
      </w:r>
      <w:proofErr w:type="spellStart"/>
      <w:r>
        <w:rPr>
          <w:rFonts w:ascii="Book Antiqua" w:eastAsia="Book Antiqua" w:hAnsi="Book Antiqua" w:cs="Book Antiqua"/>
          <w:color w:val="000000"/>
        </w:rPr>
        <w:t>SECN</w:t>
      </w:r>
      <w:proofErr w:type="spellEnd"/>
      <w:r>
        <w:rPr>
          <w:rFonts w:ascii="Book Antiqua" w:eastAsia="Book Antiqua" w:hAnsi="Book Antiqua" w:cs="Book Antiqua"/>
          <w:color w:val="000000"/>
        </w:rPr>
        <w:t>, and CO. In the absence of the previously verified gastric NF-NBI magnification pattern, it could not be an appropriate definition of the pathology pattern.</w:t>
      </w:r>
    </w:p>
    <w:p w14:paraId="291AB154" w14:textId="77777777" w:rsidR="00430080"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In a recently published study by Fiuza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NF magnification was evaluated for the assessment of the mucosal surface pattern in </w:t>
      </w:r>
      <w:r>
        <w:rPr>
          <w:rFonts w:ascii="Book Antiqua" w:eastAsia="Book Antiqua" w:hAnsi="Book Antiqua" w:cs="Book Antiqua"/>
          <w:i/>
          <w:iCs/>
          <w:color w:val="000000"/>
        </w:rPr>
        <w:t>H. pylori</w:t>
      </w:r>
      <w:r>
        <w:rPr>
          <w:rFonts w:ascii="Book Antiqua" w:eastAsia="Book Antiqua" w:hAnsi="Book Antiqua" w:cs="Book Antiqua"/>
          <w:color w:val="000000"/>
        </w:rPr>
        <w:t>-related gastritis. This study used the NF mode without NBI chromoendoscopy and was unable to consider the appearance of the CO.</w:t>
      </w:r>
    </w:p>
    <w:p w14:paraId="00119B44" w14:textId="77777777" w:rsidR="00430080" w:rsidRDefault="00000000">
      <w:pPr>
        <w:spacing w:line="360" w:lineRule="auto"/>
        <w:ind w:firstLine="240"/>
        <w:jc w:val="both"/>
        <w:rPr>
          <w:rFonts w:ascii="Book Antiqua" w:hAnsi="Book Antiqua"/>
        </w:rPr>
      </w:pPr>
      <w:r>
        <w:rPr>
          <w:rFonts w:ascii="Book Antiqua" w:eastAsia="Book Antiqua" w:hAnsi="Book Antiqua" w:cs="Book Antiqua"/>
          <w:color w:val="000000"/>
        </w:rPr>
        <w:lastRenderedPageBreak/>
        <w:t>Conventional ME requires more time, skill, and special endoscopic training. The mechanical addition on the top of the scope (rubber) and the view of visualization becomes less. On the other hand, NF magnification may be easily manipulated, there is no need for the mechanical attachment, the view of visualization remains normal, and as observed in our study NF magnification with NBI chromoendoscopy showed the presence of CO.</w:t>
      </w:r>
    </w:p>
    <w:p w14:paraId="3E7E3893" w14:textId="77777777" w:rsidR="00430080"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 current era of NF magnification endoscopic technology may be contrasted with the research of Cho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who recently used conventional ME for the evaluation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-associated gastritis. The forthcoming studies </w:t>
      </w:r>
      <w:r>
        <w:rPr>
          <w:rFonts w:ascii="Book Antiqua" w:eastAsia="Book Antiqua" w:hAnsi="Book Antiqua" w:cs="Book Antiqua"/>
          <w:i/>
          <w:iCs/>
          <w:color w:val="000000"/>
        </w:rPr>
        <w:t>via</w:t>
      </w:r>
      <w:r>
        <w:rPr>
          <w:rFonts w:ascii="Book Antiqua" w:eastAsia="Book Antiqua" w:hAnsi="Book Antiqua" w:cs="Book Antiqua"/>
          <w:color w:val="000000"/>
        </w:rPr>
        <w:t xml:space="preserve"> NF-NBI endoscopy aim to evaluate the presence/absence of RAC, the regularity/irregularity of </w:t>
      </w:r>
      <w:proofErr w:type="spellStart"/>
      <w:r>
        <w:rPr>
          <w:rFonts w:ascii="Book Antiqua" w:eastAsia="Book Antiqua" w:hAnsi="Book Antiqua" w:cs="Book Antiqua"/>
          <w:color w:val="000000"/>
        </w:rPr>
        <w:t>SECN</w:t>
      </w:r>
      <w:proofErr w:type="spellEnd"/>
      <w:r>
        <w:rPr>
          <w:rFonts w:ascii="Book Antiqua" w:eastAsia="Book Antiqua" w:hAnsi="Book Antiqua" w:cs="Book Antiqua"/>
          <w:color w:val="000000"/>
        </w:rPr>
        <w:t xml:space="preserve">, and the shape and size of the GP and CO in relation to the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intestinal metaplasia, and atrophic gastritis, </w:t>
      </w:r>
      <w:r>
        <w:rPr>
          <w:rFonts w:ascii="Book Antiqua" w:eastAsia="Book Antiqua" w:hAnsi="Book Antiqua" w:cs="Book Antiqua"/>
          <w:i/>
          <w:iCs/>
          <w:color w:val="000000"/>
        </w:rPr>
        <w:t>etc.</w:t>
      </w:r>
    </w:p>
    <w:p w14:paraId="0B4D3414" w14:textId="77777777" w:rsidR="00430080"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In the previous studies, the focus on the CO was less. A study by Kawamura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evaluated the role of conventional ME (without NBI) by analyzing the CO as part of </w:t>
      </w:r>
      <w:r>
        <w:rPr>
          <w:rFonts w:ascii="Book Antiqua" w:eastAsia="Book Antiqua" w:hAnsi="Book Antiqua" w:cs="Book Antiqua"/>
          <w:i/>
          <w:iCs/>
          <w:color w:val="000000"/>
        </w:rPr>
        <w:t>H. pylori</w:t>
      </w:r>
      <w:r>
        <w:rPr>
          <w:rFonts w:ascii="Book Antiqua" w:eastAsia="Book Antiqua" w:hAnsi="Book Antiqua" w:cs="Book Antiqua"/>
          <w:color w:val="000000"/>
        </w:rPr>
        <w:t>-related gastritis. The whiteness of the CO was classified as the “white-edged dark spot” type, the “white” type, and the “dense white pit” type. Regarding our results, the NF-NBI mode assessed the presence of the CO as a black point, but to visualize the CO in more detail, enhancement was carried out using AA. By applying AA in the area of observation, we highlighted a unique pattern containing regular round brown CO and whiteish IP in the normal gastric body mucosa. In the AA-NF-NBI mode, the CO suddenly became black, creating a clear contrast between the CO and IP.</w:t>
      </w:r>
    </w:p>
    <w:p w14:paraId="2BD387C2" w14:textId="77777777" w:rsidR="00430080"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Our results, independently noted by all three observers, showed that AA-NF-NBI was superior to AA-NF. Our results clearly indicate the superiority of the AA-NF-NBI mode in terms of analyzing the shape and size of the CO and IP. The diagnostic interobserver agreement for the AA-NF-NBI mode among the experienced observers was at a “substantial” level. The diagnostic interobserver agreement between the experienced observers (one side) and the third inexperienced observer was at the “moderate” level and “fair” level, respectively. An explanation for this could be that there was no question </w:t>
      </w:r>
      <w:r>
        <w:rPr>
          <w:rFonts w:ascii="Book Antiqua" w:eastAsia="Book Antiqua" w:hAnsi="Book Antiqua" w:cs="Book Antiqua"/>
          <w:color w:val="000000"/>
        </w:rPr>
        <w:lastRenderedPageBreak/>
        <w:t>about the existence of the contrast and that the discrepancy related to the grade of the contrast between the CO and IP.</w:t>
      </w:r>
    </w:p>
    <w:p w14:paraId="6D0BE28F" w14:textId="77777777" w:rsidR="00430080" w:rsidRDefault="00000000">
      <w:pPr>
        <w:spacing w:line="360" w:lineRule="auto"/>
        <w:ind w:firstLine="240"/>
        <w:jc w:val="both"/>
        <w:rPr>
          <w:rFonts w:ascii="Book Antiqua" w:hAnsi="Book Antiqua"/>
        </w:rPr>
      </w:pPr>
      <w:r>
        <w:rPr>
          <w:rFonts w:ascii="Book Antiqua" w:eastAsia="Book Antiqua" w:hAnsi="Book Antiqua" w:cs="Book Antiqua"/>
          <w:color w:val="000000"/>
        </w:rPr>
        <w:t>One limitation of this study (as well as other studies related to this issue) was the relatively small number of patients included. Additional research (preferably randomized trials or prospective collaborative studies) is required to improve the endoscopic investigation of gastric mucosa at a detailed microscopic level and to create the conditions for a better diagnosis and treatment of these diseases.</w:t>
      </w:r>
    </w:p>
    <w:p w14:paraId="7BFF73EB" w14:textId="77777777" w:rsidR="00430080" w:rsidRDefault="00430080">
      <w:pPr>
        <w:spacing w:line="360" w:lineRule="auto"/>
        <w:jc w:val="both"/>
        <w:rPr>
          <w:rFonts w:ascii="Book Antiqua" w:hAnsi="Book Antiqua"/>
        </w:rPr>
      </w:pPr>
    </w:p>
    <w:p w14:paraId="120EF4D6" w14:textId="77777777" w:rsidR="00430080"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2D36FF6" w14:textId="77777777" w:rsidR="00430080" w:rsidRDefault="00000000">
      <w:pPr>
        <w:spacing w:line="360" w:lineRule="auto"/>
        <w:jc w:val="both"/>
        <w:rPr>
          <w:rFonts w:ascii="Book Antiqua" w:hAnsi="Book Antiqua"/>
        </w:rPr>
      </w:pPr>
      <w:r>
        <w:rPr>
          <w:rFonts w:ascii="Book Antiqua" w:eastAsia="Book Antiqua" w:hAnsi="Book Antiqua" w:cs="Book Antiqua"/>
          <w:color w:val="000000"/>
        </w:rPr>
        <w:t xml:space="preserve">NF-NBI was the most effective endoscopic mode for evaluating RAC, </w:t>
      </w:r>
      <w:proofErr w:type="spellStart"/>
      <w:r>
        <w:rPr>
          <w:rFonts w:ascii="Book Antiqua" w:eastAsia="Book Antiqua" w:hAnsi="Book Antiqua" w:cs="Book Antiqua"/>
          <w:color w:val="000000"/>
        </w:rPr>
        <w:t>SECN</w:t>
      </w:r>
      <w:proofErr w:type="spellEnd"/>
      <w:r>
        <w:rPr>
          <w:rFonts w:ascii="Book Antiqua" w:eastAsia="Book Antiqua" w:hAnsi="Book Antiqua" w:cs="Book Antiqua"/>
          <w:color w:val="000000"/>
        </w:rPr>
        <w:t>, and GP. AA-NF-NBI was the most effective endoscopic mode for analyzing CO and IP. It provides a higher resolution for evaluating the relationship between the progress of gastric diseases and the existence of gastric venules, the regularity/irregularity of capillary network, and the shape and size of GP and recesses.</w:t>
      </w:r>
    </w:p>
    <w:p w14:paraId="647B0F60" w14:textId="77777777" w:rsidR="00430080" w:rsidRDefault="00430080">
      <w:pPr>
        <w:spacing w:line="360" w:lineRule="auto"/>
        <w:jc w:val="both"/>
        <w:rPr>
          <w:rFonts w:ascii="Book Antiqua" w:hAnsi="Book Antiqua"/>
        </w:rPr>
      </w:pPr>
    </w:p>
    <w:p w14:paraId="6009BC00" w14:textId="77777777" w:rsidR="00430080"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707E3BF1" w14:textId="77777777" w:rsidR="00430080"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35CE74A1" w14:textId="77777777" w:rsidR="00430080" w:rsidRDefault="00000000">
      <w:pPr>
        <w:spacing w:line="360" w:lineRule="auto"/>
        <w:jc w:val="both"/>
        <w:rPr>
          <w:rFonts w:ascii="Book Antiqua" w:hAnsi="Book Antiqua"/>
        </w:rPr>
      </w:pPr>
      <w:r>
        <w:rPr>
          <w:rFonts w:ascii="Book Antiqua" w:eastAsia="Book Antiqua" w:hAnsi="Book Antiqua" w:cs="Book Antiqua"/>
          <w:color w:val="000000"/>
        </w:rPr>
        <w:t>Narrow-band imaging (NBI) is too dark to identify the color and structural microanatomy of stomach mucosa due to large lumen. Therefore, these should be combined with magnification.</w:t>
      </w:r>
    </w:p>
    <w:p w14:paraId="4C5D0381" w14:textId="77777777" w:rsidR="00430080" w:rsidRDefault="00430080">
      <w:pPr>
        <w:spacing w:line="360" w:lineRule="auto"/>
        <w:jc w:val="both"/>
        <w:rPr>
          <w:rFonts w:ascii="Book Antiqua" w:hAnsi="Book Antiqua"/>
        </w:rPr>
      </w:pPr>
    </w:p>
    <w:p w14:paraId="275C3C7D" w14:textId="77777777" w:rsidR="00430080"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18894BF9" w14:textId="77777777" w:rsidR="00430080" w:rsidRDefault="00000000">
      <w:pPr>
        <w:spacing w:line="360" w:lineRule="auto"/>
        <w:jc w:val="both"/>
        <w:rPr>
          <w:rFonts w:ascii="Book Antiqua" w:hAnsi="Book Antiqua"/>
        </w:rPr>
      </w:pPr>
      <w:r>
        <w:rPr>
          <w:rFonts w:ascii="Book Antiqua" w:eastAsia="Book Antiqua" w:hAnsi="Book Antiqua" w:cs="Book Antiqua"/>
          <w:color w:val="000000"/>
        </w:rPr>
        <w:t>Conventional magnification endoscopy using a soft rubber at the top of the scope, which requires demanding manipulation, could be replaced with a simple, more pragmatic, and novel endoscopic magnification technique.</w:t>
      </w:r>
    </w:p>
    <w:p w14:paraId="66344AA6" w14:textId="77777777" w:rsidR="00430080" w:rsidRDefault="00430080">
      <w:pPr>
        <w:spacing w:line="360" w:lineRule="auto"/>
        <w:jc w:val="both"/>
        <w:rPr>
          <w:rFonts w:ascii="Book Antiqua" w:hAnsi="Book Antiqua"/>
        </w:rPr>
      </w:pPr>
    </w:p>
    <w:p w14:paraId="7F20AF2C" w14:textId="77777777" w:rsidR="00430080"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23ED2844" w14:textId="77777777" w:rsidR="00430080" w:rsidRDefault="00000000">
      <w:pPr>
        <w:spacing w:line="360" w:lineRule="auto"/>
        <w:jc w:val="both"/>
        <w:rPr>
          <w:rFonts w:ascii="Book Antiqua" w:hAnsi="Book Antiqua"/>
        </w:rPr>
      </w:pPr>
      <w:r>
        <w:rPr>
          <w:rFonts w:ascii="Book Antiqua" w:eastAsia="Book Antiqua" w:hAnsi="Book Antiqua" w:cs="Book Antiqua"/>
          <w:color w:val="000000"/>
        </w:rPr>
        <w:lastRenderedPageBreak/>
        <w:t>We evaluated the possibility of a near focus (NF) magnification, NBI mode with acetic acid (AA), in the assessment of venules, capillary network, pits, and crypts in the gastric body mucosa.</w:t>
      </w:r>
    </w:p>
    <w:p w14:paraId="5C2E8727" w14:textId="77777777" w:rsidR="00430080" w:rsidRDefault="00430080">
      <w:pPr>
        <w:spacing w:line="360" w:lineRule="auto"/>
        <w:jc w:val="both"/>
        <w:rPr>
          <w:rFonts w:ascii="Book Antiqua" w:hAnsi="Book Antiqua"/>
        </w:rPr>
      </w:pPr>
    </w:p>
    <w:p w14:paraId="0003C3D4" w14:textId="77777777" w:rsidR="00430080"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2B7C5BA2" w14:textId="77777777" w:rsidR="00430080" w:rsidRDefault="00000000">
      <w:pPr>
        <w:spacing w:line="360" w:lineRule="auto"/>
        <w:jc w:val="both"/>
        <w:rPr>
          <w:rFonts w:ascii="Book Antiqua" w:hAnsi="Book Antiqua"/>
        </w:rPr>
      </w:pPr>
      <w:r>
        <w:rPr>
          <w:rFonts w:ascii="Book Antiqua" w:eastAsia="Book Antiqua" w:hAnsi="Book Antiqua" w:cs="Book Antiqua"/>
          <w:color w:val="000000"/>
        </w:rPr>
        <w:t>The endoscopic video information system, EVIS EXERA III CLV-190, was used with an Olympus high-resolution endoscope, GIF-</w:t>
      </w:r>
      <w:proofErr w:type="spellStart"/>
      <w:r>
        <w:rPr>
          <w:rFonts w:ascii="Book Antiqua" w:eastAsia="Book Antiqua" w:hAnsi="Book Antiqua" w:cs="Book Antiqua"/>
          <w:color w:val="000000"/>
        </w:rPr>
        <w:t>190HQ</w:t>
      </w:r>
      <w:proofErr w:type="spellEnd"/>
      <w:r>
        <w:rPr>
          <w:rFonts w:ascii="Book Antiqua" w:eastAsia="Book Antiqua" w:hAnsi="Book Antiqua" w:cs="Book Antiqua"/>
          <w:color w:val="000000"/>
        </w:rPr>
        <w:t xml:space="preserve"> series NBI system, with dual focus capability for the investigation of the gastric mucosa. At the time of the endoscopy, the gastric body mucosa of all enrolled patients was photographed using the white light endoscopy (</w:t>
      </w:r>
      <w:proofErr w:type="spellStart"/>
      <w:r>
        <w:rPr>
          <w:rFonts w:ascii="Book Antiqua" w:eastAsia="Book Antiqua" w:hAnsi="Book Antiqua" w:cs="Book Antiqua"/>
          <w:color w:val="000000"/>
        </w:rPr>
        <w:t>WLE</w:t>
      </w:r>
      <w:proofErr w:type="spellEnd"/>
      <w:r>
        <w:rPr>
          <w:rFonts w:ascii="Book Antiqua" w:eastAsia="Book Antiqua" w:hAnsi="Book Antiqua" w:cs="Book Antiqua"/>
          <w:color w:val="000000"/>
        </w:rPr>
        <w:t>), NF, NF-NBI, AA-NF, and AA-NF-NBI modes.</w:t>
      </w:r>
    </w:p>
    <w:p w14:paraId="5CD4117F" w14:textId="77777777" w:rsidR="00430080" w:rsidRDefault="00430080">
      <w:pPr>
        <w:spacing w:line="360" w:lineRule="auto"/>
        <w:jc w:val="both"/>
        <w:rPr>
          <w:rFonts w:ascii="Book Antiqua" w:hAnsi="Book Antiqua"/>
        </w:rPr>
      </w:pPr>
    </w:p>
    <w:p w14:paraId="4EB00CEA" w14:textId="77777777" w:rsidR="00430080"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52EC5203" w14:textId="77777777" w:rsidR="00430080" w:rsidRDefault="00000000">
      <w:pPr>
        <w:spacing w:line="360" w:lineRule="auto"/>
        <w:jc w:val="both"/>
        <w:rPr>
          <w:rFonts w:ascii="Book Antiqua" w:hAnsi="Book Antiqua"/>
        </w:rPr>
      </w:pPr>
      <w:r>
        <w:rPr>
          <w:rFonts w:ascii="Book Antiqua" w:eastAsia="Book Antiqua" w:hAnsi="Book Antiqua" w:cs="Book Antiqua"/>
          <w:color w:val="000000"/>
        </w:rPr>
        <w:t>From 68 patients, 204 images were classified in the same order into three groups (</w:t>
      </w:r>
      <w:proofErr w:type="spellStart"/>
      <w:r>
        <w:rPr>
          <w:rFonts w:ascii="Book Antiqua" w:eastAsia="Book Antiqua" w:hAnsi="Book Antiqua" w:cs="Book Antiqua"/>
          <w:color w:val="000000"/>
        </w:rPr>
        <w:t>WLE</w:t>
      </w:r>
      <w:proofErr w:type="spellEnd"/>
      <w:r>
        <w:rPr>
          <w:rFonts w:ascii="Book Antiqua" w:eastAsia="Book Antiqua" w:hAnsi="Book Antiqua" w:cs="Book Antiqua"/>
          <w:color w:val="000000"/>
        </w:rPr>
        <w:t xml:space="preserve">, NF, and NF-NBI). They were observed separately and scored by two experienced endoscopists and one inexperienced endoscopist. According to all three observers independently, NF magnification was significantly superior to </w:t>
      </w:r>
      <w:proofErr w:type="spellStart"/>
      <w:r>
        <w:rPr>
          <w:rFonts w:ascii="Book Antiqua" w:eastAsia="Book Antiqua" w:hAnsi="Book Antiqua" w:cs="Book Antiqua"/>
          <w:color w:val="000000"/>
        </w:rPr>
        <w:t>WLE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and the NF-NBI mode was significantly superior to NF magnification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Interobserver kappa values for </w:t>
      </w:r>
      <w:proofErr w:type="spellStart"/>
      <w:r>
        <w:rPr>
          <w:rFonts w:ascii="Book Antiqua" w:eastAsia="Book Antiqua" w:hAnsi="Book Antiqua" w:cs="Book Antiqua"/>
          <w:color w:val="000000"/>
        </w:rPr>
        <w:t>WLE</w:t>
      </w:r>
      <w:proofErr w:type="spellEnd"/>
      <w:r>
        <w:rPr>
          <w:rFonts w:ascii="Book Antiqua" w:eastAsia="Book Antiqua" w:hAnsi="Book Antiqua" w:cs="Book Antiqua"/>
          <w:color w:val="000000"/>
        </w:rPr>
        <w:t xml:space="preserve"> were 0.609, 0.704, and 0.598, respectively, and in the case of NF magnification, they were 0.600, 0.721, and 0.637, respectively. For the NF-NBI mode, the values were 0.378, 0.471, and 0.553, respectively. AA-NF-NBI was significantly superior to AA-NF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by all three observers independently. Interobserver kappa values for the AA-NF were 0.453, 0.603, and 0.480, respectively, and for AA-NF-NBI, they were 0.643, 0.506, and 0.354, respectively.</w:t>
      </w:r>
    </w:p>
    <w:p w14:paraId="4F13113C" w14:textId="77777777" w:rsidR="00430080" w:rsidRDefault="00430080">
      <w:pPr>
        <w:spacing w:line="360" w:lineRule="auto"/>
        <w:jc w:val="both"/>
        <w:rPr>
          <w:rFonts w:ascii="Book Antiqua" w:hAnsi="Book Antiqua"/>
        </w:rPr>
      </w:pPr>
    </w:p>
    <w:p w14:paraId="298903F7" w14:textId="77777777" w:rsidR="00430080"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0869D40E" w14:textId="77777777" w:rsidR="00430080" w:rsidRDefault="00000000">
      <w:pPr>
        <w:spacing w:line="360" w:lineRule="auto"/>
        <w:jc w:val="both"/>
        <w:rPr>
          <w:rFonts w:ascii="Book Antiqua" w:hAnsi="Book Antiqua"/>
        </w:rPr>
      </w:pPr>
      <w:r>
        <w:rPr>
          <w:rFonts w:ascii="Book Antiqua" w:eastAsia="Book Antiqua" w:hAnsi="Book Antiqua" w:cs="Book Antiqua"/>
          <w:color w:val="000000"/>
        </w:rPr>
        <w:t>Among the five endoscopic modalities investigated in this study, NF-NBI was the most powerful endoscopic mode for assessing venules, capillary network, and gastric pits. AA-NF-NBI was the most powerful endoscopic mode for analyzing crypts and space between crypts.</w:t>
      </w:r>
    </w:p>
    <w:p w14:paraId="5EF8CED6" w14:textId="77777777" w:rsidR="00430080" w:rsidRDefault="00430080">
      <w:pPr>
        <w:spacing w:line="360" w:lineRule="auto"/>
        <w:jc w:val="both"/>
        <w:rPr>
          <w:rFonts w:ascii="Book Antiqua" w:hAnsi="Book Antiqua"/>
        </w:rPr>
      </w:pPr>
    </w:p>
    <w:p w14:paraId="0A23D8F6" w14:textId="77777777" w:rsidR="00430080"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1C471A74" w14:textId="77777777" w:rsidR="00430080" w:rsidRDefault="00000000">
      <w:pPr>
        <w:spacing w:line="360" w:lineRule="auto"/>
        <w:jc w:val="both"/>
        <w:rPr>
          <w:rFonts w:ascii="Book Antiqua" w:hAnsi="Book Antiqua"/>
        </w:rPr>
      </w:pPr>
      <w:r>
        <w:rPr>
          <w:rFonts w:ascii="Book Antiqua" w:eastAsia="Book Antiqua" w:hAnsi="Book Antiqua" w:cs="Book Antiqua"/>
          <w:color w:val="000000"/>
        </w:rPr>
        <w:t xml:space="preserve">The forthcoming studies of NF-NBI and AA-NF-NBI endoscopic modalities aim to evaluate the presence/absence of venules, the regularity/irregularity of capillary network, and the shape and size of the gastric pits and crypts in relation to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infection, intestinal metaplasia, and atrophic gastritis, </w:t>
      </w:r>
      <w:r>
        <w:rPr>
          <w:rFonts w:ascii="Book Antiqua" w:eastAsia="Book Antiqua" w:hAnsi="Book Antiqua" w:cs="Book Antiqua"/>
          <w:i/>
          <w:iCs/>
          <w:color w:val="000000"/>
        </w:rPr>
        <w:t>etc.</w:t>
      </w:r>
    </w:p>
    <w:p w14:paraId="6ECE99BF" w14:textId="77777777" w:rsidR="00430080" w:rsidRDefault="00430080">
      <w:pPr>
        <w:spacing w:line="360" w:lineRule="auto"/>
        <w:jc w:val="both"/>
        <w:rPr>
          <w:rFonts w:ascii="Book Antiqua" w:hAnsi="Book Antiqua"/>
          <w:lang w:eastAsia="zh-CN"/>
        </w:rPr>
      </w:pPr>
    </w:p>
    <w:p w14:paraId="06ED2AC7" w14:textId="77777777" w:rsidR="00430080" w:rsidRDefault="00000000">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538EC778" w14:textId="77777777" w:rsidR="00430080" w:rsidRDefault="00000000">
      <w:pPr>
        <w:spacing w:line="360" w:lineRule="auto"/>
        <w:jc w:val="both"/>
        <w:rPr>
          <w:rFonts w:ascii="Book Antiqua" w:hAnsi="Book Antiqua"/>
        </w:rPr>
      </w:pPr>
      <w:r>
        <w:rPr>
          <w:rFonts w:ascii="Book Antiqua" w:eastAsia="Book Antiqua" w:hAnsi="Book Antiqua" w:cs="Book Antiqua"/>
          <w:color w:val="000000"/>
        </w:rPr>
        <w:t>The authors would like to thank the staff of the Endoscopic Unit, Department of Gastroenterology and Hepatology, Blue Medical Group for the technical support.</w:t>
      </w:r>
    </w:p>
    <w:p w14:paraId="278722C2" w14:textId="77777777" w:rsidR="00430080" w:rsidRDefault="00430080">
      <w:pPr>
        <w:spacing w:line="360" w:lineRule="auto"/>
        <w:jc w:val="both"/>
        <w:rPr>
          <w:rFonts w:ascii="Book Antiqua" w:hAnsi="Book Antiqua"/>
        </w:rPr>
      </w:pPr>
    </w:p>
    <w:p w14:paraId="064D2FFE" w14:textId="77777777" w:rsidR="00430080"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5A36C9A3" w14:textId="77777777" w:rsidR="00430080" w:rsidRDefault="00000000">
      <w:pPr>
        <w:spacing w:line="360" w:lineRule="auto"/>
        <w:jc w:val="both"/>
        <w:rPr>
          <w:rFonts w:ascii="Book Antiqua" w:hAnsi="Book Antiqua"/>
        </w:rPr>
      </w:pPr>
      <w:bookmarkStart w:id="827" w:name="OLE_LINK1988"/>
      <w:bookmarkStart w:id="828" w:name="OLE_LINK1987"/>
      <w:r>
        <w:rPr>
          <w:rFonts w:ascii="Book Antiqua" w:hAnsi="Book Antiqua"/>
        </w:rPr>
        <w:t xml:space="preserve">1 </w:t>
      </w:r>
      <w:r>
        <w:rPr>
          <w:rFonts w:ascii="Book Antiqua" w:hAnsi="Book Antiqua"/>
          <w:b/>
          <w:bCs/>
        </w:rPr>
        <w:t xml:space="preserve">Kim </w:t>
      </w:r>
      <w:proofErr w:type="spellStart"/>
      <w:r>
        <w:rPr>
          <w:rFonts w:ascii="Book Antiqua" w:hAnsi="Book Antiqua"/>
          <w:b/>
          <w:bCs/>
        </w:rPr>
        <w:t>JW</w:t>
      </w:r>
      <w:proofErr w:type="spellEnd"/>
      <w:r>
        <w:rPr>
          <w:rFonts w:ascii="Book Antiqua" w:hAnsi="Book Antiqua"/>
        </w:rPr>
        <w:t xml:space="preserve">. Usefulness of Narrow-Band Imaging in Endoscopic Submucosal Dissection of the Stomach. </w:t>
      </w:r>
      <w:r>
        <w:rPr>
          <w:rFonts w:ascii="Book Antiqua" w:hAnsi="Book Antiqua"/>
          <w:i/>
          <w:iCs/>
        </w:rPr>
        <w:t xml:space="preserve">Clin </w:t>
      </w:r>
      <w:proofErr w:type="spellStart"/>
      <w:r>
        <w:rPr>
          <w:rFonts w:ascii="Book Antiqua" w:hAnsi="Book Antiqua"/>
          <w:i/>
          <w:iCs/>
        </w:rPr>
        <w:t>Endosc</w:t>
      </w:r>
      <w:proofErr w:type="spellEnd"/>
      <w:r>
        <w:rPr>
          <w:rFonts w:ascii="Book Antiqua" w:hAnsi="Book Antiqua"/>
        </w:rPr>
        <w:t xml:space="preserve"> 2018; </w:t>
      </w:r>
      <w:r>
        <w:rPr>
          <w:rFonts w:ascii="Book Antiqua" w:hAnsi="Book Antiqua"/>
          <w:b/>
          <w:bCs/>
        </w:rPr>
        <w:t>51</w:t>
      </w:r>
      <w:r>
        <w:rPr>
          <w:rFonts w:ascii="Book Antiqua" w:hAnsi="Book Antiqua"/>
        </w:rPr>
        <w:t>: 527-533 [</w:t>
      </w:r>
      <w:proofErr w:type="spellStart"/>
      <w:r>
        <w:rPr>
          <w:rFonts w:ascii="Book Antiqua" w:hAnsi="Book Antiqua"/>
        </w:rPr>
        <w:t>PMID</w:t>
      </w:r>
      <w:proofErr w:type="spellEnd"/>
      <w:r>
        <w:rPr>
          <w:rFonts w:ascii="Book Antiqua" w:hAnsi="Book Antiqua"/>
        </w:rPr>
        <w:t>: 30453446 DOI: 10.5946/</w:t>
      </w:r>
      <w:proofErr w:type="spellStart"/>
      <w:r>
        <w:rPr>
          <w:rFonts w:ascii="Book Antiqua" w:hAnsi="Book Antiqua"/>
        </w:rPr>
        <w:t>ce.2018.186</w:t>
      </w:r>
      <w:proofErr w:type="spellEnd"/>
      <w:r>
        <w:rPr>
          <w:rFonts w:ascii="Book Antiqua" w:hAnsi="Book Antiqua"/>
        </w:rPr>
        <w:t>]</w:t>
      </w:r>
    </w:p>
    <w:p w14:paraId="02E24C0F" w14:textId="77777777" w:rsidR="00430080"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Yao K</w:t>
      </w:r>
      <w:r>
        <w:rPr>
          <w:rFonts w:ascii="Book Antiqua" w:hAnsi="Book Antiqua"/>
        </w:rPr>
        <w:t xml:space="preserve">. Clinical Application of Magnifying Endoscopy with Narrow-Band Imaging in the Stomach. </w:t>
      </w:r>
      <w:r>
        <w:rPr>
          <w:rFonts w:ascii="Book Antiqua" w:hAnsi="Book Antiqua"/>
          <w:i/>
          <w:iCs/>
        </w:rPr>
        <w:t xml:space="preserve">Clin </w:t>
      </w:r>
      <w:proofErr w:type="spellStart"/>
      <w:r>
        <w:rPr>
          <w:rFonts w:ascii="Book Antiqua" w:hAnsi="Book Antiqua"/>
          <w:i/>
          <w:iCs/>
        </w:rPr>
        <w:t>Endosc</w:t>
      </w:r>
      <w:proofErr w:type="spellEnd"/>
      <w:r>
        <w:rPr>
          <w:rFonts w:ascii="Book Antiqua" w:hAnsi="Book Antiqua"/>
        </w:rPr>
        <w:t xml:space="preserve"> 2015; </w:t>
      </w:r>
      <w:r>
        <w:rPr>
          <w:rFonts w:ascii="Book Antiqua" w:hAnsi="Book Antiqua"/>
          <w:b/>
          <w:bCs/>
        </w:rPr>
        <w:t>48</w:t>
      </w:r>
      <w:r>
        <w:rPr>
          <w:rFonts w:ascii="Book Antiqua" w:hAnsi="Book Antiqua"/>
        </w:rPr>
        <w:t>: 481-490 [</w:t>
      </w:r>
      <w:proofErr w:type="spellStart"/>
      <w:r>
        <w:rPr>
          <w:rFonts w:ascii="Book Antiqua" w:hAnsi="Book Antiqua"/>
        </w:rPr>
        <w:t>PMID</w:t>
      </w:r>
      <w:proofErr w:type="spellEnd"/>
      <w:r>
        <w:rPr>
          <w:rFonts w:ascii="Book Antiqua" w:hAnsi="Book Antiqua"/>
        </w:rPr>
        <w:t>: 26668793 DOI: 10.5946/</w:t>
      </w:r>
      <w:proofErr w:type="spellStart"/>
      <w:r>
        <w:rPr>
          <w:rFonts w:ascii="Book Antiqua" w:hAnsi="Book Antiqua"/>
        </w:rPr>
        <w:t>ce.2015.48.6.481</w:t>
      </w:r>
      <w:proofErr w:type="spellEnd"/>
      <w:r>
        <w:rPr>
          <w:rFonts w:ascii="Book Antiqua" w:hAnsi="Book Antiqua"/>
        </w:rPr>
        <w:t>]</w:t>
      </w:r>
    </w:p>
    <w:p w14:paraId="3E8C86C2" w14:textId="77777777" w:rsidR="00430080" w:rsidRDefault="00000000">
      <w:pPr>
        <w:spacing w:line="360" w:lineRule="auto"/>
        <w:jc w:val="both"/>
        <w:rPr>
          <w:rFonts w:ascii="Book Antiqua" w:hAnsi="Book Antiqua"/>
        </w:rPr>
      </w:pPr>
      <w:r>
        <w:rPr>
          <w:rFonts w:ascii="Book Antiqua" w:hAnsi="Book Antiqua"/>
        </w:rPr>
        <w:t xml:space="preserve">3 </w:t>
      </w:r>
      <w:r>
        <w:rPr>
          <w:rFonts w:ascii="Book Antiqua" w:hAnsi="Book Antiqua"/>
          <w:b/>
          <w:bCs/>
        </w:rPr>
        <w:t>Li HY</w:t>
      </w:r>
      <w:r>
        <w:rPr>
          <w:rFonts w:ascii="Book Antiqua" w:hAnsi="Book Antiqua"/>
        </w:rPr>
        <w:t xml:space="preserve">, Ge ZZ, </w:t>
      </w:r>
      <w:proofErr w:type="spellStart"/>
      <w:r>
        <w:rPr>
          <w:rFonts w:ascii="Book Antiqua" w:hAnsi="Book Antiqua"/>
        </w:rPr>
        <w:t>Fujishiro</w:t>
      </w:r>
      <w:proofErr w:type="spellEnd"/>
      <w:r>
        <w:rPr>
          <w:rFonts w:ascii="Book Antiqua" w:hAnsi="Book Antiqua"/>
        </w:rPr>
        <w:t xml:space="preserve"> M, Li </w:t>
      </w:r>
      <w:proofErr w:type="spellStart"/>
      <w:r>
        <w:rPr>
          <w:rFonts w:ascii="Book Antiqua" w:hAnsi="Book Antiqua"/>
        </w:rPr>
        <w:t>XB</w:t>
      </w:r>
      <w:proofErr w:type="spellEnd"/>
      <w:r>
        <w:rPr>
          <w:rFonts w:ascii="Book Antiqua" w:hAnsi="Book Antiqua"/>
        </w:rPr>
        <w:t xml:space="preserve">. Current clinical applications of magnifying endoscopy with narrow band imaging in the stomach. </w:t>
      </w:r>
      <w:proofErr w:type="spellStart"/>
      <w:r>
        <w:rPr>
          <w:rFonts w:ascii="Book Antiqua" w:hAnsi="Book Antiqua"/>
          <w:i/>
          <w:iCs/>
        </w:rPr>
        <w:t>Diagn</w:t>
      </w:r>
      <w:proofErr w:type="spellEnd"/>
      <w:r>
        <w:rPr>
          <w:rFonts w:ascii="Book Antiqua" w:hAnsi="Book Antiqua"/>
          <w:i/>
          <w:iCs/>
        </w:rPr>
        <w:t xml:space="preserve"> Ther </w:t>
      </w:r>
      <w:proofErr w:type="spellStart"/>
      <w:r>
        <w:rPr>
          <w:rFonts w:ascii="Book Antiqua" w:hAnsi="Book Antiqua"/>
          <w:i/>
          <w:iCs/>
        </w:rPr>
        <w:t>Endosc</w:t>
      </w:r>
      <w:proofErr w:type="spellEnd"/>
      <w:r>
        <w:rPr>
          <w:rFonts w:ascii="Book Antiqua" w:hAnsi="Book Antiqua"/>
        </w:rPr>
        <w:t xml:space="preserve"> 2012; </w:t>
      </w:r>
      <w:r>
        <w:rPr>
          <w:rFonts w:ascii="Book Antiqua" w:hAnsi="Book Antiqua"/>
          <w:b/>
          <w:bCs/>
        </w:rPr>
        <w:t>2012</w:t>
      </w:r>
      <w:r>
        <w:rPr>
          <w:rFonts w:ascii="Book Antiqua" w:hAnsi="Book Antiqua"/>
        </w:rPr>
        <w:t>: 271914 [</w:t>
      </w:r>
      <w:proofErr w:type="spellStart"/>
      <w:r>
        <w:rPr>
          <w:rFonts w:ascii="Book Antiqua" w:hAnsi="Book Antiqua"/>
        </w:rPr>
        <w:t>PMID</w:t>
      </w:r>
      <w:proofErr w:type="spellEnd"/>
      <w:r>
        <w:rPr>
          <w:rFonts w:ascii="Book Antiqua" w:hAnsi="Book Antiqua"/>
        </w:rPr>
        <w:t>: 23024577 DOI: 10.1155/2012/271914]</w:t>
      </w:r>
    </w:p>
    <w:p w14:paraId="301A99DF" w14:textId="77777777" w:rsidR="00430080"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Qi Q</w:t>
      </w:r>
      <w:r>
        <w:rPr>
          <w:rFonts w:ascii="Book Antiqua" w:hAnsi="Book Antiqua"/>
        </w:rPr>
        <w:t xml:space="preserve">, Guo C, Ji R, Li Z, Zuo X, Li Y. Diagnostic Performance of Magnifying Endoscopy for Helicobacter pylori Infection: A Meta-Analysis.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2016; </w:t>
      </w:r>
      <w:r>
        <w:rPr>
          <w:rFonts w:ascii="Book Antiqua" w:hAnsi="Book Antiqua"/>
          <w:b/>
          <w:bCs/>
        </w:rPr>
        <w:t>11</w:t>
      </w:r>
      <w:r>
        <w:rPr>
          <w:rFonts w:ascii="Book Antiqua" w:hAnsi="Book Antiqua"/>
        </w:rPr>
        <w:t xml:space="preserve">: </w:t>
      </w:r>
      <w:proofErr w:type="spellStart"/>
      <w:r>
        <w:rPr>
          <w:rFonts w:ascii="Book Antiqua" w:hAnsi="Book Antiqua"/>
        </w:rPr>
        <w:t>e0168201</w:t>
      </w:r>
      <w:proofErr w:type="spellEnd"/>
      <w:r>
        <w:rPr>
          <w:rFonts w:ascii="Book Antiqua" w:hAnsi="Book Antiqua"/>
        </w:rPr>
        <w:t xml:space="preserve"> [</w:t>
      </w:r>
      <w:proofErr w:type="spellStart"/>
      <w:r>
        <w:rPr>
          <w:rFonts w:ascii="Book Antiqua" w:hAnsi="Book Antiqua"/>
        </w:rPr>
        <w:t>PMID</w:t>
      </w:r>
      <w:proofErr w:type="spellEnd"/>
      <w:r>
        <w:rPr>
          <w:rFonts w:ascii="Book Antiqua" w:hAnsi="Book Antiqua"/>
        </w:rPr>
        <w:t>: 27992489 DOI: 10.1371/</w:t>
      </w:r>
      <w:proofErr w:type="spellStart"/>
      <w:r>
        <w:rPr>
          <w:rFonts w:ascii="Book Antiqua" w:hAnsi="Book Antiqua"/>
        </w:rPr>
        <w:t>journal.pone.0168201</w:t>
      </w:r>
      <w:proofErr w:type="spellEnd"/>
      <w:r>
        <w:rPr>
          <w:rFonts w:ascii="Book Antiqua" w:hAnsi="Book Antiqua"/>
        </w:rPr>
        <w:t>]</w:t>
      </w:r>
    </w:p>
    <w:p w14:paraId="078DBEE1" w14:textId="77777777" w:rsidR="00430080" w:rsidRDefault="00000000">
      <w:pPr>
        <w:spacing w:line="360" w:lineRule="auto"/>
        <w:jc w:val="both"/>
        <w:rPr>
          <w:rFonts w:ascii="Book Antiqua" w:hAnsi="Book Antiqua"/>
        </w:rPr>
      </w:pPr>
      <w:r>
        <w:rPr>
          <w:rFonts w:ascii="Book Antiqua" w:hAnsi="Book Antiqua"/>
        </w:rPr>
        <w:t xml:space="preserve">5 </w:t>
      </w:r>
      <w:r>
        <w:rPr>
          <w:rFonts w:ascii="Book Antiqua" w:hAnsi="Book Antiqua"/>
          <w:b/>
          <w:bCs/>
        </w:rPr>
        <w:t>Glover B</w:t>
      </w:r>
      <w:r>
        <w:rPr>
          <w:rFonts w:ascii="Book Antiqua" w:hAnsi="Book Antiqua"/>
        </w:rPr>
        <w:t xml:space="preserve">, Teare J, Patel N. A systematic review of the role of non-magnified endoscopy for the assessment of H. pylori infection. </w:t>
      </w:r>
      <w:proofErr w:type="spellStart"/>
      <w:r>
        <w:rPr>
          <w:rFonts w:ascii="Book Antiqua" w:hAnsi="Book Antiqua"/>
          <w:i/>
          <w:iCs/>
        </w:rPr>
        <w:t>Endosc</w:t>
      </w:r>
      <w:proofErr w:type="spellEnd"/>
      <w:r>
        <w:rPr>
          <w:rFonts w:ascii="Book Antiqua" w:hAnsi="Book Antiqua"/>
          <w:i/>
          <w:iCs/>
        </w:rPr>
        <w:t xml:space="preserve"> Int Open</w:t>
      </w:r>
      <w:r>
        <w:rPr>
          <w:rFonts w:ascii="Book Antiqua" w:hAnsi="Book Antiqua"/>
        </w:rPr>
        <w:t xml:space="preserve"> 2020; </w:t>
      </w:r>
      <w:r>
        <w:rPr>
          <w:rFonts w:ascii="Book Antiqua" w:hAnsi="Book Antiqua"/>
          <w:b/>
          <w:bCs/>
        </w:rPr>
        <w:t>8</w:t>
      </w:r>
      <w:r>
        <w:rPr>
          <w:rFonts w:ascii="Book Antiqua" w:hAnsi="Book Antiqua"/>
        </w:rPr>
        <w:t xml:space="preserve">: </w:t>
      </w:r>
      <w:proofErr w:type="spellStart"/>
      <w:r>
        <w:rPr>
          <w:rFonts w:ascii="Book Antiqua" w:hAnsi="Book Antiqua"/>
        </w:rPr>
        <w:t>E105-E114</w:t>
      </w:r>
      <w:proofErr w:type="spellEnd"/>
      <w:r>
        <w:rPr>
          <w:rFonts w:ascii="Book Antiqua" w:hAnsi="Book Antiqua"/>
        </w:rPr>
        <w:t xml:space="preserve"> [</w:t>
      </w:r>
      <w:proofErr w:type="spellStart"/>
      <w:r>
        <w:rPr>
          <w:rFonts w:ascii="Book Antiqua" w:hAnsi="Book Antiqua"/>
        </w:rPr>
        <w:t>PMID</w:t>
      </w:r>
      <w:proofErr w:type="spellEnd"/>
      <w:r>
        <w:rPr>
          <w:rFonts w:ascii="Book Antiqua" w:hAnsi="Book Antiqua"/>
        </w:rPr>
        <w:t>: 32010741 DOI: 10.1055/a-0999-5252]</w:t>
      </w:r>
    </w:p>
    <w:p w14:paraId="63E0806C" w14:textId="77777777" w:rsidR="00430080" w:rsidRDefault="00000000">
      <w:pPr>
        <w:spacing w:line="360" w:lineRule="auto"/>
        <w:jc w:val="both"/>
        <w:rPr>
          <w:rFonts w:ascii="Book Antiqua" w:hAnsi="Book Antiqua"/>
        </w:rPr>
      </w:pPr>
      <w:r>
        <w:rPr>
          <w:rFonts w:ascii="Book Antiqua" w:hAnsi="Book Antiqua"/>
        </w:rPr>
        <w:t xml:space="preserve">6 </w:t>
      </w:r>
      <w:r>
        <w:rPr>
          <w:rFonts w:ascii="Book Antiqua" w:hAnsi="Book Antiqua"/>
          <w:b/>
          <w:bCs/>
        </w:rPr>
        <w:t>Ji R</w:t>
      </w:r>
      <w:r>
        <w:rPr>
          <w:rFonts w:ascii="Book Antiqua" w:hAnsi="Book Antiqua"/>
        </w:rPr>
        <w:t xml:space="preserve">, Li </w:t>
      </w:r>
      <w:proofErr w:type="spellStart"/>
      <w:r>
        <w:rPr>
          <w:rFonts w:ascii="Book Antiqua" w:hAnsi="Book Antiqua"/>
        </w:rPr>
        <w:t>YQ</w:t>
      </w:r>
      <w:proofErr w:type="spellEnd"/>
      <w:r>
        <w:rPr>
          <w:rFonts w:ascii="Book Antiqua" w:hAnsi="Book Antiqua"/>
        </w:rPr>
        <w:t xml:space="preserve">. Diagnosing Helicobacter pylori infection in vivo by novel endoscopic techniques. </w:t>
      </w:r>
      <w:r>
        <w:rPr>
          <w:rFonts w:ascii="Book Antiqua" w:hAnsi="Book Antiqua"/>
          <w:i/>
          <w:iCs/>
        </w:rPr>
        <w:t>World J Gastroenterol</w:t>
      </w:r>
      <w:r>
        <w:rPr>
          <w:rFonts w:ascii="Book Antiqua" w:hAnsi="Book Antiqua"/>
        </w:rPr>
        <w:t xml:space="preserve"> 2014; </w:t>
      </w:r>
      <w:r>
        <w:rPr>
          <w:rFonts w:ascii="Book Antiqua" w:hAnsi="Book Antiqua"/>
          <w:b/>
          <w:bCs/>
        </w:rPr>
        <w:t>20</w:t>
      </w:r>
      <w:r>
        <w:rPr>
          <w:rFonts w:ascii="Book Antiqua" w:hAnsi="Book Antiqua"/>
        </w:rPr>
        <w:t>: 9314-9320 [</w:t>
      </w:r>
      <w:proofErr w:type="spellStart"/>
      <w:r>
        <w:rPr>
          <w:rFonts w:ascii="Book Antiqua" w:hAnsi="Book Antiqua"/>
        </w:rPr>
        <w:t>PMID</w:t>
      </w:r>
      <w:proofErr w:type="spellEnd"/>
      <w:r>
        <w:rPr>
          <w:rFonts w:ascii="Book Antiqua" w:hAnsi="Book Antiqua"/>
        </w:rPr>
        <w:t>: 25071325 DOI: 10.3748/</w:t>
      </w:r>
      <w:proofErr w:type="spellStart"/>
      <w:proofErr w:type="gramStart"/>
      <w:r>
        <w:rPr>
          <w:rFonts w:ascii="Book Antiqua" w:hAnsi="Book Antiqua"/>
        </w:rPr>
        <w:t>wjg.v20.i</w:t>
      </w:r>
      <w:proofErr w:type="gramEnd"/>
      <w:r>
        <w:rPr>
          <w:rFonts w:ascii="Book Antiqua" w:hAnsi="Book Antiqua"/>
        </w:rPr>
        <w:t>28.9314</w:t>
      </w:r>
      <w:proofErr w:type="spellEnd"/>
      <w:r>
        <w:rPr>
          <w:rFonts w:ascii="Book Antiqua" w:hAnsi="Book Antiqua"/>
        </w:rPr>
        <w:t>]</w:t>
      </w:r>
    </w:p>
    <w:p w14:paraId="36ABA266" w14:textId="77777777" w:rsidR="00430080" w:rsidRDefault="00000000">
      <w:pPr>
        <w:spacing w:line="360" w:lineRule="auto"/>
        <w:jc w:val="both"/>
        <w:rPr>
          <w:rFonts w:ascii="Book Antiqua" w:hAnsi="Book Antiqua"/>
        </w:rPr>
      </w:pPr>
      <w:r>
        <w:rPr>
          <w:rFonts w:ascii="Book Antiqua" w:hAnsi="Book Antiqua"/>
        </w:rPr>
        <w:lastRenderedPageBreak/>
        <w:t xml:space="preserve">7 </w:t>
      </w:r>
      <w:r>
        <w:rPr>
          <w:rFonts w:ascii="Book Antiqua" w:hAnsi="Book Antiqua"/>
          <w:b/>
          <w:bCs/>
        </w:rPr>
        <w:t>Okubo M</w:t>
      </w:r>
      <w:r>
        <w:rPr>
          <w:rFonts w:ascii="Book Antiqua" w:hAnsi="Book Antiqua"/>
        </w:rPr>
        <w:t xml:space="preserve">, </w:t>
      </w:r>
      <w:proofErr w:type="spellStart"/>
      <w:r>
        <w:rPr>
          <w:rFonts w:ascii="Book Antiqua" w:hAnsi="Book Antiqua"/>
        </w:rPr>
        <w:t>Tahara</w:t>
      </w:r>
      <w:proofErr w:type="spellEnd"/>
      <w:r>
        <w:rPr>
          <w:rFonts w:ascii="Book Antiqua" w:hAnsi="Book Antiqua"/>
        </w:rPr>
        <w:t xml:space="preserve"> T, Shibata T, Nakamura M, Kamiya Y, Yoshioka D, Maeda Y, Yonemura J, Ishizuka T, Arisawa T, Hirata I. Usefulness of magnifying narrow-band imaging endoscopy in the Helicobacter pylori-related chronic gastritis. </w:t>
      </w:r>
      <w:r>
        <w:rPr>
          <w:rFonts w:ascii="Book Antiqua" w:hAnsi="Book Antiqua"/>
          <w:i/>
          <w:iCs/>
        </w:rPr>
        <w:t>Digestion</w:t>
      </w:r>
      <w:r>
        <w:rPr>
          <w:rFonts w:ascii="Book Antiqua" w:hAnsi="Book Antiqua"/>
        </w:rPr>
        <w:t xml:space="preserve"> 2011; </w:t>
      </w:r>
      <w:r>
        <w:rPr>
          <w:rFonts w:ascii="Book Antiqua" w:hAnsi="Book Antiqua"/>
          <w:b/>
          <w:bCs/>
        </w:rPr>
        <w:t>83</w:t>
      </w:r>
      <w:r>
        <w:rPr>
          <w:rFonts w:ascii="Book Antiqua" w:hAnsi="Book Antiqua"/>
        </w:rPr>
        <w:t>: 161-166 [</w:t>
      </w:r>
      <w:proofErr w:type="spellStart"/>
      <w:r>
        <w:rPr>
          <w:rFonts w:ascii="Book Antiqua" w:hAnsi="Book Antiqua"/>
        </w:rPr>
        <w:t>PMID</w:t>
      </w:r>
      <w:proofErr w:type="spellEnd"/>
      <w:r>
        <w:rPr>
          <w:rFonts w:ascii="Book Antiqua" w:hAnsi="Book Antiqua"/>
        </w:rPr>
        <w:t>: 21266810 DOI: 10.1159/000321799]</w:t>
      </w:r>
    </w:p>
    <w:p w14:paraId="718203DC" w14:textId="77777777" w:rsidR="00430080" w:rsidRDefault="00000000">
      <w:pPr>
        <w:spacing w:line="360" w:lineRule="auto"/>
        <w:jc w:val="both"/>
        <w:rPr>
          <w:rFonts w:ascii="Book Antiqua" w:hAnsi="Book Antiqua"/>
        </w:rPr>
      </w:pPr>
      <w:r>
        <w:rPr>
          <w:rFonts w:ascii="Book Antiqua" w:hAnsi="Book Antiqua"/>
        </w:rPr>
        <w:t xml:space="preserve">8 </w:t>
      </w:r>
      <w:r>
        <w:rPr>
          <w:rFonts w:ascii="Book Antiqua" w:hAnsi="Book Antiqua"/>
          <w:b/>
          <w:bCs/>
        </w:rPr>
        <w:t>Jang JY</w:t>
      </w:r>
      <w:r>
        <w:rPr>
          <w:rFonts w:ascii="Book Antiqua" w:hAnsi="Book Antiqua"/>
        </w:rPr>
        <w:t xml:space="preserve">. The Past, Present, and Future of Image-Enhanced Endoscopy. </w:t>
      </w:r>
      <w:r>
        <w:rPr>
          <w:rFonts w:ascii="Book Antiqua" w:hAnsi="Book Antiqua"/>
          <w:i/>
          <w:iCs/>
        </w:rPr>
        <w:t xml:space="preserve">Clin </w:t>
      </w:r>
      <w:proofErr w:type="spellStart"/>
      <w:r>
        <w:rPr>
          <w:rFonts w:ascii="Book Antiqua" w:hAnsi="Book Antiqua"/>
          <w:i/>
          <w:iCs/>
        </w:rPr>
        <w:t>Endosc</w:t>
      </w:r>
      <w:proofErr w:type="spellEnd"/>
      <w:r>
        <w:rPr>
          <w:rFonts w:ascii="Book Antiqua" w:hAnsi="Book Antiqua"/>
        </w:rPr>
        <w:t xml:space="preserve"> 2015; </w:t>
      </w:r>
      <w:r>
        <w:rPr>
          <w:rFonts w:ascii="Book Antiqua" w:hAnsi="Book Antiqua"/>
          <w:b/>
          <w:bCs/>
        </w:rPr>
        <w:t>48</w:t>
      </w:r>
      <w:r>
        <w:rPr>
          <w:rFonts w:ascii="Book Antiqua" w:hAnsi="Book Antiqua"/>
        </w:rPr>
        <w:t>: 466-475 [</w:t>
      </w:r>
      <w:proofErr w:type="spellStart"/>
      <w:r>
        <w:rPr>
          <w:rFonts w:ascii="Book Antiqua" w:hAnsi="Book Antiqua"/>
        </w:rPr>
        <w:t>PMID</w:t>
      </w:r>
      <w:proofErr w:type="spellEnd"/>
      <w:r>
        <w:rPr>
          <w:rFonts w:ascii="Book Antiqua" w:hAnsi="Book Antiqua"/>
        </w:rPr>
        <w:t>: 26668791 DOI: 10.5946/</w:t>
      </w:r>
      <w:proofErr w:type="spellStart"/>
      <w:r>
        <w:rPr>
          <w:rFonts w:ascii="Book Antiqua" w:hAnsi="Book Antiqua"/>
        </w:rPr>
        <w:t>ce.2015.48.6.466</w:t>
      </w:r>
      <w:proofErr w:type="spellEnd"/>
      <w:r>
        <w:rPr>
          <w:rFonts w:ascii="Book Antiqua" w:hAnsi="Book Antiqua"/>
        </w:rPr>
        <w:t>]</w:t>
      </w:r>
    </w:p>
    <w:p w14:paraId="23DB02D7" w14:textId="77777777" w:rsidR="00430080" w:rsidRDefault="00000000">
      <w:pPr>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Shibagaki</w:t>
      </w:r>
      <w:proofErr w:type="spellEnd"/>
      <w:r>
        <w:rPr>
          <w:rFonts w:ascii="Book Antiqua" w:hAnsi="Book Antiqua"/>
          <w:b/>
          <w:bCs/>
        </w:rPr>
        <w:t xml:space="preserve"> K</w:t>
      </w:r>
      <w:r>
        <w:rPr>
          <w:rFonts w:ascii="Book Antiqua" w:hAnsi="Book Antiqua"/>
        </w:rPr>
        <w:t xml:space="preserve">, Amano Y, Ishimura N, Taniguchi H, Fujita H, Adachi S, </w:t>
      </w:r>
      <w:proofErr w:type="spellStart"/>
      <w:r>
        <w:rPr>
          <w:rFonts w:ascii="Book Antiqua" w:hAnsi="Book Antiqua"/>
        </w:rPr>
        <w:t>Kakehi</w:t>
      </w:r>
      <w:proofErr w:type="spellEnd"/>
      <w:r>
        <w:rPr>
          <w:rFonts w:ascii="Book Antiqua" w:hAnsi="Book Antiqua"/>
        </w:rPr>
        <w:t xml:space="preserve"> E, Fujita R, Kobayashi K, Kinoshita Y. Diagnostic accuracy of magnification endoscopy with acetic acid enhancement and narrow-band imaging in gastric mucosal neoplasms. </w:t>
      </w:r>
      <w:r>
        <w:rPr>
          <w:rFonts w:ascii="Book Antiqua" w:hAnsi="Book Antiqua"/>
          <w:i/>
          <w:iCs/>
        </w:rPr>
        <w:t>Endoscopy</w:t>
      </w:r>
      <w:r>
        <w:rPr>
          <w:rFonts w:ascii="Book Antiqua" w:hAnsi="Book Antiqua"/>
        </w:rPr>
        <w:t xml:space="preserve"> 2016; </w:t>
      </w:r>
      <w:r>
        <w:rPr>
          <w:rFonts w:ascii="Book Antiqua" w:hAnsi="Book Antiqua"/>
          <w:b/>
          <w:bCs/>
        </w:rPr>
        <w:t>48</w:t>
      </w:r>
      <w:r>
        <w:rPr>
          <w:rFonts w:ascii="Book Antiqua" w:hAnsi="Book Antiqua"/>
        </w:rPr>
        <w:t>: 16-25 [</w:t>
      </w:r>
      <w:proofErr w:type="spellStart"/>
      <w:r>
        <w:rPr>
          <w:rFonts w:ascii="Book Antiqua" w:hAnsi="Book Antiqua"/>
        </w:rPr>
        <w:t>PMID</w:t>
      </w:r>
      <w:proofErr w:type="spellEnd"/>
      <w:r>
        <w:rPr>
          <w:rFonts w:ascii="Book Antiqua" w:hAnsi="Book Antiqua"/>
        </w:rPr>
        <w:t>: 26158242 DOI: 10.1055/s-0034-1392542]</w:t>
      </w:r>
    </w:p>
    <w:p w14:paraId="2408A595" w14:textId="77777777" w:rsidR="00430080" w:rsidRDefault="00000000">
      <w:pPr>
        <w:spacing w:line="360" w:lineRule="auto"/>
        <w:jc w:val="both"/>
        <w:rPr>
          <w:rFonts w:ascii="Book Antiqua" w:hAnsi="Book Antiqua"/>
        </w:rPr>
      </w:pPr>
      <w:r>
        <w:rPr>
          <w:rFonts w:ascii="Book Antiqua" w:hAnsi="Book Antiqua"/>
        </w:rPr>
        <w:t xml:space="preserve">10 </w:t>
      </w:r>
      <w:r>
        <w:rPr>
          <w:rFonts w:ascii="Book Antiqua" w:hAnsi="Book Antiqua"/>
          <w:b/>
          <w:bCs/>
        </w:rPr>
        <w:t>Kadowaki S</w:t>
      </w:r>
      <w:r>
        <w:rPr>
          <w:rFonts w:ascii="Book Antiqua" w:hAnsi="Book Antiqua"/>
        </w:rPr>
        <w:t xml:space="preserve">, Tanaka K, Toyoda H, Kosaka R, Imoto I, Hamada Y, </w:t>
      </w:r>
      <w:proofErr w:type="spellStart"/>
      <w:r>
        <w:rPr>
          <w:rFonts w:ascii="Book Antiqua" w:hAnsi="Book Antiqua"/>
        </w:rPr>
        <w:t>Katsurahara</w:t>
      </w:r>
      <w:proofErr w:type="spellEnd"/>
      <w:r>
        <w:rPr>
          <w:rFonts w:ascii="Book Antiqua" w:hAnsi="Book Antiqua"/>
        </w:rPr>
        <w:t xml:space="preserve"> M, Inoue H, Aoki M, Noda T, Yamada T, Takei Y, Katayama N. Ease of early gastric cancer demarcation recognition: a comparison of four magnifying endoscopy methods. </w:t>
      </w:r>
      <w:r>
        <w:rPr>
          <w:rFonts w:ascii="Book Antiqua" w:hAnsi="Book Antiqua"/>
          <w:i/>
          <w:iCs/>
        </w:rPr>
        <w:t>J Gastroenterol Hepatol</w:t>
      </w:r>
      <w:r>
        <w:rPr>
          <w:rFonts w:ascii="Book Antiqua" w:hAnsi="Book Antiqua"/>
        </w:rPr>
        <w:t xml:space="preserve"> 2009; </w:t>
      </w:r>
      <w:r>
        <w:rPr>
          <w:rFonts w:ascii="Book Antiqua" w:hAnsi="Book Antiqua"/>
          <w:b/>
          <w:bCs/>
        </w:rPr>
        <w:t>24</w:t>
      </w:r>
      <w:r>
        <w:rPr>
          <w:rFonts w:ascii="Book Antiqua" w:hAnsi="Book Antiqua"/>
        </w:rPr>
        <w:t>: 1625-1630 [</w:t>
      </w:r>
      <w:proofErr w:type="spellStart"/>
      <w:r>
        <w:rPr>
          <w:rFonts w:ascii="Book Antiqua" w:hAnsi="Book Antiqua"/>
        </w:rPr>
        <w:t>PMID</w:t>
      </w:r>
      <w:proofErr w:type="spellEnd"/>
      <w:r>
        <w:rPr>
          <w:rFonts w:ascii="Book Antiqua" w:hAnsi="Book Antiqua"/>
        </w:rPr>
        <w:t>: 19788603 DOI: 10.1111/</w:t>
      </w:r>
      <w:proofErr w:type="spellStart"/>
      <w:r>
        <w:rPr>
          <w:rFonts w:ascii="Book Antiqua" w:hAnsi="Book Antiqua"/>
        </w:rPr>
        <w:t>j.1440-1746.</w:t>
      </w:r>
      <w:proofErr w:type="gramStart"/>
      <w:r>
        <w:rPr>
          <w:rFonts w:ascii="Book Antiqua" w:hAnsi="Book Antiqua"/>
        </w:rPr>
        <w:t>2009.05918.x</w:t>
      </w:r>
      <w:proofErr w:type="spellEnd"/>
      <w:proofErr w:type="gramEnd"/>
      <w:r>
        <w:rPr>
          <w:rFonts w:ascii="Book Antiqua" w:hAnsi="Book Antiqua"/>
        </w:rPr>
        <w:t>]</w:t>
      </w:r>
    </w:p>
    <w:p w14:paraId="7AC516CC" w14:textId="77777777" w:rsidR="00430080" w:rsidRDefault="00000000">
      <w:pPr>
        <w:spacing w:line="360" w:lineRule="auto"/>
        <w:jc w:val="both"/>
        <w:rPr>
          <w:rFonts w:ascii="Book Antiqua" w:hAnsi="Book Antiqua"/>
        </w:rPr>
      </w:pPr>
      <w:r>
        <w:rPr>
          <w:rFonts w:ascii="Book Antiqua" w:hAnsi="Book Antiqua"/>
        </w:rPr>
        <w:t xml:space="preserve">11 </w:t>
      </w:r>
      <w:r>
        <w:rPr>
          <w:rFonts w:ascii="Book Antiqua" w:hAnsi="Book Antiqua"/>
          <w:b/>
          <w:bCs/>
        </w:rPr>
        <w:t>Sha J</w:t>
      </w:r>
      <w:r>
        <w:rPr>
          <w:rFonts w:ascii="Book Antiqua" w:hAnsi="Book Antiqua"/>
        </w:rPr>
        <w:t xml:space="preserve">, Wang P, Zhu B, Zhu M, Li X, Gao F. Acetic Acid Enhanced Narrow Band Imaging for the Diagnosis of Gastric Intestinal Metaplasia.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2017; </w:t>
      </w:r>
      <w:r>
        <w:rPr>
          <w:rFonts w:ascii="Book Antiqua" w:hAnsi="Book Antiqua"/>
          <w:b/>
          <w:bCs/>
        </w:rPr>
        <w:t>12</w:t>
      </w:r>
      <w:r>
        <w:rPr>
          <w:rFonts w:ascii="Book Antiqua" w:hAnsi="Book Antiqua"/>
        </w:rPr>
        <w:t xml:space="preserve">: </w:t>
      </w:r>
      <w:proofErr w:type="spellStart"/>
      <w:r>
        <w:rPr>
          <w:rFonts w:ascii="Book Antiqua" w:hAnsi="Book Antiqua"/>
        </w:rPr>
        <w:t>e0170957</w:t>
      </w:r>
      <w:proofErr w:type="spellEnd"/>
      <w:r>
        <w:rPr>
          <w:rFonts w:ascii="Book Antiqua" w:hAnsi="Book Antiqua"/>
        </w:rPr>
        <w:t xml:space="preserve"> [</w:t>
      </w:r>
      <w:proofErr w:type="spellStart"/>
      <w:r>
        <w:rPr>
          <w:rFonts w:ascii="Book Antiqua" w:hAnsi="Book Antiqua"/>
        </w:rPr>
        <w:t>PMID</w:t>
      </w:r>
      <w:proofErr w:type="spellEnd"/>
      <w:r>
        <w:rPr>
          <w:rFonts w:ascii="Book Antiqua" w:hAnsi="Book Antiqua"/>
        </w:rPr>
        <w:t>: 28135297 DOI: 10.1371/</w:t>
      </w:r>
      <w:proofErr w:type="spellStart"/>
      <w:r>
        <w:rPr>
          <w:rFonts w:ascii="Book Antiqua" w:hAnsi="Book Antiqua"/>
        </w:rPr>
        <w:t>journal.pone.0170957</w:t>
      </w:r>
      <w:proofErr w:type="spellEnd"/>
      <w:r>
        <w:rPr>
          <w:rFonts w:ascii="Book Antiqua" w:hAnsi="Book Antiqua"/>
        </w:rPr>
        <w:t>]</w:t>
      </w:r>
    </w:p>
    <w:p w14:paraId="76088FDC" w14:textId="77777777" w:rsidR="00430080" w:rsidRDefault="00000000">
      <w:pPr>
        <w:spacing w:line="360" w:lineRule="auto"/>
        <w:jc w:val="both"/>
        <w:rPr>
          <w:rFonts w:ascii="Book Antiqua" w:hAnsi="Book Antiqua"/>
        </w:rPr>
      </w:pPr>
      <w:r>
        <w:rPr>
          <w:rFonts w:ascii="Book Antiqua" w:hAnsi="Book Antiqua"/>
        </w:rPr>
        <w:t xml:space="preserve">12 </w:t>
      </w:r>
      <w:r>
        <w:rPr>
          <w:rFonts w:ascii="Book Antiqua" w:hAnsi="Book Antiqua"/>
          <w:b/>
          <w:bCs/>
        </w:rPr>
        <w:t>Singh R</w:t>
      </w:r>
      <w:r>
        <w:rPr>
          <w:rFonts w:ascii="Book Antiqua" w:hAnsi="Book Antiqua"/>
        </w:rPr>
        <w:t xml:space="preserve">, Shahzad MA, Tam W, Goda K, Yu LH, </w:t>
      </w:r>
      <w:proofErr w:type="spellStart"/>
      <w:r>
        <w:rPr>
          <w:rFonts w:ascii="Book Antiqua" w:hAnsi="Book Antiqua"/>
        </w:rPr>
        <w:t>Fujishiro</w:t>
      </w:r>
      <w:proofErr w:type="spellEnd"/>
      <w:r>
        <w:rPr>
          <w:rFonts w:ascii="Book Antiqua" w:hAnsi="Book Antiqua"/>
        </w:rPr>
        <w:t xml:space="preserve"> M, </w:t>
      </w:r>
      <w:proofErr w:type="spellStart"/>
      <w:r>
        <w:rPr>
          <w:rFonts w:ascii="Book Antiqua" w:hAnsi="Book Antiqua"/>
        </w:rPr>
        <w:t>Uedo</w:t>
      </w:r>
      <w:proofErr w:type="spellEnd"/>
      <w:r>
        <w:rPr>
          <w:rFonts w:ascii="Book Antiqua" w:hAnsi="Book Antiqua"/>
        </w:rPr>
        <w:t xml:space="preserve"> N, Ruszkiewicz A. Preliminary feasibility study using a novel narrow-band imaging system with dual focus magnification capability in Barrett's esophagus: is the time ripe to abandon random biopsies? </w:t>
      </w:r>
      <w:r>
        <w:rPr>
          <w:rFonts w:ascii="Book Antiqua" w:hAnsi="Book Antiqua"/>
          <w:i/>
          <w:iCs/>
        </w:rPr>
        <w:t xml:space="preserve">Dig </w:t>
      </w:r>
      <w:proofErr w:type="spellStart"/>
      <w:r>
        <w:rPr>
          <w:rFonts w:ascii="Book Antiqua" w:hAnsi="Book Antiqua"/>
          <w:i/>
          <w:iCs/>
        </w:rPr>
        <w:t>Endosc</w:t>
      </w:r>
      <w:proofErr w:type="spellEnd"/>
      <w:r>
        <w:rPr>
          <w:rFonts w:ascii="Book Antiqua" w:hAnsi="Book Antiqua"/>
        </w:rPr>
        <w:t xml:space="preserve"> 2013; </w:t>
      </w:r>
      <w:r>
        <w:rPr>
          <w:rFonts w:ascii="Book Antiqua" w:hAnsi="Book Antiqua"/>
          <w:b/>
          <w:bCs/>
        </w:rPr>
        <w:t>25</w:t>
      </w:r>
      <w:r>
        <w:rPr>
          <w:rFonts w:ascii="Book Antiqua" w:hAnsi="Book Antiqua"/>
        </w:rPr>
        <w:t xml:space="preserve"> Suppl 2: 151-156 [</w:t>
      </w:r>
      <w:proofErr w:type="spellStart"/>
      <w:r>
        <w:rPr>
          <w:rFonts w:ascii="Book Antiqua" w:hAnsi="Book Antiqua"/>
        </w:rPr>
        <w:t>PMID</w:t>
      </w:r>
      <w:proofErr w:type="spellEnd"/>
      <w:r>
        <w:rPr>
          <w:rFonts w:ascii="Book Antiqua" w:hAnsi="Book Antiqua"/>
        </w:rPr>
        <w:t>: 23617668 DOI: 10.1111/</w:t>
      </w:r>
      <w:proofErr w:type="spellStart"/>
      <w:r>
        <w:rPr>
          <w:rFonts w:ascii="Book Antiqua" w:hAnsi="Book Antiqua"/>
        </w:rPr>
        <w:t>den.12106</w:t>
      </w:r>
      <w:proofErr w:type="spellEnd"/>
      <w:r>
        <w:rPr>
          <w:rFonts w:ascii="Book Antiqua" w:hAnsi="Book Antiqua"/>
        </w:rPr>
        <w:t>]</w:t>
      </w:r>
    </w:p>
    <w:p w14:paraId="4183DF96" w14:textId="77777777" w:rsidR="00430080" w:rsidRDefault="00000000">
      <w:pPr>
        <w:spacing w:line="360" w:lineRule="auto"/>
        <w:jc w:val="both"/>
        <w:rPr>
          <w:rFonts w:ascii="Book Antiqua" w:hAnsi="Book Antiqua"/>
        </w:rPr>
      </w:pPr>
      <w:r>
        <w:rPr>
          <w:rFonts w:ascii="Book Antiqua" w:hAnsi="Book Antiqua"/>
        </w:rPr>
        <w:t xml:space="preserve">13 </w:t>
      </w:r>
      <w:r>
        <w:rPr>
          <w:rFonts w:ascii="Book Antiqua" w:hAnsi="Book Antiqua"/>
          <w:b/>
          <w:bCs/>
        </w:rPr>
        <w:t>Goda K</w:t>
      </w:r>
      <w:r>
        <w:rPr>
          <w:rFonts w:ascii="Book Antiqua" w:hAnsi="Book Antiqua"/>
        </w:rPr>
        <w:t xml:space="preserve">, Dobashi A, Yoshimura N, Aihara H, Kato M, </w:t>
      </w:r>
      <w:proofErr w:type="spellStart"/>
      <w:r>
        <w:rPr>
          <w:rFonts w:ascii="Book Antiqua" w:hAnsi="Book Antiqua"/>
        </w:rPr>
        <w:t>Sumiyama</w:t>
      </w:r>
      <w:proofErr w:type="spellEnd"/>
      <w:r>
        <w:rPr>
          <w:rFonts w:ascii="Book Antiqua" w:hAnsi="Book Antiqua"/>
        </w:rPr>
        <w:t xml:space="preserve"> K, </w:t>
      </w:r>
      <w:proofErr w:type="spellStart"/>
      <w:r>
        <w:rPr>
          <w:rFonts w:ascii="Book Antiqua" w:hAnsi="Book Antiqua"/>
        </w:rPr>
        <w:t>Toyoizumi</w:t>
      </w:r>
      <w:proofErr w:type="spellEnd"/>
      <w:r>
        <w:rPr>
          <w:rFonts w:ascii="Book Antiqua" w:hAnsi="Book Antiqua"/>
        </w:rPr>
        <w:t xml:space="preserve"> H, Kato T, Saijo H, Ikegami M, Tajiri H. Dual-focus versus conventional magnification endoscopy for the diagnosis of superficial squamous neoplasms in the pharynx and esophagus: a randomized trial. </w:t>
      </w:r>
      <w:r>
        <w:rPr>
          <w:rFonts w:ascii="Book Antiqua" w:hAnsi="Book Antiqua"/>
          <w:i/>
          <w:iCs/>
        </w:rPr>
        <w:t>Endoscopy</w:t>
      </w:r>
      <w:r>
        <w:rPr>
          <w:rFonts w:ascii="Book Antiqua" w:hAnsi="Book Antiqua"/>
        </w:rPr>
        <w:t xml:space="preserve"> 2016; </w:t>
      </w:r>
      <w:r>
        <w:rPr>
          <w:rFonts w:ascii="Book Antiqua" w:hAnsi="Book Antiqua"/>
          <w:b/>
          <w:bCs/>
        </w:rPr>
        <w:t>48</w:t>
      </w:r>
      <w:r>
        <w:rPr>
          <w:rFonts w:ascii="Book Antiqua" w:hAnsi="Book Antiqua"/>
        </w:rPr>
        <w:t>: 321-329 [</w:t>
      </w:r>
      <w:proofErr w:type="spellStart"/>
      <w:r>
        <w:rPr>
          <w:rFonts w:ascii="Book Antiqua" w:hAnsi="Book Antiqua"/>
        </w:rPr>
        <w:t>PMID</w:t>
      </w:r>
      <w:proofErr w:type="spellEnd"/>
      <w:r>
        <w:rPr>
          <w:rFonts w:ascii="Book Antiqua" w:hAnsi="Book Antiqua"/>
        </w:rPr>
        <w:t>: 26878247 DOI: 10.1055/s-0035-1569644]</w:t>
      </w:r>
    </w:p>
    <w:p w14:paraId="7B255049" w14:textId="77777777" w:rsidR="00430080" w:rsidRDefault="00000000">
      <w:pPr>
        <w:spacing w:line="360" w:lineRule="auto"/>
        <w:jc w:val="both"/>
        <w:rPr>
          <w:rFonts w:ascii="Book Antiqua" w:hAnsi="Book Antiqua"/>
        </w:rPr>
      </w:pPr>
      <w:r>
        <w:rPr>
          <w:rFonts w:ascii="Book Antiqua" w:hAnsi="Book Antiqua"/>
        </w:rPr>
        <w:t xml:space="preserve">14 </w:t>
      </w:r>
      <w:r>
        <w:rPr>
          <w:rFonts w:ascii="Book Antiqua" w:hAnsi="Book Antiqua"/>
          <w:b/>
          <w:bCs/>
        </w:rPr>
        <w:t>Gulati S</w:t>
      </w:r>
      <w:r>
        <w:rPr>
          <w:rFonts w:ascii="Book Antiqua" w:hAnsi="Book Antiqua"/>
        </w:rPr>
        <w:t>, Emmanuel A, Ong M, Pavlidis P, Patel M, El-</w:t>
      </w:r>
      <w:proofErr w:type="spellStart"/>
      <w:r>
        <w:rPr>
          <w:rFonts w:ascii="Book Antiqua" w:hAnsi="Book Antiqua"/>
        </w:rPr>
        <w:t>Menabawey</w:t>
      </w:r>
      <w:proofErr w:type="spellEnd"/>
      <w:r>
        <w:rPr>
          <w:rFonts w:ascii="Book Antiqua" w:hAnsi="Book Antiqua"/>
        </w:rPr>
        <w:t xml:space="preserve"> T, </w:t>
      </w:r>
      <w:proofErr w:type="spellStart"/>
      <w:r>
        <w:rPr>
          <w:rFonts w:ascii="Book Antiqua" w:hAnsi="Book Antiqua"/>
        </w:rPr>
        <w:t>Vackova</w:t>
      </w:r>
      <w:proofErr w:type="spellEnd"/>
      <w:r>
        <w:rPr>
          <w:rFonts w:ascii="Book Antiqua" w:hAnsi="Book Antiqua"/>
        </w:rPr>
        <w:t xml:space="preserve"> Z, Dubois P, Murino A, Martinek J, Sethi A, Neumann H, Haji A, Hayee B. Near-focus </w:t>
      </w:r>
      <w:r>
        <w:rPr>
          <w:rFonts w:ascii="Book Antiqua" w:hAnsi="Book Antiqua"/>
        </w:rPr>
        <w:lastRenderedPageBreak/>
        <w:t xml:space="preserve">narrow-band imaging classification of villous atrophy in suspected celiac disease: development and international validation.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2021; </w:t>
      </w:r>
      <w:r>
        <w:rPr>
          <w:rFonts w:ascii="Book Antiqua" w:hAnsi="Book Antiqua"/>
          <w:b/>
          <w:bCs/>
        </w:rPr>
        <w:t>94</w:t>
      </w:r>
      <w:r>
        <w:rPr>
          <w:rFonts w:ascii="Book Antiqua" w:hAnsi="Book Antiqua"/>
        </w:rPr>
        <w:t>: 1071-1081 [</w:t>
      </w:r>
      <w:proofErr w:type="spellStart"/>
      <w:r>
        <w:rPr>
          <w:rFonts w:ascii="Book Antiqua" w:hAnsi="Book Antiqua"/>
        </w:rPr>
        <w:t>PMID</w:t>
      </w:r>
      <w:proofErr w:type="spellEnd"/>
      <w:r>
        <w:rPr>
          <w:rFonts w:ascii="Book Antiqua" w:hAnsi="Book Antiqua"/>
        </w:rPr>
        <w:t>: 34228981 DOI: 10.1016/</w:t>
      </w:r>
      <w:proofErr w:type="spellStart"/>
      <w:r>
        <w:rPr>
          <w:rFonts w:ascii="Book Antiqua" w:hAnsi="Book Antiqua"/>
        </w:rPr>
        <w:t>j.gie.2021.06.031</w:t>
      </w:r>
      <w:proofErr w:type="spellEnd"/>
      <w:r>
        <w:rPr>
          <w:rFonts w:ascii="Book Antiqua" w:hAnsi="Book Antiqua"/>
        </w:rPr>
        <w:t>]</w:t>
      </w:r>
    </w:p>
    <w:p w14:paraId="6185F5B5" w14:textId="77777777" w:rsidR="00430080" w:rsidRDefault="00000000">
      <w:pPr>
        <w:spacing w:line="360" w:lineRule="auto"/>
        <w:jc w:val="both"/>
        <w:rPr>
          <w:rFonts w:ascii="Book Antiqua" w:hAnsi="Book Antiqua"/>
        </w:rPr>
      </w:pPr>
      <w:r>
        <w:rPr>
          <w:rFonts w:ascii="Book Antiqua" w:hAnsi="Book Antiqua"/>
        </w:rPr>
        <w:t xml:space="preserve">15 </w:t>
      </w:r>
      <w:r>
        <w:rPr>
          <w:rFonts w:ascii="Book Antiqua" w:hAnsi="Book Antiqua"/>
          <w:b/>
          <w:bCs/>
        </w:rPr>
        <w:t>Bond A</w:t>
      </w:r>
      <w:r>
        <w:rPr>
          <w:rFonts w:ascii="Book Antiqua" w:hAnsi="Book Antiqua"/>
        </w:rPr>
        <w:t xml:space="preserve">, Burkitt MD, Cox T, Smart HL, Probert C, Haslam N, Sarkar S. Dual-focus Magnification, High-Definition Endoscopy Improves Pathology Detection in Direct-to-Test Diagnostic Upper Gastrointestinal Endoscopy. </w:t>
      </w:r>
      <w:r>
        <w:rPr>
          <w:rFonts w:ascii="Book Antiqua" w:hAnsi="Book Antiqua"/>
          <w:i/>
          <w:iCs/>
        </w:rPr>
        <w:t xml:space="preserve">J </w:t>
      </w:r>
      <w:proofErr w:type="spellStart"/>
      <w:r>
        <w:rPr>
          <w:rFonts w:ascii="Book Antiqua" w:hAnsi="Book Antiqua"/>
          <w:i/>
          <w:iCs/>
        </w:rPr>
        <w:t>Gastrointestin</w:t>
      </w:r>
      <w:proofErr w:type="spellEnd"/>
      <w:r>
        <w:rPr>
          <w:rFonts w:ascii="Book Antiqua" w:hAnsi="Book Antiqua"/>
          <w:i/>
          <w:iCs/>
        </w:rPr>
        <w:t xml:space="preserve"> Liver Dis</w:t>
      </w:r>
      <w:r>
        <w:rPr>
          <w:rFonts w:ascii="Book Antiqua" w:hAnsi="Book Antiqua"/>
        </w:rPr>
        <w:t xml:space="preserve"> 2017; </w:t>
      </w:r>
      <w:r>
        <w:rPr>
          <w:rFonts w:ascii="Book Antiqua" w:hAnsi="Book Antiqua"/>
          <w:b/>
          <w:bCs/>
        </w:rPr>
        <w:t>26</w:t>
      </w:r>
      <w:r>
        <w:rPr>
          <w:rFonts w:ascii="Book Antiqua" w:hAnsi="Book Antiqua"/>
        </w:rPr>
        <w:t>: 19-24 [</w:t>
      </w:r>
      <w:proofErr w:type="spellStart"/>
      <w:r>
        <w:rPr>
          <w:rFonts w:ascii="Book Antiqua" w:hAnsi="Book Antiqua"/>
        </w:rPr>
        <w:t>PMID</w:t>
      </w:r>
      <w:proofErr w:type="spellEnd"/>
      <w:r>
        <w:rPr>
          <w:rFonts w:ascii="Book Antiqua" w:hAnsi="Book Antiqua"/>
        </w:rPr>
        <w:t>: 28338109 DOI: 10.15403/</w:t>
      </w:r>
      <w:proofErr w:type="spellStart"/>
      <w:r>
        <w:rPr>
          <w:rFonts w:ascii="Book Antiqua" w:hAnsi="Book Antiqua"/>
        </w:rPr>
        <w:t>jgld.2014.1121.261.gen</w:t>
      </w:r>
      <w:proofErr w:type="spellEnd"/>
      <w:r>
        <w:rPr>
          <w:rFonts w:ascii="Book Antiqua" w:hAnsi="Book Antiqua"/>
        </w:rPr>
        <w:t>]</w:t>
      </w:r>
    </w:p>
    <w:p w14:paraId="6B2FFDE3" w14:textId="77777777" w:rsidR="00430080" w:rsidRDefault="00000000">
      <w:pPr>
        <w:spacing w:line="360" w:lineRule="auto"/>
        <w:jc w:val="both"/>
        <w:rPr>
          <w:rFonts w:ascii="Book Antiqua" w:hAnsi="Book Antiqua"/>
        </w:rPr>
      </w:pPr>
      <w:r>
        <w:rPr>
          <w:rFonts w:ascii="Book Antiqua" w:hAnsi="Book Antiqua"/>
        </w:rPr>
        <w:t xml:space="preserve">16 </w:t>
      </w:r>
      <w:r>
        <w:rPr>
          <w:rFonts w:ascii="Book Antiqua" w:hAnsi="Book Antiqua"/>
          <w:b/>
          <w:bCs/>
        </w:rPr>
        <w:t xml:space="preserve">Kim </w:t>
      </w:r>
      <w:proofErr w:type="spellStart"/>
      <w:r>
        <w:rPr>
          <w:rFonts w:ascii="Book Antiqua" w:hAnsi="Book Antiqua"/>
          <w:b/>
          <w:bCs/>
        </w:rPr>
        <w:t>JW</w:t>
      </w:r>
      <w:proofErr w:type="spellEnd"/>
      <w:r>
        <w:rPr>
          <w:rFonts w:ascii="Book Antiqua" w:hAnsi="Book Antiqua"/>
        </w:rPr>
        <w:t xml:space="preserve">, Jung Y, Jang JY, Kim GH, Bang BW, Park JC, Choi HS, Cho JH; Research Group for Endoscopic Instruments and Stents of Korean Society of Gastrointestinal Endoscopy. Narrowband imaging with near-focus magnification for discriminating the gastric tumor margin before endoscopic resection: A prospective randomized multicenter trial. </w:t>
      </w:r>
      <w:r>
        <w:rPr>
          <w:rFonts w:ascii="Book Antiqua" w:hAnsi="Book Antiqua"/>
          <w:i/>
          <w:iCs/>
        </w:rPr>
        <w:t>J Gastroenterol Hepatol</w:t>
      </w:r>
      <w:r>
        <w:rPr>
          <w:rFonts w:ascii="Book Antiqua" w:hAnsi="Book Antiqua"/>
        </w:rPr>
        <w:t xml:space="preserve"> 2020; </w:t>
      </w:r>
      <w:r>
        <w:rPr>
          <w:rFonts w:ascii="Book Antiqua" w:hAnsi="Book Antiqua"/>
          <w:b/>
          <w:bCs/>
        </w:rPr>
        <w:t>35</w:t>
      </w:r>
      <w:r>
        <w:rPr>
          <w:rFonts w:ascii="Book Antiqua" w:hAnsi="Book Antiqua"/>
        </w:rPr>
        <w:t>: 1930-1937 [</w:t>
      </w:r>
      <w:proofErr w:type="spellStart"/>
      <w:r>
        <w:rPr>
          <w:rFonts w:ascii="Book Antiqua" w:hAnsi="Book Antiqua"/>
        </w:rPr>
        <w:t>PMID</w:t>
      </w:r>
      <w:proofErr w:type="spellEnd"/>
      <w:r>
        <w:rPr>
          <w:rFonts w:ascii="Book Antiqua" w:hAnsi="Book Antiqua"/>
        </w:rPr>
        <w:t>: 32433790 DOI: 10.1111/</w:t>
      </w:r>
      <w:proofErr w:type="spellStart"/>
      <w:r>
        <w:rPr>
          <w:rFonts w:ascii="Book Antiqua" w:hAnsi="Book Antiqua"/>
        </w:rPr>
        <w:t>jgh.15109</w:t>
      </w:r>
      <w:proofErr w:type="spellEnd"/>
      <w:r>
        <w:rPr>
          <w:rFonts w:ascii="Book Antiqua" w:hAnsi="Book Antiqua"/>
        </w:rPr>
        <w:t>]</w:t>
      </w:r>
    </w:p>
    <w:p w14:paraId="2B2BE534" w14:textId="77777777" w:rsidR="00430080" w:rsidRDefault="00000000">
      <w:pPr>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Kakushima</w:t>
      </w:r>
      <w:proofErr w:type="spellEnd"/>
      <w:r>
        <w:rPr>
          <w:rFonts w:ascii="Book Antiqua" w:hAnsi="Book Antiqua"/>
          <w:b/>
          <w:bCs/>
        </w:rPr>
        <w:t xml:space="preserve"> N</w:t>
      </w:r>
      <w:r>
        <w:rPr>
          <w:rFonts w:ascii="Book Antiqua" w:hAnsi="Book Antiqua"/>
        </w:rPr>
        <w:t xml:space="preserve">, Yoshida N, </w:t>
      </w:r>
      <w:proofErr w:type="spellStart"/>
      <w:r>
        <w:rPr>
          <w:rFonts w:ascii="Book Antiqua" w:hAnsi="Book Antiqua"/>
        </w:rPr>
        <w:t>Doyama</w:t>
      </w:r>
      <w:proofErr w:type="spellEnd"/>
      <w:r>
        <w:rPr>
          <w:rFonts w:ascii="Book Antiqua" w:hAnsi="Book Antiqua"/>
        </w:rPr>
        <w:t xml:space="preserve"> H, Yano T, </w:t>
      </w:r>
      <w:proofErr w:type="spellStart"/>
      <w:r>
        <w:rPr>
          <w:rFonts w:ascii="Book Antiqua" w:hAnsi="Book Antiqua"/>
        </w:rPr>
        <w:t>Horimatsu</w:t>
      </w:r>
      <w:proofErr w:type="spellEnd"/>
      <w:r>
        <w:rPr>
          <w:rFonts w:ascii="Book Antiqua" w:hAnsi="Book Antiqua"/>
        </w:rPr>
        <w:t xml:space="preserve"> T, </w:t>
      </w:r>
      <w:proofErr w:type="spellStart"/>
      <w:r>
        <w:rPr>
          <w:rFonts w:ascii="Book Antiqua" w:hAnsi="Book Antiqua"/>
        </w:rPr>
        <w:t>Uedo</w:t>
      </w:r>
      <w:proofErr w:type="spellEnd"/>
      <w:r>
        <w:rPr>
          <w:rFonts w:ascii="Book Antiqua" w:hAnsi="Book Antiqua"/>
        </w:rPr>
        <w:t xml:space="preserve"> N, Yamamoto Y, Kanzaki H, Hori S, Yao K, Oda I, Tanabe S, Yokoi C, Ohata K, Yoshimura K, Ishikawa H, Muto M. Near-focus magnification and second-generation narrow-band imaging for early gastric cancer in a randomized trial. </w:t>
      </w:r>
      <w:r>
        <w:rPr>
          <w:rFonts w:ascii="Book Antiqua" w:hAnsi="Book Antiqua"/>
          <w:i/>
          <w:iCs/>
        </w:rPr>
        <w:t>J Gastroenterol</w:t>
      </w:r>
      <w:r>
        <w:rPr>
          <w:rFonts w:ascii="Book Antiqua" w:hAnsi="Book Antiqua"/>
        </w:rPr>
        <w:t xml:space="preserve"> 2020; </w:t>
      </w:r>
      <w:r>
        <w:rPr>
          <w:rFonts w:ascii="Book Antiqua" w:hAnsi="Book Antiqua"/>
          <w:b/>
          <w:bCs/>
        </w:rPr>
        <w:t>55</w:t>
      </w:r>
      <w:r>
        <w:rPr>
          <w:rFonts w:ascii="Book Antiqua" w:hAnsi="Book Antiqua"/>
        </w:rPr>
        <w:t>: 1127-1137 [</w:t>
      </w:r>
      <w:proofErr w:type="spellStart"/>
      <w:r>
        <w:rPr>
          <w:rFonts w:ascii="Book Antiqua" w:hAnsi="Book Antiqua"/>
        </w:rPr>
        <w:t>PMID</w:t>
      </w:r>
      <w:proofErr w:type="spellEnd"/>
      <w:r>
        <w:rPr>
          <w:rFonts w:ascii="Book Antiqua" w:hAnsi="Book Antiqua"/>
        </w:rPr>
        <w:t>: 33021688 DOI: 10.1007/</w:t>
      </w:r>
      <w:proofErr w:type="spellStart"/>
      <w:r>
        <w:rPr>
          <w:rFonts w:ascii="Book Antiqua" w:hAnsi="Book Antiqua"/>
        </w:rPr>
        <w:t>s00535</w:t>
      </w:r>
      <w:proofErr w:type="spellEnd"/>
      <w:r>
        <w:rPr>
          <w:rFonts w:ascii="Book Antiqua" w:hAnsi="Book Antiqua"/>
        </w:rPr>
        <w:t>-020-01734-3]</w:t>
      </w:r>
    </w:p>
    <w:p w14:paraId="4E04B98E" w14:textId="77777777" w:rsidR="00430080" w:rsidRDefault="00000000">
      <w:pPr>
        <w:spacing w:line="360" w:lineRule="auto"/>
        <w:jc w:val="both"/>
        <w:rPr>
          <w:rFonts w:ascii="Book Antiqua" w:hAnsi="Book Antiqua"/>
        </w:rPr>
      </w:pPr>
      <w:r>
        <w:rPr>
          <w:rFonts w:ascii="Book Antiqua" w:hAnsi="Book Antiqua"/>
        </w:rPr>
        <w:t xml:space="preserve">18 </w:t>
      </w:r>
      <w:r>
        <w:rPr>
          <w:rFonts w:ascii="Book Antiqua" w:hAnsi="Book Antiqua"/>
          <w:b/>
          <w:bCs/>
        </w:rPr>
        <w:t>Na HK</w:t>
      </w:r>
      <w:r>
        <w:rPr>
          <w:rFonts w:ascii="Book Antiqua" w:hAnsi="Book Antiqua"/>
        </w:rPr>
        <w:t xml:space="preserve">, Choi </w:t>
      </w:r>
      <w:proofErr w:type="spellStart"/>
      <w:r>
        <w:rPr>
          <w:rFonts w:ascii="Book Antiqua" w:hAnsi="Book Antiqua"/>
        </w:rPr>
        <w:t>KD</w:t>
      </w:r>
      <w:proofErr w:type="spellEnd"/>
      <w:r>
        <w:rPr>
          <w:rFonts w:ascii="Book Antiqua" w:hAnsi="Book Antiqua"/>
        </w:rPr>
        <w:t xml:space="preserve">, Park </w:t>
      </w:r>
      <w:proofErr w:type="spellStart"/>
      <w:r>
        <w:rPr>
          <w:rFonts w:ascii="Book Antiqua" w:hAnsi="Book Antiqua"/>
        </w:rPr>
        <w:t>YS</w:t>
      </w:r>
      <w:proofErr w:type="spellEnd"/>
      <w:r>
        <w:rPr>
          <w:rFonts w:ascii="Book Antiqua" w:hAnsi="Book Antiqua"/>
        </w:rPr>
        <w:t xml:space="preserve">, Kim </w:t>
      </w:r>
      <w:proofErr w:type="spellStart"/>
      <w:r>
        <w:rPr>
          <w:rFonts w:ascii="Book Antiqua" w:hAnsi="Book Antiqua"/>
        </w:rPr>
        <w:t>HJ</w:t>
      </w:r>
      <w:proofErr w:type="spellEnd"/>
      <w:r>
        <w:rPr>
          <w:rFonts w:ascii="Book Antiqua" w:hAnsi="Book Antiqua"/>
        </w:rPr>
        <w:t xml:space="preserve">, Ahn JY, Lee JH, Jung KW, Kim DH, Song </w:t>
      </w:r>
      <w:proofErr w:type="spellStart"/>
      <w:r>
        <w:rPr>
          <w:rFonts w:ascii="Book Antiqua" w:hAnsi="Book Antiqua"/>
        </w:rPr>
        <w:t>HJ</w:t>
      </w:r>
      <w:proofErr w:type="spellEnd"/>
      <w:r>
        <w:rPr>
          <w:rFonts w:ascii="Book Antiqua" w:hAnsi="Book Antiqua"/>
        </w:rPr>
        <w:t xml:space="preserve">, Lee GH, Jung HY. Endoscopic scoring system for gastric atrophy and intestinal metaplasia: correlation with OLGA and </w:t>
      </w:r>
      <w:proofErr w:type="spellStart"/>
      <w:r>
        <w:rPr>
          <w:rFonts w:ascii="Book Antiqua" w:hAnsi="Book Antiqua"/>
        </w:rPr>
        <w:t>OLGIM</w:t>
      </w:r>
      <w:proofErr w:type="spellEnd"/>
      <w:r>
        <w:rPr>
          <w:rFonts w:ascii="Book Antiqua" w:hAnsi="Book Antiqua"/>
        </w:rPr>
        <w:t xml:space="preserve"> staging: a single-center prospective pilot study in Korea. </w:t>
      </w:r>
      <w:r>
        <w:rPr>
          <w:rFonts w:ascii="Book Antiqua" w:hAnsi="Book Antiqua"/>
          <w:i/>
          <w:iCs/>
        </w:rPr>
        <w:t>Scand J Gastroenterol</w:t>
      </w:r>
      <w:r>
        <w:rPr>
          <w:rFonts w:ascii="Book Antiqua" w:hAnsi="Book Antiqua"/>
        </w:rPr>
        <w:t xml:space="preserve"> 2022; </w:t>
      </w:r>
      <w:r>
        <w:rPr>
          <w:rFonts w:ascii="Book Antiqua" w:hAnsi="Book Antiqua"/>
          <w:b/>
          <w:bCs/>
        </w:rPr>
        <w:t>57</w:t>
      </w:r>
      <w:r>
        <w:rPr>
          <w:rFonts w:ascii="Book Antiqua" w:hAnsi="Book Antiqua"/>
        </w:rPr>
        <w:t>: 1097-1104 [</w:t>
      </w:r>
      <w:proofErr w:type="spellStart"/>
      <w:r>
        <w:rPr>
          <w:rFonts w:ascii="Book Antiqua" w:hAnsi="Book Antiqua"/>
        </w:rPr>
        <w:t>PMID</w:t>
      </w:r>
      <w:proofErr w:type="spellEnd"/>
      <w:r>
        <w:rPr>
          <w:rFonts w:ascii="Book Antiqua" w:hAnsi="Book Antiqua"/>
        </w:rPr>
        <w:t>: 35387540 DOI: 10.1080/00365521.2022.2055974]</w:t>
      </w:r>
    </w:p>
    <w:p w14:paraId="264F693C" w14:textId="77777777" w:rsidR="00430080" w:rsidRDefault="00000000">
      <w:pPr>
        <w:spacing w:line="360" w:lineRule="auto"/>
        <w:jc w:val="both"/>
        <w:rPr>
          <w:rFonts w:ascii="Book Antiqua" w:hAnsi="Book Antiqua"/>
        </w:rPr>
      </w:pPr>
      <w:r>
        <w:rPr>
          <w:rFonts w:ascii="Book Antiqua" w:hAnsi="Book Antiqua"/>
        </w:rPr>
        <w:t xml:space="preserve">19 </w:t>
      </w:r>
      <w:r>
        <w:rPr>
          <w:rFonts w:ascii="Book Antiqua" w:hAnsi="Book Antiqua"/>
          <w:b/>
          <w:bCs/>
        </w:rPr>
        <w:t>Fiuza F</w:t>
      </w:r>
      <w:r>
        <w:rPr>
          <w:rFonts w:ascii="Book Antiqua" w:hAnsi="Book Antiqua"/>
        </w:rPr>
        <w:t xml:space="preserve">, Maluf-Filho F, Ide E, Furuya CK Jr, </w:t>
      </w:r>
      <w:proofErr w:type="spellStart"/>
      <w:r>
        <w:rPr>
          <w:rFonts w:ascii="Book Antiqua" w:hAnsi="Book Antiqua"/>
        </w:rPr>
        <w:t>Fylyk</w:t>
      </w:r>
      <w:proofErr w:type="spellEnd"/>
      <w:r>
        <w:rPr>
          <w:rFonts w:ascii="Book Antiqua" w:hAnsi="Book Antiqua"/>
        </w:rPr>
        <w:t xml:space="preserve"> SN, Ruas JN, </w:t>
      </w:r>
      <w:proofErr w:type="spellStart"/>
      <w:r>
        <w:rPr>
          <w:rFonts w:ascii="Book Antiqua" w:hAnsi="Book Antiqua"/>
        </w:rPr>
        <w:t>Stabach</w:t>
      </w:r>
      <w:proofErr w:type="spellEnd"/>
      <w:r>
        <w:rPr>
          <w:rFonts w:ascii="Book Antiqua" w:hAnsi="Book Antiqua"/>
        </w:rPr>
        <w:t xml:space="preserve"> L, Araujo GA, </w:t>
      </w:r>
      <w:proofErr w:type="spellStart"/>
      <w:r>
        <w:rPr>
          <w:rFonts w:ascii="Book Antiqua" w:hAnsi="Book Antiqua"/>
        </w:rPr>
        <w:t>Matuguma</w:t>
      </w:r>
      <w:proofErr w:type="spellEnd"/>
      <w:r>
        <w:rPr>
          <w:rFonts w:ascii="Book Antiqua" w:hAnsi="Book Antiqua"/>
        </w:rPr>
        <w:t xml:space="preserve"> SE, Uemura RS, Sakai CM, Yamazaki K, Ueda SS, Sakai P, Martins BC. Association between mucosal surface pattern under near focus technology and Helicobacter pylori infection. </w:t>
      </w:r>
      <w:r>
        <w:rPr>
          <w:rFonts w:ascii="Book Antiqua" w:hAnsi="Book Antiqua"/>
          <w:i/>
          <w:iCs/>
        </w:rPr>
        <w:t xml:space="preserve">World J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2021; </w:t>
      </w:r>
      <w:r>
        <w:rPr>
          <w:rFonts w:ascii="Book Antiqua" w:hAnsi="Book Antiqua"/>
          <w:b/>
          <w:bCs/>
        </w:rPr>
        <w:t>13</w:t>
      </w:r>
      <w:r>
        <w:rPr>
          <w:rFonts w:ascii="Book Antiqua" w:hAnsi="Book Antiqua"/>
        </w:rPr>
        <w:t>: 518-528 [</w:t>
      </w:r>
      <w:proofErr w:type="spellStart"/>
      <w:r>
        <w:rPr>
          <w:rFonts w:ascii="Book Antiqua" w:hAnsi="Book Antiqua"/>
        </w:rPr>
        <w:t>PMID</w:t>
      </w:r>
      <w:proofErr w:type="spellEnd"/>
      <w:r>
        <w:rPr>
          <w:rFonts w:ascii="Book Antiqua" w:hAnsi="Book Antiqua"/>
        </w:rPr>
        <w:t>: 34733412 DOI: 10.4253/</w:t>
      </w:r>
      <w:proofErr w:type="spellStart"/>
      <w:proofErr w:type="gramStart"/>
      <w:r>
        <w:rPr>
          <w:rFonts w:ascii="Book Antiqua" w:hAnsi="Book Antiqua"/>
        </w:rPr>
        <w:t>wjge.v13.i</w:t>
      </w:r>
      <w:proofErr w:type="gramEnd"/>
      <w:r>
        <w:rPr>
          <w:rFonts w:ascii="Book Antiqua" w:hAnsi="Book Antiqua"/>
        </w:rPr>
        <w:t>10.518</w:t>
      </w:r>
      <w:proofErr w:type="spellEnd"/>
      <w:r>
        <w:rPr>
          <w:rFonts w:ascii="Book Antiqua" w:hAnsi="Book Antiqua"/>
        </w:rPr>
        <w:t>]</w:t>
      </w:r>
    </w:p>
    <w:p w14:paraId="4F84E4CF" w14:textId="77777777" w:rsidR="00430080" w:rsidRDefault="00000000">
      <w:pPr>
        <w:spacing w:line="360" w:lineRule="auto"/>
        <w:jc w:val="both"/>
        <w:rPr>
          <w:rFonts w:ascii="Book Antiqua" w:hAnsi="Book Antiqua"/>
        </w:rPr>
      </w:pPr>
      <w:r>
        <w:rPr>
          <w:rFonts w:ascii="Book Antiqua" w:hAnsi="Book Antiqua"/>
        </w:rPr>
        <w:t xml:space="preserve">20 </w:t>
      </w:r>
      <w:r>
        <w:rPr>
          <w:rFonts w:ascii="Book Antiqua" w:hAnsi="Book Antiqua"/>
          <w:b/>
          <w:bCs/>
        </w:rPr>
        <w:t>McHugh ML</w:t>
      </w:r>
      <w:r>
        <w:rPr>
          <w:rFonts w:ascii="Book Antiqua" w:hAnsi="Book Antiqua"/>
        </w:rPr>
        <w:t xml:space="preserve">. Interrater reliability: the kappa statistic. </w:t>
      </w:r>
      <w:proofErr w:type="spellStart"/>
      <w:r>
        <w:rPr>
          <w:rFonts w:ascii="Book Antiqua" w:hAnsi="Book Antiqua"/>
          <w:i/>
          <w:iCs/>
        </w:rPr>
        <w:t>Biochem</w:t>
      </w:r>
      <w:proofErr w:type="spellEnd"/>
      <w:r>
        <w:rPr>
          <w:rFonts w:ascii="Book Antiqua" w:hAnsi="Book Antiqua"/>
          <w:i/>
          <w:iCs/>
        </w:rPr>
        <w:t xml:space="preserve"> Med (Zagreb)</w:t>
      </w:r>
      <w:r>
        <w:rPr>
          <w:rFonts w:ascii="Book Antiqua" w:hAnsi="Book Antiqua"/>
        </w:rPr>
        <w:t xml:space="preserve"> 2012; </w:t>
      </w:r>
      <w:r>
        <w:rPr>
          <w:rFonts w:ascii="Book Antiqua" w:hAnsi="Book Antiqua"/>
          <w:b/>
          <w:bCs/>
        </w:rPr>
        <w:t>22</w:t>
      </w:r>
      <w:r>
        <w:rPr>
          <w:rFonts w:ascii="Book Antiqua" w:hAnsi="Book Antiqua"/>
        </w:rPr>
        <w:t>: 276-282 [</w:t>
      </w:r>
      <w:proofErr w:type="spellStart"/>
      <w:r>
        <w:rPr>
          <w:rFonts w:ascii="Book Antiqua" w:hAnsi="Book Antiqua"/>
        </w:rPr>
        <w:t>PMID</w:t>
      </w:r>
      <w:proofErr w:type="spellEnd"/>
      <w:r>
        <w:rPr>
          <w:rFonts w:ascii="Book Antiqua" w:hAnsi="Book Antiqua"/>
        </w:rPr>
        <w:t>: 23092060]</w:t>
      </w:r>
    </w:p>
    <w:p w14:paraId="384AB403" w14:textId="77777777" w:rsidR="00430080" w:rsidRDefault="00000000">
      <w:pPr>
        <w:spacing w:line="360" w:lineRule="auto"/>
        <w:jc w:val="both"/>
        <w:rPr>
          <w:rFonts w:ascii="Book Antiqua" w:hAnsi="Book Antiqua"/>
        </w:rPr>
      </w:pPr>
      <w:r>
        <w:rPr>
          <w:rFonts w:ascii="Book Antiqua" w:hAnsi="Book Antiqua"/>
        </w:rPr>
        <w:lastRenderedPageBreak/>
        <w:t xml:space="preserve">21 </w:t>
      </w:r>
      <w:proofErr w:type="spellStart"/>
      <w:r>
        <w:rPr>
          <w:rFonts w:ascii="Book Antiqua" w:hAnsi="Book Antiqua"/>
          <w:b/>
          <w:bCs/>
        </w:rPr>
        <w:t>Garcés</w:t>
      </w:r>
      <w:proofErr w:type="spellEnd"/>
      <w:r>
        <w:rPr>
          <w:rFonts w:ascii="Book Antiqua" w:hAnsi="Book Antiqua"/>
          <w:b/>
          <w:bCs/>
        </w:rPr>
        <w:t>-Durán R</w:t>
      </w:r>
      <w:r>
        <w:rPr>
          <w:rFonts w:ascii="Book Antiqua" w:hAnsi="Book Antiqua"/>
        </w:rPr>
        <w:t xml:space="preserve">, García-Rodríguez A, Córdova H, </w:t>
      </w:r>
      <w:proofErr w:type="spellStart"/>
      <w:r>
        <w:rPr>
          <w:rFonts w:ascii="Book Antiqua" w:hAnsi="Book Antiqua"/>
        </w:rPr>
        <w:t>Cuatrecasas</w:t>
      </w:r>
      <w:proofErr w:type="spellEnd"/>
      <w:r>
        <w:rPr>
          <w:rFonts w:ascii="Book Antiqua" w:hAnsi="Book Antiqua"/>
        </w:rPr>
        <w:t xml:space="preserve"> M, </w:t>
      </w:r>
      <w:proofErr w:type="spellStart"/>
      <w:r>
        <w:rPr>
          <w:rFonts w:ascii="Book Antiqua" w:hAnsi="Book Antiqua"/>
        </w:rPr>
        <w:t>Ginès</w:t>
      </w:r>
      <w:proofErr w:type="spellEnd"/>
      <w:r>
        <w:rPr>
          <w:rFonts w:ascii="Book Antiqua" w:hAnsi="Book Antiqua"/>
        </w:rPr>
        <w:t xml:space="preserve"> À, González-Suárez B, Araujo I, </w:t>
      </w:r>
      <w:proofErr w:type="spellStart"/>
      <w:r>
        <w:rPr>
          <w:rFonts w:ascii="Book Antiqua" w:hAnsi="Book Antiqua"/>
        </w:rPr>
        <w:t>Llach</w:t>
      </w:r>
      <w:proofErr w:type="spellEnd"/>
      <w:r>
        <w:rPr>
          <w:rFonts w:ascii="Book Antiqua" w:hAnsi="Book Antiqua"/>
        </w:rPr>
        <w:t xml:space="preserve"> J, Fernández-</w:t>
      </w:r>
      <w:proofErr w:type="spellStart"/>
      <w:r>
        <w:rPr>
          <w:rFonts w:ascii="Book Antiqua" w:hAnsi="Book Antiqua"/>
        </w:rPr>
        <w:t>Esparrach</w:t>
      </w:r>
      <w:proofErr w:type="spellEnd"/>
      <w:r>
        <w:rPr>
          <w:rFonts w:ascii="Book Antiqua" w:hAnsi="Book Antiqua"/>
        </w:rPr>
        <w:t xml:space="preserve"> G. Association between a regular arrangement of collecting venules and absence of Helicobacter pylori infection in a European population.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2019; </w:t>
      </w:r>
      <w:r>
        <w:rPr>
          <w:rFonts w:ascii="Book Antiqua" w:hAnsi="Book Antiqua"/>
          <w:b/>
          <w:bCs/>
        </w:rPr>
        <w:t>90</w:t>
      </w:r>
      <w:r>
        <w:rPr>
          <w:rFonts w:ascii="Book Antiqua" w:hAnsi="Book Antiqua"/>
        </w:rPr>
        <w:t>: 461-466 [</w:t>
      </w:r>
      <w:proofErr w:type="spellStart"/>
      <w:r>
        <w:rPr>
          <w:rFonts w:ascii="Book Antiqua" w:hAnsi="Book Antiqua"/>
        </w:rPr>
        <w:t>PMID</w:t>
      </w:r>
      <w:proofErr w:type="spellEnd"/>
      <w:r>
        <w:rPr>
          <w:rFonts w:ascii="Book Antiqua" w:hAnsi="Book Antiqua"/>
        </w:rPr>
        <w:t>: 31108089 DOI: 10.1016/</w:t>
      </w:r>
      <w:proofErr w:type="spellStart"/>
      <w:r>
        <w:rPr>
          <w:rFonts w:ascii="Book Antiqua" w:hAnsi="Book Antiqua"/>
        </w:rPr>
        <w:t>j.gie.2019.05.027</w:t>
      </w:r>
      <w:proofErr w:type="spellEnd"/>
      <w:r>
        <w:rPr>
          <w:rFonts w:ascii="Book Antiqua" w:hAnsi="Book Antiqua"/>
        </w:rPr>
        <w:t>]</w:t>
      </w:r>
    </w:p>
    <w:p w14:paraId="24E8B6A0" w14:textId="77777777" w:rsidR="00430080" w:rsidRDefault="00000000">
      <w:pPr>
        <w:spacing w:line="360" w:lineRule="auto"/>
        <w:jc w:val="both"/>
        <w:rPr>
          <w:rFonts w:ascii="Book Antiqua" w:hAnsi="Book Antiqua"/>
        </w:rPr>
      </w:pPr>
      <w:r>
        <w:rPr>
          <w:rFonts w:ascii="Book Antiqua" w:hAnsi="Book Antiqua"/>
        </w:rPr>
        <w:t xml:space="preserve">22 </w:t>
      </w:r>
      <w:r>
        <w:rPr>
          <w:rFonts w:ascii="Book Antiqua" w:hAnsi="Book Antiqua"/>
          <w:b/>
          <w:bCs/>
        </w:rPr>
        <w:t>Yagi K</w:t>
      </w:r>
      <w:r>
        <w:rPr>
          <w:rFonts w:ascii="Book Antiqua" w:hAnsi="Book Antiqua"/>
        </w:rPr>
        <w:t xml:space="preserve">, Nakamura A, Sekine A. Comparison between magnifying endoscopy and histological, culture and urease test findings from the gastric mucosa of the corpus. </w:t>
      </w:r>
      <w:r>
        <w:rPr>
          <w:rFonts w:ascii="Book Antiqua" w:hAnsi="Book Antiqua"/>
          <w:i/>
          <w:iCs/>
        </w:rPr>
        <w:t>Endoscopy</w:t>
      </w:r>
      <w:r>
        <w:rPr>
          <w:rFonts w:ascii="Book Antiqua" w:hAnsi="Book Antiqua"/>
        </w:rPr>
        <w:t xml:space="preserve"> 2002; </w:t>
      </w:r>
      <w:r>
        <w:rPr>
          <w:rFonts w:ascii="Book Antiqua" w:hAnsi="Book Antiqua"/>
          <w:b/>
          <w:bCs/>
        </w:rPr>
        <w:t>34</w:t>
      </w:r>
      <w:r>
        <w:rPr>
          <w:rFonts w:ascii="Book Antiqua" w:hAnsi="Book Antiqua"/>
        </w:rPr>
        <w:t>: 376-381 [</w:t>
      </w:r>
      <w:proofErr w:type="spellStart"/>
      <w:r>
        <w:rPr>
          <w:rFonts w:ascii="Book Antiqua" w:hAnsi="Book Antiqua"/>
        </w:rPr>
        <w:t>PMID</w:t>
      </w:r>
      <w:proofErr w:type="spellEnd"/>
      <w:r>
        <w:rPr>
          <w:rFonts w:ascii="Book Antiqua" w:hAnsi="Book Antiqua"/>
        </w:rPr>
        <w:t>: 11972268 DOI: 10.1055/s-2002-25281]</w:t>
      </w:r>
    </w:p>
    <w:p w14:paraId="0EB2E24F" w14:textId="77777777" w:rsidR="00430080" w:rsidRDefault="00000000">
      <w:pPr>
        <w:spacing w:line="360" w:lineRule="auto"/>
        <w:jc w:val="both"/>
        <w:rPr>
          <w:rFonts w:ascii="Book Antiqua" w:hAnsi="Book Antiqua"/>
        </w:rPr>
      </w:pPr>
      <w:r>
        <w:rPr>
          <w:rFonts w:ascii="Book Antiqua" w:hAnsi="Book Antiqua"/>
        </w:rPr>
        <w:t xml:space="preserve">23 </w:t>
      </w:r>
      <w:r>
        <w:rPr>
          <w:rFonts w:ascii="Book Antiqua" w:hAnsi="Book Antiqua"/>
          <w:b/>
          <w:bCs/>
        </w:rPr>
        <w:t xml:space="preserve">Anagnostopoulos </w:t>
      </w:r>
      <w:proofErr w:type="spellStart"/>
      <w:r>
        <w:rPr>
          <w:rFonts w:ascii="Book Antiqua" w:hAnsi="Book Antiqua"/>
          <w:b/>
          <w:bCs/>
        </w:rPr>
        <w:t>GK</w:t>
      </w:r>
      <w:proofErr w:type="spellEnd"/>
      <w:r>
        <w:rPr>
          <w:rFonts w:ascii="Book Antiqua" w:hAnsi="Book Antiqua"/>
        </w:rPr>
        <w:t xml:space="preserve">, Yao K, Kaye P, Fogden E, Fortun P, </w:t>
      </w:r>
      <w:proofErr w:type="spellStart"/>
      <w:r>
        <w:rPr>
          <w:rFonts w:ascii="Book Antiqua" w:hAnsi="Book Antiqua"/>
        </w:rPr>
        <w:t>Shonde</w:t>
      </w:r>
      <w:proofErr w:type="spellEnd"/>
      <w:r>
        <w:rPr>
          <w:rFonts w:ascii="Book Antiqua" w:hAnsi="Book Antiqua"/>
        </w:rPr>
        <w:t xml:space="preserve"> A, Foley S, Sunil S, Atherton JJ, Hawkey C, Ragunath K. High-resolution magnification endoscopy can reliably identify normal gastric mucosa, Helicobacter pylori-associated gastritis, and gastric atrophy. </w:t>
      </w:r>
      <w:r>
        <w:rPr>
          <w:rFonts w:ascii="Book Antiqua" w:hAnsi="Book Antiqua"/>
          <w:i/>
          <w:iCs/>
        </w:rPr>
        <w:t>Endoscopy</w:t>
      </w:r>
      <w:r>
        <w:rPr>
          <w:rFonts w:ascii="Book Antiqua" w:hAnsi="Book Antiqua"/>
        </w:rPr>
        <w:t xml:space="preserve"> 2007; </w:t>
      </w:r>
      <w:r>
        <w:rPr>
          <w:rFonts w:ascii="Book Antiqua" w:hAnsi="Book Antiqua"/>
          <w:b/>
          <w:bCs/>
        </w:rPr>
        <w:t>39</w:t>
      </w:r>
      <w:r>
        <w:rPr>
          <w:rFonts w:ascii="Book Antiqua" w:hAnsi="Book Antiqua"/>
        </w:rPr>
        <w:t>: 202-207 [</w:t>
      </w:r>
      <w:proofErr w:type="spellStart"/>
      <w:r>
        <w:rPr>
          <w:rFonts w:ascii="Book Antiqua" w:hAnsi="Book Antiqua"/>
        </w:rPr>
        <w:t>PMID</w:t>
      </w:r>
      <w:proofErr w:type="spellEnd"/>
      <w:r>
        <w:rPr>
          <w:rFonts w:ascii="Book Antiqua" w:hAnsi="Book Antiqua"/>
        </w:rPr>
        <w:t>: 17273960 DOI: 10.1055/s-2006-945056]</w:t>
      </w:r>
    </w:p>
    <w:p w14:paraId="7FA09D6E" w14:textId="77777777" w:rsidR="00430080" w:rsidRDefault="00000000">
      <w:pPr>
        <w:spacing w:line="360" w:lineRule="auto"/>
        <w:jc w:val="both"/>
        <w:rPr>
          <w:rFonts w:ascii="Book Antiqua" w:hAnsi="Book Antiqua"/>
        </w:rPr>
      </w:pPr>
      <w:r>
        <w:rPr>
          <w:rFonts w:ascii="Book Antiqua" w:hAnsi="Book Antiqua"/>
        </w:rPr>
        <w:t xml:space="preserve">24 </w:t>
      </w:r>
      <w:proofErr w:type="spellStart"/>
      <w:r>
        <w:rPr>
          <w:rFonts w:ascii="Book Antiqua" w:hAnsi="Book Antiqua"/>
          <w:b/>
          <w:bCs/>
        </w:rPr>
        <w:t>Tahara</w:t>
      </w:r>
      <w:proofErr w:type="spellEnd"/>
      <w:r>
        <w:rPr>
          <w:rFonts w:ascii="Book Antiqua" w:hAnsi="Book Antiqua"/>
          <w:b/>
          <w:bCs/>
        </w:rPr>
        <w:t xml:space="preserve"> T</w:t>
      </w:r>
      <w:r>
        <w:rPr>
          <w:rFonts w:ascii="Book Antiqua" w:hAnsi="Book Antiqua"/>
        </w:rPr>
        <w:t xml:space="preserve">, Shibata T, Nakamura M, Yoshioka D, Okubo M, Arisawa T, Hirata I. Gastric mucosal pattern by using magnifying narrow-band imaging endoscopy clearly distinguishes histological and serological severity of chronic gastritis.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2009; </w:t>
      </w:r>
      <w:r>
        <w:rPr>
          <w:rFonts w:ascii="Book Antiqua" w:hAnsi="Book Antiqua"/>
          <w:b/>
          <w:bCs/>
        </w:rPr>
        <w:t>70</w:t>
      </w:r>
      <w:r>
        <w:rPr>
          <w:rFonts w:ascii="Book Antiqua" w:hAnsi="Book Antiqua"/>
        </w:rPr>
        <w:t>: 246-253 [</w:t>
      </w:r>
      <w:proofErr w:type="spellStart"/>
      <w:r>
        <w:rPr>
          <w:rFonts w:ascii="Book Antiqua" w:hAnsi="Book Antiqua"/>
        </w:rPr>
        <w:t>PMID</w:t>
      </w:r>
      <w:proofErr w:type="spellEnd"/>
      <w:r>
        <w:rPr>
          <w:rFonts w:ascii="Book Antiqua" w:hAnsi="Book Antiqua"/>
        </w:rPr>
        <w:t>: 19386303 DOI: 10.1016/</w:t>
      </w:r>
      <w:proofErr w:type="spellStart"/>
      <w:r>
        <w:rPr>
          <w:rFonts w:ascii="Book Antiqua" w:hAnsi="Book Antiqua"/>
        </w:rPr>
        <w:t>j.gie.2008.11.046</w:t>
      </w:r>
      <w:proofErr w:type="spellEnd"/>
      <w:r>
        <w:rPr>
          <w:rFonts w:ascii="Book Antiqua" w:hAnsi="Book Antiqua"/>
        </w:rPr>
        <w:t>]</w:t>
      </w:r>
    </w:p>
    <w:p w14:paraId="4FC46FA8" w14:textId="77777777" w:rsidR="00430080" w:rsidRDefault="00000000">
      <w:pPr>
        <w:spacing w:line="360" w:lineRule="auto"/>
        <w:jc w:val="both"/>
        <w:rPr>
          <w:rFonts w:ascii="Book Antiqua" w:hAnsi="Book Antiqua"/>
        </w:rPr>
      </w:pPr>
      <w:r>
        <w:rPr>
          <w:rFonts w:ascii="Book Antiqua" w:hAnsi="Book Antiqua"/>
        </w:rPr>
        <w:t xml:space="preserve">25 </w:t>
      </w:r>
      <w:r>
        <w:rPr>
          <w:rFonts w:ascii="Book Antiqua" w:hAnsi="Book Antiqua"/>
          <w:b/>
          <w:bCs/>
        </w:rPr>
        <w:t>Cho JH</w:t>
      </w:r>
      <w:r>
        <w:rPr>
          <w:rFonts w:ascii="Book Antiqua" w:hAnsi="Book Antiqua"/>
        </w:rPr>
        <w:t xml:space="preserve">, Jeon SR, Jin SY, Park S. Standard vs magnifying narrow-band imaging endoscopy for diagnosis of Helicobacter pylori infection and gastric precancerous conditions. </w:t>
      </w:r>
      <w:r>
        <w:rPr>
          <w:rFonts w:ascii="Book Antiqua" w:hAnsi="Book Antiqua"/>
          <w:i/>
          <w:iCs/>
        </w:rPr>
        <w:t>World J Gastroenterol</w:t>
      </w:r>
      <w:r>
        <w:rPr>
          <w:rFonts w:ascii="Book Antiqua" w:hAnsi="Book Antiqua"/>
        </w:rPr>
        <w:t xml:space="preserve"> 2021; </w:t>
      </w:r>
      <w:r>
        <w:rPr>
          <w:rFonts w:ascii="Book Antiqua" w:hAnsi="Book Antiqua"/>
          <w:b/>
          <w:bCs/>
        </w:rPr>
        <w:t>27</w:t>
      </w:r>
      <w:r>
        <w:rPr>
          <w:rFonts w:ascii="Book Antiqua" w:hAnsi="Book Antiqua"/>
        </w:rPr>
        <w:t>: 2238-2250 [</w:t>
      </w:r>
      <w:proofErr w:type="spellStart"/>
      <w:r>
        <w:rPr>
          <w:rFonts w:ascii="Book Antiqua" w:hAnsi="Book Antiqua"/>
        </w:rPr>
        <w:t>PMID</w:t>
      </w:r>
      <w:proofErr w:type="spellEnd"/>
      <w:r>
        <w:rPr>
          <w:rFonts w:ascii="Book Antiqua" w:hAnsi="Book Antiqua"/>
        </w:rPr>
        <w:t>: 34025076 DOI: 10.3748/</w:t>
      </w:r>
      <w:proofErr w:type="spellStart"/>
      <w:proofErr w:type="gramStart"/>
      <w:r>
        <w:rPr>
          <w:rFonts w:ascii="Book Antiqua" w:hAnsi="Book Antiqua"/>
        </w:rPr>
        <w:t>wjg.v27.i</w:t>
      </w:r>
      <w:proofErr w:type="gramEnd"/>
      <w:r>
        <w:rPr>
          <w:rFonts w:ascii="Book Antiqua" w:hAnsi="Book Antiqua"/>
        </w:rPr>
        <w:t>18.2238</w:t>
      </w:r>
      <w:proofErr w:type="spellEnd"/>
      <w:r>
        <w:rPr>
          <w:rFonts w:ascii="Book Antiqua" w:hAnsi="Book Antiqua"/>
        </w:rPr>
        <w:t>]</w:t>
      </w:r>
    </w:p>
    <w:p w14:paraId="3DFC730C" w14:textId="77777777" w:rsidR="00430080" w:rsidRDefault="00000000">
      <w:pPr>
        <w:spacing w:line="360" w:lineRule="auto"/>
        <w:jc w:val="both"/>
        <w:rPr>
          <w:rFonts w:ascii="Book Antiqua" w:hAnsi="Book Antiqua"/>
        </w:rPr>
      </w:pPr>
      <w:r>
        <w:rPr>
          <w:rFonts w:ascii="Book Antiqua" w:hAnsi="Book Antiqua"/>
        </w:rPr>
        <w:t xml:space="preserve">26 </w:t>
      </w:r>
      <w:r>
        <w:rPr>
          <w:rFonts w:ascii="Book Antiqua" w:hAnsi="Book Antiqua"/>
          <w:b/>
          <w:bCs/>
        </w:rPr>
        <w:t>Kawamura M</w:t>
      </w:r>
      <w:r>
        <w:rPr>
          <w:rFonts w:ascii="Book Antiqua" w:hAnsi="Book Antiqua"/>
        </w:rPr>
        <w:t xml:space="preserve">, Sekine H, Abe S, Shibuya D, Kato K, Masuda T. Clinical significance of white gastric crypt openings observed via magnifying endoscopy. </w:t>
      </w:r>
      <w:r>
        <w:rPr>
          <w:rFonts w:ascii="Book Antiqua" w:hAnsi="Book Antiqua"/>
          <w:i/>
          <w:iCs/>
        </w:rPr>
        <w:t>World J Gastroenterol</w:t>
      </w:r>
      <w:r>
        <w:rPr>
          <w:rFonts w:ascii="Book Antiqua" w:hAnsi="Book Antiqua"/>
        </w:rPr>
        <w:t xml:space="preserve"> 2013; </w:t>
      </w:r>
      <w:r>
        <w:rPr>
          <w:rFonts w:ascii="Book Antiqua" w:hAnsi="Book Antiqua"/>
          <w:b/>
          <w:bCs/>
        </w:rPr>
        <w:t>19</w:t>
      </w:r>
      <w:r>
        <w:rPr>
          <w:rFonts w:ascii="Book Antiqua" w:hAnsi="Book Antiqua"/>
        </w:rPr>
        <w:t>: 9392-9398 [</w:t>
      </w:r>
      <w:proofErr w:type="spellStart"/>
      <w:r>
        <w:rPr>
          <w:rFonts w:ascii="Book Antiqua" w:hAnsi="Book Antiqua"/>
        </w:rPr>
        <w:t>PMID</w:t>
      </w:r>
      <w:proofErr w:type="spellEnd"/>
      <w:r>
        <w:rPr>
          <w:rFonts w:ascii="Book Antiqua" w:hAnsi="Book Antiqua"/>
        </w:rPr>
        <w:t>: 24409067 DOI: 10.3748/</w:t>
      </w:r>
      <w:proofErr w:type="spellStart"/>
      <w:proofErr w:type="gramStart"/>
      <w:r>
        <w:rPr>
          <w:rFonts w:ascii="Book Antiqua" w:hAnsi="Book Antiqua"/>
        </w:rPr>
        <w:t>wjg.v19.i</w:t>
      </w:r>
      <w:proofErr w:type="gramEnd"/>
      <w:r>
        <w:rPr>
          <w:rFonts w:ascii="Book Antiqua" w:hAnsi="Book Antiqua"/>
        </w:rPr>
        <w:t>48.9392</w:t>
      </w:r>
      <w:proofErr w:type="spellEnd"/>
      <w:r>
        <w:rPr>
          <w:rFonts w:ascii="Book Antiqua" w:hAnsi="Book Antiqua"/>
        </w:rPr>
        <w:t>]</w:t>
      </w:r>
    </w:p>
    <w:bookmarkEnd w:id="827"/>
    <w:bookmarkEnd w:id="828"/>
    <w:p w14:paraId="18D6663C" w14:textId="77777777" w:rsidR="00430080" w:rsidRDefault="00430080">
      <w:pPr>
        <w:spacing w:line="360" w:lineRule="auto"/>
        <w:jc w:val="both"/>
        <w:rPr>
          <w:rFonts w:ascii="Book Antiqua" w:hAnsi="Book Antiqua"/>
        </w:rPr>
        <w:sectPr w:rsidR="00430080" w:rsidSect="00963574">
          <w:footerReference w:type="default" r:id="rId9"/>
          <w:pgSz w:w="12240" w:h="15840"/>
          <w:pgMar w:top="1440" w:right="1440" w:bottom="1440" w:left="1440" w:header="720" w:footer="720" w:gutter="0"/>
          <w:cols w:space="720"/>
          <w:docGrid w:linePitch="360"/>
        </w:sectPr>
      </w:pPr>
    </w:p>
    <w:p w14:paraId="741CBB39" w14:textId="77777777" w:rsidR="00430080"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0D477917" w14:textId="77777777" w:rsidR="00430080" w:rsidRDefault="00000000">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The study was reviewed and approved by the Ethical Committee of Blue Medical Group, 75000 Tuzla, Bosnia and Herzegovina.</w:t>
      </w:r>
    </w:p>
    <w:p w14:paraId="09FD12BE" w14:textId="77777777" w:rsidR="00430080" w:rsidRDefault="00430080">
      <w:pPr>
        <w:spacing w:line="360" w:lineRule="auto"/>
        <w:jc w:val="both"/>
        <w:rPr>
          <w:rFonts w:ascii="Book Antiqua" w:hAnsi="Book Antiqua"/>
        </w:rPr>
      </w:pPr>
    </w:p>
    <w:p w14:paraId="4CC4BD04" w14:textId="77777777" w:rsidR="00430080" w:rsidRDefault="00000000">
      <w:pPr>
        <w:spacing w:line="360" w:lineRule="auto"/>
        <w:jc w:val="both"/>
        <w:rPr>
          <w:rFonts w:ascii="Book Antiqua" w:hAnsi="Book Antiqua"/>
        </w:rPr>
      </w:pPr>
      <w:r>
        <w:rPr>
          <w:rFonts w:ascii="Book Antiqua" w:eastAsia="Book Antiqua" w:hAnsi="Book Antiqua" w:cs="Book Antiqua"/>
          <w:b/>
          <w:bCs/>
        </w:rPr>
        <w:t>Informed consent statement:</w:t>
      </w:r>
      <w:r>
        <w:rPr>
          <w:rFonts w:ascii="Book Antiqua" w:eastAsia="Book Antiqua" w:hAnsi="Book Antiqua" w:cs="Book Antiqua"/>
        </w:rPr>
        <w:t xml:space="preserve"> The </w:t>
      </w:r>
      <w:r>
        <w:rPr>
          <w:rFonts w:ascii="Book Antiqua" w:eastAsia="Book Antiqua" w:hAnsi="Book Antiqua" w:cs="Book Antiqua"/>
          <w:color w:val="000000"/>
        </w:rPr>
        <w:t>signed, well-informed consent was obtained from all participants</w:t>
      </w:r>
      <w:r>
        <w:rPr>
          <w:rFonts w:ascii="Book Antiqua" w:eastAsia="Book Antiqua" w:hAnsi="Book Antiqua" w:cs="Book Antiqua"/>
        </w:rPr>
        <w:t>.</w:t>
      </w:r>
    </w:p>
    <w:p w14:paraId="329432EC" w14:textId="77777777" w:rsidR="00430080" w:rsidRDefault="00430080">
      <w:pPr>
        <w:spacing w:line="360" w:lineRule="auto"/>
        <w:jc w:val="both"/>
        <w:rPr>
          <w:rFonts w:ascii="Book Antiqua" w:hAnsi="Book Antiqua"/>
        </w:rPr>
      </w:pPr>
    </w:p>
    <w:p w14:paraId="7A7253DC" w14:textId="77777777" w:rsidR="00430080"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All the authors report no relevant conflicts of interest for this article.</w:t>
      </w:r>
    </w:p>
    <w:p w14:paraId="0F080DBE" w14:textId="77777777" w:rsidR="00430080" w:rsidRDefault="00430080">
      <w:pPr>
        <w:spacing w:line="360" w:lineRule="auto"/>
        <w:jc w:val="both"/>
        <w:rPr>
          <w:rFonts w:ascii="Book Antiqua" w:hAnsi="Book Antiqua"/>
        </w:rPr>
      </w:pPr>
    </w:p>
    <w:p w14:paraId="4303FE60" w14:textId="77777777" w:rsidR="00430080"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No additional data are available.</w:t>
      </w:r>
    </w:p>
    <w:p w14:paraId="0B42863D" w14:textId="77777777" w:rsidR="00430080" w:rsidRDefault="00430080">
      <w:pPr>
        <w:spacing w:line="360" w:lineRule="auto"/>
        <w:jc w:val="both"/>
        <w:rPr>
          <w:rFonts w:ascii="Book Antiqua" w:hAnsi="Book Antiqua"/>
        </w:rPr>
      </w:pPr>
    </w:p>
    <w:p w14:paraId="12249214" w14:textId="77777777" w:rsidR="00430080" w:rsidRDefault="00000000">
      <w:pPr>
        <w:spacing w:line="360" w:lineRule="auto"/>
        <w:jc w:val="both"/>
        <w:rPr>
          <w:rFonts w:ascii="Book Antiqua" w:hAnsi="Book Antiqua"/>
        </w:rPr>
      </w:pPr>
      <w:r>
        <w:rPr>
          <w:rFonts w:ascii="Book Antiqua" w:eastAsia="Book Antiqua" w:hAnsi="Book Antiqua" w:cs="Book Antiqua"/>
          <w:b/>
          <w:bCs/>
        </w:rPr>
        <w:t xml:space="preserve">STROBE statement: </w:t>
      </w:r>
      <w:r>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2004BA6C" w14:textId="77777777" w:rsidR="00430080" w:rsidRDefault="00430080">
      <w:pPr>
        <w:spacing w:line="360" w:lineRule="auto"/>
        <w:jc w:val="both"/>
        <w:rPr>
          <w:rFonts w:ascii="Book Antiqua" w:hAnsi="Book Antiqua"/>
        </w:rPr>
      </w:pPr>
    </w:p>
    <w:p w14:paraId="70707AB4" w14:textId="77777777" w:rsidR="00430080"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w:t>
      </w:r>
      <w:proofErr w:type="spellStart"/>
      <w:r>
        <w:rPr>
          <w:rFonts w:ascii="Book Antiqua" w:eastAsia="Book Antiqua" w:hAnsi="Book Antiqua" w:cs="Book Antiqua"/>
        </w:rPr>
        <w:t>creativecommons.org</w:t>
      </w:r>
      <w:proofErr w:type="spellEnd"/>
      <w:r>
        <w:rPr>
          <w:rFonts w:ascii="Book Antiqua" w:eastAsia="Book Antiqua" w:hAnsi="Book Antiqua" w:cs="Book Antiqua"/>
        </w:rPr>
        <w:t>/Licenses/by-</w:t>
      </w:r>
      <w:proofErr w:type="spellStart"/>
      <w:r>
        <w:rPr>
          <w:rFonts w:ascii="Book Antiqua" w:eastAsia="Book Antiqua" w:hAnsi="Book Antiqua" w:cs="Book Antiqua"/>
        </w:rPr>
        <w:t>nc</w:t>
      </w:r>
      <w:proofErr w:type="spellEnd"/>
      <w:r>
        <w:rPr>
          <w:rFonts w:ascii="Book Antiqua" w:eastAsia="Book Antiqua" w:hAnsi="Book Antiqua" w:cs="Book Antiqua"/>
        </w:rPr>
        <w:t>/4.0/</w:t>
      </w:r>
    </w:p>
    <w:p w14:paraId="26203172" w14:textId="77777777" w:rsidR="00430080" w:rsidRDefault="00430080">
      <w:pPr>
        <w:spacing w:line="360" w:lineRule="auto"/>
        <w:jc w:val="both"/>
        <w:rPr>
          <w:rFonts w:ascii="Book Antiqua" w:hAnsi="Book Antiqua"/>
        </w:rPr>
      </w:pPr>
    </w:p>
    <w:p w14:paraId="3C15A52D" w14:textId="77777777" w:rsidR="00430080"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256E831F" w14:textId="77777777" w:rsidR="00430080"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BA8F296" w14:textId="77777777" w:rsidR="00430080" w:rsidRDefault="00430080">
      <w:pPr>
        <w:spacing w:line="360" w:lineRule="auto"/>
        <w:jc w:val="both"/>
        <w:rPr>
          <w:rFonts w:ascii="Book Antiqua" w:hAnsi="Book Antiqua"/>
        </w:rPr>
      </w:pPr>
    </w:p>
    <w:p w14:paraId="3B6F326B" w14:textId="77777777" w:rsidR="00430080"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October 18, 2023</w:t>
      </w:r>
    </w:p>
    <w:p w14:paraId="33EE091D" w14:textId="77777777" w:rsidR="00430080"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December 25, 2023</w:t>
      </w:r>
    </w:p>
    <w:p w14:paraId="4DE079FF" w14:textId="77777777" w:rsidR="00430080"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hAnsi="Book Antiqua"/>
        </w:rPr>
        <w:t>February 18, 2024</w:t>
      </w:r>
    </w:p>
    <w:p w14:paraId="37B50B05" w14:textId="77777777" w:rsidR="00430080" w:rsidRDefault="00430080">
      <w:pPr>
        <w:spacing w:line="360" w:lineRule="auto"/>
        <w:jc w:val="both"/>
        <w:rPr>
          <w:rFonts w:ascii="Book Antiqua" w:hAnsi="Book Antiqua"/>
        </w:rPr>
      </w:pPr>
    </w:p>
    <w:p w14:paraId="3774A16C" w14:textId="77777777" w:rsidR="00430080"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Gastroenterology and hepatology</w:t>
      </w:r>
    </w:p>
    <w:p w14:paraId="10618793" w14:textId="77777777" w:rsidR="00430080"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Bosnia and Herzegovina</w:t>
      </w:r>
    </w:p>
    <w:p w14:paraId="089AD5FE" w14:textId="77777777" w:rsidR="00430080"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7101E9B" w14:textId="77777777" w:rsidR="00430080" w:rsidRDefault="00000000">
      <w:pPr>
        <w:spacing w:line="360" w:lineRule="auto"/>
        <w:jc w:val="both"/>
        <w:rPr>
          <w:rFonts w:ascii="Book Antiqua" w:hAnsi="Book Antiqua"/>
        </w:rPr>
      </w:pPr>
      <w:r>
        <w:rPr>
          <w:rFonts w:ascii="Book Antiqua" w:eastAsia="Book Antiqua" w:hAnsi="Book Antiqua" w:cs="Book Antiqua"/>
        </w:rPr>
        <w:t>Grade A (Excellent): 0</w:t>
      </w:r>
    </w:p>
    <w:p w14:paraId="0072F608" w14:textId="77777777" w:rsidR="00430080" w:rsidRDefault="00000000">
      <w:pPr>
        <w:spacing w:line="360" w:lineRule="auto"/>
        <w:jc w:val="both"/>
        <w:rPr>
          <w:rFonts w:ascii="Book Antiqua" w:hAnsi="Book Antiqua"/>
        </w:rPr>
      </w:pPr>
      <w:r>
        <w:rPr>
          <w:rFonts w:ascii="Book Antiqua" w:eastAsia="Book Antiqua" w:hAnsi="Book Antiqua" w:cs="Book Antiqua"/>
        </w:rPr>
        <w:t>Grade B (Very good): 0</w:t>
      </w:r>
    </w:p>
    <w:p w14:paraId="55553C97" w14:textId="77777777" w:rsidR="00430080" w:rsidRDefault="00000000">
      <w:pPr>
        <w:spacing w:line="360" w:lineRule="auto"/>
        <w:jc w:val="both"/>
        <w:rPr>
          <w:rFonts w:ascii="Book Antiqua" w:hAnsi="Book Antiqua"/>
        </w:rPr>
      </w:pPr>
      <w:r>
        <w:rPr>
          <w:rFonts w:ascii="Book Antiqua" w:eastAsia="Book Antiqua" w:hAnsi="Book Antiqua" w:cs="Book Antiqua"/>
        </w:rPr>
        <w:t>Grade C (Good): C</w:t>
      </w:r>
    </w:p>
    <w:p w14:paraId="420242BA" w14:textId="77777777" w:rsidR="00430080" w:rsidRDefault="00000000">
      <w:pPr>
        <w:spacing w:line="360" w:lineRule="auto"/>
        <w:jc w:val="both"/>
        <w:rPr>
          <w:rFonts w:ascii="Book Antiqua" w:hAnsi="Book Antiqua"/>
        </w:rPr>
      </w:pPr>
      <w:r>
        <w:rPr>
          <w:rFonts w:ascii="Book Antiqua" w:eastAsia="Book Antiqua" w:hAnsi="Book Antiqua" w:cs="Book Antiqua"/>
        </w:rPr>
        <w:t>Grade D (Fair): 0</w:t>
      </w:r>
    </w:p>
    <w:p w14:paraId="6BC69EA7" w14:textId="77777777" w:rsidR="00430080" w:rsidRDefault="00000000">
      <w:pPr>
        <w:spacing w:line="360" w:lineRule="auto"/>
        <w:jc w:val="both"/>
        <w:rPr>
          <w:rFonts w:ascii="Book Antiqua" w:hAnsi="Book Antiqua"/>
        </w:rPr>
      </w:pPr>
      <w:r>
        <w:rPr>
          <w:rFonts w:ascii="Book Antiqua" w:eastAsia="Book Antiqua" w:hAnsi="Book Antiqua" w:cs="Book Antiqua"/>
        </w:rPr>
        <w:t>Grade E (Poor): 0</w:t>
      </w:r>
    </w:p>
    <w:p w14:paraId="3DC158A4" w14:textId="77777777" w:rsidR="00430080" w:rsidRDefault="00430080">
      <w:pPr>
        <w:spacing w:line="360" w:lineRule="auto"/>
        <w:jc w:val="both"/>
        <w:rPr>
          <w:rFonts w:ascii="Book Antiqua" w:hAnsi="Book Antiqua"/>
        </w:rPr>
      </w:pPr>
    </w:p>
    <w:p w14:paraId="3D725BAD" w14:textId="77777777" w:rsidR="00430080" w:rsidRDefault="00000000">
      <w:pPr>
        <w:spacing w:line="360" w:lineRule="auto"/>
        <w:jc w:val="both"/>
        <w:rPr>
          <w:rFonts w:ascii="Book Antiqua" w:eastAsia="宋体"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rPr>
        <w:t>Liu J, China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Wang JJ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w:t>
      </w:r>
      <w:r>
        <w:rPr>
          <w:rFonts w:ascii="Book Antiqua" w:eastAsia="宋体" w:hAnsi="Book Antiqua" w:cs="Book Antiqua" w:hint="eastAsia"/>
          <w:b/>
          <w:color w:val="000000"/>
          <w:lang w:eastAsia="zh-CN"/>
        </w:rPr>
        <w:t xml:space="preserve"> </w:t>
      </w:r>
      <w:r>
        <w:rPr>
          <w:rFonts w:ascii="Book Antiqua" w:eastAsia="宋体" w:hAnsi="Book Antiqua" w:cs="Book Antiqua" w:hint="eastAsia"/>
          <w:bCs/>
          <w:color w:val="000000"/>
          <w:lang w:eastAsia="zh-CN"/>
        </w:rPr>
        <w:t>Zheng XM</w:t>
      </w:r>
    </w:p>
    <w:p w14:paraId="6733DC5A" w14:textId="77777777" w:rsidR="00430080" w:rsidRDefault="00430080">
      <w:pPr>
        <w:spacing w:line="360" w:lineRule="auto"/>
        <w:jc w:val="both"/>
        <w:rPr>
          <w:rFonts w:ascii="Book Antiqua" w:hAnsi="Book Antiqua"/>
        </w:rPr>
        <w:sectPr w:rsidR="00430080" w:rsidSect="00963574">
          <w:pgSz w:w="12240" w:h="15840"/>
          <w:pgMar w:top="1440" w:right="1440" w:bottom="1440" w:left="1440" w:header="720" w:footer="720" w:gutter="0"/>
          <w:cols w:space="720"/>
          <w:docGrid w:linePitch="360"/>
        </w:sectPr>
      </w:pPr>
    </w:p>
    <w:p w14:paraId="4B996719" w14:textId="77777777" w:rsidR="00430080"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7151454" w14:textId="77777777" w:rsidR="00430080" w:rsidRDefault="00000000">
      <w:pPr>
        <w:spacing w:line="360" w:lineRule="auto"/>
        <w:jc w:val="both"/>
        <w:rPr>
          <w:rFonts w:ascii="Book Antiqua" w:hAnsi="Book Antiqua"/>
        </w:rPr>
      </w:pPr>
      <w:r>
        <w:rPr>
          <w:rFonts w:ascii="Book Antiqua" w:hAnsi="Book Antiqua"/>
          <w:noProof/>
        </w:rPr>
        <w:drawing>
          <wp:inline distT="0" distB="0" distL="0" distR="0" wp14:anchorId="6BD8E4F7" wp14:editId="7AD4C4E6">
            <wp:extent cx="4617720" cy="3619500"/>
            <wp:effectExtent l="0" t="0" r="0" b="0"/>
            <wp:docPr id="3275426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42650" name="图片 1"/>
                    <pic:cNvPicPr>
                      <a:picLocks noChangeAspect="1"/>
                    </pic:cNvPicPr>
                  </pic:nvPicPr>
                  <pic:blipFill>
                    <a:blip r:embed="rId10"/>
                    <a:stretch>
                      <a:fillRect/>
                    </a:stretch>
                  </pic:blipFill>
                  <pic:spPr>
                    <a:xfrm>
                      <a:off x="0" y="0"/>
                      <a:ext cx="4618120" cy="3619814"/>
                    </a:xfrm>
                    <a:prstGeom prst="rect">
                      <a:avLst/>
                    </a:prstGeom>
                  </pic:spPr>
                </pic:pic>
              </a:graphicData>
            </a:graphic>
          </wp:inline>
        </w:drawing>
      </w:r>
    </w:p>
    <w:p w14:paraId="5EB9CA15" w14:textId="77777777" w:rsidR="00430080"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1 White light endoscopy from the point of view of the first observer.</w:t>
      </w:r>
      <w:r>
        <w:rPr>
          <w:rFonts w:ascii="Book Antiqua" w:eastAsia="Book Antiqua" w:hAnsi="Book Antiqua" w:cs="Book Antiqua"/>
        </w:rPr>
        <w:t xml:space="preserve"> A and B: White light endoscopy (</w:t>
      </w:r>
      <w:proofErr w:type="spellStart"/>
      <w:r>
        <w:rPr>
          <w:rFonts w:ascii="Book Antiqua" w:eastAsia="Book Antiqua" w:hAnsi="Book Antiqua" w:cs="Book Antiqua"/>
        </w:rPr>
        <w:t>WLE</w:t>
      </w:r>
      <w:proofErr w:type="spellEnd"/>
      <w:r>
        <w:rPr>
          <w:rFonts w:ascii="Book Antiqua" w:eastAsia="Book Antiqua" w:hAnsi="Book Antiqua" w:cs="Book Antiqua"/>
        </w:rPr>
        <w:t>)-</w:t>
      </w:r>
      <w:proofErr w:type="spellStart"/>
      <w:r>
        <w:rPr>
          <w:rFonts w:ascii="Book Antiqua" w:eastAsia="Book Antiqua" w:hAnsi="Book Antiqua" w:cs="Book Antiqua"/>
        </w:rPr>
        <w:t>1a</w:t>
      </w:r>
      <w:proofErr w:type="spellEnd"/>
      <w:r>
        <w:rPr>
          <w:rFonts w:ascii="Book Antiqua" w:eastAsia="Book Antiqua" w:hAnsi="Book Antiqua" w:cs="Book Antiqua"/>
        </w:rPr>
        <w:t xml:space="preserve"> pattern and </w:t>
      </w:r>
      <w:proofErr w:type="spellStart"/>
      <w:r>
        <w:rPr>
          <w:rFonts w:ascii="Book Antiqua" w:eastAsia="Book Antiqua" w:hAnsi="Book Antiqua" w:cs="Book Antiqua"/>
        </w:rPr>
        <w:t>WLE-2a</w:t>
      </w:r>
      <w:proofErr w:type="spellEnd"/>
      <w:r>
        <w:rPr>
          <w:rFonts w:ascii="Book Antiqua" w:eastAsia="Book Antiqua" w:hAnsi="Book Antiqua" w:cs="Book Antiqua"/>
        </w:rPr>
        <w:t xml:space="preserve"> pattern shows a clear appearance of the regular arrangement of collecting venules (RAC) (white arrow); C: </w:t>
      </w:r>
      <w:proofErr w:type="spellStart"/>
      <w:r>
        <w:rPr>
          <w:rFonts w:ascii="Book Antiqua" w:eastAsia="Book Antiqua" w:hAnsi="Book Antiqua" w:cs="Book Antiqua"/>
        </w:rPr>
        <w:t>WLE</w:t>
      </w:r>
      <w:proofErr w:type="spellEnd"/>
      <w:r>
        <w:rPr>
          <w:rFonts w:ascii="Book Antiqua" w:eastAsia="Book Antiqua" w:hAnsi="Book Antiqua" w:cs="Book Antiqua"/>
        </w:rPr>
        <w:t xml:space="preserve">-b pattern shows a less clear appearance of the RAC (white arrow); D: </w:t>
      </w:r>
      <w:proofErr w:type="spellStart"/>
      <w:r>
        <w:rPr>
          <w:rFonts w:ascii="Book Antiqua" w:eastAsia="Book Antiqua" w:hAnsi="Book Antiqua" w:cs="Book Antiqua"/>
        </w:rPr>
        <w:t>WLE</w:t>
      </w:r>
      <w:proofErr w:type="spellEnd"/>
      <w:r>
        <w:rPr>
          <w:rFonts w:ascii="Book Antiqua" w:eastAsia="Book Antiqua" w:hAnsi="Book Antiqua" w:cs="Book Antiqua"/>
        </w:rPr>
        <w:t>-c pattern shows the absence of the RAC.</w:t>
      </w:r>
    </w:p>
    <w:p w14:paraId="188A733B" w14:textId="77777777" w:rsidR="00430080" w:rsidRDefault="00430080">
      <w:pPr>
        <w:spacing w:line="360" w:lineRule="auto"/>
        <w:jc w:val="both"/>
        <w:rPr>
          <w:rFonts w:ascii="Book Antiqua" w:eastAsia="Book Antiqua" w:hAnsi="Book Antiqua" w:cs="Book Antiqua"/>
        </w:rPr>
      </w:pPr>
    </w:p>
    <w:p w14:paraId="12734B9E" w14:textId="77777777" w:rsidR="00430080"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4F929E6B" wp14:editId="46D45A3E">
            <wp:extent cx="5646420" cy="4411980"/>
            <wp:effectExtent l="0" t="0" r="0" b="7620"/>
            <wp:docPr id="17244414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41400" name="图片 1"/>
                    <pic:cNvPicPr>
                      <a:picLocks noChangeAspect="1"/>
                    </pic:cNvPicPr>
                  </pic:nvPicPr>
                  <pic:blipFill>
                    <a:blip r:embed="rId11"/>
                    <a:stretch>
                      <a:fillRect/>
                    </a:stretch>
                  </pic:blipFill>
                  <pic:spPr>
                    <a:xfrm>
                      <a:off x="0" y="0"/>
                      <a:ext cx="5646909" cy="4412362"/>
                    </a:xfrm>
                    <a:prstGeom prst="rect">
                      <a:avLst/>
                    </a:prstGeom>
                  </pic:spPr>
                </pic:pic>
              </a:graphicData>
            </a:graphic>
          </wp:inline>
        </w:drawing>
      </w:r>
    </w:p>
    <w:p w14:paraId="6C28B42D" w14:textId="77777777" w:rsidR="00430080" w:rsidRDefault="00000000">
      <w:pPr>
        <w:spacing w:line="360" w:lineRule="auto"/>
        <w:jc w:val="both"/>
        <w:rPr>
          <w:rFonts w:ascii="Book Antiqua" w:hAnsi="Book Antiqua"/>
        </w:rPr>
      </w:pPr>
      <w:r>
        <w:rPr>
          <w:rFonts w:ascii="Book Antiqua" w:eastAsia="Book Antiqua" w:hAnsi="Book Antiqua" w:cs="Book Antiqua"/>
          <w:b/>
          <w:bCs/>
        </w:rPr>
        <w:t>Figure 2 Near focus mode from the point of view of the first observer.</w:t>
      </w:r>
      <w:r>
        <w:rPr>
          <w:rFonts w:ascii="Book Antiqua" w:eastAsia="Book Antiqua" w:hAnsi="Book Antiqua" w:cs="Book Antiqua"/>
        </w:rPr>
        <w:t xml:space="preserve"> A: Near focus (NF)-a pattern shows a clear appearance of the regular arrangement of collecting venules (white arrow), subepithelial capillary network (</w:t>
      </w:r>
      <w:proofErr w:type="spellStart"/>
      <w:r>
        <w:rPr>
          <w:rFonts w:ascii="Book Antiqua" w:eastAsia="Book Antiqua" w:hAnsi="Book Antiqua" w:cs="Book Antiqua"/>
        </w:rPr>
        <w:t>SECN</w:t>
      </w:r>
      <w:proofErr w:type="spellEnd"/>
      <w:r>
        <w:rPr>
          <w:rFonts w:ascii="Book Antiqua" w:eastAsia="Book Antiqua" w:hAnsi="Book Antiqua" w:cs="Book Antiqua"/>
        </w:rPr>
        <w:t xml:space="preserve">) (black arrow), and gastric pits (GP) (square); B: NF-b pattern shows a less clear appearance of the regular arrangement of collecting venules (white arrow) and a clear appearance of the </w:t>
      </w:r>
      <w:proofErr w:type="spellStart"/>
      <w:r>
        <w:rPr>
          <w:rFonts w:ascii="Book Antiqua" w:eastAsia="Book Antiqua" w:hAnsi="Book Antiqua" w:cs="Book Antiqua"/>
        </w:rPr>
        <w:t>SECN</w:t>
      </w:r>
      <w:proofErr w:type="spellEnd"/>
      <w:r>
        <w:rPr>
          <w:rFonts w:ascii="Book Antiqua" w:eastAsia="Book Antiqua" w:hAnsi="Book Antiqua" w:cs="Book Antiqua"/>
        </w:rPr>
        <w:t xml:space="preserve"> (black arrow) and GP (square); C: NF-c pattern shows a clear appearance of the </w:t>
      </w:r>
      <w:proofErr w:type="spellStart"/>
      <w:r>
        <w:rPr>
          <w:rFonts w:ascii="Book Antiqua" w:eastAsia="Book Antiqua" w:hAnsi="Book Antiqua" w:cs="Book Antiqua"/>
        </w:rPr>
        <w:t>SECN</w:t>
      </w:r>
      <w:proofErr w:type="spellEnd"/>
      <w:r>
        <w:rPr>
          <w:rFonts w:ascii="Book Antiqua" w:eastAsia="Book Antiqua" w:hAnsi="Book Antiqua" w:cs="Book Antiqua"/>
        </w:rPr>
        <w:t xml:space="preserve"> (black arrow) and GP (square).</w:t>
      </w:r>
    </w:p>
    <w:p w14:paraId="709522FF" w14:textId="77777777" w:rsidR="00430080" w:rsidRDefault="00430080">
      <w:pPr>
        <w:spacing w:line="360" w:lineRule="auto"/>
        <w:jc w:val="both"/>
        <w:rPr>
          <w:rFonts w:ascii="Book Antiqua" w:eastAsia="Book Antiqua" w:hAnsi="Book Antiqua" w:cs="Book Antiqua"/>
          <w:b/>
          <w:bCs/>
        </w:rPr>
        <w:sectPr w:rsidR="00430080" w:rsidSect="00963574">
          <w:pgSz w:w="12240" w:h="15840"/>
          <w:pgMar w:top="1440" w:right="1440" w:bottom="1440" w:left="1440" w:header="720" w:footer="720" w:gutter="0"/>
          <w:cols w:space="720"/>
          <w:docGrid w:linePitch="360"/>
        </w:sectPr>
      </w:pPr>
    </w:p>
    <w:p w14:paraId="246C8C32" w14:textId="77777777" w:rsidR="00430080" w:rsidRDefault="00000000">
      <w:pPr>
        <w:spacing w:line="360" w:lineRule="auto"/>
        <w:jc w:val="both"/>
        <w:rPr>
          <w:rFonts w:ascii="Book Antiqua" w:eastAsia="Book Antiqua" w:hAnsi="Book Antiqua" w:cs="Book Antiqua"/>
          <w:b/>
          <w:bCs/>
        </w:rPr>
      </w:pPr>
      <w:r>
        <w:rPr>
          <w:rFonts w:ascii="Book Antiqua" w:hAnsi="Book Antiqua"/>
          <w:noProof/>
        </w:rPr>
        <w:lastRenderedPageBreak/>
        <w:drawing>
          <wp:inline distT="0" distB="0" distL="0" distR="0" wp14:anchorId="5B96E187" wp14:editId="4656CC30">
            <wp:extent cx="4983480" cy="3878580"/>
            <wp:effectExtent l="0" t="0" r="7620" b="7620"/>
            <wp:docPr id="3354171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17184" name="图片 1"/>
                    <pic:cNvPicPr>
                      <a:picLocks noChangeAspect="1"/>
                    </pic:cNvPicPr>
                  </pic:nvPicPr>
                  <pic:blipFill>
                    <a:blip r:embed="rId12"/>
                    <a:stretch>
                      <a:fillRect/>
                    </a:stretch>
                  </pic:blipFill>
                  <pic:spPr>
                    <a:xfrm>
                      <a:off x="0" y="0"/>
                      <a:ext cx="4983912" cy="3878916"/>
                    </a:xfrm>
                    <a:prstGeom prst="rect">
                      <a:avLst/>
                    </a:prstGeom>
                  </pic:spPr>
                </pic:pic>
              </a:graphicData>
            </a:graphic>
          </wp:inline>
        </w:drawing>
      </w:r>
    </w:p>
    <w:p w14:paraId="734B21DE" w14:textId="77777777" w:rsidR="00430080"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3 </w:t>
      </w:r>
      <w:bookmarkStart w:id="829" w:name="_Hlk158059421"/>
      <w:r>
        <w:rPr>
          <w:rFonts w:ascii="Book Antiqua" w:eastAsia="Book Antiqua" w:hAnsi="Book Antiqua" w:cs="Book Antiqua"/>
          <w:b/>
          <w:bCs/>
        </w:rPr>
        <w:t>Near focus, narrow-band imaging</w:t>
      </w:r>
      <w:bookmarkEnd w:id="829"/>
      <w:r>
        <w:rPr>
          <w:rFonts w:ascii="Book Antiqua" w:eastAsia="Book Antiqua" w:hAnsi="Book Antiqua" w:cs="Book Antiqua"/>
          <w:b/>
          <w:bCs/>
        </w:rPr>
        <w:t xml:space="preserve"> mode from the point of view of the first observer.</w:t>
      </w:r>
      <w:r>
        <w:rPr>
          <w:rFonts w:ascii="Book Antiqua" w:eastAsia="Book Antiqua" w:hAnsi="Book Antiqua" w:cs="Book Antiqua"/>
        </w:rPr>
        <w:t xml:space="preserve"> A and B: Near focus (NF)-narrow-band imaging (NBI)-</w:t>
      </w:r>
      <w:proofErr w:type="spellStart"/>
      <w:r>
        <w:rPr>
          <w:rFonts w:ascii="Book Antiqua" w:eastAsia="Book Antiqua" w:hAnsi="Book Antiqua" w:cs="Book Antiqua"/>
        </w:rPr>
        <w:t>1a</w:t>
      </w:r>
      <w:proofErr w:type="spellEnd"/>
      <w:r>
        <w:rPr>
          <w:rFonts w:ascii="Book Antiqua" w:eastAsia="Book Antiqua" w:hAnsi="Book Antiqua" w:cs="Book Antiqua"/>
        </w:rPr>
        <w:t xml:space="preserve"> pattern and NF-NBI-</w:t>
      </w:r>
      <w:proofErr w:type="spellStart"/>
      <w:r>
        <w:rPr>
          <w:rFonts w:ascii="Book Antiqua" w:eastAsia="Book Antiqua" w:hAnsi="Book Antiqua" w:cs="Book Antiqua"/>
        </w:rPr>
        <w:t>2a</w:t>
      </w:r>
      <w:proofErr w:type="spellEnd"/>
      <w:r>
        <w:rPr>
          <w:rFonts w:ascii="Book Antiqua" w:eastAsia="Book Antiqua" w:hAnsi="Book Antiqua" w:cs="Book Antiqua"/>
        </w:rPr>
        <w:t xml:space="preserve"> pattern show a clear appearance of the regular arrangement of collecting venules (white arrow), subepithelial capillary network (black arrow), gastric pits (square), and crypt opening (green arrow, right upper corner); C: NF-NBI-b pattern shows a clear appearance of the subepithelial capillary network (black arrow) and gastric pits (square). A less clear appearance of the crypt opening (green arrow, right upper corner) is observed.</w:t>
      </w:r>
    </w:p>
    <w:p w14:paraId="245F3B56" w14:textId="77777777" w:rsidR="00430080" w:rsidRDefault="00430080">
      <w:pPr>
        <w:spacing w:line="360" w:lineRule="auto"/>
        <w:jc w:val="both"/>
        <w:rPr>
          <w:rFonts w:ascii="Book Antiqua" w:hAnsi="Book Antiqua"/>
        </w:rPr>
        <w:sectPr w:rsidR="00430080" w:rsidSect="00963574">
          <w:pgSz w:w="12240" w:h="15840"/>
          <w:pgMar w:top="1440" w:right="1440" w:bottom="1440" w:left="1440" w:header="720" w:footer="720" w:gutter="0"/>
          <w:cols w:space="720"/>
          <w:docGrid w:linePitch="360"/>
        </w:sectPr>
      </w:pPr>
    </w:p>
    <w:p w14:paraId="7474051E" w14:textId="77777777" w:rsidR="00430080"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0AE4269B" wp14:editId="6DA9C1A0">
            <wp:extent cx="5943600" cy="3070860"/>
            <wp:effectExtent l="0" t="0" r="0" b="0"/>
            <wp:docPr id="6047959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95924" name="图片 1"/>
                    <pic:cNvPicPr>
                      <a:picLocks noChangeAspect="1"/>
                    </pic:cNvPicPr>
                  </pic:nvPicPr>
                  <pic:blipFill>
                    <a:blip r:embed="rId13"/>
                    <a:stretch>
                      <a:fillRect/>
                    </a:stretch>
                  </pic:blipFill>
                  <pic:spPr>
                    <a:xfrm>
                      <a:off x="0" y="0"/>
                      <a:ext cx="5943600" cy="3070860"/>
                    </a:xfrm>
                    <a:prstGeom prst="rect">
                      <a:avLst/>
                    </a:prstGeom>
                  </pic:spPr>
                </pic:pic>
              </a:graphicData>
            </a:graphic>
          </wp:inline>
        </w:drawing>
      </w:r>
    </w:p>
    <w:p w14:paraId="21F5368D" w14:textId="77777777" w:rsidR="00430080"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4 Acetic acid, near focus and acetic acid-near focus, narrow-band imaging mode from the point of view of the first observer.</w:t>
      </w:r>
      <w:r>
        <w:rPr>
          <w:rFonts w:ascii="Book Antiqua" w:eastAsia="Book Antiqua" w:hAnsi="Book Antiqua" w:cs="Book Antiqua"/>
        </w:rPr>
        <w:t xml:space="preserve"> A and B: A1 image [acetic acid (AA)-near focus (NF) pattern] was scored at 0.5; </w:t>
      </w:r>
      <w:proofErr w:type="spellStart"/>
      <w:r>
        <w:rPr>
          <w:rFonts w:ascii="Book Antiqua" w:eastAsia="Book Antiqua" w:hAnsi="Book Antiqua" w:cs="Book Antiqua"/>
        </w:rPr>
        <w:t>B1</w:t>
      </w:r>
      <w:proofErr w:type="spellEnd"/>
      <w:r>
        <w:rPr>
          <w:rFonts w:ascii="Book Antiqua" w:eastAsia="Book Antiqua" w:hAnsi="Book Antiqua" w:cs="Book Antiqua"/>
        </w:rPr>
        <w:t xml:space="preserve"> image [AA-NF-narrow-band imaging (NBI) pattern] was scored at 1; </w:t>
      </w:r>
      <w:proofErr w:type="spellStart"/>
      <w:r>
        <w:rPr>
          <w:rFonts w:ascii="Book Antiqua" w:eastAsia="Book Antiqua" w:hAnsi="Book Antiqua" w:cs="Book Antiqua"/>
        </w:rPr>
        <w:t>A2</w:t>
      </w:r>
      <w:proofErr w:type="spellEnd"/>
      <w:r>
        <w:rPr>
          <w:rFonts w:ascii="Book Antiqua" w:eastAsia="Book Antiqua" w:hAnsi="Book Antiqua" w:cs="Book Antiqua"/>
        </w:rPr>
        <w:t xml:space="preserve"> image (AA-NF pattern) was scored at 1; </w:t>
      </w:r>
      <w:proofErr w:type="spellStart"/>
      <w:r>
        <w:rPr>
          <w:rFonts w:ascii="Book Antiqua" w:eastAsia="Book Antiqua" w:hAnsi="Book Antiqua" w:cs="Book Antiqua"/>
        </w:rPr>
        <w:t>B2</w:t>
      </w:r>
      <w:proofErr w:type="spellEnd"/>
      <w:r>
        <w:rPr>
          <w:rFonts w:ascii="Book Antiqua" w:eastAsia="Book Antiqua" w:hAnsi="Book Antiqua" w:cs="Book Antiqua"/>
        </w:rPr>
        <w:t xml:space="preserve"> image (AA-NF-NBI pattern) was scored at 1; </w:t>
      </w:r>
      <w:proofErr w:type="spellStart"/>
      <w:r>
        <w:rPr>
          <w:rFonts w:ascii="Book Antiqua" w:eastAsia="Book Antiqua" w:hAnsi="Book Antiqua" w:cs="Book Antiqua"/>
        </w:rPr>
        <w:t>A3</w:t>
      </w:r>
      <w:proofErr w:type="spellEnd"/>
      <w:r>
        <w:rPr>
          <w:rFonts w:ascii="Book Antiqua" w:eastAsia="Book Antiqua" w:hAnsi="Book Antiqua" w:cs="Book Antiqua"/>
        </w:rPr>
        <w:t xml:space="preserve"> (AA-NF pattern) was scored at 0; </w:t>
      </w:r>
      <w:proofErr w:type="spellStart"/>
      <w:r>
        <w:rPr>
          <w:rFonts w:ascii="Book Antiqua" w:eastAsia="Book Antiqua" w:hAnsi="Book Antiqua" w:cs="Book Antiqua"/>
        </w:rPr>
        <w:t>B3</w:t>
      </w:r>
      <w:proofErr w:type="spellEnd"/>
      <w:r>
        <w:rPr>
          <w:rFonts w:ascii="Book Antiqua" w:eastAsia="Book Antiqua" w:hAnsi="Book Antiqua" w:cs="Book Antiqua"/>
        </w:rPr>
        <w:t xml:space="preserve"> image (AA-NF-NBI pattern) was scored at 0.5.</w:t>
      </w:r>
    </w:p>
    <w:p w14:paraId="573A935E" w14:textId="77777777" w:rsidR="00430080" w:rsidRDefault="00430080">
      <w:pPr>
        <w:spacing w:line="360" w:lineRule="auto"/>
        <w:jc w:val="both"/>
        <w:rPr>
          <w:rFonts w:ascii="Book Antiqua" w:hAnsi="Book Antiqua"/>
        </w:rPr>
        <w:sectPr w:rsidR="00430080" w:rsidSect="00963574">
          <w:pgSz w:w="12240" w:h="15840"/>
          <w:pgMar w:top="1440" w:right="1440" w:bottom="1440" w:left="1440" w:header="720" w:footer="720" w:gutter="0"/>
          <w:cols w:space="720"/>
          <w:docGrid w:linePitch="360"/>
        </w:sectPr>
      </w:pPr>
    </w:p>
    <w:p w14:paraId="7D34564F" w14:textId="77777777" w:rsidR="00430080" w:rsidRDefault="00000000">
      <w:pPr>
        <w:pStyle w:val="a9"/>
        <w:spacing w:before="0" w:beforeAutospacing="0" w:after="0" w:afterAutospacing="0" w:line="360" w:lineRule="auto"/>
        <w:jc w:val="both"/>
        <w:rPr>
          <w:rFonts w:ascii="Book Antiqua" w:hAnsi="Book Antiqua"/>
          <w:b/>
          <w:color w:val="000000" w:themeColor="text1"/>
          <w:lang w:val="en-US"/>
        </w:rPr>
      </w:pPr>
      <w:r>
        <w:rPr>
          <w:rFonts w:ascii="Book Antiqua" w:hAnsi="Book Antiqua"/>
          <w:b/>
          <w:color w:val="000000" w:themeColor="text1"/>
          <w:lang w:val="en-US"/>
        </w:rPr>
        <w:lastRenderedPageBreak/>
        <w:t xml:space="preserve">Table 1 Frequency and scoring of the endoscopic patterns </w:t>
      </w:r>
      <w:r>
        <w:rPr>
          <w:rFonts w:ascii="Book Antiqua" w:hAnsi="Book Antiqua"/>
          <w:b/>
          <w:bCs/>
          <w:color w:val="000000" w:themeColor="text1"/>
          <w:lang w:val="en-US"/>
        </w:rPr>
        <w:t>in</w:t>
      </w:r>
      <w:r>
        <w:rPr>
          <w:rFonts w:ascii="Book Antiqua" w:hAnsi="Book Antiqua"/>
          <w:b/>
          <w:color w:val="000000" w:themeColor="text1"/>
          <w:lang w:val="en-US"/>
        </w:rPr>
        <w:t xml:space="preserve"> </w:t>
      </w:r>
      <w:bookmarkStart w:id="830" w:name="_Hlk156827090"/>
      <w:r>
        <w:rPr>
          <w:rFonts w:ascii="Book Antiqua" w:hAnsi="Book Antiqua"/>
          <w:b/>
          <w:color w:val="000000" w:themeColor="text1"/>
          <w:lang w:val="en-US"/>
        </w:rPr>
        <w:t>white light endoscopy</w:t>
      </w:r>
      <w:bookmarkEnd w:id="830"/>
      <w:r>
        <w:rPr>
          <w:rFonts w:ascii="Book Antiqua" w:hAnsi="Book Antiqua"/>
          <w:b/>
          <w:color w:val="000000" w:themeColor="text1"/>
          <w:lang w:val="en-US"/>
        </w:rPr>
        <w:t xml:space="preserve">, </w:t>
      </w:r>
      <w:bookmarkStart w:id="831" w:name="_Hlk156827099"/>
      <w:r>
        <w:rPr>
          <w:rFonts w:ascii="Book Antiqua" w:hAnsi="Book Antiqua"/>
          <w:b/>
          <w:color w:val="000000" w:themeColor="text1"/>
          <w:lang w:val="en-US"/>
        </w:rPr>
        <w:t>near focus</w:t>
      </w:r>
      <w:bookmarkEnd w:id="831"/>
      <w:r>
        <w:rPr>
          <w:rFonts w:ascii="Book Antiqua" w:hAnsi="Book Antiqua"/>
          <w:b/>
          <w:bCs/>
          <w:color w:val="000000" w:themeColor="text1"/>
          <w:lang w:val="en-US"/>
        </w:rPr>
        <w:t>,</w:t>
      </w:r>
      <w:r>
        <w:rPr>
          <w:rFonts w:ascii="Book Antiqua" w:hAnsi="Book Antiqua"/>
          <w:b/>
          <w:color w:val="000000" w:themeColor="text1"/>
          <w:lang w:val="en-US"/>
        </w:rPr>
        <w:t xml:space="preserve"> and </w:t>
      </w:r>
      <w:bookmarkStart w:id="832" w:name="_Hlk156827108"/>
      <w:r>
        <w:rPr>
          <w:rFonts w:ascii="Book Antiqua" w:hAnsi="Book Antiqua"/>
          <w:b/>
          <w:color w:val="000000" w:themeColor="text1"/>
          <w:lang w:val="en-US"/>
        </w:rPr>
        <w:t>narrow-band imaging</w:t>
      </w:r>
      <w:bookmarkEnd w:id="832"/>
      <w:r>
        <w:rPr>
          <w:rFonts w:ascii="Book Antiqua" w:hAnsi="Book Antiqua"/>
          <w:b/>
          <w:color w:val="000000" w:themeColor="text1"/>
          <w:lang w:val="en-US"/>
        </w:rPr>
        <w:t xml:space="preserve"> </w:t>
      </w:r>
      <w:r>
        <w:rPr>
          <w:rFonts w:ascii="Book Antiqua" w:hAnsi="Book Antiqua"/>
          <w:b/>
          <w:bCs/>
          <w:color w:val="000000" w:themeColor="text1"/>
          <w:lang w:val="en-US"/>
        </w:rPr>
        <w:t>modes</w:t>
      </w:r>
    </w:p>
    <w:tbl>
      <w:tblPr>
        <w:tblW w:w="5000" w:type="pct"/>
        <w:tblLook w:val="04A0" w:firstRow="1" w:lastRow="0" w:firstColumn="1" w:lastColumn="0" w:noHBand="0" w:noVBand="1"/>
      </w:tblPr>
      <w:tblGrid>
        <w:gridCol w:w="1052"/>
        <w:gridCol w:w="1016"/>
        <w:gridCol w:w="1052"/>
        <w:gridCol w:w="1052"/>
        <w:gridCol w:w="1016"/>
        <w:gridCol w:w="1052"/>
        <w:gridCol w:w="1052"/>
        <w:gridCol w:w="1016"/>
        <w:gridCol w:w="1052"/>
      </w:tblGrid>
      <w:tr w:rsidR="00430080" w14:paraId="2FCDF5D2" w14:textId="77777777">
        <w:trPr>
          <w:trHeight w:val="322"/>
        </w:trPr>
        <w:tc>
          <w:tcPr>
            <w:tcW w:w="1661" w:type="pct"/>
            <w:gridSpan w:val="3"/>
            <w:tcBorders>
              <w:top w:val="single" w:sz="4" w:space="0" w:color="auto"/>
              <w:bottom w:val="single" w:sz="4" w:space="0" w:color="auto"/>
            </w:tcBorders>
            <w:noWrap/>
          </w:tcPr>
          <w:p w14:paraId="5BE01ABF" w14:textId="77777777" w:rsidR="00430080" w:rsidRDefault="00000000">
            <w:pPr>
              <w:spacing w:line="360" w:lineRule="auto"/>
              <w:jc w:val="both"/>
              <w:rPr>
                <w:rFonts w:ascii="Book Antiqua" w:eastAsia="Times New Roman" w:hAnsi="Book Antiqua"/>
                <w:b/>
                <w:bCs/>
                <w:color w:val="000000"/>
                <w:lang w:eastAsia="bs-Latn-BA"/>
              </w:rPr>
            </w:pPr>
            <w:r>
              <w:rPr>
                <w:rFonts w:ascii="Book Antiqua" w:eastAsia="Times New Roman" w:hAnsi="Book Antiqua"/>
                <w:b/>
                <w:bCs/>
                <w:color w:val="000000"/>
                <w:lang w:eastAsia="bs-Latn-BA"/>
              </w:rPr>
              <w:t>Observer I</w:t>
            </w:r>
          </w:p>
        </w:tc>
        <w:tc>
          <w:tcPr>
            <w:tcW w:w="1562" w:type="pct"/>
            <w:gridSpan w:val="3"/>
            <w:tcBorders>
              <w:top w:val="single" w:sz="4" w:space="0" w:color="auto"/>
              <w:bottom w:val="single" w:sz="4" w:space="0" w:color="auto"/>
            </w:tcBorders>
            <w:noWrap/>
          </w:tcPr>
          <w:p w14:paraId="3F6EE994" w14:textId="77777777" w:rsidR="00430080" w:rsidRDefault="00000000">
            <w:pPr>
              <w:spacing w:line="360" w:lineRule="auto"/>
              <w:jc w:val="both"/>
              <w:rPr>
                <w:rFonts w:ascii="Book Antiqua" w:eastAsia="Times New Roman" w:hAnsi="Book Antiqua"/>
                <w:b/>
                <w:bCs/>
                <w:color w:val="000000"/>
                <w:lang w:eastAsia="bs-Latn-BA"/>
              </w:rPr>
            </w:pPr>
            <w:r>
              <w:rPr>
                <w:rFonts w:ascii="Book Antiqua" w:eastAsia="Times New Roman" w:hAnsi="Book Antiqua"/>
                <w:b/>
                <w:bCs/>
                <w:color w:val="000000"/>
                <w:lang w:eastAsia="bs-Latn-BA"/>
              </w:rPr>
              <w:t>Observer II</w:t>
            </w:r>
          </w:p>
        </w:tc>
        <w:tc>
          <w:tcPr>
            <w:tcW w:w="1776" w:type="pct"/>
            <w:gridSpan w:val="3"/>
            <w:tcBorders>
              <w:top w:val="single" w:sz="4" w:space="0" w:color="auto"/>
              <w:bottom w:val="single" w:sz="4" w:space="0" w:color="auto"/>
            </w:tcBorders>
            <w:noWrap/>
          </w:tcPr>
          <w:p w14:paraId="1D03A497" w14:textId="77777777" w:rsidR="00430080" w:rsidRDefault="00000000">
            <w:pPr>
              <w:spacing w:line="360" w:lineRule="auto"/>
              <w:jc w:val="both"/>
              <w:rPr>
                <w:rFonts w:ascii="Book Antiqua" w:eastAsia="Times New Roman" w:hAnsi="Book Antiqua"/>
                <w:b/>
                <w:bCs/>
                <w:color w:val="000000"/>
                <w:lang w:eastAsia="bs-Latn-BA"/>
              </w:rPr>
            </w:pPr>
            <w:r>
              <w:rPr>
                <w:rFonts w:ascii="Book Antiqua" w:eastAsia="Times New Roman" w:hAnsi="Book Antiqua"/>
                <w:b/>
                <w:bCs/>
                <w:color w:val="000000"/>
                <w:lang w:eastAsia="bs-Latn-BA"/>
              </w:rPr>
              <w:t>Observer III</w:t>
            </w:r>
          </w:p>
        </w:tc>
      </w:tr>
      <w:tr w:rsidR="00430080" w14:paraId="79991CC9" w14:textId="77777777">
        <w:trPr>
          <w:trHeight w:val="322"/>
        </w:trPr>
        <w:tc>
          <w:tcPr>
            <w:tcW w:w="592" w:type="pct"/>
            <w:tcBorders>
              <w:top w:val="single" w:sz="4" w:space="0" w:color="auto"/>
              <w:left w:val="nil"/>
              <w:bottom w:val="single" w:sz="4" w:space="0" w:color="auto"/>
              <w:right w:val="nil"/>
            </w:tcBorders>
            <w:noWrap/>
          </w:tcPr>
          <w:p w14:paraId="0B5C3F47" w14:textId="77777777" w:rsidR="00430080" w:rsidRDefault="00000000">
            <w:pPr>
              <w:spacing w:line="360" w:lineRule="auto"/>
              <w:jc w:val="both"/>
              <w:rPr>
                <w:rFonts w:ascii="Book Antiqua" w:eastAsia="Times New Roman" w:hAnsi="Book Antiqua"/>
                <w:b/>
                <w:bCs/>
                <w:lang w:eastAsia="bs-Latn-BA"/>
              </w:rPr>
            </w:pPr>
            <w:proofErr w:type="spellStart"/>
            <w:r>
              <w:rPr>
                <w:rFonts w:ascii="Book Antiqua" w:hAnsi="Book Antiqua"/>
                <w:b/>
                <w:bCs/>
              </w:rPr>
              <w:t>WLE</w:t>
            </w:r>
            <w:proofErr w:type="spellEnd"/>
          </w:p>
        </w:tc>
        <w:tc>
          <w:tcPr>
            <w:tcW w:w="526" w:type="pct"/>
            <w:tcBorders>
              <w:top w:val="single" w:sz="4" w:space="0" w:color="auto"/>
              <w:left w:val="nil"/>
              <w:bottom w:val="single" w:sz="4" w:space="0" w:color="auto"/>
              <w:right w:val="nil"/>
            </w:tcBorders>
            <w:noWrap/>
          </w:tcPr>
          <w:p w14:paraId="6CF42CEE" w14:textId="77777777" w:rsidR="00430080" w:rsidRDefault="00000000">
            <w:pPr>
              <w:spacing w:line="360" w:lineRule="auto"/>
              <w:jc w:val="both"/>
              <w:rPr>
                <w:rFonts w:ascii="Book Antiqua" w:eastAsia="Times New Roman" w:hAnsi="Book Antiqua"/>
                <w:b/>
                <w:bCs/>
                <w:lang w:eastAsia="bs-Latn-BA"/>
              </w:rPr>
            </w:pPr>
            <w:r>
              <w:rPr>
                <w:rFonts w:ascii="Book Antiqua" w:hAnsi="Book Antiqua"/>
                <w:b/>
                <w:bCs/>
              </w:rPr>
              <w:t>NF</w:t>
            </w:r>
          </w:p>
        </w:tc>
        <w:tc>
          <w:tcPr>
            <w:tcW w:w="543" w:type="pct"/>
            <w:tcBorders>
              <w:top w:val="single" w:sz="4" w:space="0" w:color="auto"/>
              <w:left w:val="nil"/>
              <w:bottom w:val="single" w:sz="4" w:space="0" w:color="auto"/>
              <w:right w:val="nil"/>
            </w:tcBorders>
            <w:noWrap/>
          </w:tcPr>
          <w:p w14:paraId="6E6C91C1" w14:textId="77777777" w:rsidR="00430080" w:rsidRDefault="00000000">
            <w:pPr>
              <w:spacing w:line="360" w:lineRule="auto"/>
              <w:jc w:val="both"/>
              <w:rPr>
                <w:rFonts w:ascii="Book Antiqua" w:eastAsia="Times New Roman" w:hAnsi="Book Antiqua"/>
                <w:b/>
                <w:bCs/>
                <w:lang w:eastAsia="bs-Latn-BA"/>
              </w:rPr>
            </w:pPr>
            <w:r>
              <w:rPr>
                <w:rFonts w:ascii="Book Antiqua" w:hAnsi="Book Antiqua"/>
                <w:b/>
                <w:bCs/>
              </w:rPr>
              <w:t>NF-NBI</w:t>
            </w:r>
          </w:p>
        </w:tc>
        <w:tc>
          <w:tcPr>
            <w:tcW w:w="444" w:type="pct"/>
            <w:tcBorders>
              <w:top w:val="single" w:sz="4" w:space="0" w:color="auto"/>
              <w:left w:val="nil"/>
              <w:bottom w:val="single" w:sz="4" w:space="0" w:color="auto"/>
              <w:right w:val="nil"/>
            </w:tcBorders>
            <w:noWrap/>
          </w:tcPr>
          <w:p w14:paraId="56209D83" w14:textId="77777777" w:rsidR="00430080" w:rsidRDefault="00000000">
            <w:pPr>
              <w:spacing w:line="360" w:lineRule="auto"/>
              <w:jc w:val="both"/>
              <w:rPr>
                <w:rFonts w:ascii="Book Antiqua" w:eastAsia="Times New Roman" w:hAnsi="Book Antiqua"/>
                <w:b/>
                <w:bCs/>
                <w:lang w:eastAsia="bs-Latn-BA"/>
              </w:rPr>
            </w:pPr>
            <w:proofErr w:type="spellStart"/>
            <w:r>
              <w:rPr>
                <w:rFonts w:ascii="Book Antiqua" w:hAnsi="Book Antiqua"/>
                <w:b/>
                <w:bCs/>
              </w:rPr>
              <w:t>WLE</w:t>
            </w:r>
            <w:proofErr w:type="spellEnd"/>
          </w:p>
        </w:tc>
        <w:tc>
          <w:tcPr>
            <w:tcW w:w="526" w:type="pct"/>
            <w:tcBorders>
              <w:top w:val="single" w:sz="4" w:space="0" w:color="auto"/>
              <w:left w:val="nil"/>
              <w:bottom w:val="single" w:sz="4" w:space="0" w:color="auto"/>
              <w:right w:val="nil"/>
            </w:tcBorders>
            <w:noWrap/>
          </w:tcPr>
          <w:p w14:paraId="3C4782EE" w14:textId="77777777" w:rsidR="00430080" w:rsidRDefault="00000000">
            <w:pPr>
              <w:spacing w:line="360" w:lineRule="auto"/>
              <w:jc w:val="both"/>
              <w:rPr>
                <w:rFonts w:ascii="Book Antiqua" w:eastAsia="Times New Roman" w:hAnsi="Book Antiqua"/>
                <w:b/>
                <w:bCs/>
                <w:lang w:eastAsia="bs-Latn-BA"/>
              </w:rPr>
            </w:pPr>
            <w:r>
              <w:rPr>
                <w:rFonts w:ascii="Book Antiqua" w:hAnsi="Book Antiqua"/>
                <w:b/>
                <w:bCs/>
              </w:rPr>
              <w:t>NF</w:t>
            </w:r>
          </w:p>
        </w:tc>
        <w:tc>
          <w:tcPr>
            <w:tcW w:w="592" w:type="pct"/>
            <w:tcBorders>
              <w:top w:val="single" w:sz="4" w:space="0" w:color="auto"/>
              <w:left w:val="nil"/>
              <w:bottom w:val="single" w:sz="4" w:space="0" w:color="auto"/>
              <w:right w:val="nil"/>
            </w:tcBorders>
            <w:noWrap/>
          </w:tcPr>
          <w:p w14:paraId="1E76C439" w14:textId="77777777" w:rsidR="00430080" w:rsidRDefault="00000000">
            <w:pPr>
              <w:spacing w:line="360" w:lineRule="auto"/>
              <w:jc w:val="both"/>
              <w:rPr>
                <w:rFonts w:ascii="Book Antiqua" w:eastAsia="Times New Roman" w:hAnsi="Book Antiqua"/>
                <w:b/>
                <w:bCs/>
                <w:lang w:eastAsia="bs-Latn-BA"/>
              </w:rPr>
            </w:pPr>
            <w:r>
              <w:rPr>
                <w:rFonts w:ascii="Book Antiqua" w:hAnsi="Book Antiqua"/>
                <w:b/>
                <w:bCs/>
              </w:rPr>
              <w:t>NF-NBI</w:t>
            </w:r>
          </w:p>
        </w:tc>
        <w:tc>
          <w:tcPr>
            <w:tcW w:w="592" w:type="pct"/>
            <w:tcBorders>
              <w:top w:val="single" w:sz="4" w:space="0" w:color="auto"/>
              <w:left w:val="nil"/>
              <w:bottom w:val="single" w:sz="4" w:space="0" w:color="auto"/>
              <w:right w:val="nil"/>
            </w:tcBorders>
            <w:noWrap/>
          </w:tcPr>
          <w:p w14:paraId="4D52776D" w14:textId="77777777" w:rsidR="00430080" w:rsidRDefault="00000000">
            <w:pPr>
              <w:spacing w:line="360" w:lineRule="auto"/>
              <w:jc w:val="both"/>
              <w:rPr>
                <w:rFonts w:ascii="Book Antiqua" w:eastAsia="Times New Roman" w:hAnsi="Book Antiqua"/>
                <w:b/>
                <w:bCs/>
                <w:lang w:eastAsia="bs-Latn-BA"/>
              </w:rPr>
            </w:pPr>
            <w:proofErr w:type="spellStart"/>
            <w:r>
              <w:rPr>
                <w:rFonts w:ascii="Book Antiqua" w:hAnsi="Book Antiqua"/>
                <w:b/>
                <w:bCs/>
              </w:rPr>
              <w:t>WLE</w:t>
            </w:r>
            <w:proofErr w:type="spellEnd"/>
          </w:p>
        </w:tc>
        <w:tc>
          <w:tcPr>
            <w:tcW w:w="592" w:type="pct"/>
            <w:tcBorders>
              <w:top w:val="single" w:sz="4" w:space="0" w:color="auto"/>
              <w:left w:val="nil"/>
              <w:bottom w:val="single" w:sz="4" w:space="0" w:color="auto"/>
              <w:right w:val="nil"/>
            </w:tcBorders>
            <w:noWrap/>
          </w:tcPr>
          <w:p w14:paraId="6FBC7DB1" w14:textId="77777777" w:rsidR="00430080" w:rsidRDefault="00000000">
            <w:pPr>
              <w:spacing w:line="360" w:lineRule="auto"/>
              <w:jc w:val="both"/>
              <w:rPr>
                <w:rFonts w:ascii="Book Antiqua" w:eastAsia="Times New Roman" w:hAnsi="Book Antiqua"/>
                <w:b/>
                <w:bCs/>
                <w:lang w:eastAsia="bs-Latn-BA"/>
              </w:rPr>
            </w:pPr>
            <w:r>
              <w:rPr>
                <w:rFonts w:ascii="Book Antiqua" w:hAnsi="Book Antiqua"/>
                <w:b/>
                <w:bCs/>
              </w:rPr>
              <w:t>NF</w:t>
            </w:r>
          </w:p>
        </w:tc>
        <w:tc>
          <w:tcPr>
            <w:tcW w:w="592" w:type="pct"/>
            <w:tcBorders>
              <w:top w:val="single" w:sz="4" w:space="0" w:color="auto"/>
              <w:left w:val="nil"/>
              <w:bottom w:val="single" w:sz="4" w:space="0" w:color="auto"/>
              <w:right w:val="nil"/>
            </w:tcBorders>
            <w:noWrap/>
          </w:tcPr>
          <w:p w14:paraId="2D2EDB20" w14:textId="77777777" w:rsidR="00430080" w:rsidRDefault="00000000">
            <w:pPr>
              <w:spacing w:line="360" w:lineRule="auto"/>
              <w:jc w:val="both"/>
              <w:rPr>
                <w:rFonts w:ascii="Book Antiqua" w:eastAsia="Times New Roman" w:hAnsi="Book Antiqua"/>
                <w:b/>
                <w:bCs/>
                <w:lang w:eastAsia="bs-Latn-BA"/>
              </w:rPr>
            </w:pPr>
            <w:r>
              <w:rPr>
                <w:rFonts w:ascii="Book Antiqua" w:hAnsi="Book Antiqua"/>
                <w:b/>
                <w:bCs/>
              </w:rPr>
              <w:t>NF-NBI</w:t>
            </w:r>
          </w:p>
        </w:tc>
      </w:tr>
      <w:tr w:rsidR="00430080" w14:paraId="3D082C04" w14:textId="77777777">
        <w:trPr>
          <w:trHeight w:val="322"/>
        </w:trPr>
        <w:tc>
          <w:tcPr>
            <w:tcW w:w="592" w:type="pct"/>
            <w:tcBorders>
              <w:top w:val="single" w:sz="4" w:space="0" w:color="auto"/>
            </w:tcBorders>
            <w:noWrap/>
          </w:tcPr>
          <w:p w14:paraId="01F233C6" w14:textId="77777777" w:rsidR="00430080" w:rsidRDefault="00000000">
            <w:pPr>
              <w:spacing w:line="360" w:lineRule="auto"/>
              <w:jc w:val="both"/>
              <w:rPr>
                <w:rFonts w:ascii="Book Antiqua" w:eastAsia="Times New Roman" w:hAnsi="Book Antiqua"/>
                <w:color w:val="000000"/>
                <w:lang w:eastAsia="bs-Latn-BA"/>
              </w:rPr>
            </w:pPr>
            <w:proofErr w:type="spellStart"/>
            <w:r>
              <w:rPr>
                <w:rFonts w:ascii="Book Antiqua" w:hAnsi="Book Antiqua"/>
                <w:color w:val="000000"/>
              </w:rPr>
              <w:t>1a</w:t>
            </w:r>
            <w:proofErr w:type="spellEnd"/>
            <w:r>
              <w:rPr>
                <w:rFonts w:ascii="Book Antiqua" w:hAnsi="Book Antiqua"/>
                <w:color w:val="000000"/>
              </w:rPr>
              <w:t xml:space="preserve"> (44 × 1)</w:t>
            </w:r>
          </w:p>
        </w:tc>
        <w:tc>
          <w:tcPr>
            <w:tcW w:w="526" w:type="pct"/>
            <w:tcBorders>
              <w:top w:val="single" w:sz="4" w:space="0" w:color="auto"/>
            </w:tcBorders>
            <w:noWrap/>
          </w:tcPr>
          <w:p w14:paraId="43B8E402"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a (55 × 3)</w:t>
            </w:r>
          </w:p>
        </w:tc>
        <w:tc>
          <w:tcPr>
            <w:tcW w:w="543" w:type="pct"/>
            <w:tcBorders>
              <w:top w:val="single" w:sz="4" w:space="0" w:color="auto"/>
            </w:tcBorders>
            <w:noWrap/>
          </w:tcPr>
          <w:p w14:paraId="270FF999" w14:textId="77777777" w:rsidR="00430080" w:rsidRDefault="00000000">
            <w:pPr>
              <w:spacing w:line="360" w:lineRule="auto"/>
              <w:jc w:val="both"/>
              <w:rPr>
                <w:rFonts w:ascii="Book Antiqua" w:eastAsia="Times New Roman" w:hAnsi="Book Antiqua"/>
                <w:color w:val="000000"/>
                <w:lang w:eastAsia="bs-Latn-BA"/>
              </w:rPr>
            </w:pPr>
            <w:proofErr w:type="spellStart"/>
            <w:r>
              <w:rPr>
                <w:rFonts w:ascii="Book Antiqua" w:hAnsi="Book Antiqua"/>
                <w:color w:val="000000"/>
              </w:rPr>
              <w:t>1a</w:t>
            </w:r>
            <w:proofErr w:type="spellEnd"/>
            <w:r>
              <w:rPr>
                <w:rFonts w:ascii="Book Antiqua" w:hAnsi="Book Antiqua"/>
                <w:color w:val="000000"/>
              </w:rPr>
              <w:t xml:space="preserve"> (53 × 4)</w:t>
            </w:r>
          </w:p>
        </w:tc>
        <w:tc>
          <w:tcPr>
            <w:tcW w:w="444" w:type="pct"/>
            <w:tcBorders>
              <w:top w:val="single" w:sz="4" w:space="0" w:color="auto"/>
            </w:tcBorders>
            <w:noWrap/>
          </w:tcPr>
          <w:p w14:paraId="2AE71709" w14:textId="77777777" w:rsidR="00430080" w:rsidRDefault="00000000">
            <w:pPr>
              <w:spacing w:line="360" w:lineRule="auto"/>
              <w:jc w:val="both"/>
              <w:rPr>
                <w:rFonts w:ascii="Book Antiqua" w:eastAsia="Times New Roman" w:hAnsi="Book Antiqua"/>
                <w:color w:val="000000"/>
                <w:lang w:eastAsia="bs-Latn-BA"/>
              </w:rPr>
            </w:pPr>
            <w:proofErr w:type="spellStart"/>
            <w:r>
              <w:rPr>
                <w:rFonts w:ascii="Book Antiqua" w:hAnsi="Book Antiqua"/>
                <w:color w:val="000000"/>
              </w:rPr>
              <w:t>1a</w:t>
            </w:r>
            <w:proofErr w:type="spellEnd"/>
            <w:r>
              <w:rPr>
                <w:rFonts w:ascii="Book Antiqua" w:hAnsi="Book Antiqua"/>
                <w:color w:val="000000"/>
              </w:rPr>
              <w:t xml:space="preserve"> (47 × 1)</w:t>
            </w:r>
          </w:p>
        </w:tc>
        <w:tc>
          <w:tcPr>
            <w:tcW w:w="526" w:type="pct"/>
            <w:tcBorders>
              <w:top w:val="single" w:sz="4" w:space="0" w:color="auto"/>
            </w:tcBorders>
            <w:noWrap/>
          </w:tcPr>
          <w:p w14:paraId="7E6B6D70"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a (58 × 3)</w:t>
            </w:r>
          </w:p>
        </w:tc>
        <w:tc>
          <w:tcPr>
            <w:tcW w:w="592" w:type="pct"/>
            <w:tcBorders>
              <w:top w:val="single" w:sz="4" w:space="0" w:color="auto"/>
            </w:tcBorders>
            <w:noWrap/>
          </w:tcPr>
          <w:p w14:paraId="7A52523A" w14:textId="77777777" w:rsidR="00430080" w:rsidRDefault="00000000">
            <w:pPr>
              <w:spacing w:line="360" w:lineRule="auto"/>
              <w:jc w:val="both"/>
              <w:rPr>
                <w:rFonts w:ascii="Book Antiqua" w:eastAsia="Times New Roman" w:hAnsi="Book Antiqua"/>
                <w:color w:val="000000"/>
                <w:lang w:eastAsia="bs-Latn-BA"/>
              </w:rPr>
            </w:pPr>
            <w:proofErr w:type="spellStart"/>
            <w:r>
              <w:rPr>
                <w:rFonts w:ascii="Book Antiqua" w:hAnsi="Book Antiqua"/>
                <w:color w:val="000000"/>
              </w:rPr>
              <w:t>1a</w:t>
            </w:r>
            <w:proofErr w:type="spellEnd"/>
            <w:r>
              <w:rPr>
                <w:rFonts w:ascii="Book Antiqua" w:hAnsi="Book Antiqua"/>
                <w:color w:val="000000"/>
              </w:rPr>
              <w:t xml:space="preserve"> (60 × 4)</w:t>
            </w:r>
          </w:p>
        </w:tc>
        <w:tc>
          <w:tcPr>
            <w:tcW w:w="592" w:type="pct"/>
            <w:tcBorders>
              <w:top w:val="single" w:sz="4" w:space="0" w:color="auto"/>
            </w:tcBorders>
            <w:noWrap/>
          </w:tcPr>
          <w:p w14:paraId="432974AE" w14:textId="77777777" w:rsidR="00430080" w:rsidRDefault="00000000">
            <w:pPr>
              <w:spacing w:line="360" w:lineRule="auto"/>
              <w:jc w:val="both"/>
              <w:rPr>
                <w:rFonts w:ascii="Book Antiqua" w:eastAsia="Times New Roman" w:hAnsi="Book Antiqua"/>
                <w:color w:val="000000"/>
                <w:lang w:eastAsia="bs-Latn-BA"/>
              </w:rPr>
            </w:pPr>
            <w:proofErr w:type="spellStart"/>
            <w:r>
              <w:rPr>
                <w:rFonts w:ascii="Book Antiqua" w:hAnsi="Book Antiqua"/>
                <w:color w:val="000000"/>
              </w:rPr>
              <w:t>1a</w:t>
            </w:r>
            <w:proofErr w:type="spellEnd"/>
            <w:r>
              <w:rPr>
                <w:rFonts w:ascii="Book Antiqua" w:hAnsi="Book Antiqua"/>
                <w:color w:val="000000"/>
              </w:rPr>
              <w:t xml:space="preserve"> (51 × 1)</w:t>
            </w:r>
          </w:p>
        </w:tc>
        <w:tc>
          <w:tcPr>
            <w:tcW w:w="592" w:type="pct"/>
            <w:tcBorders>
              <w:top w:val="single" w:sz="4" w:space="0" w:color="auto"/>
            </w:tcBorders>
            <w:noWrap/>
          </w:tcPr>
          <w:p w14:paraId="286E098F"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a (56 × 3)</w:t>
            </w:r>
          </w:p>
        </w:tc>
        <w:tc>
          <w:tcPr>
            <w:tcW w:w="592" w:type="pct"/>
            <w:tcBorders>
              <w:top w:val="single" w:sz="4" w:space="0" w:color="auto"/>
            </w:tcBorders>
            <w:noWrap/>
          </w:tcPr>
          <w:p w14:paraId="20717E54" w14:textId="77777777" w:rsidR="00430080" w:rsidRDefault="00000000">
            <w:pPr>
              <w:spacing w:line="360" w:lineRule="auto"/>
              <w:jc w:val="both"/>
              <w:rPr>
                <w:rFonts w:ascii="Book Antiqua" w:eastAsia="Times New Roman" w:hAnsi="Book Antiqua"/>
                <w:color w:val="000000"/>
                <w:lang w:eastAsia="bs-Latn-BA"/>
              </w:rPr>
            </w:pPr>
            <w:proofErr w:type="spellStart"/>
            <w:r>
              <w:rPr>
                <w:rFonts w:ascii="Book Antiqua" w:hAnsi="Book Antiqua"/>
                <w:color w:val="000000"/>
              </w:rPr>
              <w:t>1a</w:t>
            </w:r>
            <w:proofErr w:type="spellEnd"/>
            <w:r>
              <w:rPr>
                <w:rFonts w:ascii="Book Antiqua" w:hAnsi="Book Antiqua"/>
                <w:color w:val="000000"/>
              </w:rPr>
              <w:t xml:space="preserve"> (51 × 4)</w:t>
            </w:r>
          </w:p>
        </w:tc>
      </w:tr>
      <w:tr w:rsidR="00430080" w14:paraId="2D03A93D" w14:textId="77777777">
        <w:trPr>
          <w:trHeight w:val="322"/>
        </w:trPr>
        <w:tc>
          <w:tcPr>
            <w:tcW w:w="592" w:type="pct"/>
            <w:noWrap/>
          </w:tcPr>
          <w:p w14:paraId="7D8D6493" w14:textId="77777777" w:rsidR="00430080" w:rsidRDefault="00000000">
            <w:pPr>
              <w:spacing w:line="360" w:lineRule="auto"/>
              <w:jc w:val="both"/>
              <w:rPr>
                <w:rFonts w:ascii="Book Antiqua" w:eastAsia="Times New Roman" w:hAnsi="Book Antiqua"/>
                <w:color w:val="000000"/>
                <w:lang w:eastAsia="bs-Latn-BA"/>
              </w:rPr>
            </w:pPr>
            <w:proofErr w:type="spellStart"/>
            <w:r>
              <w:rPr>
                <w:rFonts w:ascii="Book Antiqua" w:hAnsi="Book Antiqua"/>
                <w:color w:val="000000"/>
              </w:rPr>
              <w:t>2a</w:t>
            </w:r>
            <w:proofErr w:type="spellEnd"/>
            <w:r>
              <w:rPr>
                <w:rFonts w:ascii="Book Antiqua" w:hAnsi="Book Antiqua"/>
                <w:color w:val="000000"/>
              </w:rPr>
              <w:t xml:space="preserve"> (2 × 1)</w:t>
            </w:r>
          </w:p>
        </w:tc>
        <w:tc>
          <w:tcPr>
            <w:tcW w:w="526" w:type="pct"/>
            <w:noWrap/>
          </w:tcPr>
          <w:p w14:paraId="3458546A"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b (9 × 2.5)</w:t>
            </w:r>
          </w:p>
        </w:tc>
        <w:tc>
          <w:tcPr>
            <w:tcW w:w="543" w:type="pct"/>
            <w:noWrap/>
          </w:tcPr>
          <w:p w14:paraId="3BAB2779" w14:textId="77777777" w:rsidR="00430080" w:rsidRDefault="00000000">
            <w:pPr>
              <w:spacing w:line="360" w:lineRule="auto"/>
              <w:jc w:val="both"/>
              <w:rPr>
                <w:rFonts w:ascii="Book Antiqua" w:eastAsia="Times New Roman" w:hAnsi="Book Antiqua"/>
                <w:color w:val="000000"/>
                <w:lang w:eastAsia="bs-Latn-BA"/>
              </w:rPr>
            </w:pPr>
            <w:proofErr w:type="spellStart"/>
            <w:r>
              <w:rPr>
                <w:rFonts w:ascii="Book Antiqua" w:hAnsi="Book Antiqua"/>
                <w:color w:val="000000"/>
              </w:rPr>
              <w:t>2a</w:t>
            </w:r>
            <w:proofErr w:type="spellEnd"/>
            <w:r>
              <w:rPr>
                <w:rFonts w:ascii="Book Antiqua" w:hAnsi="Book Antiqua"/>
                <w:color w:val="000000"/>
              </w:rPr>
              <w:t xml:space="preserve"> (12 × 4)</w:t>
            </w:r>
          </w:p>
        </w:tc>
        <w:tc>
          <w:tcPr>
            <w:tcW w:w="444" w:type="pct"/>
            <w:noWrap/>
          </w:tcPr>
          <w:p w14:paraId="301612F1" w14:textId="77777777" w:rsidR="00430080" w:rsidRDefault="00000000">
            <w:pPr>
              <w:spacing w:line="360" w:lineRule="auto"/>
              <w:jc w:val="both"/>
              <w:rPr>
                <w:rFonts w:ascii="Book Antiqua" w:eastAsia="Times New Roman" w:hAnsi="Book Antiqua"/>
                <w:color w:val="000000"/>
                <w:lang w:eastAsia="bs-Latn-BA"/>
              </w:rPr>
            </w:pPr>
            <w:proofErr w:type="spellStart"/>
            <w:r>
              <w:rPr>
                <w:rFonts w:ascii="Book Antiqua" w:hAnsi="Book Antiqua"/>
                <w:color w:val="000000"/>
              </w:rPr>
              <w:t>2a</w:t>
            </w:r>
            <w:proofErr w:type="spellEnd"/>
            <w:r>
              <w:rPr>
                <w:rFonts w:ascii="Book Antiqua" w:hAnsi="Book Antiqua"/>
                <w:color w:val="000000"/>
              </w:rPr>
              <w:t xml:space="preserve"> (4 × 1)</w:t>
            </w:r>
          </w:p>
        </w:tc>
        <w:tc>
          <w:tcPr>
            <w:tcW w:w="526" w:type="pct"/>
            <w:noWrap/>
          </w:tcPr>
          <w:p w14:paraId="59E1740D"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b (7 × 2.5)</w:t>
            </w:r>
          </w:p>
        </w:tc>
        <w:tc>
          <w:tcPr>
            <w:tcW w:w="592" w:type="pct"/>
            <w:noWrap/>
          </w:tcPr>
          <w:p w14:paraId="392E0205" w14:textId="77777777" w:rsidR="00430080" w:rsidRDefault="00000000">
            <w:pPr>
              <w:spacing w:line="360" w:lineRule="auto"/>
              <w:jc w:val="both"/>
              <w:rPr>
                <w:rFonts w:ascii="Book Antiqua" w:eastAsia="Times New Roman" w:hAnsi="Book Antiqua"/>
                <w:color w:val="000000"/>
                <w:lang w:eastAsia="bs-Latn-BA"/>
              </w:rPr>
            </w:pPr>
            <w:proofErr w:type="spellStart"/>
            <w:r>
              <w:rPr>
                <w:rFonts w:ascii="Book Antiqua" w:hAnsi="Book Antiqua"/>
                <w:color w:val="000000"/>
              </w:rPr>
              <w:t>2a</w:t>
            </w:r>
            <w:proofErr w:type="spellEnd"/>
            <w:r>
              <w:rPr>
                <w:rFonts w:ascii="Book Antiqua" w:hAnsi="Book Antiqua"/>
                <w:color w:val="000000"/>
              </w:rPr>
              <w:t xml:space="preserve"> (6 × 4)</w:t>
            </w:r>
          </w:p>
        </w:tc>
        <w:tc>
          <w:tcPr>
            <w:tcW w:w="592" w:type="pct"/>
            <w:noWrap/>
          </w:tcPr>
          <w:p w14:paraId="351057DA" w14:textId="77777777" w:rsidR="00430080" w:rsidRDefault="00000000">
            <w:pPr>
              <w:spacing w:line="360" w:lineRule="auto"/>
              <w:jc w:val="both"/>
              <w:rPr>
                <w:rFonts w:ascii="Book Antiqua" w:eastAsia="Times New Roman" w:hAnsi="Book Antiqua"/>
                <w:color w:val="000000"/>
                <w:lang w:eastAsia="bs-Latn-BA"/>
              </w:rPr>
            </w:pPr>
            <w:proofErr w:type="spellStart"/>
            <w:r>
              <w:rPr>
                <w:rFonts w:ascii="Book Antiqua" w:hAnsi="Book Antiqua"/>
                <w:color w:val="000000"/>
              </w:rPr>
              <w:t>2a</w:t>
            </w:r>
            <w:proofErr w:type="spellEnd"/>
            <w:r>
              <w:rPr>
                <w:rFonts w:ascii="Book Antiqua" w:hAnsi="Book Antiqua"/>
                <w:color w:val="000000"/>
              </w:rPr>
              <w:t xml:space="preserve"> (0 × 1)</w:t>
            </w:r>
          </w:p>
        </w:tc>
        <w:tc>
          <w:tcPr>
            <w:tcW w:w="592" w:type="pct"/>
            <w:noWrap/>
          </w:tcPr>
          <w:p w14:paraId="4F071E76"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b (7 × 2.5)</w:t>
            </w:r>
          </w:p>
        </w:tc>
        <w:tc>
          <w:tcPr>
            <w:tcW w:w="592" w:type="pct"/>
            <w:noWrap/>
          </w:tcPr>
          <w:p w14:paraId="5F286DA8" w14:textId="77777777" w:rsidR="00430080" w:rsidRDefault="00000000">
            <w:pPr>
              <w:spacing w:line="360" w:lineRule="auto"/>
              <w:jc w:val="both"/>
              <w:rPr>
                <w:rFonts w:ascii="Book Antiqua" w:eastAsia="Times New Roman" w:hAnsi="Book Antiqua"/>
                <w:color w:val="000000"/>
                <w:lang w:eastAsia="bs-Latn-BA"/>
              </w:rPr>
            </w:pPr>
            <w:proofErr w:type="spellStart"/>
            <w:r>
              <w:rPr>
                <w:rFonts w:ascii="Book Antiqua" w:hAnsi="Book Antiqua"/>
                <w:color w:val="000000"/>
              </w:rPr>
              <w:t>2a</w:t>
            </w:r>
            <w:proofErr w:type="spellEnd"/>
            <w:r>
              <w:rPr>
                <w:rFonts w:ascii="Book Antiqua" w:hAnsi="Book Antiqua"/>
                <w:color w:val="000000"/>
              </w:rPr>
              <w:t xml:space="preserve"> (12 × 4)</w:t>
            </w:r>
          </w:p>
        </w:tc>
      </w:tr>
      <w:tr w:rsidR="00430080" w14:paraId="4CC4B792" w14:textId="77777777">
        <w:trPr>
          <w:trHeight w:val="322"/>
        </w:trPr>
        <w:tc>
          <w:tcPr>
            <w:tcW w:w="592" w:type="pct"/>
            <w:noWrap/>
          </w:tcPr>
          <w:p w14:paraId="00804F86"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b (9 × 0.5)</w:t>
            </w:r>
          </w:p>
        </w:tc>
        <w:tc>
          <w:tcPr>
            <w:tcW w:w="526" w:type="pct"/>
            <w:noWrap/>
          </w:tcPr>
          <w:p w14:paraId="55776A4C"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c (4 × 2)</w:t>
            </w:r>
          </w:p>
        </w:tc>
        <w:tc>
          <w:tcPr>
            <w:tcW w:w="543" w:type="pct"/>
            <w:noWrap/>
          </w:tcPr>
          <w:p w14:paraId="6135BC4D"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b (3 × 2.5)</w:t>
            </w:r>
          </w:p>
        </w:tc>
        <w:tc>
          <w:tcPr>
            <w:tcW w:w="444" w:type="pct"/>
            <w:noWrap/>
          </w:tcPr>
          <w:p w14:paraId="6585C158"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b (7 × 0.5)</w:t>
            </w:r>
          </w:p>
        </w:tc>
        <w:tc>
          <w:tcPr>
            <w:tcW w:w="526" w:type="pct"/>
            <w:noWrap/>
          </w:tcPr>
          <w:p w14:paraId="575731F9"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c (3 × 2)</w:t>
            </w:r>
          </w:p>
        </w:tc>
        <w:tc>
          <w:tcPr>
            <w:tcW w:w="592" w:type="pct"/>
            <w:noWrap/>
          </w:tcPr>
          <w:p w14:paraId="4724F19A"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b (2 × 2.5)</w:t>
            </w:r>
          </w:p>
        </w:tc>
        <w:tc>
          <w:tcPr>
            <w:tcW w:w="592" w:type="pct"/>
            <w:noWrap/>
          </w:tcPr>
          <w:p w14:paraId="6F557A1B"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b (2 × 0.5)</w:t>
            </w:r>
          </w:p>
        </w:tc>
        <w:tc>
          <w:tcPr>
            <w:tcW w:w="592" w:type="pct"/>
            <w:noWrap/>
          </w:tcPr>
          <w:p w14:paraId="3D3A63DB"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c (5 × 2)</w:t>
            </w:r>
          </w:p>
        </w:tc>
        <w:tc>
          <w:tcPr>
            <w:tcW w:w="592" w:type="pct"/>
            <w:noWrap/>
          </w:tcPr>
          <w:p w14:paraId="0415A0C1"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b (5 × 2.5)</w:t>
            </w:r>
          </w:p>
        </w:tc>
      </w:tr>
      <w:tr w:rsidR="00430080" w14:paraId="59AD4AF3" w14:textId="77777777">
        <w:trPr>
          <w:trHeight w:val="322"/>
        </w:trPr>
        <w:tc>
          <w:tcPr>
            <w:tcW w:w="592" w:type="pct"/>
            <w:noWrap/>
          </w:tcPr>
          <w:p w14:paraId="31C3435E"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c (13 × 0)</w:t>
            </w:r>
          </w:p>
        </w:tc>
        <w:tc>
          <w:tcPr>
            <w:tcW w:w="526" w:type="pct"/>
            <w:noWrap/>
          </w:tcPr>
          <w:p w14:paraId="2AFC3322" w14:textId="77777777" w:rsidR="00430080" w:rsidRDefault="00430080">
            <w:pPr>
              <w:spacing w:line="360" w:lineRule="auto"/>
              <w:jc w:val="both"/>
              <w:rPr>
                <w:rFonts w:ascii="Book Antiqua" w:eastAsia="Times New Roman" w:hAnsi="Book Antiqua"/>
                <w:color w:val="000000"/>
                <w:lang w:eastAsia="bs-Latn-BA"/>
              </w:rPr>
            </w:pPr>
          </w:p>
        </w:tc>
        <w:tc>
          <w:tcPr>
            <w:tcW w:w="543" w:type="pct"/>
            <w:noWrap/>
          </w:tcPr>
          <w:p w14:paraId="28426BDB" w14:textId="77777777" w:rsidR="00430080" w:rsidRDefault="00430080">
            <w:pPr>
              <w:spacing w:line="360" w:lineRule="auto"/>
              <w:jc w:val="both"/>
              <w:rPr>
                <w:rFonts w:ascii="Book Antiqua" w:eastAsia="Times New Roman" w:hAnsi="Book Antiqua"/>
                <w:color w:val="000000"/>
                <w:lang w:eastAsia="bs-Latn-BA"/>
              </w:rPr>
            </w:pPr>
          </w:p>
        </w:tc>
        <w:tc>
          <w:tcPr>
            <w:tcW w:w="444" w:type="pct"/>
            <w:noWrap/>
          </w:tcPr>
          <w:p w14:paraId="1730757F"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c (10 × 0)</w:t>
            </w:r>
          </w:p>
        </w:tc>
        <w:tc>
          <w:tcPr>
            <w:tcW w:w="526" w:type="pct"/>
            <w:noWrap/>
          </w:tcPr>
          <w:p w14:paraId="391840CF" w14:textId="77777777" w:rsidR="00430080" w:rsidRDefault="00430080">
            <w:pPr>
              <w:spacing w:line="360" w:lineRule="auto"/>
              <w:jc w:val="both"/>
              <w:rPr>
                <w:rFonts w:ascii="Book Antiqua" w:eastAsia="Times New Roman" w:hAnsi="Book Antiqua"/>
                <w:color w:val="000000"/>
                <w:lang w:eastAsia="bs-Latn-BA"/>
              </w:rPr>
            </w:pPr>
          </w:p>
        </w:tc>
        <w:tc>
          <w:tcPr>
            <w:tcW w:w="592" w:type="pct"/>
            <w:noWrap/>
          </w:tcPr>
          <w:p w14:paraId="727B1D76" w14:textId="77777777" w:rsidR="00430080" w:rsidRDefault="00430080">
            <w:pPr>
              <w:spacing w:line="360" w:lineRule="auto"/>
              <w:jc w:val="both"/>
              <w:rPr>
                <w:rFonts w:ascii="Book Antiqua" w:eastAsia="Times New Roman" w:hAnsi="Book Antiqua"/>
                <w:color w:val="000000"/>
                <w:lang w:eastAsia="bs-Latn-BA"/>
              </w:rPr>
            </w:pPr>
          </w:p>
        </w:tc>
        <w:tc>
          <w:tcPr>
            <w:tcW w:w="592" w:type="pct"/>
            <w:noWrap/>
          </w:tcPr>
          <w:p w14:paraId="78263704"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c (15 × 0)</w:t>
            </w:r>
          </w:p>
        </w:tc>
        <w:tc>
          <w:tcPr>
            <w:tcW w:w="592" w:type="pct"/>
            <w:noWrap/>
          </w:tcPr>
          <w:p w14:paraId="6D199E18" w14:textId="77777777" w:rsidR="00430080" w:rsidRDefault="00430080">
            <w:pPr>
              <w:spacing w:line="360" w:lineRule="auto"/>
              <w:jc w:val="both"/>
              <w:rPr>
                <w:rFonts w:ascii="Book Antiqua" w:eastAsia="Times New Roman" w:hAnsi="Book Antiqua"/>
                <w:color w:val="000000"/>
                <w:lang w:eastAsia="bs-Latn-BA"/>
              </w:rPr>
            </w:pPr>
          </w:p>
        </w:tc>
        <w:tc>
          <w:tcPr>
            <w:tcW w:w="592" w:type="pct"/>
            <w:noWrap/>
          </w:tcPr>
          <w:p w14:paraId="0AD2F27D" w14:textId="77777777" w:rsidR="00430080" w:rsidRDefault="00430080">
            <w:pPr>
              <w:spacing w:line="360" w:lineRule="auto"/>
              <w:jc w:val="both"/>
              <w:rPr>
                <w:rFonts w:ascii="Book Antiqua" w:eastAsia="Times New Roman" w:hAnsi="Book Antiqua"/>
                <w:color w:val="000000"/>
                <w:lang w:eastAsia="bs-Latn-BA"/>
              </w:rPr>
            </w:pPr>
          </w:p>
        </w:tc>
      </w:tr>
      <w:tr w:rsidR="00430080" w14:paraId="1D254174" w14:textId="77777777">
        <w:trPr>
          <w:trHeight w:val="322"/>
        </w:trPr>
        <w:tc>
          <w:tcPr>
            <w:tcW w:w="592" w:type="pct"/>
            <w:tcBorders>
              <w:bottom w:val="single" w:sz="4" w:space="0" w:color="auto"/>
            </w:tcBorders>
            <w:noWrap/>
          </w:tcPr>
          <w:p w14:paraId="68212630"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50.5</w:t>
            </w:r>
          </w:p>
        </w:tc>
        <w:tc>
          <w:tcPr>
            <w:tcW w:w="526" w:type="pct"/>
            <w:tcBorders>
              <w:bottom w:val="single" w:sz="4" w:space="0" w:color="auto"/>
            </w:tcBorders>
            <w:noWrap/>
          </w:tcPr>
          <w:p w14:paraId="5AC2FE71"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195.5</w:t>
            </w:r>
          </w:p>
        </w:tc>
        <w:tc>
          <w:tcPr>
            <w:tcW w:w="543" w:type="pct"/>
            <w:tcBorders>
              <w:bottom w:val="single" w:sz="4" w:space="0" w:color="auto"/>
            </w:tcBorders>
            <w:noWrap/>
          </w:tcPr>
          <w:p w14:paraId="05A80A53"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267.5</w:t>
            </w:r>
          </w:p>
        </w:tc>
        <w:tc>
          <w:tcPr>
            <w:tcW w:w="444" w:type="pct"/>
            <w:tcBorders>
              <w:bottom w:val="single" w:sz="4" w:space="0" w:color="auto"/>
            </w:tcBorders>
            <w:noWrap/>
          </w:tcPr>
          <w:p w14:paraId="1AA0BA64"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54.5</w:t>
            </w:r>
          </w:p>
        </w:tc>
        <w:tc>
          <w:tcPr>
            <w:tcW w:w="526" w:type="pct"/>
            <w:tcBorders>
              <w:bottom w:val="single" w:sz="4" w:space="0" w:color="auto"/>
            </w:tcBorders>
            <w:noWrap/>
          </w:tcPr>
          <w:p w14:paraId="231B5690"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197.5</w:t>
            </w:r>
          </w:p>
        </w:tc>
        <w:tc>
          <w:tcPr>
            <w:tcW w:w="592" w:type="pct"/>
            <w:tcBorders>
              <w:bottom w:val="single" w:sz="4" w:space="0" w:color="auto"/>
            </w:tcBorders>
            <w:noWrap/>
          </w:tcPr>
          <w:p w14:paraId="6AD489AF"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269</w:t>
            </w:r>
            <w:r>
              <w:rPr>
                <w:rFonts w:ascii="Book Antiqua" w:eastAsia="Times New Roman" w:hAnsi="Book Antiqua"/>
                <w:color w:val="000000"/>
                <w:lang w:eastAsia="bs-Latn-BA"/>
              </w:rPr>
              <w:t>.0</w:t>
            </w:r>
          </w:p>
        </w:tc>
        <w:tc>
          <w:tcPr>
            <w:tcW w:w="592" w:type="pct"/>
            <w:tcBorders>
              <w:bottom w:val="single" w:sz="4" w:space="0" w:color="auto"/>
            </w:tcBorders>
            <w:noWrap/>
          </w:tcPr>
          <w:p w14:paraId="76B2E154"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52</w:t>
            </w:r>
            <w:r>
              <w:rPr>
                <w:rFonts w:ascii="Book Antiqua" w:eastAsia="Times New Roman" w:hAnsi="Book Antiqua"/>
                <w:color w:val="000000"/>
                <w:lang w:eastAsia="bs-Latn-BA"/>
              </w:rPr>
              <w:t>.0</w:t>
            </w:r>
          </w:p>
        </w:tc>
        <w:tc>
          <w:tcPr>
            <w:tcW w:w="592" w:type="pct"/>
            <w:tcBorders>
              <w:bottom w:val="single" w:sz="4" w:space="0" w:color="auto"/>
            </w:tcBorders>
            <w:noWrap/>
          </w:tcPr>
          <w:p w14:paraId="477B3CF1"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195.5</w:t>
            </w:r>
          </w:p>
        </w:tc>
        <w:tc>
          <w:tcPr>
            <w:tcW w:w="592" w:type="pct"/>
            <w:tcBorders>
              <w:bottom w:val="single" w:sz="4" w:space="0" w:color="auto"/>
            </w:tcBorders>
            <w:noWrap/>
          </w:tcPr>
          <w:p w14:paraId="5DDDB2E7"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264.5</w:t>
            </w:r>
          </w:p>
        </w:tc>
      </w:tr>
    </w:tbl>
    <w:p w14:paraId="394CCA72" w14:textId="77777777" w:rsidR="00430080" w:rsidRDefault="00000000">
      <w:pPr>
        <w:spacing w:line="360" w:lineRule="auto"/>
        <w:jc w:val="both"/>
        <w:rPr>
          <w:rFonts w:ascii="Book Antiqua" w:hAnsi="Book Antiqua"/>
          <w:lang w:eastAsia="zh-CN"/>
        </w:rPr>
      </w:pPr>
      <w:r>
        <w:rPr>
          <w:rFonts w:ascii="Book Antiqua" w:hAnsi="Book Antiqua"/>
          <w:lang w:eastAsia="zh-CN"/>
        </w:rPr>
        <w:t xml:space="preserve">NBI: Narrow-band imaging; NF: Near focus; </w:t>
      </w:r>
      <w:proofErr w:type="spellStart"/>
      <w:r>
        <w:rPr>
          <w:rFonts w:ascii="Book Antiqua" w:hAnsi="Book Antiqua"/>
          <w:lang w:eastAsia="zh-CN"/>
        </w:rPr>
        <w:t>WLE</w:t>
      </w:r>
      <w:proofErr w:type="spellEnd"/>
      <w:r>
        <w:rPr>
          <w:rFonts w:ascii="Book Antiqua" w:hAnsi="Book Antiqua"/>
          <w:lang w:eastAsia="zh-CN"/>
        </w:rPr>
        <w:t>: White light endoscopy.</w:t>
      </w:r>
    </w:p>
    <w:p w14:paraId="51FF3FF2" w14:textId="77777777" w:rsidR="00430080" w:rsidRDefault="00430080">
      <w:pPr>
        <w:spacing w:line="360" w:lineRule="auto"/>
        <w:jc w:val="both"/>
        <w:rPr>
          <w:rFonts w:ascii="Book Antiqua" w:hAnsi="Book Antiqua"/>
          <w:lang w:val="en-GB"/>
        </w:rPr>
        <w:sectPr w:rsidR="00430080" w:rsidSect="00963574">
          <w:pgSz w:w="12240" w:h="15840"/>
          <w:pgMar w:top="1440" w:right="1440" w:bottom="1440" w:left="1440" w:header="720" w:footer="720" w:gutter="0"/>
          <w:cols w:space="720"/>
          <w:docGrid w:linePitch="360"/>
        </w:sectPr>
      </w:pPr>
    </w:p>
    <w:p w14:paraId="4844FA29" w14:textId="77777777" w:rsidR="00430080" w:rsidRDefault="00000000">
      <w:pPr>
        <w:pStyle w:val="a9"/>
        <w:spacing w:before="0" w:beforeAutospacing="0" w:after="0" w:afterAutospacing="0" w:line="360" w:lineRule="auto"/>
        <w:jc w:val="both"/>
        <w:rPr>
          <w:rFonts w:ascii="Book Antiqua" w:hAnsi="Book Antiqua"/>
          <w:b/>
          <w:color w:val="000000"/>
          <w:lang w:val="en-US"/>
        </w:rPr>
      </w:pPr>
      <w:r>
        <w:rPr>
          <w:rFonts w:ascii="Book Antiqua" w:hAnsi="Book Antiqua"/>
          <w:b/>
          <w:color w:val="000000"/>
          <w:lang w:val="en-US"/>
        </w:rPr>
        <w:lastRenderedPageBreak/>
        <w:t xml:space="preserve">Table 2 Frequency and scoring of the endoscopic patterns </w:t>
      </w:r>
      <w:r>
        <w:rPr>
          <w:rFonts w:ascii="Book Antiqua" w:hAnsi="Book Antiqua"/>
          <w:b/>
          <w:bCs/>
          <w:color w:val="000000"/>
          <w:lang w:val="en-US" w:eastAsia="bs-Latn-BA"/>
        </w:rPr>
        <w:t>with</w:t>
      </w:r>
      <w:r>
        <w:rPr>
          <w:rFonts w:ascii="Book Antiqua" w:hAnsi="Book Antiqua"/>
          <w:b/>
          <w:color w:val="000000"/>
          <w:lang w:val="en-US"/>
        </w:rPr>
        <w:t xml:space="preserve"> acetic acid, near focus and acetic acid</w:t>
      </w:r>
      <w:r>
        <w:rPr>
          <w:rFonts w:ascii="Book Antiqua" w:hAnsi="Book Antiqua"/>
          <w:b/>
          <w:bCs/>
          <w:color w:val="000000"/>
          <w:lang w:val="en-US" w:eastAsia="bs-Latn-BA"/>
        </w:rPr>
        <w:t xml:space="preserve">, </w:t>
      </w:r>
      <w:r>
        <w:rPr>
          <w:rFonts w:ascii="Book Antiqua" w:hAnsi="Book Antiqua"/>
          <w:b/>
          <w:color w:val="000000"/>
          <w:lang w:val="en-US"/>
        </w:rPr>
        <w:t xml:space="preserve">near focus, </w:t>
      </w:r>
      <w:r>
        <w:rPr>
          <w:rFonts w:ascii="Book Antiqua" w:hAnsi="Book Antiqua"/>
          <w:b/>
          <w:bCs/>
          <w:color w:val="000000"/>
          <w:lang w:val="en-US" w:eastAsia="bs-Latn-BA"/>
        </w:rPr>
        <w:t xml:space="preserve">and </w:t>
      </w:r>
      <w:r>
        <w:rPr>
          <w:rFonts w:ascii="Book Antiqua" w:hAnsi="Book Antiqua"/>
          <w:b/>
          <w:color w:val="000000"/>
          <w:lang w:val="en-US"/>
        </w:rPr>
        <w:t xml:space="preserve">narrow-band imaging </w:t>
      </w:r>
      <w:r>
        <w:rPr>
          <w:rFonts w:ascii="Book Antiqua" w:hAnsi="Book Antiqua"/>
          <w:b/>
          <w:bCs/>
          <w:color w:val="000000"/>
          <w:lang w:val="en-US" w:eastAsia="bs-Latn-BA"/>
        </w:rPr>
        <w:t>modes</w:t>
      </w:r>
    </w:p>
    <w:tbl>
      <w:tblPr>
        <w:tblW w:w="8931" w:type="dxa"/>
        <w:tblLook w:val="04A0" w:firstRow="1" w:lastRow="0" w:firstColumn="1" w:lastColumn="0" w:noHBand="0" w:noVBand="1"/>
      </w:tblPr>
      <w:tblGrid>
        <w:gridCol w:w="1276"/>
        <w:gridCol w:w="1843"/>
        <w:gridCol w:w="1276"/>
        <w:gridCol w:w="1701"/>
        <w:gridCol w:w="1134"/>
        <w:gridCol w:w="1701"/>
      </w:tblGrid>
      <w:tr w:rsidR="00430080" w14:paraId="2D4D8ACB" w14:textId="77777777">
        <w:trPr>
          <w:trHeight w:val="300"/>
        </w:trPr>
        <w:tc>
          <w:tcPr>
            <w:tcW w:w="3119" w:type="dxa"/>
            <w:gridSpan w:val="2"/>
            <w:tcBorders>
              <w:top w:val="single" w:sz="4" w:space="0" w:color="auto"/>
              <w:bottom w:val="single" w:sz="4" w:space="0" w:color="auto"/>
            </w:tcBorders>
            <w:noWrap/>
          </w:tcPr>
          <w:p w14:paraId="193DC92B" w14:textId="77777777" w:rsidR="00430080" w:rsidRDefault="00000000">
            <w:pPr>
              <w:spacing w:line="360" w:lineRule="auto"/>
              <w:jc w:val="both"/>
              <w:rPr>
                <w:rFonts w:ascii="Book Antiqua" w:eastAsia="Times New Roman" w:hAnsi="Book Antiqua"/>
                <w:b/>
                <w:bCs/>
                <w:color w:val="000000"/>
                <w:lang w:eastAsia="bs-Latn-BA"/>
              </w:rPr>
            </w:pPr>
            <w:r>
              <w:rPr>
                <w:rFonts w:ascii="Book Antiqua" w:eastAsia="Times New Roman" w:hAnsi="Book Antiqua"/>
                <w:b/>
                <w:bCs/>
                <w:color w:val="000000"/>
                <w:lang w:eastAsia="bs-Latn-BA"/>
              </w:rPr>
              <w:t>Observer I</w:t>
            </w:r>
          </w:p>
        </w:tc>
        <w:tc>
          <w:tcPr>
            <w:tcW w:w="2977" w:type="dxa"/>
            <w:gridSpan w:val="2"/>
            <w:tcBorders>
              <w:top w:val="single" w:sz="4" w:space="0" w:color="auto"/>
              <w:bottom w:val="single" w:sz="4" w:space="0" w:color="auto"/>
            </w:tcBorders>
            <w:noWrap/>
          </w:tcPr>
          <w:p w14:paraId="725B3B07" w14:textId="77777777" w:rsidR="00430080" w:rsidRDefault="00000000">
            <w:pPr>
              <w:spacing w:line="360" w:lineRule="auto"/>
              <w:jc w:val="both"/>
              <w:rPr>
                <w:rFonts w:ascii="Book Antiqua" w:eastAsia="Times New Roman" w:hAnsi="Book Antiqua"/>
                <w:b/>
                <w:bCs/>
                <w:color w:val="000000"/>
                <w:lang w:eastAsia="bs-Latn-BA"/>
              </w:rPr>
            </w:pPr>
            <w:r>
              <w:rPr>
                <w:rFonts w:ascii="Book Antiqua" w:eastAsia="Times New Roman" w:hAnsi="Book Antiqua"/>
                <w:b/>
                <w:bCs/>
                <w:color w:val="000000"/>
                <w:lang w:eastAsia="bs-Latn-BA"/>
              </w:rPr>
              <w:t>Observer II</w:t>
            </w:r>
          </w:p>
        </w:tc>
        <w:tc>
          <w:tcPr>
            <w:tcW w:w="2835" w:type="dxa"/>
            <w:gridSpan w:val="2"/>
            <w:tcBorders>
              <w:top w:val="single" w:sz="4" w:space="0" w:color="auto"/>
              <w:bottom w:val="single" w:sz="4" w:space="0" w:color="auto"/>
            </w:tcBorders>
            <w:noWrap/>
          </w:tcPr>
          <w:p w14:paraId="30F47587" w14:textId="77777777" w:rsidR="00430080" w:rsidRDefault="00000000">
            <w:pPr>
              <w:spacing w:line="360" w:lineRule="auto"/>
              <w:jc w:val="both"/>
              <w:rPr>
                <w:rFonts w:ascii="Book Antiqua" w:eastAsia="Times New Roman" w:hAnsi="Book Antiqua"/>
                <w:b/>
                <w:bCs/>
                <w:color w:val="000000"/>
                <w:lang w:eastAsia="bs-Latn-BA"/>
              </w:rPr>
            </w:pPr>
            <w:r>
              <w:rPr>
                <w:rFonts w:ascii="Book Antiqua" w:eastAsia="Times New Roman" w:hAnsi="Book Antiqua"/>
                <w:b/>
                <w:bCs/>
                <w:color w:val="000000"/>
                <w:lang w:eastAsia="bs-Latn-BA"/>
              </w:rPr>
              <w:t>Observer III</w:t>
            </w:r>
          </w:p>
        </w:tc>
      </w:tr>
      <w:tr w:rsidR="00430080" w14:paraId="407E3E53" w14:textId="77777777">
        <w:trPr>
          <w:trHeight w:val="315"/>
        </w:trPr>
        <w:tc>
          <w:tcPr>
            <w:tcW w:w="1276" w:type="dxa"/>
            <w:tcBorders>
              <w:top w:val="single" w:sz="4" w:space="0" w:color="auto"/>
              <w:left w:val="nil"/>
              <w:bottom w:val="single" w:sz="4" w:space="0" w:color="auto"/>
              <w:right w:val="nil"/>
            </w:tcBorders>
            <w:noWrap/>
          </w:tcPr>
          <w:p w14:paraId="12D263EB" w14:textId="77777777" w:rsidR="00430080" w:rsidRDefault="00000000">
            <w:pPr>
              <w:spacing w:line="360" w:lineRule="auto"/>
              <w:jc w:val="both"/>
              <w:rPr>
                <w:rFonts w:ascii="Book Antiqua" w:eastAsia="Times New Roman" w:hAnsi="Book Antiqua"/>
                <w:b/>
                <w:bCs/>
                <w:lang w:eastAsia="bs-Latn-BA"/>
              </w:rPr>
            </w:pPr>
            <w:r>
              <w:rPr>
                <w:rFonts w:ascii="Book Antiqua" w:hAnsi="Book Antiqua"/>
                <w:b/>
                <w:bCs/>
              </w:rPr>
              <w:t>AA-NF</w:t>
            </w:r>
          </w:p>
        </w:tc>
        <w:tc>
          <w:tcPr>
            <w:tcW w:w="1843" w:type="dxa"/>
            <w:tcBorders>
              <w:top w:val="single" w:sz="4" w:space="0" w:color="auto"/>
              <w:left w:val="nil"/>
              <w:bottom w:val="single" w:sz="4" w:space="0" w:color="auto"/>
              <w:right w:val="nil"/>
            </w:tcBorders>
            <w:noWrap/>
          </w:tcPr>
          <w:p w14:paraId="2C4FDD81" w14:textId="77777777" w:rsidR="00430080" w:rsidRDefault="00000000">
            <w:pPr>
              <w:spacing w:line="360" w:lineRule="auto"/>
              <w:jc w:val="both"/>
              <w:rPr>
                <w:rFonts w:ascii="Book Antiqua" w:eastAsia="Times New Roman" w:hAnsi="Book Antiqua"/>
                <w:b/>
                <w:bCs/>
                <w:lang w:eastAsia="bs-Latn-BA"/>
              </w:rPr>
            </w:pPr>
            <w:r>
              <w:rPr>
                <w:rFonts w:ascii="Book Antiqua" w:hAnsi="Book Antiqua"/>
                <w:b/>
                <w:bCs/>
              </w:rPr>
              <w:t>AA-NF-NBI</w:t>
            </w:r>
          </w:p>
        </w:tc>
        <w:tc>
          <w:tcPr>
            <w:tcW w:w="1276" w:type="dxa"/>
            <w:tcBorders>
              <w:top w:val="single" w:sz="4" w:space="0" w:color="auto"/>
              <w:left w:val="nil"/>
              <w:bottom w:val="single" w:sz="4" w:space="0" w:color="auto"/>
              <w:right w:val="nil"/>
            </w:tcBorders>
            <w:noWrap/>
          </w:tcPr>
          <w:p w14:paraId="0EF15B02" w14:textId="77777777" w:rsidR="00430080" w:rsidRDefault="00000000">
            <w:pPr>
              <w:spacing w:line="360" w:lineRule="auto"/>
              <w:jc w:val="both"/>
              <w:rPr>
                <w:rFonts w:ascii="Book Antiqua" w:eastAsia="Times New Roman" w:hAnsi="Book Antiqua"/>
                <w:b/>
                <w:bCs/>
                <w:lang w:eastAsia="bs-Latn-BA"/>
              </w:rPr>
            </w:pPr>
            <w:r>
              <w:rPr>
                <w:rFonts w:ascii="Book Antiqua" w:hAnsi="Book Antiqua"/>
                <w:b/>
                <w:bCs/>
              </w:rPr>
              <w:t>AA-NF</w:t>
            </w:r>
          </w:p>
        </w:tc>
        <w:tc>
          <w:tcPr>
            <w:tcW w:w="1701" w:type="dxa"/>
            <w:tcBorders>
              <w:top w:val="single" w:sz="4" w:space="0" w:color="auto"/>
              <w:left w:val="nil"/>
              <w:bottom w:val="single" w:sz="4" w:space="0" w:color="auto"/>
              <w:right w:val="nil"/>
            </w:tcBorders>
            <w:noWrap/>
          </w:tcPr>
          <w:p w14:paraId="5C3D1798" w14:textId="77777777" w:rsidR="00430080" w:rsidRDefault="00000000">
            <w:pPr>
              <w:spacing w:line="360" w:lineRule="auto"/>
              <w:jc w:val="both"/>
              <w:rPr>
                <w:rFonts w:ascii="Book Antiqua" w:eastAsia="Times New Roman" w:hAnsi="Book Antiqua"/>
                <w:b/>
                <w:bCs/>
                <w:lang w:eastAsia="bs-Latn-BA"/>
              </w:rPr>
            </w:pPr>
            <w:r>
              <w:rPr>
                <w:rFonts w:ascii="Book Antiqua" w:hAnsi="Book Antiqua"/>
                <w:b/>
                <w:bCs/>
              </w:rPr>
              <w:t>AA-NF-NBI</w:t>
            </w:r>
          </w:p>
        </w:tc>
        <w:tc>
          <w:tcPr>
            <w:tcW w:w="1134" w:type="dxa"/>
            <w:tcBorders>
              <w:top w:val="single" w:sz="4" w:space="0" w:color="auto"/>
              <w:left w:val="nil"/>
              <w:bottom w:val="single" w:sz="4" w:space="0" w:color="auto"/>
              <w:right w:val="nil"/>
            </w:tcBorders>
            <w:noWrap/>
          </w:tcPr>
          <w:p w14:paraId="2EBF0114" w14:textId="77777777" w:rsidR="00430080" w:rsidRDefault="00000000">
            <w:pPr>
              <w:spacing w:line="360" w:lineRule="auto"/>
              <w:jc w:val="both"/>
              <w:rPr>
                <w:rFonts w:ascii="Book Antiqua" w:eastAsia="Times New Roman" w:hAnsi="Book Antiqua"/>
                <w:b/>
                <w:bCs/>
                <w:lang w:eastAsia="bs-Latn-BA"/>
              </w:rPr>
            </w:pPr>
            <w:r>
              <w:rPr>
                <w:rFonts w:ascii="Book Antiqua" w:hAnsi="Book Antiqua"/>
                <w:b/>
                <w:bCs/>
              </w:rPr>
              <w:t>AA-NF</w:t>
            </w:r>
          </w:p>
        </w:tc>
        <w:tc>
          <w:tcPr>
            <w:tcW w:w="1701" w:type="dxa"/>
            <w:tcBorders>
              <w:top w:val="single" w:sz="4" w:space="0" w:color="auto"/>
              <w:left w:val="nil"/>
              <w:bottom w:val="single" w:sz="4" w:space="0" w:color="auto"/>
              <w:right w:val="nil"/>
            </w:tcBorders>
            <w:noWrap/>
          </w:tcPr>
          <w:p w14:paraId="70993474" w14:textId="77777777" w:rsidR="00430080" w:rsidRDefault="00000000">
            <w:pPr>
              <w:spacing w:line="360" w:lineRule="auto"/>
              <w:jc w:val="both"/>
              <w:rPr>
                <w:rFonts w:ascii="Book Antiqua" w:eastAsia="Times New Roman" w:hAnsi="Book Antiqua"/>
                <w:b/>
                <w:bCs/>
                <w:lang w:eastAsia="bs-Latn-BA"/>
              </w:rPr>
            </w:pPr>
            <w:r>
              <w:rPr>
                <w:rFonts w:ascii="Book Antiqua" w:hAnsi="Book Antiqua"/>
                <w:b/>
                <w:bCs/>
              </w:rPr>
              <w:t>AA-NF-NBI</w:t>
            </w:r>
          </w:p>
        </w:tc>
      </w:tr>
      <w:tr w:rsidR="00430080" w14:paraId="0073D3DB" w14:textId="77777777">
        <w:trPr>
          <w:trHeight w:val="300"/>
        </w:trPr>
        <w:tc>
          <w:tcPr>
            <w:tcW w:w="1276" w:type="dxa"/>
            <w:tcBorders>
              <w:top w:val="single" w:sz="4" w:space="0" w:color="auto"/>
            </w:tcBorders>
            <w:noWrap/>
          </w:tcPr>
          <w:p w14:paraId="4629DD7A"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58 × 0.5</w:t>
            </w:r>
          </w:p>
        </w:tc>
        <w:tc>
          <w:tcPr>
            <w:tcW w:w="1843" w:type="dxa"/>
            <w:tcBorders>
              <w:top w:val="single" w:sz="4" w:space="0" w:color="auto"/>
            </w:tcBorders>
            <w:noWrap/>
          </w:tcPr>
          <w:p w14:paraId="4F227DAB"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63 × 1</w:t>
            </w:r>
          </w:p>
        </w:tc>
        <w:tc>
          <w:tcPr>
            <w:tcW w:w="1276" w:type="dxa"/>
            <w:tcBorders>
              <w:top w:val="single" w:sz="4" w:space="0" w:color="auto"/>
            </w:tcBorders>
            <w:noWrap/>
          </w:tcPr>
          <w:p w14:paraId="793BD59F"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62 × 0.5</w:t>
            </w:r>
          </w:p>
        </w:tc>
        <w:tc>
          <w:tcPr>
            <w:tcW w:w="1701" w:type="dxa"/>
            <w:tcBorders>
              <w:top w:val="single" w:sz="4" w:space="0" w:color="auto"/>
            </w:tcBorders>
            <w:noWrap/>
          </w:tcPr>
          <w:p w14:paraId="077F2010"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64 × 1</w:t>
            </w:r>
          </w:p>
        </w:tc>
        <w:tc>
          <w:tcPr>
            <w:tcW w:w="1134" w:type="dxa"/>
            <w:tcBorders>
              <w:top w:val="single" w:sz="4" w:space="0" w:color="auto"/>
            </w:tcBorders>
            <w:noWrap/>
          </w:tcPr>
          <w:p w14:paraId="32FDBD7C"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55 × 0.5</w:t>
            </w:r>
          </w:p>
        </w:tc>
        <w:tc>
          <w:tcPr>
            <w:tcW w:w="1701" w:type="dxa"/>
            <w:tcBorders>
              <w:top w:val="single" w:sz="4" w:space="0" w:color="auto"/>
            </w:tcBorders>
            <w:noWrap/>
          </w:tcPr>
          <w:p w14:paraId="4B5B1650"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62 × 1</w:t>
            </w:r>
          </w:p>
        </w:tc>
      </w:tr>
      <w:tr w:rsidR="00430080" w14:paraId="7D2DBE7E" w14:textId="77777777">
        <w:trPr>
          <w:trHeight w:val="300"/>
        </w:trPr>
        <w:tc>
          <w:tcPr>
            <w:tcW w:w="1276" w:type="dxa"/>
            <w:noWrap/>
          </w:tcPr>
          <w:p w14:paraId="76933566"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3 × 1</w:t>
            </w:r>
          </w:p>
        </w:tc>
        <w:tc>
          <w:tcPr>
            <w:tcW w:w="1843" w:type="dxa"/>
            <w:noWrap/>
          </w:tcPr>
          <w:p w14:paraId="087476C8" w14:textId="77777777" w:rsidR="00430080" w:rsidRDefault="00430080">
            <w:pPr>
              <w:spacing w:line="360" w:lineRule="auto"/>
              <w:jc w:val="both"/>
              <w:rPr>
                <w:rFonts w:ascii="Book Antiqua" w:eastAsia="Times New Roman" w:hAnsi="Book Antiqua"/>
                <w:color w:val="000000"/>
                <w:lang w:eastAsia="bs-Latn-BA"/>
              </w:rPr>
            </w:pPr>
          </w:p>
        </w:tc>
        <w:tc>
          <w:tcPr>
            <w:tcW w:w="1276" w:type="dxa"/>
            <w:noWrap/>
          </w:tcPr>
          <w:p w14:paraId="76FD84E2"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2 × 1</w:t>
            </w:r>
          </w:p>
        </w:tc>
        <w:tc>
          <w:tcPr>
            <w:tcW w:w="1701" w:type="dxa"/>
            <w:noWrap/>
          </w:tcPr>
          <w:p w14:paraId="76DFD513" w14:textId="77777777" w:rsidR="00430080" w:rsidRDefault="00430080">
            <w:pPr>
              <w:spacing w:line="360" w:lineRule="auto"/>
              <w:jc w:val="both"/>
              <w:rPr>
                <w:rFonts w:ascii="Book Antiqua" w:eastAsia="Times New Roman" w:hAnsi="Book Antiqua"/>
                <w:color w:val="000000"/>
                <w:lang w:eastAsia="bs-Latn-BA"/>
              </w:rPr>
            </w:pPr>
          </w:p>
        </w:tc>
        <w:tc>
          <w:tcPr>
            <w:tcW w:w="1134" w:type="dxa"/>
            <w:noWrap/>
          </w:tcPr>
          <w:p w14:paraId="03FE273A"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7 × 1</w:t>
            </w:r>
          </w:p>
        </w:tc>
        <w:tc>
          <w:tcPr>
            <w:tcW w:w="1701" w:type="dxa"/>
            <w:noWrap/>
          </w:tcPr>
          <w:p w14:paraId="48339025" w14:textId="77777777" w:rsidR="00430080" w:rsidRDefault="00430080">
            <w:pPr>
              <w:spacing w:line="360" w:lineRule="auto"/>
              <w:jc w:val="both"/>
              <w:rPr>
                <w:rFonts w:ascii="Book Antiqua" w:eastAsia="Times New Roman" w:hAnsi="Book Antiqua"/>
                <w:color w:val="000000"/>
                <w:lang w:eastAsia="bs-Latn-BA"/>
              </w:rPr>
            </w:pPr>
          </w:p>
        </w:tc>
      </w:tr>
      <w:tr w:rsidR="00430080" w14:paraId="7D009931" w14:textId="77777777">
        <w:trPr>
          <w:trHeight w:val="300"/>
        </w:trPr>
        <w:tc>
          <w:tcPr>
            <w:tcW w:w="1276" w:type="dxa"/>
            <w:noWrap/>
          </w:tcPr>
          <w:p w14:paraId="5EF1ECEB"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7 × 0</w:t>
            </w:r>
          </w:p>
        </w:tc>
        <w:tc>
          <w:tcPr>
            <w:tcW w:w="1843" w:type="dxa"/>
            <w:noWrap/>
          </w:tcPr>
          <w:p w14:paraId="021AEB09"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5 × 0.5</w:t>
            </w:r>
          </w:p>
        </w:tc>
        <w:tc>
          <w:tcPr>
            <w:tcW w:w="1276" w:type="dxa"/>
            <w:noWrap/>
          </w:tcPr>
          <w:p w14:paraId="5DB76ED1"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4 × 0</w:t>
            </w:r>
          </w:p>
        </w:tc>
        <w:tc>
          <w:tcPr>
            <w:tcW w:w="1701" w:type="dxa"/>
            <w:noWrap/>
          </w:tcPr>
          <w:p w14:paraId="61232AC2"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4 × 0.5</w:t>
            </w:r>
          </w:p>
        </w:tc>
        <w:tc>
          <w:tcPr>
            <w:tcW w:w="1134" w:type="dxa"/>
            <w:noWrap/>
          </w:tcPr>
          <w:p w14:paraId="1D2C355C"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6 × 0</w:t>
            </w:r>
          </w:p>
        </w:tc>
        <w:tc>
          <w:tcPr>
            <w:tcW w:w="1701" w:type="dxa"/>
            <w:noWrap/>
          </w:tcPr>
          <w:p w14:paraId="4407DEF1"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6 × 0.5</w:t>
            </w:r>
          </w:p>
        </w:tc>
      </w:tr>
      <w:tr w:rsidR="00430080" w14:paraId="15340E9F" w14:textId="77777777">
        <w:trPr>
          <w:trHeight w:val="300"/>
        </w:trPr>
        <w:tc>
          <w:tcPr>
            <w:tcW w:w="1276" w:type="dxa"/>
            <w:tcBorders>
              <w:bottom w:val="single" w:sz="4" w:space="0" w:color="auto"/>
            </w:tcBorders>
            <w:noWrap/>
          </w:tcPr>
          <w:p w14:paraId="1B01DE3F"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32</w:t>
            </w:r>
            <w:r>
              <w:rPr>
                <w:rFonts w:ascii="Book Antiqua" w:eastAsia="Times New Roman" w:hAnsi="Book Antiqua"/>
                <w:color w:val="000000"/>
                <w:lang w:eastAsia="bs-Latn-BA"/>
              </w:rPr>
              <w:t>.0</w:t>
            </w:r>
          </w:p>
        </w:tc>
        <w:tc>
          <w:tcPr>
            <w:tcW w:w="1843" w:type="dxa"/>
            <w:tcBorders>
              <w:bottom w:val="single" w:sz="4" w:space="0" w:color="auto"/>
            </w:tcBorders>
            <w:noWrap/>
          </w:tcPr>
          <w:p w14:paraId="31B7CAAA"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65.5</w:t>
            </w:r>
          </w:p>
        </w:tc>
        <w:tc>
          <w:tcPr>
            <w:tcW w:w="1276" w:type="dxa"/>
            <w:tcBorders>
              <w:bottom w:val="single" w:sz="4" w:space="0" w:color="auto"/>
            </w:tcBorders>
            <w:noWrap/>
          </w:tcPr>
          <w:p w14:paraId="72E6A2F0"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33</w:t>
            </w:r>
            <w:r>
              <w:rPr>
                <w:rFonts w:ascii="Book Antiqua" w:eastAsia="Times New Roman" w:hAnsi="Book Antiqua"/>
                <w:color w:val="000000"/>
                <w:lang w:eastAsia="bs-Latn-BA"/>
              </w:rPr>
              <w:t>.0</w:t>
            </w:r>
          </w:p>
        </w:tc>
        <w:tc>
          <w:tcPr>
            <w:tcW w:w="1701" w:type="dxa"/>
            <w:tcBorders>
              <w:bottom w:val="single" w:sz="4" w:space="0" w:color="auto"/>
            </w:tcBorders>
            <w:noWrap/>
          </w:tcPr>
          <w:p w14:paraId="1505C075"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66</w:t>
            </w:r>
            <w:r>
              <w:rPr>
                <w:rFonts w:ascii="Book Antiqua" w:eastAsia="Times New Roman" w:hAnsi="Book Antiqua"/>
                <w:color w:val="000000"/>
                <w:lang w:eastAsia="bs-Latn-BA"/>
              </w:rPr>
              <w:t>.0</w:t>
            </w:r>
          </w:p>
        </w:tc>
        <w:tc>
          <w:tcPr>
            <w:tcW w:w="1134" w:type="dxa"/>
            <w:tcBorders>
              <w:bottom w:val="single" w:sz="4" w:space="0" w:color="auto"/>
            </w:tcBorders>
            <w:noWrap/>
          </w:tcPr>
          <w:p w14:paraId="18B5184E"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34.5</w:t>
            </w:r>
          </w:p>
        </w:tc>
        <w:tc>
          <w:tcPr>
            <w:tcW w:w="1701" w:type="dxa"/>
            <w:tcBorders>
              <w:bottom w:val="single" w:sz="4" w:space="0" w:color="auto"/>
            </w:tcBorders>
            <w:noWrap/>
          </w:tcPr>
          <w:p w14:paraId="76722CF8" w14:textId="77777777" w:rsidR="00430080" w:rsidRDefault="00000000">
            <w:pPr>
              <w:spacing w:line="360" w:lineRule="auto"/>
              <w:jc w:val="both"/>
              <w:rPr>
                <w:rFonts w:ascii="Book Antiqua" w:eastAsia="Times New Roman" w:hAnsi="Book Antiqua"/>
                <w:color w:val="000000"/>
                <w:lang w:eastAsia="bs-Latn-BA"/>
              </w:rPr>
            </w:pPr>
            <w:r>
              <w:rPr>
                <w:rFonts w:ascii="Book Antiqua" w:hAnsi="Book Antiqua"/>
                <w:color w:val="000000"/>
              </w:rPr>
              <w:t>65</w:t>
            </w:r>
            <w:r>
              <w:rPr>
                <w:rFonts w:ascii="Book Antiqua" w:eastAsia="Times New Roman" w:hAnsi="Book Antiqua"/>
                <w:color w:val="000000"/>
                <w:lang w:eastAsia="bs-Latn-BA"/>
              </w:rPr>
              <w:t>.0</w:t>
            </w:r>
          </w:p>
        </w:tc>
      </w:tr>
    </w:tbl>
    <w:p w14:paraId="0921AC3A" w14:textId="34CD5795" w:rsidR="00E9779C" w:rsidRDefault="00000000">
      <w:pPr>
        <w:spacing w:line="360" w:lineRule="auto"/>
        <w:jc w:val="both"/>
        <w:rPr>
          <w:rFonts w:ascii="Book Antiqua" w:hAnsi="Book Antiqua"/>
          <w:color w:val="000000"/>
          <w:lang w:eastAsia="bs-Latn-BA"/>
        </w:rPr>
      </w:pPr>
      <w:r>
        <w:rPr>
          <w:rFonts w:ascii="Book Antiqua" w:hAnsi="Book Antiqua"/>
          <w:color w:val="000000"/>
          <w:lang w:eastAsia="bs-Latn-BA"/>
        </w:rPr>
        <w:t>AA: Acetic acid; NBI: Narrow-band imaging; NF: Near focus.</w:t>
      </w:r>
    </w:p>
    <w:p w14:paraId="44A5C7FE" w14:textId="77777777" w:rsidR="00E9779C" w:rsidRDefault="00E9779C">
      <w:pPr>
        <w:rPr>
          <w:rFonts w:ascii="Book Antiqua" w:hAnsi="Book Antiqua"/>
          <w:color w:val="000000"/>
          <w:lang w:eastAsia="bs-Latn-BA"/>
        </w:rPr>
      </w:pPr>
      <w:r>
        <w:rPr>
          <w:rFonts w:ascii="Book Antiqua" w:hAnsi="Book Antiqua"/>
          <w:color w:val="000000"/>
          <w:lang w:eastAsia="bs-Latn-BA"/>
        </w:rPr>
        <w:br w:type="page"/>
      </w:r>
    </w:p>
    <w:p w14:paraId="26F64573" w14:textId="77777777" w:rsidR="00E9779C" w:rsidRPr="006D4EDA" w:rsidRDefault="00E9779C" w:rsidP="00E9779C">
      <w:pPr>
        <w:snapToGrid w:val="0"/>
        <w:ind w:leftChars="100" w:left="240"/>
        <w:jc w:val="center"/>
        <w:rPr>
          <w:rFonts w:ascii="Book Antiqua" w:hAnsi="Book Antiqua"/>
        </w:rPr>
      </w:pPr>
      <w:bookmarkStart w:id="833" w:name="_Hlk160804811"/>
    </w:p>
    <w:p w14:paraId="50D30F03" w14:textId="77777777" w:rsidR="00E9779C" w:rsidRPr="006D4EDA" w:rsidRDefault="00E9779C" w:rsidP="00E9779C">
      <w:pPr>
        <w:snapToGrid w:val="0"/>
        <w:ind w:leftChars="100" w:left="210"/>
        <w:jc w:val="center"/>
        <w:rPr>
          <w:rFonts w:ascii="Book Antiqua" w:hAnsi="Book Antiqua"/>
        </w:rPr>
      </w:pPr>
    </w:p>
    <w:p w14:paraId="4BF3D5CF" w14:textId="77777777" w:rsidR="00E9779C" w:rsidRPr="006D4EDA" w:rsidRDefault="00E9779C" w:rsidP="00E9779C">
      <w:pPr>
        <w:snapToGrid w:val="0"/>
        <w:ind w:leftChars="100" w:left="210"/>
        <w:jc w:val="center"/>
        <w:rPr>
          <w:rFonts w:ascii="Book Antiqua" w:hAnsi="Book Antiqua"/>
        </w:rPr>
      </w:pPr>
    </w:p>
    <w:p w14:paraId="645E395E" w14:textId="77777777" w:rsidR="00E9779C" w:rsidRPr="006D4EDA" w:rsidRDefault="00E9779C" w:rsidP="00E9779C">
      <w:pPr>
        <w:snapToGrid w:val="0"/>
        <w:ind w:leftChars="100" w:left="210"/>
        <w:jc w:val="center"/>
        <w:rPr>
          <w:rFonts w:ascii="Book Antiqua" w:hAnsi="Book Antiqua"/>
        </w:rPr>
      </w:pPr>
    </w:p>
    <w:p w14:paraId="0DCBBCD1" w14:textId="77777777" w:rsidR="00E9779C" w:rsidRPr="006D4EDA" w:rsidRDefault="00E9779C" w:rsidP="00E9779C">
      <w:pPr>
        <w:snapToGrid w:val="0"/>
        <w:ind w:leftChars="100" w:left="210"/>
        <w:jc w:val="center"/>
        <w:rPr>
          <w:rFonts w:ascii="Book Antiqua" w:hAnsi="Book Antiqua"/>
        </w:rPr>
      </w:pPr>
      <w:r w:rsidRPr="006D4EDA">
        <w:rPr>
          <w:rFonts w:ascii="Book Antiqua" w:hAnsi="Book Antiqua"/>
          <w:noProof/>
        </w:rPr>
        <w:drawing>
          <wp:inline distT="0" distB="0" distL="0" distR="0" wp14:anchorId="7B4865F7" wp14:editId="237CBE2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C176674" w14:textId="77777777" w:rsidR="00E9779C" w:rsidRPr="006D4EDA" w:rsidRDefault="00E9779C" w:rsidP="00E9779C">
      <w:pPr>
        <w:snapToGrid w:val="0"/>
        <w:ind w:leftChars="100" w:left="210"/>
        <w:jc w:val="center"/>
        <w:rPr>
          <w:rFonts w:ascii="Book Antiqua" w:hAnsi="Book Antiqua"/>
        </w:rPr>
      </w:pPr>
    </w:p>
    <w:p w14:paraId="08C269C1" w14:textId="77777777" w:rsidR="00E9779C" w:rsidRPr="006D4EDA" w:rsidRDefault="00E9779C" w:rsidP="00E9779C">
      <w:pPr>
        <w:autoSpaceDE w:val="0"/>
        <w:autoSpaceDN w:val="0"/>
        <w:adjustRightInd w:val="0"/>
        <w:snapToGrid w:val="0"/>
        <w:spacing w:line="240" w:lineRule="atLeast"/>
        <w:ind w:leftChars="100" w:left="21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255FBD06" w14:textId="77777777" w:rsidR="00E9779C" w:rsidRPr="006D4EDA" w:rsidRDefault="00E9779C" w:rsidP="00E9779C">
      <w:pPr>
        <w:autoSpaceDE w:val="0"/>
        <w:autoSpaceDN w:val="0"/>
        <w:adjustRightInd w:val="0"/>
        <w:snapToGrid w:val="0"/>
        <w:ind w:leftChars="100" w:left="21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64E35396" w14:textId="77777777" w:rsidR="00E9779C" w:rsidRPr="006D4EDA" w:rsidRDefault="00E9779C" w:rsidP="00E9779C">
      <w:pPr>
        <w:autoSpaceDE w:val="0"/>
        <w:autoSpaceDN w:val="0"/>
        <w:adjustRightInd w:val="0"/>
        <w:snapToGrid w:val="0"/>
        <w:ind w:leftChars="100" w:left="21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000A9B7B" w14:textId="77777777" w:rsidR="00E9779C" w:rsidRPr="006D4EDA" w:rsidRDefault="00E9779C" w:rsidP="00E9779C">
      <w:pPr>
        <w:autoSpaceDE w:val="0"/>
        <w:autoSpaceDN w:val="0"/>
        <w:adjustRightInd w:val="0"/>
        <w:snapToGrid w:val="0"/>
        <w:ind w:leftChars="100" w:left="21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proofErr w:type="spellStart"/>
      <w:r w:rsidRPr="00BC2FA2">
        <w:rPr>
          <w:rFonts w:ascii="Book Antiqua" w:eastAsia="TimesNewRomanPSMT" w:hAnsi="Book Antiqua" w:cs="Garamond"/>
          <w:color w:val="D56400"/>
          <w:sz w:val="28"/>
          <w:szCs w:val="28"/>
        </w:rPr>
        <w:t>office@baishideng.com</w:t>
      </w:r>
      <w:proofErr w:type="spellEnd"/>
    </w:p>
    <w:p w14:paraId="31FB6612" w14:textId="77777777" w:rsidR="00E9779C" w:rsidRPr="006D4EDA" w:rsidRDefault="00E9779C" w:rsidP="00E9779C">
      <w:pPr>
        <w:autoSpaceDE w:val="0"/>
        <w:autoSpaceDN w:val="0"/>
        <w:adjustRightInd w:val="0"/>
        <w:snapToGrid w:val="0"/>
        <w:ind w:leftChars="100" w:left="21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t>
      </w:r>
      <w:proofErr w:type="spellStart"/>
      <w:r w:rsidRPr="006D4EDA">
        <w:rPr>
          <w:rFonts w:ascii="Book Antiqua" w:eastAsia="TimesNewRomanPSMT" w:hAnsi="Book Antiqua" w:cs="Garamond"/>
          <w:color w:val="D56400"/>
          <w:sz w:val="28"/>
          <w:szCs w:val="28"/>
        </w:rPr>
        <w:t>www.f6publishing.com</w:t>
      </w:r>
      <w:proofErr w:type="spellEnd"/>
      <w:r w:rsidRPr="006D4EDA">
        <w:rPr>
          <w:rFonts w:ascii="Book Antiqua" w:eastAsia="TimesNewRomanPSMT" w:hAnsi="Book Antiqua" w:cs="Garamond"/>
          <w:color w:val="D56400"/>
          <w:sz w:val="28"/>
          <w:szCs w:val="28"/>
        </w:rPr>
        <w:t>/helpdesk</w:t>
      </w:r>
    </w:p>
    <w:p w14:paraId="148796B6" w14:textId="77777777" w:rsidR="00E9779C" w:rsidRPr="006D4EDA" w:rsidRDefault="00E9779C" w:rsidP="00E9779C">
      <w:pPr>
        <w:snapToGrid w:val="0"/>
        <w:ind w:leftChars="100" w:left="210"/>
        <w:jc w:val="center"/>
        <w:rPr>
          <w:rFonts w:ascii="Book Antiqua" w:hAnsi="Book Antiqua"/>
        </w:rPr>
      </w:pPr>
      <w:r w:rsidRPr="006D4EDA">
        <w:rPr>
          <w:rFonts w:ascii="Book Antiqua" w:eastAsia="TimesNewRomanPSMT" w:hAnsi="Book Antiqua" w:cs="Garamond"/>
          <w:color w:val="D56400"/>
          <w:sz w:val="28"/>
          <w:szCs w:val="28"/>
        </w:rPr>
        <w:t>https://</w:t>
      </w:r>
      <w:proofErr w:type="spellStart"/>
      <w:r w:rsidRPr="006D4EDA">
        <w:rPr>
          <w:rFonts w:ascii="Book Antiqua" w:eastAsia="TimesNewRomanPSMT" w:hAnsi="Book Antiqua" w:cs="Garamond"/>
          <w:color w:val="D56400"/>
          <w:sz w:val="28"/>
          <w:szCs w:val="28"/>
        </w:rPr>
        <w:t>www.wjgnet.com</w:t>
      </w:r>
      <w:proofErr w:type="spellEnd"/>
    </w:p>
    <w:p w14:paraId="30AD80E3" w14:textId="77777777" w:rsidR="00E9779C" w:rsidRPr="006D4EDA" w:rsidRDefault="00E9779C" w:rsidP="00E9779C">
      <w:pPr>
        <w:snapToGrid w:val="0"/>
        <w:ind w:leftChars="100" w:left="210"/>
        <w:jc w:val="center"/>
        <w:rPr>
          <w:rFonts w:ascii="Book Antiqua" w:hAnsi="Book Antiqua"/>
        </w:rPr>
      </w:pPr>
    </w:p>
    <w:p w14:paraId="0B3643DC" w14:textId="77777777" w:rsidR="00E9779C" w:rsidRPr="006D4EDA" w:rsidRDefault="00E9779C" w:rsidP="00E9779C">
      <w:pPr>
        <w:snapToGrid w:val="0"/>
        <w:ind w:leftChars="100" w:left="210"/>
        <w:jc w:val="center"/>
        <w:rPr>
          <w:rFonts w:ascii="Book Antiqua" w:hAnsi="Book Antiqua"/>
        </w:rPr>
      </w:pPr>
    </w:p>
    <w:p w14:paraId="3BD5F5A9" w14:textId="77777777" w:rsidR="00E9779C" w:rsidRPr="006D4EDA" w:rsidRDefault="00E9779C" w:rsidP="00E9779C">
      <w:pPr>
        <w:snapToGrid w:val="0"/>
        <w:ind w:leftChars="100" w:left="210"/>
        <w:jc w:val="center"/>
        <w:rPr>
          <w:rFonts w:ascii="Book Antiqua" w:hAnsi="Book Antiqua"/>
        </w:rPr>
      </w:pPr>
    </w:p>
    <w:p w14:paraId="1A3E2AB7" w14:textId="77777777" w:rsidR="00E9779C" w:rsidRPr="006D4EDA" w:rsidRDefault="00E9779C" w:rsidP="00E9779C">
      <w:pPr>
        <w:snapToGrid w:val="0"/>
        <w:ind w:leftChars="100" w:left="210"/>
        <w:jc w:val="center"/>
        <w:rPr>
          <w:rFonts w:ascii="Book Antiqua" w:hAnsi="Book Antiqua"/>
        </w:rPr>
      </w:pPr>
      <w:r w:rsidRPr="006D4EDA">
        <w:rPr>
          <w:rFonts w:ascii="Book Antiqua" w:hAnsi="Book Antiqua"/>
          <w:noProof/>
        </w:rPr>
        <w:drawing>
          <wp:inline distT="0" distB="0" distL="0" distR="0" wp14:anchorId="039796BE" wp14:editId="697EAFD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DF96B8C" w14:textId="77777777" w:rsidR="00E9779C" w:rsidRPr="006D4EDA" w:rsidRDefault="00E9779C" w:rsidP="00E9779C">
      <w:pPr>
        <w:snapToGrid w:val="0"/>
        <w:ind w:leftChars="100" w:left="210"/>
        <w:jc w:val="center"/>
        <w:rPr>
          <w:rFonts w:ascii="Book Antiqua" w:hAnsi="Book Antiqua"/>
        </w:rPr>
      </w:pPr>
    </w:p>
    <w:p w14:paraId="449FB51F" w14:textId="77777777" w:rsidR="00E9779C" w:rsidRPr="006D4EDA" w:rsidRDefault="00E9779C" w:rsidP="00E9779C">
      <w:pPr>
        <w:snapToGrid w:val="0"/>
        <w:ind w:leftChars="100" w:left="210"/>
        <w:jc w:val="center"/>
        <w:rPr>
          <w:rFonts w:ascii="Book Antiqua" w:hAnsi="Book Antiqua"/>
        </w:rPr>
      </w:pPr>
    </w:p>
    <w:p w14:paraId="3DF4493E" w14:textId="77777777" w:rsidR="00E9779C" w:rsidRPr="006D4EDA" w:rsidRDefault="00E9779C" w:rsidP="00E9779C">
      <w:pPr>
        <w:snapToGrid w:val="0"/>
        <w:ind w:leftChars="100" w:left="210"/>
        <w:jc w:val="center"/>
        <w:rPr>
          <w:rFonts w:ascii="Book Antiqua" w:hAnsi="Book Antiqua"/>
        </w:rPr>
      </w:pPr>
    </w:p>
    <w:p w14:paraId="5FAAA756" w14:textId="77777777" w:rsidR="00E9779C" w:rsidRPr="006D4EDA" w:rsidRDefault="00E9779C" w:rsidP="00E9779C">
      <w:pPr>
        <w:snapToGrid w:val="0"/>
        <w:ind w:leftChars="100" w:left="210"/>
        <w:jc w:val="center"/>
        <w:rPr>
          <w:rFonts w:ascii="Book Antiqua" w:hAnsi="Book Antiqua"/>
        </w:rPr>
      </w:pPr>
    </w:p>
    <w:p w14:paraId="30E289F3" w14:textId="77777777" w:rsidR="00E9779C" w:rsidRPr="006D4EDA" w:rsidRDefault="00E9779C" w:rsidP="00E9779C">
      <w:pPr>
        <w:snapToGrid w:val="0"/>
        <w:ind w:leftChars="100" w:left="210"/>
        <w:jc w:val="center"/>
        <w:rPr>
          <w:rFonts w:ascii="Book Antiqua" w:hAnsi="Book Antiqua"/>
        </w:rPr>
      </w:pPr>
    </w:p>
    <w:p w14:paraId="7DD304D8" w14:textId="77777777" w:rsidR="00E9779C" w:rsidRPr="006D4EDA" w:rsidRDefault="00E9779C" w:rsidP="00E9779C">
      <w:pPr>
        <w:snapToGrid w:val="0"/>
        <w:ind w:leftChars="100" w:left="210"/>
        <w:jc w:val="center"/>
        <w:rPr>
          <w:rFonts w:ascii="Book Antiqua" w:hAnsi="Book Antiqua"/>
        </w:rPr>
      </w:pPr>
    </w:p>
    <w:p w14:paraId="236DBCF2" w14:textId="77777777" w:rsidR="00E9779C" w:rsidRPr="006D4EDA" w:rsidRDefault="00E9779C" w:rsidP="00E9779C">
      <w:pPr>
        <w:snapToGrid w:val="0"/>
        <w:ind w:leftChars="100" w:left="210"/>
        <w:jc w:val="center"/>
        <w:rPr>
          <w:rFonts w:ascii="Book Antiqua" w:hAnsi="Book Antiqua"/>
        </w:rPr>
      </w:pPr>
    </w:p>
    <w:p w14:paraId="43F647BC" w14:textId="77777777" w:rsidR="00E9779C" w:rsidRPr="006D4EDA" w:rsidRDefault="00E9779C" w:rsidP="00E9779C">
      <w:pPr>
        <w:snapToGrid w:val="0"/>
        <w:ind w:leftChars="100" w:left="210"/>
        <w:jc w:val="center"/>
        <w:rPr>
          <w:rFonts w:ascii="Book Antiqua" w:hAnsi="Book Antiqua"/>
        </w:rPr>
      </w:pPr>
    </w:p>
    <w:p w14:paraId="5A2ADD7F" w14:textId="77777777" w:rsidR="00E9779C" w:rsidRPr="006D4EDA" w:rsidRDefault="00E9779C" w:rsidP="00E9779C">
      <w:pPr>
        <w:snapToGrid w:val="0"/>
        <w:ind w:leftChars="100" w:left="210"/>
        <w:jc w:val="center"/>
        <w:rPr>
          <w:rFonts w:ascii="Book Antiqua" w:hAnsi="Book Antiqua"/>
        </w:rPr>
      </w:pPr>
    </w:p>
    <w:p w14:paraId="3980480C" w14:textId="77777777" w:rsidR="00E9779C" w:rsidRPr="006D4EDA" w:rsidRDefault="00E9779C" w:rsidP="00E9779C">
      <w:pPr>
        <w:snapToGrid w:val="0"/>
        <w:ind w:leftChars="100" w:left="210"/>
        <w:jc w:val="right"/>
        <w:rPr>
          <w:rFonts w:ascii="Book Antiqua" w:hAnsi="Book Antiqua"/>
          <w:color w:val="000000" w:themeColor="text1"/>
        </w:rPr>
      </w:pPr>
    </w:p>
    <w:p w14:paraId="0958D851" w14:textId="77777777" w:rsidR="00E9779C" w:rsidRPr="006D4EDA" w:rsidRDefault="00E9779C" w:rsidP="00E9779C">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p w14:paraId="306F5ABE" w14:textId="77777777" w:rsidR="00E9779C" w:rsidRPr="006D4EDA" w:rsidRDefault="00E9779C" w:rsidP="00E9779C">
      <w:pPr>
        <w:rPr>
          <w:rFonts w:ascii="Book Antiqua" w:hAnsi="Book Antiqua" w:cs="Book Antiqua"/>
          <w:b/>
          <w:bCs/>
          <w:color w:val="000000"/>
        </w:rPr>
      </w:pPr>
    </w:p>
    <w:bookmarkEnd w:id="833"/>
    <w:p w14:paraId="1F7DB675" w14:textId="77777777" w:rsidR="00430080" w:rsidRDefault="00430080">
      <w:pPr>
        <w:spacing w:line="360" w:lineRule="auto"/>
        <w:jc w:val="both"/>
        <w:rPr>
          <w:rFonts w:ascii="Book Antiqua" w:hAnsi="Book Antiqua"/>
        </w:rPr>
      </w:pPr>
    </w:p>
    <w:sectPr w:rsidR="004300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08645" w14:textId="77777777" w:rsidR="00963574" w:rsidRDefault="00963574">
      <w:r>
        <w:separator/>
      </w:r>
    </w:p>
  </w:endnote>
  <w:endnote w:type="continuationSeparator" w:id="0">
    <w:p w14:paraId="777972FB" w14:textId="77777777" w:rsidR="00963574" w:rsidRDefault="00963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E39C3" w14:textId="77777777" w:rsidR="00430080"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22031" w14:textId="77777777" w:rsidR="00430080" w:rsidRDefault="00000000">
    <w:pPr>
      <w:pStyle w:val="a5"/>
      <w:jc w:val="right"/>
      <w:rPr>
        <w:rFonts w:ascii="Book Antiqua" w:hAnsi="Book Antiqua"/>
        <w:color w:val="000000" w:themeColor="text1"/>
        <w:sz w:val="24"/>
      </w:rPr>
    </w:pP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F8DD6" w14:textId="77777777" w:rsidR="00963574" w:rsidRDefault="00963574">
      <w:r>
        <w:separator/>
      </w:r>
    </w:p>
  </w:footnote>
  <w:footnote w:type="continuationSeparator" w:id="0">
    <w:p w14:paraId="544BF24D" w14:textId="77777777" w:rsidR="00963574" w:rsidRDefault="009635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NmZmJkMDJmMDRhM2ZlNjk5M2E2ODJhYWVlMTQ5OTcifQ=="/>
  </w:docVars>
  <w:rsids>
    <w:rsidRoot w:val="00A77B3E"/>
    <w:rsid w:val="00033DB4"/>
    <w:rsid w:val="00060F23"/>
    <w:rsid w:val="000C6C0B"/>
    <w:rsid w:val="001037C6"/>
    <w:rsid w:val="0013124B"/>
    <w:rsid w:val="00196E48"/>
    <w:rsid w:val="001E03E3"/>
    <w:rsid w:val="00202DDC"/>
    <w:rsid w:val="00261C9E"/>
    <w:rsid w:val="002E0E72"/>
    <w:rsid w:val="00334A9F"/>
    <w:rsid w:val="00341481"/>
    <w:rsid w:val="00354993"/>
    <w:rsid w:val="003C219A"/>
    <w:rsid w:val="003F45CC"/>
    <w:rsid w:val="00430080"/>
    <w:rsid w:val="0045083D"/>
    <w:rsid w:val="00457D28"/>
    <w:rsid w:val="00461F0E"/>
    <w:rsid w:val="00463C48"/>
    <w:rsid w:val="005A6D33"/>
    <w:rsid w:val="005D7377"/>
    <w:rsid w:val="006E1E91"/>
    <w:rsid w:val="00814D1C"/>
    <w:rsid w:val="008F3BF3"/>
    <w:rsid w:val="009003E1"/>
    <w:rsid w:val="00913585"/>
    <w:rsid w:val="00963574"/>
    <w:rsid w:val="009E3C7B"/>
    <w:rsid w:val="00A11003"/>
    <w:rsid w:val="00A77B3E"/>
    <w:rsid w:val="00A81B64"/>
    <w:rsid w:val="00A85030"/>
    <w:rsid w:val="00AA5D8C"/>
    <w:rsid w:val="00AA6E38"/>
    <w:rsid w:val="00AE2B5F"/>
    <w:rsid w:val="00AE4472"/>
    <w:rsid w:val="00B81389"/>
    <w:rsid w:val="00BD0D0A"/>
    <w:rsid w:val="00C7299F"/>
    <w:rsid w:val="00C917BE"/>
    <w:rsid w:val="00CA2A55"/>
    <w:rsid w:val="00CD298B"/>
    <w:rsid w:val="00DC7B7B"/>
    <w:rsid w:val="00DE4D1E"/>
    <w:rsid w:val="00E17948"/>
    <w:rsid w:val="00E26993"/>
    <w:rsid w:val="00E91FDE"/>
    <w:rsid w:val="00E9779C"/>
    <w:rsid w:val="00EA1289"/>
    <w:rsid w:val="00ED37C0"/>
    <w:rsid w:val="00F1617B"/>
    <w:rsid w:val="00F448F5"/>
    <w:rsid w:val="00F71A54"/>
    <w:rsid w:val="00F72C92"/>
    <w:rsid w:val="00FA377E"/>
    <w:rsid w:val="00FC3331"/>
    <w:rsid w:val="0EAD039A"/>
    <w:rsid w:val="1E5D7E75"/>
    <w:rsid w:val="3A733D6B"/>
    <w:rsid w:val="3EF86F91"/>
    <w:rsid w:val="42785C76"/>
    <w:rsid w:val="53CE29C2"/>
    <w:rsid w:val="6EC93847"/>
    <w:rsid w:val="738518D7"/>
    <w:rsid w:val="7C2A7B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DE4C57"/>
  <w15:docId w15:val="{C8D2189C-E0F2-40BD-80A9-339643749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autoRedefine/>
    <w:qFormat/>
    <w:pPr>
      <w:tabs>
        <w:tab w:val="center" w:pos="4153"/>
        <w:tab w:val="right" w:pos="8306"/>
      </w:tabs>
      <w:snapToGrid w:val="0"/>
      <w:jc w:val="center"/>
    </w:pPr>
    <w:rPr>
      <w:sz w:val="18"/>
      <w:szCs w:val="18"/>
    </w:rPr>
  </w:style>
  <w:style w:type="paragraph" w:styleId="a9">
    <w:name w:val="Normal (Web)"/>
    <w:basedOn w:val="a"/>
    <w:autoRedefine/>
    <w:uiPriority w:val="99"/>
    <w:unhideWhenUsed/>
    <w:qFormat/>
    <w:pPr>
      <w:spacing w:before="100" w:beforeAutospacing="1" w:after="100" w:afterAutospacing="1"/>
    </w:pPr>
    <w:rPr>
      <w:rFonts w:eastAsia="Times New Roman"/>
      <w:lang w:val="en-GB" w:eastAsia="hr-BA"/>
    </w:rPr>
  </w:style>
  <w:style w:type="paragraph" w:styleId="aa">
    <w:name w:val="annotation subject"/>
    <w:basedOn w:val="a3"/>
    <w:next w:val="a3"/>
    <w:link w:val="ab"/>
    <w:autoRedefine/>
    <w:qFormat/>
    <w:rPr>
      <w:b/>
      <w:bCs/>
    </w:rPr>
  </w:style>
  <w:style w:type="character" w:styleId="ac">
    <w:name w:val="annotation reference"/>
    <w:basedOn w:val="a0"/>
    <w:autoRedefine/>
    <w:qFormat/>
    <w:rPr>
      <w:sz w:val="21"/>
      <w:szCs w:val="21"/>
    </w:rPr>
  </w:style>
  <w:style w:type="character" w:customStyle="1" w:styleId="jlqj4b">
    <w:name w:val="jlqj4b"/>
    <w:basedOn w:val="a0"/>
    <w:autoRedefine/>
    <w:qFormat/>
  </w:style>
  <w:style w:type="character" w:customStyle="1" w:styleId="a8">
    <w:name w:val="页眉 字符"/>
    <w:basedOn w:val="a0"/>
    <w:link w:val="a7"/>
    <w:autoRedefine/>
    <w:qFormat/>
    <w:rPr>
      <w:sz w:val="18"/>
      <w:szCs w:val="18"/>
    </w:rPr>
  </w:style>
  <w:style w:type="character" w:customStyle="1" w:styleId="a6">
    <w:name w:val="页脚 字符"/>
    <w:basedOn w:val="a0"/>
    <w:link w:val="a5"/>
    <w:autoRedefine/>
    <w:uiPriority w:val="99"/>
    <w:qFormat/>
    <w:rPr>
      <w:sz w:val="18"/>
      <w:szCs w:val="18"/>
    </w:rPr>
  </w:style>
  <w:style w:type="character" w:customStyle="1" w:styleId="a4">
    <w:name w:val="批注文字 字符"/>
    <w:basedOn w:val="a0"/>
    <w:link w:val="a3"/>
    <w:autoRedefine/>
    <w:qFormat/>
    <w:rPr>
      <w:sz w:val="24"/>
      <w:szCs w:val="24"/>
    </w:rPr>
  </w:style>
  <w:style w:type="character" w:customStyle="1" w:styleId="ab">
    <w:name w:val="批注主题 字符"/>
    <w:basedOn w:val="a4"/>
    <w:link w:val="aa"/>
    <w:autoRedefine/>
    <w:qFormat/>
    <w:rPr>
      <w:b/>
      <w:bCs/>
      <w:sz w:val="24"/>
      <w:szCs w:val="24"/>
    </w:rPr>
  </w:style>
  <w:style w:type="paragraph" w:customStyle="1" w:styleId="1">
    <w:name w:val="修订1"/>
    <w:autoRedefine/>
    <w:hidden/>
    <w:uiPriority w:val="99"/>
    <w:semiHidden/>
    <w:qFormat/>
    <w:rPr>
      <w:sz w:val="24"/>
      <w:szCs w:val="24"/>
      <w:lang w:eastAsia="en-US"/>
    </w:rPr>
  </w:style>
  <w:style w:type="character" w:styleId="ad">
    <w:name w:val="Hyperlink"/>
    <w:basedOn w:val="a0"/>
    <w:rsid w:val="00E9779C"/>
    <w:rPr>
      <w:color w:val="0000FF" w:themeColor="hyperlink"/>
      <w:u w:val="single"/>
    </w:rPr>
  </w:style>
  <w:style w:type="character" w:styleId="ae">
    <w:name w:val="Unresolved Mention"/>
    <w:basedOn w:val="a0"/>
    <w:uiPriority w:val="99"/>
    <w:semiHidden/>
    <w:unhideWhenUsed/>
    <w:rsid w:val="00E977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1948-5190/full/v16/i3/157.htm"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47BF3-6A9B-45B5-AAEC-90FF107C9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28</Pages>
  <Words>6128</Words>
  <Characters>34934</Characters>
  <Application>Microsoft Office Word</Application>
  <DocSecurity>0</DocSecurity>
  <Lines>291</Lines>
  <Paragraphs>81</Paragraphs>
  <ScaleCrop>false</ScaleCrop>
  <Company/>
  <LinksUpToDate>false</LinksUpToDate>
  <CharactersWithSpaces>40981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jingjie Wang</dc:creator>
  <cp:lastModifiedBy>一瑄 蔡</cp:lastModifiedBy>
  <cp:revision>4</cp:revision>
  <dcterms:created xsi:type="dcterms:W3CDTF">2024-02-10T20:30:00Z</dcterms:created>
  <dcterms:modified xsi:type="dcterms:W3CDTF">2024-03-08T08:15:00Z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E513C3C6AF9640619A7600D777B8D64C_12</vt:lpwstr>
  </property>
</Properties>
</file>