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A47" w:rsidRPr="00BD2C91" w:rsidRDefault="00934A47" w:rsidP="00A03592">
      <w:pPr>
        <w:pStyle w:val="p0"/>
        <w:adjustRightInd w:val="0"/>
        <w:snapToGrid w:val="0"/>
        <w:spacing w:line="360" w:lineRule="auto"/>
        <w:rPr>
          <w:rFonts w:ascii="Book Antiqua" w:hAnsi="Book Antiqua"/>
          <w:color w:val="000000"/>
          <w:sz w:val="24"/>
          <w:szCs w:val="24"/>
        </w:rPr>
      </w:pPr>
      <w:r w:rsidRPr="00BD2C91">
        <w:rPr>
          <w:rFonts w:ascii="Book Antiqua" w:hAnsi="Book Antiqua"/>
          <w:b/>
          <w:color w:val="000000"/>
          <w:sz w:val="24"/>
          <w:szCs w:val="24"/>
        </w:rPr>
        <w:t xml:space="preserve">Name of journal: </w:t>
      </w:r>
      <w:bookmarkStart w:id="0" w:name="OLE_LINK718"/>
      <w:bookmarkStart w:id="1" w:name="OLE_LINK719"/>
      <w:r w:rsidRPr="00BD2C91">
        <w:rPr>
          <w:rFonts w:ascii="Book Antiqua" w:hAnsi="Book Antiqua"/>
          <w:i/>
          <w:color w:val="000000"/>
          <w:sz w:val="24"/>
          <w:szCs w:val="24"/>
        </w:rPr>
        <w:t>World Journal of Gastroenterology</w:t>
      </w:r>
      <w:bookmarkEnd w:id="0"/>
      <w:bookmarkEnd w:id="1"/>
    </w:p>
    <w:p w:rsidR="00934A47" w:rsidRPr="00BD2C91" w:rsidRDefault="00934A47" w:rsidP="00A03592">
      <w:pPr>
        <w:adjustRightInd w:val="0"/>
        <w:snapToGrid w:val="0"/>
        <w:spacing w:line="360" w:lineRule="auto"/>
        <w:rPr>
          <w:rFonts w:ascii="Book Antiqua" w:hAnsi="Book Antiqua" w:cs="宋体"/>
          <w:b/>
          <w:i/>
          <w:color w:val="000000"/>
          <w:lang w:eastAsia="zh-CN"/>
        </w:rPr>
      </w:pPr>
      <w:r w:rsidRPr="00BD2C91">
        <w:rPr>
          <w:rFonts w:ascii="Book Antiqua" w:hAnsi="Book Antiqua" w:cs="Arial"/>
          <w:b/>
          <w:color w:val="000000"/>
        </w:rPr>
        <w:t xml:space="preserve">ESPS Manuscript NO: </w:t>
      </w:r>
      <w:r w:rsidRPr="00BD2C91">
        <w:rPr>
          <w:rFonts w:ascii="Book Antiqua" w:hAnsi="Book Antiqua" w:cs="Arial"/>
          <w:b/>
          <w:color w:val="000000"/>
          <w:lang w:eastAsia="zh-CN"/>
        </w:rPr>
        <w:t>8904</w:t>
      </w:r>
    </w:p>
    <w:p w:rsidR="00934A47" w:rsidRPr="00BD2C91" w:rsidRDefault="00934A47" w:rsidP="00A03592">
      <w:pPr>
        <w:suppressAutoHyphens/>
        <w:autoSpaceDE w:val="0"/>
        <w:autoSpaceDN w:val="0"/>
        <w:adjustRightInd w:val="0"/>
        <w:snapToGrid w:val="0"/>
        <w:spacing w:line="360" w:lineRule="auto"/>
        <w:rPr>
          <w:rFonts w:ascii="Book Antiqua" w:hAnsi="Book Antiqua"/>
          <w:b/>
          <w:color w:val="000000"/>
          <w:lang w:eastAsia="zh-CN"/>
        </w:rPr>
      </w:pPr>
      <w:r w:rsidRPr="00BD2C91">
        <w:rPr>
          <w:rFonts w:ascii="Book Antiqua" w:hAnsi="Book Antiqua"/>
          <w:b/>
          <w:color w:val="000000"/>
        </w:rPr>
        <w:t xml:space="preserve">Columns: </w:t>
      </w:r>
      <w:r w:rsidRPr="00BD2C91">
        <w:rPr>
          <w:rFonts w:ascii="Book Antiqua" w:hAnsi="Book Antiqua"/>
          <w:b/>
          <w:color w:val="000000"/>
          <w:lang w:eastAsia="zh-CN"/>
        </w:rPr>
        <w:t>CASE REPORT</w:t>
      </w:r>
    </w:p>
    <w:p w:rsidR="00934A47" w:rsidRPr="00BD2C91" w:rsidRDefault="00934A47" w:rsidP="000950A8">
      <w:pPr>
        <w:spacing w:line="360" w:lineRule="auto"/>
        <w:jc w:val="both"/>
        <w:rPr>
          <w:rFonts w:ascii="Book Antiqua" w:hAnsi="Book Antiqua"/>
          <w:b/>
          <w:color w:val="000000"/>
        </w:rPr>
      </w:pPr>
    </w:p>
    <w:p w:rsidR="00934A47" w:rsidRPr="00BD2C91" w:rsidRDefault="00934A47" w:rsidP="000950A8">
      <w:pPr>
        <w:spacing w:line="360" w:lineRule="auto"/>
        <w:jc w:val="both"/>
        <w:rPr>
          <w:rFonts w:ascii="Book Antiqua" w:hAnsi="Book Antiqua"/>
          <w:b/>
          <w:color w:val="000000"/>
        </w:rPr>
      </w:pPr>
      <w:r w:rsidRPr="00BD2C91">
        <w:rPr>
          <w:rFonts w:ascii="Book Antiqua" w:hAnsi="Book Antiqua"/>
          <w:b/>
          <w:color w:val="000000"/>
        </w:rPr>
        <w:t xml:space="preserve">Hepatoid adenocarcinoma of the colon in a patient with inflammatory bowel disease </w:t>
      </w:r>
    </w:p>
    <w:p w:rsidR="00934A47" w:rsidRPr="00BD2C91" w:rsidRDefault="00934A47" w:rsidP="000950A8">
      <w:pPr>
        <w:spacing w:line="360" w:lineRule="auto"/>
        <w:jc w:val="both"/>
        <w:rPr>
          <w:rFonts w:ascii="Book Antiqua" w:hAnsi="Book Antiqua"/>
          <w:b/>
          <w:color w:val="000000"/>
        </w:rPr>
      </w:pPr>
    </w:p>
    <w:p w:rsidR="00934A47" w:rsidRPr="00BD2C91" w:rsidRDefault="00934A47" w:rsidP="000950A8">
      <w:pPr>
        <w:spacing w:line="360" w:lineRule="auto"/>
        <w:jc w:val="both"/>
        <w:rPr>
          <w:rFonts w:ascii="Book Antiqua" w:hAnsi="Book Antiqua"/>
          <w:color w:val="000000"/>
        </w:rPr>
      </w:pPr>
      <w:r w:rsidRPr="00BD2C91">
        <w:rPr>
          <w:rFonts w:ascii="Book Antiqua" w:hAnsi="Book Antiqua"/>
          <w:color w:val="000000"/>
        </w:rPr>
        <w:t xml:space="preserve">Chen YY </w:t>
      </w:r>
      <w:r w:rsidRPr="00BD2C91">
        <w:rPr>
          <w:rFonts w:ascii="Book Antiqua" w:hAnsi="Book Antiqua"/>
          <w:i/>
          <w:color w:val="000000"/>
        </w:rPr>
        <w:t>et al</w:t>
      </w:r>
      <w:r w:rsidRPr="00BD2C91">
        <w:rPr>
          <w:rFonts w:ascii="Book Antiqua" w:hAnsi="Book Antiqua"/>
          <w:color w:val="000000"/>
        </w:rPr>
        <w:t>. Hepatoid adenocarcinoma in PSC-IBD</w:t>
      </w:r>
    </w:p>
    <w:p w:rsidR="00934A47" w:rsidRPr="00BD2C91" w:rsidRDefault="00934A47" w:rsidP="000950A8">
      <w:pPr>
        <w:spacing w:line="360" w:lineRule="auto"/>
        <w:jc w:val="both"/>
        <w:rPr>
          <w:rFonts w:ascii="Book Antiqua" w:hAnsi="Book Antiqua"/>
          <w:color w:val="000000"/>
        </w:rPr>
      </w:pPr>
    </w:p>
    <w:p w:rsidR="00934A47" w:rsidRPr="00BD2C91" w:rsidRDefault="00934A47" w:rsidP="000950A8">
      <w:pPr>
        <w:spacing w:line="360" w:lineRule="auto"/>
        <w:jc w:val="both"/>
        <w:rPr>
          <w:rFonts w:ascii="Book Antiqua" w:hAnsi="Book Antiqua"/>
          <w:color w:val="000000"/>
        </w:rPr>
      </w:pPr>
      <w:r w:rsidRPr="00BD2C91">
        <w:rPr>
          <w:rFonts w:ascii="Book Antiqua" w:hAnsi="Book Antiqua"/>
          <w:color w:val="000000"/>
        </w:rPr>
        <w:t xml:space="preserve">Yuanyuan Chen, David F Schaeffer, Eric M Yoshida </w:t>
      </w:r>
    </w:p>
    <w:p w:rsidR="00934A47" w:rsidRPr="00BD2C91" w:rsidRDefault="001825AB" w:rsidP="000950A8">
      <w:pPr>
        <w:spacing w:line="360" w:lineRule="auto"/>
        <w:jc w:val="both"/>
        <w:rPr>
          <w:rFonts w:ascii="Book Antiqua" w:hAnsi="Book Antiqua"/>
          <w:color w:val="000000"/>
        </w:rPr>
      </w:pPr>
      <w:r>
        <w:rPr>
          <w:noProof/>
          <w:lang w:eastAsia="zh-CN"/>
        </w:rPr>
        <mc:AlternateContent>
          <mc:Choice Requires="wps">
            <w:drawing>
              <wp:anchor distT="4294967294" distB="4294967294" distL="114300" distR="114300" simplePos="0" relativeHeight="251658240" behindDoc="0" locked="0" layoutInCell="1" allowOverlap="1">
                <wp:simplePos x="0" y="0"/>
                <wp:positionH relativeFrom="column">
                  <wp:posOffset>7620</wp:posOffset>
                </wp:positionH>
                <wp:positionV relativeFrom="paragraph">
                  <wp:posOffset>104774</wp:posOffset>
                </wp:positionV>
                <wp:extent cx="5478780" cy="0"/>
                <wp:effectExtent l="0" t="19050" r="7620" b="19050"/>
                <wp:wrapThrough wrapText="bothSides">
                  <wp:wrapPolygon edited="0">
                    <wp:start x="0" y="-1"/>
                    <wp:lineTo x="0" y="-1"/>
                    <wp:lineTo x="21555" y="-1"/>
                    <wp:lineTo x="21555" y="-1"/>
                    <wp:lineTo x="0" y="-1"/>
                  </wp:wrapPolygon>
                </wp:wrapThrough>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878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8.25pt" to="6in,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" strokecolor="gray" strokeweight="3pt">
                <w10:wrap type="through"/>
              </v:line>
            </w:pict>
          </mc:Fallback>
        </mc:AlternateContent>
      </w:r>
    </w:p>
    <w:p w:rsidR="00934A47" w:rsidRPr="00BD2C91" w:rsidRDefault="00934A47" w:rsidP="000950A8">
      <w:pPr>
        <w:spacing w:line="360" w:lineRule="auto"/>
        <w:jc w:val="both"/>
        <w:rPr>
          <w:rFonts w:ascii="Book Antiqua" w:hAnsi="Book Antiqua"/>
          <w:color w:val="000000"/>
        </w:rPr>
      </w:pPr>
      <w:r w:rsidRPr="00BD2C91">
        <w:rPr>
          <w:rFonts w:ascii="Book Antiqua" w:hAnsi="Book Antiqua"/>
          <w:b/>
          <w:color w:val="000000"/>
        </w:rPr>
        <w:t>Yuanyuan Chen, Eric M Yoshida,</w:t>
      </w:r>
      <w:r w:rsidRPr="00BD2C91">
        <w:rPr>
          <w:rFonts w:ascii="Book Antiqua" w:hAnsi="Book Antiqua"/>
          <w:color w:val="000000"/>
        </w:rPr>
        <w:t xml:space="preserve"> Division of Gastroenterology, University of British Columbia, Vancouver, BC V5Z 1M9, Canada</w:t>
      </w:r>
    </w:p>
    <w:p w:rsidR="00934A47" w:rsidRPr="00BD2C91" w:rsidRDefault="00934A47" w:rsidP="000950A8">
      <w:pPr>
        <w:spacing w:line="360" w:lineRule="auto"/>
        <w:jc w:val="both"/>
        <w:rPr>
          <w:rFonts w:ascii="Book Antiqua" w:hAnsi="Book Antiqua"/>
          <w:b/>
          <w:color w:val="000000"/>
        </w:rPr>
      </w:pPr>
    </w:p>
    <w:p w:rsidR="00934A47" w:rsidRPr="00BD2C91" w:rsidRDefault="00934A47" w:rsidP="000950A8">
      <w:pPr>
        <w:spacing w:line="360" w:lineRule="auto"/>
        <w:jc w:val="both"/>
        <w:rPr>
          <w:rFonts w:ascii="Book Antiqua" w:hAnsi="Book Antiqua"/>
          <w:color w:val="000000"/>
        </w:rPr>
      </w:pPr>
      <w:r w:rsidRPr="00BD2C91">
        <w:rPr>
          <w:rFonts w:ascii="Book Antiqua" w:hAnsi="Book Antiqua"/>
          <w:b/>
          <w:color w:val="000000"/>
        </w:rPr>
        <w:t>David F Schaeffer,</w:t>
      </w:r>
      <w:r w:rsidRPr="00BD2C91">
        <w:rPr>
          <w:rFonts w:ascii="Book Antiqua" w:hAnsi="Book Antiqua"/>
          <w:color w:val="000000"/>
        </w:rPr>
        <w:t xml:space="preserve"> Department of Pathology and Laboratory Medicine, University of British Columbia, Vancouver, BC V5Z 1M9, Canada</w:t>
      </w:r>
    </w:p>
    <w:p w:rsidR="00934A47" w:rsidRPr="00BD2C91" w:rsidRDefault="00934A47" w:rsidP="000950A8">
      <w:pPr>
        <w:spacing w:line="360" w:lineRule="auto"/>
        <w:jc w:val="both"/>
        <w:rPr>
          <w:rFonts w:ascii="Book Antiqua" w:hAnsi="Book Antiqua"/>
          <w:b/>
          <w:color w:val="000000"/>
        </w:rPr>
      </w:pPr>
    </w:p>
    <w:p w:rsidR="00934A47" w:rsidRPr="00BD2C91" w:rsidRDefault="00934A47" w:rsidP="000950A8">
      <w:pPr>
        <w:spacing w:line="360" w:lineRule="auto"/>
        <w:jc w:val="both"/>
        <w:rPr>
          <w:rFonts w:ascii="Book Antiqua" w:hAnsi="Book Antiqua"/>
          <w:color w:val="000000"/>
        </w:rPr>
      </w:pPr>
      <w:r w:rsidRPr="00BD2C91">
        <w:rPr>
          <w:rFonts w:ascii="Book Antiqua" w:hAnsi="Book Antiqua"/>
          <w:b/>
          <w:color w:val="000000"/>
        </w:rPr>
        <w:t>Author contributions:</w:t>
      </w:r>
      <w:r w:rsidRPr="00BD2C91">
        <w:rPr>
          <w:rFonts w:ascii="Book Antiqua" w:hAnsi="Book Antiqua"/>
          <w:color w:val="000000"/>
        </w:rPr>
        <w:t xml:space="preserve"> Chen YY drafted the article; Schaeffer DF obtained the pathologic background and data; Schaeffer DF and Yoshida EM critically revised the manuscript for intellectual content and approved the final version. </w:t>
      </w:r>
    </w:p>
    <w:p w:rsidR="00934A47" w:rsidRPr="00BD2C91" w:rsidRDefault="00934A47" w:rsidP="000950A8">
      <w:pPr>
        <w:spacing w:line="360" w:lineRule="auto"/>
        <w:jc w:val="both"/>
        <w:rPr>
          <w:rFonts w:ascii="Book Antiqua" w:hAnsi="Book Antiqua"/>
          <w:b/>
          <w:color w:val="000000"/>
          <w:lang w:eastAsia="zh-CN"/>
        </w:rPr>
      </w:pPr>
    </w:p>
    <w:p w:rsidR="00934A47" w:rsidRPr="00BD2C91" w:rsidRDefault="00934A47" w:rsidP="000950A8">
      <w:pPr>
        <w:spacing w:line="360" w:lineRule="auto"/>
        <w:jc w:val="both"/>
        <w:rPr>
          <w:rFonts w:ascii="Book Antiqua" w:hAnsi="Book Antiqua"/>
          <w:color w:val="000000"/>
          <w:lang w:eastAsia="zh-CN"/>
        </w:rPr>
      </w:pPr>
      <w:r w:rsidRPr="00BD2C91">
        <w:rPr>
          <w:rFonts w:ascii="Book Antiqua" w:hAnsi="Book Antiqua"/>
          <w:b/>
          <w:color w:val="000000"/>
        </w:rPr>
        <w:t>Correspondence to:</w:t>
      </w:r>
      <w:r w:rsidRPr="00BD2C91">
        <w:rPr>
          <w:rFonts w:ascii="Book Antiqua" w:hAnsi="Book Antiqua"/>
          <w:color w:val="000000"/>
        </w:rPr>
        <w:t xml:space="preserve"> </w:t>
      </w:r>
      <w:r w:rsidRPr="00BD2C91">
        <w:rPr>
          <w:rFonts w:ascii="Book Antiqua" w:hAnsi="Book Antiqua"/>
          <w:b/>
          <w:color w:val="000000"/>
        </w:rPr>
        <w:t>Eric M Yoshida,</w:t>
      </w:r>
      <w:r w:rsidRPr="00BD2C91">
        <w:rPr>
          <w:rFonts w:ascii="Book Antiqua" w:hAnsi="Book Antiqua"/>
          <w:color w:val="000000"/>
        </w:rPr>
        <w:t xml:space="preserve"> </w:t>
      </w:r>
      <w:r w:rsidRPr="00BD2C91">
        <w:rPr>
          <w:rFonts w:ascii="Book Antiqua" w:hAnsi="Book Antiqua"/>
          <w:b/>
          <w:color w:val="000000"/>
        </w:rPr>
        <w:t>MD, MHSc, FRCPC,</w:t>
      </w:r>
      <w:r w:rsidRPr="00BD2C91">
        <w:rPr>
          <w:rFonts w:ascii="Book Antiqua" w:hAnsi="Book Antiqua"/>
          <w:color w:val="000000"/>
        </w:rPr>
        <w:t xml:space="preserve"> </w:t>
      </w:r>
      <w:r w:rsidRPr="00BD2C91">
        <w:rPr>
          <w:rFonts w:ascii="Book Antiqua" w:hAnsi="Book Antiqua"/>
          <w:b/>
          <w:color w:val="000000"/>
        </w:rPr>
        <w:t>Professor</w:t>
      </w:r>
      <w:r w:rsidRPr="00BD2C91">
        <w:rPr>
          <w:rFonts w:ascii="Book Antiqua" w:hAnsi="Book Antiqua"/>
          <w:color w:val="000000"/>
        </w:rPr>
        <w:t xml:space="preserve"> and Department Head, Division of Gastroenterology, University of British Columbia, 5th Floor, 2775 Laurel Street, Vancouver, BC V5Z 1M9, Canada. </w:t>
      </w:r>
      <w:hyperlink r:id="rId7" w:history="1">
        <w:r w:rsidRPr="00BD2C91">
          <w:rPr>
            <w:rFonts w:ascii="Book Antiqua" w:hAnsi="Book Antiqua"/>
            <w:color w:val="000000"/>
          </w:rPr>
          <w:t>eric.yoshida@vch.ca</w:t>
        </w:r>
      </w:hyperlink>
    </w:p>
    <w:p w:rsidR="00934A47" w:rsidRPr="00BD2C91" w:rsidRDefault="00934A47" w:rsidP="000950A8">
      <w:pPr>
        <w:spacing w:line="360" w:lineRule="auto"/>
        <w:jc w:val="both"/>
        <w:rPr>
          <w:rFonts w:ascii="Book Antiqua" w:hAnsi="Book Antiqua"/>
          <w:color w:val="000000"/>
          <w:lang w:eastAsia="zh-CN"/>
        </w:rPr>
      </w:pPr>
    </w:p>
    <w:p w:rsidR="00934A47" w:rsidRPr="00BD2C91" w:rsidRDefault="00934A47" w:rsidP="000950A8">
      <w:pPr>
        <w:spacing w:line="360" w:lineRule="auto"/>
        <w:jc w:val="both"/>
        <w:rPr>
          <w:rFonts w:ascii="Book Antiqua" w:hAnsi="Book Antiqua"/>
          <w:b/>
          <w:color w:val="000000"/>
        </w:rPr>
      </w:pPr>
      <w:r w:rsidRPr="00BD2C91">
        <w:rPr>
          <w:rFonts w:ascii="Book Antiqua" w:hAnsi="Book Antiqua"/>
          <w:b/>
          <w:color w:val="000000"/>
        </w:rPr>
        <w:t xml:space="preserve">Telephone: </w:t>
      </w:r>
      <w:r w:rsidRPr="00BD2C91">
        <w:rPr>
          <w:rFonts w:ascii="Book Antiqua" w:hAnsi="Book Antiqua"/>
          <w:color w:val="000000"/>
        </w:rPr>
        <w:t>+1</w:t>
      </w:r>
      <w:r w:rsidRPr="00BD2C91">
        <w:rPr>
          <w:rFonts w:ascii="Book Antiqua" w:hAnsi="Book Antiqua"/>
          <w:color w:val="000000"/>
          <w:lang w:eastAsia="zh-CN"/>
        </w:rPr>
        <w:t>-</w:t>
      </w:r>
      <w:r w:rsidRPr="00BD2C91">
        <w:rPr>
          <w:rFonts w:ascii="Book Antiqua" w:hAnsi="Book Antiqua"/>
          <w:color w:val="000000"/>
        </w:rPr>
        <w:t>604</w:t>
      </w:r>
      <w:r w:rsidRPr="00BD2C91">
        <w:rPr>
          <w:rFonts w:ascii="Book Antiqua" w:hAnsi="Book Antiqua"/>
          <w:color w:val="000000"/>
          <w:lang w:eastAsia="zh-CN"/>
        </w:rPr>
        <w:t>-</w:t>
      </w:r>
      <w:r w:rsidRPr="00BD2C91">
        <w:rPr>
          <w:rFonts w:ascii="Book Antiqua" w:hAnsi="Book Antiqua"/>
          <w:color w:val="000000"/>
        </w:rPr>
        <w:t>8755371</w:t>
      </w:r>
      <w:r w:rsidRPr="00BD2C91">
        <w:rPr>
          <w:rFonts w:ascii="Book Antiqua" w:hAnsi="Book Antiqua"/>
          <w:color w:val="000000"/>
        </w:rPr>
        <w:tab/>
      </w:r>
      <w:r>
        <w:rPr>
          <w:rFonts w:ascii="Book Antiqua" w:hAnsi="Book Antiqua"/>
          <w:color w:val="000000"/>
          <w:lang w:eastAsia="zh-CN"/>
        </w:rPr>
        <w:t xml:space="preserve">  </w:t>
      </w:r>
      <w:r w:rsidRPr="00BD2C91">
        <w:rPr>
          <w:rFonts w:ascii="Book Antiqua" w:hAnsi="Book Antiqua"/>
          <w:b/>
          <w:color w:val="000000"/>
        </w:rPr>
        <w:t>Fax:</w:t>
      </w:r>
      <w:r w:rsidRPr="00BD2C91">
        <w:rPr>
          <w:rFonts w:ascii="Book Antiqua" w:hAnsi="Book Antiqua"/>
          <w:color w:val="000000"/>
        </w:rPr>
        <w:t xml:space="preserve"> +1</w:t>
      </w:r>
      <w:r w:rsidRPr="00BD2C91">
        <w:rPr>
          <w:rFonts w:ascii="Book Antiqua" w:hAnsi="Book Antiqua"/>
          <w:color w:val="000000"/>
          <w:lang w:eastAsia="zh-CN"/>
        </w:rPr>
        <w:t>-</w:t>
      </w:r>
      <w:r w:rsidRPr="00BD2C91">
        <w:rPr>
          <w:rFonts w:ascii="Book Antiqua" w:hAnsi="Book Antiqua"/>
          <w:color w:val="000000"/>
        </w:rPr>
        <w:t>604</w:t>
      </w:r>
      <w:r w:rsidRPr="00BD2C91">
        <w:rPr>
          <w:rFonts w:ascii="Book Antiqua" w:hAnsi="Book Antiqua"/>
          <w:color w:val="000000"/>
          <w:lang w:eastAsia="zh-CN"/>
        </w:rPr>
        <w:t>-</w:t>
      </w:r>
      <w:r w:rsidRPr="00BD2C91">
        <w:rPr>
          <w:rFonts w:ascii="Book Antiqua" w:hAnsi="Book Antiqua"/>
          <w:color w:val="000000"/>
        </w:rPr>
        <w:t xml:space="preserve">8755447 </w:t>
      </w:r>
    </w:p>
    <w:p w:rsidR="00934A47" w:rsidRPr="00BD2C91" w:rsidRDefault="00934A47" w:rsidP="000950A8">
      <w:pPr>
        <w:spacing w:line="360" w:lineRule="auto"/>
        <w:jc w:val="both"/>
        <w:rPr>
          <w:rFonts w:ascii="Book Antiqua" w:hAnsi="Book Antiqua"/>
          <w:b/>
          <w:color w:val="000000"/>
          <w:lang w:eastAsia="zh-CN"/>
        </w:rPr>
      </w:pPr>
      <w:r w:rsidRPr="00BD2C91">
        <w:rPr>
          <w:rFonts w:ascii="Book Antiqua" w:hAnsi="Book Antiqua"/>
          <w:b/>
          <w:color w:val="000000"/>
        </w:rPr>
        <w:t>Received:</w:t>
      </w:r>
      <w:r>
        <w:rPr>
          <w:rFonts w:ascii="Book Antiqua" w:hAnsi="Book Antiqua"/>
          <w:b/>
          <w:color w:val="000000"/>
          <w:lang w:eastAsia="zh-CN"/>
        </w:rPr>
        <w:t xml:space="preserve"> </w:t>
      </w:r>
      <w:r w:rsidRPr="00FC1C4F">
        <w:rPr>
          <w:rFonts w:ascii="Book Antiqua" w:hAnsi="Book Antiqua"/>
          <w:color w:val="000000"/>
          <w:lang w:eastAsia="zh-CN"/>
        </w:rPr>
        <w:t>January 10, 2014</w:t>
      </w:r>
      <w:r>
        <w:rPr>
          <w:rFonts w:ascii="Book Antiqua" w:hAnsi="Book Antiqua"/>
          <w:b/>
          <w:color w:val="000000"/>
        </w:rPr>
        <w:tab/>
      </w:r>
      <w:r>
        <w:rPr>
          <w:rFonts w:ascii="Book Antiqua" w:hAnsi="Book Antiqua"/>
          <w:b/>
          <w:color w:val="000000"/>
          <w:lang w:eastAsia="zh-CN"/>
        </w:rPr>
        <w:t xml:space="preserve"> </w:t>
      </w:r>
      <w:r w:rsidRPr="00BD2C91">
        <w:rPr>
          <w:rFonts w:ascii="Book Antiqua" w:hAnsi="Book Antiqua"/>
          <w:b/>
          <w:color w:val="000000"/>
        </w:rPr>
        <w:t xml:space="preserve">Revised: </w:t>
      </w:r>
      <w:r w:rsidRPr="00FC1C4F">
        <w:rPr>
          <w:rFonts w:ascii="Book Antiqua" w:hAnsi="Book Antiqua"/>
          <w:color w:val="000000"/>
          <w:lang w:eastAsia="zh-CN"/>
        </w:rPr>
        <w:t>April 12, 2014</w:t>
      </w:r>
    </w:p>
    <w:p w:rsidR="004D75DE" w:rsidRPr="00737869" w:rsidRDefault="00934A47" w:rsidP="004D75DE">
      <w:pPr>
        <w:rPr>
          <w:rFonts w:ascii="Book Antiqua" w:hAnsi="Book Antiqua"/>
        </w:rPr>
      </w:pPr>
      <w:r w:rsidRPr="00BD2C91">
        <w:rPr>
          <w:rFonts w:ascii="Book Antiqua" w:hAnsi="Book Antiqua"/>
          <w:b/>
          <w:color w:val="000000"/>
        </w:rPr>
        <w:t xml:space="preserve">Accepted: </w:t>
      </w:r>
      <w:bookmarkStart w:id="2" w:name="OLE_LINK1"/>
      <w:bookmarkStart w:id="3" w:name="OLE_LINK2"/>
      <w:r w:rsidR="004D75DE" w:rsidRPr="00737869">
        <w:rPr>
          <w:rFonts w:ascii="Book Antiqua" w:hAnsi="Book Antiqua"/>
        </w:rPr>
        <w:t>May 12, 2014</w:t>
      </w:r>
      <w:bookmarkEnd w:id="2"/>
      <w:bookmarkEnd w:id="3"/>
    </w:p>
    <w:p w:rsidR="00934A47" w:rsidRPr="00BD2C91" w:rsidRDefault="00934A47" w:rsidP="000950A8">
      <w:pPr>
        <w:spacing w:line="360" w:lineRule="auto"/>
        <w:jc w:val="both"/>
        <w:rPr>
          <w:rFonts w:ascii="Book Antiqua" w:hAnsi="Book Antiqua"/>
          <w:b/>
          <w:color w:val="000000"/>
        </w:rPr>
      </w:pPr>
      <w:bookmarkStart w:id="4" w:name="_GoBack"/>
      <w:bookmarkEnd w:id="4"/>
      <w:r w:rsidRPr="00BD2C91">
        <w:rPr>
          <w:rFonts w:ascii="Book Antiqua" w:hAnsi="Book Antiqua"/>
          <w:b/>
          <w:color w:val="000000"/>
        </w:rPr>
        <w:lastRenderedPageBreak/>
        <w:tab/>
      </w:r>
      <w:r w:rsidRPr="00BD2C91">
        <w:rPr>
          <w:rFonts w:ascii="Book Antiqua" w:hAnsi="Book Antiqua"/>
          <w:b/>
          <w:color w:val="000000"/>
        </w:rPr>
        <w:tab/>
      </w:r>
      <w:r w:rsidRPr="00BD2C91">
        <w:rPr>
          <w:rFonts w:ascii="Book Antiqua" w:hAnsi="Book Antiqua"/>
          <w:b/>
          <w:color w:val="000000"/>
        </w:rPr>
        <w:tab/>
      </w:r>
      <w:r w:rsidRPr="00BD2C91">
        <w:rPr>
          <w:rFonts w:ascii="Book Antiqua" w:hAnsi="Book Antiqua"/>
          <w:b/>
          <w:color w:val="000000"/>
        </w:rPr>
        <w:tab/>
      </w:r>
      <w:r>
        <w:rPr>
          <w:rFonts w:ascii="Book Antiqua" w:hAnsi="Book Antiqua"/>
          <w:b/>
          <w:color w:val="000000"/>
          <w:lang w:eastAsia="zh-CN"/>
        </w:rPr>
        <w:t xml:space="preserve">       </w:t>
      </w:r>
      <w:r w:rsidRPr="00BD2C91">
        <w:rPr>
          <w:rFonts w:ascii="Book Antiqua" w:hAnsi="Book Antiqua"/>
          <w:b/>
          <w:color w:val="000000"/>
        </w:rPr>
        <w:t xml:space="preserve">Published online: </w:t>
      </w:r>
    </w:p>
    <w:p w:rsidR="00934A47" w:rsidRPr="00BD2C91" w:rsidRDefault="00934A47" w:rsidP="00A1152E">
      <w:pPr>
        <w:spacing w:line="360" w:lineRule="auto"/>
        <w:rPr>
          <w:rFonts w:ascii="Book Antiqua" w:hAnsi="Book Antiqua"/>
          <w:b/>
          <w:color w:val="000000"/>
        </w:rPr>
      </w:pPr>
      <w:r w:rsidRPr="00BD2C91">
        <w:rPr>
          <w:rFonts w:ascii="Book Antiqua" w:hAnsi="Book Antiqua"/>
          <w:b/>
          <w:color w:val="000000"/>
        </w:rPr>
        <w:br w:type="page"/>
      </w:r>
      <w:r w:rsidRPr="00BD2C91">
        <w:rPr>
          <w:rFonts w:ascii="Book Antiqua" w:hAnsi="Book Antiqua"/>
          <w:b/>
          <w:color w:val="000000"/>
        </w:rPr>
        <w:lastRenderedPageBreak/>
        <w:t xml:space="preserve">Abstract </w:t>
      </w:r>
    </w:p>
    <w:p w:rsidR="00934A47" w:rsidRPr="00BD2C91" w:rsidRDefault="00934A47" w:rsidP="000950A8">
      <w:pPr>
        <w:spacing w:line="360" w:lineRule="auto"/>
        <w:jc w:val="both"/>
        <w:rPr>
          <w:rFonts w:ascii="Book Antiqua" w:hAnsi="Book Antiqua"/>
          <w:color w:val="000000"/>
        </w:rPr>
      </w:pPr>
      <w:r w:rsidRPr="00BD2C91">
        <w:rPr>
          <w:rFonts w:ascii="Book Antiqua" w:hAnsi="Book Antiqua"/>
          <w:color w:val="000000"/>
        </w:rPr>
        <w:t>A case is presented of a 36-year-old male with primary sclerosing cholangitis-associated inflammatory bowel disease (PSC-IBD) and two synchronous stage 1 adenocarcinomata of the colon, who was initially treated with a subtotal colectomy with ileostomy. One year later, the patient presented with extensive intra-abdominal lymphadenopathy and peritoneal carcinomatosis, as well as a markedly elevated serum level of alpha-fetoprotein (AFP). Fine needle aspiration biopsy of a porta hepatis lymph node revealed a metastatic hepatoid adenocarcinoma. Subsequent review of the previous colectomy specimen showed that one of the previously identified adenocarcinomata had features suggestive of a hepatoid colonic adenocarcinoma. The patient was subsequently treated with a cytotoxic regimen of FOLFOX (oxaliplatin, leucovorin, 5-fluorouracil) and bevacizumab, with stable results being achieved after six months. This case presents the first known report of PSC-IBD associated with synchronous typical and hepatoid adenocarcinomata of the colon and highlights the importance of considering hepatoid adenocarcinoma</w:t>
      </w:r>
      <w:r w:rsidRPr="00BD2C91">
        <w:rPr>
          <w:rFonts w:ascii="Book Antiqua" w:hAnsi="Book Antiqua" w:cs="Arial"/>
          <w:color w:val="000000"/>
        </w:rPr>
        <w:t xml:space="preserve"> as a differential diagnosis in patients with an increasing serum AFP level</w:t>
      </w:r>
      <w:r w:rsidRPr="00BD2C91">
        <w:rPr>
          <w:rFonts w:ascii="Book Antiqua" w:hAnsi="Book Antiqua"/>
          <w:color w:val="000000"/>
        </w:rPr>
        <w:t>.</w:t>
      </w:r>
    </w:p>
    <w:p w:rsidR="00934A47" w:rsidRPr="00BD2C91" w:rsidRDefault="00934A47" w:rsidP="000950A8">
      <w:pPr>
        <w:spacing w:line="360" w:lineRule="auto"/>
        <w:jc w:val="both"/>
        <w:rPr>
          <w:rFonts w:ascii="Book Antiqua" w:hAnsi="Book Antiqua"/>
          <w:b/>
          <w:color w:val="000000"/>
        </w:rPr>
      </w:pPr>
    </w:p>
    <w:p w:rsidR="00934A47" w:rsidRDefault="00934A47" w:rsidP="000950A8">
      <w:pPr>
        <w:spacing w:line="360" w:lineRule="auto"/>
        <w:jc w:val="both"/>
        <w:rPr>
          <w:rFonts w:ascii="Book Antiqua" w:hAnsi="Book Antiqua"/>
          <w:color w:val="000000"/>
          <w:lang w:eastAsia="zh-CN"/>
        </w:rPr>
      </w:pPr>
      <w:r w:rsidRPr="00F40FEC">
        <w:rPr>
          <w:rFonts w:ascii="Book Antiqua" w:hAnsi="Book Antiqua"/>
          <w:color w:val="000000"/>
        </w:rPr>
        <w:t>© 2014 Baishideng Publishing Group Inc. All rights reserved.</w:t>
      </w:r>
    </w:p>
    <w:p w:rsidR="00934A47" w:rsidRPr="00F40FEC" w:rsidRDefault="00934A47" w:rsidP="000950A8">
      <w:pPr>
        <w:spacing w:line="360" w:lineRule="auto"/>
        <w:jc w:val="both"/>
        <w:rPr>
          <w:rFonts w:ascii="Book Antiqua" w:hAnsi="Book Antiqua"/>
          <w:color w:val="000000"/>
          <w:lang w:eastAsia="zh-CN"/>
        </w:rPr>
      </w:pPr>
    </w:p>
    <w:p w:rsidR="00934A47" w:rsidRPr="00BD2C91" w:rsidRDefault="00934A47" w:rsidP="000950A8">
      <w:pPr>
        <w:spacing w:line="360" w:lineRule="auto"/>
        <w:jc w:val="both"/>
        <w:rPr>
          <w:rFonts w:ascii="Book Antiqua" w:hAnsi="Book Antiqua"/>
          <w:b/>
          <w:color w:val="000000"/>
        </w:rPr>
      </w:pPr>
      <w:r w:rsidRPr="00BD2C91">
        <w:rPr>
          <w:rFonts w:ascii="Book Antiqua" w:hAnsi="Book Antiqua"/>
          <w:b/>
          <w:color w:val="000000"/>
        </w:rPr>
        <w:t xml:space="preserve">Key words: </w:t>
      </w:r>
      <w:r w:rsidRPr="00BD2C91">
        <w:rPr>
          <w:rFonts w:ascii="Book Antiqua" w:hAnsi="Book Antiqua"/>
          <w:color w:val="000000"/>
        </w:rPr>
        <w:t xml:space="preserve">Hepatoid adenocarcinoma; </w:t>
      </w:r>
      <w:r w:rsidRPr="00E42F04">
        <w:rPr>
          <w:rFonts w:ascii="Book Antiqua" w:hAnsi="Book Antiqua"/>
          <w:color w:val="000000"/>
        </w:rPr>
        <w:t>Inflammatory bowel disease</w:t>
      </w:r>
      <w:r>
        <w:rPr>
          <w:rFonts w:ascii="Book Antiqua" w:hAnsi="Book Antiqua"/>
          <w:color w:val="000000"/>
        </w:rPr>
        <w:t>;</w:t>
      </w:r>
      <w:r w:rsidRPr="00E42F04">
        <w:rPr>
          <w:rFonts w:ascii="Book Antiqua" w:hAnsi="Book Antiqua"/>
          <w:color w:val="000000"/>
        </w:rPr>
        <w:t xml:space="preserve"> </w:t>
      </w:r>
      <w:r w:rsidRPr="00BD2C91">
        <w:rPr>
          <w:rFonts w:ascii="Book Antiqua" w:hAnsi="Book Antiqua"/>
          <w:color w:val="000000"/>
        </w:rPr>
        <w:t xml:space="preserve">Colon cancer; Alpha-fetoprotein; Ulcerative colitis; Primary sclerosing cholangitis; Recurrence; Metastasis </w:t>
      </w:r>
    </w:p>
    <w:p w:rsidR="00934A47" w:rsidRPr="00BD2C91" w:rsidRDefault="00934A47" w:rsidP="000950A8">
      <w:pPr>
        <w:spacing w:line="360" w:lineRule="auto"/>
        <w:jc w:val="both"/>
        <w:rPr>
          <w:rFonts w:ascii="Book Antiqua" w:hAnsi="Book Antiqua"/>
          <w:b/>
          <w:color w:val="000000"/>
        </w:rPr>
      </w:pPr>
    </w:p>
    <w:p w:rsidR="00934A47" w:rsidRPr="00BD2C91" w:rsidRDefault="00934A47" w:rsidP="000950A8">
      <w:pPr>
        <w:spacing w:line="360" w:lineRule="auto"/>
        <w:jc w:val="both"/>
        <w:rPr>
          <w:rFonts w:ascii="Book Antiqua" w:hAnsi="Book Antiqua"/>
          <w:color w:val="000000"/>
        </w:rPr>
      </w:pPr>
      <w:r w:rsidRPr="00BD2C91">
        <w:rPr>
          <w:rFonts w:ascii="Book Antiqua" w:hAnsi="Book Antiqua"/>
          <w:b/>
          <w:color w:val="000000"/>
        </w:rPr>
        <w:t xml:space="preserve">Core tip: </w:t>
      </w:r>
      <w:r w:rsidRPr="00BD2C91">
        <w:rPr>
          <w:rFonts w:ascii="Book Antiqua" w:hAnsi="Book Antiqua"/>
          <w:color w:val="000000"/>
        </w:rPr>
        <w:t xml:space="preserve">This is the first reported case of a synchronous presentation of typical and hepatoid adenocarcinomata of the colon in a patient with long-standing ulcerative colitis and primary sclerosing cholangitis. This report addresses the clinical importance of probing for hepatoid adenocarcinomata in patients with </w:t>
      </w:r>
      <w:r w:rsidRPr="00BD2C91">
        <w:rPr>
          <w:rFonts w:ascii="Book Antiqua" w:hAnsi="Book Antiqua"/>
          <w:color w:val="000000"/>
        </w:rPr>
        <w:lastRenderedPageBreak/>
        <w:t xml:space="preserve">increased serum alpha-fetoprotein levels in the absence of hepatocellular carcinoma. </w:t>
      </w:r>
    </w:p>
    <w:p w:rsidR="00934A47" w:rsidRPr="00BD2C91" w:rsidRDefault="00934A47" w:rsidP="000950A8">
      <w:pPr>
        <w:spacing w:line="360" w:lineRule="auto"/>
        <w:jc w:val="both"/>
        <w:rPr>
          <w:rFonts w:ascii="Book Antiqua" w:hAnsi="Book Antiqua"/>
          <w:color w:val="000000"/>
        </w:rPr>
      </w:pPr>
    </w:p>
    <w:p w:rsidR="00934A47" w:rsidRPr="00BD2C91" w:rsidRDefault="00934A47" w:rsidP="000950A8">
      <w:pPr>
        <w:spacing w:line="360" w:lineRule="auto"/>
        <w:jc w:val="both"/>
        <w:rPr>
          <w:rFonts w:ascii="Book Antiqua" w:hAnsi="Book Antiqua"/>
          <w:b/>
          <w:color w:val="000000"/>
          <w:lang w:eastAsia="zh-CN"/>
        </w:rPr>
      </w:pPr>
      <w:r w:rsidRPr="00F40FEC">
        <w:rPr>
          <w:rFonts w:ascii="Book Antiqua" w:hAnsi="Book Antiqua"/>
          <w:color w:val="000000"/>
          <w:lang w:val="de-DE"/>
        </w:rPr>
        <w:t xml:space="preserve">Chen YY, Schaeffer DF, Yoshida EM. </w:t>
      </w:r>
      <w:r w:rsidRPr="00BD2C91">
        <w:rPr>
          <w:rFonts w:ascii="Book Antiqua" w:hAnsi="Book Antiqua"/>
          <w:color w:val="000000"/>
        </w:rPr>
        <w:t xml:space="preserve">Hepatoid adenocarcinoma of the colon in a patient with inflammatory bowel disease. </w:t>
      </w:r>
      <w:r w:rsidRPr="00BD2C91">
        <w:rPr>
          <w:rFonts w:ascii="Book Antiqua" w:hAnsi="Book Antiqua"/>
          <w:i/>
          <w:color w:val="000000"/>
        </w:rPr>
        <w:t>World J Gastroenterol</w:t>
      </w:r>
      <w:r w:rsidRPr="00BD2C91">
        <w:rPr>
          <w:rFonts w:ascii="Book Antiqua" w:hAnsi="Book Antiqua"/>
          <w:color w:val="000000"/>
        </w:rPr>
        <w:t xml:space="preserve"> 2014; </w:t>
      </w:r>
      <w:r>
        <w:rPr>
          <w:rFonts w:ascii="Book Antiqua" w:hAnsi="Book Antiqua"/>
          <w:color w:val="000000"/>
          <w:lang w:eastAsia="zh-CN"/>
        </w:rPr>
        <w:t>In press</w:t>
      </w:r>
    </w:p>
    <w:p w:rsidR="00934A47" w:rsidRPr="00BD2C91" w:rsidRDefault="00934A47" w:rsidP="000950A8">
      <w:pPr>
        <w:spacing w:line="360" w:lineRule="auto"/>
        <w:jc w:val="both"/>
        <w:rPr>
          <w:rFonts w:ascii="Book Antiqua" w:hAnsi="Book Antiqua"/>
          <w:b/>
          <w:color w:val="000000"/>
        </w:rPr>
      </w:pPr>
    </w:p>
    <w:p w:rsidR="00934A47" w:rsidRPr="00BD2C91" w:rsidRDefault="00934A47" w:rsidP="00A1152E">
      <w:pPr>
        <w:spacing w:line="360" w:lineRule="auto"/>
        <w:rPr>
          <w:rFonts w:ascii="Book Antiqua" w:hAnsi="Book Antiqua"/>
          <w:b/>
          <w:color w:val="000000"/>
        </w:rPr>
      </w:pPr>
    </w:p>
    <w:p w:rsidR="00934A47" w:rsidRPr="00BD2C91" w:rsidRDefault="00934A47">
      <w:pPr>
        <w:rPr>
          <w:rFonts w:ascii="Book Antiqua" w:hAnsi="Book Antiqua"/>
          <w:b/>
          <w:color w:val="000000"/>
        </w:rPr>
      </w:pPr>
      <w:r w:rsidRPr="00BD2C91">
        <w:rPr>
          <w:rFonts w:ascii="Book Antiqua" w:hAnsi="Book Antiqua"/>
          <w:b/>
          <w:color w:val="000000"/>
        </w:rPr>
        <w:br w:type="page"/>
      </w:r>
    </w:p>
    <w:p w:rsidR="00934A47" w:rsidRPr="00BD2C91" w:rsidRDefault="00934A47" w:rsidP="000950A8">
      <w:pPr>
        <w:spacing w:line="360" w:lineRule="auto"/>
        <w:jc w:val="both"/>
        <w:rPr>
          <w:rFonts w:ascii="Book Antiqua" w:hAnsi="Book Antiqua"/>
          <w:b/>
          <w:color w:val="000000"/>
        </w:rPr>
      </w:pPr>
      <w:r w:rsidRPr="00BD2C91">
        <w:rPr>
          <w:rFonts w:ascii="Book Antiqua" w:hAnsi="Book Antiqua"/>
          <w:b/>
          <w:color w:val="000000"/>
        </w:rPr>
        <w:t xml:space="preserve">INTRODUCTION </w:t>
      </w:r>
    </w:p>
    <w:p w:rsidR="00934A47" w:rsidRPr="00BD2C91" w:rsidRDefault="00934A47" w:rsidP="000950A8">
      <w:pPr>
        <w:spacing w:line="360" w:lineRule="auto"/>
        <w:jc w:val="both"/>
        <w:rPr>
          <w:rFonts w:ascii="Book Antiqua" w:hAnsi="Book Antiqua"/>
          <w:color w:val="000000"/>
        </w:rPr>
      </w:pPr>
      <w:r w:rsidRPr="00BD2C91">
        <w:rPr>
          <w:rFonts w:ascii="Book Antiqua" w:hAnsi="Book Antiqua"/>
          <w:color w:val="000000"/>
        </w:rPr>
        <w:t xml:space="preserve">Hepatoid adenocarcinoma (HA) is a rare neoplasm, which was first described in the stomach by Bourreille </w:t>
      </w:r>
      <w:r w:rsidRPr="00BD2C91">
        <w:rPr>
          <w:rFonts w:ascii="Book Antiqua" w:hAnsi="Book Antiqua"/>
          <w:i/>
          <w:color w:val="000000"/>
        </w:rPr>
        <w:t>et al</w:t>
      </w:r>
      <w:r w:rsidRPr="00BD2C91">
        <w:rPr>
          <w:rFonts w:ascii="Book Antiqua" w:hAnsi="Book Antiqua"/>
          <w:color w:val="000000"/>
          <w:vertAlign w:val="superscript"/>
        </w:rPr>
        <w:t>[1]</w:t>
      </w:r>
      <w:r w:rsidRPr="00BD2C91">
        <w:rPr>
          <w:rFonts w:ascii="Book Antiqua" w:hAnsi="Book Antiqua"/>
          <w:color w:val="000000"/>
        </w:rPr>
        <w:t xml:space="preserve"> and termed by Ishikura </w:t>
      </w:r>
      <w:r w:rsidRPr="00BD2C91">
        <w:rPr>
          <w:rFonts w:ascii="Book Antiqua" w:hAnsi="Book Antiqua"/>
          <w:i/>
          <w:color w:val="000000"/>
        </w:rPr>
        <w:t>et al.</w:t>
      </w:r>
      <w:r w:rsidRPr="00BD2C91">
        <w:rPr>
          <w:rFonts w:ascii="Book Antiqua" w:hAnsi="Book Antiqua"/>
          <w:color w:val="000000"/>
        </w:rPr>
        <w:t xml:space="preserve"> after reporting a similar case in 1985</w:t>
      </w:r>
      <w:r w:rsidRPr="00BD2C91">
        <w:rPr>
          <w:rFonts w:ascii="Book Antiqua" w:hAnsi="Book Antiqua"/>
          <w:color w:val="000000"/>
          <w:vertAlign w:val="superscript"/>
        </w:rPr>
        <w:t>[2]</w:t>
      </w:r>
      <w:r w:rsidRPr="00BD2C91">
        <w:rPr>
          <w:rFonts w:ascii="Book Antiqua" w:hAnsi="Book Antiqua"/>
          <w:color w:val="000000"/>
        </w:rPr>
        <w:t>. The frequent occurrence of HA in the stomach has been attributed to the common embryologic origin of the stomach and liver from the foregut, though it can occur in other organs, including the colon, genitourinary tract, thymus, biliary system, esophagus, pancreas, peritoneum, kidney, ovary or lung</w:t>
      </w:r>
      <w:r w:rsidRPr="00BD2C91">
        <w:rPr>
          <w:rFonts w:ascii="Book Antiqua" w:hAnsi="Book Antiqua"/>
          <w:color w:val="000000"/>
          <w:vertAlign w:val="superscript"/>
        </w:rPr>
        <w:t>[3]</w:t>
      </w:r>
      <w:r w:rsidRPr="00BD2C91">
        <w:rPr>
          <w:rFonts w:ascii="Book Antiqua" w:hAnsi="Book Antiqua"/>
          <w:color w:val="000000"/>
        </w:rPr>
        <w:t>. The histologic features and biochemical profile of hepatoid tumors are reminiscent of hepatocellular carcinoma (HCC)</w:t>
      </w:r>
      <w:r w:rsidRPr="00BD2C91">
        <w:rPr>
          <w:rFonts w:ascii="Book Antiqua" w:hAnsi="Book Antiqua"/>
          <w:color w:val="000000"/>
          <w:vertAlign w:val="superscript"/>
        </w:rPr>
        <w:t>[4,5]</w:t>
      </w:r>
      <w:r w:rsidRPr="00BD2C91">
        <w:rPr>
          <w:rFonts w:ascii="Book Antiqua" w:hAnsi="Book Antiqua"/>
          <w:color w:val="000000"/>
        </w:rPr>
        <w:t>. HA are composed of polygonal tumor cells arranged in both trabecular and glandular structures</w:t>
      </w:r>
      <w:r w:rsidRPr="00BD2C91">
        <w:rPr>
          <w:rFonts w:ascii="Book Antiqua" w:hAnsi="Book Antiqua"/>
          <w:color w:val="000000"/>
          <w:vertAlign w:val="superscript"/>
        </w:rPr>
        <w:t>[6]</w:t>
      </w:r>
      <w:r w:rsidRPr="00BD2C91">
        <w:rPr>
          <w:rFonts w:ascii="Book Antiqua" w:hAnsi="Book Antiqua"/>
          <w:color w:val="000000"/>
        </w:rPr>
        <w:t>, and can be identified with alpha-fetoprotein (AFP), hepatocyte specific antigen (HSA), and MOC31 antibodies, which usually do not react with hepatocytes</w:t>
      </w:r>
      <w:r w:rsidRPr="00BD2C91">
        <w:rPr>
          <w:rFonts w:ascii="Book Antiqua" w:hAnsi="Book Antiqua"/>
          <w:color w:val="000000"/>
          <w:vertAlign w:val="superscript"/>
        </w:rPr>
        <w:t>[3]</w:t>
      </w:r>
      <w:r w:rsidRPr="00BD2C91">
        <w:rPr>
          <w:rFonts w:ascii="Book Antiqua" w:hAnsi="Book Antiqua"/>
          <w:color w:val="000000"/>
        </w:rPr>
        <w:t>.</w:t>
      </w:r>
      <w:r w:rsidRPr="00BD2C91">
        <w:rPr>
          <w:rFonts w:ascii="Book Antiqua" w:hAnsi="Book Antiqua"/>
          <w:color w:val="000000"/>
          <w:vertAlign w:val="subscript"/>
        </w:rPr>
        <w:t xml:space="preserve"> </w:t>
      </w:r>
      <w:r w:rsidRPr="00BD2C91">
        <w:rPr>
          <w:rFonts w:ascii="Book Antiqua" w:hAnsi="Book Antiqua"/>
          <w:color w:val="000000"/>
        </w:rPr>
        <w:t xml:space="preserve">This case report describes the discovery of a metastatic HA in the colon of a patient with primary sclerosing cholangitis (PSC)-associated inflammatory bowel disease (IBD). </w:t>
      </w:r>
    </w:p>
    <w:p w:rsidR="00934A47" w:rsidRPr="00BD2C91" w:rsidRDefault="00934A47" w:rsidP="00A1152E">
      <w:pPr>
        <w:spacing w:line="360" w:lineRule="auto"/>
        <w:rPr>
          <w:rFonts w:ascii="Book Antiqua" w:hAnsi="Book Antiqua"/>
          <w:b/>
          <w:color w:val="000000"/>
        </w:rPr>
      </w:pPr>
    </w:p>
    <w:p w:rsidR="00934A47" w:rsidRPr="00BD2C91" w:rsidRDefault="00934A47" w:rsidP="000950A8">
      <w:pPr>
        <w:spacing w:line="360" w:lineRule="auto"/>
        <w:jc w:val="both"/>
        <w:rPr>
          <w:rFonts w:ascii="Book Antiqua" w:hAnsi="Book Antiqua"/>
          <w:b/>
          <w:color w:val="000000"/>
        </w:rPr>
      </w:pPr>
      <w:r w:rsidRPr="00BD2C91">
        <w:rPr>
          <w:rFonts w:ascii="Book Antiqua" w:hAnsi="Book Antiqua"/>
          <w:b/>
          <w:color w:val="000000"/>
        </w:rPr>
        <w:t xml:space="preserve">CASE REPORT </w:t>
      </w:r>
    </w:p>
    <w:p w:rsidR="00934A47" w:rsidRPr="00BD2C91" w:rsidRDefault="00934A47" w:rsidP="000950A8">
      <w:pPr>
        <w:spacing w:line="360" w:lineRule="auto"/>
        <w:jc w:val="both"/>
        <w:rPr>
          <w:rFonts w:ascii="Book Antiqua" w:hAnsi="Book Antiqua"/>
          <w:color w:val="000000"/>
        </w:rPr>
      </w:pPr>
      <w:r w:rsidRPr="00BD2C91">
        <w:rPr>
          <w:rFonts w:ascii="Book Antiqua" w:hAnsi="Book Antiqua"/>
          <w:color w:val="000000"/>
        </w:rPr>
        <w:t xml:space="preserve">A 36-year-old Caucasian male was first diagnosed with ulcerative pancolitis at the age of 24 and treated with mesalamine. Eight years after the initial diagnosis, the patient became jaundiced and imaging of his bile duct showed changes typical of PSC. A subsequent dysplasia surveillance colonoscopy showed a polypoid lesion within the proximal transverse colon, along with chronic inflammatory mucosal changes. Biopsies of the lesion revealed an infiltrating, moderately differentiated colonic adenocarcinoma. The patient then underwent a subtotal colectomy and ileostomy with a Roux-en-Y hepaticojejunostomy. </w:t>
      </w:r>
    </w:p>
    <w:p w:rsidR="00934A47" w:rsidRPr="00BD2C91" w:rsidRDefault="00934A47" w:rsidP="000950A8">
      <w:pPr>
        <w:spacing w:line="360" w:lineRule="auto"/>
        <w:jc w:val="both"/>
        <w:rPr>
          <w:rFonts w:ascii="Book Antiqua" w:hAnsi="Book Antiqua"/>
          <w:color w:val="000000"/>
        </w:rPr>
      </w:pPr>
      <w:r w:rsidRPr="00BD2C91">
        <w:rPr>
          <w:rFonts w:ascii="Book Antiqua" w:hAnsi="Book Antiqua"/>
          <w:color w:val="000000"/>
        </w:rPr>
        <w:tab/>
        <w:t xml:space="preserve">Although only one lesion was documented during colonoscopy, histopathologic examination of the resection specimen showed two completely excised synchronous colonic tumors, 9 cm apart, within the transverse colon. The </w:t>
      </w:r>
      <w:r w:rsidRPr="00BD2C91">
        <w:rPr>
          <w:rFonts w:ascii="Book Antiqua" w:hAnsi="Book Antiqua"/>
          <w:color w:val="000000"/>
        </w:rPr>
        <w:lastRenderedPageBreak/>
        <w:t>first tumor measured 2 cm in size and showed a high-grade (poorly differentiated) colonic adenocarcinoma, characterized by solid sheets of neoplastic cells arising from dysplastic surface epithelium. The second larger tumor (4.7 cm) had a low-grade histologic appearance, composed of moderately differentiated colonic glands invading into the superficial portions of the submucosa. Both lesions invaded the submucosa but did not penetrate the muscularis propria, and thus were staged as pT1 lesions. Lymphatic or venous invasion was not observed (</w:t>
      </w:r>
      <w:r w:rsidRPr="00BD2C91">
        <w:rPr>
          <w:rFonts w:ascii="Book Antiqua" w:hAnsi="Book Antiqua"/>
          <w:i/>
          <w:color w:val="000000"/>
        </w:rPr>
        <w:t>via</w:t>
      </w:r>
      <w:r w:rsidRPr="00BD2C91">
        <w:rPr>
          <w:rFonts w:ascii="Book Antiqua" w:hAnsi="Book Antiqua"/>
          <w:color w:val="000000"/>
        </w:rPr>
        <w:t xml:space="preserve"> D2-40 and CD31 staining) and 45 regional colonic lymph nodes were negative for metastatic disease. The background colonic mucosa showed chronic active ulcerative pancolitis with minimal severity. </w:t>
      </w:r>
    </w:p>
    <w:p w:rsidR="00934A47" w:rsidRPr="00BD2C91" w:rsidRDefault="00934A47" w:rsidP="000950A8">
      <w:pPr>
        <w:spacing w:line="360" w:lineRule="auto"/>
        <w:jc w:val="both"/>
        <w:rPr>
          <w:rFonts w:ascii="Book Antiqua" w:hAnsi="Book Antiqua"/>
          <w:color w:val="000000"/>
        </w:rPr>
      </w:pPr>
      <w:r w:rsidRPr="00BD2C91">
        <w:rPr>
          <w:rFonts w:ascii="Book Antiqua" w:hAnsi="Book Antiqua"/>
          <w:color w:val="000000"/>
        </w:rPr>
        <w:tab/>
        <w:t xml:space="preserve">The histologic staging and review by a multidisciplinary team did not indicate adjuvant chemotherapy. However, four months after the procedure, the patient developed ascites and was found to be cirrhotic. An enlarging left renal perihilar lymph node identified during a liver assessment work-up was monitored for six months by serial image scanning. A positron emission tomography (PET) scan revealed multiple PET-positive paraaortic lymph nodes and one left inguinal lymph node, which was suspect for malignancy. However, no neoplastic changes were observed in an excisional biopsy of the left inguinal lymph node. The only abnormal biomedical value coinciding with the PET-positive result was an abnormal AFP value of 4896 μg/L that was encountered during the standard HCC screening protocol. Moreover, the patient’s AFP levels had slowly but steadily increased over the previous twelve months. A biphasic abdominal computed tomography (CT) scan and hepatic magnetic resonance imaging both failed to show any hepatic mass lesions. </w:t>
      </w:r>
    </w:p>
    <w:p w:rsidR="00934A47" w:rsidRPr="00BD2C91" w:rsidRDefault="00934A47" w:rsidP="000950A8">
      <w:pPr>
        <w:spacing w:line="360" w:lineRule="auto"/>
        <w:jc w:val="both"/>
        <w:rPr>
          <w:rFonts w:ascii="Book Antiqua" w:hAnsi="Book Antiqua"/>
          <w:color w:val="000000"/>
        </w:rPr>
      </w:pPr>
      <w:r w:rsidRPr="00BD2C91">
        <w:rPr>
          <w:rFonts w:ascii="Book Antiqua" w:hAnsi="Book Antiqua"/>
          <w:color w:val="000000"/>
        </w:rPr>
        <w:tab/>
        <w:t xml:space="preserve">Sixteen months after the initial colectomy, the patient underwent an endoscopic ultrasound and a fine needle aspiration biopsy of the largest porta hepatis lymph node. Histologic examination showed the lymph node to be positive for metastatic carcinoma, as indicated by intermediate-sized dysplastic cells with vacuolated cytoplasm and occasional markedly enlarged malignant </w:t>
      </w:r>
      <w:r w:rsidRPr="00BD2C91">
        <w:rPr>
          <w:rFonts w:ascii="Book Antiqua" w:hAnsi="Book Antiqua"/>
          <w:color w:val="000000"/>
        </w:rPr>
        <w:lastRenderedPageBreak/>
        <w:t>nuclei-forming lumina (Figure 1A). Immunohistochemistry revealed that the tumor cells were positive for AFP (Figure 1B) and strongly positive for caudal-related homeobox transcription factor 2 (CDX-2)</w:t>
      </w:r>
      <w:r w:rsidRPr="00BD2C91" w:rsidDel="00E812CF">
        <w:rPr>
          <w:rFonts w:ascii="Book Antiqua" w:hAnsi="Book Antiqua"/>
          <w:color w:val="000000"/>
        </w:rPr>
        <w:t xml:space="preserve"> </w:t>
      </w:r>
      <w:r w:rsidRPr="00BD2C91">
        <w:rPr>
          <w:rFonts w:ascii="Book Antiqua" w:hAnsi="Book Antiqua"/>
          <w:color w:val="000000"/>
        </w:rPr>
        <w:t>(Figure 1C). In addition, staining for HSA was unequivocal (Figure 1D). These histopathologies were consistent with a metastasis of the known primary colonic tumor, and the AFP positivity suggested a hepatoid variant. A subsequent review of the original colonic specimens revealed that the smaller, poorly differentiated tumor was in fact composed of polygonal-shaped cells with granular eosinophilic cytoplasm, centrally located nuclei, and prominent nucleoli (Figure 2A,</w:t>
      </w:r>
      <w:r w:rsidRPr="00BD2C91">
        <w:rPr>
          <w:rFonts w:ascii="Book Antiqua" w:hAnsi="Book Antiqua"/>
          <w:color w:val="000000"/>
          <w:lang w:eastAsia="zh-CN"/>
        </w:rPr>
        <w:t xml:space="preserve"> </w:t>
      </w:r>
      <w:r w:rsidRPr="00BD2C91">
        <w:rPr>
          <w:rFonts w:ascii="Book Antiqua" w:hAnsi="Book Antiqua"/>
          <w:color w:val="000000"/>
        </w:rPr>
        <w:t>B) that were immune-positive for AFP (inset of Figure 2B), HSA, and CDX-2. In contrast, the second tumor identified from the original specimen was negative for AFP and HSA immunostaining, and showed a more typical colonic morphologic differentiation (Figure 2C,</w:t>
      </w:r>
      <w:r w:rsidRPr="00BD2C91">
        <w:rPr>
          <w:rFonts w:ascii="Book Antiqua" w:hAnsi="Book Antiqua"/>
          <w:color w:val="000000"/>
          <w:lang w:eastAsia="zh-CN"/>
        </w:rPr>
        <w:t xml:space="preserve"> </w:t>
      </w:r>
      <w:r w:rsidRPr="00BD2C91">
        <w:rPr>
          <w:rFonts w:ascii="Book Antiqua" w:hAnsi="Book Antiqua"/>
          <w:color w:val="000000"/>
        </w:rPr>
        <w:t>D). This indicated that the tumor in the porta hepatis node represented a metastasis of the colonic HA.</w:t>
      </w:r>
    </w:p>
    <w:p w:rsidR="00934A47" w:rsidRPr="00BD2C91" w:rsidRDefault="00934A47" w:rsidP="000950A8">
      <w:pPr>
        <w:spacing w:line="360" w:lineRule="auto"/>
        <w:jc w:val="both"/>
        <w:rPr>
          <w:rFonts w:ascii="Book Antiqua" w:hAnsi="Book Antiqua"/>
          <w:color w:val="000000"/>
        </w:rPr>
      </w:pPr>
      <w:r w:rsidRPr="00BD2C91">
        <w:rPr>
          <w:rFonts w:ascii="Book Antiqua" w:hAnsi="Book Antiqua"/>
          <w:color w:val="000000"/>
        </w:rPr>
        <w:tab/>
        <w:t xml:space="preserve">Following this diagnosis, a repeat CT scan of the abdomen was performed, which showed prominent paracolic peritoneal enhancement that was suggestive of peritoneal carcinomatosis. The patient was thus started on palliative chemotherapy with FOLFOX (oxaliplatin, leucovorin, 5-fluorouracil) and bevacizumab. Serum AFP levels decreased to 260 </w:t>
      </w:r>
      <w:bookmarkStart w:id="5" w:name="OLE_LINK190"/>
      <w:bookmarkStart w:id="6" w:name="OLE_LINK191"/>
      <w:bookmarkStart w:id="7" w:name="OLE_LINK236"/>
      <w:bookmarkStart w:id="8" w:name="OLE_LINK238"/>
      <w:bookmarkStart w:id="9" w:name="OLE_LINK262"/>
      <w:bookmarkStart w:id="10" w:name="OLE_LINK488"/>
      <w:bookmarkStart w:id="11" w:name="OLE_LINK507"/>
      <w:bookmarkStart w:id="12" w:name="OLE_LINK577"/>
      <w:bookmarkStart w:id="13" w:name="OLE_LINK578"/>
      <w:bookmarkStart w:id="14" w:name="OLE_LINK462"/>
      <w:bookmarkStart w:id="15" w:name="OLE_LINK463"/>
      <w:bookmarkStart w:id="16" w:name="OLE_LINK443"/>
      <w:bookmarkStart w:id="17" w:name="OLE_LINK460"/>
      <w:bookmarkStart w:id="18" w:name="OLE_LINK461"/>
      <w:bookmarkStart w:id="19" w:name="OLE_LINK510"/>
      <w:bookmarkStart w:id="20" w:name="OLE_LINK519"/>
      <w:bookmarkStart w:id="21" w:name="OLE_LINK530"/>
      <w:bookmarkStart w:id="22" w:name="OLE_LINK531"/>
      <w:bookmarkStart w:id="23" w:name="OLE_LINK537"/>
      <w:bookmarkStart w:id="24" w:name="OLE_LINK538"/>
      <w:bookmarkStart w:id="25" w:name="OLE_LINK910"/>
      <w:bookmarkStart w:id="26" w:name="OLE_LINK1028"/>
      <w:bookmarkStart w:id="27" w:name="OLE_LINK1065"/>
      <w:bookmarkStart w:id="28" w:name="OLE_LINK883"/>
      <w:bookmarkStart w:id="29" w:name="OLE_LINK963"/>
      <w:bookmarkStart w:id="30" w:name="OLE_LINK984"/>
      <w:bookmarkStart w:id="31" w:name="OLE_LINK996"/>
      <w:bookmarkStart w:id="32" w:name="OLE_LINK1057"/>
      <w:bookmarkStart w:id="33" w:name="OLE_LINK965"/>
      <w:bookmarkStart w:id="34" w:name="OLE_LINK966"/>
      <w:bookmarkStart w:id="35" w:name="OLE_LINK969"/>
      <w:bookmarkStart w:id="36" w:name="OLE_LINK1011"/>
      <w:bookmarkStart w:id="37" w:name="OLE_LINK1317"/>
      <w:bookmarkStart w:id="38" w:name="OLE_LINK1318"/>
      <w:bookmarkStart w:id="39" w:name="OLE_LINK37"/>
      <w:bookmarkStart w:id="40" w:name="OLE_LINK47"/>
      <w:bookmarkStart w:id="41" w:name="OLE_LINK1726"/>
      <w:bookmarkStart w:id="42" w:name="OLE_LINK1748"/>
      <w:bookmarkStart w:id="43" w:name="OLE_LINK1780"/>
      <w:bookmarkStart w:id="44" w:name="OLE_LINK1781"/>
      <w:bookmarkStart w:id="45" w:name="OLE_LINK1796"/>
      <w:bookmarkStart w:id="46" w:name="OLE_LINK1797"/>
      <w:bookmarkStart w:id="47" w:name="OLE_LINK1956"/>
      <w:bookmarkStart w:id="48" w:name="OLE_LINK1957"/>
      <w:bookmarkStart w:id="49" w:name="OLE_LINK1823"/>
      <w:bookmarkStart w:id="50" w:name="OLE_LINK1830"/>
      <w:bookmarkStart w:id="51" w:name="OLE_LINK1831"/>
      <w:bookmarkStart w:id="52" w:name="OLE_LINK1836"/>
      <w:bookmarkStart w:id="53" w:name="OLE_LINK1838"/>
      <w:bookmarkStart w:id="54" w:name="OLE_LINK1859"/>
      <w:bookmarkStart w:id="55" w:name="OLE_LINK1996"/>
      <w:bookmarkStart w:id="56" w:name="OLE_LINK1997"/>
      <w:bookmarkStart w:id="57" w:name="OLE_LINK2213"/>
      <w:bookmarkStart w:id="58" w:name="OLE_LINK2214"/>
      <w:bookmarkStart w:id="59" w:name="OLE_LINK2293"/>
      <w:bookmarkStart w:id="60" w:name="OLE_LINK2558"/>
      <w:bookmarkStart w:id="61" w:name="OLE_LINK2579"/>
      <w:bookmarkStart w:id="62" w:name="OLE_LINK2580"/>
      <w:bookmarkStart w:id="63" w:name="OLE_LINK2564"/>
      <w:bookmarkStart w:id="64" w:name="OLE_LINK2565"/>
      <w:bookmarkStart w:id="65" w:name="OLE_LINK2574"/>
      <w:bookmarkStart w:id="66" w:name="OLE_LINK2790"/>
      <w:bookmarkStart w:id="67" w:name="OLE_LINK2817"/>
      <w:bookmarkStart w:id="68" w:name="OLE_LINK2818"/>
      <w:bookmarkStart w:id="69" w:name="OLE_LINK2798"/>
      <w:bookmarkStart w:id="70" w:name="OLE_LINK2592"/>
      <w:bookmarkStart w:id="71" w:name="OLE_LINK2594"/>
      <w:r w:rsidRPr="00BD2C91">
        <w:rPr>
          <w:rFonts w:ascii="Book Antiqua" w:hAnsi="Book Antiqua"/>
          <w:color w:val="000000"/>
        </w:rPr>
        <w:t>μ</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BD2C91">
        <w:rPr>
          <w:rFonts w:ascii="Book Antiqua" w:hAnsi="Book Antiqua"/>
          <w:color w:val="000000"/>
        </w:rPr>
        <w:t>g/L after three cycles of chemotherapy, and the patient remains stable six months after the diagnosis of metastatic HA of the colon.</w:t>
      </w:r>
    </w:p>
    <w:p w:rsidR="00934A47" w:rsidRPr="00BD2C91" w:rsidRDefault="00934A47" w:rsidP="000950A8">
      <w:pPr>
        <w:spacing w:line="360" w:lineRule="auto"/>
        <w:jc w:val="both"/>
        <w:rPr>
          <w:rFonts w:ascii="Book Antiqua" w:hAnsi="Book Antiqua"/>
          <w:b/>
          <w:color w:val="000000"/>
        </w:rPr>
      </w:pPr>
    </w:p>
    <w:p w:rsidR="00934A47" w:rsidRPr="00BD2C91" w:rsidRDefault="00934A47" w:rsidP="000950A8">
      <w:pPr>
        <w:spacing w:line="360" w:lineRule="auto"/>
        <w:jc w:val="both"/>
        <w:rPr>
          <w:rFonts w:ascii="Book Antiqua" w:hAnsi="Book Antiqua"/>
          <w:b/>
          <w:color w:val="000000"/>
        </w:rPr>
      </w:pPr>
      <w:r w:rsidRPr="00BD2C91">
        <w:rPr>
          <w:rFonts w:ascii="Book Antiqua" w:hAnsi="Book Antiqua"/>
          <w:b/>
          <w:color w:val="000000"/>
        </w:rPr>
        <w:t xml:space="preserve">DISCUSSION </w:t>
      </w:r>
    </w:p>
    <w:p w:rsidR="00934A47" w:rsidRPr="00BD2C91" w:rsidRDefault="00934A47" w:rsidP="000950A8">
      <w:pPr>
        <w:spacing w:line="360" w:lineRule="auto"/>
        <w:jc w:val="both"/>
        <w:rPr>
          <w:rFonts w:ascii="Book Antiqua" w:hAnsi="Book Antiqua"/>
          <w:color w:val="000000"/>
        </w:rPr>
      </w:pPr>
      <w:r w:rsidRPr="00BD2C91">
        <w:rPr>
          <w:rFonts w:ascii="Book Antiqua" w:hAnsi="Book Antiqua"/>
          <w:color w:val="000000"/>
        </w:rPr>
        <w:t>This case describes a patient with long-standing ulcerative colitis and primary sclerosing cholangitis who was diagnosed with metastatic colonic HA that was denoted by markedly elevated AFP levels. To the best of our knowledge, this is the first reported case of two synchronous colonic cancers with divergent histologic subtypes arising in a background of PSC-IBD. HA of the colon or rectum is distinctly rare, representing only 2% of all reported cases</w:t>
      </w:r>
      <w:r w:rsidRPr="00BD2C91">
        <w:rPr>
          <w:rFonts w:ascii="Book Antiqua" w:hAnsi="Book Antiqua"/>
          <w:color w:val="000000"/>
          <w:vertAlign w:val="superscript"/>
        </w:rPr>
        <w:t>[7]</w:t>
      </w:r>
      <w:r w:rsidRPr="00BD2C91">
        <w:rPr>
          <w:rFonts w:ascii="Book Antiqua" w:hAnsi="Book Antiqua"/>
          <w:color w:val="000000"/>
        </w:rPr>
        <w:t xml:space="preserve">. Four of the </w:t>
      </w:r>
      <w:r w:rsidRPr="00BD2C91">
        <w:rPr>
          <w:rFonts w:ascii="Book Antiqua" w:hAnsi="Book Antiqua"/>
          <w:color w:val="000000"/>
        </w:rPr>
        <w:lastRenderedPageBreak/>
        <w:t>seven previously reported cases of colonic HA were associated with IBD</w:t>
      </w:r>
      <w:r w:rsidRPr="00BD2C91">
        <w:rPr>
          <w:rFonts w:ascii="Book Antiqua" w:hAnsi="Book Antiqua"/>
          <w:color w:val="000000"/>
          <w:vertAlign w:val="superscript"/>
        </w:rPr>
        <w:t>[8-11]</w:t>
      </w:r>
      <w:r w:rsidRPr="00BD2C91">
        <w:rPr>
          <w:rFonts w:ascii="Book Antiqua" w:hAnsi="Book Antiqua"/>
          <w:color w:val="000000"/>
        </w:rPr>
        <w:t>. This strong correlation with IBD may be related to the ongoing chronic inflammation in these patients, but to date, no causal link has been established. A review of 271 patients showed that HA occurs predominantly in males (male:female = 2.3:1), with a median age of 63.0 ± 12.8 years (range: 21 to 100 years)</w:t>
      </w:r>
      <w:r w:rsidRPr="00BD2C91">
        <w:rPr>
          <w:rFonts w:ascii="Book Antiqua" w:hAnsi="Book Antiqua"/>
          <w:color w:val="000000"/>
          <w:vertAlign w:val="superscript"/>
        </w:rPr>
        <w:t>[6]</w:t>
      </w:r>
      <w:r w:rsidRPr="00BD2C91">
        <w:rPr>
          <w:rFonts w:ascii="Book Antiqua" w:hAnsi="Book Antiqua"/>
          <w:color w:val="000000"/>
        </w:rPr>
        <w:t>. The majority of the patients (84.8%) had elevated serum AFP levels, ranging from &lt;</w:t>
      </w:r>
      <w:r w:rsidRPr="00BD2C91">
        <w:rPr>
          <w:rFonts w:ascii="Book Antiqua" w:hAnsi="Book Antiqua"/>
          <w:color w:val="000000"/>
          <w:lang w:eastAsia="zh-CN"/>
        </w:rPr>
        <w:t xml:space="preserve"> </w:t>
      </w:r>
      <w:r w:rsidRPr="00BD2C91">
        <w:rPr>
          <w:rFonts w:ascii="Book Antiqua" w:hAnsi="Book Antiqua"/>
          <w:color w:val="000000"/>
        </w:rPr>
        <w:t>1.0 to 475000 μg/L. AFP, a glycoprotein produced in large amounts in the fetus, is found at a concentration of &lt;</w:t>
      </w:r>
      <w:r w:rsidRPr="00BD2C91">
        <w:rPr>
          <w:rFonts w:ascii="Book Antiqua" w:hAnsi="Book Antiqua"/>
          <w:color w:val="000000"/>
          <w:lang w:eastAsia="zh-CN"/>
        </w:rPr>
        <w:t xml:space="preserve"> </w:t>
      </w:r>
      <w:r w:rsidRPr="00BD2C91">
        <w:rPr>
          <w:rFonts w:ascii="Book Antiqua" w:hAnsi="Book Antiqua"/>
          <w:color w:val="000000"/>
        </w:rPr>
        <w:t>10 μg/L in healthy adult individuals and is mildly elevated in benign liver diseases, such as hepatitis and cirrhosis. AFP levels are also mildly elevated in HCC and other tumors, including non-seminomatous germ cell tumors, pancreatic ductal and gallbladder adenocarcinomata, and gastrointestinal tract carcinomata. Although a small percentage of HA do not produce AFP (15.2%)</w:t>
      </w:r>
      <w:r w:rsidRPr="00BD2C91">
        <w:rPr>
          <w:rFonts w:ascii="Book Antiqua" w:hAnsi="Book Antiqua"/>
          <w:color w:val="000000"/>
          <w:vertAlign w:val="superscript"/>
        </w:rPr>
        <w:t>[6]</w:t>
      </w:r>
      <w:r w:rsidRPr="00BD2C91">
        <w:rPr>
          <w:rFonts w:ascii="Book Antiqua" w:hAnsi="Book Antiqua"/>
          <w:color w:val="000000"/>
        </w:rPr>
        <w:t>,</w:t>
      </w:r>
      <w:r w:rsidRPr="00BD2C91">
        <w:rPr>
          <w:rFonts w:ascii="Book Antiqua" w:hAnsi="Book Antiqua"/>
          <w:color w:val="000000"/>
          <w:vertAlign w:val="subscript"/>
        </w:rPr>
        <w:t xml:space="preserve"> </w:t>
      </w:r>
      <w:r w:rsidRPr="00BD2C91">
        <w:rPr>
          <w:rFonts w:ascii="Book Antiqua" w:hAnsi="Book Antiqua"/>
          <w:color w:val="000000"/>
        </w:rPr>
        <w:t>histologic examination of AFP immunoreactivity remains the gold standard</w:t>
      </w:r>
      <w:r w:rsidRPr="00BD2C91" w:rsidDel="00D1099B">
        <w:rPr>
          <w:rFonts w:ascii="Book Antiqua" w:hAnsi="Book Antiqua"/>
          <w:color w:val="000000"/>
        </w:rPr>
        <w:t xml:space="preserve"> </w:t>
      </w:r>
      <w:r w:rsidRPr="00BD2C91">
        <w:rPr>
          <w:rFonts w:ascii="Book Antiqua" w:hAnsi="Book Antiqua"/>
          <w:color w:val="000000"/>
        </w:rPr>
        <w:t>for diagnosis.</w:t>
      </w:r>
    </w:p>
    <w:p w:rsidR="00934A47" w:rsidRPr="00BD2C91" w:rsidRDefault="00934A47" w:rsidP="000950A8">
      <w:pPr>
        <w:spacing w:line="360" w:lineRule="auto"/>
        <w:jc w:val="both"/>
        <w:rPr>
          <w:rFonts w:ascii="Book Antiqua" w:hAnsi="Book Antiqua"/>
          <w:color w:val="000000"/>
        </w:rPr>
      </w:pPr>
      <w:r w:rsidRPr="00BD2C91">
        <w:rPr>
          <w:rFonts w:ascii="Book Antiqua" w:hAnsi="Book Antiqua"/>
          <w:color w:val="000000"/>
        </w:rPr>
        <w:tab/>
        <w:t>The treatment of HAs involves surgical resection of the tumor, followed by organ specific adjuvant chemotherapy. FOLFOX or FOLFIRI (</w:t>
      </w:r>
      <w:r w:rsidRPr="00BD2C91">
        <w:rPr>
          <w:rFonts w:ascii="Book Antiqua" w:hAnsi="Book Antiqua" w:cs="Arial"/>
          <w:color w:val="000000"/>
        </w:rPr>
        <w:t>leucovorin, 5-fluorouracil, irinotecan)</w:t>
      </w:r>
      <w:r w:rsidRPr="00BD2C91">
        <w:rPr>
          <w:rFonts w:ascii="Book Antiqua" w:hAnsi="Book Antiqua"/>
          <w:color w:val="000000"/>
        </w:rPr>
        <w:t xml:space="preserve"> regimens are the treatment of choice for patients with colorectal HA, though outcomes vary significantly. For example, Cappetta </w:t>
      </w:r>
      <w:r w:rsidRPr="00BD2C91">
        <w:rPr>
          <w:rFonts w:ascii="Book Antiqua" w:hAnsi="Book Antiqua"/>
          <w:i/>
          <w:color w:val="000000"/>
        </w:rPr>
        <w:t>et al</w:t>
      </w:r>
      <w:r w:rsidRPr="00BD2C91">
        <w:rPr>
          <w:rFonts w:ascii="Book Antiqua" w:hAnsi="Book Antiqua"/>
          <w:color w:val="000000"/>
          <w:vertAlign w:val="superscript"/>
          <w:lang w:eastAsia="zh-CN"/>
        </w:rPr>
        <w:t>[11]</w:t>
      </w:r>
      <w:r w:rsidRPr="00BD2C91">
        <w:rPr>
          <w:rFonts w:ascii="Book Antiqua" w:hAnsi="Book Antiqua"/>
          <w:color w:val="000000"/>
          <w:vertAlign w:val="subscript"/>
        </w:rPr>
        <w:t xml:space="preserve"> </w:t>
      </w:r>
      <w:r w:rsidRPr="00BD2C91">
        <w:rPr>
          <w:rFonts w:ascii="Book Antiqua" w:hAnsi="Book Antiqua"/>
          <w:color w:val="000000"/>
        </w:rPr>
        <w:t xml:space="preserve">reported a 75-year-old female colonic HA patient who had a poor response to surgical resection and standard chemotherapy for colorectal cancer (FOLFOX-4 and later FOLFIRI plus bevacizumab), whereas Slotta </w:t>
      </w:r>
      <w:r w:rsidRPr="00BD2C91">
        <w:rPr>
          <w:rFonts w:ascii="Book Antiqua" w:hAnsi="Book Antiqua"/>
          <w:i/>
          <w:color w:val="000000"/>
        </w:rPr>
        <w:t>et al</w:t>
      </w:r>
      <w:r w:rsidRPr="00BD2C91">
        <w:rPr>
          <w:rFonts w:ascii="Book Antiqua" w:hAnsi="Book Antiqua"/>
          <w:color w:val="000000"/>
          <w:vertAlign w:val="superscript"/>
          <w:lang w:eastAsia="zh-CN"/>
        </w:rPr>
        <w:t>[7]</w:t>
      </w:r>
      <w:r w:rsidRPr="00BD2C91">
        <w:rPr>
          <w:rFonts w:ascii="Book Antiqua" w:hAnsi="Book Antiqua"/>
          <w:color w:val="000000"/>
        </w:rPr>
        <w:t xml:space="preserve"> reported a 59-year-old female patient with a 27-mo</w:t>
      </w:r>
      <w:r w:rsidRPr="00BD2C91">
        <w:rPr>
          <w:rFonts w:ascii="Book Antiqua" w:hAnsi="Book Antiqua"/>
          <w:color w:val="000000"/>
          <w:lang w:eastAsia="zh-CN"/>
        </w:rPr>
        <w:t xml:space="preserve"> </w:t>
      </w:r>
      <w:r w:rsidRPr="00BD2C91">
        <w:rPr>
          <w:rFonts w:ascii="Book Antiqua" w:hAnsi="Book Antiqua"/>
          <w:color w:val="000000"/>
        </w:rPr>
        <w:t>recurrence-free survival after surgical resection and adjuvant chemotherapy (FOLFOX-4).</w:t>
      </w:r>
      <w:r w:rsidRPr="00BD2C91">
        <w:rPr>
          <w:rFonts w:ascii="Book Antiqua" w:hAnsi="Book Antiqua"/>
          <w:color w:val="000000"/>
          <w:vertAlign w:val="subscript"/>
        </w:rPr>
        <w:t xml:space="preserve"> </w:t>
      </w:r>
      <w:r w:rsidRPr="00BD2C91">
        <w:rPr>
          <w:rFonts w:ascii="Book Antiqua" w:hAnsi="Book Antiqua"/>
          <w:color w:val="000000"/>
        </w:rPr>
        <w:t xml:space="preserve">Despite combined surgical resection and adjuvant chemotherapy, the overall prognosis for HA patients remains poor in comparison to </w:t>
      </w:r>
      <w:r w:rsidRPr="00BD2C91">
        <w:rPr>
          <w:rFonts w:ascii="Book Antiqua" w:hAnsi="Book Antiqua"/>
          <w:color w:val="000000"/>
          <w:lang w:eastAsia="zh-CN"/>
        </w:rPr>
        <w:t>“</w:t>
      </w:r>
      <w:r w:rsidRPr="00BD2C91">
        <w:rPr>
          <w:rFonts w:ascii="Book Antiqua" w:hAnsi="Book Antiqua"/>
          <w:color w:val="000000"/>
        </w:rPr>
        <w:t>typical</w:t>
      </w:r>
      <w:r w:rsidRPr="00BD2C91">
        <w:rPr>
          <w:rFonts w:ascii="Book Antiqua" w:hAnsi="Book Antiqua"/>
          <w:color w:val="000000"/>
          <w:lang w:eastAsia="zh-CN"/>
        </w:rPr>
        <w:t>”</w:t>
      </w:r>
      <w:r w:rsidRPr="00BD2C91">
        <w:rPr>
          <w:rFonts w:ascii="Book Antiqua" w:hAnsi="Book Antiqua"/>
          <w:color w:val="000000"/>
        </w:rPr>
        <w:t xml:space="preserve"> solid organ tumors. A 55% one-year survival rate for HA has been reported, along with an 11-mo overall median survival that encompasses a wide range depending on the primary tumor site</w:t>
      </w:r>
      <w:r w:rsidRPr="00BD2C91">
        <w:rPr>
          <w:rFonts w:ascii="Book Antiqua" w:hAnsi="Book Antiqua"/>
          <w:color w:val="000000"/>
          <w:vertAlign w:val="superscript"/>
        </w:rPr>
        <w:t>[3]</w:t>
      </w:r>
      <w:r w:rsidRPr="00BD2C91">
        <w:rPr>
          <w:rFonts w:ascii="Book Antiqua" w:hAnsi="Book Antiqua"/>
          <w:color w:val="000000"/>
        </w:rPr>
        <w:t>. The median survival for colorectal HA is 19.4 mo</w:t>
      </w:r>
      <w:r w:rsidRPr="00BD2C91">
        <w:rPr>
          <w:rFonts w:ascii="Book Antiqua" w:hAnsi="Book Antiqua"/>
          <w:color w:val="000000"/>
          <w:vertAlign w:val="superscript"/>
        </w:rPr>
        <w:t>[7]</w:t>
      </w:r>
      <w:r w:rsidRPr="00BD2C91">
        <w:rPr>
          <w:rFonts w:ascii="Book Antiqua" w:hAnsi="Book Antiqua"/>
          <w:color w:val="000000"/>
        </w:rPr>
        <w:t>.</w:t>
      </w:r>
    </w:p>
    <w:p w:rsidR="00934A47" w:rsidRPr="00BD2C91" w:rsidRDefault="00934A47" w:rsidP="000950A8">
      <w:pPr>
        <w:spacing w:line="360" w:lineRule="auto"/>
        <w:jc w:val="both"/>
        <w:rPr>
          <w:rFonts w:ascii="Book Antiqua" w:hAnsi="Book Antiqua"/>
          <w:color w:val="000000"/>
        </w:rPr>
      </w:pPr>
      <w:r w:rsidRPr="00BD2C91">
        <w:rPr>
          <w:rFonts w:ascii="Book Antiqua" w:hAnsi="Book Antiqua"/>
          <w:color w:val="000000"/>
        </w:rPr>
        <w:lastRenderedPageBreak/>
        <w:tab/>
        <w:t>Although the pathogenesis of HA is not clearly understood, it is thought that hepatoid cells originate more proximal to the totipotent cell. This may allow early intravascular proliferation of these tumors, which may explain their poor prognosis</w:t>
      </w:r>
      <w:r w:rsidRPr="00BD2C91">
        <w:rPr>
          <w:rFonts w:ascii="Book Antiqua" w:hAnsi="Book Antiqua"/>
          <w:color w:val="000000"/>
          <w:vertAlign w:val="superscript"/>
        </w:rPr>
        <w:t>[8,11]</w:t>
      </w:r>
      <w:r w:rsidRPr="00BD2C91">
        <w:rPr>
          <w:rFonts w:ascii="Book Antiqua" w:hAnsi="Book Antiqua"/>
          <w:color w:val="000000"/>
        </w:rPr>
        <w:t xml:space="preserve">. This case study exemplifies the clinical importance of serum AFP levels, which, in the absence of a hepatic lesion, can be an indicator of an unsuspected HA. Future studies are needed to understand the mechanism that triggers differentiation to a hepatoid morphology and phenotype, as well as to identify an effective chemotherapy regimen. </w:t>
      </w:r>
    </w:p>
    <w:p w:rsidR="00934A47" w:rsidRPr="00BD2C91" w:rsidRDefault="00934A47" w:rsidP="000950A8">
      <w:pPr>
        <w:spacing w:line="360" w:lineRule="auto"/>
        <w:jc w:val="both"/>
        <w:rPr>
          <w:rFonts w:ascii="Book Antiqua" w:hAnsi="Book Antiqua"/>
          <w:b/>
          <w:color w:val="000000"/>
        </w:rPr>
      </w:pPr>
    </w:p>
    <w:p w:rsidR="00934A47" w:rsidRPr="00BD2C91" w:rsidRDefault="00934A47" w:rsidP="000950A8">
      <w:pPr>
        <w:spacing w:line="360" w:lineRule="auto"/>
        <w:jc w:val="both"/>
        <w:rPr>
          <w:rFonts w:ascii="Book Antiqua" w:hAnsi="Book Antiqua"/>
          <w:b/>
          <w:i/>
          <w:color w:val="000000"/>
        </w:rPr>
      </w:pPr>
      <w:r w:rsidRPr="00BD2C91">
        <w:rPr>
          <w:rFonts w:ascii="Book Antiqua" w:hAnsi="Book Antiqua"/>
          <w:b/>
          <w:color w:val="000000"/>
        </w:rPr>
        <w:t>COMMENTS</w:t>
      </w:r>
      <w:bookmarkStart w:id="72" w:name="OLE_LINK249"/>
      <w:bookmarkStart w:id="73" w:name="OLE_LINK250"/>
    </w:p>
    <w:p w:rsidR="00934A47" w:rsidRPr="00BD2C91" w:rsidRDefault="00934A47" w:rsidP="000950A8">
      <w:pPr>
        <w:spacing w:line="360" w:lineRule="auto"/>
        <w:jc w:val="both"/>
        <w:rPr>
          <w:rFonts w:ascii="Book Antiqua" w:hAnsi="Book Antiqua"/>
          <w:i/>
          <w:color w:val="000000"/>
        </w:rPr>
      </w:pPr>
      <w:r w:rsidRPr="00BD2C91">
        <w:rPr>
          <w:rFonts w:ascii="Book Antiqua" w:hAnsi="Book Antiqua"/>
          <w:b/>
          <w:i/>
          <w:color w:val="000000"/>
        </w:rPr>
        <w:t>Case characteristics</w:t>
      </w:r>
    </w:p>
    <w:p w:rsidR="00934A47" w:rsidRPr="00BD2C91" w:rsidRDefault="00934A47" w:rsidP="000950A8">
      <w:pPr>
        <w:spacing w:line="360" w:lineRule="auto"/>
        <w:jc w:val="both"/>
        <w:rPr>
          <w:rFonts w:ascii="Book Antiqua" w:hAnsi="Book Antiqua" w:cs="Arial"/>
          <w:color w:val="000000"/>
        </w:rPr>
      </w:pPr>
      <w:r w:rsidRPr="00BD2C91">
        <w:rPr>
          <w:rFonts w:ascii="Book Antiqua" w:hAnsi="Book Antiqua" w:cs="Arial"/>
          <w:color w:val="000000"/>
        </w:rPr>
        <w:t xml:space="preserve">A 36-year-old male with a history of ulcerative colitis, primary sclerosing cholangitis, and two colonic carcinomata that was treated with a subtotal colectomy and ileostomy and later presented with increased abdominal girth. </w:t>
      </w:r>
    </w:p>
    <w:p w:rsidR="00934A47" w:rsidRPr="00BD2C91" w:rsidRDefault="00934A47" w:rsidP="000950A8">
      <w:pPr>
        <w:spacing w:line="360" w:lineRule="auto"/>
        <w:jc w:val="both"/>
        <w:rPr>
          <w:rFonts w:ascii="Book Antiqua" w:hAnsi="Book Antiqua"/>
          <w:color w:val="000000"/>
        </w:rPr>
      </w:pPr>
    </w:p>
    <w:p w:rsidR="00934A47" w:rsidRPr="00BD2C91" w:rsidRDefault="00934A47" w:rsidP="000950A8">
      <w:pPr>
        <w:spacing w:line="360" w:lineRule="auto"/>
        <w:jc w:val="both"/>
        <w:rPr>
          <w:rFonts w:ascii="Book Antiqua" w:hAnsi="Book Antiqua" w:cs="宋体"/>
          <w:b/>
          <w:i/>
          <w:color w:val="000000"/>
        </w:rPr>
      </w:pPr>
      <w:r w:rsidRPr="00BD2C91">
        <w:rPr>
          <w:rFonts w:ascii="Book Antiqua" w:hAnsi="Book Antiqua" w:cs="Arial"/>
          <w:b/>
          <w:i/>
          <w:color w:val="000000"/>
        </w:rPr>
        <w:t>Clinical diagnosis</w:t>
      </w:r>
    </w:p>
    <w:p w:rsidR="00934A47" w:rsidRPr="00BD2C91" w:rsidRDefault="00934A47" w:rsidP="000950A8">
      <w:pPr>
        <w:spacing w:line="360" w:lineRule="auto"/>
        <w:jc w:val="both"/>
        <w:rPr>
          <w:rFonts w:ascii="Book Antiqua" w:hAnsi="Book Antiqua"/>
          <w:color w:val="000000"/>
        </w:rPr>
      </w:pPr>
      <w:r w:rsidRPr="00BD2C91">
        <w:rPr>
          <w:rFonts w:ascii="Book Antiqua" w:hAnsi="Book Antiqua"/>
          <w:color w:val="000000"/>
        </w:rPr>
        <w:t xml:space="preserve">Ascites. </w:t>
      </w:r>
    </w:p>
    <w:p w:rsidR="00934A47" w:rsidRPr="00BD2C91" w:rsidRDefault="00934A47" w:rsidP="000950A8">
      <w:pPr>
        <w:spacing w:line="360" w:lineRule="auto"/>
        <w:jc w:val="both"/>
        <w:rPr>
          <w:rFonts w:ascii="Book Antiqua" w:hAnsi="Book Antiqua"/>
          <w:b/>
          <w:color w:val="000000"/>
        </w:rPr>
      </w:pPr>
    </w:p>
    <w:p w:rsidR="00934A47" w:rsidRPr="00BD2C91" w:rsidRDefault="00934A47" w:rsidP="000950A8">
      <w:pPr>
        <w:spacing w:line="360" w:lineRule="auto"/>
        <w:jc w:val="both"/>
        <w:rPr>
          <w:rFonts w:ascii="Book Antiqua" w:hAnsi="Book Antiqua" w:cs="Arial"/>
          <w:b/>
          <w:i/>
          <w:color w:val="000000"/>
        </w:rPr>
      </w:pPr>
      <w:r w:rsidRPr="00BD2C91">
        <w:rPr>
          <w:rFonts w:ascii="Book Antiqua" w:hAnsi="Book Antiqua" w:cs="Arial"/>
          <w:b/>
          <w:i/>
          <w:color w:val="000000"/>
        </w:rPr>
        <w:t>Differential diagnosis</w:t>
      </w:r>
    </w:p>
    <w:p w:rsidR="00934A47" w:rsidRPr="00BD2C91" w:rsidRDefault="00934A47" w:rsidP="000950A8">
      <w:pPr>
        <w:spacing w:line="360" w:lineRule="auto"/>
        <w:jc w:val="both"/>
        <w:rPr>
          <w:rFonts w:ascii="Book Antiqua" w:hAnsi="Book Antiqua" w:cs="Arial"/>
          <w:color w:val="000000"/>
        </w:rPr>
      </w:pPr>
      <w:r w:rsidRPr="00BD2C91">
        <w:rPr>
          <w:rFonts w:ascii="Book Antiqua" w:hAnsi="Book Antiqua" w:cs="Arial"/>
          <w:color w:val="000000"/>
        </w:rPr>
        <w:t xml:space="preserve">Liver cirrhosis, peritoneal carcinomatosis. </w:t>
      </w:r>
    </w:p>
    <w:p w:rsidR="00934A47" w:rsidRPr="00BD2C91" w:rsidRDefault="00934A47" w:rsidP="000950A8">
      <w:pPr>
        <w:spacing w:line="360" w:lineRule="auto"/>
        <w:jc w:val="both"/>
        <w:rPr>
          <w:rFonts w:ascii="Book Antiqua" w:hAnsi="Book Antiqua" w:cs="Arial"/>
          <w:color w:val="000000"/>
        </w:rPr>
      </w:pPr>
    </w:p>
    <w:p w:rsidR="00934A47" w:rsidRPr="00BD2C91" w:rsidRDefault="00934A47" w:rsidP="000950A8">
      <w:pPr>
        <w:spacing w:line="360" w:lineRule="auto"/>
        <w:jc w:val="both"/>
        <w:rPr>
          <w:rFonts w:ascii="Book Antiqua" w:hAnsi="Book Antiqua" w:cs="Arial"/>
          <w:b/>
          <w:i/>
          <w:color w:val="000000"/>
        </w:rPr>
      </w:pPr>
      <w:r w:rsidRPr="00BD2C91">
        <w:rPr>
          <w:rFonts w:ascii="Book Antiqua" w:hAnsi="Book Antiqua" w:cs="Arial"/>
          <w:b/>
          <w:i/>
          <w:color w:val="000000"/>
        </w:rPr>
        <w:t>Laboratory diagnosis</w:t>
      </w:r>
    </w:p>
    <w:p w:rsidR="00934A47" w:rsidRPr="00BD2C91" w:rsidRDefault="00934A47" w:rsidP="000950A8">
      <w:pPr>
        <w:spacing w:line="360" w:lineRule="auto"/>
        <w:jc w:val="both"/>
        <w:rPr>
          <w:rFonts w:ascii="Book Antiqua" w:hAnsi="Book Antiqua" w:cs="Arial"/>
          <w:color w:val="000000"/>
        </w:rPr>
      </w:pPr>
      <w:r w:rsidRPr="00BD2C91">
        <w:rPr>
          <w:rFonts w:ascii="Book Antiqua" w:hAnsi="Book Antiqua" w:cs="Arial"/>
          <w:color w:val="000000"/>
        </w:rPr>
        <w:t xml:space="preserve">Marked elevation of alpha-fetoprotein (AFP; 4896 </w:t>
      </w:r>
      <w:r w:rsidRPr="00BD2C91">
        <w:rPr>
          <w:rFonts w:ascii="Book Antiqua" w:hAnsi="Book Antiqua"/>
          <w:color w:val="000000"/>
        </w:rPr>
        <w:t>μ</w:t>
      </w:r>
      <w:r w:rsidRPr="00BD2C91">
        <w:rPr>
          <w:rFonts w:ascii="Book Antiqua" w:hAnsi="Book Antiqua" w:cs="Arial"/>
          <w:color w:val="000000"/>
        </w:rPr>
        <w:t xml:space="preserve">g/L) that had slowly increased over a period of 12 mo. </w:t>
      </w:r>
    </w:p>
    <w:p w:rsidR="00934A47" w:rsidRPr="00BD2C91" w:rsidRDefault="00934A47" w:rsidP="000950A8">
      <w:pPr>
        <w:tabs>
          <w:tab w:val="center" w:pos="4153"/>
        </w:tabs>
        <w:spacing w:line="360" w:lineRule="auto"/>
        <w:jc w:val="both"/>
        <w:rPr>
          <w:rFonts w:ascii="Book Antiqua" w:hAnsi="Book Antiqua" w:cs="Arial"/>
          <w:color w:val="000000"/>
        </w:rPr>
      </w:pPr>
    </w:p>
    <w:p w:rsidR="00934A47" w:rsidRPr="00BD2C91" w:rsidRDefault="00934A47" w:rsidP="000950A8">
      <w:pPr>
        <w:tabs>
          <w:tab w:val="center" w:pos="4153"/>
        </w:tabs>
        <w:spacing w:line="360" w:lineRule="auto"/>
        <w:jc w:val="both"/>
        <w:rPr>
          <w:rFonts w:ascii="Book Antiqua" w:hAnsi="Book Antiqua" w:cs="Arial"/>
          <w:b/>
          <w:i/>
          <w:color w:val="000000"/>
        </w:rPr>
      </w:pPr>
      <w:r w:rsidRPr="00BD2C91">
        <w:rPr>
          <w:rFonts w:ascii="Book Antiqua" w:hAnsi="Book Antiqua" w:cs="Arial"/>
          <w:b/>
          <w:i/>
          <w:color w:val="000000"/>
        </w:rPr>
        <w:t>Imaging diagnosis</w:t>
      </w:r>
    </w:p>
    <w:p w:rsidR="00934A47" w:rsidRPr="00BD2C91" w:rsidRDefault="00934A47" w:rsidP="000950A8">
      <w:pPr>
        <w:spacing w:line="360" w:lineRule="auto"/>
        <w:jc w:val="both"/>
        <w:rPr>
          <w:rFonts w:ascii="Book Antiqua" w:hAnsi="Book Antiqua" w:cs="Arial"/>
          <w:color w:val="000000"/>
        </w:rPr>
      </w:pPr>
      <w:r w:rsidRPr="00BD2C91">
        <w:rPr>
          <w:rFonts w:ascii="Book Antiqua" w:hAnsi="Book Antiqua" w:cs="Arial"/>
          <w:color w:val="000000"/>
        </w:rPr>
        <w:t xml:space="preserve">Positron emission tomography (PET) scan showed multiple PET-positive paraaortic lymph nodes and one left inguinal lymph node. </w:t>
      </w:r>
    </w:p>
    <w:p w:rsidR="00934A47" w:rsidRPr="00BD2C91" w:rsidRDefault="00934A47" w:rsidP="000950A8">
      <w:pPr>
        <w:spacing w:line="360" w:lineRule="auto"/>
        <w:jc w:val="both"/>
        <w:rPr>
          <w:rFonts w:ascii="Book Antiqua" w:hAnsi="Book Antiqua" w:cs="Arial"/>
          <w:color w:val="000000"/>
        </w:rPr>
      </w:pPr>
    </w:p>
    <w:p w:rsidR="00934A47" w:rsidRPr="00BD2C91" w:rsidRDefault="00934A47" w:rsidP="000950A8">
      <w:pPr>
        <w:spacing w:line="360" w:lineRule="auto"/>
        <w:jc w:val="both"/>
        <w:rPr>
          <w:rFonts w:ascii="Book Antiqua" w:hAnsi="Book Antiqua" w:cs="Arial"/>
          <w:b/>
          <w:i/>
          <w:color w:val="000000"/>
        </w:rPr>
      </w:pPr>
      <w:r w:rsidRPr="00BD2C91">
        <w:rPr>
          <w:rFonts w:ascii="Book Antiqua" w:hAnsi="Book Antiqua" w:cs="Arial"/>
          <w:b/>
          <w:i/>
          <w:color w:val="000000"/>
        </w:rPr>
        <w:lastRenderedPageBreak/>
        <w:t>Pathological diagnosis</w:t>
      </w:r>
    </w:p>
    <w:p w:rsidR="00934A47" w:rsidRPr="00BD2C91" w:rsidRDefault="00934A47" w:rsidP="000950A8">
      <w:pPr>
        <w:spacing w:line="360" w:lineRule="auto"/>
        <w:jc w:val="both"/>
        <w:rPr>
          <w:rFonts w:ascii="Book Antiqua" w:hAnsi="Book Antiqua" w:cs="Arial"/>
          <w:color w:val="000000"/>
        </w:rPr>
      </w:pPr>
      <w:r w:rsidRPr="00BD2C91">
        <w:rPr>
          <w:rFonts w:ascii="Book Antiqua" w:hAnsi="Book Antiqua" w:cs="Arial"/>
          <w:color w:val="000000"/>
        </w:rPr>
        <w:t>F</w:t>
      </w:r>
      <w:r w:rsidRPr="00BD2C91">
        <w:rPr>
          <w:rFonts w:ascii="Book Antiqua" w:hAnsi="Book Antiqua"/>
          <w:color w:val="000000"/>
        </w:rPr>
        <w:t>ine needle aspiration</w:t>
      </w:r>
      <w:r w:rsidRPr="00BD2C91">
        <w:rPr>
          <w:rFonts w:ascii="Book Antiqua" w:hAnsi="Book Antiqua" w:cs="Arial"/>
          <w:color w:val="000000"/>
        </w:rPr>
        <w:t xml:space="preserve"> biopsy of the porta hepatis lymph node showed metastatic carcinoma and positive AFP and </w:t>
      </w:r>
      <w:r w:rsidRPr="00BD2C91">
        <w:rPr>
          <w:rFonts w:ascii="Book Antiqua" w:hAnsi="Book Antiqua"/>
          <w:color w:val="000000"/>
        </w:rPr>
        <w:t>caudal-related homeobox transcription factor 2 (</w:t>
      </w:r>
      <w:r w:rsidRPr="00BD2C91">
        <w:rPr>
          <w:rFonts w:ascii="Book Antiqua" w:hAnsi="Book Antiqua" w:cs="Arial"/>
          <w:color w:val="000000"/>
        </w:rPr>
        <w:t xml:space="preserve">CDX-2) immunostaining. One of the original colonic tumor specimens demonstrated histologic features suggestive of hepatoid adenocarcinoma (HA) and stained positive for AFP, CDX-2, and hepatocyte specific antigen. </w:t>
      </w:r>
    </w:p>
    <w:p w:rsidR="00934A47" w:rsidRPr="00BD2C91" w:rsidRDefault="00934A47" w:rsidP="000950A8">
      <w:pPr>
        <w:spacing w:line="360" w:lineRule="auto"/>
        <w:jc w:val="both"/>
        <w:rPr>
          <w:rFonts w:ascii="Book Antiqua" w:hAnsi="Book Antiqua" w:cs="Arial"/>
          <w:b/>
          <w:color w:val="000000"/>
        </w:rPr>
      </w:pPr>
    </w:p>
    <w:p w:rsidR="00934A47" w:rsidRPr="00BD2C91" w:rsidRDefault="00934A47" w:rsidP="000950A8">
      <w:pPr>
        <w:spacing w:line="360" w:lineRule="auto"/>
        <w:jc w:val="both"/>
        <w:rPr>
          <w:rFonts w:ascii="Book Antiqua" w:hAnsi="Book Antiqua" w:cs="Arial"/>
          <w:b/>
          <w:i/>
          <w:color w:val="000000"/>
        </w:rPr>
      </w:pPr>
      <w:r w:rsidRPr="00BD2C91">
        <w:rPr>
          <w:rFonts w:ascii="Book Antiqua" w:hAnsi="Book Antiqua" w:cs="Arial"/>
          <w:b/>
          <w:i/>
          <w:color w:val="000000"/>
        </w:rPr>
        <w:t>Treatment</w:t>
      </w:r>
    </w:p>
    <w:p w:rsidR="00934A47" w:rsidRPr="00BD2C91" w:rsidRDefault="00934A47" w:rsidP="000950A8">
      <w:pPr>
        <w:spacing w:line="360" w:lineRule="auto"/>
        <w:jc w:val="both"/>
        <w:rPr>
          <w:rFonts w:ascii="Book Antiqua" w:hAnsi="Book Antiqua" w:cs="Arial"/>
          <w:color w:val="000000"/>
        </w:rPr>
      </w:pPr>
      <w:r w:rsidRPr="00BD2C91">
        <w:rPr>
          <w:rFonts w:ascii="Book Antiqua" w:hAnsi="Book Antiqua" w:cs="Arial"/>
          <w:color w:val="000000"/>
        </w:rPr>
        <w:t>The patient was treated with chemotherapy FOLFOX (</w:t>
      </w:r>
      <w:r w:rsidRPr="00BD2C91">
        <w:rPr>
          <w:rFonts w:ascii="Book Antiqua" w:hAnsi="Book Antiqua"/>
          <w:color w:val="000000"/>
        </w:rPr>
        <w:t>oxaliplatin, leucovorin, 5-fluorouracil</w:t>
      </w:r>
      <w:r w:rsidRPr="00BD2C91">
        <w:rPr>
          <w:rFonts w:ascii="Book Antiqua" w:hAnsi="Book Antiqua" w:cs="Arial"/>
          <w:color w:val="000000"/>
        </w:rPr>
        <w:t xml:space="preserve">) in combination with bevacizumab. </w:t>
      </w:r>
    </w:p>
    <w:p w:rsidR="00934A47" w:rsidRPr="00BD2C91" w:rsidRDefault="00934A47" w:rsidP="000950A8">
      <w:pPr>
        <w:spacing w:line="360" w:lineRule="auto"/>
        <w:jc w:val="both"/>
        <w:rPr>
          <w:rFonts w:ascii="Book Antiqua" w:hAnsi="Book Antiqua" w:cs="Arial"/>
          <w:color w:val="000000"/>
        </w:rPr>
      </w:pPr>
    </w:p>
    <w:p w:rsidR="00934A47" w:rsidRPr="00BD2C91" w:rsidRDefault="00934A47" w:rsidP="000950A8">
      <w:pPr>
        <w:spacing w:line="360" w:lineRule="auto"/>
        <w:jc w:val="both"/>
        <w:rPr>
          <w:rFonts w:ascii="Book Antiqua" w:hAnsi="Book Antiqua" w:cs="Arial"/>
          <w:b/>
          <w:i/>
          <w:color w:val="000000"/>
        </w:rPr>
      </w:pPr>
      <w:r w:rsidRPr="00BD2C91">
        <w:rPr>
          <w:rFonts w:ascii="Book Antiqua" w:hAnsi="Book Antiqua"/>
          <w:b/>
          <w:i/>
          <w:color w:val="000000"/>
        </w:rPr>
        <w:t>Related reports</w:t>
      </w:r>
    </w:p>
    <w:p w:rsidR="00934A47" w:rsidRPr="00BD2C91" w:rsidRDefault="00934A47" w:rsidP="000950A8">
      <w:pPr>
        <w:spacing w:line="360" w:lineRule="auto"/>
        <w:jc w:val="both"/>
        <w:rPr>
          <w:rFonts w:ascii="Book Antiqua" w:hAnsi="Book Antiqua" w:cs="Arial"/>
          <w:color w:val="000000"/>
        </w:rPr>
      </w:pPr>
      <w:r w:rsidRPr="00BD2C91">
        <w:rPr>
          <w:rFonts w:ascii="Book Antiqua" w:hAnsi="Book Antiqua" w:cs="Arial"/>
          <w:color w:val="000000"/>
        </w:rPr>
        <w:t xml:space="preserve">The tumor biology of HA is not very well understood and its recurrence cannot be reliably predicted. </w:t>
      </w:r>
    </w:p>
    <w:p w:rsidR="00934A47" w:rsidRPr="00BD2C91" w:rsidRDefault="00934A47" w:rsidP="000950A8">
      <w:pPr>
        <w:spacing w:line="360" w:lineRule="auto"/>
        <w:jc w:val="both"/>
        <w:rPr>
          <w:rFonts w:ascii="Book Antiqua" w:hAnsi="Book Antiqua" w:cs="Arial"/>
          <w:color w:val="000000"/>
        </w:rPr>
      </w:pPr>
    </w:p>
    <w:p w:rsidR="00934A47" w:rsidRPr="00BD2C91" w:rsidRDefault="00934A47" w:rsidP="000950A8">
      <w:pPr>
        <w:spacing w:line="360" w:lineRule="auto"/>
        <w:jc w:val="both"/>
        <w:rPr>
          <w:rFonts w:ascii="Book Antiqua" w:hAnsi="Book Antiqua"/>
          <w:b/>
          <w:i/>
          <w:color w:val="000000"/>
        </w:rPr>
      </w:pPr>
      <w:r w:rsidRPr="00BD2C91">
        <w:rPr>
          <w:rFonts w:ascii="Book Antiqua" w:hAnsi="Book Antiqua"/>
          <w:b/>
          <w:i/>
          <w:color w:val="000000"/>
        </w:rPr>
        <w:t xml:space="preserve">Term explanation </w:t>
      </w:r>
    </w:p>
    <w:p w:rsidR="00934A47" w:rsidRPr="00BD2C91" w:rsidRDefault="00934A47" w:rsidP="000950A8">
      <w:pPr>
        <w:spacing w:line="360" w:lineRule="auto"/>
        <w:jc w:val="both"/>
        <w:rPr>
          <w:rFonts w:ascii="Book Antiqua" w:hAnsi="Book Antiqua" w:cs="Arial"/>
          <w:color w:val="000000"/>
        </w:rPr>
      </w:pPr>
      <w:r w:rsidRPr="00BD2C91">
        <w:rPr>
          <w:rFonts w:ascii="Book Antiqua" w:hAnsi="Book Antiqua" w:cs="Arial"/>
          <w:color w:val="000000"/>
        </w:rPr>
        <w:t xml:space="preserve">HA is a rare and aggressive extra-hepatic tumor that displays biochemical and histologic features reminiscent of hepatocellular carcinoma and is often associated with a high serum level of AFP. </w:t>
      </w:r>
    </w:p>
    <w:p w:rsidR="00934A47" w:rsidRPr="00BD2C91" w:rsidRDefault="00934A47" w:rsidP="000950A8">
      <w:pPr>
        <w:spacing w:line="360" w:lineRule="auto"/>
        <w:jc w:val="both"/>
        <w:rPr>
          <w:rFonts w:ascii="Book Antiqua" w:hAnsi="Book Antiqua" w:cs="Arial"/>
          <w:color w:val="000000"/>
        </w:rPr>
      </w:pPr>
    </w:p>
    <w:p w:rsidR="00934A47" w:rsidRPr="00BD2C91" w:rsidRDefault="00934A47" w:rsidP="000950A8">
      <w:pPr>
        <w:spacing w:line="360" w:lineRule="auto"/>
        <w:jc w:val="both"/>
        <w:rPr>
          <w:rFonts w:ascii="Book Antiqua" w:hAnsi="Book Antiqua" w:cs="Arial"/>
          <w:b/>
          <w:i/>
          <w:color w:val="000000"/>
        </w:rPr>
      </w:pPr>
      <w:r w:rsidRPr="00BD2C91">
        <w:rPr>
          <w:rFonts w:ascii="Book Antiqua" w:hAnsi="Book Antiqua" w:cs="Arial"/>
          <w:b/>
          <w:i/>
          <w:color w:val="000000"/>
        </w:rPr>
        <w:t>Experiences and lessons</w:t>
      </w:r>
    </w:p>
    <w:p w:rsidR="00934A47" w:rsidRPr="00BD2C91" w:rsidRDefault="00934A47" w:rsidP="000950A8">
      <w:pPr>
        <w:spacing w:line="360" w:lineRule="auto"/>
        <w:jc w:val="both"/>
        <w:rPr>
          <w:rFonts w:ascii="Book Antiqua" w:hAnsi="Book Antiqua" w:cs="Arial"/>
          <w:color w:val="000000"/>
        </w:rPr>
      </w:pPr>
      <w:r w:rsidRPr="00BD2C91">
        <w:rPr>
          <w:rFonts w:ascii="Book Antiqua" w:hAnsi="Book Antiqua" w:cs="Arial"/>
          <w:color w:val="000000"/>
        </w:rPr>
        <w:t xml:space="preserve">This case not only represents the first reported case of two synchronous colonic cancers with divergent histologic subtypes arising in a background of primary sclerosing cholangitis-associated inflammatory bowel disease, but also addresses the importance of considering HA as a differential diagnosis in patients with an increasing serum AFP level in the absence of a hepatic lesion. </w:t>
      </w:r>
    </w:p>
    <w:p w:rsidR="00934A47" w:rsidRPr="00BD2C91" w:rsidRDefault="00934A47" w:rsidP="000950A8">
      <w:pPr>
        <w:spacing w:line="360" w:lineRule="auto"/>
        <w:jc w:val="both"/>
        <w:rPr>
          <w:rFonts w:ascii="Book Antiqua" w:hAnsi="Book Antiqua" w:cs="Arial"/>
          <w:color w:val="000000"/>
        </w:rPr>
      </w:pPr>
    </w:p>
    <w:p w:rsidR="00934A47" w:rsidRPr="00BD2C91" w:rsidRDefault="00934A47" w:rsidP="000950A8">
      <w:pPr>
        <w:spacing w:line="360" w:lineRule="auto"/>
        <w:jc w:val="both"/>
        <w:rPr>
          <w:rFonts w:ascii="Book Antiqua" w:hAnsi="Book Antiqua"/>
          <w:b/>
          <w:i/>
          <w:color w:val="000000"/>
        </w:rPr>
      </w:pPr>
      <w:r w:rsidRPr="00BD2C91">
        <w:rPr>
          <w:rFonts w:ascii="Book Antiqua" w:hAnsi="Book Antiqua"/>
          <w:b/>
          <w:i/>
          <w:color w:val="000000"/>
        </w:rPr>
        <w:t>Peer review</w:t>
      </w:r>
    </w:p>
    <w:bookmarkEnd w:id="72"/>
    <w:bookmarkEnd w:id="73"/>
    <w:p w:rsidR="00934A47" w:rsidRPr="00BD2C91" w:rsidRDefault="00934A47" w:rsidP="000950A8">
      <w:pPr>
        <w:spacing w:line="360" w:lineRule="auto"/>
        <w:jc w:val="both"/>
        <w:rPr>
          <w:rFonts w:ascii="Book Antiqua" w:hAnsi="Book Antiqua" w:cs="Arial"/>
          <w:color w:val="000000"/>
        </w:rPr>
      </w:pPr>
      <w:r w:rsidRPr="00BD2C91">
        <w:rPr>
          <w:rFonts w:ascii="Book Antiqua" w:hAnsi="Book Antiqua" w:cs="Arial"/>
          <w:color w:val="000000"/>
        </w:rPr>
        <w:lastRenderedPageBreak/>
        <w:t xml:space="preserve">A rare occurrence of colonic HA is reported that was identified by steadily increasing serum AFP levels. </w:t>
      </w:r>
    </w:p>
    <w:p w:rsidR="00934A47" w:rsidRPr="00BD2C91" w:rsidRDefault="00934A47" w:rsidP="00747F83">
      <w:pPr>
        <w:spacing w:line="360" w:lineRule="auto"/>
        <w:rPr>
          <w:rFonts w:ascii="Book Antiqua" w:hAnsi="Book Antiqua"/>
          <w:b/>
          <w:color w:val="000000"/>
          <w:lang w:eastAsia="zh-CN"/>
        </w:rPr>
      </w:pPr>
      <w:r w:rsidRPr="00BD2C91">
        <w:rPr>
          <w:rFonts w:ascii="Book Antiqua" w:hAnsi="Book Antiqua"/>
          <w:b/>
          <w:color w:val="000000"/>
        </w:rPr>
        <w:br w:type="page"/>
      </w:r>
      <w:r w:rsidRPr="00BD2C91">
        <w:rPr>
          <w:rFonts w:ascii="Book Antiqua" w:hAnsi="Book Antiqua"/>
          <w:b/>
          <w:color w:val="000000"/>
        </w:rPr>
        <w:lastRenderedPageBreak/>
        <w:t>REFERENCES</w:t>
      </w:r>
    </w:p>
    <w:p w:rsidR="00934A47" w:rsidRPr="00BD2C91" w:rsidRDefault="00934A47" w:rsidP="00BD2C91">
      <w:pPr>
        <w:rPr>
          <w:rFonts w:ascii="Book Antiqua" w:hAnsi="Book Antiqua" w:cs="宋体"/>
          <w:color w:val="000000"/>
          <w:lang w:eastAsia="zh-CN"/>
        </w:rPr>
      </w:pPr>
      <w:r w:rsidRPr="00BD2C91">
        <w:rPr>
          <w:rFonts w:ascii="Book Antiqua" w:hAnsi="Book Antiqua" w:cs="宋体"/>
          <w:color w:val="000000"/>
          <w:lang w:eastAsia="zh-CN"/>
        </w:rPr>
        <w:t>1 </w:t>
      </w:r>
      <w:r w:rsidRPr="00BD2C91">
        <w:rPr>
          <w:rFonts w:ascii="Book Antiqua" w:hAnsi="Book Antiqua" w:cs="宋体"/>
          <w:b/>
          <w:bCs/>
          <w:color w:val="000000"/>
          <w:lang w:eastAsia="zh-CN"/>
        </w:rPr>
        <w:t>Bourreille J</w:t>
      </w:r>
      <w:r w:rsidRPr="00BD2C91">
        <w:rPr>
          <w:rFonts w:ascii="Book Antiqua" w:hAnsi="Book Antiqua" w:cs="宋体"/>
          <w:color w:val="000000"/>
          <w:lang w:eastAsia="zh-CN"/>
        </w:rPr>
        <w:t>, Metayer P, Sauger F, Matray F, Fondimare A. [Existence of alpha feto protein during gastric-origin secondary cancer of the liver]. </w:t>
      </w:r>
      <w:r w:rsidRPr="00BD2C91">
        <w:rPr>
          <w:rFonts w:ascii="Book Antiqua" w:hAnsi="Book Antiqua" w:cs="宋体"/>
          <w:i/>
          <w:iCs/>
          <w:color w:val="000000"/>
          <w:lang w:eastAsia="zh-CN"/>
        </w:rPr>
        <w:t>Presse Med</w:t>
      </w:r>
      <w:r w:rsidRPr="00BD2C91">
        <w:rPr>
          <w:rFonts w:ascii="Book Antiqua" w:hAnsi="Book Antiqua" w:cs="宋体"/>
          <w:color w:val="000000"/>
          <w:lang w:eastAsia="zh-CN"/>
        </w:rPr>
        <w:t> 1970; </w:t>
      </w:r>
      <w:r w:rsidRPr="00BD2C91">
        <w:rPr>
          <w:rFonts w:ascii="Book Antiqua" w:hAnsi="Book Antiqua" w:cs="宋体"/>
          <w:b/>
          <w:bCs/>
          <w:color w:val="000000"/>
          <w:lang w:eastAsia="zh-CN"/>
        </w:rPr>
        <w:t>78</w:t>
      </w:r>
      <w:r w:rsidRPr="00BD2C91">
        <w:rPr>
          <w:rFonts w:ascii="Book Antiqua" w:hAnsi="Book Antiqua" w:cs="宋体"/>
          <w:color w:val="000000"/>
          <w:lang w:eastAsia="zh-CN"/>
        </w:rPr>
        <w:t>: 1277-1278 [PMID: 5426134]</w:t>
      </w:r>
    </w:p>
    <w:p w:rsidR="00934A47" w:rsidRPr="00BD2C91" w:rsidRDefault="00934A47" w:rsidP="00BD2C91">
      <w:pPr>
        <w:rPr>
          <w:rFonts w:ascii="Book Antiqua" w:hAnsi="Book Antiqua" w:cs="宋体"/>
          <w:color w:val="000000"/>
          <w:lang w:eastAsia="zh-CN"/>
        </w:rPr>
      </w:pPr>
      <w:r w:rsidRPr="00BD2C91">
        <w:rPr>
          <w:rFonts w:ascii="Book Antiqua" w:hAnsi="Book Antiqua" w:cs="宋体"/>
          <w:color w:val="000000"/>
          <w:lang w:eastAsia="zh-CN"/>
        </w:rPr>
        <w:t>2 </w:t>
      </w:r>
      <w:r w:rsidRPr="00BD2C91">
        <w:rPr>
          <w:rFonts w:ascii="Book Antiqua" w:hAnsi="Book Antiqua" w:cs="宋体"/>
          <w:b/>
          <w:bCs/>
          <w:color w:val="000000"/>
          <w:lang w:eastAsia="zh-CN"/>
        </w:rPr>
        <w:t>Ishikura H</w:t>
      </w:r>
      <w:r w:rsidRPr="00BD2C91">
        <w:rPr>
          <w:rFonts w:ascii="Book Antiqua" w:hAnsi="Book Antiqua" w:cs="宋体"/>
          <w:color w:val="000000"/>
          <w:lang w:eastAsia="zh-CN"/>
        </w:rPr>
        <w:t>, Kirimoto K, Shamoto M, Miyamoto Y, Yamagiwa H, Itoh T, Aizawa M. Hepatoid adenocarcinomas of the stomach. An analysis of seven cases. </w:t>
      </w:r>
      <w:r w:rsidRPr="00BD2C91">
        <w:rPr>
          <w:rFonts w:ascii="Book Antiqua" w:hAnsi="Book Antiqua" w:cs="宋体"/>
          <w:i/>
          <w:iCs/>
          <w:color w:val="000000"/>
          <w:lang w:eastAsia="zh-CN"/>
        </w:rPr>
        <w:t>Cancer</w:t>
      </w:r>
      <w:r w:rsidRPr="00BD2C91">
        <w:rPr>
          <w:rFonts w:ascii="Book Antiqua" w:hAnsi="Book Antiqua" w:cs="宋体"/>
          <w:color w:val="000000"/>
          <w:lang w:eastAsia="zh-CN"/>
        </w:rPr>
        <w:t> 1986; </w:t>
      </w:r>
      <w:r w:rsidRPr="00BD2C91">
        <w:rPr>
          <w:rFonts w:ascii="Book Antiqua" w:hAnsi="Book Antiqua" w:cs="宋体"/>
          <w:b/>
          <w:bCs/>
          <w:color w:val="000000"/>
          <w:lang w:eastAsia="zh-CN"/>
        </w:rPr>
        <w:t>58</w:t>
      </w:r>
      <w:r w:rsidRPr="00BD2C91">
        <w:rPr>
          <w:rFonts w:ascii="Book Antiqua" w:hAnsi="Book Antiqua" w:cs="宋体"/>
          <w:color w:val="000000"/>
          <w:lang w:eastAsia="zh-CN"/>
        </w:rPr>
        <w:t>: 119-126 [PMID: 2423220]</w:t>
      </w:r>
    </w:p>
    <w:p w:rsidR="00934A47" w:rsidRPr="00BD2C91" w:rsidRDefault="00934A47" w:rsidP="00BD2C91">
      <w:pPr>
        <w:rPr>
          <w:rFonts w:ascii="Book Antiqua" w:hAnsi="Book Antiqua" w:cs="宋体"/>
          <w:color w:val="000000"/>
          <w:lang w:eastAsia="zh-CN"/>
        </w:rPr>
      </w:pPr>
      <w:r w:rsidRPr="00BD2C91">
        <w:rPr>
          <w:rFonts w:ascii="Book Antiqua" w:hAnsi="Book Antiqua" w:cs="宋体"/>
          <w:color w:val="000000"/>
          <w:lang w:eastAsia="zh-CN"/>
        </w:rPr>
        <w:t>3 </w:t>
      </w:r>
      <w:r w:rsidRPr="00BD2C91">
        <w:rPr>
          <w:rFonts w:ascii="Book Antiqua" w:hAnsi="Book Antiqua" w:cs="宋体"/>
          <w:b/>
          <w:bCs/>
          <w:color w:val="000000"/>
          <w:lang w:eastAsia="zh-CN"/>
        </w:rPr>
        <w:t>Metzgeroth G</w:t>
      </w:r>
      <w:r w:rsidRPr="00BD2C91">
        <w:rPr>
          <w:rFonts w:ascii="Book Antiqua" w:hAnsi="Book Antiqua" w:cs="宋体"/>
          <w:color w:val="000000"/>
          <w:lang w:eastAsia="zh-CN"/>
        </w:rPr>
        <w:t>, Ströbel P, Baumbusch T, Reiter A, Hastka J. Hepatoid adenocarcinoma - review of the literature illustrated by a rare case originating in the peritoneal cavity. </w:t>
      </w:r>
      <w:r w:rsidRPr="00BD2C91">
        <w:rPr>
          <w:rFonts w:ascii="Book Antiqua" w:hAnsi="Book Antiqua" w:cs="宋体"/>
          <w:i/>
          <w:iCs/>
          <w:color w:val="000000"/>
          <w:lang w:eastAsia="zh-CN"/>
        </w:rPr>
        <w:t>Onkologie</w:t>
      </w:r>
      <w:r w:rsidRPr="00BD2C91">
        <w:rPr>
          <w:rFonts w:ascii="Book Antiqua" w:hAnsi="Book Antiqua" w:cs="宋体"/>
          <w:color w:val="000000"/>
          <w:lang w:eastAsia="zh-CN"/>
        </w:rPr>
        <w:t> 2010; </w:t>
      </w:r>
      <w:r w:rsidRPr="00BD2C91">
        <w:rPr>
          <w:rFonts w:ascii="Book Antiqua" w:hAnsi="Book Antiqua" w:cs="宋体"/>
          <w:b/>
          <w:bCs/>
          <w:color w:val="000000"/>
          <w:lang w:eastAsia="zh-CN"/>
        </w:rPr>
        <w:t>33</w:t>
      </w:r>
      <w:r w:rsidRPr="00BD2C91">
        <w:rPr>
          <w:rFonts w:ascii="Book Antiqua" w:hAnsi="Book Antiqua" w:cs="宋体"/>
          <w:color w:val="000000"/>
          <w:lang w:eastAsia="zh-CN"/>
        </w:rPr>
        <w:t>: 263-269 [PMID: 20502062 DOI: 10.1159/000305717]</w:t>
      </w:r>
    </w:p>
    <w:p w:rsidR="00934A47" w:rsidRPr="00BD2C91" w:rsidRDefault="00934A47" w:rsidP="00BD2C91">
      <w:pPr>
        <w:rPr>
          <w:rFonts w:ascii="Book Antiqua" w:hAnsi="Book Antiqua" w:cs="宋体"/>
          <w:color w:val="000000"/>
          <w:lang w:eastAsia="zh-CN"/>
        </w:rPr>
      </w:pPr>
      <w:r w:rsidRPr="00BD2C91">
        <w:rPr>
          <w:rFonts w:ascii="Book Antiqua" w:hAnsi="Book Antiqua" w:cs="宋体"/>
          <w:color w:val="000000"/>
          <w:lang w:eastAsia="zh-CN"/>
        </w:rPr>
        <w:t>4 </w:t>
      </w:r>
      <w:r w:rsidRPr="00BD2C91">
        <w:rPr>
          <w:rFonts w:ascii="Book Antiqua" w:hAnsi="Book Antiqua" w:cs="宋体"/>
          <w:b/>
          <w:bCs/>
          <w:color w:val="000000"/>
          <w:lang w:eastAsia="zh-CN"/>
        </w:rPr>
        <w:t>Ishikura H</w:t>
      </w:r>
      <w:r w:rsidRPr="00BD2C91">
        <w:rPr>
          <w:rFonts w:ascii="Book Antiqua" w:hAnsi="Book Antiqua" w:cs="宋体"/>
          <w:color w:val="000000"/>
          <w:lang w:eastAsia="zh-CN"/>
        </w:rPr>
        <w:t>, Kishimoto T, Andachi H, Kakuta Y, Yoshiki T. Gastrointestinal hepatoid adenocarcinoma: venous permeation and mimicry of hepatocellular carcinoma, a report of four cases. </w:t>
      </w:r>
      <w:r w:rsidRPr="00BD2C91">
        <w:rPr>
          <w:rFonts w:ascii="Book Antiqua" w:hAnsi="Book Antiqua" w:cs="宋体"/>
          <w:i/>
          <w:iCs/>
          <w:color w:val="000000"/>
          <w:lang w:eastAsia="zh-CN"/>
        </w:rPr>
        <w:t>Histopathology</w:t>
      </w:r>
      <w:r w:rsidRPr="00BD2C91">
        <w:rPr>
          <w:rFonts w:ascii="Book Antiqua" w:hAnsi="Book Antiqua" w:cs="宋体"/>
          <w:color w:val="000000"/>
          <w:lang w:eastAsia="zh-CN"/>
        </w:rPr>
        <w:t> 1997; </w:t>
      </w:r>
      <w:r w:rsidRPr="00BD2C91">
        <w:rPr>
          <w:rFonts w:ascii="Book Antiqua" w:hAnsi="Book Antiqua" w:cs="宋体"/>
          <w:b/>
          <w:bCs/>
          <w:color w:val="000000"/>
          <w:lang w:eastAsia="zh-CN"/>
        </w:rPr>
        <w:t>31</w:t>
      </w:r>
      <w:r w:rsidRPr="00BD2C91">
        <w:rPr>
          <w:rFonts w:ascii="Book Antiqua" w:hAnsi="Book Antiqua" w:cs="宋体"/>
          <w:color w:val="000000"/>
          <w:lang w:eastAsia="zh-CN"/>
        </w:rPr>
        <w:t>: 47-54 [PMID: 9253624]</w:t>
      </w:r>
    </w:p>
    <w:p w:rsidR="00934A47" w:rsidRPr="00BD2C91" w:rsidRDefault="00934A47" w:rsidP="00BD2C91">
      <w:pPr>
        <w:rPr>
          <w:rFonts w:ascii="Book Antiqua" w:hAnsi="Book Antiqua" w:cs="宋体"/>
          <w:color w:val="000000"/>
          <w:lang w:eastAsia="zh-CN"/>
        </w:rPr>
      </w:pPr>
      <w:r w:rsidRPr="00BD2C91">
        <w:rPr>
          <w:rFonts w:ascii="Book Antiqua" w:hAnsi="Book Antiqua" w:cs="宋体"/>
          <w:color w:val="000000"/>
          <w:lang w:eastAsia="zh-CN"/>
        </w:rPr>
        <w:t>5 </w:t>
      </w:r>
      <w:r w:rsidRPr="00BD2C91">
        <w:rPr>
          <w:rFonts w:ascii="Book Antiqua" w:hAnsi="Book Antiqua" w:cs="宋体"/>
          <w:b/>
          <w:bCs/>
          <w:color w:val="000000"/>
          <w:lang w:eastAsia="zh-CN"/>
        </w:rPr>
        <w:t>Terracciano LM</w:t>
      </w:r>
      <w:r w:rsidRPr="00BD2C91">
        <w:rPr>
          <w:rFonts w:ascii="Book Antiqua" w:hAnsi="Book Antiqua" w:cs="宋体"/>
          <w:color w:val="000000"/>
          <w:lang w:eastAsia="zh-CN"/>
        </w:rPr>
        <w:t>, Glatz K, Mhawech P, Vasei M, Lehmann FS, Vecchione R, Tornillo L. Hepatoid adenocarcinoma with liver metastasis mimicking hepatocellular carcinoma: an immunohistochemical and molecular study of eight cases. </w:t>
      </w:r>
      <w:r w:rsidRPr="00BD2C91">
        <w:rPr>
          <w:rFonts w:ascii="Book Antiqua" w:hAnsi="Book Antiqua" w:cs="宋体"/>
          <w:i/>
          <w:iCs/>
          <w:color w:val="000000"/>
          <w:lang w:eastAsia="zh-CN"/>
        </w:rPr>
        <w:t>Am J Surg Pathol</w:t>
      </w:r>
      <w:r w:rsidRPr="00BD2C91">
        <w:rPr>
          <w:rFonts w:ascii="Book Antiqua" w:hAnsi="Book Antiqua" w:cs="宋体"/>
          <w:color w:val="000000"/>
          <w:lang w:eastAsia="zh-CN"/>
        </w:rPr>
        <w:t> 2003; </w:t>
      </w:r>
      <w:r w:rsidRPr="00BD2C91">
        <w:rPr>
          <w:rFonts w:ascii="Book Antiqua" w:hAnsi="Book Antiqua" w:cs="宋体"/>
          <w:b/>
          <w:bCs/>
          <w:color w:val="000000"/>
          <w:lang w:eastAsia="zh-CN"/>
        </w:rPr>
        <w:t>27</w:t>
      </w:r>
      <w:r w:rsidRPr="00BD2C91">
        <w:rPr>
          <w:rFonts w:ascii="Book Antiqua" w:hAnsi="Book Antiqua" w:cs="宋体"/>
          <w:color w:val="000000"/>
          <w:lang w:eastAsia="zh-CN"/>
        </w:rPr>
        <w:t>: 1302-1312 [PMID: 14508391]</w:t>
      </w:r>
    </w:p>
    <w:p w:rsidR="00934A47" w:rsidRPr="00BD2C91" w:rsidRDefault="00934A47" w:rsidP="00BD2C91">
      <w:pPr>
        <w:rPr>
          <w:rFonts w:ascii="Book Antiqua" w:hAnsi="Book Antiqua" w:cs="宋体"/>
          <w:color w:val="000000"/>
          <w:lang w:eastAsia="zh-CN"/>
        </w:rPr>
      </w:pPr>
      <w:r w:rsidRPr="00BD2C91">
        <w:rPr>
          <w:rFonts w:ascii="Book Antiqua" w:hAnsi="Book Antiqua" w:cs="宋体"/>
          <w:color w:val="000000"/>
          <w:lang w:eastAsia="zh-CN"/>
        </w:rPr>
        <w:t>6 </w:t>
      </w:r>
      <w:r w:rsidRPr="00BD2C91">
        <w:rPr>
          <w:rFonts w:ascii="Book Antiqua" w:hAnsi="Book Antiqua" w:cs="宋体"/>
          <w:b/>
          <w:bCs/>
          <w:color w:val="000000"/>
          <w:lang w:eastAsia="zh-CN"/>
        </w:rPr>
        <w:t>Su JS</w:t>
      </w:r>
      <w:r w:rsidRPr="00BD2C91">
        <w:rPr>
          <w:rFonts w:ascii="Book Antiqua" w:hAnsi="Book Antiqua" w:cs="宋体"/>
          <w:color w:val="000000"/>
          <w:lang w:eastAsia="zh-CN"/>
        </w:rPr>
        <w:t>, Chen YT, Wang RC, Wu CY, Lee SW, Lee TY. Clinicopathological characteristics in the differential diagnosis of hepatoid adenocarcinoma: a literature review. </w:t>
      </w:r>
      <w:r w:rsidRPr="00BD2C91">
        <w:rPr>
          <w:rFonts w:ascii="Book Antiqua" w:hAnsi="Book Antiqua" w:cs="宋体"/>
          <w:i/>
          <w:iCs/>
          <w:color w:val="000000"/>
          <w:lang w:eastAsia="zh-CN"/>
        </w:rPr>
        <w:t>World J Gastroenterol</w:t>
      </w:r>
      <w:r w:rsidRPr="00BD2C91">
        <w:rPr>
          <w:rFonts w:ascii="Book Antiqua" w:hAnsi="Book Antiqua" w:cs="宋体"/>
          <w:color w:val="000000"/>
          <w:lang w:eastAsia="zh-CN"/>
        </w:rPr>
        <w:t> 2013; </w:t>
      </w:r>
      <w:r w:rsidRPr="00BD2C91">
        <w:rPr>
          <w:rFonts w:ascii="Book Antiqua" w:hAnsi="Book Antiqua" w:cs="宋体"/>
          <w:b/>
          <w:bCs/>
          <w:color w:val="000000"/>
          <w:lang w:eastAsia="zh-CN"/>
        </w:rPr>
        <w:t>19</w:t>
      </w:r>
      <w:r w:rsidRPr="00BD2C91">
        <w:rPr>
          <w:rFonts w:ascii="Book Antiqua" w:hAnsi="Book Antiqua" w:cs="宋体"/>
          <w:color w:val="000000"/>
          <w:lang w:eastAsia="zh-CN"/>
        </w:rPr>
        <w:t>: 321-327 [PMID: 23372352 DOI: 10.3748/wjg.v19.i3.321]</w:t>
      </w:r>
    </w:p>
    <w:p w:rsidR="00934A47" w:rsidRPr="00BD2C91" w:rsidRDefault="00934A47" w:rsidP="00BD2C91">
      <w:pPr>
        <w:rPr>
          <w:rFonts w:ascii="Book Antiqua" w:hAnsi="Book Antiqua" w:cs="宋体"/>
          <w:color w:val="000000"/>
          <w:lang w:eastAsia="zh-CN"/>
        </w:rPr>
      </w:pPr>
      <w:r w:rsidRPr="00BD2C91">
        <w:rPr>
          <w:rFonts w:ascii="Book Antiqua" w:hAnsi="Book Antiqua" w:cs="宋体"/>
          <w:color w:val="000000"/>
          <w:lang w:eastAsia="zh-CN"/>
        </w:rPr>
        <w:t>7 </w:t>
      </w:r>
      <w:r w:rsidRPr="00BD2C91">
        <w:rPr>
          <w:rFonts w:ascii="Book Antiqua" w:hAnsi="Book Antiqua" w:cs="宋体"/>
          <w:b/>
          <w:bCs/>
          <w:color w:val="000000"/>
          <w:lang w:eastAsia="zh-CN"/>
        </w:rPr>
        <w:t>Slotta JE</w:t>
      </w:r>
      <w:r w:rsidRPr="00BD2C91">
        <w:rPr>
          <w:rFonts w:ascii="Book Antiqua" w:hAnsi="Book Antiqua" w:cs="宋体"/>
          <w:color w:val="000000"/>
          <w:lang w:eastAsia="zh-CN"/>
        </w:rPr>
        <w:t>, Jüngling B, Kim YJ, Wagner M, Igna D, Schilling MK. Hepatoid adenocarcinoma of the transverse colon. </w:t>
      </w:r>
      <w:r w:rsidRPr="00BD2C91">
        <w:rPr>
          <w:rFonts w:ascii="Book Antiqua" w:hAnsi="Book Antiqua" w:cs="宋体"/>
          <w:i/>
          <w:iCs/>
          <w:color w:val="000000"/>
          <w:lang w:eastAsia="zh-CN"/>
        </w:rPr>
        <w:t>Int J Colorectal Dis</w:t>
      </w:r>
      <w:r w:rsidRPr="00BD2C91">
        <w:rPr>
          <w:rFonts w:ascii="Book Antiqua" w:hAnsi="Book Antiqua" w:cs="宋体"/>
          <w:color w:val="000000"/>
          <w:lang w:eastAsia="zh-CN"/>
        </w:rPr>
        <w:t> 2012; </w:t>
      </w:r>
      <w:r w:rsidRPr="00BD2C91">
        <w:rPr>
          <w:rFonts w:ascii="Book Antiqua" w:hAnsi="Book Antiqua" w:cs="宋体"/>
          <w:b/>
          <w:bCs/>
          <w:color w:val="000000"/>
          <w:lang w:eastAsia="zh-CN"/>
        </w:rPr>
        <w:t>27</w:t>
      </w:r>
      <w:r w:rsidRPr="00BD2C91">
        <w:rPr>
          <w:rFonts w:ascii="Book Antiqua" w:hAnsi="Book Antiqua" w:cs="宋体"/>
          <w:color w:val="000000"/>
          <w:lang w:eastAsia="zh-CN"/>
        </w:rPr>
        <w:t>: 989-991 [PMID: 21845416 DOI: 10.1007/s00384-011-1305-6]</w:t>
      </w:r>
    </w:p>
    <w:p w:rsidR="00934A47" w:rsidRPr="00BD2C91" w:rsidRDefault="00934A47" w:rsidP="00BD2C91">
      <w:pPr>
        <w:rPr>
          <w:rFonts w:ascii="Book Antiqua" w:hAnsi="Book Antiqua" w:cs="宋体"/>
          <w:color w:val="000000"/>
          <w:lang w:eastAsia="zh-CN"/>
        </w:rPr>
      </w:pPr>
      <w:r w:rsidRPr="00BD2C91">
        <w:rPr>
          <w:rFonts w:ascii="Book Antiqua" w:hAnsi="Book Antiqua" w:cs="宋体"/>
          <w:color w:val="000000"/>
          <w:lang w:eastAsia="zh-CN"/>
        </w:rPr>
        <w:t>8 </w:t>
      </w:r>
      <w:r w:rsidRPr="00BD2C91">
        <w:rPr>
          <w:rFonts w:ascii="Book Antiqua" w:hAnsi="Book Antiqua" w:cs="宋体"/>
          <w:b/>
          <w:bCs/>
          <w:color w:val="000000"/>
          <w:lang w:eastAsia="zh-CN"/>
        </w:rPr>
        <w:t>Borgonovo G</w:t>
      </w:r>
      <w:r w:rsidRPr="00BD2C91">
        <w:rPr>
          <w:rFonts w:ascii="Book Antiqua" w:hAnsi="Book Antiqua" w:cs="宋体"/>
          <w:color w:val="000000"/>
          <w:lang w:eastAsia="zh-CN"/>
        </w:rPr>
        <w:t>, Razzetta F, Assalino M, Varaldo E, Puglisi M, Ceppa P. Rectal hepatoid carcinoma with liver metastases in a patient affected by ulcerative colitis. </w:t>
      </w:r>
      <w:r w:rsidRPr="00BD2C91">
        <w:rPr>
          <w:rFonts w:ascii="Book Antiqua" w:hAnsi="Book Antiqua" w:cs="宋体"/>
          <w:i/>
          <w:iCs/>
          <w:color w:val="000000"/>
          <w:lang w:eastAsia="zh-CN"/>
        </w:rPr>
        <w:t>Hepatobiliary Pancreat Dis Int</w:t>
      </w:r>
      <w:r w:rsidRPr="00BD2C91">
        <w:rPr>
          <w:rFonts w:ascii="Book Antiqua" w:hAnsi="Book Antiqua" w:cs="宋体"/>
          <w:color w:val="000000"/>
          <w:lang w:eastAsia="zh-CN"/>
        </w:rPr>
        <w:t> 2008; </w:t>
      </w:r>
      <w:r w:rsidRPr="00BD2C91">
        <w:rPr>
          <w:rFonts w:ascii="Book Antiqua" w:hAnsi="Book Antiqua" w:cs="宋体"/>
          <w:b/>
          <w:bCs/>
          <w:color w:val="000000"/>
          <w:lang w:eastAsia="zh-CN"/>
        </w:rPr>
        <w:t>7</w:t>
      </w:r>
      <w:r w:rsidRPr="00BD2C91">
        <w:rPr>
          <w:rFonts w:ascii="Book Antiqua" w:hAnsi="Book Antiqua" w:cs="宋体"/>
          <w:color w:val="000000"/>
          <w:lang w:eastAsia="zh-CN"/>
        </w:rPr>
        <w:t>: 539-543 [PMID: 18842504]</w:t>
      </w:r>
    </w:p>
    <w:p w:rsidR="00934A47" w:rsidRPr="00BD2C91" w:rsidRDefault="00934A47" w:rsidP="00BD2C91">
      <w:pPr>
        <w:rPr>
          <w:rFonts w:ascii="Book Antiqua" w:hAnsi="Book Antiqua" w:cs="宋体"/>
          <w:color w:val="000000"/>
          <w:lang w:eastAsia="zh-CN"/>
        </w:rPr>
      </w:pPr>
      <w:r w:rsidRPr="00BD2C91">
        <w:rPr>
          <w:rFonts w:ascii="Book Antiqua" w:hAnsi="Book Antiqua" w:cs="宋体"/>
          <w:color w:val="000000"/>
          <w:lang w:eastAsia="zh-CN"/>
        </w:rPr>
        <w:t>9 </w:t>
      </w:r>
      <w:r w:rsidRPr="00BD2C91">
        <w:rPr>
          <w:rFonts w:ascii="Book Antiqua" w:hAnsi="Book Antiqua" w:cs="宋体"/>
          <w:b/>
          <w:bCs/>
          <w:color w:val="000000"/>
          <w:lang w:eastAsia="zh-CN"/>
        </w:rPr>
        <w:t>Liu Q</w:t>
      </w:r>
      <w:r w:rsidRPr="00BD2C91">
        <w:rPr>
          <w:rFonts w:ascii="Book Antiqua" w:hAnsi="Book Antiqua" w:cs="宋体"/>
          <w:color w:val="000000"/>
          <w:lang w:eastAsia="zh-CN"/>
        </w:rPr>
        <w:t>, Bannan M, Melamed J, Witkin GB, Nonaka D. Two cases of hepatoid adenocarcinoma of the intestine in association with inflammatory bowel disease. </w:t>
      </w:r>
      <w:r w:rsidRPr="00BD2C91">
        <w:rPr>
          <w:rFonts w:ascii="Book Antiqua" w:hAnsi="Book Antiqua" w:cs="宋体"/>
          <w:i/>
          <w:iCs/>
          <w:color w:val="000000"/>
          <w:lang w:eastAsia="zh-CN"/>
        </w:rPr>
        <w:t>Histopathology</w:t>
      </w:r>
      <w:r w:rsidRPr="00BD2C91">
        <w:rPr>
          <w:rFonts w:ascii="Book Antiqua" w:hAnsi="Book Antiqua" w:cs="宋体"/>
          <w:color w:val="000000"/>
          <w:lang w:eastAsia="zh-CN"/>
        </w:rPr>
        <w:t> 2007; </w:t>
      </w:r>
      <w:r w:rsidRPr="00BD2C91">
        <w:rPr>
          <w:rFonts w:ascii="Book Antiqua" w:hAnsi="Book Antiqua" w:cs="宋体"/>
          <w:b/>
          <w:bCs/>
          <w:color w:val="000000"/>
          <w:lang w:eastAsia="zh-CN"/>
        </w:rPr>
        <w:t>51</w:t>
      </w:r>
      <w:r w:rsidRPr="00BD2C91">
        <w:rPr>
          <w:rFonts w:ascii="Book Antiqua" w:hAnsi="Book Antiqua" w:cs="宋体"/>
          <w:color w:val="000000"/>
          <w:lang w:eastAsia="zh-CN"/>
        </w:rPr>
        <w:t>: 123-125 [PMID: 17532770]</w:t>
      </w:r>
    </w:p>
    <w:p w:rsidR="00934A47" w:rsidRPr="00BD2C91" w:rsidRDefault="00934A47" w:rsidP="00BD2C91">
      <w:pPr>
        <w:rPr>
          <w:rFonts w:ascii="Book Antiqua" w:hAnsi="Book Antiqua" w:cs="宋体"/>
          <w:color w:val="000000"/>
          <w:lang w:eastAsia="zh-CN"/>
        </w:rPr>
      </w:pPr>
      <w:r w:rsidRPr="00BD2C91">
        <w:rPr>
          <w:rFonts w:ascii="Book Antiqua" w:hAnsi="Book Antiqua" w:cs="宋体"/>
          <w:color w:val="000000"/>
          <w:lang w:eastAsia="zh-CN"/>
        </w:rPr>
        <w:t>10 </w:t>
      </w:r>
      <w:r w:rsidRPr="00BD2C91">
        <w:rPr>
          <w:rFonts w:ascii="Book Antiqua" w:hAnsi="Book Antiqua" w:cs="宋体"/>
          <w:b/>
          <w:bCs/>
          <w:color w:val="000000"/>
          <w:lang w:eastAsia="zh-CN"/>
        </w:rPr>
        <w:t>Lattes C</w:t>
      </w:r>
      <w:r w:rsidRPr="00BD2C91">
        <w:rPr>
          <w:rFonts w:ascii="Book Antiqua" w:hAnsi="Book Antiqua" w:cs="宋体"/>
          <w:color w:val="000000"/>
          <w:lang w:eastAsia="zh-CN"/>
        </w:rPr>
        <w:t>, Carella R, Faggioli S, Gabusi E, Grigioni WF. Hepatoid adenocarcinoma of the rectum arising in ulcerative colitis: report of a case. </w:t>
      </w:r>
      <w:r w:rsidRPr="00BD2C91">
        <w:rPr>
          <w:rFonts w:ascii="Book Antiqua" w:hAnsi="Book Antiqua" w:cs="宋体"/>
          <w:i/>
          <w:iCs/>
          <w:color w:val="000000"/>
          <w:lang w:eastAsia="zh-CN"/>
        </w:rPr>
        <w:t>Dis Colon Rectum</w:t>
      </w:r>
      <w:r w:rsidRPr="00BD2C91">
        <w:rPr>
          <w:rFonts w:ascii="Book Antiqua" w:hAnsi="Book Antiqua" w:cs="宋体"/>
          <w:color w:val="000000"/>
          <w:lang w:eastAsia="zh-CN"/>
        </w:rPr>
        <w:t> 2000; </w:t>
      </w:r>
      <w:r w:rsidRPr="00BD2C91">
        <w:rPr>
          <w:rFonts w:ascii="Book Antiqua" w:hAnsi="Book Antiqua" w:cs="宋体"/>
          <w:b/>
          <w:bCs/>
          <w:color w:val="000000"/>
          <w:lang w:eastAsia="zh-CN"/>
        </w:rPr>
        <w:t>43</w:t>
      </w:r>
      <w:r w:rsidRPr="00BD2C91">
        <w:rPr>
          <w:rFonts w:ascii="Book Antiqua" w:hAnsi="Book Antiqua" w:cs="宋体"/>
          <w:color w:val="000000"/>
          <w:lang w:eastAsia="zh-CN"/>
        </w:rPr>
        <w:t>: 105-108 [PMID: 10813132]</w:t>
      </w:r>
    </w:p>
    <w:p w:rsidR="00934A47" w:rsidRPr="00BD2C91" w:rsidRDefault="00934A47" w:rsidP="00BD2C91">
      <w:pPr>
        <w:rPr>
          <w:rFonts w:ascii="Book Antiqua" w:hAnsi="Book Antiqua" w:cs="宋体"/>
          <w:color w:val="000000"/>
          <w:lang w:eastAsia="zh-CN"/>
        </w:rPr>
      </w:pPr>
      <w:r w:rsidRPr="00BD2C91">
        <w:rPr>
          <w:rFonts w:ascii="Book Antiqua" w:hAnsi="Book Antiqua" w:cs="宋体"/>
          <w:color w:val="000000"/>
          <w:lang w:eastAsia="zh-CN"/>
        </w:rPr>
        <w:t>11 </w:t>
      </w:r>
      <w:r w:rsidRPr="00BD2C91">
        <w:rPr>
          <w:rFonts w:ascii="Book Antiqua" w:hAnsi="Book Antiqua" w:cs="宋体"/>
          <w:b/>
          <w:bCs/>
          <w:color w:val="000000"/>
          <w:lang w:eastAsia="zh-CN"/>
        </w:rPr>
        <w:t>Cappetta A</w:t>
      </w:r>
      <w:r w:rsidRPr="00BD2C91">
        <w:rPr>
          <w:rFonts w:ascii="Book Antiqua" w:hAnsi="Book Antiqua" w:cs="宋体"/>
          <w:color w:val="000000"/>
          <w:lang w:eastAsia="zh-CN"/>
        </w:rPr>
        <w:t>, Bergamo F, Mescoli C, Lonardi S, Rugge M, Zagonel V. Hepatoid adenocarcinoma of the colon: what should we target? </w:t>
      </w:r>
      <w:r w:rsidRPr="00BD2C91">
        <w:rPr>
          <w:rFonts w:ascii="Book Antiqua" w:hAnsi="Book Antiqua" w:cs="宋体"/>
          <w:i/>
          <w:iCs/>
          <w:color w:val="000000"/>
          <w:lang w:eastAsia="zh-CN"/>
        </w:rPr>
        <w:t>Pathol Oncol Res</w:t>
      </w:r>
      <w:r w:rsidRPr="00BD2C91">
        <w:rPr>
          <w:rFonts w:ascii="Book Antiqua" w:hAnsi="Book Antiqua" w:cs="宋体"/>
          <w:color w:val="000000"/>
          <w:lang w:eastAsia="zh-CN"/>
        </w:rPr>
        <w:t> 2012; </w:t>
      </w:r>
      <w:r w:rsidRPr="00BD2C91">
        <w:rPr>
          <w:rFonts w:ascii="Book Antiqua" w:hAnsi="Book Antiqua" w:cs="宋体"/>
          <w:b/>
          <w:bCs/>
          <w:color w:val="000000"/>
          <w:lang w:eastAsia="zh-CN"/>
        </w:rPr>
        <w:t>18</w:t>
      </w:r>
      <w:r w:rsidRPr="00BD2C91">
        <w:rPr>
          <w:rFonts w:ascii="Book Antiqua" w:hAnsi="Book Antiqua" w:cs="宋体"/>
          <w:color w:val="000000"/>
          <w:lang w:eastAsia="zh-CN"/>
        </w:rPr>
        <w:t>: 93-96 [PMID: 21667305 DOI: 10.1007/s12253-011-9424-5]</w:t>
      </w:r>
    </w:p>
    <w:p w:rsidR="00934A47" w:rsidRDefault="00934A47" w:rsidP="00BD2C91">
      <w:pPr>
        <w:tabs>
          <w:tab w:val="left" w:pos="180"/>
          <w:tab w:val="left" w:pos="360"/>
        </w:tabs>
        <w:adjustRightInd w:val="0"/>
        <w:snapToGrid w:val="0"/>
        <w:spacing w:line="360" w:lineRule="auto"/>
        <w:jc w:val="right"/>
        <w:rPr>
          <w:rFonts w:ascii="Book Antiqua" w:hAnsi="Book Antiqua" w:cs="Tahoma"/>
          <w:b/>
          <w:color w:val="000000"/>
          <w:lang w:eastAsia="zh-CN"/>
        </w:rPr>
      </w:pPr>
      <w:bookmarkStart w:id="74" w:name="OLE_LINK874"/>
      <w:bookmarkStart w:id="75" w:name="OLE_LINK875"/>
      <w:bookmarkStart w:id="76" w:name="OLE_LINK347"/>
      <w:bookmarkStart w:id="77" w:name="OLE_LINK384"/>
      <w:bookmarkStart w:id="78" w:name="OLE_LINK557"/>
      <w:bookmarkStart w:id="79" w:name="OLE_LINK558"/>
      <w:bookmarkStart w:id="80" w:name="OLE_LINK631"/>
      <w:bookmarkStart w:id="81" w:name="OLE_LINK632"/>
      <w:bookmarkStart w:id="82" w:name="OLE_LINK386"/>
      <w:bookmarkStart w:id="83" w:name="OLE_LINK431"/>
      <w:bookmarkStart w:id="84" w:name="OLE_LINK564"/>
      <w:bookmarkStart w:id="85" w:name="OLE_LINK493"/>
      <w:bookmarkStart w:id="86" w:name="OLE_LINK442"/>
      <w:bookmarkStart w:id="87" w:name="OLE_LINK551"/>
      <w:bookmarkStart w:id="88" w:name="OLE_LINK668"/>
      <w:bookmarkStart w:id="89" w:name="OLE_LINK669"/>
      <w:bookmarkStart w:id="90" w:name="OLE_LINK725"/>
      <w:bookmarkStart w:id="91" w:name="OLE_LINK489"/>
      <w:bookmarkStart w:id="92" w:name="OLE_LINK602"/>
      <w:bookmarkStart w:id="93" w:name="OLE_LINK658"/>
      <w:bookmarkStart w:id="94" w:name="OLE_LINK747"/>
      <w:bookmarkStart w:id="95" w:name="OLE_LINK897"/>
      <w:bookmarkStart w:id="96" w:name="OLE_LINK1138"/>
      <w:bookmarkStart w:id="97" w:name="OLE_LINK1139"/>
      <w:bookmarkStart w:id="98" w:name="OLE_LINK882"/>
      <w:bookmarkStart w:id="99" w:name="OLE_LINK1095"/>
      <w:bookmarkStart w:id="100" w:name="OLE_LINK1305"/>
      <w:bookmarkStart w:id="101" w:name="OLE_LINK1390"/>
      <w:bookmarkStart w:id="102" w:name="OLE_LINK964"/>
      <w:bookmarkStart w:id="103" w:name="OLE_LINK1190"/>
      <w:bookmarkStart w:id="104" w:name="OLE_LINK1314"/>
      <w:bookmarkStart w:id="105" w:name="OLE_LINK1031"/>
      <w:bookmarkStart w:id="106" w:name="OLE_LINK1092"/>
      <w:bookmarkStart w:id="107" w:name="OLE_LINK1258"/>
      <w:bookmarkStart w:id="108" w:name="OLE_LINK1259"/>
      <w:bookmarkStart w:id="109" w:name="OLE_LINK1337"/>
      <w:bookmarkStart w:id="110" w:name="OLE_LINK1338"/>
      <w:bookmarkStart w:id="111" w:name="OLE_LINK1363"/>
      <w:bookmarkStart w:id="112" w:name="OLE_LINK1364"/>
      <w:bookmarkStart w:id="113" w:name="OLE_LINK86"/>
      <w:bookmarkStart w:id="114" w:name="OLE_LINK1595"/>
      <w:bookmarkStart w:id="115" w:name="OLE_LINK1613"/>
      <w:bookmarkStart w:id="116" w:name="OLE_LINK1708"/>
      <w:bookmarkStart w:id="117" w:name="OLE_LINK1774"/>
      <w:bookmarkStart w:id="118" w:name="OLE_LINK1872"/>
      <w:bookmarkStart w:id="119" w:name="OLE_LINK1899"/>
      <w:bookmarkStart w:id="120" w:name="OLE_LINK1492"/>
      <w:bookmarkStart w:id="121" w:name="OLE_LINK1497"/>
      <w:bookmarkStart w:id="122" w:name="OLE_LINK1498"/>
      <w:bookmarkStart w:id="123" w:name="OLE_LINK1589"/>
      <w:bookmarkStart w:id="124" w:name="OLE_LINK1666"/>
      <w:bookmarkStart w:id="125" w:name="OLE_LINK1752"/>
      <w:bookmarkStart w:id="126" w:name="OLE_LINK1616"/>
      <w:bookmarkStart w:id="127" w:name="OLE_LINK1696"/>
      <w:bookmarkStart w:id="128" w:name="OLE_LINK1855"/>
      <w:bookmarkStart w:id="129" w:name="OLE_LINK1942"/>
      <w:bookmarkStart w:id="130" w:name="OLE_LINK1943"/>
      <w:bookmarkStart w:id="131" w:name="OLE_LINK1573"/>
      <w:bookmarkStart w:id="132" w:name="OLE_LINK1574"/>
      <w:bookmarkStart w:id="133" w:name="OLE_LINK1575"/>
      <w:bookmarkStart w:id="134" w:name="OLE_LINK1739"/>
      <w:bookmarkStart w:id="135" w:name="OLE_LINK1761"/>
      <w:bookmarkStart w:id="136" w:name="OLE_LINK1743"/>
      <w:bookmarkStart w:id="137" w:name="OLE_LINK1841"/>
      <w:bookmarkStart w:id="138" w:name="OLE_LINK1858"/>
      <w:bookmarkStart w:id="139" w:name="OLE_LINK1890"/>
      <w:bookmarkStart w:id="140" w:name="OLE_LINK1915"/>
      <w:bookmarkStart w:id="141" w:name="OLE_LINK1980"/>
      <w:bookmarkStart w:id="142" w:name="OLE_LINK1883"/>
      <w:bookmarkStart w:id="143" w:name="OLE_LINK1935"/>
      <w:bookmarkStart w:id="144" w:name="OLE_LINK1936"/>
      <w:bookmarkStart w:id="145" w:name="OLE_LINK1952"/>
      <w:bookmarkStart w:id="146" w:name="OLE_LINK1953"/>
      <w:bookmarkStart w:id="147" w:name="OLE_LINK1999"/>
      <w:bookmarkStart w:id="148" w:name="OLE_LINK2050"/>
      <w:bookmarkStart w:id="149" w:name="OLE_LINK1862"/>
      <w:bookmarkStart w:id="150" w:name="OLE_LINK1963"/>
      <w:bookmarkStart w:id="151" w:name="OLE_LINK2052"/>
      <w:bookmarkStart w:id="152" w:name="OLE_LINK1906"/>
      <w:bookmarkStart w:id="153" w:name="OLE_LINK2031"/>
      <w:bookmarkStart w:id="154" w:name="OLE_LINK2032"/>
      <w:bookmarkStart w:id="155" w:name="OLE_LINK1907"/>
      <w:bookmarkStart w:id="156" w:name="OLE_LINK2004"/>
      <w:bookmarkStart w:id="157" w:name="OLE_LINK2238"/>
      <w:bookmarkStart w:id="158" w:name="OLE_LINK2239"/>
      <w:bookmarkStart w:id="159" w:name="OLE_LINK2163"/>
      <w:bookmarkStart w:id="160" w:name="OLE_LINK2207"/>
      <w:bookmarkStart w:id="161" w:name="OLE_LINK2341"/>
      <w:bookmarkStart w:id="162" w:name="OLE_LINK2417"/>
      <w:bookmarkStart w:id="163" w:name="OLE_LINK2509"/>
      <w:bookmarkStart w:id="164" w:name="OLE_LINK2510"/>
      <w:bookmarkStart w:id="165" w:name="OLE_LINK2511"/>
      <w:bookmarkStart w:id="166" w:name="OLE_LINK2512"/>
      <w:bookmarkStart w:id="167" w:name="OLE_LINK2513"/>
      <w:bookmarkStart w:id="168" w:name="OLE_LINK2514"/>
      <w:bookmarkStart w:id="169" w:name="OLE_LINK2515"/>
      <w:bookmarkStart w:id="170" w:name="OLE_LINK2516"/>
      <w:bookmarkStart w:id="171" w:name="OLE_LINK2517"/>
      <w:bookmarkStart w:id="172" w:name="OLE_LINK2518"/>
      <w:bookmarkStart w:id="173" w:name="OLE_LINK2519"/>
      <w:bookmarkStart w:id="174" w:name="OLE_LINK2520"/>
      <w:bookmarkStart w:id="175" w:name="OLE_LINK2521"/>
      <w:bookmarkStart w:id="176" w:name="OLE_LINK2522"/>
      <w:bookmarkStart w:id="177" w:name="OLE_LINK2523"/>
      <w:bookmarkStart w:id="178" w:name="OLE_LINK2524"/>
      <w:bookmarkStart w:id="179" w:name="OLE_LINK2051"/>
      <w:bookmarkStart w:id="180" w:name="OLE_LINK2109"/>
      <w:bookmarkStart w:id="181" w:name="OLE_LINK2165"/>
      <w:bookmarkStart w:id="182" w:name="OLE_LINK2385"/>
      <w:bookmarkStart w:id="183" w:name="OLE_LINK2593"/>
      <w:bookmarkStart w:id="184" w:name="OLE_LINK2332"/>
      <w:bookmarkStart w:id="185" w:name="OLE_LINK2448"/>
      <w:bookmarkStart w:id="186" w:name="OLE_LINK2525"/>
      <w:bookmarkStart w:id="187" w:name="OLE_LINK2506"/>
      <w:bookmarkStart w:id="188" w:name="OLE_LINK2507"/>
      <w:bookmarkStart w:id="189" w:name="OLE_LINK2291"/>
      <w:bookmarkStart w:id="190" w:name="OLE_LINK2294"/>
      <w:bookmarkStart w:id="191" w:name="OLE_LINK2298"/>
      <w:bookmarkStart w:id="192" w:name="OLE_LINK2300"/>
      <w:bookmarkStart w:id="193" w:name="OLE_LINK2301"/>
      <w:bookmarkStart w:id="194" w:name="OLE_LINK2546"/>
      <w:bookmarkStart w:id="195" w:name="OLE_LINK2756"/>
      <w:bookmarkStart w:id="196" w:name="OLE_LINK2757"/>
      <w:bookmarkStart w:id="197" w:name="OLE_LINK2736"/>
      <w:bookmarkStart w:id="198" w:name="OLE_LINK2923"/>
      <w:bookmarkStart w:id="199" w:name="OLE_LINK2974"/>
      <w:bookmarkStart w:id="200" w:name="OLE_LINK3125"/>
      <w:bookmarkStart w:id="201" w:name="OLE_LINK3218"/>
      <w:bookmarkStart w:id="202" w:name="OLE_LINK2575"/>
      <w:bookmarkStart w:id="203" w:name="OLE_LINK2687"/>
      <w:bookmarkStart w:id="204" w:name="OLE_LINK2688"/>
      <w:bookmarkStart w:id="205" w:name="OLE_LINK2700"/>
      <w:bookmarkStart w:id="206" w:name="OLE_LINK2576"/>
      <w:bookmarkStart w:id="207" w:name="OLE_LINK2674"/>
      <w:bookmarkStart w:id="208" w:name="OLE_LINK2738"/>
      <w:bookmarkStart w:id="209" w:name="OLE_LINK2983"/>
      <w:bookmarkStart w:id="210" w:name="OLE_LINK76"/>
      <w:bookmarkStart w:id="211" w:name="OLE_LINK115"/>
      <w:bookmarkStart w:id="212" w:name="OLE_LINK155"/>
    </w:p>
    <w:p w:rsidR="00934A47" w:rsidRPr="00C56046" w:rsidRDefault="00934A47" w:rsidP="00EE3986">
      <w:pPr>
        <w:tabs>
          <w:tab w:val="left" w:pos="180"/>
          <w:tab w:val="left" w:pos="360"/>
        </w:tabs>
        <w:adjustRightInd w:val="0"/>
        <w:snapToGrid w:val="0"/>
        <w:spacing w:line="360" w:lineRule="auto"/>
        <w:ind w:right="360"/>
        <w:jc w:val="right"/>
        <w:rPr>
          <w:rFonts w:ascii="Book Antiqua" w:hAnsi="Book Antiqua" w:cs="Tahoma"/>
          <w:b/>
          <w:color w:val="000000"/>
        </w:rPr>
      </w:pPr>
      <w:r w:rsidRPr="00C56046">
        <w:rPr>
          <w:rFonts w:ascii="Book Antiqua" w:hAnsi="Book Antiqua" w:cs="Tahoma"/>
          <w:b/>
          <w:color w:val="000000"/>
        </w:rPr>
        <w:t>P-Reviewer</w:t>
      </w:r>
      <w:r>
        <w:rPr>
          <w:rFonts w:ascii="Book Antiqua" w:hAnsi="Book Antiqua" w:cs="Tahoma"/>
          <w:b/>
          <w:color w:val="000000"/>
        </w:rPr>
        <w:t>s:</w:t>
      </w:r>
      <w:r w:rsidRPr="00C56046">
        <w:rPr>
          <w:rFonts w:ascii="Book Antiqua" w:hAnsi="Book Antiqua" w:cs="Tahoma"/>
          <w:b/>
          <w:color w:val="000000"/>
        </w:rPr>
        <w:t xml:space="preserve"> </w:t>
      </w:r>
      <w:r w:rsidRPr="00EE3986">
        <w:rPr>
          <w:rFonts w:ascii="Book Antiqua" w:hAnsi="Book Antiqua" w:cs="Tahoma"/>
          <w:color w:val="000000"/>
        </w:rPr>
        <w:t>Amarapurkar DN, Ciaccio E, Kishimoto T, Tran TA</w:t>
      </w:r>
      <w:r>
        <w:rPr>
          <w:rFonts w:ascii="Book Antiqua" w:hAnsi="Book Antiqua" w:cs="Tahoma"/>
          <w:b/>
          <w:color w:val="000000"/>
          <w:lang w:eastAsia="zh-CN"/>
        </w:rPr>
        <w:t xml:space="preserve"> </w:t>
      </w:r>
      <w:r w:rsidRPr="00C56046">
        <w:rPr>
          <w:rFonts w:ascii="Book Antiqua" w:hAnsi="Book Antiqua" w:cs="Tahoma"/>
          <w:b/>
          <w:color w:val="000000"/>
        </w:rPr>
        <w:t>S-Editor</w:t>
      </w:r>
      <w:r>
        <w:rPr>
          <w:rFonts w:ascii="Book Antiqua" w:hAnsi="Book Antiqua" w:cs="Tahoma"/>
          <w:b/>
          <w:color w:val="000000"/>
        </w:rPr>
        <w:t>:</w:t>
      </w:r>
      <w:r w:rsidRPr="00C56046">
        <w:rPr>
          <w:rFonts w:ascii="Book Antiqua" w:hAnsi="Book Antiqua" w:cs="Tahoma"/>
          <w:b/>
          <w:color w:val="000000"/>
        </w:rPr>
        <w:t xml:space="preserve"> </w:t>
      </w:r>
      <w:r w:rsidRPr="00C56046">
        <w:rPr>
          <w:rFonts w:ascii="Book Antiqua" w:hAnsi="Book Antiqua" w:cs="Tahoma"/>
          <w:color w:val="000000"/>
        </w:rPr>
        <w:t xml:space="preserve">Gou SX </w:t>
      </w:r>
      <w:r w:rsidRPr="00C56046">
        <w:rPr>
          <w:rFonts w:ascii="Book Antiqua" w:hAnsi="Book Antiqua" w:cs="Tahoma"/>
          <w:b/>
          <w:color w:val="000000"/>
        </w:rPr>
        <w:t xml:space="preserve">  L-Editor</w:t>
      </w:r>
      <w:r>
        <w:rPr>
          <w:rFonts w:ascii="Book Antiqua" w:hAnsi="Book Antiqua" w:cs="Tahoma"/>
          <w:b/>
          <w:color w:val="000000"/>
        </w:rPr>
        <w:t>:</w:t>
      </w:r>
      <w:r w:rsidRPr="00C56046">
        <w:rPr>
          <w:rFonts w:ascii="Book Antiqua" w:hAnsi="Book Antiqua" w:cs="Tahoma"/>
          <w:b/>
          <w:color w:val="000000"/>
        </w:rPr>
        <w:t xml:space="preserve">    E-Edito</w:t>
      </w:r>
      <w:bookmarkEnd w:id="74"/>
      <w:bookmarkEnd w:id="75"/>
      <w:r w:rsidRPr="00C56046">
        <w:rPr>
          <w:rFonts w:ascii="Book Antiqua" w:hAnsi="Book Antiqua" w:cs="Tahoma"/>
          <w:b/>
          <w:color w:val="000000"/>
        </w:rPr>
        <w:t>r</w:t>
      </w:r>
      <w:r>
        <w:rPr>
          <w:rFonts w:ascii="Book Antiqua" w:hAnsi="Book Antiqua" w:cs="Tahoma"/>
          <w:b/>
          <w:color w:val="000000"/>
        </w:rPr>
        <w:t>:</w:t>
      </w:r>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rsidR="00934A47" w:rsidRPr="00EE3986" w:rsidRDefault="00934A47" w:rsidP="00747F83">
      <w:pPr>
        <w:spacing w:line="360" w:lineRule="auto"/>
        <w:rPr>
          <w:rFonts w:ascii="Book Antiqua" w:hAnsi="Book Antiqua" w:cs="Arial"/>
          <w:color w:val="000000"/>
          <w:lang w:eastAsia="zh-CN"/>
        </w:rPr>
      </w:pPr>
    </w:p>
    <w:p w:rsidR="00934A47" w:rsidRDefault="00934A47" w:rsidP="00747F83">
      <w:pPr>
        <w:spacing w:line="360" w:lineRule="auto"/>
        <w:rPr>
          <w:rFonts w:ascii="Book Antiqua" w:hAnsi="Book Antiqua" w:cs="Arial"/>
          <w:color w:val="000000"/>
          <w:lang w:eastAsia="zh-CN"/>
        </w:rPr>
      </w:pPr>
    </w:p>
    <w:p w:rsidR="00934A47" w:rsidRPr="00BD2C91" w:rsidRDefault="00934A47" w:rsidP="00747F83">
      <w:pPr>
        <w:spacing w:line="360" w:lineRule="auto"/>
        <w:rPr>
          <w:rFonts w:ascii="Book Antiqua" w:hAnsi="Book Antiqua" w:cs="Arial"/>
          <w:color w:val="000000"/>
          <w:lang w:eastAsia="zh-CN"/>
        </w:rPr>
      </w:pPr>
    </w:p>
    <w:p w:rsidR="00934A47" w:rsidRPr="00BD2C91" w:rsidRDefault="00934A47" w:rsidP="000950A8">
      <w:pPr>
        <w:spacing w:line="360" w:lineRule="auto"/>
        <w:jc w:val="both"/>
        <w:rPr>
          <w:rFonts w:ascii="Book Antiqua" w:hAnsi="Book Antiqua"/>
          <w:color w:val="000000"/>
        </w:rPr>
      </w:pPr>
      <w:r w:rsidRPr="00BD2C91">
        <w:rPr>
          <w:rFonts w:ascii="Book Antiqua" w:hAnsi="Book Antiqua"/>
          <w:b/>
          <w:color w:val="000000"/>
        </w:rPr>
        <w:t>Figure 1 Fine needle aspiration biopsy of enlarged porta hepatis node.</w:t>
      </w:r>
      <w:r w:rsidRPr="00BD2C91">
        <w:rPr>
          <w:rFonts w:ascii="Book Antiqua" w:hAnsi="Book Antiqua"/>
          <w:color w:val="000000"/>
        </w:rPr>
        <w:t xml:space="preserve"> A: </w:t>
      </w:r>
      <w:r w:rsidRPr="00BD2C91">
        <w:rPr>
          <w:rFonts w:ascii="Book Antiqua" w:hAnsi="Book Antiqua" w:cs="Courier"/>
          <w:color w:val="000000"/>
        </w:rPr>
        <w:t>Papanicolaou staining</w:t>
      </w:r>
      <w:r w:rsidRPr="00BD2C91" w:rsidDel="00A2778D">
        <w:rPr>
          <w:rFonts w:ascii="Book Antiqua" w:hAnsi="Book Antiqua"/>
          <w:color w:val="000000"/>
        </w:rPr>
        <w:t xml:space="preserve"> </w:t>
      </w:r>
      <w:r w:rsidRPr="00BD2C91">
        <w:rPr>
          <w:rFonts w:ascii="Book Antiqua" w:hAnsi="Book Antiqua"/>
          <w:color w:val="000000"/>
        </w:rPr>
        <w:t>showed multiple intermediate-sized dysplastic cells with vacuolated cytoplasm and occasional markedly-enlarged malignant nuclei-forming lumina (40</w:t>
      </w:r>
      <w:r w:rsidRPr="00BD2C91">
        <w:rPr>
          <w:rFonts w:ascii="Book Antiqua" w:hAnsi="Book Antiqua"/>
          <w:color w:val="000000"/>
        </w:rPr>
        <w:sym w:font="Symbol" w:char="F0B4"/>
      </w:r>
      <w:r w:rsidRPr="00BD2C91">
        <w:rPr>
          <w:rFonts w:ascii="Book Antiqua" w:hAnsi="Book Antiqua"/>
          <w:color w:val="000000"/>
        </w:rPr>
        <w:t xml:space="preserve"> magnification); B: Immunohistochemistry showed that tumor cells stained positive for alpha-fetoprotein (20</w:t>
      </w:r>
      <w:r w:rsidRPr="00BD2C91">
        <w:rPr>
          <w:rFonts w:ascii="Book Antiqua" w:hAnsi="Book Antiqua"/>
          <w:color w:val="000000"/>
        </w:rPr>
        <w:sym w:font="Symbol" w:char="F0B4"/>
      </w:r>
      <w:r w:rsidRPr="00BD2C91">
        <w:rPr>
          <w:rFonts w:ascii="Book Antiqua" w:hAnsi="Book Antiqua"/>
          <w:color w:val="000000"/>
        </w:rPr>
        <w:t xml:space="preserve"> magnification); C: Tumor cells showed strong nuclear immunostaining for caudal-related homeobox transcription factor 2 (20</w:t>
      </w:r>
      <w:r w:rsidRPr="00BD2C91">
        <w:rPr>
          <w:rFonts w:ascii="Book Antiqua" w:hAnsi="Book Antiqua"/>
          <w:color w:val="000000"/>
        </w:rPr>
        <w:sym w:font="Symbol" w:char="F0B4"/>
      </w:r>
      <w:r w:rsidRPr="00BD2C91">
        <w:rPr>
          <w:rFonts w:ascii="Book Antiqua" w:hAnsi="Book Antiqua"/>
          <w:color w:val="000000"/>
        </w:rPr>
        <w:t xml:space="preserve"> magnification); D: Staining for hepatocyte-specific antigen was unequivocal (20</w:t>
      </w:r>
      <w:r w:rsidRPr="00BD2C91">
        <w:rPr>
          <w:rFonts w:ascii="Book Antiqua" w:hAnsi="Book Antiqua"/>
          <w:color w:val="000000"/>
        </w:rPr>
        <w:sym w:font="Symbol" w:char="F0B4"/>
      </w:r>
      <w:r w:rsidRPr="00BD2C91">
        <w:rPr>
          <w:rFonts w:ascii="Book Antiqua" w:hAnsi="Book Antiqua"/>
          <w:color w:val="000000"/>
        </w:rPr>
        <w:t xml:space="preserve"> magnification). </w:t>
      </w:r>
    </w:p>
    <w:p w:rsidR="00934A47" w:rsidRPr="00BD2C91" w:rsidRDefault="00934A47" w:rsidP="000950A8">
      <w:pPr>
        <w:spacing w:line="360" w:lineRule="auto"/>
        <w:jc w:val="both"/>
        <w:rPr>
          <w:rFonts w:ascii="Book Antiqua" w:hAnsi="Book Antiqua"/>
          <w:b/>
          <w:color w:val="000000"/>
        </w:rPr>
      </w:pPr>
    </w:p>
    <w:p w:rsidR="00934A47" w:rsidRPr="00BD2C91" w:rsidRDefault="001825AB" w:rsidP="004E7183">
      <w:pPr>
        <w:spacing w:line="360" w:lineRule="auto"/>
        <w:rPr>
          <w:rFonts w:ascii="Book Antiqua" w:hAnsi="Book Antiqua"/>
          <w:color w:val="000000"/>
        </w:rPr>
      </w:pPr>
      <w:r>
        <w:rPr>
          <w:rFonts w:ascii="Book Antiqua" w:hAnsi="Book Antiqua"/>
          <w:noProof/>
          <w:color w:val="000000"/>
          <w:lang w:eastAsia="zh-CN"/>
        </w:rPr>
        <w:drawing>
          <wp:inline distT="0" distB="0" distL="0" distR="0">
            <wp:extent cx="5442585" cy="3964940"/>
            <wp:effectExtent l="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2585" cy="3964940"/>
                    </a:xfrm>
                    <a:prstGeom prst="rect">
                      <a:avLst/>
                    </a:prstGeom>
                    <a:noFill/>
                    <a:ln>
                      <a:noFill/>
                    </a:ln>
                  </pic:spPr>
                </pic:pic>
              </a:graphicData>
            </a:graphic>
          </wp:inline>
        </w:drawing>
      </w:r>
    </w:p>
    <w:p w:rsidR="00934A47" w:rsidRPr="00BD2C91" w:rsidRDefault="00934A47">
      <w:pPr>
        <w:rPr>
          <w:rFonts w:ascii="Book Antiqua" w:hAnsi="Book Antiqua"/>
          <w:color w:val="000000"/>
        </w:rPr>
      </w:pPr>
      <w:r w:rsidRPr="00BD2C91">
        <w:rPr>
          <w:rFonts w:ascii="Book Antiqua" w:hAnsi="Book Antiqua"/>
          <w:color w:val="000000"/>
        </w:rPr>
        <w:br w:type="page"/>
      </w:r>
    </w:p>
    <w:p w:rsidR="00934A47" w:rsidRPr="00BD2C91" w:rsidRDefault="00934A47" w:rsidP="000950A8">
      <w:pPr>
        <w:tabs>
          <w:tab w:val="left" w:pos="6110"/>
        </w:tabs>
        <w:spacing w:line="360" w:lineRule="auto"/>
        <w:jc w:val="both"/>
        <w:rPr>
          <w:rFonts w:ascii="Book Antiqua" w:hAnsi="Book Antiqua"/>
          <w:color w:val="000000"/>
        </w:rPr>
      </w:pPr>
      <w:r w:rsidRPr="00BD2C91">
        <w:rPr>
          <w:rFonts w:ascii="Book Antiqua" w:hAnsi="Book Antiqua"/>
          <w:b/>
          <w:color w:val="000000"/>
        </w:rPr>
        <w:t xml:space="preserve">Figure 2 The colectomy specimen showed two synchronous tumors with divergent histologic differentiation. </w:t>
      </w:r>
      <w:r w:rsidRPr="00BD2C91">
        <w:rPr>
          <w:rFonts w:ascii="Book Antiqua" w:hAnsi="Book Antiqua"/>
          <w:color w:val="000000"/>
        </w:rPr>
        <w:t>A: The larger tumor was poorly differentiated and composed of sheets of polygonal-shaped cells with granular eosinophilic cytoplasm, centrally located nuclei and prominent nucleoli (hematoxylin and eosin staining, 40</w:t>
      </w:r>
      <w:r w:rsidRPr="00BD2C91">
        <w:rPr>
          <w:rFonts w:ascii="Book Antiqua" w:hAnsi="Book Antiqua"/>
          <w:color w:val="000000"/>
        </w:rPr>
        <w:sym w:font="Symbol" w:char="F0B4"/>
      </w:r>
      <w:r w:rsidRPr="00BD2C91">
        <w:rPr>
          <w:rFonts w:ascii="Book Antiqua" w:hAnsi="Book Antiqua"/>
          <w:color w:val="000000"/>
        </w:rPr>
        <w:t xml:space="preserve"> magnification); B: Larger tumor at 200</w:t>
      </w:r>
      <w:r w:rsidRPr="00BD2C91">
        <w:rPr>
          <w:rFonts w:ascii="Book Antiqua" w:hAnsi="Book Antiqua"/>
          <w:color w:val="000000"/>
        </w:rPr>
        <w:sym w:font="Symbol" w:char="F0B4"/>
      </w:r>
      <w:r w:rsidRPr="00BD2C91">
        <w:rPr>
          <w:rFonts w:ascii="Book Antiqua" w:hAnsi="Book Antiqua"/>
          <w:color w:val="000000"/>
        </w:rPr>
        <w:t xml:space="preserve"> magnification, inset shows immunostaining for alpha-fetoprotein; C: The second tumor demonstrated a more typical colonic morphologic differentiation, characterized by infiltrating submucosal glands (hematoxylin and eosin staining, 40</w:t>
      </w:r>
      <w:r w:rsidRPr="00BD2C91">
        <w:rPr>
          <w:rFonts w:ascii="Book Antiqua" w:hAnsi="Book Antiqua"/>
          <w:color w:val="000000"/>
        </w:rPr>
        <w:sym w:font="Symbol" w:char="F0B4"/>
      </w:r>
      <w:r w:rsidRPr="00BD2C91">
        <w:rPr>
          <w:rFonts w:ascii="Book Antiqua" w:hAnsi="Book Antiqua"/>
          <w:color w:val="000000"/>
        </w:rPr>
        <w:t xml:space="preserve"> magnification); D: Second tumor at 200</w:t>
      </w:r>
      <w:r w:rsidRPr="00BD2C91">
        <w:rPr>
          <w:rFonts w:ascii="Book Antiqua" w:hAnsi="Book Antiqua"/>
          <w:color w:val="000000"/>
        </w:rPr>
        <w:sym w:font="Symbol" w:char="F0B4"/>
      </w:r>
      <w:r w:rsidRPr="00BD2C91">
        <w:rPr>
          <w:rFonts w:ascii="Book Antiqua" w:hAnsi="Book Antiqua"/>
          <w:color w:val="000000"/>
        </w:rPr>
        <w:t xml:space="preserve"> magnification.</w:t>
      </w:r>
    </w:p>
    <w:p w:rsidR="00934A47" w:rsidRPr="00BD2C91" w:rsidRDefault="00934A47" w:rsidP="00302FD7">
      <w:pPr>
        <w:spacing w:line="360" w:lineRule="auto"/>
        <w:rPr>
          <w:rFonts w:ascii="Book Antiqua" w:hAnsi="Book Antiqua"/>
          <w:color w:val="000000"/>
        </w:rPr>
      </w:pPr>
    </w:p>
    <w:p w:rsidR="00934A47" w:rsidRPr="00BD2C91" w:rsidRDefault="001825AB" w:rsidP="004E7183">
      <w:pPr>
        <w:spacing w:line="360" w:lineRule="auto"/>
        <w:rPr>
          <w:rFonts w:ascii="Book Antiqua" w:hAnsi="Book Antiqua"/>
          <w:color w:val="000000"/>
        </w:rPr>
      </w:pPr>
      <w:r>
        <w:rPr>
          <w:rFonts w:ascii="Book Antiqua" w:hAnsi="Book Antiqua"/>
          <w:noProof/>
          <w:color w:val="000000"/>
          <w:lang w:eastAsia="zh-CN"/>
        </w:rPr>
        <w:drawing>
          <wp:inline distT="0" distB="0" distL="0" distR="0">
            <wp:extent cx="5354955" cy="40011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4955" cy="4001135"/>
                    </a:xfrm>
                    <a:prstGeom prst="rect">
                      <a:avLst/>
                    </a:prstGeom>
                    <a:noFill/>
                    <a:ln>
                      <a:noFill/>
                    </a:ln>
                  </pic:spPr>
                </pic:pic>
              </a:graphicData>
            </a:graphic>
          </wp:inline>
        </w:drawing>
      </w:r>
    </w:p>
    <w:p w:rsidR="00934A47" w:rsidRPr="00BD2C91" w:rsidRDefault="00934A47" w:rsidP="004E7183">
      <w:pPr>
        <w:spacing w:line="360" w:lineRule="auto"/>
        <w:rPr>
          <w:rFonts w:ascii="Book Antiqua" w:hAnsi="Book Antiqua"/>
          <w:color w:val="000000"/>
        </w:rPr>
      </w:pPr>
    </w:p>
    <w:p w:rsidR="00934A47" w:rsidRPr="00BD2C91" w:rsidRDefault="00934A47" w:rsidP="004E7183">
      <w:pPr>
        <w:spacing w:line="360" w:lineRule="auto"/>
        <w:rPr>
          <w:rFonts w:ascii="Book Antiqua" w:hAnsi="Book Antiqua"/>
          <w:b/>
          <w:color w:val="000000"/>
        </w:rPr>
      </w:pPr>
    </w:p>
    <w:sectPr w:rsidR="00934A47" w:rsidRPr="00BD2C91" w:rsidSect="00397CDE">
      <w:footerReference w:type="even" r:id="rId10"/>
      <w:foot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085" w:rsidRDefault="00002085" w:rsidP="00D5286F">
      <w:r>
        <w:separator/>
      </w:r>
    </w:p>
  </w:endnote>
  <w:endnote w:type="continuationSeparator" w:id="0">
    <w:p w:rsidR="00002085" w:rsidRDefault="00002085" w:rsidP="00D52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A47" w:rsidRDefault="00934A47" w:rsidP="00D5286F">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934A47" w:rsidRDefault="00934A47" w:rsidP="00D5286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A47" w:rsidRDefault="00934A47" w:rsidP="00D5286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085" w:rsidRDefault="00002085" w:rsidP="00D5286F">
      <w:r>
        <w:separator/>
      </w:r>
    </w:p>
  </w:footnote>
  <w:footnote w:type="continuationSeparator" w:id="0">
    <w:p w:rsidR="00002085" w:rsidRDefault="00002085" w:rsidP="00D528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ocumentProtection w:edit="readOnly" w:enforcement="0"/>
  <w:defaultTabStop w:val="4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E8C"/>
    <w:rsid w:val="00002085"/>
    <w:rsid w:val="00004315"/>
    <w:rsid w:val="0000695C"/>
    <w:rsid w:val="000351B5"/>
    <w:rsid w:val="000449F2"/>
    <w:rsid w:val="0006063D"/>
    <w:rsid w:val="00060FBF"/>
    <w:rsid w:val="000611CE"/>
    <w:rsid w:val="00063FA0"/>
    <w:rsid w:val="00067C19"/>
    <w:rsid w:val="00082882"/>
    <w:rsid w:val="00087440"/>
    <w:rsid w:val="00092CB9"/>
    <w:rsid w:val="00093B7B"/>
    <w:rsid w:val="000950A8"/>
    <w:rsid w:val="000A30BA"/>
    <w:rsid w:val="000A5DA0"/>
    <w:rsid w:val="000B2B2A"/>
    <w:rsid w:val="000B6BB4"/>
    <w:rsid w:val="000B7103"/>
    <w:rsid w:val="000E0691"/>
    <w:rsid w:val="000E0A0A"/>
    <w:rsid w:val="000E2A89"/>
    <w:rsid w:val="000E680D"/>
    <w:rsid w:val="000F5E53"/>
    <w:rsid w:val="00100F07"/>
    <w:rsid w:val="00102E62"/>
    <w:rsid w:val="001111CC"/>
    <w:rsid w:val="001167B6"/>
    <w:rsid w:val="001173A8"/>
    <w:rsid w:val="00117874"/>
    <w:rsid w:val="001513C5"/>
    <w:rsid w:val="0015146D"/>
    <w:rsid w:val="00151DD9"/>
    <w:rsid w:val="001611A1"/>
    <w:rsid w:val="00175EBC"/>
    <w:rsid w:val="001825AB"/>
    <w:rsid w:val="00184D90"/>
    <w:rsid w:val="0018535D"/>
    <w:rsid w:val="001A225D"/>
    <w:rsid w:val="001A28A4"/>
    <w:rsid w:val="001A3762"/>
    <w:rsid w:val="001A40A5"/>
    <w:rsid w:val="001A4B03"/>
    <w:rsid w:val="001A630F"/>
    <w:rsid w:val="001B2193"/>
    <w:rsid w:val="001B6E2E"/>
    <w:rsid w:val="001C1209"/>
    <w:rsid w:val="001C72B9"/>
    <w:rsid w:val="001D3E9D"/>
    <w:rsid w:val="001E6721"/>
    <w:rsid w:val="002129B9"/>
    <w:rsid w:val="0021790B"/>
    <w:rsid w:val="00234FC2"/>
    <w:rsid w:val="00244B23"/>
    <w:rsid w:val="00251C54"/>
    <w:rsid w:val="00272F6E"/>
    <w:rsid w:val="00277F08"/>
    <w:rsid w:val="00280D55"/>
    <w:rsid w:val="00281DD3"/>
    <w:rsid w:val="00285110"/>
    <w:rsid w:val="00285570"/>
    <w:rsid w:val="00291B71"/>
    <w:rsid w:val="002A35B9"/>
    <w:rsid w:val="002A57A8"/>
    <w:rsid w:val="002E49CF"/>
    <w:rsid w:val="002F22CD"/>
    <w:rsid w:val="002F358B"/>
    <w:rsid w:val="002F6835"/>
    <w:rsid w:val="003029D4"/>
    <w:rsid w:val="00302FD7"/>
    <w:rsid w:val="003057B4"/>
    <w:rsid w:val="00306C8C"/>
    <w:rsid w:val="00317A6A"/>
    <w:rsid w:val="003303F0"/>
    <w:rsid w:val="003362BD"/>
    <w:rsid w:val="00345F19"/>
    <w:rsid w:val="00346081"/>
    <w:rsid w:val="00364A57"/>
    <w:rsid w:val="003704A7"/>
    <w:rsid w:val="003717FE"/>
    <w:rsid w:val="00372BAA"/>
    <w:rsid w:val="0037476D"/>
    <w:rsid w:val="00390FA8"/>
    <w:rsid w:val="00392944"/>
    <w:rsid w:val="00393CA2"/>
    <w:rsid w:val="00397988"/>
    <w:rsid w:val="00397CDE"/>
    <w:rsid w:val="00397E37"/>
    <w:rsid w:val="003A7961"/>
    <w:rsid w:val="003C11AE"/>
    <w:rsid w:val="003C1E8D"/>
    <w:rsid w:val="003D3B9E"/>
    <w:rsid w:val="003D55FE"/>
    <w:rsid w:val="003E542F"/>
    <w:rsid w:val="003F66BD"/>
    <w:rsid w:val="003F7DF9"/>
    <w:rsid w:val="00412134"/>
    <w:rsid w:val="00414921"/>
    <w:rsid w:val="00424290"/>
    <w:rsid w:val="00427782"/>
    <w:rsid w:val="00430BDD"/>
    <w:rsid w:val="004432E2"/>
    <w:rsid w:val="00456912"/>
    <w:rsid w:val="00457217"/>
    <w:rsid w:val="00466903"/>
    <w:rsid w:val="00470350"/>
    <w:rsid w:val="00473DC7"/>
    <w:rsid w:val="004825EC"/>
    <w:rsid w:val="00484118"/>
    <w:rsid w:val="0049612C"/>
    <w:rsid w:val="004B06FC"/>
    <w:rsid w:val="004C0452"/>
    <w:rsid w:val="004C4A87"/>
    <w:rsid w:val="004D75DE"/>
    <w:rsid w:val="004E4A35"/>
    <w:rsid w:val="004E7183"/>
    <w:rsid w:val="004F2EE3"/>
    <w:rsid w:val="004F7988"/>
    <w:rsid w:val="00500130"/>
    <w:rsid w:val="00500925"/>
    <w:rsid w:val="00513A99"/>
    <w:rsid w:val="005310CC"/>
    <w:rsid w:val="005336FD"/>
    <w:rsid w:val="00537BD3"/>
    <w:rsid w:val="00544AF1"/>
    <w:rsid w:val="00545B54"/>
    <w:rsid w:val="005508A8"/>
    <w:rsid w:val="00566E2B"/>
    <w:rsid w:val="005748E8"/>
    <w:rsid w:val="00575B8F"/>
    <w:rsid w:val="005838F8"/>
    <w:rsid w:val="00584548"/>
    <w:rsid w:val="0058471E"/>
    <w:rsid w:val="00595C65"/>
    <w:rsid w:val="005A5843"/>
    <w:rsid w:val="005B382A"/>
    <w:rsid w:val="005B788E"/>
    <w:rsid w:val="005C2866"/>
    <w:rsid w:val="005C292E"/>
    <w:rsid w:val="005C3BE3"/>
    <w:rsid w:val="005D3442"/>
    <w:rsid w:val="005D71E2"/>
    <w:rsid w:val="005F10A6"/>
    <w:rsid w:val="005F1F92"/>
    <w:rsid w:val="005F2BAB"/>
    <w:rsid w:val="005F4D4F"/>
    <w:rsid w:val="005F6D4A"/>
    <w:rsid w:val="006012A3"/>
    <w:rsid w:val="006078A8"/>
    <w:rsid w:val="006106E8"/>
    <w:rsid w:val="00641FCD"/>
    <w:rsid w:val="00653958"/>
    <w:rsid w:val="00662EB1"/>
    <w:rsid w:val="0067203C"/>
    <w:rsid w:val="00673C26"/>
    <w:rsid w:val="006856EE"/>
    <w:rsid w:val="00685828"/>
    <w:rsid w:val="00686AED"/>
    <w:rsid w:val="006A58EA"/>
    <w:rsid w:val="006A6A84"/>
    <w:rsid w:val="006B1453"/>
    <w:rsid w:val="006C6D06"/>
    <w:rsid w:val="006D709F"/>
    <w:rsid w:val="006E7A9D"/>
    <w:rsid w:val="00706B16"/>
    <w:rsid w:val="00712543"/>
    <w:rsid w:val="00712A35"/>
    <w:rsid w:val="00715C95"/>
    <w:rsid w:val="007161AC"/>
    <w:rsid w:val="007214E9"/>
    <w:rsid w:val="007247C1"/>
    <w:rsid w:val="00727613"/>
    <w:rsid w:val="007301C2"/>
    <w:rsid w:val="007308D9"/>
    <w:rsid w:val="0073170B"/>
    <w:rsid w:val="00733ADB"/>
    <w:rsid w:val="00733E38"/>
    <w:rsid w:val="00737E6C"/>
    <w:rsid w:val="00747F83"/>
    <w:rsid w:val="00762B11"/>
    <w:rsid w:val="00776E15"/>
    <w:rsid w:val="00777A64"/>
    <w:rsid w:val="00790AB9"/>
    <w:rsid w:val="007954BF"/>
    <w:rsid w:val="007A3A90"/>
    <w:rsid w:val="007A3D6C"/>
    <w:rsid w:val="007A6451"/>
    <w:rsid w:val="007B7E0B"/>
    <w:rsid w:val="007C33CE"/>
    <w:rsid w:val="007C587D"/>
    <w:rsid w:val="007C624A"/>
    <w:rsid w:val="007D3D26"/>
    <w:rsid w:val="007D6921"/>
    <w:rsid w:val="007E7E54"/>
    <w:rsid w:val="007F0A07"/>
    <w:rsid w:val="007F31B1"/>
    <w:rsid w:val="008038AE"/>
    <w:rsid w:val="00814598"/>
    <w:rsid w:val="00822AAB"/>
    <w:rsid w:val="00822D5E"/>
    <w:rsid w:val="00825AE6"/>
    <w:rsid w:val="0083206B"/>
    <w:rsid w:val="0083365A"/>
    <w:rsid w:val="008347FA"/>
    <w:rsid w:val="0084487E"/>
    <w:rsid w:val="008576BF"/>
    <w:rsid w:val="00860F33"/>
    <w:rsid w:val="00865614"/>
    <w:rsid w:val="00871FA7"/>
    <w:rsid w:val="008926AC"/>
    <w:rsid w:val="00892D06"/>
    <w:rsid w:val="00893221"/>
    <w:rsid w:val="00894A51"/>
    <w:rsid w:val="008A52B8"/>
    <w:rsid w:val="008B0594"/>
    <w:rsid w:val="008B48DA"/>
    <w:rsid w:val="008C7991"/>
    <w:rsid w:val="008D41C8"/>
    <w:rsid w:val="008D4B6B"/>
    <w:rsid w:val="008D5888"/>
    <w:rsid w:val="008D7180"/>
    <w:rsid w:val="008E2D44"/>
    <w:rsid w:val="008E5A13"/>
    <w:rsid w:val="008E7D7E"/>
    <w:rsid w:val="009031AC"/>
    <w:rsid w:val="00915244"/>
    <w:rsid w:val="009177EC"/>
    <w:rsid w:val="009202C0"/>
    <w:rsid w:val="0092468A"/>
    <w:rsid w:val="00924E8C"/>
    <w:rsid w:val="00926C53"/>
    <w:rsid w:val="009306B1"/>
    <w:rsid w:val="00934A47"/>
    <w:rsid w:val="00950CAE"/>
    <w:rsid w:val="009535C1"/>
    <w:rsid w:val="009605D6"/>
    <w:rsid w:val="00962E17"/>
    <w:rsid w:val="00964CCF"/>
    <w:rsid w:val="0098171C"/>
    <w:rsid w:val="009967D4"/>
    <w:rsid w:val="009A186F"/>
    <w:rsid w:val="009A2C98"/>
    <w:rsid w:val="009B4247"/>
    <w:rsid w:val="009C51F4"/>
    <w:rsid w:val="009C6B66"/>
    <w:rsid w:val="009D0DFD"/>
    <w:rsid w:val="009D499A"/>
    <w:rsid w:val="009F22DD"/>
    <w:rsid w:val="009F29F8"/>
    <w:rsid w:val="00A03592"/>
    <w:rsid w:val="00A03911"/>
    <w:rsid w:val="00A06126"/>
    <w:rsid w:val="00A10448"/>
    <w:rsid w:val="00A1152E"/>
    <w:rsid w:val="00A14747"/>
    <w:rsid w:val="00A16F08"/>
    <w:rsid w:val="00A2353B"/>
    <w:rsid w:val="00A249DC"/>
    <w:rsid w:val="00A2778D"/>
    <w:rsid w:val="00A4129E"/>
    <w:rsid w:val="00A4462A"/>
    <w:rsid w:val="00A51875"/>
    <w:rsid w:val="00A54F80"/>
    <w:rsid w:val="00A60B01"/>
    <w:rsid w:val="00A75B47"/>
    <w:rsid w:val="00A8340C"/>
    <w:rsid w:val="00A83C3B"/>
    <w:rsid w:val="00A86110"/>
    <w:rsid w:val="00A905A5"/>
    <w:rsid w:val="00AA12E1"/>
    <w:rsid w:val="00AB3842"/>
    <w:rsid w:val="00AC4EBD"/>
    <w:rsid w:val="00AC56B8"/>
    <w:rsid w:val="00AD1BB8"/>
    <w:rsid w:val="00AE3504"/>
    <w:rsid w:val="00AE6B5C"/>
    <w:rsid w:val="00AF2463"/>
    <w:rsid w:val="00AF6F2B"/>
    <w:rsid w:val="00AF7677"/>
    <w:rsid w:val="00AF77D0"/>
    <w:rsid w:val="00B05E6D"/>
    <w:rsid w:val="00B240D8"/>
    <w:rsid w:val="00B3744B"/>
    <w:rsid w:val="00B437FB"/>
    <w:rsid w:val="00B56B5B"/>
    <w:rsid w:val="00B81FC0"/>
    <w:rsid w:val="00B83776"/>
    <w:rsid w:val="00B85E5F"/>
    <w:rsid w:val="00B913FC"/>
    <w:rsid w:val="00B9173F"/>
    <w:rsid w:val="00B95318"/>
    <w:rsid w:val="00BA199F"/>
    <w:rsid w:val="00BB65D5"/>
    <w:rsid w:val="00BD012B"/>
    <w:rsid w:val="00BD24E1"/>
    <w:rsid w:val="00BD2C91"/>
    <w:rsid w:val="00BE54DD"/>
    <w:rsid w:val="00BF449E"/>
    <w:rsid w:val="00C07446"/>
    <w:rsid w:val="00C22289"/>
    <w:rsid w:val="00C261CE"/>
    <w:rsid w:val="00C30C30"/>
    <w:rsid w:val="00C37429"/>
    <w:rsid w:val="00C40362"/>
    <w:rsid w:val="00C5198B"/>
    <w:rsid w:val="00C538C2"/>
    <w:rsid w:val="00C53948"/>
    <w:rsid w:val="00C54B75"/>
    <w:rsid w:val="00C56046"/>
    <w:rsid w:val="00C81800"/>
    <w:rsid w:val="00C82CA8"/>
    <w:rsid w:val="00C858A0"/>
    <w:rsid w:val="00C93A1B"/>
    <w:rsid w:val="00CA465F"/>
    <w:rsid w:val="00CA53E3"/>
    <w:rsid w:val="00CB4AE4"/>
    <w:rsid w:val="00CC02EC"/>
    <w:rsid w:val="00CD1746"/>
    <w:rsid w:val="00CD3E2C"/>
    <w:rsid w:val="00CD625E"/>
    <w:rsid w:val="00CD7AA0"/>
    <w:rsid w:val="00CE71F1"/>
    <w:rsid w:val="00CE71F9"/>
    <w:rsid w:val="00CF0538"/>
    <w:rsid w:val="00D07BBE"/>
    <w:rsid w:val="00D1099B"/>
    <w:rsid w:val="00D11BF5"/>
    <w:rsid w:val="00D24147"/>
    <w:rsid w:val="00D27366"/>
    <w:rsid w:val="00D302C5"/>
    <w:rsid w:val="00D31A94"/>
    <w:rsid w:val="00D333D0"/>
    <w:rsid w:val="00D347A1"/>
    <w:rsid w:val="00D40E58"/>
    <w:rsid w:val="00D4354B"/>
    <w:rsid w:val="00D43B00"/>
    <w:rsid w:val="00D519DC"/>
    <w:rsid w:val="00D52745"/>
    <w:rsid w:val="00D5286F"/>
    <w:rsid w:val="00D564ED"/>
    <w:rsid w:val="00D623DC"/>
    <w:rsid w:val="00D62A4B"/>
    <w:rsid w:val="00D66D23"/>
    <w:rsid w:val="00D72E0E"/>
    <w:rsid w:val="00D7366F"/>
    <w:rsid w:val="00D8659D"/>
    <w:rsid w:val="00D8729E"/>
    <w:rsid w:val="00D90DD1"/>
    <w:rsid w:val="00D928CD"/>
    <w:rsid w:val="00D92CF4"/>
    <w:rsid w:val="00DB2022"/>
    <w:rsid w:val="00DB2D9F"/>
    <w:rsid w:val="00DB7C3B"/>
    <w:rsid w:val="00DC035F"/>
    <w:rsid w:val="00DC2798"/>
    <w:rsid w:val="00DC770E"/>
    <w:rsid w:val="00DE6D9A"/>
    <w:rsid w:val="00E03097"/>
    <w:rsid w:val="00E10006"/>
    <w:rsid w:val="00E16C61"/>
    <w:rsid w:val="00E17098"/>
    <w:rsid w:val="00E20831"/>
    <w:rsid w:val="00E376C2"/>
    <w:rsid w:val="00E37E2C"/>
    <w:rsid w:val="00E420D9"/>
    <w:rsid w:val="00E42128"/>
    <w:rsid w:val="00E42F04"/>
    <w:rsid w:val="00E47244"/>
    <w:rsid w:val="00E52164"/>
    <w:rsid w:val="00E66D24"/>
    <w:rsid w:val="00E7007A"/>
    <w:rsid w:val="00E762DE"/>
    <w:rsid w:val="00E77CF2"/>
    <w:rsid w:val="00E812CF"/>
    <w:rsid w:val="00E81A40"/>
    <w:rsid w:val="00E864DA"/>
    <w:rsid w:val="00E8782A"/>
    <w:rsid w:val="00E9363B"/>
    <w:rsid w:val="00E952B1"/>
    <w:rsid w:val="00E97C45"/>
    <w:rsid w:val="00EA27B7"/>
    <w:rsid w:val="00EB01E6"/>
    <w:rsid w:val="00EB0BF8"/>
    <w:rsid w:val="00EC1284"/>
    <w:rsid w:val="00ED7D7B"/>
    <w:rsid w:val="00EE3986"/>
    <w:rsid w:val="00EE772D"/>
    <w:rsid w:val="00EE7F61"/>
    <w:rsid w:val="00F018F8"/>
    <w:rsid w:val="00F20644"/>
    <w:rsid w:val="00F21618"/>
    <w:rsid w:val="00F220F9"/>
    <w:rsid w:val="00F22CD2"/>
    <w:rsid w:val="00F26BB2"/>
    <w:rsid w:val="00F302C6"/>
    <w:rsid w:val="00F34691"/>
    <w:rsid w:val="00F34979"/>
    <w:rsid w:val="00F34E7E"/>
    <w:rsid w:val="00F402FE"/>
    <w:rsid w:val="00F40FEC"/>
    <w:rsid w:val="00F45005"/>
    <w:rsid w:val="00F50C2D"/>
    <w:rsid w:val="00F631CF"/>
    <w:rsid w:val="00F677EB"/>
    <w:rsid w:val="00F71620"/>
    <w:rsid w:val="00F818B2"/>
    <w:rsid w:val="00F82FB8"/>
    <w:rsid w:val="00F84441"/>
    <w:rsid w:val="00F84A5E"/>
    <w:rsid w:val="00F8557E"/>
    <w:rsid w:val="00F95F2B"/>
    <w:rsid w:val="00FA246A"/>
    <w:rsid w:val="00FA59F1"/>
    <w:rsid w:val="00FB095E"/>
    <w:rsid w:val="00FC0CF2"/>
    <w:rsid w:val="00FC1C4F"/>
    <w:rsid w:val="00FD0A87"/>
    <w:rsid w:val="00FE0A05"/>
    <w:rsid w:val="00FE461A"/>
    <w:rsid w:val="00FE51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958"/>
    <w:rPr>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5286F"/>
    <w:pPr>
      <w:tabs>
        <w:tab w:val="center" w:pos="4320"/>
        <w:tab w:val="right" w:pos="8640"/>
      </w:tabs>
    </w:pPr>
  </w:style>
  <w:style w:type="character" w:customStyle="1" w:styleId="Char">
    <w:name w:val="页脚 Char"/>
    <w:basedOn w:val="a0"/>
    <w:link w:val="a3"/>
    <w:uiPriority w:val="99"/>
    <w:locked/>
    <w:rsid w:val="00D5286F"/>
    <w:rPr>
      <w:rFonts w:cs="Times New Roman"/>
    </w:rPr>
  </w:style>
  <w:style w:type="character" w:styleId="a4">
    <w:name w:val="page number"/>
    <w:basedOn w:val="a0"/>
    <w:uiPriority w:val="99"/>
    <w:semiHidden/>
    <w:rsid w:val="00D5286F"/>
    <w:rPr>
      <w:rFonts w:cs="Times New Roman"/>
    </w:rPr>
  </w:style>
  <w:style w:type="character" w:styleId="a5">
    <w:name w:val="Hyperlink"/>
    <w:basedOn w:val="a0"/>
    <w:uiPriority w:val="99"/>
    <w:rsid w:val="00776E15"/>
    <w:rPr>
      <w:rFonts w:cs="Times New Roman"/>
      <w:color w:val="0000FF"/>
      <w:u w:val="single"/>
    </w:rPr>
  </w:style>
  <w:style w:type="paragraph" w:styleId="a6">
    <w:name w:val="Balloon Text"/>
    <w:basedOn w:val="a"/>
    <w:link w:val="Char0"/>
    <w:uiPriority w:val="99"/>
    <w:semiHidden/>
    <w:rsid w:val="0098171C"/>
    <w:rPr>
      <w:rFonts w:ascii="Tahoma" w:hAnsi="Tahoma" w:cs="Tahoma"/>
      <w:sz w:val="16"/>
      <w:szCs w:val="16"/>
    </w:rPr>
  </w:style>
  <w:style w:type="character" w:customStyle="1" w:styleId="Char0">
    <w:name w:val="批注框文本 Char"/>
    <w:basedOn w:val="a0"/>
    <w:link w:val="a6"/>
    <w:uiPriority w:val="99"/>
    <w:semiHidden/>
    <w:locked/>
    <w:rsid w:val="000E680D"/>
    <w:rPr>
      <w:rFonts w:ascii="Times New Roman" w:hAnsi="Times New Roman" w:cs="Times New Roman"/>
      <w:sz w:val="2"/>
    </w:rPr>
  </w:style>
  <w:style w:type="character" w:styleId="a7">
    <w:name w:val="annotation reference"/>
    <w:basedOn w:val="a0"/>
    <w:uiPriority w:val="99"/>
    <w:semiHidden/>
    <w:rsid w:val="0098171C"/>
    <w:rPr>
      <w:rFonts w:cs="Times New Roman"/>
      <w:sz w:val="16"/>
      <w:szCs w:val="16"/>
    </w:rPr>
  </w:style>
  <w:style w:type="paragraph" w:styleId="a8">
    <w:name w:val="annotation text"/>
    <w:basedOn w:val="a"/>
    <w:link w:val="Char1"/>
    <w:uiPriority w:val="99"/>
    <w:semiHidden/>
    <w:rsid w:val="0098171C"/>
    <w:rPr>
      <w:sz w:val="20"/>
      <w:szCs w:val="20"/>
    </w:rPr>
  </w:style>
  <w:style w:type="character" w:customStyle="1" w:styleId="Char1">
    <w:name w:val="批注文字 Char"/>
    <w:basedOn w:val="a0"/>
    <w:link w:val="a8"/>
    <w:uiPriority w:val="99"/>
    <w:semiHidden/>
    <w:locked/>
    <w:rsid w:val="000E680D"/>
    <w:rPr>
      <w:rFonts w:cs="Times New Roman"/>
      <w:sz w:val="20"/>
      <w:szCs w:val="20"/>
    </w:rPr>
  </w:style>
  <w:style w:type="paragraph" w:styleId="a9">
    <w:name w:val="annotation subject"/>
    <w:basedOn w:val="a8"/>
    <w:next w:val="a8"/>
    <w:link w:val="Char2"/>
    <w:uiPriority w:val="99"/>
    <w:semiHidden/>
    <w:rsid w:val="0098171C"/>
    <w:rPr>
      <w:b/>
      <w:bCs/>
    </w:rPr>
  </w:style>
  <w:style w:type="character" w:customStyle="1" w:styleId="Char2">
    <w:name w:val="批注主题 Char"/>
    <w:basedOn w:val="Char1"/>
    <w:link w:val="a9"/>
    <w:uiPriority w:val="99"/>
    <w:semiHidden/>
    <w:locked/>
    <w:rsid w:val="000E680D"/>
    <w:rPr>
      <w:rFonts w:cs="Times New Roman"/>
      <w:b/>
      <w:bCs/>
      <w:sz w:val="20"/>
      <w:szCs w:val="20"/>
    </w:rPr>
  </w:style>
  <w:style w:type="paragraph" w:customStyle="1" w:styleId="p0">
    <w:name w:val="p0"/>
    <w:basedOn w:val="a"/>
    <w:uiPriority w:val="99"/>
    <w:rsid w:val="00F018F8"/>
    <w:pPr>
      <w:spacing w:line="240" w:lineRule="atLeast"/>
    </w:pPr>
    <w:rPr>
      <w:rFonts w:ascii="Century" w:hAnsi="Century" w:cs="宋体"/>
      <w:sz w:val="21"/>
      <w:szCs w:val="21"/>
      <w:lang w:eastAsia="zh-CN"/>
    </w:rPr>
  </w:style>
  <w:style w:type="paragraph" w:styleId="aa">
    <w:name w:val="header"/>
    <w:basedOn w:val="a"/>
    <w:link w:val="Char3"/>
    <w:uiPriority w:val="99"/>
    <w:rsid w:val="003704A7"/>
    <w:pPr>
      <w:tabs>
        <w:tab w:val="center" w:pos="4320"/>
        <w:tab w:val="right" w:pos="8640"/>
      </w:tabs>
    </w:pPr>
  </w:style>
  <w:style w:type="character" w:customStyle="1" w:styleId="Char3">
    <w:name w:val="页眉 Char"/>
    <w:basedOn w:val="a0"/>
    <w:link w:val="aa"/>
    <w:uiPriority w:val="99"/>
    <w:locked/>
    <w:rsid w:val="003704A7"/>
    <w:rPr>
      <w:rFonts w:cs="Times New Roman"/>
      <w:sz w:val="24"/>
      <w:szCs w:val="24"/>
    </w:rPr>
  </w:style>
  <w:style w:type="paragraph" w:styleId="ab">
    <w:name w:val="Revision"/>
    <w:hidden/>
    <w:uiPriority w:val="99"/>
    <w:semiHidden/>
    <w:rsid w:val="005F4D4F"/>
    <w:rPr>
      <w:kern w:val="0"/>
      <w:sz w:val="24"/>
      <w:szCs w:val="24"/>
      <w:lang w:eastAsia="en-US"/>
    </w:rPr>
  </w:style>
  <w:style w:type="character" w:customStyle="1" w:styleId="apple-converted-space">
    <w:name w:val="apple-converted-space"/>
    <w:basedOn w:val="a0"/>
    <w:uiPriority w:val="99"/>
    <w:rsid w:val="00BD2C9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958"/>
    <w:rPr>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5286F"/>
    <w:pPr>
      <w:tabs>
        <w:tab w:val="center" w:pos="4320"/>
        <w:tab w:val="right" w:pos="8640"/>
      </w:tabs>
    </w:pPr>
  </w:style>
  <w:style w:type="character" w:customStyle="1" w:styleId="Char">
    <w:name w:val="页脚 Char"/>
    <w:basedOn w:val="a0"/>
    <w:link w:val="a3"/>
    <w:uiPriority w:val="99"/>
    <w:locked/>
    <w:rsid w:val="00D5286F"/>
    <w:rPr>
      <w:rFonts w:cs="Times New Roman"/>
    </w:rPr>
  </w:style>
  <w:style w:type="character" w:styleId="a4">
    <w:name w:val="page number"/>
    <w:basedOn w:val="a0"/>
    <w:uiPriority w:val="99"/>
    <w:semiHidden/>
    <w:rsid w:val="00D5286F"/>
    <w:rPr>
      <w:rFonts w:cs="Times New Roman"/>
    </w:rPr>
  </w:style>
  <w:style w:type="character" w:styleId="a5">
    <w:name w:val="Hyperlink"/>
    <w:basedOn w:val="a0"/>
    <w:uiPriority w:val="99"/>
    <w:rsid w:val="00776E15"/>
    <w:rPr>
      <w:rFonts w:cs="Times New Roman"/>
      <w:color w:val="0000FF"/>
      <w:u w:val="single"/>
    </w:rPr>
  </w:style>
  <w:style w:type="paragraph" w:styleId="a6">
    <w:name w:val="Balloon Text"/>
    <w:basedOn w:val="a"/>
    <w:link w:val="Char0"/>
    <w:uiPriority w:val="99"/>
    <w:semiHidden/>
    <w:rsid w:val="0098171C"/>
    <w:rPr>
      <w:rFonts w:ascii="Tahoma" w:hAnsi="Tahoma" w:cs="Tahoma"/>
      <w:sz w:val="16"/>
      <w:szCs w:val="16"/>
    </w:rPr>
  </w:style>
  <w:style w:type="character" w:customStyle="1" w:styleId="Char0">
    <w:name w:val="批注框文本 Char"/>
    <w:basedOn w:val="a0"/>
    <w:link w:val="a6"/>
    <w:uiPriority w:val="99"/>
    <w:semiHidden/>
    <w:locked/>
    <w:rsid w:val="000E680D"/>
    <w:rPr>
      <w:rFonts w:ascii="Times New Roman" w:hAnsi="Times New Roman" w:cs="Times New Roman"/>
      <w:sz w:val="2"/>
    </w:rPr>
  </w:style>
  <w:style w:type="character" w:styleId="a7">
    <w:name w:val="annotation reference"/>
    <w:basedOn w:val="a0"/>
    <w:uiPriority w:val="99"/>
    <w:semiHidden/>
    <w:rsid w:val="0098171C"/>
    <w:rPr>
      <w:rFonts w:cs="Times New Roman"/>
      <w:sz w:val="16"/>
      <w:szCs w:val="16"/>
    </w:rPr>
  </w:style>
  <w:style w:type="paragraph" w:styleId="a8">
    <w:name w:val="annotation text"/>
    <w:basedOn w:val="a"/>
    <w:link w:val="Char1"/>
    <w:uiPriority w:val="99"/>
    <w:semiHidden/>
    <w:rsid w:val="0098171C"/>
    <w:rPr>
      <w:sz w:val="20"/>
      <w:szCs w:val="20"/>
    </w:rPr>
  </w:style>
  <w:style w:type="character" w:customStyle="1" w:styleId="Char1">
    <w:name w:val="批注文字 Char"/>
    <w:basedOn w:val="a0"/>
    <w:link w:val="a8"/>
    <w:uiPriority w:val="99"/>
    <w:semiHidden/>
    <w:locked/>
    <w:rsid w:val="000E680D"/>
    <w:rPr>
      <w:rFonts w:cs="Times New Roman"/>
      <w:sz w:val="20"/>
      <w:szCs w:val="20"/>
    </w:rPr>
  </w:style>
  <w:style w:type="paragraph" w:styleId="a9">
    <w:name w:val="annotation subject"/>
    <w:basedOn w:val="a8"/>
    <w:next w:val="a8"/>
    <w:link w:val="Char2"/>
    <w:uiPriority w:val="99"/>
    <w:semiHidden/>
    <w:rsid w:val="0098171C"/>
    <w:rPr>
      <w:b/>
      <w:bCs/>
    </w:rPr>
  </w:style>
  <w:style w:type="character" w:customStyle="1" w:styleId="Char2">
    <w:name w:val="批注主题 Char"/>
    <w:basedOn w:val="Char1"/>
    <w:link w:val="a9"/>
    <w:uiPriority w:val="99"/>
    <w:semiHidden/>
    <w:locked/>
    <w:rsid w:val="000E680D"/>
    <w:rPr>
      <w:rFonts w:cs="Times New Roman"/>
      <w:b/>
      <w:bCs/>
      <w:sz w:val="20"/>
      <w:szCs w:val="20"/>
    </w:rPr>
  </w:style>
  <w:style w:type="paragraph" w:customStyle="1" w:styleId="p0">
    <w:name w:val="p0"/>
    <w:basedOn w:val="a"/>
    <w:uiPriority w:val="99"/>
    <w:rsid w:val="00F018F8"/>
    <w:pPr>
      <w:spacing w:line="240" w:lineRule="atLeast"/>
    </w:pPr>
    <w:rPr>
      <w:rFonts w:ascii="Century" w:hAnsi="Century" w:cs="宋体"/>
      <w:sz w:val="21"/>
      <w:szCs w:val="21"/>
      <w:lang w:eastAsia="zh-CN"/>
    </w:rPr>
  </w:style>
  <w:style w:type="paragraph" w:styleId="aa">
    <w:name w:val="header"/>
    <w:basedOn w:val="a"/>
    <w:link w:val="Char3"/>
    <w:uiPriority w:val="99"/>
    <w:rsid w:val="003704A7"/>
    <w:pPr>
      <w:tabs>
        <w:tab w:val="center" w:pos="4320"/>
        <w:tab w:val="right" w:pos="8640"/>
      </w:tabs>
    </w:pPr>
  </w:style>
  <w:style w:type="character" w:customStyle="1" w:styleId="Char3">
    <w:name w:val="页眉 Char"/>
    <w:basedOn w:val="a0"/>
    <w:link w:val="aa"/>
    <w:uiPriority w:val="99"/>
    <w:locked/>
    <w:rsid w:val="003704A7"/>
    <w:rPr>
      <w:rFonts w:cs="Times New Roman"/>
      <w:sz w:val="24"/>
      <w:szCs w:val="24"/>
    </w:rPr>
  </w:style>
  <w:style w:type="paragraph" w:styleId="ab">
    <w:name w:val="Revision"/>
    <w:hidden/>
    <w:uiPriority w:val="99"/>
    <w:semiHidden/>
    <w:rsid w:val="005F4D4F"/>
    <w:rPr>
      <w:kern w:val="0"/>
      <w:sz w:val="24"/>
      <w:szCs w:val="24"/>
      <w:lang w:eastAsia="en-US"/>
    </w:rPr>
  </w:style>
  <w:style w:type="character" w:customStyle="1" w:styleId="apple-converted-space">
    <w:name w:val="apple-converted-space"/>
    <w:basedOn w:val="a0"/>
    <w:uiPriority w:val="99"/>
    <w:rsid w:val="00BD2C9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696409">
      <w:marLeft w:val="0"/>
      <w:marRight w:val="0"/>
      <w:marTop w:val="0"/>
      <w:marBottom w:val="0"/>
      <w:divBdr>
        <w:top w:val="none" w:sz="0" w:space="0" w:color="auto"/>
        <w:left w:val="none" w:sz="0" w:space="0" w:color="auto"/>
        <w:bottom w:val="none" w:sz="0" w:space="0" w:color="auto"/>
        <w:right w:val="none" w:sz="0" w:space="0" w:color="auto"/>
      </w:divBdr>
      <w:divsChild>
        <w:div w:id="1212696401">
          <w:marLeft w:val="0"/>
          <w:marRight w:val="0"/>
          <w:marTop w:val="0"/>
          <w:marBottom w:val="0"/>
          <w:divBdr>
            <w:top w:val="none" w:sz="0" w:space="0" w:color="auto"/>
            <w:left w:val="none" w:sz="0" w:space="0" w:color="auto"/>
            <w:bottom w:val="none" w:sz="0" w:space="0" w:color="auto"/>
            <w:right w:val="none" w:sz="0" w:space="0" w:color="auto"/>
          </w:divBdr>
        </w:div>
        <w:div w:id="1212696402">
          <w:marLeft w:val="0"/>
          <w:marRight w:val="0"/>
          <w:marTop w:val="0"/>
          <w:marBottom w:val="0"/>
          <w:divBdr>
            <w:top w:val="none" w:sz="0" w:space="0" w:color="auto"/>
            <w:left w:val="none" w:sz="0" w:space="0" w:color="auto"/>
            <w:bottom w:val="none" w:sz="0" w:space="0" w:color="auto"/>
            <w:right w:val="none" w:sz="0" w:space="0" w:color="auto"/>
          </w:divBdr>
        </w:div>
        <w:div w:id="1212696403">
          <w:marLeft w:val="0"/>
          <w:marRight w:val="0"/>
          <w:marTop w:val="0"/>
          <w:marBottom w:val="0"/>
          <w:divBdr>
            <w:top w:val="none" w:sz="0" w:space="0" w:color="auto"/>
            <w:left w:val="none" w:sz="0" w:space="0" w:color="auto"/>
            <w:bottom w:val="none" w:sz="0" w:space="0" w:color="auto"/>
            <w:right w:val="none" w:sz="0" w:space="0" w:color="auto"/>
          </w:divBdr>
        </w:div>
        <w:div w:id="1212696404">
          <w:marLeft w:val="0"/>
          <w:marRight w:val="0"/>
          <w:marTop w:val="0"/>
          <w:marBottom w:val="0"/>
          <w:divBdr>
            <w:top w:val="none" w:sz="0" w:space="0" w:color="auto"/>
            <w:left w:val="none" w:sz="0" w:space="0" w:color="auto"/>
            <w:bottom w:val="none" w:sz="0" w:space="0" w:color="auto"/>
            <w:right w:val="none" w:sz="0" w:space="0" w:color="auto"/>
          </w:divBdr>
        </w:div>
        <w:div w:id="1212696405">
          <w:marLeft w:val="0"/>
          <w:marRight w:val="0"/>
          <w:marTop w:val="0"/>
          <w:marBottom w:val="0"/>
          <w:divBdr>
            <w:top w:val="none" w:sz="0" w:space="0" w:color="auto"/>
            <w:left w:val="none" w:sz="0" w:space="0" w:color="auto"/>
            <w:bottom w:val="none" w:sz="0" w:space="0" w:color="auto"/>
            <w:right w:val="none" w:sz="0" w:space="0" w:color="auto"/>
          </w:divBdr>
        </w:div>
        <w:div w:id="1212696406">
          <w:marLeft w:val="0"/>
          <w:marRight w:val="0"/>
          <w:marTop w:val="0"/>
          <w:marBottom w:val="0"/>
          <w:divBdr>
            <w:top w:val="none" w:sz="0" w:space="0" w:color="auto"/>
            <w:left w:val="none" w:sz="0" w:space="0" w:color="auto"/>
            <w:bottom w:val="none" w:sz="0" w:space="0" w:color="auto"/>
            <w:right w:val="none" w:sz="0" w:space="0" w:color="auto"/>
          </w:divBdr>
        </w:div>
        <w:div w:id="1212696407">
          <w:marLeft w:val="0"/>
          <w:marRight w:val="0"/>
          <w:marTop w:val="0"/>
          <w:marBottom w:val="0"/>
          <w:divBdr>
            <w:top w:val="none" w:sz="0" w:space="0" w:color="auto"/>
            <w:left w:val="none" w:sz="0" w:space="0" w:color="auto"/>
            <w:bottom w:val="none" w:sz="0" w:space="0" w:color="auto"/>
            <w:right w:val="none" w:sz="0" w:space="0" w:color="auto"/>
          </w:divBdr>
        </w:div>
        <w:div w:id="1212696408">
          <w:marLeft w:val="0"/>
          <w:marRight w:val="0"/>
          <w:marTop w:val="0"/>
          <w:marBottom w:val="0"/>
          <w:divBdr>
            <w:top w:val="none" w:sz="0" w:space="0" w:color="auto"/>
            <w:left w:val="none" w:sz="0" w:space="0" w:color="auto"/>
            <w:bottom w:val="none" w:sz="0" w:space="0" w:color="auto"/>
            <w:right w:val="none" w:sz="0" w:space="0" w:color="auto"/>
          </w:divBdr>
        </w:div>
        <w:div w:id="1212696410">
          <w:marLeft w:val="0"/>
          <w:marRight w:val="0"/>
          <w:marTop w:val="0"/>
          <w:marBottom w:val="0"/>
          <w:divBdr>
            <w:top w:val="none" w:sz="0" w:space="0" w:color="auto"/>
            <w:left w:val="none" w:sz="0" w:space="0" w:color="auto"/>
            <w:bottom w:val="none" w:sz="0" w:space="0" w:color="auto"/>
            <w:right w:val="none" w:sz="0" w:space="0" w:color="auto"/>
          </w:divBdr>
        </w:div>
        <w:div w:id="1212696411">
          <w:marLeft w:val="0"/>
          <w:marRight w:val="0"/>
          <w:marTop w:val="0"/>
          <w:marBottom w:val="0"/>
          <w:divBdr>
            <w:top w:val="none" w:sz="0" w:space="0" w:color="auto"/>
            <w:left w:val="none" w:sz="0" w:space="0" w:color="auto"/>
            <w:bottom w:val="none" w:sz="0" w:space="0" w:color="auto"/>
            <w:right w:val="none" w:sz="0" w:space="0" w:color="auto"/>
          </w:divBdr>
        </w:div>
        <w:div w:id="1212696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ric.yoshida@vch.ca"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2650</Words>
  <Characters>15107</Characters>
  <Application>Microsoft Office Word</Application>
  <DocSecurity>0</DocSecurity>
  <Lines>125</Lines>
  <Paragraphs>35</Paragraphs>
  <ScaleCrop>false</ScaleCrop>
  <Company>UBC</Company>
  <LinksUpToDate>false</LinksUpToDate>
  <CharactersWithSpaces>17722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Markedly Elevated Serum Alpha Fetoprotein (AFP) in Otherwise Early Stage Adenocarcinoma of the Colon in the Setting of Ulcerative Colitis and Primary Sclerosing Cholangitis: Indicator of Metastatic Disease with Hepatoid Adenocarcinoma of the Colon</dc:title>
  <dc:creator>Yuan Yuan Chen</dc:creator>
  <cp:lastModifiedBy>LS Ma</cp:lastModifiedBy>
  <cp:revision>2</cp:revision>
  <cp:lastPrinted>2014-02-28T09:03:00Z</cp:lastPrinted>
  <dcterms:created xsi:type="dcterms:W3CDTF">2014-05-12T14:38:00Z</dcterms:created>
  <dcterms:modified xsi:type="dcterms:W3CDTF">2014-05-12T14:38:00Z</dcterms:modified>
</cp:coreProperties>
</file>