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B3D7"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rPr>
        <w:t xml:space="preserve">Name of Journal: </w:t>
      </w:r>
      <w:r w:rsidRPr="00AA0B7D">
        <w:rPr>
          <w:rFonts w:ascii="Book Antiqua" w:eastAsia="Book Antiqua" w:hAnsi="Book Antiqua" w:cs="Book Antiqua"/>
          <w:i/>
        </w:rPr>
        <w:t>World Journal of Gastroenterology</w:t>
      </w:r>
    </w:p>
    <w:p w14:paraId="29AC0E75"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rPr>
        <w:t xml:space="preserve">Manuscript NO: </w:t>
      </w:r>
      <w:r w:rsidRPr="00AA0B7D">
        <w:rPr>
          <w:rFonts w:ascii="Book Antiqua" w:eastAsia="Book Antiqua" w:hAnsi="Book Antiqua" w:cs="Book Antiqua"/>
        </w:rPr>
        <w:t>89261</w:t>
      </w:r>
    </w:p>
    <w:p w14:paraId="48B35FB1"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rPr>
        <w:t xml:space="preserve">Manuscript Type: </w:t>
      </w:r>
      <w:r w:rsidRPr="00AA0B7D">
        <w:rPr>
          <w:rFonts w:ascii="Book Antiqua" w:eastAsia="Book Antiqua" w:hAnsi="Book Antiqua" w:cs="Book Antiqua"/>
        </w:rPr>
        <w:t>ORIGINAL ARTICLE</w:t>
      </w:r>
    </w:p>
    <w:p w14:paraId="246AE431" w14:textId="77777777" w:rsidR="00A77B3E" w:rsidRPr="00AA0B7D" w:rsidRDefault="00A77B3E" w:rsidP="00300CC9">
      <w:pPr>
        <w:spacing w:line="360" w:lineRule="auto"/>
        <w:jc w:val="both"/>
        <w:rPr>
          <w:rFonts w:ascii="Book Antiqua" w:hAnsi="Book Antiqua"/>
        </w:rPr>
      </w:pPr>
    </w:p>
    <w:p w14:paraId="33C0EBF1"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i/>
        </w:rPr>
        <w:t>Retrospective Study</w:t>
      </w:r>
    </w:p>
    <w:p w14:paraId="0B28429D" w14:textId="4D451494"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 xml:space="preserve">Association of tumor budding with clinicopathological features and prognostic value in stage </w:t>
      </w:r>
      <w:r w:rsidR="000A6A8F" w:rsidRPr="00AA0B7D">
        <w:rPr>
          <w:rFonts w:ascii="Book Antiqua" w:eastAsia="SimSun" w:hAnsi="Book Antiqua" w:cs="SimSun"/>
          <w:b/>
          <w:bCs/>
          <w:color w:val="000000"/>
        </w:rPr>
        <w:t>III-IV</w:t>
      </w:r>
      <w:r w:rsidRPr="00AA0B7D">
        <w:rPr>
          <w:rFonts w:ascii="Book Antiqua" w:eastAsia="Book Antiqua" w:hAnsi="Book Antiqua" w:cs="Book Antiqua"/>
          <w:b/>
          <w:bCs/>
          <w:color w:val="000000"/>
        </w:rPr>
        <w:t xml:space="preserve"> colorectal cancer</w:t>
      </w:r>
    </w:p>
    <w:p w14:paraId="22902E25" w14:textId="77777777" w:rsidR="00A77B3E" w:rsidRPr="00AA0B7D" w:rsidRDefault="00A77B3E" w:rsidP="00300CC9">
      <w:pPr>
        <w:spacing w:line="360" w:lineRule="auto"/>
        <w:jc w:val="both"/>
        <w:rPr>
          <w:rFonts w:ascii="Book Antiqua" w:hAnsi="Book Antiqua"/>
        </w:rPr>
      </w:pPr>
    </w:p>
    <w:p w14:paraId="10470242" w14:textId="452A79E2" w:rsidR="00A77B3E" w:rsidRPr="00AA0B7D" w:rsidRDefault="008929E2" w:rsidP="00300CC9">
      <w:pPr>
        <w:spacing w:line="360" w:lineRule="auto"/>
        <w:jc w:val="both"/>
        <w:rPr>
          <w:rFonts w:ascii="Book Antiqua" w:hAnsi="Book Antiqua"/>
        </w:rPr>
      </w:pPr>
      <w:r w:rsidRPr="00AA0B7D">
        <w:rPr>
          <w:rFonts w:ascii="Book Antiqua" w:eastAsia="Book Antiqua" w:hAnsi="Book Antiqua" w:cs="Book Antiqua"/>
          <w:color w:val="000000"/>
        </w:rPr>
        <w:t xml:space="preserve">Luo YH </w:t>
      </w:r>
      <w:r w:rsidRPr="00AA0B7D">
        <w:rPr>
          <w:rFonts w:ascii="Book Antiqua" w:eastAsia="Book Antiqua" w:hAnsi="Book Antiqua" w:cs="Book Antiqua"/>
          <w:i/>
          <w:iCs/>
          <w:color w:val="000000"/>
        </w:rPr>
        <w:t>et al</w:t>
      </w:r>
      <w:r w:rsidRPr="00AA0B7D">
        <w:rPr>
          <w:rFonts w:ascii="Book Antiqua" w:eastAsia="Book Antiqua" w:hAnsi="Book Antiqua" w:cs="Book Antiqua"/>
          <w:color w:val="000000"/>
        </w:rPr>
        <w:t xml:space="preserve">. Tumor budding in stage </w:t>
      </w:r>
      <w:r w:rsidR="000A6A8F" w:rsidRPr="00AA0B7D">
        <w:rPr>
          <w:rFonts w:ascii="Book Antiqua" w:eastAsia="SimSun" w:hAnsi="Book Antiqua" w:cs="SimSun"/>
          <w:color w:val="000000"/>
        </w:rPr>
        <w:t>III-IV</w:t>
      </w:r>
      <w:r w:rsidRPr="00AA0B7D">
        <w:rPr>
          <w:rFonts w:ascii="Book Antiqua" w:eastAsia="Book Antiqua" w:hAnsi="Book Antiqua" w:cs="Book Antiqua"/>
          <w:color w:val="000000"/>
        </w:rPr>
        <w:t xml:space="preserve"> </w:t>
      </w:r>
      <w:r w:rsidR="00D40B8D">
        <w:rPr>
          <w:rFonts w:ascii="Book Antiqua" w:eastAsia="Book Antiqua" w:hAnsi="Book Antiqua" w:cs="Book Antiqua"/>
          <w:color w:val="000000"/>
        </w:rPr>
        <w:t>CRC</w:t>
      </w:r>
    </w:p>
    <w:p w14:paraId="0F2E5607" w14:textId="77777777" w:rsidR="00A77B3E" w:rsidRPr="00AA0B7D" w:rsidRDefault="00A77B3E" w:rsidP="00300CC9">
      <w:pPr>
        <w:spacing w:line="360" w:lineRule="auto"/>
        <w:jc w:val="both"/>
        <w:rPr>
          <w:rFonts w:ascii="Book Antiqua" w:hAnsi="Book Antiqua"/>
        </w:rPr>
      </w:pPr>
    </w:p>
    <w:p w14:paraId="7FA6F8EC"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 xml:space="preserve">Yue-Hao </w:t>
      </w:r>
      <w:bookmarkStart w:id="0" w:name="OLE_LINK2"/>
      <w:r w:rsidRPr="00AA0B7D">
        <w:rPr>
          <w:rFonts w:ascii="Book Antiqua" w:eastAsia="Book Antiqua" w:hAnsi="Book Antiqua" w:cs="Book Antiqua"/>
          <w:color w:val="000000"/>
        </w:rPr>
        <w:t>Luo</w:t>
      </w:r>
      <w:bookmarkEnd w:id="0"/>
      <w:r w:rsidRPr="00AA0B7D">
        <w:rPr>
          <w:rFonts w:ascii="Book Antiqua" w:eastAsia="Book Antiqua" w:hAnsi="Book Antiqua" w:cs="Book Antiqua"/>
          <w:color w:val="000000"/>
        </w:rPr>
        <w:t>, Zhe-Cheng Yan, Jia-Ying Liu, Xin-Yi Li, Ming Yang, Jun Fan, Bo Huang, Cheng-Gong Ma, Xiao-Na Chang, Xiu Nie</w:t>
      </w:r>
    </w:p>
    <w:p w14:paraId="43A86048" w14:textId="77777777" w:rsidR="00A77B3E" w:rsidRPr="00AA0B7D" w:rsidRDefault="00A77B3E" w:rsidP="00300CC9">
      <w:pPr>
        <w:spacing w:line="360" w:lineRule="auto"/>
        <w:jc w:val="both"/>
        <w:rPr>
          <w:rFonts w:ascii="Book Antiqua" w:hAnsi="Book Antiqua"/>
        </w:rPr>
      </w:pPr>
    </w:p>
    <w:p w14:paraId="2D828F63"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 xml:space="preserve">Yue-Hao Luo, Zhe-Cheng Yan, Jia-Ying Liu, Xin-Yi Li, Ming Yang, Jun Fan, Bo Huang, Cheng-Gong Ma, Xiao-Na Chang, Xiu Nie, </w:t>
      </w:r>
      <w:r w:rsidRPr="00AA0B7D">
        <w:rPr>
          <w:rFonts w:ascii="Book Antiqua" w:eastAsia="Book Antiqua" w:hAnsi="Book Antiqua" w:cs="Book Antiqua"/>
          <w:color w:val="000000"/>
        </w:rPr>
        <w:t>Department of Pathology, Union Hospital, Tongji Medical College, Huazhong University of Science and Technology, Wuhan 430022, Hubei Province, China</w:t>
      </w:r>
    </w:p>
    <w:p w14:paraId="04C38BA8" w14:textId="77777777" w:rsidR="00A77B3E" w:rsidRPr="00AA0B7D" w:rsidRDefault="00A77B3E" w:rsidP="00300CC9">
      <w:pPr>
        <w:spacing w:line="360" w:lineRule="auto"/>
        <w:jc w:val="both"/>
        <w:rPr>
          <w:rFonts w:ascii="Book Antiqua" w:hAnsi="Book Antiqua"/>
        </w:rPr>
      </w:pPr>
    </w:p>
    <w:p w14:paraId="5CD15278"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 xml:space="preserve">Co-first authors: </w:t>
      </w:r>
      <w:r w:rsidRPr="00AA0B7D">
        <w:rPr>
          <w:rFonts w:ascii="Book Antiqua" w:eastAsia="Book Antiqua" w:hAnsi="Book Antiqua" w:cs="Book Antiqua"/>
          <w:color w:val="000000"/>
        </w:rPr>
        <w:t>Yue-Hao Luo and Zhe-Cheng Yan</w:t>
      </w:r>
    </w:p>
    <w:p w14:paraId="6555A666" w14:textId="77777777" w:rsidR="00A77B3E" w:rsidRPr="00AA0B7D" w:rsidRDefault="00A77B3E" w:rsidP="00300CC9">
      <w:pPr>
        <w:spacing w:line="360" w:lineRule="auto"/>
        <w:jc w:val="both"/>
        <w:rPr>
          <w:rFonts w:ascii="Book Antiqua" w:hAnsi="Book Antiqua"/>
        </w:rPr>
      </w:pPr>
    </w:p>
    <w:p w14:paraId="21DD8AF9"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 xml:space="preserve">Co-corresponding authors: </w:t>
      </w:r>
      <w:r w:rsidRPr="00AA0B7D">
        <w:rPr>
          <w:rFonts w:ascii="Book Antiqua" w:eastAsia="Book Antiqua" w:hAnsi="Book Antiqua" w:cs="Book Antiqua"/>
          <w:color w:val="000000"/>
        </w:rPr>
        <w:t>Xiao-Na Chang and Xiu Nie</w:t>
      </w:r>
    </w:p>
    <w:p w14:paraId="4B2925DC" w14:textId="77777777" w:rsidR="00A77B3E" w:rsidRPr="00AA0B7D" w:rsidRDefault="00A77B3E" w:rsidP="00300CC9">
      <w:pPr>
        <w:spacing w:line="360" w:lineRule="auto"/>
        <w:jc w:val="both"/>
        <w:rPr>
          <w:rFonts w:ascii="Book Antiqua" w:hAnsi="Book Antiqua"/>
        </w:rPr>
      </w:pPr>
    </w:p>
    <w:p w14:paraId="049E33A1" w14:textId="69D97D80"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 xml:space="preserve">Author contributions: </w:t>
      </w:r>
      <w:r w:rsidRPr="00AA0B7D">
        <w:rPr>
          <w:rFonts w:ascii="Book Antiqua" w:eastAsia="Book Antiqua" w:hAnsi="Book Antiqua" w:cs="Book Antiqua"/>
          <w:color w:val="000000"/>
        </w:rPr>
        <w:t>Luo YH</w:t>
      </w:r>
      <w:r w:rsidR="008D50AE" w:rsidRPr="00AA0B7D">
        <w:rPr>
          <w:rFonts w:ascii="Book Antiqua" w:eastAsia="Book Antiqua" w:hAnsi="Book Antiqua" w:cs="Book Antiqua"/>
          <w:color w:val="000000"/>
        </w:rPr>
        <w:t xml:space="preserve"> and </w:t>
      </w:r>
      <w:r w:rsidRPr="00AA0B7D">
        <w:rPr>
          <w:rFonts w:ascii="Book Antiqua" w:eastAsia="Book Antiqua" w:hAnsi="Book Antiqua" w:cs="Book Antiqua"/>
          <w:color w:val="000000"/>
        </w:rPr>
        <w:t>Yan ZC contributed equally to this work; Luo YH, Yan ZC, Liu JY, Li XY, Yang M</w:t>
      </w:r>
      <w:r w:rsidR="00B72BA1">
        <w:rPr>
          <w:rFonts w:ascii="Book Antiqua" w:eastAsia="Book Antiqua" w:hAnsi="Book Antiqua" w:cs="Book Antiqua"/>
          <w:color w:val="000000"/>
        </w:rPr>
        <w:t>,</w:t>
      </w:r>
      <w:r w:rsidRPr="00AA0B7D">
        <w:rPr>
          <w:rFonts w:ascii="Book Antiqua" w:eastAsia="Book Antiqua" w:hAnsi="Book Antiqua" w:cs="Book Antiqua"/>
          <w:color w:val="000000"/>
        </w:rPr>
        <w:t xml:space="preserve"> and Fan J designed the research study; Luo YH, Huang B</w:t>
      </w:r>
      <w:r w:rsidR="00B72BA1">
        <w:rPr>
          <w:rFonts w:ascii="Book Antiqua" w:eastAsia="Book Antiqua" w:hAnsi="Book Antiqua" w:cs="Book Antiqua"/>
          <w:color w:val="000000"/>
        </w:rPr>
        <w:t>,</w:t>
      </w:r>
      <w:r w:rsidRPr="00AA0B7D">
        <w:rPr>
          <w:rFonts w:ascii="Book Antiqua" w:eastAsia="Book Antiqua" w:hAnsi="Book Antiqua" w:cs="Book Antiqua"/>
          <w:color w:val="000000"/>
        </w:rPr>
        <w:t xml:space="preserve"> and Ma CG performed the research; Luo YH, Chang XN</w:t>
      </w:r>
      <w:r w:rsidR="00B72BA1">
        <w:rPr>
          <w:rFonts w:ascii="Book Antiqua" w:eastAsia="Book Antiqua" w:hAnsi="Book Antiqua" w:cs="Book Antiqua"/>
          <w:color w:val="000000"/>
        </w:rPr>
        <w:t>,</w:t>
      </w:r>
      <w:r w:rsidRPr="00AA0B7D">
        <w:rPr>
          <w:rFonts w:ascii="Book Antiqua" w:eastAsia="Book Antiqua" w:hAnsi="Book Antiqua" w:cs="Book Antiqua"/>
          <w:color w:val="000000"/>
        </w:rPr>
        <w:t xml:space="preserve"> and Niu X analyzed the data and wrote the manuscript; All authors have read and approve the final manuscript.</w:t>
      </w:r>
    </w:p>
    <w:p w14:paraId="442F5EA3" w14:textId="77777777" w:rsidR="00A77B3E" w:rsidRPr="00AA0B7D" w:rsidRDefault="00A77B3E" w:rsidP="00300CC9">
      <w:pPr>
        <w:spacing w:line="360" w:lineRule="auto"/>
        <w:jc w:val="both"/>
        <w:rPr>
          <w:rFonts w:ascii="Book Antiqua" w:hAnsi="Book Antiqua"/>
        </w:rPr>
      </w:pPr>
    </w:p>
    <w:p w14:paraId="684E6110"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 xml:space="preserve">Supported by </w:t>
      </w:r>
      <w:r w:rsidRPr="00AA0B7D">
        <w:rPr>
          <w:rFonts w:ascii="Book Antiqua" w:eastAsia="Book Antiqua" w:hAnsi="Book Antiqua" w:cs="Book Antiqua"/>
          <w:color w:val="000000"/>
        </w:rPr>
        <w:t>National Key R&amp;D Program of China, No. 2022YFF1203300.</w:t>
      </w:r>
    </w:p>
    <w:p w14:paraId="21EE9874" w14:textId="77777777" w:rsidR="00A77B3E" w:rsidRPr="00AA0B7D" w:rsidRDefault="00A77B3E" w:rsidP="00300CC9">
      <w:pPr>
        <w:spacing w:line="360" w:lineRule="auto"/>
        <w:jc w:val="both"/>
        <w:rPr>
          <w:rFonts w:ascii="Book Antiqua" w:hAnsi="Book Antiqua"/>
        </w:rPr>
      </w:pPr>
    </w:p>
    <w:p w14:paraId="595B545C"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lastRenderedPageBreak/>
        <w:t xml:space="preserve">Corresponding author: Xiu Nie, MD, Professor, </w:t>
      </w:r>
      <w:r w:rsidRPr="00AA0B7D">
        <w:rPr>
          <w:rFonts w:ascii="Book Antiqua" w:eastAsia="Book Antiqua" w:hAnsi="Book Antiqua" w:cs="Book Antiqua"/>
          <w:color w:val="000000"/>
        </w:rPr>
        <w:t>Department of Pathology, Union Hospital, Tongji Medical College, Huazhong University of Science and Technology, No. 1277 Jiefang Avenue, Wuhan 430022, Hubei Province, China. niexiuyishi@126.com</w:t>
      </w:r>
    </w:p>
    <w:p w14:paraId="1FC02C6F" w14:textId="77777777" w:rsidR="00A77B3E" w:rsidRPr="00AA0B7D" w:rsidRDefault="00A77B3E" w:rsidP="00300CC9">
      <w:pPr>
        <w:spacing w:line="360" w:lineRule="auto"/>
        <w:jc w:val="both"/>
        <w:rPr>
          <w:rFonts w:ascii="Book Antiqua" w:hAnsi="Book Antiqua"/>
        </w:rPr>
      </w:pPr>
    </w:p>
    <w:p w14:paraId="2A755E17"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Received: </w:t>
      </w:r>
      <w:r w:rsidRPr="00AA0B7D">
        <w:rPr>
          <w:rFonts w:ascii="Book Antiqua" w:eastAsia="Book Antiqua" w:hAnsi="Book Antiqua" w:cs="Book Antiqua"/>
        </w:rPr>
        <w:t>October 25, 2023</w:t>
      </w:r>
    </w:p>
    <w:p w14:paraId="73A761EF"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Revised: </w:t>
      </w:r>
      <w:r w:rsidRPr="00AA0B7D">
        <w:rPr>
          <w:rFonts w:ascii="Book Antiqua" w:eastAsia="Book Antiqua" w:hAnsi="Book Antiqua" w:cs="Book Antiqua"/>
        </w:rPr>
        <w:t>November 23, 2023</w:t>
      </w:r>
    </w:p>
    <w:p w14:paraId="7764F5E6" w14:textId="3239E701" w:rsidR="00A77B3E" w:rsidRPr="00AA0B7D" w:rsidRDefault="00000000" w:rsidP="00276429">
      <w:pPr>
        <w:spacing w:line="360" w:lineRule="auto"/>
        <w:rPr>
          <w:rFonts w:ascii="Book Antiqua" w:hAnsi="Book Antiqua"/>
        </w:rPr>
      </w:pPr>
      <w:r w:rsidRPr="00AA0B7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r w:rsidR="001F5D6D" w:rsidRPr="00E0103E">
        <w:rPr>
          <w:rFonts w:ascii="Book Antiqua" w:hAnsi="Book Antiqua"/>
        </w:rPr>
        <w:t>December 1</w:t>
      </w:r>
      <w:r w:rsidR="001F5D6D">
        <w:rPr>
          <w:rFonts w:ascii="Book Antiqua" w:hAnsi="Book Antiqua"/>
        </w:rPr>
        <w:t>4</w:t>
      </w:r>
      <w:r w:rsidR="001F5D6D" w:rsidRPr="00E0103E">
        <w:rPr>
          <w:rFonts w:ascii="Book Antiqua" w:hAnsi="Book Antiqua"/>
        </w:rPr>
        <w:t>,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73A5DEE"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Published online: </w:t>
      </w:r>
    </w:p>
    <w:p w14:paraId="15326A86" w14:textId="77777777" w:rsidR="00A77B3E" w:rsidRPr="00AA0B7D" w:rsidRDefault="00A77B3E" w:rsidP="00300CC9">
      <w:pPr>
        <w:spacing w:line="360" w:lineRule="auto"/>
        <w:jc w:val="both"/>
        <w:rPr>
          <w:rFonts w:ascii="Book Antiqua" w:hAnsi="Book Antiqua"/>
        </w:rPr>
        <w:sectPr w:rsidR="00A77B3E" w:rsidRPr="00AA0B7D">
          <w:footerReference w:type="default" r:id="rId6"/>
          <w:pgSz w:w="12240" w:h="15840"/>
          <w:pgMar w:top="1440" w:right="1440" w:bottom="1440" w:left="1440" w:header="720" w:footer="720" w:gutter="0"/>
          <w:cols w:space="720"/>
          <w:docGrid w:linePitch="360"/>
        </w:sectPr>
      </w:pPr>
    </w:p>
    <w:p w14:paraId="4A2D6248"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lastRenderedPageBreak/>
        <w:t>Abstract</w:t>
      </w:r>
    </w:p>
    <w:p w14:paraId="4A20488F"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BACKGROUND</w:t>
      </w:r>
    </w:p>
    <w:p w14:paraId="538C7F13" w14:textId="5A0D163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 xml:space="preserve">Tumor budding (TB) has emerged as a promising independent prognostic biomarker in </w:t>
      </w:r>
      <w:r w:rsidR="0065186F" w:rsidRPr="00AA0B7D">
        <w:rPr>
          <w:rFonts w:ascii="Book Antiqua" w:eastAsia="Book Antiqua" w:hAnsi="Book Antiqua" w:cs="Book Antiqua"/>
        </w:rPr>
        <w:t>colorectal cancer (</w:t>
      </w:r>
      <w:r w:rsidRPr="00AA0B7D">
        <w:rPr>
          <w:rFonts w:ascii="Book Antiqua" w:eastAsia="Book Antiqua" w:hAnsi="Book Antiqua" w:cs="Book Antiqua"/>
        </w:rPr>
        <w:t>CRC</w:t>
      </w:r>
      <w:r w:rsidR="0065186F" w:rsidRPr="00AA0B7D">
        <w:rPr>
          <w:rFonts w:ascii="Book Antiqua" w:eastAsia="Book Antiqua" w:hAnsi="Book Antiqua" w:cs="Book Antiqua"/>
        </w:rPr>
        <w:t>)</w:t>
      </w:r>
      <w:r w:rsidRPr="00AA0B7D">
        <w:rPr>
          <w:rFonts w:ascii="Book Antiqua" w:eastAsia="Book Antiqua" w:hAnsi="Book Antiqua" w:cs="Book Antiqua"/>
        </w:rPr>
        <w:t>. The prognostic role of TB has been extensively studied and currently affects clinical decision making in patients with stage I and II CRC. However, existing prognostic studies on TB in stage III CRC have been confined to small retrospective cohort studies. Consequently, this study investigate</w:t>
      </w:r>
      <w:r w:rsidR="00B72BA1">
        <w:rPr>
          <w:rFonts w:ascii="Book Antiqua" w:eastAsia="Book Antiqua" w:hAnsi="Book Antiqua" w:cs="Book Antiqua"/>
        </w:rPr>
        <w:t>d</w:t>
      </w:r>
      <w:r w:rsidRPr="00AA0B7D">
        <w:rPr>
          <w:rFonts w:ascii="Book Antiqua" w:eastAsia="Book Antiqua" w:hAnsi="Book Antiqua" w:cs="Book Antiqua"/>
        </w:rPr>
        <w:t xml:space="preserve"> the correlation among TB categories, clinicopathological features, and prognosis in stage III-IV CRC to further enhance the precision and individualization of treatment through refined prognostic risk stratification.</w:t>
      </w:r>
    </w:p>
    <w:p w14:paraId="4FF3CFAC" w14:textId="77777777" w:rsidR="00A77B3E" w:rsidRPr="00AA0B7D" w:rsidRDefault="00A77B3E" w:rsidP="00300CC9">
      <w:pPr>
        <w:spacing w:line="360" w:lineRule="auto"/>
        <w:jc w:val="both"/>
        <w:rPr>
          <w:rFonts w:ascii="Book Antiqua" w:hAnsi="Book Antiqua"/>
        </w:rPr>
      </w:pPr>
    </w:p>
    <w:p w14:paraId="5772D62B"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AIM</w:t>
      </w:r>
    </w:p>
    <w:p w14:paraId="6B8F23E8"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To analyze the relationship between TB categories and clinicopathological characteristics and assess their prognostic value in stage III-IV CRC to further refine the prognostic risk stratification of stage III-IV CRC.</w:t>
      </w:r>
    </w:p>
    <w:p w14:paraId="6D6177E2" w14:textId="77777777" w:rsidR="00A77B3E" w:rsidRPr="00AA0B7D" w:rsidRDefault="00A77B3E" w:rsidP="00300CC9">
      <w:pPr>
        <w:spacing w:line="360" w:lineRule="auto"/>
        <w:jc w:val="both"/>
        <w:rPr>
          <w:rFonts w:ascii="Book Antiqua" w:hAnsi="Book Antiqua"/>
        </w:rPr>
      </w:pPr>
    </w:p>
    <w:p w14:paraId="4F411C00"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METHODS</w:t>
      </w:r>
    </w:p>
    <w:p w14:paraId="0FDC126E" w14:textId="0F5E7D9F"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The clinical data of 547 CRC patients were collected for this retrospective study. Infiltration at the front edge of the tumor buds was counted according to the 2016 International Tumor Budding Consensus Conference</w:t>
      </w:r>
      <w:r w:rsidR="0065186F" w:rsidRPr="00AA0B7D">
        <w:rPr>
          <w:rFonts w:ascii="Book Antiqua" w:eastAsia="Book Antiqua" w:hAnsi="Book Antiqua" w:cs="Book Antiqua"/>
        </w:rPr>
        <w:t xml:space="preserve"> </w:t>
      </w:r>
      <w:r w:rsidRPr="00AA0B7D">
        <w:rPr>
          <w:rFonts w:ascii="Book Antiqua" w:eastAsia="Book Antiqua" w:hAnsi="Book Antiqua" w:cs="Book Antiqua"/>
        </w:rPr>
        <w:t>guidelines.</w:t>
      </w:r>
    </w:p>
    <w:p w14:paraId="08BBC50E" w14:textId="77777777" w:rsidR="00A77B3E" w:rsidRPr="00AA0B7D" w:rsidRDefault="00A77B3E" w:rsidP="00300CC9">
      <w:pPr>
        <w:spacing w:line="360" w:lineRule="auto"/>
        <w:jc w:val="both"/>
        <w:rPr>
          <w:rFonts w:ascii="Book Antiqua" w:hAnsi="Book Antiqua"/>
        </w:rPr>
      </w:pPr>
    </w:p>
    <w:p w14:paraId="26835B51"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RESULTS</w:t>
      </w:r>
    </w:p>
    <w:p w14:paraId="1852F2DE" w14:textId="5DD93C35"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Multivariate Cox proportional hazards regression analysis demonstrated that chemotherapy (</w:t>
      </w:r>
      <w:r w:rsidRPr="00AA0B7D">
        <w:rPr>
          <w:rFonts w:ascii="Book Antiqua" w:eastAsia="Book Antiqua" w:hAnsi="Book Antiqua" w:cs="Book Antiqua"/>
          <w:i/>
          <w:iCs/>
        </w:rPr>
        <w:t>P</w:t>
      </w:r>
      <w:r w:rsidRPr="00AA0B7D">
        <w:rPr>
          <w:rFonts w:ascii="Book Antiqua" w:eastAsia="Book Antiqua" w:hAnsi="Book Antiqua" w:cs="Book Antiqua"/>
        </w:rPr>
        <w:t xml:space="preserve"> = 0.004), clinical stage IV (</w:t>
      </w:r>
      <w:r w:rsidRPr="00AA0B7D">
        <w:rPr>
          <w:rFonts w:ascii="Book Antiqua" w:eastAsia="Book Antiqua" w:hAnsi="Book Antiqua" w:cs="Book Antiqua"/>
          <w:i/>
          <w:iCs/>
        </w:rPr>
        <w:t>P</w:t>
      </w:r>
      <w:r w:rsidRPr="00AA0B7D">
        <w:rPr>
          <w:rFonts w:ascii="Book Antiqua" w:eastAsia="Book Antiqua" w:hAnsi="Book Antiqua" w:cs="Book Antiqua"/>
        </w:rPr>
        <w:t xml:space="preserve"> &lt; 0.001), ≥</w:t>
      </w:r>
      <w:r w:rsidR="0065186F" w:rsidRPr="00AA0B7D">
        <w:rPr>
          <w:rFonts w:ascii="Book Antiqua" w:eastAsia="Book Antiqua" w:hAnsi="Book Antiqua" w:cs="Book Antiqua"/>
        </w:rPr>
        <w:t xml:space="preserve"> </w:t>
      </w:r>
      <w:r w:rsidRPr="00AA0B7D">
        <w:rPr>
          <w:rFonts w:ascii="Book Antiqua" w:eastAsia="Book Antiqua" w:hAnsi="Book Antiqua" w:cs="Book Antiqua"/>
        </w:rPr>
        <w:t>4 regional lymph node metastases (</w:t>
      </w:r>
      <w:r w:rsidRPr="00AA0B7D">
        <w:rPr>
          <w:rFonts w:ascii="Book Antiqua" w:eastAsia="Book Antiqua" w:hAnsi="Book Antiqua" w:cs="Book Antiqua"/>
          <w:i/>
          <w:iCs/>
        </w:rPr>
        <w:t>P</w:t>
      </w:r>
      <w:r w:rsidRPr="00AA0B7D">
        <w:rPr>
          <w:rFonts w:ascii="Book Antiqua" w:eastAsia="Book Antiqua" w:hAnsi="Book Antiqua" w:cs="Book Antiqua"/>
        </w:rPr>
        <w:t xml:space="preserve"> = 0.004), left-sided colonic cancer (</w:t>
      </w:r>
      <w:r w:rsidRPr="00AA0B7D">
        <w:rPr>
          <w:rFonts w:ascii="Book Antiqua" w:eastAsia="Book Antiqua" w:hAnsi="Book Antiqua" w:cs="Book Antiqua"/>
          <w:i/>
          <w:iCs/>
        </w:rPr>
        <w:t>P</w:t>
      </w:r>
      <w:r w:rsidRPr="00AA0B7D">
        <w:rPr>
          <w:rFonts w:ascii="Book Antiqua" w:eastAsia="Book Antiqua" w:hAnsi="Book Antiqua" w:cs="Book Antiqua"/>
        </w:rPr>
        <w:t xml:space="preserve"> = 0.040), and Bd</w:t>
      </w:r>
      <w:r w:rsidR="00042CD6" w:rsidRPr="00AA0B7D">
        <w:rPr>
          <w:rFonts w:ascii="Book Antiqua" w:eastAsia="Book Antiqua" w:hAnsi="Book Antiqua" w:cs="Book Antiqua"/>
        </w:rPr>
        <w:t xml:space="preserve"> </w:t>
      </w:r>
      <w:r w:rsidRPr="00AA0B7D">
        <w:rPr>
          <w:rFonts w:ascii="Book Antiqua" w:eastAsia="Book Antiqua" w:hAnsi="Book Antiqua" w:cs="Book Antiqua"/>
        </w:rPr>
        <w:t>2-3 (</w:t>
      </w:r>
      <w:r w:rsidRPr="00AA0B7D">
        <w:rPr>
          <w:rFonts w:ascii="Book Antiqua" w:eastAsia="Book Antiqua" w:hAnsi="Book Antiqua" w:cs="Book Antiqua"/>
          <w:i/>
          <w:iCs/>
        </w:rPr>
        <w:t>P</w:t>
      </w:r>
      <w:r w:rsidRPr="00AA0B7D">
        <w:rPr>
          <w:rFonts w:ascii="Book Antiqua" w:eastAsia="Book Antiqua" w:hAnsi="Book Antiqua" w:cs="Book Antiqua"/>
        </w:rPr>
        <w:t xml:space="preserve"> = 0.002) were independent prognostic factors in patients with stage III-IV CRC. Moreover, the density of </w:t>
      </w:r>
      <w:r w:rsidR="00042CD6" w:rsidRPr="00AA0B7D">
        <w:rPr>
          <w:rFonts w:ascii="Book Antiqua" w:eastAsia="Book Antiqua" w:hAnsi="Book Antiqua" w:cs="Book Antiqua"/>
          <w:color w:val="000000"/>
        </w:rPr>
        <w:t>tu</w:t>
      </w:r>
      <w:r w:rsidR="0065186F" w:rsidRPr="00AA0B7D">
        <w:rPr>
          <w:rFonts w:ascii="Book Antiqua" w:eastAsia="Book Antiqua" w:hAnsi="Book Antiqua" w:cs="Book Antiqua"/>
          <w:color w:val="000000"/>
        </w:rPr>
        <w:t xml:space="preserve">mor infiltrating lymphocytes </w:t>
      </w:r>
      <w:r w:rsidRPr="00AA0B7D">
        <w:rPr>
          <w:rFonts w:ascii="Book Antiqua" w:eastAsia="Book Antiqua" w:hAnsi="Book Antiqua" w:cs="Book Antiqua"/>
        </w:rPr>
        <w:t>was higher in Bd</w:t>
      </w:r>
      <w:r w:rsidR="00042CD6" w:rsidRPr="00AA0B7D">
        <w:rPr>
          <w:rFonts w:ascii="Book Antiqua" w:eastAsia="Book Antiqua" w:hAnsi="Book Antiqua" w:cs="Book Antiqua"/>
        </w:rPr>
        <w:t xml:space="preserve"> </w:t>
      </w:r>
      <w:r w:rsidRPr="00AA0B7D">
        <w:rPr>
          <w:rFonts w:ascii="Book Antiqua" w:eastAsia="Book Antiqua" w:hAnsi="Book Antiqua" w:cs="Book Antiqua"/>
        </w:rPr>
        <w:t>1 than in Bd</w:t>
      </w:r>
      <w:r w:rsidR="00042CD6" w:rsidRPr="00AA0B7D">
        <w:rPr>
          <w:rFonts w:ascii="Book Antiqua" w:eastAsia="Book Antiqua" w:hAnsi="Book Antiqua" w:cs="Book Antiqua"/>
        </w:rPr>
        <w:t xml:space="preserve"> </w:t>
      </w:r>
      <w:r w:rsidRPr="00AA0B7D">
        <w:rPr>
          <w:rFonts w:ascii="Book Antiqua" w:eastAsia="Book Antiqua" w:hAnsi="Book Antiqua" w:cs="Book Antiqua"/>
        </w:rPr>
        <w:t xml:space="preserve">2-3, both in the </w:t>
      </w:r>
      <w:r w:rsidRPr="00AA0B7D">
        <w:rPr>
          <w:rFonts w:ascii="Book Antiqua" w:eastAsia="Book Antiqua" w:hAnsi="Book Antiqua" w:cs="Book Antiqua"/>
          <w:color w:val="000000"/>
        </w:rPr>
        <w:t>tumor</w:t>
      </w:r>
      <w:r w:rsidRPr="00AA0B7D">
        <w:rPr>
          <w:rFonts w:ascii="Book Antiqua" w:eastAsia="Book Antiqua" w:hAnsi="Book Antiqua" w:cs="Book Antiqua"/>
        </w:rPr>
        <w:t xml:space="preserve"> </w:t>
      </w:r>
      <w:r w:rsidRPr="00AA0B7D">
        <w:rPr>
          <w:rFonts w:ascii="Book Antiqua" w:eastAsia="Book Antiqua" w:hAnsi="Book Antiqua" w:cs="Book Antiqua"/>
          <w:color w:val="000000"/>
        </w:rPr>
        <w:t>stroma</w:t>
      </w:r>
      <w:r w:rsidRPr="00AA0B7D">
        <w:rPr>
          <w:rFonts w:ascii="Book Antiqua" w:eastAsia="Book Antiqua" w:hAnsi="Book Antiqua" w:cs="Book Antiqua"/>
        </w:rPr>
        <w:t xml:space="preserve"> and its invasive margin.</w:t>
      </w:r>
    </w:p>
    <w:p w14:paraId="413BEA37" w14:textId="77777777" w:rsidR="00A77B3E" w:rsidRPr="00AA0B7D" w:rsidRDefault="00A77B3E" w:rsidP="00300CC9">
      <w:pPr>
        <w:spacing w:line="360" w:lineRule="auto"/>
        <w:jc w:val="both"/>
        <w:rPr>
          <w:rFonts w:ascii="Book Antiqua" w:hAnsi="Book Antiqua"/>
        </w:rPr>
      </w:pPr>
    </w:p>
    <w:p w14:paraId="32952955"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CONCLUSION</w:t>
      </w:r>
    </w:p>
    <w:p w14:paraId="1F5F6431"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lastRenderedPageBreak/>
        <w:t>TB has an independent predictive prognostic value in patients with stage III-IV CRC. It is recommended to complete the TB report of stage III-IV CRC cases in the standardized pathological report to further refine risk stratification.</w:t>
      </w:r>
    </w:p>
    <w:p w14:paraId="29937C20" w14:textId="77777777" w:rsidR="00A77B3E" w:rsidRPr="00AA0B7D" w:rsidRDefault="00A77B3E" w:rsidP="00300CC9">
      <w:pPr>
        <w:spacing w:line="360" w:lineRule="auto"/>
        <w:jc w:val="both"/>
        <w:rPr>
          <w:rFonts w:ascii="Book Antiqua" w:hAnsi="Book Antiqua"/>
        </w:rPr>
      </w:pPr>
    </w:p>
    <w:p w14:paraId="1A0DA6AD"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Key Words: </w:t>
      </w:r>
      <w:r w:rsidRPr="00AA0B7D">
        <w:rPr>
          <w:rFonts w:ascii="Book Antiqua" w:eastAsia="Book Antiqua" w:hAnsi="Book Antiqua" w:cs="Book Antiqua"/>
        </w:rPr>
        <w:t>Tumor budding; Tumor infiltrating lymphocytes; Colorectal cancer; Survival analysis; Prognosis</w:t>
      </w:r>
    </w:p>
    <w:p w14:paraId="18C00687" w14:textId="77777777" w:rsidR="00A77B3E" w:rsidRPr="00AA0B7D" w:rsidRDefault="00A77B3E" w:rsidP="00300CC9">
      <w:pPr>
        <w:spacing w:line="360" w:lineRule="auto"/>
        <w:jc w:val="both"/>
        <w:rPr>
          <w:rFonts w:ascii="Book Antiqua" w:hAnsi="Book Antiqua"/>
        </w:rPr>
      </w:pPr>
    </w:p>
    <w:p w14:paraId="19C72E0E" w14:textId="2B27D0C8"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 xml:space="preserve">Luo YH, Yan ZC, Liu JY, Li XY, Yang M, Fan J, Huang B, Ma CG, Chang XN, Nie X. </w:t>
      </w:r>
      <w:r w:rsidR="009E37E7" w:rsidRPr="00AA0B7D">
        <w:rPr>
          <w:rFonts w:ascii="Book Antiqua" w:eastAsia="Book Antiqua" w:hAnsi="Book Antiqua" w:cs="Book Antiqua"/>
        </w:rPr>
        <w:t>Association of tumor budding with clinicopathological features and prognostic value in stage III-IV colorectal cancer</w:t>
      </w:r>
      <w:r w:rsidRPr="00AA0B7D">
        <w:rPr>
          <w:rFonts w:ascii="Book Antiqua" w:eastAsia="Book Antiqua" w:hAnsi="Book Antiqua" w:cs="Book Antiqua"/>
        </w:rPr>
        <w:t xml:space="preserve">. </w:t>
      </w:r>
      <w:r w:rsidRPr="00AA0B7D">
        <w:rPr>
          <w:rFonts w:ascii="Book Antiqua" w:eastAsia="Book Antiqua" w:hAnsi="Book Antiqua" w:cs="Book Antiqua"/>
          <w:i/>
          <w:iCs/>
        </w:rPr>
        <w:t>World J Gastroenterol</w:t>
      </w:r>
      <w:r w:rsidRPr="00AA0B7D">
        <w:rPr>
          <w:rFonts w:ascii="Book Antiqua" w:eastAsia="Book Antiqua" w:hAnsi="Book Antiqua" w:cs="Book Antiqua"/>
        </w:rPr>
        <w:t xml:space="preserve"> 2023; In press</w:t>
      </w:r>
    </w:p>
    <w:p w14:paraId="093E8DBB" w14:textId="77777777" w:rsidR="00A77B3E" w:rsidRPr="00AA0B7D" w:rsidRDefault="00A77B3E" w:rsidP="00300CC9">
      <w:pPr>
        <w:spacing w:line="360" w:lineRule="auto"/>
        <w:jc w:val="both"/>
        <w:rPr>
          <w:rFonts w:ascii="Book Antiqua" w:hAnsi="Book Antiqua"/>
        </w:rPr>
      </w:pPr>
    </w:p>
    <w:p w14:paraId="3FCFECB7" w14:textId="58D84A25"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Core Tip: </w:t>
      </w:r>
      <w:r w:rsidRPr="00AA0B7D">
        <w:rPr>
          <w:rFonts w:ascii="Book Antiqua" w:eastAsia="Book Antiqua" w:hAnsi="Book Antiqua" w:cs="Book Antiqua"/>
        </w:rPr>
        <w:t xml:space="preserve">This study included 547 colorectal cancer (CRC) patients. Tumor budding (TB) was evaluated independently by two pathologists and re-evaluated by </w:t>
      </w:r>
      <w:r w:rsidR="00B72BA1">
        <w:rPr>
          <w:rFonts w:ascii="Book Antiqua" w:eastAsia="Book Antiqua" w:hAnsi="Book Antiqua" w:cs="Book Antiqua"/>
        </w:rPr>
        <w:t>a</w:t>
      </w:r>
      <w:r w:rsidR="00B72BA1" w:rsidRPr="00AA0B7D">
        <w:rPr>
          <w:rFonts w:ascii="Book Antiqua" w:eastAsia="Book Antiqua" w:hAnsi="Book Antiqua" w:cs="Book Antiqua"/>
        </w:rPr>
        <w:t xml:space="preserve"> </w:t>
      </w:r>
      <w:r w:rsidRPr="00AA0B7D">
        <w:rPr>
          <w:rFonts w:ascii="Book Antiqua" w:eastAsia="Book Antiqua" w:hAnsi="Book Antiqua" w:cs="Book Antiqua"/>
        </w:rPr>
        <w:t xml:space="preserve">third pathologist when the results were inconsistent, ensuring a high level of reliability. </w:t>
      </w:r>
      <w:r w:rsidR="00B72BA1">
        <w:rPr>
          <w:rFonts w:ascii="Book Antiqua" w:eastAsia="Book Antiqua" w:hAnsi="Book Antiqua" w:cs="Book Antiqua"/>
        </w:rPr>
        <w:t>The</w:t>
      </w:r>
      <w:r w:rsidRPr="00AA0B7D">
        <w:rPr>
          <w:rFonts w:ascii="Book Antiqua" w:eastAsia="Book Antiqua" w:hAnsi="Book Antiqua" w:cs="Book Antiqua"/>
        </w:rPr>
        <w:t xml:space="preserve"> 2016 International Tumor Budding Consensus Conference recommendations were followed to evaluate TB in patients with stage </w:t>
      </w:r>
      <w:r w:rsidR="00E3179F" w:rsidRPr="00AA0B7D">
        <w:rPr>
          <w:rFonts w:ascii="Book Antiqua" w:eastAsia="Book Antiqua" w:hAnsi="Book Antiqua" w:cs="Book Antiqua"/>
        </w:rPr>
        <w:t>III-IV</w:t>
      </w:r>
      <w:r w:rsidRPr="00AA0B7D">
        <w:rPr>
          <w:rFonts w:ascii="Book Antiqua" w:eastAsia="Book Antiqua" w:hAnsi="Book Antiqua" w:cs="Book Antiqua"/>
        </w:rPr>
        <w:t xml:space="preserve"> CRC, thereby investigating its impact on patient prognosis. TB has predictive prognostic value for </w:t>
      </w:r>
      <w:r w:rsidRPr="00AA0B7D">
        <w:rPr>
          <w:rFonts w:ascii="Book Antiqua" w:eastAsia="Book Antiqua" w:hAnsi="Book Antiqua" w:cs="Book Antiqua"/>
          <w:color w:val="000000"/>
        </w:rPr>
        <w:t>progression</w:t>
      </w:r>
      <w:r w:rsidR="005C1E3A">
        <w:rPr>
          <w:rFonts w:ascii="Book Antiqua" w:eastAsia="Book Antiqua" w:hAnsi="Book Antiqua" w:cs="Book Antiqua"/>
          <w:color w:val="000000"/>
        </w:rPr>
        <w:t>-</w:t>
      </w:r>
      <w:r w:rsidRPr="00AA0B7D">
        <w:rPr>
          <w:rFonts w:ascii="Book Antiqua" w:eastAsia="Book Antiqua" w:hAnsi="Book Antiqua" w:cs="Book Antiqua"/>
          <w:color w:val="000000"/>
        </w:rPr>
        <w:t>free survival</w:t>
      </w:r>
      <w:r w:rsidR="0065186F" w:rsidRPr="00AA0B7D">
        <w:rPr>
          <w:rFonts w:ascii="Book Antiqua" w:eastAsia="Book Antiqua" w:hAnsi="Book Antiqua" w:cs="Book Antiqua"/>
          <w:color w:val="000000"/>
        </w:rPr>
        <w:t xml:space="preserve"> </w:t>
      </w:r>
      <w:r w:rsidRPr="00AA0B7D">
        <w:rPr>
          <w:rFonts w:ascii="Book Antiqua" w:eastAsia="Book Antiqua" w:hAnsi="Book Antiqua" w:cs="Book Antiqua"/>
        </w:rPr>
        <w:t>and overall survival in patients with stage III-IV CRC. It is recommended to complete the TB report of stage III-IV CRC cases in the standardized pathological report to further refine risk stratification.</w:t>
      </w:r>
    </w:p>
    <w:p w14:paraId="26B901A6" w14:textId="77777777" w:rsidR="00A77B3E" w:rsidRPr="00AA0B7D" w:rsidRDefault="00A77B3E" w:rsidP="00300CC9">
      <w:pPr>
        <w:spacing w:line="360" w:lineRule="auto"/>
        <w:jc w:val="both"/>
        <w:rPr>
          <w:rFonts w:ascii="Book Antiqua" w:hAnsi="Book Antiqua"/>
        </w:rPr>
      </w:pPr>
    </w:p>
    <w:p w14:paraId="2280F6A1"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t>INTRODUCTION</w:t>
      </w:r>
    </w:p>
    <w:p w14:paraId="1CB8F383" w14:textId="7CA14687" w:rsidR="00534A0B" w:rsidRPr="00AA0B7D" w:rsidRDefault="00534A0B" w:rsidP="00293E6B">
      <w:pPr>
        <w:spacing w:line="360" w:lineRule="auto"/>
        <w:jc w:val="both"/>
        <w:rPr>
          <w:rFonts w:ascii="Book Antiqua" w:hAnsi="Book Antiqua"/>
        </w:rPr>
      </w:pPr>
      <w:r w:rsidRPr="00AA0B7D">
        <w:rPr>
          <w:rFonts w:ascii="Book Antiqua" w:eastAsia="Book Antiqua" w:hAnsi="Book Antiqua" w:cs="Book Antiqua"/>
          <w:color w:val="000000"/>
        </w:rPr>
        <w:t>Colorectal cancer (CRC) is the third most common malignant tumor in the world</w:t>
      </w:r>
      <w:r w:rsidRPr="00AA0B7D">
        <w:rPr>
          <w:rFonts w:ascii="Book Antiqua" w:eastAsia="Book Antiqua" w:hAnsi="Book Antiqua" w:cs="Book Antiqua"/>
          <w:color w:val="000000"/>
          <w:vertAlign w:val="superscript"/>
        </w:rPr>
        <w:t>[1]</w:t>
      </w:r>
      <w:r w:rsidRPr="00AA0B7D">
        <w:rPr>
          <w:rFonts w:ascii="Book Antiqua" w:eastAsia="Book Antiqua" w:hAnsi="Book Antiqua" w:cs="Book Antiqua"/>
          <w:color w:val="000000"/>
        </w:rPr>
        <w:t xml:space="preserve">. The occurrence and development of CRC </w:t>
      </w:r>
      <w:r w:rsidR="00EE2775">
        <w:rPr>
          <w:rFonts w:ascii="Book Antiqua" w:eastAsia="Book Antiqua" w:hAnsi="Book Antiqua" w:cs="Book Antiqua"/>
          <w:color w:val="000000"/>
        </w:rPr>
        <w:t>represent</w:t>
      </w:r>
      <w:r w:rsidR="00EE2775"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a complex multifactorial </w:t>
      </w:r>
      <w:proofErr w:type="gramStart"/>
      <w:r w:rsidRPr="00AA0B7D">
        <w:rPr>
          <w:rFonts w:ascii="Book Antiqua" w:eastAsia="Book Antiqua" w:hAnsi="Book Antiqua" w:cs="Book Antiqua"/>
          <w:color w:val="000000"/>
        </w:rPr>
        <w:t>process</w:t>
      </w:r>
      <w:r w:rsidRPr="00AA0B7D">
        <w:rPr>
          <w:rFonts w:ascii="Book Antiqua" w:eastAsia="Book Antiqua" w:hAnsi="Book Antiqua" w:cs="Book Antiqua"/>
          <w:color w:val="000000"/>
          <w:vertAlign w:val="superscript"/>
        </w:rPr>
        <w:t>[</w:t>
      </w:r>
      <w:proofErr w:type="gramEnd"/>
      <w:r w:rsidRPr="00AA0B7D">
        <w:rPr>
          <w:rFonts w:ascii="Book Antiqua" w:eastAsia="Book Antiqua" w:hAnsi="Book Antiqua" w:cs="Book Antiqua"/>
          <w:color w:val="000000"/>
          <w:vertAlign w:val="superscript"/>
        </w:rPr>
        <w:t>2]</w:t>
      </w:r>
      <w:r w:rsidRPr="00AA0B7D">
        <w:rPr>
          <w:rFonts w:ascii="Book Antiqua" w:eastAsia="Book Antiqua" w:hAnsi="Book Antiqua" w:cs="Book Antiqua"/>
          <w:color w:val="000000"/>
        </w:rPr>
        <w:t xml:space="preserve">. Despite significant advancements in medical technology both domestically and internationally, the incidence of CRC has continued to rise in recent years. This trend can be attributed to improvements in people's living standards as well as changes in lifestyle and dietary habits. There were an estimated 1.93 million new CRC cases diagnosed, and 0.94 million CRC-related deaths in 2020 worldwide. China is expected to have the highest estimated number of new CRC cases over the next 20 years. The number of new CRC </w:t>
      </w:r>
      <w:r w:rsidRPr="00AA0B7D">
        <w:rPr>
          <w:rFonts w:ascii="Book Antiqua" w:eastAsia="Book Antiqua" w:hAnsi="Book Antiqua" w:cs="Book Antiqua"/>
          <w:color w:val="000000"/>
        </w:rPr>
        <w:lastRenderedPageBreak/>
        <w:t>cases is expected to increase from 0.56 million (2020) to 0.91 million (2040) in China</w:t>
      </w:r>
      <w:r w:rsidRPr="00AA0B7D">
        <w:rPr>
          <w:rFonts w:ascii="Book Antiqua" w:eastAsia="Book Antiqua" w:hAnsi="Book Antiqua" w:cs="Book Antiqua"/>
          <w:color w:val="000000"/>
          <w:vertAlign w:val="superscript"/>
        </w:rPr>
        <w:t>[3]</w:t>
      </w:r>
      <w:r w:rsidRPr="00AA0B7D">
        <w:rPr>
          <w:rFonts w:ascii="Book Antiqua" w:eastAsia="Book Antiqua" w:hAnsi="Book Antiqua" w:cs="Book Antiqua"/>
          <w:color w:val="000000"/>
        </w:rPr>
        <w:t>.The tumor-node-metastasis (TNM) staging system published simultaneously by the Union for International Cancer Control and The American Joint Committee on Cancer (AJCC) remains a widely accepted standard for classifying malignant tumors</w:t>
      </w:r>
      <w:r w:rsidRPr="00AA0B7D">
        <w:rPr>
          <w:rFonts w:ascii="Book Antiqua" w:eastAsia="Book Antiqua" w:hAnsi="Book Antiqua" w:cs="Book Antiqua"/>
          <w:color w:val="000000"/>
          <w:vertAlign w:val="superscript"/>
        </w:rPr>
        <w:t>[4]</w:t>
      </w:r>
      <w:r w:rsidRPr="00AA0B7D">
        <w:rPr>
          <w:rFonts w:ascii="Book Antiqua" w:eastAsia="Book Antiqua" w:hAnsi="Book Antiqua" w:cs="Book Antiqua"/>
          <w:color w:val="000000"/>
        </w:rPr>
        <w:t>. The prognosis of patients with CRC is often influenced by the time gap between cancer detection and treatment initiation. Notably, even patients with identical stage of disease may exhibit diverse clinical outcomes, suggesting the limited predictive value of TNM stage in estimating CRC prognosis. Tumor budding (TB), defined as a single cancer cell of up to four cancer cells at the tumor invasive margin, has emerged as a promising independent prognostic biomarker in CRC</w:t>
      </w:r>
      <w:r w:rsidRPr="00AA0B7D">
        <w:rPr>
          <w:rFonts w:ascii="Book Antiqua" w:eastAsia="Book Antiqua" w:hAnsi="Book Antiqua" w:cs="Book Antiqua"/>
          <w:color w:val="000000"/>
          <w:vertAlign w:val="superscript"/>
        </w:rPr>
        <w:t>[5]</w:t>
      </w:r>
      <w:r w:rsidRPr="00AA0B7D">
        <w:rPr>
          <w:rFonts w:ascii="Book Antiqua" w:eastAsia="Book Antiqua" w:hAnsi="Book Antiqua" w:cs="Book Antiqua"/>
          <w:color w:val="000000"/>
        </w:rPr>
        <w:t>.</w:t>
      </w:r>
    </w:p>
    <w:p w14:paraId="6B7A627B" w14:textId="0A0D8981" w:rsidR="005C1E3A"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 xml:space="preserve">TB reflects an invasive growth pattern with metastatic potential that plays a key role in </w:t>
      </w:r>
      <w:r w:rsidR="00BE0487">
        <w:rPr>
          <w:rFonts w:ascii="Book Antiqua" w:eastAsia="Book Antiqua" w:hAnsi="Book Antiqua" w:cs="Book Antiqua"/>
          <w:color w:val="000000"/>
        </w:rPr>
        <w:t xml:space="preserve">the </w:t>
      </w:r>
      <w:r w:rsidRPr="00AA0B7D">
        <w:rPr>
          <w:rFonts w:ascii="Book Antiqua" w:eastAsia="Book Antiqua" w:hAnsi="Book Antiqua" w:cs="Book Antiqua"/>
          <w:color w:val="000000"/>
        </w:rPr>
        <w:t>tumor microenvironment (TME) and epithelial-mesenchymal transition (EMT). The prognostic role of TB has been extensively studied and currently affects clinical decision making in patients with stage I and II CRC</w:t>
      </w:r>
      <w:r w:rsidRPr="00AA0B7D">
        <w:rPr>
          <w:rFonts w:ascii="Book Antiqua" w:eastAsia="Book Antiqua" w:hAnsi="Book Antiqua" w:cs="Book Antiqua"/>
          <w:color w:val="000000"/>
          <w:vertAlign w:val="superscript"/>
        </w:rPr>
        <w:t>[6,7]</w:t>
      </w:r>
      <w:r w:rsidRPr="00AA0B7D">
        <w:rPr>
          <w:rFonts w:ascii="Book Antiqua" w:eastAsia="Book Antiqua" w:hAnsi="Book Antiqua" w:cs="Book Antiqua"/>
          <w:color w:val="000000"/>
        </w:rPr>
        <w:t>. However, existing prognostic studies on TB in stage III CRC have been confined to small retrospective cohort studies. Consequently, this study investigate</w:t>
      </w:r>
      <w:r w:rsidR="005C1E3A">
        <w:rPr>
          <w:rFonts w:ascii="Book Antiqua" w:eastAsia="Book Antiqua" w:hAnsi="Book Antiqua" w:cs="Book Antiqua"/>
          <w:color w:val="000000"/>
        </w:rPr>
        <w:t>d</w:t>
      </w:r>
      <w:r w:rsidRPr="00AA0B7D">
        <w:rPr>
          <w:rFonts w:ascii="Book Antiqua" w:eastAsia="Book Antiqua" w:hAnsi="Book Antiqua" w:cs="Book Antiqua"/>
          <w:color w:val="000000"/>
        </w:rPr>
        <w:t xml:space="preserve"> the correlation among TB categories, clinicopathological features, and prognosis in stage III-IV CRC to further enhance the precision and individualization of treatment through refined prognostic risk stratification.</w:t>
      </w:r>
    </w:p>
    <w:p w14:paraId="2B00E7B5" w14:textId="4E650ECA" w:rsidR="00534A0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Tumor</w:t>
      </w:r>
      <w:r w:rsidR="00BE0487">
        <w:rPr>
          <w:rFonts w:ascii="Book Antiqua" w:eastAsia="Book Antiqua" w:hAnsi="Book Antiqua" w:cs="Book Antiqua"/>
          <w:color w:val="000000"/>
        </w:rPr>
        <w:t>-</w:t>
      </w:r>
      <w:r w:rsidRPr="00AA0B7D">
        <w:rPr>
          <w:rFonts w:ascii="Book Antiqua" w:eastAsia="Book Antiqua" w:hAnsi="Book Antiqua" w:cs="Book Antiqua"/>
          <w:color w:val="000000"/>
        </w:rPr>
        <w:t>infiltrating lymphocytes (TILs) are a heterogeneous group of cells that leave the blood and migrate to the tumor regions with antigenic effects. They are also an important part of the TME and are generally considered to protect the host against tumor development. It also plays a vital role in inhibiting cancer cell invasion and distant metastasis</w:t>
      </w:r>
      <w:r w:rsidRPr="00AA0B7D">
        <w:rPr>
          <w:rFonts w:ascii="Book Antiqua" w:eastAsia="Book Antiqua" w:hAnsi="Book Antiqua" w:cs="Book Antiqua"/>
          <w:color w:val="000000"/>
          <w:vertAlign w:val="superscript"/>
        </w:rPr>
        <w:t>[8]</w:t>
      </w:r>
      <w:r w:rsidRPr="00AA0B7D">
        <w:rPr>
          <w:rFonts w:ascii="Book Antiqua" w:eastAsia="Book Antiqua" w:hAnsi="Book Antiqua" w:cs="Book Antiqua"/>
          <w:color w:val="000000"/>
        </w:rPr>
        <w:t>. The interaction between TB and the immune system is known as the attack-defense model</w:t>
      </w:r>
      <w:r w:rsidRPr="00AA0B7D">
        <w:rPr>
          <w:rFonts w:ascii="Book Antiqua" w:eastAsia="Book Antiqua" w:hAnsi="Book Antiqua" w:cs="Book Antiqua"/>
          <w:color w:val="000000"/>
          <w:vertAlign w:val="superscript"/>
        </w:rPr>
        <w:t>[9]</w:t>
      </w:r>
      <w:r w:rsidRPr="00AA0B7D">
        <w:rPr>
          <w:rFonts w:ascii="Book Antiqua" w:eastAsia="Book Antiqua" w:hAnsi="Book Antiqua" w:cs="Book Antiqua"/>
          <w:color w:val="000000"/>
        </w:rPr>
        <w:t>. TB reflects an aggressive disease phenotype</w:t>
      </w:r>
      <w:r w:rsidR="00BE0487">
        <w:rPr>
          <w:rFonts w:ascii="Book Antiqua" w:eastAsia="Book Antiqua" w:hAnsi="Book Antiqua" w:cs="Book Antiqua"/>
          <w:color w:val="000000"/>
        </w:rPr>
        <w:t>;</w:t>
      </w:r>
      <w:r w:rsidRPr="00AA0B7D">
        <w:rPr>
          <w:rFonts w:ascii="Book Antiqua" w:eastAsia="Book Antiqua" w:hAnsi="Book Antiqua" w:cs="Book Antiqua"/>
          <w:color w:val="000000"/>
        </w:rPr>
        <w:t xml:space="preserve"> however, TILs can regulate immune function and improve the body's ability to kill tumors. Therefore, in our study, we also discussed the relationship between TB and TILs based on the idea that the combination of TB and TILs can effectively predict the prognosis of stage III-IV CRC patients and analyzed the changes in TILs in cases of different TB levels to preliminarily explore the correlation between TB and the immune microenvironment.</w:t>
      </w:r>
    </w:p>
    <w:p w14:paraId="2CC30535" w14:textId="77777777"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lastRenderedPageBreak/>
        <w:t>MATERIALS AND METHODS</w:t>
      </w:r>
    </w:p>
    <w:p w14:paraId="50AB7CC6" w14:textId="32A861FC"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t>We retrospectively analyzed the medical records and clinical data of 838 patients with stage III-IV resectable CRC pathologically diagnosed at Union Hospital, Tongji Medical College of Huazhong University of Science and Technology</w:t>
      </w:r>
      <w:r w:rsidR="007D6EF6">
        <w:rPr>
          <w:rFonts w:ascii="Book Antiqua" w:eastAsia="Book Antiqua" w:hAnsi="Book Antiqua" w:cs="Book Antiqua"/>
          <w:color w:val="000000"/>
        </w:rPr>
        <w:t xml:space="preserve"> (</w:t>
      </w:r>
      <w:r w:rsidR="007D6EF6" w:rsidRPr="007D6EF6">
        <w:rPr>
          <w:rFonts w:ascii="Book Antiqua" w:eastAsia="Book Antiqua" w:hAnsi="Book Antiqua" w:cs="Book Antiqua"/>
          <w:color w:val="000000"/>
        </w:rPr>
        <w:t>Wuhan City, Hubei Province, China</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from January 1, 2015, to December 31, 2018 (Figure 1). A total of 547 patients with CRC were enrolled, and their TB categories and clinicopathological features were analyzed.</w:t>
      </w:r>
    </w:p>
    <w:p w14:paraId="5DDE8C73" w14:textId="5B6C1B85" w:rsidR="00534A0B" w:rsidRPr="00AA0B7D" w:rsidRDefault="00534A0B" w:rsidP="00784314">
      <w:pPr>
        <w:spacing w:line="360" w:lineRule="auto"/>
        <w:ind w:firstLine="270"/>
        <w:jc w:val="both"/>
        <w:rPr>
          <w:rFonts w:ascii="Book Antiqua" w:hAnsi="Book Antiqua"/>
        </w:rPr>
      </w:pPr>
      <w:r w:rsidRPr="00AA0B7D">
        <w:rPr>
          <w:rFonts w:ascii="Book Antiqua" w:eastAsia="Book Antiqua" w:hAnsi="Book Antiqua" w:cs="Book Antiqua"/>
          <w:color w:val="000000"/>
        </w:rPr>
        <w:t xml:space="preserve">The primary objective of this study was to investigate the relationship between TB and </w:t>
      </w:r>
      <w:bookmarkStart w:id="50" w:name="_Hlk152314667"/>
      <w:r w:rsidRPr="00AA0B7D">
        <w:rPr>
          <w:rFonts w:ascii="Book Antiqua" w:eastAsia="Book Antiqua" w:hAnsi="Book Antiqua" w:cs="Book Antiqua"/>
          <w:color w:val="000000"/>
        </w:rPr>
        <w:t>progression-free survival</w:t>
      </w:r>
      <w:bookmarkEnd w:id="50"/>
      <w:r w:rsidRPr="00AA0B7D">
        <w:rPr>
          <w:rFonts w:ascii="Book Antiqua" w:eastAsia="Book Antiqua" w:hAnsi="Book Antiqua" w:cs="Book Antiqua"/>
          <w:color w:val="000000"/>
        </w:rPr>
        <w:t xml:space="preserve"> (PFS), defined as the time from the beginning of radical surgery to relapse or death, whichever occurred first. The secondary objective was to determine the association between TB and </w:t>
      </w:r>
      <w:bookmarkStart w:id="51" w:name="_Hlk152314681"/>
      <w:r w:rsidRPr="00AA0B7D">
        <w:rPr>
          <w:rFonts w:ascii="Book Antiqua" w:eastAsia="Book Antiqua" w:hAnsi="Book Antiqua" w:cs="Book Antiqua"/>
          <w:color w:val="000000"/>
        </w:rPr>
        <w:t>overall survival</w:t>
      </w:r>
      <w:bookmarkEnd w:id="51"/>
      <w:r w:rsidRPr="00AA0B7D">
        <w:rPr>
          <w:rFonts w:ascii="Book Antiqua" w:eastAsia="Book Antiqua" w:hAnsi="Book Antiqua" w:cs="Book Antiqua"/>
          <w:color w:val="000000"/>
        </w:rPr>
        <w:t xml:space="preserve"> (OS), defined as the time from the start of radical surgery until death from any cause. The survival time and prognosis of the patients were followed up until the end of the study. The follow-up period was 61 mo. This study was approved by the review committee of the affiliated institution of Tongji Medical College of Huazhong University of Science and Technology (2018-S377), and consent was obtained from all patients participating in the study.</w:t>
      </w:r>
    </w:p>
    <w:p w14:paraId="3DBEED6C" w14:textId="77777777" w:rsidR="00534A0B" w:rsidRPr="00AA0B7D" w:rsidRDefault="00534A0B" w:rsidP="00300CC9">
      <w:pPr>
        <w:spacing w:line="360" w:lineRule="auto"/>
        <w:ind w:firstLine="480"/>
        <w:jc w:val="both"/>
        <w:rPr>
          <w:rFonts w:ascii="Book Antiqua" w:hAnsi="Book Antiqua"/>
        </w:rPr>
      </w:pPr>
    </w:p>
    <w:p w14:paraId="60A71350" w14:textId="15F53599" w:rsidR="00534A0B" w:rsidRPr="00AA0B7D" w:rsidRDefault="00420CEB" w:rsidP="00300CC9">
      <w:pPr>
        <w:spacing w:line="360" w:lineRule="auto"/>
        <w:jc w:val="both"/>
        <w:rPr>
          <w:rFonts w:ascii="Book Antiqua" w:hAnsi="Book Antiqua"/>
          <w:i/>
          <w:iCs/>
        </w:rPr>
      </w:pPr>
      <w:r>
        <w:rPr>
          <w:rFonts w:ascii="Book Antiqua" w:eastAsia="Book Antiqua" w:hAnsi="Book Antiqua" w:cs="Book Antiqua"/>
          <w:b/>
          <w:bCs/>
          <w:i/>
          <w:iCs/>
          <w:color w:val="000000"/>
        </w:rPr>
        <w:t>TB</w:t>
      </w:r>
      <w:r w:rsidR="00534A0B" w:rsidRPr="00AA0B7D">
        <w:rPr>
          <w:rFonts w:ascii="Book Antiqua" w:eastAsia="Book Antiqua" w:hAnsi="Book Antiqua" w:cs="Book Antiqua"/>
          <w:b/>
          <w:bCs/>
          <w:i/>
          <w:iCs/>
          <w:color w:val="000000"/>
        </w:rPr>
        <w:t xml:space="preserve"> assessment</w:t>
      </w:r>
    </w:p>
    <w:p w14:paraId="049CBE0E" w14:textId="7119E516"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t>TB was assessed on scanned hematoxylin and eosin (H&amp;E)</w:t>
      </w:r>
      <w:r w:rsidR="007D6EF6">
        <w:rPr>
          <w:rFonts w:ascii="Book Antiqua" w:eastAsia="Book Antiqua" w:hAnsi="Book Antiqua" w:cs="Book Antiqua"/>
          <w:color w:val="000000"/>
        </w:rPr>
        <w:t>-</w:t>
      </w:r>
      <w:r w:rsidRPr="00AA0B7D">
        <w:rPr>
          <w:rFonts w:ascii="Book Antiqua" w:eastAsia="Book Antiqua" w:hAnsi="Book Antiqua" w:cs="Book Antiqua"/>
          <w:color w:val="000000"/>
        </w:rPr>
        <w:t>stained tissue sample slides (Union Hospital, Wuhan, China) and scored at medium power (</w:t>
      </w:r>
      <w:r w:rsidR="007D6EF6">
        <w:rPr>
          <w:rFonts w:ascii="Book Antiqua" w:eastAsia="Book Antiqua" w:hAnsi="Book Antiqua" w:cs="Book Antiqua"/>
          <w:color w:val="000000"/>
        </w:rPr>
        <w:t xml:space="preserve">10 </w:t>
      </w:r>
      <w:r w:rsidR="007D6EF6" w:rsidRPr="007D6EF6">
        <w:rPr>
          <w:rFonts w:ascii="Book Antiqua" w:eastAsia="Book Antiqua" w:hAnsi="Book Antiqua" w:cs="Book Antiqua"/>
          <w:color w:val="000000"/>
        </w:rPr>
        <w:t>×</w:t>
      </w:r>
      <w:r w:rsidR="005D5887" w:rsidRPr="00AA0B7D">
        <w:rPr>
          <w:rFonts w:ascii="Book Antiqua" w:eastAsia="Book Antiqua" w:hAnsi="Book Antiqua" w:cs="Book Antiqua"/>
          <w:color w:val="000000"/>
        </w:rPr>
        <w:t xml:space="preserve"> </w:t>
      </w:r>
      <w:r w:rsidR="007D6EF6">
        <w:rPr>
          <w:rFonts w:ascii="Book Antiqua" w:eastAsia="Book Antiqua" w:hAnsi="Book Antiqua" w:cs="Book Antiqua"/>
          <w:color w:val="000000"/>
        </w:rPr>
        <w:t xml:space="preserve">to 20 </w:t>
      </w:r>
      <w:r w:rsidR="007D6EF6" w:rsidRP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magnification) in a single hotspot field area normalized to 0.785 mm</w:t>
      </w:r>
      <w:r w:rsidRPr="00AA0B7D">
        <w:rPr>
          <w:rFonts w:ascii="Book Antiqua" w:eastAsia="Book Antiqua" w:hAnsi="Book Antiqua" w:cs="Book Antiqua"/>
          <w:color w:val="000000"/>
          <w:vertAlign w:val="superscript"/>
        </w:rPr>
        <w:t>2</w:t>
      </w:r>
      <w:r w:rsidRPr="00AA0B7D">
        <w:rPr>
          <w:rFonts w:ascii="Book Antiqua" w:eastAsia="Book Antiqua" w:hAnsi="Book Antiqua" w:cs="Book Antiqua"/>
          <w:color w:val="000000"/>
        </w:rPr>
        <w:t xml:space="preserve"> at the invasive front according to the </w:t>
      </w:r>
      <w:bookmarkStart w:id="52" w:name="_Hlk152314626"/>
      <w:r w:rsidRPr="00AA0B7D">
        <w:rPr>
          <w:rFonts w:ascii="Book Antiqua" w:eastAsia="Book Antiqua" w:hAnsi="Book Antiqua" w:cs="Book Antiqua"/>
          <w:color w:val="000000"/>
        </w:rPr>
        <w:t>2016 International TB Consensus Conference</w:t>
      </w:r>
      <w:bookmarkEnd w:id="52"/>
      <w:r w:rsidRPr="00AA0B7D">
        <w:rPr>
          <w:rFonts w:ascii="Book Antiqua" w:eastAsia="Book Antiqua" w:hAnsi="Book Antiqua" w:cs="Book Antiqua"/>
          <w:color w:val="000000"/>
        </w:rPr>
        <w:t xml:space="preserve"> (ITBCC 2016). TB was defined as a single tumor cell or a cell cluster of up to four tumor cells at the invasive margin. Tumor buds were counted independently by two pathologists (</w:t>
      </w:r>
      <w:r w:rsidR="005222E1" w:rsidRPr="00AA0B7D">
        <w:rPr>
          <w:rFonts w:ascii="Book Antiqua" w:eastAsia="Book Antiqua" w:hAnsi="Book Antiqua" w:cs="Book Antiqua"/>
          <w:color w:val="000000"/>
        </w:rPr>
        <w:t>Yue-Hao Luo and Zhe-Cheng Yan</w:t>
      </w:r>
      <w:r w:rsidRPr="00AA0B7D">
        <w:rPr>
          <w:rFonts w:ascii="Book Antiqua" w:eastAsia="Book Antiqua" w:hAnsi="Book Antiqua" w:cs="Book Antiqua"/>
          <w:color w:val="000000"/>
        </w:rPr>
        <w:t>), and any discrepancies were resolved by a third expert (</w:t>
      </w:r>
      <w:r w:rsidR="005222E1" w:rsidRPr="00AA0B7D">
        <w:rPr>
          <w:rFonts w:ascii="Book Antiqua" w:eastAsia="Book Antiqua" w:hAnsi="Book Antiqua" w:cs="Book Antiqua"/>
          <w:color w:val="000000"/>
        </w:rPr>
        <w:t>Xiao-Na Chang</w:t>
      </w:r>
      <w:r w:rsidRPr="00AA0B7D">
        <w:rPr>
          <w:rFonts w:ascii="Book Antiqua" w:eastAsia="Book Antiqua" w:hAnsi="Book Antiqua" w:cs="Book Antiqua"/>
          <w:color w:val="000000"/>
        </w:rPr>
        <w:t>). The TB scoring categories were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1 (0-4 buds: Low),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 (5-9 buds: Intermediate), and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3 (≥ 10 buds: High).</w:t>
      </w:r>
    </w:p>
    <w:p w14:paraId="0C33D856" w14:textId="77777777" w:rsidR="00534A0B" w:rsidRPr="00AA0B7D" w:rsidRDefault="00534A0B" w:rsidP="00300CC9">
      <w:pPr>
        <w:spacing w:line="360" w:lineRule="auto"/>
        <w:jc w:val="both"/>
        <w:rPr>
          <w:rFonts w:ascii="Book Antiqua" w:eastAsia="Book Antiqua" w:hAnsi="Book Antiqua" w:cs="Book Antiqua"/>
          <w:b/>
          <w:bCs/>
          <w:color w:val="000000"/>
        </w:rPr>
      </w:pPr>
    </w:p>
    <w:p w14:paraId="3BFF0607" w14:textId="77777777" w:rsidR="00534A0B" w:rsidRPr="00AA0B7D" w:rsidRDefault="00534A0B" w:rsidP="00300CC9">
      <w:pPr>
        <w:spacing w:line="360" w:lineRule="auto"/>
        <w:jc w:val="both"/>
        <w:rPr>
          <w:rFonts w:ascii="Book Antiqua" w:hAnsi="Book Antiqua"/>
          <w:i/>
          <w:iCs/>
        </w:rPr>
      </w:pPr>
      <w:r w:rsidRPr="00AA0B7D">
        <w:rPr>
          <w:rFonts w:ascii="Book Antiqua" w:eastAsia="Book Antiqua" w:hAnsi="Book Antiqua" w:cs="Book Antiqua"/>
          <w:b/>
          <w:bCs/>
          <w:i/>
          <w:iCs/>
          <w:color w:val="000000"/>
        </w:rPr>
        <w:t>Statistical analysis</w:t>
      </w:r>
    </w:p>
    <w:p w14:paraId="41970985" w14:textId="09766260"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lastRenderedPageBreak/>
        <w:t xml:space="preserve">All statistical analyses were performed using the statistical software SPSS version 27.0, with two-sided statistical testing, and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0.05 was considered statistically significant. Clinicopathological features and </w:t>
      </w:r>
      <w:r w:rsidR="00D91DCF" w:rsidRPr="00AA0B7D">
        <w:rPr>
          <w:rFonts w:ascii="Book Antiqua" w:hAnsi="Book Antiqua"/>
          <w:i/>
          <w:iCs/>
        </w:rPr>
        <w:t>KRAS, NRAS, BRAF</w:t>
      </w:r>
      <w:r w:rsidR="00D91DCF" w:rsidRPr="00AA0B7D" w:rsidDel="00D91DCF">
        <w:rPr>
          <w:rFonts w:ascii="Book Antiqua" w:eastAsia="Book Antiqua" w:hAnsi="Book Antiqua" w:cs="Book Antiqua"/>
          <w:i/>
          <w:iCs/>
          <w:color w:val="000000"/>
        </w:rPr>
        <w:t xml:space="preserve"> </w:t>
      </w:r>
      <w:r w:rsidRPr="00AA0B7D">
        <w:rPr>
          <w:rFonts w:ascii="Book Antiqua" w:eastAsia="Book Antiqua" w:hAnsi="Book Antiqua" w:cs="Book Antiqua"/>
          <w:color w:val="000000"/>
        </w:rPr>
        <w:t xml:space="preserve">mutation status of the patients were descriptively analyzed. The </w:t>
      </w:r>
      <w:r w:rsidR="007D6EF6" w:rsidRPr="007D6EF6">
        <w:rPr>
          <w:rFonts w:ascii="Book Antiqua" w:eastAsia="Book Antiqua" w:hAnsi="Book Antiqua" w:cs="Book Antiqua"/>
          <w:color w:val="000000"/>
        </w:rPr>
        <w:t>χ</w:t>
      </w:r>
      <w:r w:rsidR="007D6EF6" w:rsidRPr="007D6EF6">
        <w:rPr>
          <w:rFonts w:ascii="Book Antiqua" w:eastAsia="Book Antiqua" w:hAnsi="Book Antiqua" w:cs="Book Antiqua"/>
          <w:color w:val="000000"/>
          <w:vertAlign w:val="superscript"/>
        </w:rPr>
        <w:t>2</w:t>
      </w:r>
      <w:r w:rsidR="007D6EF6">
        <w:rPr>
          <w:rFonts w:ascii="Book Antiqua" w:eastAsia="Book Antiqua" w:hAnsi="Book Antiqua" w:cs="Book Antiqua"/>
          <w:color w:val="000000"/>
          <w:vertAlign w:val="superscript"/>
        </w:rPr>
        <w:t xml:space="preserve"> </w:t>
      </w:r>
      <w:r w:rsidRPr="00AA0B7D">
        <w:rPr>
          <w:rFonts w:ascii="Book Antiqua" w:eastAsia="Book Antiqua" w:hAnsi="Book Antiqua" w:cs="Book Antiqua"/>
          <w:color w:val="000000"/>
        </w:rPr>
        <w:t>test (or Fisher’s exact test, if appropriate) was used to evaluate the relationship between the TB categories and clinicopathological features. Spearman correlation analysis was used to evaluate the consistency between the TB categories evaluated by the two pathologists (Figure 2). Kaplan-Meier survival analysis was used to compare PFS and OS between patients with TB and those with other clinicopathological features. Cox proportional hazard regression models were used to estimate hazard ratios (HRs) and 95%</w:t>
      </w:r>
      <w:r w:rsidR="007D6EF6">
        <w:rPr>
          <w:rFonts w:ascii="Book Antiqua" w:eastAsia="Book Antiqua" w:hAnsi="Book Antiqua" w:cs="Book Antiqua"/>
          <w:color w:val="000000"/>
        </w:rPr>
        <w:t xml:space="preserve"> confidence interval (</w:t>
      </w:r>
      <w:r w:rsidRPr="00AA0B7D">
        <w:rPr>
          <w:rFonts w:ascii="Book Antiqua" w:eastAsia="Book Antiqua" w:hAnsi="Book Antiqua" w:cs="Book Antiqua"/>
          <w:color w:val="000000"/>
        </w:rPr>
        <w:t>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The association of baseline parameters with PFS and OS was first examined using univariate Cox analysis, and variables with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0.05 were entered into a Cox regression multivariate model. After normal distribution detection of TILs in the tumor stroma and at the TB of the tumor invasion front was conducted, it was found that both groups of data were biased. The Mann-Whitney </w:t>
      </w:r>
      <w:r w:rsidRPr="00276429">
        <w:rPr>
          <w:rFonts w:ascii="Book Antiqua" w:eastAsia="Book Antiqua" w:hAnsi="Book Antiqua" w:cs="Book Antiqua"/>
          <w:i/>
          <w:iCs/>
          <w:color w:val="000000"/>
        </w:rPr>
        <w:t>U</w:t>
      </w:r>
      <w:r w:rsidRPr="00AA0B7D">
        <w:rPr>
          <w:rFonts w:ascii="Book Antiqua" w:eastAsia="Book Antiqua" w:hAnsi="Book Antiqua" w:cs="Book Antiqua"/>
          <w:color w:val="000000"/>
        </w:rPr>
        <w:t xml:space="preserve"> test was used to evaluate the relationship between TILs in the tumor stroma and TILs at TB of the tumor invasion front with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1 and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2-3, respectively.</w:t>
      </w:r>
    </w:p>
    <w:p w14:paraId="5A54F806" w14:textId="77777777" w:rsidR="00534A0B" w:rsidRPr="00AA0B7D" w:rsidRDefault="00534A0B" w:rsidP="00300CC9">
      <w:pPr>
        <w:spacing w:line="360" w:lineRule="auto"/>
        <w:ind w:firstLine="480"/>
        <w:jc w:val="both"/>
        <w:rPr>
          <w:rFonts w:ascii="Book Antiqua" w:hAnsi="Book Antiqua"/>
        </w:rPr>
      </w:pPr>
    </w:p>
    <w:p w14:paraId="08BBEDAD" w14:textId="77777777"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t>RESULTS</w:t>
      </w:r>
    </w:p>
    <w:p w14:paraId="2C99C41D" w14:textId="77777777" w:rsidR="00534A0B" w:rsidRPr="00AA0B7D" w:rsidRDefault="00534A0B" w:rsidP="00300CC9">
      <w:pPr>
        <w:spacing w:line="360" w:lineRule="auto"/>
        <w:jc w:val="both"/>
        <w:rPr>
          <w:rFonts w:ascii="Book Antiqua" w:hAnsi="Book Antiqua"/>
          <w:i/>
          <w:iCs/>
        </w:rPr>
      </w:pPr>
      <w:r w:rsidRPr="00AA0B7D">
        <w:rPr>
          <w:rFonts w:ascii="Book Antiqua" w:eastAsia="Book Antiqua" w:hAnsi="Book Antiqua" w:cs="Book Antiqua"/>
          <w:b/>
          <w:bCs/>
          <w:i/>
          <w:iCs/>
          <w:color w:val="000000"/>
        </w:rPr>
        <w:t>Patient characteristics</w:t>
      </w:r>
    </w:p>
    <w:p w14:paraId="22056434" w14:textId="359D45A4"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t>The clinical data of 838 CRC patients were retrospectively collected. The TB of 547 CRC patients was assessed. The frequency of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1,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 and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3 were 70.6%, 13.7%, and 15.7%, respectively. The clinicopathological characteristics are listed in Table 1. </w:t>
      </w:r>
      <w:r w:rsidR="00D91DCF" w:rsidRPr="00AA0B7D">
        <w:rPr>
          <w:rFonts w:ascii="Book Antiqua" w:hAnsi="Book Antiqua"/>
        </w:rPr>
        <w:t xml:space="preserve">Patients with </w:t>
      </w:r>
      <w:r w:rsidR="00D91DCF" w:rsidRPr="00AA0B7D">
        <w:rPr>
          <w:rFonts w:ascii="Book Antiqua" w:hAnsi="Book Antiqua"/>
          <w:i/>
          <w:iCs/>
        </w:rPr>
        <w:t>KRAS, NRAS, BRAF</w:t>
      </w:r>
      <w:r w:rsidR="00D91DCF" w:rsidRPr="00AA0B7D">
        <w:rPr>
          <w:rFonts w:ascii="Book Antiqua" w:hAnsi="Book Antiqua"/>
        </w:rPr>
        <w:t xml:space="preserve"> mutations</w:t>
      </w:r>
      <w:r w:rsidR="00D91DCF" w:rsidRPr="00AA0B7D">
        <w:rPr>
          <w:rFonts w:ascii="Book Antiqua" w:eastAsia="Book Antiqua" w:hAnsi="Book Antiqua" w:cs="Book Antiqua"/>
          <w:color w:val="000000"/>
        </w:rPr>
        <w:t xml:space="preserve"> are listed in Table 2.</w:t>
      </w:r>
      <w:r w:rsidR="00DF31B8"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TB categories were correlated with vascular tumor embolus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0.004), neurological invasion (</w:t>
      </w:r>
      <w:r w:rsidRPr="00AA0B7D">
        <w:rPr>
          <w:rFonts w:ascii="Book Antiqua" w:eastAsia="Book Antiqua" w:hAnsi="Book Antiqua" w:cs="Book Antiqua"/>
          <w:i/>
          <w:iCs/>
          <w:color w:val="000000"/>
        </w:rPr>
        <w:t xml:space="preserve">P </w:t>
      </w:r>
      <w:r w:rsidRPr="00AA0B7D">
        <w:rPr>
          <w:rFonts w:ascii="Book Antiqua" w:eastAsia="Book Antiqua" w:hAnsi="Book Antiqua" w:cs="Book Antiqua"/>
          <w:color w:val="000000"/>
        </w:rPr>
        <w:t xml:space="preserve">&lt; 0.001), AJCC stage </w:t>
      </w:r>
      <w:r w:rsidR="00B024FD"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0.006), and </w:t>
      </w:r>
      <w:r w:rsidR="005875EB" w:rsidRPr="00AA0B7D">
        <w:rPr>
          <w:rFonts w:ascii="Book Antiqua" w:eastAsia="DengXian" w:hAnsi="Book Antiqua"/>
          <w:color w:val="000000"/>
        </w:rPr>
        <w:t>lymph node metastasis</w:t>
      </w:r>
      <w:r w:rsidR="005875EB"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LNM</w:t>
      </w:r>
      <w:r w:rsidR="005875EB" w:rsidRPr="00AA0B7D">
        <w:rPr>
          <w:rFonts w:ascii="Book Antiqua" w:eastAsia="Book Antiqua" w:hAnsi="Book Antiqua" w:cs="Book Antiqua"/>
          <w:color w:val="000000"/>
        </w:rPr>
        <w:t>)</w:t>
      </w:r>
      <w:r w:rsidRPr="00AA0B7D">
        <w:rPr>
          <w:rFonts w:ascii="Book Antiqua" w:eastAsia="Book Antiqua" w:hAnsi="Book Antiqua" w:cs="Book Antiqua"/>
          <w:color w:val="000000"/>
        </w:rPr>
        <w:t xml:space="preserve">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0.019), but they were not significantly correlated with age, sex, chemotherapy, radiotherapy or tumor site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&gt; 0.05).</w:t>
      </w:r>
    </w:p>
    <w:p w14:paraId="43E1E64C" w14:textId="77777777" w:rsidR="00534A0B" w:rsidRPr="00AA0B7D" w:rsidRDefault="00534A0B" w:rsidP="00300CC9">
      <w:pPr>
        <w:spacing w:line="360" w:lineRule="auto"/>
        <w:jc w:val="both"/>
        <w:rPr>
          <w:rFonts w:ascii="Book Antiqua" w:hAnsi="Book Antiqua"/>
        </w:rPr>
      </w:pPr>
    </w:p>
    <w:p w14:paraId="4C4CCF6B" w14:textId="1DA8A736" w:rsidR="00534A0B" w:rsidRPr="00AA0B7D" w:rsidRDefault="007D6EF6" w:rsidP="00300CC9">
      <w:pPr>
        <w:spacing w:line="360" w:lineRule="auto"/>
        <w:jc w:val="both"/>
        <w:rPr>
          <w:rFonts w:ascii="Book Antiqua" w:hAnsi="Book Antiqua"/>
          <w:i/>
          <w:iCs/>
        </w:rPr>
      </w:pPr>
      <w:r>
        <w:rPr>
          <w:rFonts w:ascii="Book Antiqua" w:eastAsia="Book Antiqua" w:hAnsi="Book Antiqua" w:cs="Book Antiqua"/>
          <w:b/>
          <w:bCs/>
          <w:i/>
          <w:iCs/>
          <w:color w:val="000000"/>
        </w:rPr>
        <w:t>TB</w:t>
      </w:r>
      <w:r w:rsidR="00534A0B" w:rsidRPr="00AA0B7D">
        <w:rPr>
          <w:rFonts w:ascii="Book Antiqua" w:eastAsia="Book Antiqua" w:hAnsi="Book Antiqua" w:cs="Book Antiqua"/>
          <w:b/>
          <w:bCs/>
          <w:i/>
          <w:iCs/>
          <w:color w:val="000000"/>
        </w:rPr>
        <w:t xml:space="preserve"> and survival</w:t>
      </w:r>
    </w:p>
    <w:p w14:paraId="39BE2598" w14:textId="0EB4225A"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lastRenderedPageBreak/>
        <w:t>The 5-year PFS and 5-year OS rates of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1 </w:t>
      </w:r>
      <w:r w:rsidRPr="00AA0B7D">
        <w:rPr>
          <w:rFonts w:ascii="Book Antiqua" w:eastAsia="Book Antiqua" w:hAnsi="Book Antiqua" w:cs="Book Antiqua"/>
          <w:i/>
          <w:iCs/>
          <w:color w:val="000000"/>
        </w:rPr>
        <w:t xml:space="preserve">vs </w:t>
      </w:r>
      <w:r w:rsidRPr="00AA0B7D">
        <w:rPr>
          <w:rFonts w:ascii="Book Antiqua" w:eastAsia="Book Antiqua" w:hAnsi="Book Antiqua" w:cs="Book Antiqua"/>
          <w:color w:val="000000"/>
        </w:rPr>
        <w:t>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2-3 were 72% </w:t>
      </w:r>
      <w:r w:rsidRPr="00AA0B7D">
        <w:rPr>
          <w:rFonts w:ascii="Book Antiqua" w:eastAsia="Book Antiqua" w:hAnsi="Book Antiqua" w:cs="Book Antiqua"/>
          <w:i/>
          <w:iCs/>
          <w:color w:val="000000"/>
        </w:rPr>
        <w:t>vs</w:t>
      </w:r>
      <w:r w:rsidRPr="00AA0B7D">
        <w:rPr>
          <w:rFonts w:ascii="Book Antiqua" w:eastAsia="Book Antiqua" w:hAnsi="Book Antiqua" w:cs="Book Antiqua"/>
          <w:color w:val="000000"/>
        </w:rPr>
        <w:t xml:space="preserve"> 45%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0.001) and 49% </w:t>
      </w:r>
      <w:r w:rsidRPr="00AA0B7D">
        <w:rPr>
          <w:rFonts w:ascii="Book Antiqua" w:eastAsia="Book Antiqua" w:hAnsi="Book Antiqua" w:cs="Book Antiqua"/>
          <w:i/>
          <w:iCs/>
          <w:color w:val="000000"/>
        </w:rPr>
        <w:t>vs</w:t>
      </w:r>
      <w:r w:rsidRPr="00AA0B7D">
        <w:rPr>
          <w:rFonts w:ascii="Book Antiqua" w:eastAsia="Book Antiqua" w:hAnsi="Book Antiqua" w:cs="Book Antiqua"/>
          <w:color w:val="000000"/>
        </w:rPr>
        <w:t xml:space="preserve"> 17% (</w:t>
      </w:r>
      <w:r w:rsidRPr="00AA0B7D">
        <w:rPr>
          <w:rFonts w:ascii="Book Antiqua" w:eastAsia="Book Antiqua" w:hAnsi="Book Antiqua" w:cs="Book Antiqua"/>
          <w:i/>
          <w:iCs/>
          <w:color w:val="000000"/>
        </w:rPr>
        <w:t xml:space="preserve">P </w:t>
      </w:r>
      <w:r w:rsidRPr="00AA0B7D">
        <w:rPr>
          <w:rFonts w:ascii="Book Antiqua" w:eastAsia="Book Antiqua" w:hAnsi="Book Antiqua" w:cs="Book Antiqua"/>
          <w:color w:val="000000"/>
        </w:rPr>
        <w:t>&lt; 0.001), respectively. In univariable analysis,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2-3 was associated with shorter PFS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2.312;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1.577 to 3.389;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0.001</w:t>
      </w:r>
      <w:r w:rsidR="007D6EF6">
        <w:rPr>
          <w:rFonts w:ascii="Book Antiqua" w:eastAsia="Book Antiqua" w:hAnsi="Book Antiqua" w:cs="Book Antiqua"/>
          <w:color w:val="000000"/>
        </w:rPr>
        <w:t>) (</w:t>
      </w:r>
      <w:r w:rsidR="0083700E" w:rsidRPr="00AA0B7D">
        <w:rPr>
          <w:rFonts w:ascii="Book Antiqua" w:eastAsia="Book Antiqua" w:hAnsi="Book Antiqua" w:cs="Book Antiqua"/>
          <w:color w:val="000000"/>
        </w:rPr>
        <w:t xml:space="preserve">Figure </w:t>
      </w:r>
      <w:r w:rsidR="001D1E70" w:rsidRPr="00AA0B7D">
        <w:rPr>
          <w:rFonts w:ascii="Book Antiqua" w:eastAsia="Book Antiqua" w:hAnsi="Book Antiqua" w:cs="Book Antiqua"/>
          <w:color w:val="000000"/>
        </w:rPr>
        <w:t>3</w:t>
      </w:r>
      <w:r w:rsidRPr="00AA0B7D">
        <w:rPr>
          <w:rFonts w:ascii="Book Antiqua" w:eastAsia="Book Antiqua" w:hAnsi="Book Antiqua" w:cs="Book Antiqua"/>
          <w:color w:val="000000"/>
        </w:rPr>
        <w:t>) and OS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2.024</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1.378 to 2.972;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0.002</w:t>
      </w:r>
      <w:r w:rsidR="007D6EF6">
        <w:rPr>
          <w:rFonts w:ascii="Book Antiqua" w:eastAsia="Book Antiqua" w:hAnsi="Book Antiqua" w:cs="Book Antiqua"/>
          <w:color w:val="000000"/>
        </w:rPr>
        <w:t>) (</w:t>
      </w:r>
      <w:r w:rsidR="0083700E" w:rsidRPr="00AA0B7D">
        <w:rPr>
          <w:rFonts w:ascii="Book Antiqua" w:eastAsia="Book Antiqua" w:hAnsi="Book Antiqua" w:cs="Book Antiqua"/>
          <w:color w:val="000000"/>
        </w:rPr>
        <w:t>Figure</w:t>
      </w:r>
      <w:r w:rsidR="001D1E70" w:rsidRPr="00AA0B7D">
        <w:rPr>
          <w:rFonts w:ascii="Book Antiqua" w:eastAsia="Book Antiqua" w:hAnsi="Book Antiqua" w:cs="Book Antiqua"/>
          <w:color w:val="000000"/>
        </w:rPr>
        <w:t xml:space="preserve"> 4</w:t>
      </w:r>
      <w:r w:rsidRPr="00AA0B7D">
        <w:rPr>
          <w:rFonts w:ascii="Book Antiqua" w:eastAsia="Book Antiqua" w:hAnsi="Book Antiqua" w:cs="Book Antiqua"/>
          <w:color w:val="000000"/>
        </w:rPr>
        <w:t>). Moreover, neurological invasion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1.890</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1.267 to 2.820;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0.002), vascular tumor embolus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1.901</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1.275 to 2.833;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0.002), AJCC stage IV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3.623</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2.466 to 5.324;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0.001), N2 (number of lymph node metastases ≥ 4)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1.699</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1.019 to 2.832;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0.042), and left-sided colon cancer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2.210</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1.300 to 3.758;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0.003)</w:t>
      </w:r>
      <w:r w:rsidR="007D6EF6">
        <w:rPr>
          <w:rFonts w:ascii="Book Antiqua" w:eastAsia="Book Antiqua" w:hAnsi="Book Antiqua" w:cs="Book Antiqua"/>
          <w:color w:val="000000"/>
        </w:rPr>
        <w:t xml:space="preserve"> </w:t>
      </w:r>
      <w:r w:rsidRPr="00AA0B7D">
        <w:rPr>
          <w:rFonts w:ascii="Book Antiqua" w:eastAsia="Book Antiqua" w:hAnsi="Book Antiqua" w:cs="Book Antiqua"/>
          <w:color w:val="000000"/>
        </w:rPr>
        <w:t>were associated with shorter PFS, and the prognosis of patients with chemotherapy was better (HR</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0.581</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95%CI</w:t>
      </w:r>
      <w:r w:rsidR="007D6EF6">
        <w:rPr>
          <w:rFonts w:ascii="Book Antiqua" w:eastAsia="Book Antiqua" w:hAnsi="Book Antiqua" w:cs="Book Antiqua"/>
          <w:color w:val="000000"/>
        </w:rPr>
        <w:t>:</w:t>
      </w:r>
      <w:r w:rsidRPr="00AA0B7D">
        <w:rPr>
          <w:rFonts w:ascii="Book Antiqua" w:eastAsia="Book Antiqua" w:hAnsi="Book Antiqua" w:cs="Book Antiqua"/>
          <w:color w:val="000000"/>
        </w:rPr>
        <w:t xml:space="preserve"> 0.395 to 0.856;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0.006). The other clinicopathological variables were not correlated with PFS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&gt; 0.05). Multivariate Cox proportional hazards regression analysis demonstrated that AJCC stage IV, N2 (number of lymph node metastases ≥ 4), left-sided colon cancer, and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2-3 were independent risk factors for stage III-IV CRC. Similarly, chemotherapy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 0.004) was an independent protective factor (</w:t>
      </w:r>
      <w:bookmarkStart w:id="53" w:name="OLE_LINK7525"/>
      <w:bookmarkStart w:id="54" w:name="OLE_LINK7526"/>
      <w:r w:rsidR="0083700E" w:rsidRPr="00AA0B7D">
        <w:rPr>
          <w:rFonts w:ascii="Book Antiqua" w:eastAsia="Book Antiqua" w:hAnsi="Book Antiqua" w:cs="Book Antiqua"/>
          <w:color w:val="000000"/>
        </w:rPr>
        <w:t>Fig</w:t>
      </w:r>
      <w:bookmarkEnd w:id="53"/>
      <w:bookmarkEnd w:id="54"/>
      <w:r w:rsidR="0083700E" w:rsidRPr="00AA0B7D">
        <w:rPr>
          <w:rFonts w:ascii="Book Antiqua" w:eastAsia="Book Antiqua" w:hAnsi="Book Antiqua" w:cs="Book Antiqua"/>
          <w:color w:val="000000"/>
        </w:rPr>
        <w:t>ure</w:t>
      </w:r>
      <w:r w:rsidR="00300CC9" w:rsidRPr="00AA0B7D">
        <w:rPr>
          <w:rFonts w:ascii="Book Antiqua" w:eastAsia="Book Antiqua" w:hAnsi="Book Antiqua" w:cs="Book Antiqua"/>
          <w:color w:val="000000"/>
        </w:rPr>
        <w:t>s</w:t>
      </w:r>
      <w:r w:rsidR="0083700E" w:rsidRPr="00AA0B7D">
        <w:rPr>
          <w:rFonts w:ascii="Book Antiqua" w:eastAsia="Book Antiqua" w:hAnsi="Book Antiqua" w:cs="Book Antiqua"/>
          <w:color w:val="000000"/>
        </w:rPr>
        <w:t xml:space="preserve"> </w:t>
      </w:r>
      <w:r w:rsidR="001D1E70" w:rsidRPr="00AA0B7D">
        <w:rPr>
          <w:rFonts w:ascii="Book Antiqua" w:eastAsia="Book Antiqua" w:hAnsi="Book Antiqua" w:cs="Book Antiqua"/>
          <w:color w:val="000000"/>
        </w:rPr>
        <w:t>5</w:t>
      </w:r>
      <w:r w:rsidRPr="00AA0B7D">
        <w:rPr>
          <w:rFonts w:ascii="Book Antiqua" w:eastAsia="Book Antiqua" w:hAnsi="Book Antiqua" w:cs="Book Antiqua"/>
          <w:color w:val="000000"/>
        </w:rPr>
        <w:t xml:space="preserve"> and</w:t>
      </w:r>
      <w:r w:rsidR="0083700E" w:rsidRPr="00AA0B7D">
        <w:rPr>
          <w:rFonts w:ascii="Book Antiqua" w:eastAsia="Book Antiqua" w:hAnsi="Book Antiqua" w:cs="Book Antiqua"/>
          <w:color w:val="000000"/>
        </w:rPr>
        <w:t xml:space="preserve"> </w:t>
      </w:r>
      <w:r w:rsidR="001D1E70" w:rsidRPr="00AA0B7D">
        <w:rPr>
          <w:rFonts w:ascii="Book Antiqua" w:eastAsia="Book Antiqua" w:hAnsi="Book Antiqua" w:cs="Book Antiqua"/>
          <w:color w:val="000000"/>
        </w:rPr>
        <w:t>6</w:t>
      </w:r>
      <w:r w:rsidRPr="00AA0B7D">
        <w:rPr>
          <w:rFonts w:ascii="Book Antiqua" w:eastAsia="Book Antiqua" w:hAnsi="Book Antiqua" w:cs="Book Antiqua"/>
          <w:color w:val="000000"/>
        </w:rPr>
        <w:t xml:space="preserve">). Kaplan-Meier survival analysis (Figure </w:t>
      </w:r>
      <w:r w:rsidR="001D1E70" w:rsidRPr="00AA0B7D">
        <w:rPr>
          <w:rFonts w:ascii="Book Antiqua" w:eastAsia="Book Antiqua" w:hAnsi="Book Antiqua" w:cs="Book Antiqua"/>
          <w:color w:val="000000"/>
        </w:rPr>
        <w:t>7</w:t>
      </w:r>
      <w:r w:rsidRPr="00AA0B7D">
        <w:rPr>
          <w:rFonts w:ascii="Book Antiqua" w:eastAsia="Book Antiqua" w:hAnsi="Book Antiqua" w:cs="Book Antiqua"/>
          <w:color w:val="000000"/>
        </w:rPr>
        <w:t>) showed that patients with Bd</w:t>
      </w:r>
      <w:r w:rsidR="00042CD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1 had a better prognosis than those with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2-3. Meanwhile, when further grouping, we found that patients with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1 had longer PFS and OS than those with Bd</w:t>
      </w:r>
      <w:r w:rsidR="005222E1"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2-3 in the invasion area (perineural and vascular invasions), and the difference was statistically significant (Figure</w:t>
      </w:r>
      <w:r w:rsidR="005222E1" w:rsidRPr="00AA0B7D">
        <w:rPr>
          <w:rFonts w:ascii="Book Antiqua" w:eastAsia="Book Antiqua" w:hAnsi="Book Antiqua" w:cs="Book Antiqua"/>
          <w:color w:val="000000"/>
        </w:rPr>
        <w:t>s</w:t>
      </w:r>
      <w:r w:rsidRPr="00AA0B7D">
        <w:rPr>
          <w:rFonts w:ascii="Book Antiqua" w:eastAsia="Book Antiqua" w:hAnsi="Book Antiqua" w:cs="Book Antiqua"/>
          <w:color w:val="000000"/>
        </w:rPr>
        <w:t xml:space="preserve"> </w:t>
      </w:r>
      <w:r w:rsidR="001D1E70" w:rsidRPr="00AA0B7D">
        <w:rPr>
          <w:rFonts w:ascii="Book Antiqua" w:eastAsia="Book Antiqua" w:hAnsi="Book Antiqua" w:cs="Book Antiqua"/>
          <w:color w:val="000000"/>
        </w:rPr>
        <w:t xml:space="preserve">8 </w:t>
      </w:r>
      <w:r w:rsidRPr="00AA0B7D">
        <w:rPr>
          <w:rFonts w:ascii="Book Antiqua" w:eastAsia="Book Antiqua" w:hAnsi="Book Antiqua" w:cs="Book Antiqua"/>
          <w:color w:val="000000"/>
        </w:rPr>
        <w:t xml:space="preserve">and </w:t>
      </w:r>
      <w:r w:rsidR="001D1E70" w:rsidRPr="00AA0B7D">
        <w:rPr>
          <w:rFonts w:ascii="Book Antiqua" w:eastAsia="Book Antiqua" w:hAnsi="Book Antiqua" w:cs="Book Antiqua"/>
          <w:color w:val="000000"/>
        </w:rPr>
        <w:t>9</w:t>
      </w:r>
      <w:r w:rsidRPr="00AA0B7D">
        <w:rPr>
          <w:rFonts w:ascii="Book Antiqua" w:eastAsia="Book Antiqua" w:hAnsi="Book Antiqua" w:cs="Book Antiqua"/>
          <w:color w:val="000000"/>
        </w:rPr>
        <w:t>). The density of TILs was higher in Bd</w:t>
      </w:r>
      <w:r w:rsidR="00CA4CF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1 than in Bd</w:t>
      </w:r>
      <w:r w:rsidR="00CA4CF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2-3, both in the stromal area and invasive margin (</w:t>
      </w:r>
      <w:r w:rsidR="003747F7" w:rsidRPr="00AA0B7D">
        <w:rPr>
          <w:rFonts w:ascii="Book Antiqua" w:eastAsia="Book Antiqua" w:hAnsi="Book Antiqua" w:cs="Book Antiqua"/>
          <w:color w:val="000000"/>
        </w:rPr>
        <w:t>Figure 10</w:t>
      </w:r>
      <w:r w:rsidRPr="00AA0B7D">
        <w:rPr>
          <w:rFonts w:ascii="Book Antiqua" w:eastAsia="Book Antiqua" w:hAnsi="Book Antiqua" w:cs="Book Antiqua"/>
          <w:color w:val="000000"/>
        </w:rPr>
        <w:t>).</w:t>
      </w:r>
    </w:p>
    <w:p w14:paraId="4EB51D5F" w14:textId="77777777" w:rsidR="00534A0B" w:rsidRPr="00AA0B7D" w:rsidRDefault="00534A0B" w:rsidP="00300CC9">
      <w:pPr>
        <w:spacing w:line="360" w:lineRule="auto"/>
        <w:ind w:firstLine="480"/>
        <w:jc w:val="both"/>
        <w:rPr>
          <w:rFonts w:ascii="Book Antiqua" w:hAnsi="Book Antiqua"/>
        </w:rPr>
      </w:pPr>
    </w:p>
    <w:p w14:paraId="1534A799" w14:textId="77777777"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t>DISCUSSION</w:t>
      </w:r>
    </w:p>
    <w:p w14:paraId="200E4325" w14:textId="77777777"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t>As early as 1954, Imai first reported the phenomenon of TB in various solid tumors and its correlation with prognosis of disease</w:t>
      </w:r>
      <w:r w:rsidRPr="00AA0B7D">
        <w:rPr>
          <w:rFonts w:ascii="Book Antiqua" w:eastAsia="Book Antiqua" w:hAnsi="Book Antiqua" w:cs="Book Antiqua"/>
          <w:color w:val="000000"/>
          <w:vertAlign w:val="superscript"/>
        </w:rPr>
        <w:t>[10]</w:t>
      </w:r>
      <w:r w:rsidRPr="00AA0B7D">
        <w:rPr>
          <w:rFonts w:ascii="Book Antiqua" w:eastAsia="Book Antiqua" w:hAnsi="Book Antiqua" w:cs="Book Antiqua"/>
          <w:color w:val="000000"/>
        </w:rPr>
        <w:t>. Subsequent studies have further demonstrated that TB serves as an independent prognostic biomarker in CRC and is observed in a variety of solid tumors, including tongue, larynx, esophagus, stomach, breast, and intrahepatic cholangiocarcinomas. It has been shown to be predictive of cancer progression</w:t>
      </w:r>
      <w:r w:rsidRPr="00AA0B7D">
        <w:rPr>
          <w:rFonts w:ascii="Book Antiqua" w:eastAsia="Book Antiqua" w:hAnsi="Book Antiqua" w:cs="Book Antiqua"/>
          <w:color w:val="000000"/>
          <w:vertAlign w:val="superscript"/>
        </w:rPr>
        <w:t>[11-14]</w:t>
      </w:r>
      <w:r w:rsidRPr="00AA0B7D">
        <w:rPr>
          <w:rFonts w:ascii="Book Antiqua" w:eastAsia="Book Antiqua" w:hAnsi="Book Antiqua" w:cs="Book Antiqua"/>
          <w:color w:val="000000"/>
        </w:rPr>
        <w:t>.</w:t>
      </w:r>
    </w:p>
    <w:p w14:paraId="53394448" w14:textId="2F968527" w:rsidR="00420CE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Currently, high-grade TB is an independent predictor of LNM to determine subsequent surgical treatment for stage I CRC</w:t>
      </w:r>
      <w:r w:rsidRPr="00AA0B7D">
        <w:rPr>
          <w:rFonts w:ascii="Book Antiqua" w:eastAsia="Book Antiqua" w:hAnsi="Book Antiqua" w:cs="Book Antiqua"/>
          <w:color w:val="000000"/>
          <w:vertAlign w:val="superscript"/>
        </w:rPr>
        <w:t>[6,15]</w:t>
      </w:r>
      <w:r w:rsidRPr="00AA0B7D">
        <w:rPr>
          <w:rFonts w:ascii="Book Antiqua" w:eastAsia="Book Antiqua" w:hAnsi="Book Antiqua" w:cs="Book Antiqua"/>
          <w:color w:val="000000"/>
        </w:rPr>
        <w:t>. In particular, Bd</w:t>
      </w:r>
      <w:r w:rsidR="00CA4CF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3 is a strong adverse </w:t>
      </w:r>
      <w:r w:rsidRPr="00AA0B7D">
        <w:rPr>
          <w:rFonts w:ascii="Book Antiqua" w:eastAsia="Book Antiqua" w:hAnsi="Book Antiqua" w:cs="Book Antiqua"/>
          <w:color w:val="000000"/>
        </w:rPr>
        <w:lastRenderedPageBreak/>
        <w:t>prognostic factor used to identify those stage II CRC patients with high recurrence rates and high mortality to guide adjuvant treatment</w:t>
      </w:r>
      <w:r w:rsidRPr="00AA0B7D">
        <w:rPr>
          <w:rFonts w:ascii="Book Antiqua" w:eastAsia="Book Antiqua" w:hAnsi="Book Antiqua" w:cs="Book Antiqua"/>
          <w:color w:val="000000"/>
          <w:vertAlign w:val="superscript"/>
        </w:rPr>
        <w:t>[16]</w:t>
      </w:r>
      <w:r w:rsidRPr="00AA0B7D">
        <w:rPr>
          <w:rFonts w:ascii="Book Antiqua" w:eastAsia="Book Antiqua" w:hAnsi="Book Antiqua" w:cs="Book Antiqua"/>
          <w:color w:val="000000"/>
        </w:rPr>
        <w:t>. In the new 2017 TNM and 2019 World Health Organization classifications, TB is regarded as an important complementary biological marker for predicting the prognosis of CRC</w:t>
      </w:r>
      <w:r w:rsidRPr="00AA0B7D">
        <w:rPr>
          <w:rFonts w:ascii="Book Antiqua" w:eastAsia="Book Antiqua" w:hAnsi="Book Antiqua" w:cs="Book Antiqua"/>
          <w:color w:val="000000"/>
          <w:vertAlign w:val="superscript"/>
        </w:rPr>
        <w:t>[17]</w:t>
      </w:r>
      <w:r w:rsidRPr="00AA0B7D">
        <w:rPr>
          <w:rFonts w:ascii="Book Antiqua" w:eastAsia="Book Antiqua" w:hAnsi="Book Antiqua" w:cs="Book Antiqua"/>
          <w:color w:val="000000"/>
        </w:rPr>
        <w:t>. Although the prognostic impact of TB on stage I and II CRC is clear, the application of this criterion in clinical practice for treatment decision-making in stage III-IV CRC is limited. This is mainly due to the lack of relevant research data in this context</w:t>
      </w:r>
      <w:r w:rsidRPr="00AA0B7D">
        <w:rPr>
          <w:rFonts w:ascii="Book Antiqua" w:eastAsia="Book Antiqua" w:hAnsi="Book Antiqua" w:cs="Book Antiqua"/>
          <w:color w:val="000000"/>
          <w:vertAlign w:val="superscript"/>
        </w:rPr>
        <w:t>[18]</w:t>
      </w:r>
      <w:r w:rsidRPr="00AA0B7D">
        <w:rPr>
          <w:rFonts w:ascii="Book Antiqua" w:eastAsia="Book Antiqua" w:hAnsi="Book Antiqua" w:cs="Book Antiqua"/>
          <w:color w:val="000000"/>
        </w:rPr>
        <w:t xml:space="preserve">. In this study, 547 patients with stage </w:t>
      </w:r>
      <w:r w:rsidR="00B024FD"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 were evaluated for TB and TILs according to the ITBCC 2016 scoring system. Combined with patient history, clinicopathological data and patient prognosis, the association between TB and various clinicopathological features and TILs, as well as the prognostic significance, were analyzed. These results suggest that TB independently affects the prognostic outcome of stage </w:t>
      </w:r>
      <w:r w:rsidR="00E3179F"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w:t>
      </w:r>
    </w:p>
    <w:p w14:paraId="56AB1EA9" w14:textId="4B3A72F9" w:rsidR="00534A0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 xml:space="preserve">The results of our study are consistent with the conclusion reached by Akabane </w:t>
      </w:r>
      <w:r w:rsidRPr="00AA0B7D">
        <w:rPr>
          <w:rFonts w:ascii="Book Antiqua" w:eastAsia="Book Antiqua" w:hAnsi="Book Antiqua" w:cs="Book Antiqua"/>
          <w:i/>
          <w:iCs/>
          <w:color w:val="000000"/>
        </w:rPr>
        <w:t>et al</w:t>
      </w:r>
      <w:r w:rsidRPr="00AA0B7D">
        <w:rPr>
          <w:rFonts w:ascii="Book Antiqua" w:eastAsia="Book Antiqua" w:hAnsi="Book Antiqua" w:cs="Book Antiqua"/>
          <w:color w:val="000000"/>
          <w:vertAlign w:val="superscript"/>
        </w:rPr>
        <w:t>[18]</w:t>
      </w:r>
      <w:r w:rsidRPr="00AA0B7D">
        <w:rPr>
          <w:rFonts w:ascii="Book Antiqua" w:eastAsia="Book Antiqua" w:hAnsi="Book Antiqua" w:cs="Book Antiqua"/>
          <w:color w:val="000000"/>
        </w:rPr>
        <w:t xml:space="preserve"> who retrospectively collected clinicopathological data from 237 patients with stage III CRC in a single center. This study showed that Bd</w:t>
      </w:r>
      <w:r w:rsidR="00CA4CF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1 patients showed significantly better disease-free survival. The importance of TB in adjuvant treatment decision-making for stage III CRC has been emphasized. Notably, our study showed that </w:t>
      </w:r>
      <w:r w:rsidR="007C4962" w:rsidRPr="00AA0B7D">
        <w:rPr>
          <w:rFonts w:ascii="Book Antiqua" w:eastAsia="Book Antiqua" w:hAnsi="Book Antiqua" w:cs="Book Antiqua"/>
          <w:color w:val="000000"/>
        </w:rPr>
        <w:t>TB</w:t>
      </w:r>
      <w:r w:rsidR="00293E6B"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was an independent adverse prognostic biomarker for PFS and OS in stage </w:t>
      </w:r>
      <w:r w:rsidR="00E3179F"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 A single-center retrospective study of 589 patients with stage III CRC reported by Yamadera </w:t>
      </w:r>
      <w:r w:rsidRPr="00AA0B7D">
        <w:rPr>
          <w:rFonts w:ascii="Book Antiqua" w:eastAsia="Book Antiqua" w:hAnsi="Book Antiqua" w:cs="Book Antiqua"/>
          <w:i/>
          <w:iCs/>
          <w:color w:val="000000"/>
        </w:rPr>
        <w:t>et al</w:t>
      </w:r>
      <w:r w:rsidR="004E761C" w:rsidRPr="00AA0B7D">
        <w:rPr>
          <w:rFonts w:ascii="Book Antiqua" w:eastAsia="Book Antiqua" w:hAnsi="Book Antiqua" w:cs="Book Antiqua"/>
          <w:color w:val="000000"/>
          <w:vertAlign w:val="superscript"/>
        </w:rPr>
        <w:t>[19]</w:t>
      </w:r>
      <w:r w:rsidRPr="00AA0B7D">
        <w:rPr>
          <w:rFonts w:ascii="Book Antiqua" w:eastAsia="Book Antiqua" w:hAnsi="Book Antiqua" w:cs="Book Antiqua"/>
          <w:color w:val="000000"/>
        </w:rPr>
        <w:t xml:space="preserve"> used a binary classification system similar to that of Akabane </w:t>
      </w:r>
      <w:r w:rsidRPr="00AA0B7D">
        <w:rPr>
          <w:rFonts w:ascii="Book Antiqua" w:eastAsia="Book Antiqua" w:hAnsi="Book Antiqua" w:cs="Book Antiqua"/>
          <w:i/>
          <w:iCs/>
          <w:color w:val="000000"/>
        </w:rPr>
        <w:t>et al</w:t>
      </w:r>
      <w:r w:rsidRPr="00AA0B7D">
        <w:rPr>
          <w:rFonts w:ascii="Book Antiqua" w:eastAsia="Book Antiqua" w:hAnsi="Book Antiqua" w:cs="Book Antiqua"/>
          <w:color w:val="000000"/>
          <w:vertAlign w:val="superscript"/>
        </w:rPr>
        <w:t>[18]</w:t>
      </w:r>
      <w:r w:rsidRPr="00AA0B7D">
        <w:rPr>
          <w:rFonts w:ascii="Book Antiqua" w:eastAsia="Book Antiqua" w:hAnsi="Book Antiqua" w:cs="Book Antiqua"/>
          <w:color w:val="000000"/>
        </w:rPr>
        <w:t xml:space="preserve"> but the cut-off value was different (0-9 buds: Low; ≥</w:t>
      </w:r>
      <w:r w:rsidR="00CA4CF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10 buds: High). The results showed that among patients with stage III CRC, the Bd1 group had better survival after adjuvant chemotherapy. Rogers </w:t>
      </w:r>
      <w:r w:rsidRPr="00AA0B7D">
        <w:rPr>
          <w:rFonts w:ascii="Book Antiqua" w:eastAsia="Book Antiqua" w:hAnsi="Book Antiqua" w:cs="Book Antiqua"/>
          <w:i/>
          <w:iCs/>
          <w:color w:val="000000"/>
        </w:rPr>
        <w:t xml:space="preserve">et </w:t>
      </w:r>
      <w:proofErr w:type="gramStart"/>
      <w:r w:rsidRPr="00AA0B7D">
        <w:rPr>
          <w:rFonts w:ascii="Book Antiqua" w:eastAsia="Book Antiqua" w:hAnsi="Book Antiqua" w:cs="Book Antiqua"/>
          <w:i/>
          <w:iCs/>
          <w:color w:val="000000"/>
        </w:rPr>
        <w:t>al</w:t>
      </w:r>
      <w:r w:rsidRPr="00AA0B7D">
        <w:rPr>
          <w:rFonts w:ascii="Book Antiqua" w:eastAsia="Book Antiqua" w:hAnsi="Book Antiqua" w:cs="Book Antiqua"/>
          <w:color w:val="000000"/>
          <w:vertAlign w:val="superscript"/>
        </w:rPr>
        <w:t>[</w:t>
      </w:r>
      <w:proofErr w:type="gramEnd"/>
      <w:r w:rsidRPr="00AA0B7D">
        <w:rPr>
          <w:rFonts w:ascii="Book Antiqua" w:eastAsia="Book Antiqua" w:hAnsi="Book Antiqua" w:cs="Book Antiqua"/>
          <w:color w:val="000000"/>
          <w:vertAlign w:val="superscript"/>
        </w:rPr>
        <w:t>16]</w:t>
      </w:r>
      <w:r w:rsidRPr="00AA0B7D">
        <w:rPr>
          <w:rFonts w:ascii="Book Antiqua" w:eastAsia="Book Antiqua" w:hAnsi="Book Antiqua" w:cs="Book Antiqua"/>
          <w:color w:val="000000"/>
        </w:rPr>
        <w:t xml:space="preserve"> conducted a meta-analysis of 34 studies with a total of 7821 CRC patients at various stages, and found that TB was significantly correlated with LNM (</w:t>
      </w:r>
      <w:r w:rsidR="00420CEB">
        <w:rPr>
          <w:rFonts w:ascii="Book Antiqua" w:eastAsia="Book Antiqua" w:hAnsi="Book Antiqua" w:cs="Book Antiqua"/>
          <w:color w:val="000000"/>
        </w:rPr>
        <w:t>odds ratio [</w:t>
      </w:r>
      <w:r w:rsidRPr="00AA0B7D">
        <w:rPr>
          <w:rFonts w:ascii="Book Antiqua" w:eastAsia="Book Antiqua" w:hAnsi="Book Antiqua" w:cs="Book Antiqua"/>
          <w:color w:val="000000"/>
        </w:rPr>
        <w:t>OR</w:t>
      </w:r>
      <w:r w:rsidR="00420CEB">
        <w:rPr>
          <w:rFonts w:ascii="Book Antiqua" w:eastAsia="Book Antiqua" w:hAnsi="Book Antiqua" w:cs="Book Antiqua"/>
          <w:color w:val="000000"/>
        </w:rPr>
        <w:t>]</w:t>
      </w:r>
      <w:r w:rsidRPr="00AA0B7D">
        <w:rPr>
          <w:rFonts w:ascii="Book Antiqua" w:eastAsia="Book Antiqua" w:hAnsi="Book Antiqua" w:cs="Book Antiqua"/>
          <w:color w:val="000000"/>
        </w:rPr>
        <w:t>: 4.94, 95%CI: 3.96-6.17</w:t>
      </w:r>
      <w:r w:rsidR="00420CEB">
        <w:rPr>
          <w:rFonts w:ascii="Book Antiqua" w:eastAsia="Book Antiqua" w:hAnsi="Book Antiqua" w:cs="Book Antiqua"/>
          <w:color w:val="000000"/>
        </w:rPr>
        <w:t>;</w:t>
      </w:r>
      <w:r w:rsidRPr="00AA0B7D">
        <w:rPr>
          <w:rFonts w:ascii="Book Antiqua" w:eastAsia="Book Antiqua" w:hAnsi="Book Antiqua" w:cs="Book Antiqua"/>
          <w:i/>
          <w:iCs/>
          <w:color w:val="000000"/>
        </w:rPr>
        <w:t xml:space="preserve"> P</w:t>
      </w:r>
      <w:r w:rsidRPr="00AA0B7D">
        <w:rPr>
          <w:rFonts w:ascii="Book Antiqua" w:eastAsia="Book Antiqua" w:hAnsi="Book Antiqua" w:cs="Book Antiqua"/>
          <w:color w:val="000000"/>
        </w:rPr>
        <w:t xml:space="preserve"> &lt; 0.00001), 5-year PFS (OR: 5.50, 95%CI: 3.64-8.29</w:t>
      </w:r>
      <w:r w:rsidR="00420CEB">
        <w:rPr>
          <w:rFonts w:ascii="Book Antiqua" w:eastAsia="Book Antiqua" w:hAnsi="Book Antiqua" w:cs="Book Antiqua"/>
          <w:color w:val="000000"/>
        </w:rPr>
        <w:t>;</w:t>
      </w:r>
      <w:r w:rsidRPr="00AA0B7D">
        <w:rPr>
          <w:rFonts w:ascii="Book Antiqua" w:eastAsia="Book Antiqua" w:hAnsi="Book Antiqua" w:cs="Book Antiqua"/>
          <w:color w:val="000000"/>
        </w:rPr>
        <w:t xml:space="preserve">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0.00001) and 5-year OS (OR: 4.51, 95%CI: 2.55-7.99</w:t>
      </w:r>
      <w:r w:rsidR="00420CEB">
        <w:rPr>
          <w:rFonts w:ascii="Book Antiqua" w:eastAsia="Book Antiqua" w:hAnsi="Book Antiqua" w:cs="Book Antiqua"/>
          <w:color w:val="000000"/>
        </w:rPr>
        <w:t>;</w:t>
      </w:r>
      <w:r w:rsidRPr="00AA0B7D">
        <w:rPr>
          <w:rFonts w:ascii="Book Antiqua" w:eastAsia="Book Antiqua" w:hAnsi="Book Antiqua" w:cs="Book Antiqua"/>
          <w:color w:val="000000"/>
        </w:rPr>
        <w:t xml:space="preserve"> </w:t>
      </w:r>
      <w:r w:rsidRPr="00AA0B7D">
        <w:rPr>
          <w:rFonts w:ascii="Book Antiqua" w:eastAsia="Book Antiqua" w:hAnsi="Book Antiqua" w:cs="Book Antiqua"/>
          <w:i/>
          <w:iCs/>
          <w:color w:val="000000"/>
        </w:rPr>
        <w:t>P</w:t>
      </w:r>
      <w:r w:rsidRPr="00AA0B7D">
        <w:rPr>
          <w:rFonts w:ascii="Book Antiqua" w:eastAsia="Book Antiqua" w:hAnsi="Book Antiqua" w:cs="Book Antiqua"/>
          <w:color w:val="000000"/>
        </w:rPr>
        <w:t xml:space="preserve"> &lt; 0.0001) . It was concluded that TB was a risk factor for predicting LNM at 5 years, PFS at 5 years, and OS at 5 years in CRC patients, and its inclusion in CRC staging facilitated further risk stratification; however, there was a lack of studies on stage </w:t>
      </w:r>
      <w:r w:rsidR="002A6118"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 in a meta-analysis by Rogers </w:t>
      </w:r>
      <w:r w:rsidRPr="00AA0B7D">
        <w:rPr>
          <w:rFonts w:ascii="Book Antiqua" w:eastAsia="Book Antiqua" w:hAnsi="Book Antiqua" w:cs="Book Antiqua"/>
          <w:i/>
          <w:iCs/>
          <w:color w:val="000000"/>
        </w:rPr>
        <w:t>et al</w:t>
      </w:r>
      <w:r w:rsidRPr="00AA0B7D">
        <w:rPr>
          <w:rFonts w:ascii="Book Antiqua" w:eastAsia="Book Antiqua" w:hAnsi="Book Antiqua" w:cs="Book Antiqua"/>
          <w:color w:val="000000"/>
          <w:vertAlign w:val="superscript"/>
        </w:rPr>
        <w:t>[16]</w:t>
      </w:r>
      <w:r w:rsidRPr="00AA0B7D">
        <w:rPr>
          <w:rFonts w:ascii="Book Antiqua" w:eastAsia="Book Antiqua" w:hAnsi="Book Antiqua" w:cs="Book Antiqua"/>
          <w:color w:val="000000"/>
        </w:rPr>
        <w:t xml:space="preserve"> and the definition and evaluation criteria of TB varied greatly between different </w:t>
      </w:r>
      <w:r w:rsidRPr="00AA0B7D">
        <w:rPr>
          <w:rFonts w:ascii="Book Antiqua" w:eastAsia="Book Antiqua" w:hAnsi="Book Antiqua" w:cs="Book Antiqua"/>
          <w:color w:val="000000"/>
        </w:rPr>
        <w:lastRenderedPageBreak/>
        <w:t xml:space="preserve">studies. Similarly, Graham </w:t>
      </w:r>
      <w:r w:rsidRPr="00AA0B7D">
        <w:rPr>
          <w:rFonts w:ascii="Book Antiqua" w:eastAsia="Book Antiqua" w:hAnsi="Book Antiqua" w:cs="Book Antiqua"/>
          <w:i/>
          <w:iCs/>
          <w:color w:val="000000"/>
        </w:rPr>
        <w:t>et al</w:t>
      </w:r>
      <w:r w:rsidR="004E761C" w:rsidRPr="00AA0B7D">
        <w:rPr>
          <w:rFonts w:ascii="Book Antiqua" w:eastAsia="Book Antiqua" w:hAnsi="Book Antiqua" w:cs="Book Antiqua"/>
          <w:color w:val="000000"/>
          <w:vertAlign w:val="superscript"/>
        </w:rPr>
        <w:t>[20]</w:t>
      </w:r>
      <w:r w:rsidR="004E761C"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evaluated 553 CRC patients at various stages and found that high-grade TB was an independent predictor of poor disease-specific Survival. Therefore, TB could also be a pathological marker that is clinically practical to further refine risk classification and guide decision-making in stage </w:t>
      </w:r>
      <w:r w:rsidR="002A6118"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w:t>
      </w:r>
    </w:p>
    <w:p w14:paraId="532CA375" w14:textId="1C598CF5" w:rsidR="00420CE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Interestingly, our study also found that the Bd</w:t>
      </w:r>
      <w:r w:rsidR="00CA4CF6"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 xml:space="preserve">1 group had a higher proportion of TILs at the tumor invasive margin, which may be associated with better prognosis. This is consistent with the findings of Nearchou </w:t>
      </w:r>
      <w:r w:rsidRPr="00AA0B7D">
        <w:rPr>
          <w:rFonts w:ascii="Book Antiqua" w:eastAsia="Book Antiqua" w:hAnsi="Book Antiqua" w:cs="Book Antiqua"/>
          <w:i/>
          <w:iCs/>
          <w:color w:val="000000"/>
        </w:rPr>
        <w:t xml:space="preserve">et </w:t>
      </w:r>
      <w:proofErr w:type="gramStart"/>
      <w:r w:rsidRPr="00AA0B7D">
        <w:rPr>
          <w:rFonts w:ascii="Book Antiqua" w:eastAsia="Book Antiqua" w:hAnsi="Book Antiqua" w:cs="Book Antiqua"/>
          <w:i/>
          <w:iCs/>
          <w:color w:val="000000"/>
        </w:rPr>
        <w:t>al</w:t>
      </w:r>
      <w:r w:rsidR="004E761C" w:rsidRPr="00AA0B7D">
        <w:rPr>
          <w:rFonts w:ascii="Book Antiqua" w:eastAsia="Book Antiqua" w:hAnsi="Book Antiqua" w:cs="Book Antiqua"/>
          <w:color w:val="000000"/>
          <w:vertAlign w:val="superscript"/>
        </w:rPr>
        <w:t>[</w:t>
      </w:r>
      <w:proofErr w:type="gramEnd"/>
      <w:r w:rsidR="004E761C" w:rsidRPr="00AA0B7D">
        <w:rPr>
          <w:rFonts w:ascii="Book Antiqua" w:eastAsia="Book Antiqua" w:hAnsi="Book Antiqua" w:cs="Book Antiqua"/>
          <w:color w:val="000000"/>
          <w:vertAlign w:val="superscript"/>
        </w:rPr>
        <w:t>21</w:t>
      </w:r>
      <w:r w:rsidR="00042CD6" w:rsidRPr="00AA0B7D">
        <w:rPr>
          <w:rFonts w:ascii="Book Antiqua" w:eastAsia="Book Antiqua" w:hAnsi="Book Antiqua" w:cs="Book Antiqua"/>
          <w:color w:val="000000"/>
          <w:vertAlign w:val="superscript"/>
        </w:rPr>
        <w:t>]</w:t>
      </w:r>
      <w:r w:rsidR="004E761C" w:rsidRPr="00AA0B7D" w:rsidDel="004E761C">
        <w:rPr>
          <w:rFonts w:ascii="Book Antiqua" w:eastAsia="Book Antiqua" w:hAnsi="Book Antiqua" w:cs="Book Antiqua"/>
          <w:color w:val="000000"/>
          <w:vertAlign w:val="superscript"/>
        </w:rPr>
        <w:t xml:space="preserve"> </w:t>
      </w:r>
      <w:r w:rsidRPr="00AA0B7D">
        <w:rPr>
          <w:rFonts w:ascii="Book Antiqua" w:eastAsia="Book Antiqua" w:hAnsi="Book Antiqua" w:cs="Book Antiqua"/>
          <w:color w:val="000000"/>
        </w:rPr>
        <w:t>, who found the deletion of TILs in high-grade TB by exploring the effects of different lymphocyte distribution patterns and TB quantity and density on prognosis in stage II CRC through automatic imaging analysis and machine learning workflow.</w:t>
      </w:r>
    </w:p>
    <w:p w14:paraId="59B046E8" w14:textId="328145F5" w:rsidR="00420CE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During the development of cancer, EMT promotes cancer development by empowering mesenchymal phenotypes associated with highly aggressive tumor cells</w:t>
      </w:r>
      <w:r w:rsidR="005A0C8D" w:rsidRPr="00AA0B7D">
        <w:rPr>
          <w:rFonts w:ascii="Book Antiqua" w:eastAsia="Book Antiqua" w:hAnsi="Book Antiqua" w:cs="Book Antiqua"/>
          <w:color w:val="000000"/>
          <w:vertAlign w:val="superscript"/>
        </w:rPr>
        <w:t>[22]</w:t>
      </w:r>
      <w:r w:rsidRPr="00AA0B7D">
        <w:rPr>
          <w:rFonts w:ascii="Book Antiqua" w:eastAsia="Book Antiqua" w:hAnsi="Book Antiqua" w:cs="Book Antiqua"/>
          <w:color w:val="000000"/>
        </w:rPr>
        <w:t xml:space="preserve">. TB demonstrates the dynamic process of EMT; that is, tumor cells in the aggressive front acquire an interstitial phenotype. This increases the malignant potential of vascular invasion and distant metastasis, and consequently, metastases to lymph nodes or distant parenchymal organs through the </w:t>
      </w:r>
      <w:proofErr w:type="gramStart"/>
      <w:r w:rsidRPr="00AA0B7D">
        <w:rPr>
          <w:rFonts w:ascii="Book Antiqua" w:eastAsia="Book Antiqua" w:hAnsi="Book Antiqua" w:cs="Book Antiqua"/>
          <w:color w:val="000000"/>
        </w:rPr>
        <w:t>vasculature</w:t>
      </w:r>
      <w:r w:rsidR="004E761C" w:rsidRPr="00AA0B7D">
        <w:rPr>
          <w:rFonts w:ascii="Book Antiqua" w:eastAsia="Book Antiqua" w:hAnsi="Book Antiqua" w:cs="Book Antiqua"/>
          <w:color w:val="000000"/>
          <w:vertAlign w:val="superscript"/>
        </w:rPr>
        <w:t>[</w:t>
      </w:r>
      <w:proofErr w:type="gramEnd"/>
      <w:r w:rsidR="004E761C" w:rsidRPr="00AA0B7D">
        <w:rPr>
          <w:rFonts w:ascii="Book Antiqua" w:eastAsia="Book Antiqua" w:hAnsi="Book Antiqua" w:cs="Book Antiqua"/>
          <w:color w:val="000000"/>
          <w:vertAlign w:val="superscript"/>
        </w:rPr>
        <w:t>23-25]</w:t>
      </w:r>
      <w:r w:rsidRPr="00AA0B7D">
        <w:rPr>
          <w:rFonts w:ascii="Book Antiqua" w:eastAsia="Book Antiqua" w:hAnsi="Book Antiqua" w:cs="Book Antiqua"/>
          <w:color w:val="000000"/>
        </w:rPr>
        <w:t>.</w:t>
      </w:r>
    </w:p>
    <w:p w14:paraId="5F3DD0BB" w14:textId="6735CD36" w:rsidR="00420CE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E-cadherin is an intercellular adhesion protein and pivotal regulatory factor in this process</w:t>
      </w:r>
      <w:r w:rsidR="004E761C" w:rsidRPr="00AA0B7D">
        <w:rPr>
          <w:rFonts w:ascii="Book Antiqua" w:eastAsia="Book Antiqua" w:hAnsi="Book Antiqua" w:cs="Book Antiqua"/>
          <w:color w:val="000000"/>
          <w:vertAlign w:val="superscript"/>
        </w:rPr>
        <w:t>[26,27]</w:t>
      </w:r>
      <w:r w:rsidRPr="00AA0B7D">
        <w:rPr>
          <w:rFonts w:ascii="Book Antiqua" w:eastAsia="Book Antiqua" w:hAnsi="Book Antiqua" w:cs="Book Antiqua"/>
          <w:color w:val="000000"/>
        </w:rPr>
        <w:t>. Numerous studies have claimed that in different solid tumors, the expression of E-cadherin is reduced or absent on the cell surface of the tumor invasion front, especially in TB</w:t>
      </w:r>
      <w:r w:rsidR="004E761C" w:rsidRPr="00AA0B7D">
        <w:rPr>
          <w:rFonts w:ascii="Book Antiqua" w:eastAsia="Book Antiqua" w:hAnsi="Book Antiqua" w:cs="Book Antiqua"/>
          <w:color w:val="000000"/>
          <w:vertAlign w:val="superscript"/>
        </w:rPr>
        <w:t>[28-31]</w:t>
      </w:r>
      <w:r w:rsidRPr="00AA0B7D">
        <w:rPr>
          <w:rFonts w:ascii="Book Antiqua" w:eastAsia="Book Antiqua" w:hAnsi="Book Antiqua" w:cs="Book Antiqua"/>
          <w:color w:val="000000"/>
        </w:rPr>
        <w:t>. This loss is usually accompanied by a decrease in β-catenin expression, indicating that the WNT pathway in cells may be activated. Hence, budding tumor cells can degrade the extracellular matrix (ECM) and invade and migrate through the surrounding stroma. In addition, it has been found that the expression of laminin 5</w:t>
      </w:r>
      <w:r w:rsidR="00CA4CF6" w:rsidRPr="00AA0B7D">
        <w:rPr>
          <w:rFonts w:ascii="Book Antiqua" w:hAnsi="Book Antiqua" w:cs="Book Antiqua"/>
          <w:color w:val="000000"/>
          <w:lang w:eastAsia="zh-CN"/>
        </w:rPr>
        <w:t>γ</w:t>
      </w:r>
      <w:r w:rsidRPr="00AA0B7D">
        <w:rPr>
          <w:rFonts w:ascii="Book Antiqua" w:eastAsia="Book Antiqua" w:hAnsi="Book Antiqua" w:cs="Book Antiqua"/>
          <w:color w:val="000000"/>
        </w:rPr>
        <w:t>2 is usually increased in response to tumor invasion</w:t>
      </w:r>
      <w:r w:rsidR="004E761C" w:rsidRPr="00AA0B7D">
        <w:rPr>
          <w:rFonts w:ascii="Book Antiqua" w:eastAsia="Book Antiqua" w:hAnsi="Book Antiqua" w:cs="Book Antiqua"/>
          <w:color w:val="000000"/>
          <w:vertAlign w:val="superscript"/>
        </w:rPr>
        <w:t>[32]</w:t>
      </w:r>
      <w:r w:rsidRPr="00AA0B7D">
        <w:rPr>
          <w:rFonts w:ascii="Book Antiqua" w:eastAsia="Book Antiqua" w:hAnsi="Book Antiqua" w:cs="Book Antiqua"/>
          <w:color w:val="000000"/>
        </w:rPr>
        <w:t>. In the gene ontology study, RNA sequencing data from the TB region and the corresponding central tumor region were compared and analyzed. The expression of genes involved in integrin-mediated cell adhesion, migration, cytoskeleton rearrangement and ECM degradation were found to be significantly different between the two regions</w:t>
      </w:r>
      <w:r w:rsidR="004E761C" w:rsidRPr="00AA0B7D">
        <w:rPr>
          <w:rFonts w:ascii="Book Antiqua" w:eastAsia="Book Antiqua" w:hAnsi="Book Antiqua" w:cs="Book Antiqua"/>
          <w:color w:val="000000"/>
          <w:vertAlign w:val="superscript"/>
        </w:rPr>
        <w:t>[33]</w:t>
      </w:r>
      <w:r w:rsidRPr="00AA0B7D">
        <w:rPr>
          <w:rFonts w:ascii="Book Antiqua" w:eastAsia="Book Antiqua" w:hAnsi="Book Antiqua" w:cs="Book Antiqua"/>
          <w:color w:val="000000"/>
        </w:rPr>
        <w:t xml:space="preserve">. Koelzer </w:t>
      </w:r>
      <w:r w:rsidRPr="00AA0B7D">
        <w:rPr>
          <w:rFonts w:ascii="Book Antiqua" w:eastAsia="Book Antiqua" w:hAnsi="Book Antiqua" w:cs="Book Antiqua"/>
          <w:i/>
          <w:iCs/>
          <w:color w:val="000000"/>
        </w:rPr>
        <w:t xml:space="preserve">et </w:t>
      </w:r>
      <w:proofErr w:type="gramStart"/>
      <w:r w:rsidRPr="00AA0B7D">
        <w:rPr>
          <w:rFonts w:ascii="Book Antiqua" w:eastAsia="Book Antiqua" w:hAnsi="Book Antiqua" w:cs="Book Antiqua"/>
          <w:i/>
          <w:iCs/>
          <w:color w:val="000000"/>
        </w:rPr>
        <w:t>al</w:t>
      </w:r>
      <w:r w:rsidR="004E761C" w:rsidRPr="00AA0B7D">
        <w:rPr>
          <w:rFonts w:ascii="Book Antiqua" w:eastAsia="Book Antiqua" w:hAnsi="Book Antiqua" w:cs="Book Antiqua"/>
          <w:color w:val="000000"/>
          <w:vertAlign w:val="superscript"/>
        </w:rPr>
        <w:t>[</w:t>
      </w:r>
      <w:proofErr w:type="gramEnd"/>
      <w:r w:rsidR="004E761C" w:rsidRPr="00AA0B7D">
        <w:rPr>
          <w:rFonts w:ascii="Book Antiqua" w:eastAsia="Book Antiqua" w:hAnsi="Book Antiqua" w:cs="Book Antiqua"/>
          <w:color w:val="000000"/>
          <w:vertAlign w:val="superscript"/>
        </w:rPr>
        <w:t>34]</w:t>
      </w:r>
      <w:r w:rsidRPr="00AA0B7D">
        <w:rPr>
          <w:rFonts w:ascii="Book Antiqua" w:eastAsia="Book Antiqua" w:hAnsi="Book Antiqua" w:cs="Book Antiqua"/>
          <w:color w:val="000000"/>
        </w:rPr>
        <w:t xml:space="preserve"> found that there is an immune escape mechanism in EMT, in which tumor cells lose the expression of their </w:t>
      </w:r>
      <w:r w:rsidRPr="00AA0B7D">
        <w:rPr>
          <w:rFonts w:ascii="Book Antiqua" w:eastAsia="Book Antiqua" w:hAnsi="Book Antiqua" w:cs="Book Antiqua"/>
          <w:color w:val="000000"/>
        </w:rPr>
        <w:lastRenderedPageBreak/>
        <w:t>major histocompatibility complex, allowing them to evade recognition and attack by the immune system.</w:t>
      </w:r>
    </w:p>
    <w:p w14:paraId="68F68C59" w14:textId="160E8296" w:rsidR="00420CE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 xml:space="preserve">Finally, our study included a substantial number of 547 CRC patients. TB was evaluated independently by two pathologists and re-evaluated by a third pathologist when the results were inconsistent, ensuring a high level of reliability in the TB assessment. Furthermore, the ITBCC 2016 recommendations were followed to evaluate TB specifically in patients with stage </w:t>
      </w:r>
      <w:r w:rsidR="002A6118"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 thereby investigating its impact on patient prognosis.</w:t>
      </w:r>
    </w:p>
    <w:p w14:paraId="6ECBA9C9" w14:textId="369AB488" w:rsidR="00534A0B" w:rsidRPr="00AA0B7D" w:rsidRDefault="00534A0B" w:rsidP="00784314">
      <w:pPr>
        <w:spacing w:line="360" w:lineRule="auto"/>
        <w:ind w:firstLineChars="112" w:firstLine="269"/>
        <w:jc w:val="both"/>
        <w:rPr>
          <w:rFonts w:ascii="Book Antiqua" w:hAnsi="Book Antiqua"/>
        </w:rPr>
      </w:pPr>
      <w:r w:rsidRPr="00AA0B7D">
        <w:rPr>
          <w:rFonts w:ascii="Book Antiqua" w:eastAsia="Book Antiqua" w:hAnsi="Book Antiqua" w:cs="Book Antiqua"/>
          <w:color w:val="000000"/>
        </w:rPr>
        <w:t xml:space="preserve">However, </w:t>
      </w:r>
      <w:r w:rsidR="00420CEB">
        <w:rPr>
          <w:rFonts w:ascii="Book Antiqua" w:eastAsia="Book Antiqua" w:hAnsi="Book Antiqua" w:cs="Book Antiqua"/>
          <w:color w:val="000000"/>
        </w:rPr>
        <w:t>this study had some</w:t>
      </w:r>
      <w:r w:rsidRPr="00AA0B7D">
        <w:rPr>
          <w:rFonts w:ascii="Book Antiqua" w:eastAsia="Book Antiqua" w:hAnsi="Book Antiqua" w:cs="Book Antiqua"/>
          <w:color w:val="000000"/>
        </w:rPr>
        <w:t xml:space="preserve"> limitations. First, this study was a retrospective analysis conducted at a single center, which may introduce some degree of bias as the study population may not represent all CRC patients in China. Second, using a single index as a risk factor still has some drawbacks, which can be solved by constructing a prognosis model with a multi-index multidimensional association algorithm. Furthermore, the accuracy of the assessment results based on TILs on H&amp;E slides must be improved to provide better medical strategies and achieve individualized precision treatment for patients with CRC. Future efforts should focus on utilizing artificial intelligence techniques, such as digital pathology methods, to enhance the accuracy and reproducibility of TB and TIL assessments. Additionally, integrating TB with the</w:t>
      </w:r>
      <w:r w:rsidR="005D07D1" w:rsidRPr="00AA0B7D">
        <w:rPr>
          <w:rFonts w:ascii="Book Antiqua" w:eastAsia="Book Antiqua" w:hAnsi="Book Antiqua" w:cs="Book Antiqua"/>
          <w:color w:val="000000"/>
        </w:rPr>
        <w:t xml:space="preserve"> i</w:t>
      </w:r>
      <w:r w:rsidRPr="00AA0B7D">
        <w:rPr>
          <w:rFonts w:ascii="Book Antiqua" w:eastAsia="Book Antiqua" w:hAnsi="Book Antiqua" w:cs="Book Antiqua"/>
          <w:color w:val="000000"/>
        </w:rPr>
        <w:t xml:space="preserve">mmunoscore could refine the risk stratification of stage </w:t>
      </w:r>
      <w:r w:rsidR="00E3179F"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w:t>
      </w:r>
    </w:p>
    <w:p w14:paraId="163D6FEB" w14:textId="77777777" w:rsidR="00534A0B" w:rsidRPr="00AA0B7D" w:rsidRDefault="00534A0B" w:rsidP="00300CC9">
      <w:pPr>
        <w:spacing w:line="360" w:lineRule="auto"/>
        <w:ind w:firstLine="480"/>
        <w:jc w:val="both"/>
        <w:rPr>
          <w:rFonts w:ascii="Book Antiqua" w:hAnsi="Book Antiqua"/>
        </w:rPr>
      </w:pPr>
    </w:p>
    <w:p w14:paraId="4DFB536D" w14:textId="77777777"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t>CONCLUSION</w:t>
      </w:r>
    </w:p>
    <w:p w14:paraId="3DBC5A42" w14:textId="77777777" w:rsidR="00534A0B" w:rsidRPr="00AA0B7D" w:rsidRDefault="00534A0B" w:rsidP="00300CC9">
      <w:pPr>
        <w:spacing w:line="360" w:lineRule="auto"/>
        <w:jc w:val="both"/>
        <w:rPr>
          <w:rFonts w:ascii="Book Antiqua" w:hAnsi="Book Antiqua"/>
        </w:rPr>
      </w:pPr>
      <w:r w:rsidRPr="00AA0B7D">
        <w:rPr>
          <w:rFonts w:ascii="Book Antiqua" w:eastAsia="Book Antiqua" w:hAnsi="Book Antiqua" w:cs="Book Antiqua"/>
          <w:color w:val="000000"/>
        </w:rPr>
        <w:t>TB has an independent predictive prognostic value for PFS and OS in patients with stage III-IV CRC. It is recommended to complete the TB report of stage III-IV CRC cases in the standardized pathological report to further refine risk stratification.</w:t>
      </w:r>
    </w:p>
    <w:p w14:paraId="7DDF71C3" w14:textId="77777777" w:rsidR="00534A0B" w:rsidRPr="00AA0B7D" w:rsidRDefault="00534A0B" w:rsidP="00300CC9">
      <w:pPr>
        <w:spacing w:line="360" w:lineRule="auto"/>
        <w:jc w:val="both"/>
        <w:rPr>
          <w:rFonts w:ascii="Book Antiqua" w:hAnsi="Book Antiqua"/>
        </w:rPr>
      </w:pPr>
    </w:p>
    <w:p w14:paraId="4014E9BE"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t>ARTICLE HIGHLIGHTS</w:t>
      </w:r>
    </w:p>
    <w:p w14:paraId="7D57F5D6"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i/>
          <w:color w:val="000000"/>
        </w:rPr>
        <w:t>Research background</w:t>
      </w:r>
    </w:p>
    <w:p w14:paraId="18CACE19" w14:textId="680C992D"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t>Tumor budding (TB) is a novel prognostic biomarker that may influence clinical treatment decisions in stage I-II colorectal cancer (CRC) patients. This study analyze</w:t>
      </w:r>
      <w:r w:rsidR="00420CEB">
        <w:rPr>
          <w:rFonts w:ascii="Book Antiqua" w:eastAsia="Book Antiqua" w:hAnsi="Book Antiqua" w:cs="Book Antiqua"/>
          <w:color w:val="000000"/>
        </w:rPr>
        <w:t>d</w:t>
      </w:r>
      <w:r w:rsidRPr="00AA0B7D">
        <w:rPr>
          <w:rFonts w:ascii="Book Antiqua" w:eastAsia="Book Antiqua" w:hAnsi="Book Antiqua" w:cs="Book Antiqua"/>
          <w:color w:val="000000"/>
        </w:rPr>
        <w:t xml:space="preserve"> the relationship between TB categories and clinicopathological characteristics and assess </w:t>
      </w:r>
      <w:r w:rsidRPr="00AA0B7D">
        <w:rPr>
          <w:rFonts w:ascii="Book Antiqua" w:eastAsia="Book Antiqua" w:hAnsi="Book Antiqua" w:cs="Book Antiqua"/>
          <w:color w:val="000000"/>
        </w:rPr>
        <w:lastRenderedPageBreak/>
        <w:t>their prognostic value in stage III-IV CRC to further refine the prognostic risk stratification of stage III-IV CRC. Additionally, we analyzed changes in tumor-infiltrating lymphocytes (TILs) in patients with different TB categories and initially explored the correlation between TB and the tumor immune microenvironment.</w:t>
      </w:r>
    </w:p>
    <w:p w14:paraId="375154EC" w14:textId="77777777" w:rsidR="008C2B2E" w:rsidRPr="00AA0B7D" w:rsidRDefault="008C2B2E" w:rsidP="00300CC9">
      <w:pPr>
        <w:spacing w:line="360" w:lineRule="auto"/>
        <w:jc w:val="both"/>
        <w:rPr>
          <w:rFonts w:ascii="Book Antiqua" w:hAnsi="Book Antiqua"/>
        </w:rPr>
      </w:pPr>
    </w:p>
    <w:p w14:paraId="4633B248"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b/>
          <w:i/>
          <w:color w:val="000000"/>
        </w:rPr>
        <w:t>Research motivation</w:t>
      </w:r>
    </w:p>
    <w:p w14:paraId="484B581C" w14:textId="56890AAD"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t xml:space="preserve">To explore the association of TB with clinicopathological features and prognostic value in stage </w:t>
      </w:r>
      <w:r w:rsidR="00E3179F" w:rsidRPr="00AA0B7D">
        <w:rPr>
          <w:rFonts w:ascii="Book Antiqua" w:eastAsia="Book Antiqua" w:hAnsi="Book Antiqua" w:cs="Book Antiqua"/>
          <w:color w:val="000000"/>
        </w:rPr>
        <w:t>III-IV</w:t>
      </w:r>
      <w:r w:rsidRPr="00AA0B7D">
        <w:rPr>
          <w:rFonts w:ascii="Book Antiqua" w:eastAsia="Book Antiqua" w:hAnsi="Book Antiqua" w:cs="Book Antiqua"/>
          <w:color w:val="000000"/>
        </w:rPr>
        <w:t xml:space="preserve"> CRC.</w:t>
      </w:r>
    </w:p>
    <w:p w14:paraId="0D800FDA" w14:textId="77777777" w:rsidR="008C2B2E" w:rsidRPr="00AA0B7D" w:rsidRDefault="008C2B2E" w:rsidP="00300CC9">
      <w:pPr>
        <w:spacing w:line="360" w:lineRule="auto"/>
        <w:jc w:val="both"/>
        <w:rPr>
          <w:rFonts w:ascii="Book Antiqua" w:hAnsi="Book Antiqua"/>
        </w:rPr>
      </w:pPr>
    </w:p>
    <w:p w14:paraId="04ECE455"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b/>
          <w:i/>
          <w:color w:val="000000"/>
        </w:rPr>
        <w:t>Research objectives</w:t>
      </w:r>
    </w:p>
    <w:p w14:paraId="0F0044F5" w14:textId="465D3009"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t>This study analyze</w:t>
      </w:r>
      <w:r w:rsidR="00420CEB">
        <w:rPr>
          <w:rFonts w:ascii="Book Antiqua" w:eastAsia="Book Antiqua" w:hAnsi="Book Antiqua" w:cs="Book Antiqua"/>
          <w:color w:val="000000"/>
        </w:rPr>
        <w:t>d</w:t>
      </w:r>
      <w:r w:rsidRPr="00AA0B7D">
        <w:rPr>
          <w:rFonts w:ascii="Book Antiqua" w:eastAsia="Book Antiqua" w:hAnsi="Book Antiqua" w:cs="Book Antiqua"/>
          <w:color w:val="000000"/>
        </w:rPr>
        <w:t xml:space="preserve"> the relationship between TB categories and clinicopathological characteristics and assess their prognostic value in stage III-IV CRC to further refine the prognostic risk stratification of stage III-IV CRC.</w:t>
      </w:r>
    </w:p>
    <w:p w14:paraId="186227B3" w14:textId="77777777" w:rsidR="008C2B2E" w:rsidRPr="00AA0B7D" w:rsidRDefault="008C2B2E" w:rsidP="00300CC9">
      <w:pPr>
        <w:spacing w:line="360" w:lineRule="auto"/>
        <w:jc w:val="both"/>
        <w:rPr>
          <w:rFonts w:ascii="Book Antiqua" w:hAnsi="Book Antiqua"/>
        </w:rPr>
      </w:pPr>
    </w:p>
    <w:p w14:paraId="0899B674"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b/>
          <w:i/>
          <w:color w:val="000000"/>
        </w:rPr>
        <w:t>Research methods</w:t>
      </w:r>
    </w:p>
    <w:p w14:paraId="0BF92B01" w14:textId="5FAF9ECF"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t xml:space="preserve">This study included a substantial number of 547 CRC patients. TB was evaluated independently by two pathologists and re-evaluated by a third pathologist when the results were inconsistent, ensuring a high level of reliability in the TB assessment. Furthermore, the 2016 International TB Consensus Conference recommendations were followed to evaluate TB specifically in patients with stage </w:t>
      </w:r>
      <w:r w:rsidR="005F3699" w:rsidRPr="00AA0B7D">
        <w:rPr>
          <w:rFonts w:ascii="Book Antiqua" w:eastAsia="Book Antiqua" w:hAnsi="Book Antiqua" w:cs="Book Antiqua"/>
          <w:color w:val="000000"/>
        </w:rPr>
        <w:t>III-IV</w:t>
      </w:r>
      <w:r w:rsidR="007E0D0C" w:rsidRPr="00AA0B7D">
        <w:rPr>
          <w:rFonts w:ascii="Book Antiqua" w:eastAsia="Book Antiqua" w:hAnsi="Book Antiqua" w:cs="Book Antiqua"/>
          <w:color w:val="000000"/>
        </w:rPr>
        <w:t xml:space="preserve"> </w:t>
      </w:r>
      <w:r w:rsidRPr="00AA0B7D">
        <w:rPr>
          <w:rFonts w:ascii="Book Antiqua" w:eastAsia="Book Antiqua" w:hAnsi="Book Antiqua" w:cs="Book Antiqua"/>
          <w:color w:val="000000"/>
        </w:rPr>
        <w:t>CRC, thereby investigating its impact on patient prognosis.</w:t>
      </w:r>
    </w:p>
    <w:p w14:paraId="70F374F1" w14:textId="77777777" w:rsidR="008C2B2E" w:rsidRPr="00AA0B7D" w:rsidRDefault="008C2B2E" w:rsidP="00300CC9">
      <w:pPr>
        <w:spacing w:line="360" w:lineRule="auto"/>
        <w:jc w:val="both"/>
        <w:rPr>
          <w:rFonts w:ascii="Book Antiqua" w:hAnsi="Book Antiqua"/>
        </w:rPr>
      </w:pPr>
    </w:p>
    <w:p w14:paraId="46DA2881"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b/>
          <w:i/>
          <w:color w:val="000000"/>
        </w:rPr>
        <w:t>Research results</w:t>
      </w:r>
    </w:p>
    <w:p w14:paraId="3A50A685"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t>Multivariate Cox proportional hazards regression analysis demonstrated that chemotherapy, clinical stage IV, ≥ 4 regional lymph node metastases, left-sided colonic cancer, and Bd 2-3 were independent prognostic factors in patients with stage III-IV CRC. Moreover, the density of TILs was higher in Bd 1 than in Bd 2-3, both in the tumor stroma and its invasive margin.</w:t>
      </w:r>
    </w:p>
    <w:p w14:paraId="431104FF" w14:textId="77777777" w:rsidR="008C2B2E" w:rsidRPr="00AA0B7D" w:rsidRDefault="008C2B2E" w:rsidP="00300CC9">
      <w:pPr>
        <w:spacing w:line="360" w:lineRule="auto"/>
        <w:jc w:val="both"/>
        <w:rPr>
          <w:rFonts w:ascii="Book Antiqua" w:hAnsi="Book Antiqua"/>
        </w:rPr>
      </w:pPr>
    </w:p>
    <w:p w14:paraId="7EF98BD1"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b/>
          <w:i/>
          <w:color w:val="000000"/>
        </w:rPr>
        <w:t>Research conclusions</w:t>
      </w:r>
    </w:p>
    <w:p w14:paraId="4675C151"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lastRenderedPageBreak/>
        <w:t>TB has an independent predictive prognostic value for progression-free survival and overall survival in patients with stage III-IV CRC. It is recommended to complete the TB report of stage III-IV CRC cases in the standardized pathological report to further refine risk stratification.</w:t>
      </w:r>
    </w:p>
    <w:p w14:paraId="2E862BF3" w14:textId="77777777" w:rsidR="008C2B2E" w:rsidRPr="00AA0B7D" w:rsidRDefault="008C2B2E" w:rsidP="00300CC9">
      <w:pPr>
        <w:spacing w:line="360" w:lineRule="auto"/>
        <w:jc w:val="both"/>
        <w:rPr>
          <w:rFonts w:ascii="Book Antiqua" w:hAnsi="Book Antiqua"/>
        </w:rPr>
      </w:pPr>
    </w:p>
    <w:p w14:paraId="6C50D5DA"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b/>
          <w:i/>
          <w:color w:val="000000"/>
        </w:rPr>
        <w:t>Research perspectives</w:t>
      </w:r>
    </w:p>
    <w:p w14:paraId="7428FE75" w14:textId="77777777" w:rsidR="008C2B2E" w:rsidRPr="00AA0B7D" w:rsidRDefault="008C2B2E" w:rsidP="00300CC9">
      <w:pPr>
        <w:spacing w:line="360" w:lineRule="auto"/>
        <w:jc w:val="both"/>
        <w:rPr>
          <w:rFonts w:ascii="Book Antiqua" w:hAnsi="Book Antiqua"/>
        </w:rPr>
      </w:pPr>
      <w:r w:rsidRPr="00AA0B7D">
        <w:rPr>
          <w:rFonts w:ascii="Book Antiqua" w:eastAsia="Book Antiqua" w:hAnsi="Book Antiqua" w:cs="Book Antiqua"/>
          <w:color w:val="000000"/>
        </w:rPr>
        <w:t>A multicenter prospective study with large samples should be conducted in the future, and constructing a prognosis model with a multi-index multidimensional association algorithm with other prediction models is needed to further verify its reliability.</w:t>
      </w:r>
    </w:p>
    <w:p w14:paraId="63B6CEDB" w14:textId="77777777" w:rsidR="008C2B2E" w:rsidRPr="00AA0B7D" w:rsidRDefault="008C2B2E" w:rsidP="00300CC9">
      <w:pPr>
        <w:spacing w:line="360" w:lineRule="auto"/>
        <w:jc w:val="both"/>
        <w:rPr>
          <w:rFonts w:ascii="Book Antiqua" w:hAnsi="Book Antiqua"/>
        </w:rPr>
      </w:pPr>
    </w:p>
    <w:p w14:paraId="157FD340"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aps/>
          <w:color w:val="000000"/>
          <w:u w:val="single"/>
        </w:rPr>
        <w:t>ACKNOWLEDGEMENTS</w:t>
      </w:r>
    </w:p>
    <w:p w14:paraId="63D80967"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color w:val="000000"/>
        </w:rPr>
        <w:t>We thank all the patients and their family members involved in the study without which the advancements described herein would have not been made possible.</w:t>
      </w:r>
    </w:p>
    <w:p w14:paraId="71ED955F" w14:textId="77777777" w:rsidR="00A77B3E" w:rsidRPr="00AA0B7D" w:rsidRDefault="00A77B3E" w:rsidP="00300CC9">
      <w:pPr>
        <w:spacing w:line="360" w:lineRule="auto"/>
        <w:jc w:val="both"/>
        <w:rPr>
          <w:rFonts w:ascii="Book Antiqua" w:hAnsi="Book Antiqua"/>
        </w:rPr>
      </w:pPr>
    </w:p>
    <w:p w14:paraId="42885F5D"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REFERENCES</w:t>
      </w:r>
    </w:p>
    <w:p w14:paraId="23DD8E27" w14:textId="77777777" w:rsidR="00042CD6" w:rsidRPr="00AA0B7D" w:rsidRDefault="00042CD6" w:rsidP="00042CD6">
      <w:pPr>
        <w:adjustRightInd w:val="0"/>
        <w:snapToGrid w:val="0"/>
        <w:spacing w:line="360" w:lineRule="auto"/>
        <w:jc w:val="both"/>
        <w:rPr>
          <w:rFonts w:ascii="Book Antiqua" w:hAnsi="Book Antiqua"/>
        </w:rPr>
      </w:pPr>
      <w:bookmarkStart w:id="55" w:name="OLE_LINK7523"/>
      <w:bookmarkStart w:id="56" w:name="OLE_LINK7524"/>
      <w:r w:rsidRPr="00AA0B7D">
        <w:rPr>
          <w:rFonts w:ascii="Book Antiqua" w:hAnsi="Book Antiqua"/>
        </w:rPr>
        <w:t xml:space="preserve">1 </w:t>
      </w:r>
      <w:r w:rsidRPr="00AA0B7D">
        <w:rPr>
          <w:rFonts w:ascii="Book Antiqua" w:hAnsi="Book Antiqua"/>
          <w:b/>
          <w:bCs/>
        </w:rPr>
        <w:t>Siegel RL</w:t>
      </w:r>
      <w:r w:rsidRPr="00AA0B7D">
        <w:rPr>
          <w:rFonts w:ascii="Book Antiqua" w:hAnsi="Book Antiqua"/>
        </w:rPr>
        <w:t xml:space="preserve">, Miller KD, </w:t>
      </w:r>
      <w:proofErr w:type="spellStart"/>
      <w:r w:rsidRPr="00AA0B7D">
        <w:rPr>
          <w:rFonts w:ascii="Book Antiqua" w:hAnsi="Book Antiqua"/>
        </w:rPr>
        <w:t>Fedewa</w:t>
      </w:r>
      <w:proofErr w:type="spellEnd"/>
      <w:r w:rsidRPr="00AA0B7D">
        <w:rPr>
          <w:rFonts w:ascii="Book Antiqua" w:hAnsi="Book Antiqua"/>
        </w:rPr>
        <w:t xml:space="preserve"> SA, </w:t>
      </w:r>
      <w:proofErr w:type="spellStart"/>
      <w:r w:rsidRPr="00AA0B7D">
        <w:rPr>
          <w:rFonts w:ascii="Book Antiqua" w:hAnsi="Book Antiqua"/>
        </w:rPr>
        <w:t>Ahnen</w:t>
      </w:r>
      <w:proofErr w:type="spellEnd"/>
      <w:r w:rsidRPr="00AA0B7D">
        <w:rPr>
          <w:rFonts w:ascii="Book Antiqua" w:hAnsi="Book Antiqua"/>
        </w:rPr>
        <w:t xml:space="preserve"> DJ, </w:t>
      </w:r>
      <w:proofErr w:type="spellStart"/>
      <w:r w:rsidRPr="00AA0B7D">
        <w:rPr>
          <w:rFonts w:ascii="Book Antiqua" w:hAnsi="Book Antiqua"/>
        </w:rPr>
        <w:t>Meester</w:t>
      </w:r>
      <w:proofErr w:type="spellEnd"/>
      <w:r w:rsidRPr="00AA0B7D">
        <w:rPr>
          <w:rFonts w:ascii="Book Antiqua" w:hAnsi="Book Antiqua"/>
        </w:rPr>
        <w:t xml:space="preserve"> RGS, </w:t>
      </w:r>
      <w:proofErr w:type="spellStart"/>
      <w:r w:rsidRPr="00AA0B7D">
        <w:rPr>
          <w:rFonts w:ascii="Book Antiqua" w:hAnsi="Book Antiqua"/>
        </w:rPr>
        <w:t>Barzi</w:t>
      </w:r>
      <w:proofErr w:type="spellEnd"/>
      <w:r w:rsidRPr="00AA0B7D">
        <w:rPr>
          <w:rFonts w:ascii="Book Antiqua" w:hAnsi="Book Antiqua"/>
        </w:rPr>
        <w:t xml:space="preserve"> A, Jemal A. Colorectal cancer statistics, 2017. </w:t>
      </w:r>
      <w:r w:rsidRPr="00AA0B7D">
        <w:rPr>
          <w:rFonts w:ascii="Book Antiqua" w:hAnsi="Book Antiqua"/>
          <w:i/>
          <w:iCs/>
        </w:rPr>
        <w:t>CA Cancer J Clin</w:t>
      </w:r>
      <w:r w:rsidRPr="00AA0B7D">
        <w:rPr>
          <w:rFonts w:ascii="Book Antiqua" w:hAnsi="Book Antiqua"/>
        </w:rPr>
        <w:t xml:space="preserve"> 2017; </w:t>
      </w:r>
      <w:r w:rsidRPr="00AA0B7D">
        <w:rPr>
          <w:rFonts w:ascii="Book Antiqua" w:hAnsi="Book Antiqua"/>
          <w:b/>
          <w:bCs/>
        </w:rPr>
        <w:t>67</w:t>
      </w:r>
      <w:r w:rsidRPr="00AA0B7D">
        <w:rPr>
          <w:rFonts w:ascii="Book Antiqua" w:hAnsi="Book Antiqua"/>
        </w:rPr>
        <w:t>: 177-193 [PMID: 28248415 DOI: 10.3322/caac.21395]</w:t>
      </w:r>
    </w:p>
    <w:p w14:paraId="05A32D56"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 </w:t>
      </w:r>
      <w:r w:rsidRPr="00AA0B7D">
        <w:rPr>
          <w:rFonts w:ascii="Book Antiqua" w:hAnsi="Book Antiqua"/>
          <w:b/>
          <w:bCs/>
        </w:rPr>
        <w:t>Murphy N</w:t>
      </w:r>
      <w:r w:rsidRPr="00AA0B7D">
        <w:rPr>
          <w:rFonts w:ascii="Book Antiqua" w:hAnsi="Book Antiqua"/>
        </w:rPr>
        <w:t xml:space="preserve">, Moreno V, Hughes DJ, </w:t>
      </w:r>
      <w:proofErr w:type="spellStart"/>
      <w:r w:rsidRPr="00AA0B7D">
        <w:rPr>
          <w:rFonts w:ascii="Book Antiqua" w:hAnsi="Book Antiqua"/>
        </w:rPr>
        <w:t>Vodicka</w:t>
      </w:r>
      <w:proofErr w:type="spellEnd"/>
      <w:r w:rsidRPr="00AA0B7D">
        <w:rPr>
          <w:rFonts w:ascii="Book Antiqua" w:hAnsi="Book Antiqua"/>
        </w:rPr>
        <w:t xml:space="preserve"> L, </w:t>
      </w:r>
      <w:proofErr w:type="spellStart"/>
      <w:r w:rsidRPr="00AA0B7D">
        <w:rPr>
          <w:rFonts w:ascii="Book Antiqua" w:hAnsi="Book Antiqua"/>
        </w:rPr>
        <w:t>Vodicka</w:t>
      </w:r>
      <w:proofErr w:type="spellEnd"/>
      <w:r w:rsidRPr="00AA0B7D">
        <w:rPr>
          <w:rFonts w:ascii="Book Antiqua" w:hAnsi="Book Antiqua"/>
        </w:rPr>
        <w:t xml:space="preserve"> P, </w:t>
      </w:r>
      <w:proofErr w:type="spellStart"/>
      <w:r w:rsidRPr="00AA0B7D">
        <w:rPr>
          <w:rFonts w:ascii="Book Antiqua" w:hAnsi="Book Antiqua"/>
        </w:rPr>
        <w:t>Aglago</w:t>
      </w:r>
      <w:proofErr w:type="spellEnd"/>
      <w:r w:rsidRPr="00AA0B7D">
        <w:rPr>
          <w:rFonts w:ascii="Book Antiqua" w:hAnsi="Book Antiqua"/>
        </w:rPr>
        <w:t xml:space="preserve"> EK, Gunter MJ, </w:t>
      </w:r>
      <w:proofErr w:type="spellStart"/>
      <w:r w:rsidRPr="00AA0B7D">
        <w:rPr>
          <w:rFonts w:ascii="Book Antiqua" w:hAnsi="Book Antiqua"/>
        </w:rPr>
        <w:t>Jenab</w:t>
      </w:r>
      <w:proofErr w:type="spellEnd"/>
      <w:r w:rsidRPr="00AA0B7D">
        <w:rPr>
          <w:rFonts w:ascii="Book Antiqua" w:hAnsi="Book Antiqua"/>
        </w:rPr>
        <w:t xml:space="preserve"> M. Lifestyle and dietary environmental factors in colorectal cancer susceptibility. </w:t>
      </w:r>
      <w:r w:rsidRPr="00AA0B7D">
        <w:rPr>
          <w:rFonts w:ascii="Book Antiqua" w:hAnsi="Book Antiqua"/>
          <w:i/>
          <w:iCs/>
        </w:rPr>
        <w:t>Mol Aspects Med</w:t>
      </w:r>
      <w:r w:rsidRPr="00AA0B7D">
        <w:rPr>
          <w:rFonts w:ascii="Book Antiqua" w:hAnsi="Book Antiqua"/>
        </w:rPr>
        <w:t xml:space="preserve"> 2019; </w:t>
      </w:r>
      <w:r w:rsidRPr="00AA0B7D">
        <w:rPr>
          <w:rFonts w:ascii="Book Antiqua" w:hAnsi="Book Antiqua"/>
          <w:b/>
          <w:bCs/>
        </w:rPr>
        <w:t>69</w:t>
      </w:r>
      <w:r w:rsidRPr="00AA0B7D">
        <w:rPr>
          <w:rFonts w:ascii="Book Antiqua" w:hAnsi="Book Antiqua"/>
        </w:rPr>
        <w:t>: 2-9 [PMID: 31233770 DOI: 10.1016/j.mam.2019.06.005]</w:t>
      </w:r>
    </w:p>
    <w:p w14:paraId="600EF470"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3 </w:t>
      </w:r>
      <w:r w:rsidRPr="00AA0B7D">
        <w:rPr>
          <w:rFonts w:ascii="Book Antiqua" w:hAnsi="Book Antiqua"/>
          <w:b/>
          <w:bCs/>
        </w:rPr>
        <w:t>Xi Y</w:t>
      </w:r>
      <w:r w:rsidRPr="00AA0B7D">
        <w:rPr>
          <w:rFonts w:ascii="Book Antiqua" w:hAnsi="Book Antiqua"/>
        </w:rPr>
        <w:t xml:space="preserve">, Xu P. Global colorectal cancer burden in 2020 and projections to 2040. </w:t>
      </w:r>
      <w:proofErr w:type="spellStart"/>
      <w:r w:rsidRPr="00AA0B7D">
        <w:rPr>
          <w:rFonts w:ascii="Book Antiqua" w:hAnsi="Book Antiqua"/>
          <w:i/>
          <w:iCs/>
        </w:rPr>
        <w:t>Transl</w:t>
      </w:r>
      <w:proofErr w:type="spellEnd"/>
      <w:r w:rsidRPr="00AA0B7D">
        <w:rPr>
          <w:rFonts w:ascii="Book Antiqua" w:hAnsi="Book Antiqua"/>
          <w:i/>
          <w:iCs/>
        </w:rPr>
        <w:t xml:space="preserve"> Oncol</w:t>
      </w:r>
      <w:r w:rsidRPr="00AA0B7D">
        <w:rPr>
          <w:rFonts w:ascii="Book Antiqua" w:hAnsi="Book Antiqua"/>
        </w:rPr>
        <w:t xml:space="preserve"> 2021; </w:t>
      </w:r>
      <w:r w:rsidRPr="00AA0B7D">
        <w:rPr>
          <w:rFonts w:ascii="Book Antiqua" w:hAnsi="Book Antiqua"/>
          <w:b/>
          <w:bCs/>
        </w:rPr>
        <w:t>14</w:t>
      </w:r>
      <w:r w:rsidRPr="00AA0B7D">
        <w:rPr>
          <w:rFonts w:ascii="Book Antiqua" w:hAnsi="Book Antiqua"/>
        </w:rPr>
        <w:t>: 101174 [PMID: 34243011 DOI: 10.1016/j.tranon.2021.101174]</w:t>
      </w:r>
    </w:p>
    <w:p w14:paraId="38C44F5E"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4 </w:t>
      </w:r>
      <w:r w:rsidRPr="00AA0B7D">
        <w:rPr>
          <w:rFonts w:ascii="Book Antiqua" w:hAnsi="Book Antiqua"/>
          <w:b/>
          <w:bCs/>
        </w:rPr>
        <w:t>Basile D</w:t>
      </w:r>
      <w:r w:rsidRPr="00AA0B7D">
        <w:rPr>
          <w:rFonts w:ascii="Book Antiqua" w:hAnsi="Book Antiqua"/>
        </w:rPr>
        <w:t xml:space="preserve">, </w:t>
      </w:r>
      <w:proofErr w:type="spellStart"/>
      <w:r w:rsidRPr="00AA0B7D">
        <w:rPr>
          <w:rFonts w:ascii="Book Antiqua" w:hAnsi="Book Antiqua"/>
        </w:rPr>
        <w:t>Broudin</w:t>
      </w:r>
      <w:proofErr w:type="spellEnd"/>
      <w:r w:rsidRPr="00AA0B7D">
        <w:rPr>
          <w:rFonts w:ascii="Book Antiqua" w:hAnsi="Book Antiqua"/>
        </w:rPr>
        <w:t xml:space="preserve"> C, Emile JF, </w:t>
      </w:r>
      <w:proofErr w:type="spellStart"/>
      <w:r w:rsidRPr="00AA0B7D">
        <w:rPr>
          <w:rFonts w:ascii="Book Antiqua" w:hAnsi="Book Antiqua"/>
        </w:rPr>
        <w:t>Falcoz</w:t>
      </w:r>
      <w:proofErr w:type="spellEnd"/>
      <w:r w:rsidRPr="00AA0B7D">
        <w:rPr>
          <w:rFonts w:ascii="Book Antiqua" w:hAnsi="Book Antiqua"/>
        </w:rPr>
        <w:t xml:space="preserve"> A, </w:t>
      </w:r>
      <w:proofErr w:type="spellStart"/>
      <w:r w:rsidRPr="00AA0B7D">
        <w:rPr>
          <w:rFonts w:ascii="Book Antiqua" w:hAnsi="Book Antiqua"/>
        </w:rPr>
        <w:t>Pagès</w:t>
      </w:r>
      <w:proofErr w:type="spellEnd"/>
      <w:r w:rsidRPr="00AA0B7D">
        <w:rPr>
          <w:rFonts w:ascii="Book Antiqua" w:hAnsi="Book Antiqua"/>
        </w:rPr>
        <w:t xml:space="preserve"> F, </w:t>
      </w:r>
      <w:proofErr w:type="spellStart"/>
      <w:r w:rsidRPr="00AA0B7D">
        <w:rPr>
          <w:rFonts w:ascii="Book Antiqua" w:hAnsi="Book Antiqua"/>
        </w:rPr>
        <w:t>Mineur</w:t>
      </w:r>
      <w:proofErr w:type="spellEnd"/>
      <w:r w:rsidRPr="00AA0B7D">
        <w:rPr>
          <w:rFonts w:ascii="Book Antiqua" w:hAnsi="Book Antiqua"/>
        </w:rPr>
        <w:t xml:space="preserve"> L, </w:t>
      </w:r>
      <w:proofErr w:type="spellStart"/>
      <w:r w:rsidRPr="00AA0B7D">
        <w:rPr>
          <w:rFonts w:ascii="Book Antiqua" w:hAnsi="Book Antiqua"/>
        </w:rPr>
        <w:t>Bennouna</w:t>
      </w:r>
      <w:proofErr w:type="spellEnd"/>
      <w:r w:rsidRPr="00AA0B7D">
        <w:rPr>
          <w:rFonts w:ascii="Book Antiqua" w:hAnsi="Book Antiqua"/>
        </w:rPr>
        <w:t xml:space="preserve"> J, </w:t>
      </w:r>
      <w:proofErr w:type="spellStart"/>
      <w:r w:rsidRPr="00AA0B7D">
        <w:rPr>
          <w:rFonts w:ascii="Book Antiqua" w:hAnsi="Book Antiqua"/>
        </w:rPr>
        <w:t>Louvet</w:t>
      </w:r>
      <w:proofErr w:type="spellEnd"/>
      <w:r w:rsidRPr="00AA0B7D">
        <w:rPr>
          <w:rFonts w:ascii="Book Antiqua" w:hAnsi="Book Antiqua"/>
        </w:rPr>
        <w:t xml:space="preserve"> C, </w:t>
      </w:r>
      <w:proofErr w:type="spellStart"/>
      <w:r w:rsidRPr="00AA0B7D">
        <w:rPr>
          <w:rFonts w:ascii="Book Antiqua" w:hAnsi="Book Antiqua"/>
        </w:rPr>
        <w:t>Artru</w:t>
      </w:r>
      <w:proofErr w:type="spellEnd"/>
      <w:r w:rsidRPr="00AA0B7D">
        <w:rPr>
          <w:rFonts w:ascii="Book Antiqua" w:hAnsi="Book Antiqua"/>
        </w:rPr>
        <w:t xml:space="preserve"> P, </w:t>
      </w:r>
      <w:proofErr w:type="spellStart"/>
      <w:r w:rsidRPr="00AA0B7D">
        <w:rPr>
          <w:rFonts w:ascii="Book Antiqua" w:hAnsi="Book Antiqua"/>
        </w:rPr>
        <w:t>Fratte</w:t>
      </w:r>
      <w:proofErr w:type="spellEnd"/>
      <w:r w:rsidRPr="00AA0B7D">
        <w:rPr>
          <w:rFonts w:ascii="Book Antiqua" w:hAnsi="Book Antiqua"/>
        </w:rPr>
        <w:t xml:space="preserve"> S, </w:t>
      </w:r>
      <w:proofErr w:type="spellStart"/>
      <w:r w:rsidRPr="00AA0B7D">
        <w:rPr>
          <w:rFonts w:ascii="Book Antiqua" w:hAnsi="Book Antiqua"/>
        </w:rPr>
        <w:t>Ghiringhelli</w:t>
      </w:r>
      <w:proofErr w:type="spellEnd"/>
      <w:r w:rsidRPr="00AA0B7D">
        <w:rPr>
          <w:rFonts w:ascii="Book Antiqua" w:hAnsi="Book Antiqua"/>
        </w:rPr>
        <w:t xml:space="preserve"> F, André T, </w:t>
      </w:r>
      <w:proofErr w:type="spellStart"/>
      <w:r w:rsidRPr="00AA0B7D">
        <w:rPr>
          <w:rFonts w:ascii="Book Antiqua" w:hAnsi="Book Antiqua"/>
        </w:rPr>
        <w:t>Derangère</w:t>
      </w:r>
      <w:proofErr w:type="spellEnd"/>
      <w:r w:rsidRPr="00AA0B7D">
        <w:rPr>
          <w:rFonts w:ascii="Book Antiqua" w:hAnsi="Book Antiqua"/>
        </w:rPr>
        <w:t xml:space="preserve"> V, </w:t>
      </w:r>
      <w:proofErr w:type="spellStart"/>
      <w:r w:rsidRPr="00AA0B7D">
        <w:rPr>
          <w:rFonts w:ascii="Book Antiqua" w:hAnsi="Book Antiqua"/>
        </w:rPr>
        <w:t>Vernerey</w:t>
      </w:r>
      <w:proofErr w:type="spellEnd"/>
      <w:r w:rsidRPr="00AA0B7D">
        <w:rPr>
          <w:rFonts w:ascii="Book Antiqua" w:hAnsi="Book Antiqua"/>
        </w:rPr>
        <w:t xml:space="preserve"> D, </w:t>
      </w:r>
      <w:proofErr w:type="spellStart"/>
      <w:r w:rsidRPr="00AA0B7D">
        <w:rPr>
          <w:rFonts w:ascii="Book Antiqua" w:hAnsi="Book Antiqua"/>
        </w:rPr>
        <w:t>Taieb</w:t>
      </w:r>
      <w:proofErr w:type="spellEnd"/>
      <w:r w:rsidRPr="00AA0B7D">
        <w:rPr>
          <w:rFonts w:ascii="Book Antiqua" w:hAnsi="Book Antiqua"/>
        </w:rPr>
        <w:t xml:space="preserve"> J, </w:t>
      </w:r>
      <w:proofErr w:type="spellStart"/>
      <w:r w:rsidRPr="00AA0B7D">
        <w:rPr>
          <w:rFonts w:ascii="Book Antiqua" w:hAnsi="Book Antiqua"/>
        </w:rPr>
        <w:t>Svrcek</w:t>
      </w:r>
      <w:proofErr w:type="spellEnd"/>
      <w:r w:rsidRPr="00AA0B7D">
        <w:rPr>
          <w:rFonts w:ascii="Book Antiqua" w:hAnsi="Book Antiqua"/>
        </w:rPr>
        <w:t xml:space="preserve"> M; for PRODIGE investigators, GERCOR, Fédération Française de </w:t>
      </w:r>
      <w:proofErr w:type="spellStart"/>
      <w:r w:rsidRPr="00AA0B7D">
        <w:rPr>
          <w:rFonts w:ascii="Book Antiqua" w:hAnsi="Book Antiqua"/>
        </w:rPr>
        <w:t>Cancerologie</w:t>
      </w:r>
      <w:proofErr w:type="spellEnd"/>
      <w:r w:rsidRPr="00AA0B7D">
        <w:rPr>
          <w:rFonts w:ascii="Book Antiqua" w:hAnsi="Book Antiqua"/>
        </w:rPr>
        <w:t xml:space="preserve"> Digestive, and UNICANCER. Tumor budding is an independent prognostic factor in stage III colon cancer patients: a post-hoc analysis of the IDEA-France phase III trial (PRODIGE-GERCOR). </w:t>
      </w:r>
      <w:r w:rsidRPr="00AA0B7D">
        <w:rPr>
          <w:rFonts w:ascii="Book Antiqua" w:hAnsi="Book Antiqua"/>
          <w:i/>
          <w:iCs/>
        </w:rPr>
        <w:t>Ann Oncol</w:t>
      </w:r>
      <w:r w:rsidRPr="00AA0B7D">
        <w:rPr>
          <w:rFonts w:ascii="Book Antiqua" w:hAnsi="Book Antiqua"/>
        </w:rPr>
        <w:t xml:space="preserve"> 2022; </w:t>
      </w:r>
      <w:r w:rsidRPr="00AA0B7D">
        <w:rPr>
          <w:rFonts w:ascii="Book Antiqua" w:hAnsi="Book Antiqua"/>
          <w:b/>
          <w:bCs/>
        </w:rPr>
        <w:t>33</w:t>
      </w:r>
      <w:r w:rsidRPr="00AA0B7D">
        <w:rPr>
          <w:rFonts w:ascii="Book Antiqua" w:hAnsi="Book Antiqua"/>
        </w:rPr>
        <w:t>: 628-637 [PMID: 35306156 DOI: 10.1016/j.annonc.2022.03.002]</w:t>
      </w:r>
    </w:p>
    <w:p w14:paraId="5E25AB74"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lastRenderedPageBreak/>
        <w:t xml:space="preserve">5 </w:t>
      </w:r>
      <w:proofErr w:type="spellStart"/>
      <w:r w:rsidRPr="00AA0B7D">
        <w:rPr>
          <w:rFonts w:ascii="Book Antiqua" w:hAnsi="Book Antiqua"/>
          <w:b/>
          <w:bCs/>
        </w:rPr>
        <w:t>Lugli</w:t>
      </w:r>
      <w:proofErr w:type="spellEnd"/>
      <w:r w:rsidRPr="00AA0B7D">
        <w:rPr>
          <w:rFonts w:ascii="Book Antiqua" w:hAnsi="Book Antiqua"/>
          <w:b/>
          <w:bCs/>
        </w:rPr>
        <w:t xml:space="preserve"> A</w:t>
      </w:r>
      <w:r w:rsidRPr="00AA0B7D">
        <w:rPr>
          <w:rFonts w:ascii="Book Antiqua" w:hAnsi="Book Antiqua"/>
        </w:rPr>
        <w:t xml:space="preserve">, Kirsch R, </w:t>
      </w:r>
      <w:proofErr w:type="spellStart"/>
      <w:r w:rsidRPr="00AA0B7D">
        <w:rPr>
          <w:rFonts w:ascii="Book Antiqua" w:hAnsi="Book Antiqua"/>
        </w:rPr>
        <w:t>Ajioka</w:t>
      </w:r>
      <w:proofErr w:type="spellEnd"/>
      <w:r w:rsidRPr="00AA0B7D">
        <w:rPr>
          <w:rFonts w:ascii="Book Antiqua" w:hAnsi="Book Antiqua"/>
        </w:rPr>
        <w:t xml:space="preserve"> Y, Bosman F, </w:t>
      </w:r>
      <w:proofErr w:type="spellStart"/>
      <w:r w:rsidRPr="00AA0B7D">
        <w:rPr>
          <w:rFonts w:ascii="Book Antiqua" w:hAnsi="Book Antiqua"/>
        </w:rPr>
        <w:t>Cathomas</w:t>
      </w:r>
      <w:proofErr w:type="spellEnd"/>
      <w:r w:rsidRPr="00AA0B7D">
        <w:rPr>
          <w:rFonts w:ascii="Book Antiqua" w:hAnsi="Book Antiqua"/>
        </w:rPr>
        <w:t xml:space="preserve"> G, Dawson H, El </w:t>
      </w:r>
      <w:proofErr w:type="spellStart"/>
      <w:r w:rsidRPr="00AA0B7D">
        <w:rPr>
          <w:rFonts w:ascii="Book Antiqua" w:hAnsi="Book Antiqua"/>
        </w:rPr>
        <w:t>Zimaity</w:t>
      </w:r>
      <w:proofErr w:type="spellEnd"/>
      <w:r w:rsidRPr="00AA0B7D">
        <w:rPr>
          <w:rFonts w:ascii="Book Antiqua" w:hAnsi="Book Antiqua"/>
        </w:rPr>
        <w:t xml:space="preserve"> H, </w:t>
      </w:r>
      <w:proofErr w:type="spellStart"/>
      <w:r w:rsidRPr="00AA0B7D">
        <w:rPr>
          <w:rFonts w:ascii="Book Antiqua" w:hAnsi="Book Antiqua"/>
        </w:rPr>
        <w:t>Fléjou</w:t>
      </w:r>
      <w:proofErr w:type="spellEnd"/>
      <w:r w:rsidRPr="00AA0B7D">
        <w:rPr>
          <w:rFonts w:ascii="Book Antiqua" w:hAnsi="Book Antiqua"/>
        </w:rPr>
        <w:t xml:space="preserve"> JF, Hansen TP, Hartmann A, </w:t>
      </w:r>
      <w:proofErr w:type="spellStart"/>
      <w:r w:rsidRPr="00AA0B7D">
        <w:rPr>
          <w:rFonts w:ascii="Book Antiqua" w:hAnsi="Book Antiqua"/>
        </w:rPr>
        <w:t>Kakar</w:t>
      </w:r>
      <w:proofErr w:type="spellEnd"/>
      <w:r w:rsidRPr="00AA0B7D">
        <w:rPr>
          <w:rFonts w:ascii="Book Antiqua" w:hAnsi="Book Antiqua"/>
        </w:rPr>
        <w:t xml:space="preserve"> S, </w:t>
      </w:r>
      <w:proofErr w:type="spellStart"/>
      <w:r w:rsidRPr="00AA0B7D">
        <w:rPr>
          <w:rFonts w:ascii="Book Antiqua" w:hAnsi="Book Antiqua"/>
        </w:rPr>
        <w:t>Langner</w:t>
      </w:r>
      <w:proofErr w:type="spellEnd"/>
      <w:r w:rsidRPr="00AA0B7D">
        <w:rPr>
          <w:rFonts w:ascii="Book Antiqua" w:hAnsi="Book Antiqua"/>
        </w:rPr>
        <w:t xml:space="preserve"> C, </w:t>
      </w:r>
      <w:proofErr w:type="spellStart"/>
      <w:r w:rsidRPr="00AA0B7D">
        <w:rPr>
          <w:rFonts w:ascii="Book Antiqua" w:hAnsi="Book Antiqua"/>
        </w:rPr>
        <w:t>Nagtegaal</w:t>
      </w:r>
      <w:proofErr w:type="spellEnd"/>
      <w:r w:rsidRPr="00AA0B7D">
        <w:rPr>
          <w:rFonts w:ascii="Book Antiqua" w:hAnsi="Book Antiqua"/>
        </w:rPr>
        <w:t xml:space="preserve"> I, </w:t>
      </w:r>
      <w:proofErr w:type="spellStart"/>
      <w:r w:rsidRPr="00AA0B7D">
        <w:rPr>
          <w:rFonts w:ascii="Book Antiqua" w:hAnsi="Book Antiqua"/>
        </w:rPr>
        <w:t>Puppa</w:t>
      </w:r>
      <w:proofErr w:type="spellEnd"/>
      <w:r w:rsidRPr="00AA0B7D">
        <w:rPr>
          <w:rFonts w:ascii="Book Antiqua" w:hAnsi="Book Antiqua"/>
        </w:rPr>
        <w:t xml:space="preserve"> G, Riddell R, </w:t>
      </w:r>
      <w:proofErr w:type="spellStart"/>
      <w:r w:rsidRPr="00AA0B7D">
        <w:rPr>
          <w:rFonts w:ascii="Book Antiqua" w:hAnsi="Book Antiqua"/>
        </w:rPr>
        <w:t>Ristimäki</w:t>
      </w:r>
      <w:proofErr w:type="spellEnd"/>
      <w:r w:rsidRPr="00AA0B7D">
        <w:rPr>
          <w:rFonts w:ascii="Book Antiqua" w:hAnsi="Book Antiqua"/>
        </w:rPr>
        <w:t xml:space="preserve"> A, Sheahan K, </w:t>
      </w:r>
      <w:proofErr w:type="spellStart"/>
      <w:r w:rsidRPr="00AA0B7D">
        <w:rPr>
          <w:rFonts w:ascii="Book Antiqua" w:hAnsi="Book Antiqua"/>
        </w:rPr>
        <w:t>Smyrk</w:t>
      </w:r>
      <w:proofErr w:type="spellEnd"/>
      <w:r w:rsidRPr="00AA0B7D">
        <w:rPr>
          <w:rFonts w:ascii="Book Antiqua" w:hAnsi="Book Antiqua"/>
        </w:rPr>
        <w:t xml:space="preserve"> T, Sugihara K, </w:t>
      </w:r>
      <w:proofErr w:type="spellStart"/>
      <w:r w:rsidRPr="00AA0B7D">
        <w:rPr>
          <w:rFonts w:ascii="Book Antiqua" w:hAnsi="Book Antiqua"/>
        </w:rPr>
        <w:t>Terris</w:t>
      </w:r>
      <w:proofErr w:type="spellEnd"/>
      <w:r w:rsidRPr="00AA0B7D">
        <w:rPr>
          <w:rFonts w:ascii="Book Antiqua" w:hAnsi="Book Antiqua"/>
        </w:rPr>
        <w:t xml:space="preserve"> B, Ueno H, </w:t>
      </w:r>
      <w:proofErr w:type="spellStart"/>
      <w:r w:rsidRPr="00AA0B7D">
        <w:rPr>
          <w:rFonts w:ascii="Book Antiqua" w:hAnsi="Book Antiqua"/>
        </w:rPr>
        <w:t>Vieth</w:t>
      </w:r>
      <w:proofErr w:type="spellEnd"/>
      <w:r w:rsidRPr="00AA0B7D">
        <w:rPr>
          <w:rFonts w:ascii="Book Antiqua" w:hAnsi="Book Antiqua"/>
        </w:rPr>
        <w:t xml:space="preserve"> M, </w:t>
      </w:r>
      <w:proofErr w:type="spellStart"/>
      <w:r w:rsidRPr="00AA0B7D">
        <w:rPr>
          <w:rFonts w:ascii="Book Antiqua" w:hAnsi="Book Antiqua"/>
        </w:rPr>
        <w:t>Zlobec</w:t>
      </w:r>
      <w:proofErr w:type="spellEnd"/>
      <w:r w:rsidRPr="00AA0B7D">
        <w:rPr>
          <w:rFonts w:ascii="Book Antiqua" w:hAnsi="Book Antiqua"/>
        </w:rPr>
        <w:t xml:space="preserve"> I, Quirke P. Recommendations for reporting tumor budding in colorectal cancer based on the International Tumor Budding Consensus Conference (ITBCC) 2016. </w:t>
      </w:r>
      <w:r w:rsidRPr="00AA0B7D">
        <w:rPr>
          <w:rFonts w:ascii="Book Antiqua" w:hAnsi="Book Antiqua"/>
          <w:i/>
          <w:iCs/>
        </w:rPr>
        <w:t xml:space="preserve">Mod </w:t>
      </w:r>
      <w:proofErr w:type="spellStart"/>
      <w:r w:rsidRPr="00AA0B7D">
        <w:rPr>
          <w:rFonts w:ascii="Book Antiqua" w:hAnsi="Book Antiqua"/>
          <w:i/>
          <w:iCs/>
        </w:rPr>
        <w:t>Pathol</w:t>
      </w:r>
      <w:proofErr w:type="spellEnd"/>
      <w:r w:rsidRPr="00AA0B7D">
        <w:rPr>
          <w:rFonts w:ascii="Book Antiqua" w:hAnsi="Book Antiqua"/>
        </w:rPr>
        <w:t xml:space="preserve"> 2017; </w:t>
      </w:r>
      <w:r w:rsidRPr="00AA0B7D">
        <w:rPr>
          <w:rFonts w:ascii="Book Antiqua" w:hAnsi="Book Antiqua"/>
          <w:b/>
          <w:bCs/>
        </w:rPr>
        <w:t>30</w:t>
      </w:r>
      <w:r w:rsidRPr="00AA0B7D">
        <w:rPr>
          <w:rFonts w:ascii="Book Antiqua" w:hAnsi="Book Antiqua"/>
        </w:rPr>
        <w:t>: 1299-1311 [PMID: 28548122 DOI: 10.1038/modpathol.2017.46]</w:t>
      </w:r>
    </w:p>
    <w:p w14:paraId="662F66F7"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6 </w:t>
      </w:r>
      <w:proofErr w:type="spellStart"/>
      <w:r w:rsidRPr="00AA0B7D">
        <w:rPr>
          <w:rFonts w:ascii="Book Antiqua" w:hAnsi="Book Antiqua"/>
          <w:b/>
          <w:bCs/>
        </w:rPr>
        <w:t>Cappellesso</w:t>
      </w:r>
      <w:proofErr w:type="spellEnd"/>
      <w:r w:rsidRPr="00AA0B7D">
        <w:rPr>
          <w:rFonts w:ascii="Book Antiqua" w:hAnsi="Book Antiqua"/>
          <w:b/>
          <w:bCs/>
        </w:rPr>
        <w:t xml:space="preserve"> R</w:t>
      </w:r>
      <w:r w:rsidRPr="00AA0B7D">
        <w:rPr>
          <w:rFonts w:ascii="Book Antiqua" w:hAnsi="Book Antiqua"/>
        </w:rPr>
        <w:t xml:space="preserve">, </w:t>
      </w:r>
      <w:proofErr w:type="spellStart"/>
      <w:r w:rsidRPr="00AA0B7D">
        <w:rPr>
          <w:rFonts w:ascii="Book Antiqua" w:hAnsi="Book Antiqua"/>
        </w:rPr>
        <w:t>Luchini</w:t>
      </w:r>
      <w:proofErr w:type="spellEnd"/>
      <w:r w:rsidRPr="00AA0B7D">
        <w:rPr>
          <w:rFonts w:ascii="Book Antiqua" w:hAnsi="Book Antiqua"/>
        </w:rPr>
        <w:t xml:space="preserve"> C, Veronese N, Lo Mele M, Rosa-</w:t>
      </w:r>
      <w:proofErr w:type="spellStart"/>
      <w:r w:rsidRPr="00AA0B7D">
        <w:rPr>
          <w:rFonts w:ascii="Book Antiqua" w:hAnsi="Book Antiqua"/>
        </w:rPr>
        <w:t>Rizzotto</w:t>
      </w:r>
      <w:proofErr w:type="spellEnd"/>
      <w:r w:rsidRPr="00AA0B7D">
        <w:rPr>
          <w:rFonts w:ascii="Book Antiqua" w:hAnsi="Book Antiqua"/>
        </w:rPr>
        <w:t xml:space="preserve"> E, Guido E, De </w:t>
      </w:r>
      <w:proofErr w:type="spellStart"/>
      <w:r w:rsidRPr="00AA0B7D">
        <w:rPr>
          <w:rFonts w:ascii="Book Antiqua" w:hAnsi="Book Antiqua"/>
        </w:rPr>
        <w:t>Lazzari</w:t>
      </w:r>
      <w:proofErr w:type="spellEnd"/>
      <w:r w:rsidRPr="00AA0B7D">
        <w:rPr>
          <w:rFonts w:ascii="Book Antiqua" w:hAnsi="Book Antiqua"/>
        </w:rPr>
        <w:t xml:space="preserve"> F, </w:t>
      </w:r>
      <w:proofErr w:type="spellStart"/>
      <w:r w:rsidRPr="00AA0B7D">
        <w:rPr>
          <w:rFonts w:ascii="Book Antiqua" w:hAnsi="Book Antiqua"/>
        </w:rPr>
        <w:t>Pilati</w:t>
      </w:r>
      <w:proofErr w:type="spellEnd"/>
      <w:r w:rsidRPr="00AA0B7D">
        <w:rPr>
          <w:rFonts w:ascii="Book Antiqua" w:hAnsi="Book Antiqua"/>
        </w:rPr>
        <w:t xml:space="preserve"> P, </w:t>
      </w:r>
      <w:proofErr w:type="spellStart"/>
      <w:r w:rsidRPr="00AA0B7D">
        <w:rPr>
          <w:rFonts w:ascii="Book Antiqua" w:hAnsi="Book Antiqua"/>
        </w:rPr>
        <w:t>Farinati</w:t>
      </w:r>
      <w:proofErr w:type="spellEnd"/>
      <w:r w:rsidRPr="00AA0B7D">
        <w:rPr>
          <w:rFonts w:ascii="Book Antiqua" w:hAnsi="Book Antiqua"/>
        </w:rPr>
        <w:t xml:space="preserve"> F, </w:t>
      </w:r>
      <w:proofErr w:type="spellStart"/>
      <w:r w:rsidRPr="00AA0B7D">
        <w:rPr>
          <w:rFonts w:ascii="Book Antiqua" w:hAnsi="Book Antiqua"/>
        </w:rPr>
        <w:t>Realdon</w:t>
      </w:r>
      <w:proofErr w:type="spellEnd"/>
      <w:r w:rsidRPr="00AA0B7D">
        <w:rPr>
          <w:rFonts w:ascii="Book Antiqua" w:hAnsi="Book Antiqua"/>
        </w:rPr>
        <w:t xml:space="preserve"> S, </w:t>
      </w:r>
      <w:proofErr w:type="spellStart"/>
      <w:r w:rsidRPr="00AA0B7D">
        <w:rPr>
          <w:rFonts w:ascii="Book Antiqua" w:hAnsi="Book Antiqua"/>
        </w:rPr>
        <w:t>Solmi</w:t>
      </w:r>
      <w:proofErr w:type="spellEnd"/>
      <w:r w:rsidRPr="00AA0B7D">
        <w:rPr>
          <w:rFonts w:ascii="Book Antiqua" w:hAnsi="Book Antiqua"/>
        </w:rPr>
        <w:t xml:space="preserve"> M, </w:t>
      </w:r>
      <w:proofErr w:type="spellStart"/>
      <w:r w:rsidRPr="00AA0B7D">
        <w:rPr>
          <w:rFonts w:ascii="Book Antiqua" w:hAnsi="Book Antiqua"/>
        </w:rPr>
        <w:t>Fassan</w:t>
      </w:r>
      <w:proofErr w:type="spellEnd"/>
      <w:r w:rsidRPr="00AA0B7D">
        <w:rPr>
          <w:rFonts w:ascii="Book Antiqua" w:hAnsi="Book Antiqua"/>
        </w:rPr>
        <w:t xml:space="preserve"> M, </w:t>
      </w:r>
      <w:proofErr w:type="spellStart"/>
      <w:r w:rsidRPr="00AA0B7D">
        <w:rPr>
          <w:rFonts w:ascii="Book Antiqua" w:hAnsi="Book Antiqua"/>
        </w:rPr>
        <w:t>Rugge</w:t>
      </w:r>
      <w:proofErr w:type="spellEnd"/>
      <w:r w:rsidRPr="00AA0B7D">
        <w:rPr>
          <w:rFonts w:ascii="Book Antiqua" w:hAnsi="Book Antiqua"/>
        </w:rPr>
        <w:t xml:space="preserve"> M. Tumor budding as a risk factor for nodal metastasis in pT1 colorectal cancers: a meta-analysis. </w:t>
      </w:r>
      <w:r w:rsidRPr="00AA0B7D">
        <w:rPr>
          <w:rFonts w:ascii="Book Antiqua" w:hAnsi="Book Antiqua"/>
          <w:i/>
          <w:iCs/>
        </w:rPr>
        <w:t xml:space="preserve">Hum </w:t>
      </w:r>
      <w:proofErr w:type="spellStart"/>
      <w:r w:rsidRPr="00AA0B7D">
        <w:rPr>
          <w:rFonts w:ascii="Book Antiqua" w:hAnsi="Book Antiqua"/>
          <w:i/>
          <w:iCs/>
        </w:rPr>
        <w:t>Pathol</w:t>
      </w:r>
      <w:proofErr w:type="spellEnd"/>
      <w:r w:rsidRPr="00AA0B7D">
        <w:rPr>
          <w:rFonts w:ascii="Book Antiqua" w:hAnsi="Book Antiqua"/>
        </w:rPr>
        <w:t xml:space="preserve"> 2017; </w:t>
      </w:r>
      <w:r w:rsidRPr="00AA0B7D">
        <w:rPr>
          <w:rFonts w:ascii="Book Antiqua" w:hAnsi="Book Antiqua"/>
          <w:b/>
          <w:bCs/>
        </w:rPr>
        <w:t>65</w:t>
      </w:r>
      <w:r w:rsidRPr="00AA0B7D">
        <w:rPr>
          <w:rFonts w:ascii="Book Antiqua" w:hAnsi="Book Antiqua"/>
        </w:rPr>
        <w:t>: 62-70 [PMID: 28438617 DOI: 10.1016/j.humpath.2017.04.013]</w:t>
      </w:r>
    </w:p>
    <w:p w14:paraId="438E0C2A"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7 </w:t>
      </w:r>
      <w:r w:rsidRPr="00AA0B7D">
        <w:rPr>
          <w:rFonts w:ascii="Book Antiqua" w:hAnsi="Book Antiqua"/>
          <w:b/>
          <w:bCs/>
        </w:rPr>
        <w:t>Ueno H</w:t>
      </w:r>
      <w:r w:rsidRPr="00AA0B7D">
        <w:rPr>
          <w:rFonts w:ascii="Book Antiqua" w:hAnsi="Book Antiqua"/>
        </w:rPr>
        <w:t xml:space="preserve">, Ishiguro M, Nakatani E, Ishikawa T, </w:t>
      </w:r>
      <w:proofErr w:type="spellStart"/>
      <w:r w:rsidRPr="00AA0B7D">
        <w:rPr>
          <w:rFonts w:ascii="Book Antiqua" w:hAnsi="Book Antiqua"/>
        </w:rPr>
        <w:t>Uetake</w:t>
      </w:r>
      <w:proofErr w:type="spellEnd"/>
      <w:r w:rsidRPr="00AA0B7D">
        <w:rPr>
          <w:rFonts w:ascii="Book Antiqua" w:hAnsi="Book Antiqua"/>
        </w:rPr>
        <w:t xml:space="preserve"> H, Matsuda C, Nakamoto Y, </w:t>
      </w:r>
      <w:proofErr w:type="spellStart"/>
      <w:r w:rsidRPr="00AA0B7D">
        <w:rPr>
          <w:rFonts w:ascii="Book Antiqua" w:hAnsi="Book Antiqua"/>
        </w:rPr>
        <w:t>Kotake</w:t>
      </w:r>
      <w:proofErr w:type="spellEnd"/>
      <w:r w:rsidRPr="00AA0B7D">
        <w:rPr>
          <w:rFonts w:ascii="Book Antiqua" w:hAnsi="Book Antiqua"/>
        </w:rPr>
        <w:t xml:space="preserve"> M, </w:t>
      </w:r>
      <w:proofErr w:type="spellStart"/>
      <w:r w:rsidRPr="00AA0B7D">
        <w:rPr>
          <w:rFonts w:ascii="Book Antiqua" w:hAnsi="Book Antiqua"/>
        </w:rPr>
        <w:t>Kurachi</w:t>
      </w:r>
      <w:proofErr w:type="spellEnd"/>
      <w:r w:rsidRPr="00AA0B7D">
        <w:rPr>
          <w:rFonts w:ascii="Book Antiqua" w:hAnsi="Book Antiqua"/>
        </w:rPr>
        <w:t xml:space="preserve"> K, </w:t>
      </w:r>
      <w:proofErr w:type="spellStart"/>
      <w:r w:rsidRPr="00AA0B7D">
        <w:rPr>
          <w:rFonts w:ascii="Book Antiqua" w:hAnsi="Book Antiqua"/>
        </w:rPr>
        <w:t>Egawa</w:t>
      </w:r>
      <w:proofErr w:type="spellEnd"/>
      <w:r w:rsidRPr="00AA0B7D">
        <w:rPr>
          <w:rFonts w:ascii="Book Antiqua" w:hAnsi="Book Antiqua"/>
        </w:rPr>
        <w:t xml:space="preserve"> T, Yasumasa K, Murata K, </w:t>
      </w:r>
      <w:proofErr w:type="spellStart"/>
      <w:r w:rsidRPr="00AA0B7D">
        <w:rPr>
          <w:rFonts w:ascii="Book Antiqua" w:hAnsi="Book Antiqua"/>
        </w:rPr>
        <w:t>Ikawa</w:t>
      </w:r>
      <w:proofErr w:type="spellEnd"/>
      <w:r w:rsidRPr="00AA0B7D">
        <w:rPr>
          <w:rFonts w:ascii="Book Antiqua" w:hAnsi="Book Antiqua"/>
        </w:rPr>
        <w:t xml:space="preserve"> O, Shinji S, </w:t>
      </w:r>
      <w:proofErr w:type="spellStart"/>
      <w:r w:rsidRPr="00AA0B7D">
        <w:rPr>
          <w:rFonts w:ascii="Book Antiqua" w:hAnsi="Book Antiqua"/>
        </w:rPr>
        <w:t>Murotani</w:t>
      </w:r>
      <w:proofErr w:type="spellEnd"/>
      <w:r w:rsidRPr="00AA0B7D">
        <w:rPr>
          <w:rFonts w:ascii="Book Antiqua" w:hAnsi="Book Antiqua"/>
        </w:rPr>
        <w:t xml:space="preserve"> K, Matsui S, </w:t>
      </w:r>
      <w:proofErr w:type="spellStart"/>
      <w:r w:rsidRPr="00AA0B7D">
        <w:rPr>
          <w:rFonts w:ascii="Book Antiqua" w:hAnsi="Book Antiqua"/>
        </w:rPr>
        <w:t>Teramukai</w:t>
      </w:r>
      <w:proofErr w:type="spellEnd"/>
      <w:r w:rsidRPr="00AA0B7D">
        <w:rPr>
          <w:rFonts w:ascii="Book Antiqua" w:hAnsi="Book Antiqua"/>
        </w:rPr>
        <w:t xml:space="preserve"> S, Tomita N, Sugihara K; SACURA Study Group. Prospective Multicenter Study on the Prognostic and Predictive Impact of Tumor Budding in Stage II Colon Cancer: Results From the SACURA Trial. </w:t>
      </w:r>
      <w:r w:rsidRPr="00AA0B7D">
        <w:rPr>
          <w:rFonts w:ascii="Book Antiqua" w:hAnsi="Book Antiqua"/>
          <w:i/>
          <w:iCs/>
        </w:rPr>
        <w:t>J Clin Oncol</w:t>
      </w:r>
      <w:r w:rsidRPr="00AA0B7D">
        <w:rPr>
          <w:rFonts w:ascii="Book Antiqua" w:hAnsi="Book Antiqua"/>
        </w:rPr>
        <w:t xml:space="preserve"> 2019; </w:t>
      </w:r>
      <w:r w:rsidRPr="00AA0B7D">
        <w:rPr>
          <w:rFonts w:ascii="Book Antiqua" w:hAnsi="Book Antiqua"/>
          <w:b/>
          <w:bCs/>
        </w:rPr>
        <w:t>37</w:t>
      </w:r>
      <w:r w:rsidRPr="00AA0B7D">
        <w:rPr>
          <w:rFonts w:ascii="Book Antiqua" w:hAnsi="Book Antiqua"/>
        </w:rPr>
        <w:t>: 1886-1894 [PMID: 31180819 DOI: 10.1200/JCO.18.02059]</w:t>
      </w:r>
    </w:p>
    <w:p w14:paraId="3B757974"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8 </w:t>
      </w:r>
      <w:proofErr w:type="spellStart"/>
      <w:r w:rsidRPr="00AA0B7D">
        <w:rPr>
          <w:rFonts w:ascii="Book Antiqua" w:hAnsi="Book Antiqua"/>
          <w:b/>
          <w:bCs/>
        </w:rPr>
        <w:t>Lugli</w:t>
      </w:r>
      <w:proofErr w:type="spellEnd"/>
      <w:r w:rsidRPr="00AA0B7D">
        <w:rPr>
          <w:rFonts w:ascii="Book Antiqua" w:hAnsi="Book Antiqua"/>
          <w:b/>
          <w:bCs/>
        </w:rPr>
        <w:t xml:space="preserve"> A</w:t>
      </w:r>
      <w:r w:rsidRPr="00AA0B7D">
        <w:rPr>
          <w:rFonts w:ascii="Book Antiqua" w:hAnsi="Book Antiqua"/>
        </w:rPr>
        <w:t xml:space="preserve">, </w:t>
      </w:r>
      <w:proofErr w:type="spellStart"/>
      <w:r w:rsidRPr="00AA0B7D">
        <w:rPr>
          <w:rFonts w:ascii="Book Antiqua" w:hAnsi="Book Antiqua"/>
        </w:rPr>
        <w:t>Karamitopoulou</w:t>
      </w:r>
      <w:proofErr w:type="spellEnd"/>
      <w:r w:rsidRPr="00AA0B7D">
        <w:rPr>
          <w:rFonts w:ascii="Book Antiqua" w:hAnsi="Book Antiqua"/>
        </w:rPr>
        <w:t xml:space="preserve"> E, </w:t>
      </w:r>
      <w:proofErr w:type="spellStart"/>
      <w:r w:rsidRPr="00AA0B7D">
        <w:rPr>
          <w:rFonts w:ascii="Book Antiqua" w:hAnsi="Book Antiqua"/>
        </w:rPr>
        <w:t>Panayiotides</w:t>
      </w:r>
      <w:proofErr w:type="spellEnd"/>
      <w:r w:rsidRPr="00AA0B7D">
        <w:rPr>
          <w:rFonts w:ascii="Book Antiqua" w:hAnsi="Book Antiqua"/>
        </w:rPr>
        <w:t xml:space="preserve"> I, </w:t>
      </w:r>
      <w:proofErr w:type="spellStart"/>
      <w:r w:rsidRPr="00AA0B7D">
        <w:rPr>
          <w:rFonts w:ascii="Book Antiqua" w:hAnsi="Book Antiqua"/>
        </w:rPr>
        <w:t>Karakitsos</w:t>
      </w:r>
      <w:proofErr w:type="spellEnd"/>
      <w:r w:rsidRPr="00AA0B7D">
        <w:rPr>
          <w:rFonts w:ascii="Book Antiqua" w:hAnsi="Book Antiqua"/>
        </w:rPr>
        <w:t xml:space="preserve"> P, Rallis G, </w:t>
      </w:r>
      <w:proofErr w:type="spellStart"/>
      <w:r w:rsidRPr="00AA0B7D">
        <w:rPr>
          <w:rFonts w:ascii="Book Antiqua" w:hAnsi="Book Antiqua"/>
        </w:rPr>
        <w:t>Peros</w:t>
      </w:r>
      <w:proofErr w:type="spellEnd"/>
      <w:r w:rsidRPr="00AA0B7D">
        <w:rPr>
          <w:rFonts w:ascii="Book Antiqua" w:hAnsi="Book Antiqua"/>
        </w:rPr>
        <w:t xml:space="preserve"> G, </w:t>
      </w:r>
      <w:proofErr w:type="spellStart"/>
      <w:r w:rsidRPr="00AA0B7D">
        <w:rPr>
          <w:rFonts w:ascii="Book Antiqua" w:hAnsi="Book Antiqua"/>
        </w:rPr>
        <w:t>Iezzi</w:t>
      </w:r>
      <w:proofErr w:type="spellEnd"/>
      <w:r w:rsidRPr="00AA0B7D">
        <w:rPr>
          <w:rFonts w:ascii="Book Antiqua" w:hAnsi="Book Antiqua"/>
        </w:rPr>
        <w:t xml:space="preserve"> G, </w:t>
      </w:r>
      <w:proofErr w:type="spellStart"/>
      <w:r w:rsidRPr="00AA0B7D">
        <w:rPr>
          <w:rFonts w:ascii="Book Antiqua" w:hAnsi="Book Antiqua"/>
        </w:rPr>
        <w:t>Spagnoli</w:t>
      </w:r>
      <w:proofErr w:type="spellEnd"/>
      <w:r w:rsidRPr="00AA0B7D">
        <w:rPr>
          <w:rFonts w:ascii="Book Antiqua" w:hAnsi="Book Antiqua"/>
        </w:rPr>
        <w:t xml:space="preserve"> G, </w:t>
      </w:r>
      <w:proofErr w:type="spellStart"/>
      <w:r w:rsidRPr="00AA0B7D">
        <w:rPr>
          <w:rFonts w:ascii="Book Antiqua" w:hAnsi="Book Antiqua"/>
        </w:rPr>
        <w:t>Bihl</w:t>
      </w:r>
      <w:proofErr w:type="spellEnd"/>
      <w:r w:rsidRPr="00AA0B7D">
        <w:rPr>
          <w:rFonts w:ascii="Book Antiqua" w:hAnsi="Book Antiqua"/>
        </w:rPr>
        <w:t xml:space="preserve"> M, </w:t>
      </w:r>
      <w:proofErr w:type="spellStart"/>
      <w:r w:rsidRPr="00AA0B7D">
        <w:rPr>
          <w:rFonts w:ascii="Book Antiqua" w:hAnsi="Book Antiqua"/>
        </w:rPr>
        <w:t>Terracciano</w:t>
      </w:r>
      <w:proofErr w:type="spellEnd"/>
      <w:r w:rsidRPr="00AA0B7D">
        <w:rPr>
          <w:rFonts w:ascii="Book Antiqua" w:hAnsi="Book Antiqua"/>
        </w:rPr>
        <w:t xml:space="preserve"> L, </w:t>
      </w:r>
      <w:proofErr w:type="spellStart"/>
      <w:r w:rsidRPr="00AA0B7D">
        <w:rPr>
          <w:rFonts w:ascii="Book Antiqua" w:hAnsi="Book Antiqua"/>
        </w:rPr>
        <w:t>Zlobec</w:t>
      </w:r>
      <w:proofErr w:type="spellEnd"/>
      <w:r w:rsidRPr="00AA0B7D">
        <w:rPr>
          <w:rFonts w:ascii="Book Antiqua" w:hAnsi="Book Antiqua"/>
        </w:rPr>
        <w:t xml:space="preserve"> I. CD8+ lymphocytes/ </w:t>
      </w:r>
      <w:proofErr w:type="spellStart"/>
      <w:r w:rsidRPr="00AA0B7D">
        <w:rPr>
          <w:rFonts w:ascii="Book Antiqua" w:hAnsi="Book Antiqua"/>
        </w:rPr>
        <w:t>tumour</w:t>
      </w:r>
      <w:proofErr w:type="spellEnd"/>
      <w:r w:rsidRPr="00AA0B7D">
        <w:rPr>
          <w:rFonts w:ascii="Book Antiqua" w:hAnsi="Book Antiqua"/>
        </w:rPr>
        <w:t>-budding index: an independent prognostic factor representing a 'pro-/anti-</w:t>
      </w:r>
      <w:proofErr w:type="spellStart"/>
      <w:r w:rsidRPr="00AA0B7D">
        <w:rPr>
          <w:rFonts w:ascii="Book Antiqua" w:hAnsi="Book Antiqua"/>
        </w:rPr>
        <w:t>tumour</w:t>
      </w:r>
      <w:proofErr w:type="spellEnd"/>
      <w:r w:rsidRPr="00AA0B7D">
        <w:rPr>
          <w:rFonts w:ascii="Book Antiqua" w:hAnsi="Book Antiqua"/>
        </w:rPr>
        <w:t xml:space="preserve">' approach to </w:t>
      </w:r>
      <w:proofErr w:type="spellStart"/>
      <w:r w:rsidRPr="00AA0B7D">
        <w:rPr>
          <w:rFonts w:ascii="Book Antiqua" w:hAnsi="Book Antiqua"/>
        </w:rPr>
        <w:t>tumour</w:t>
      </w:r>
      <w:proofErr w:type="spellEnd"/>
      <w:r w:rsidRPr="00AA0B7D">
        <w:rPr>
          <w:rFonts w:ascii="Book Antiqua" w:hAnsi="Book Antiqua"/>
        </w:rPr>
        <w:t xml:space="preserve"> host interaction in colorectal cancer. </w:t>
      </w:r>
      <w:r w:rsidRPr="00AA0B7D">
        <w:rPr>
          <w:rFonts w:ascii="Book Antiqua" w:hAnsi="Book Antiqua"/>
          <w:i/>
          <w:iCs/>
        </w:rPr>
        <w:t>Br J Cancer</w:t>
      </w:r>
      <w:r w:rsidRPr="00AA0B7D">
        <w:rPr>
          <w:rFonts w:ascii="Book Antiqua" w:hAnsi="Book Antiqua"/>
        </w:rPr>
        <w:t xml:space="preserve"> 2009; </w:t>
      </w:r>
      <w:r w:rsidRPr="00AA0B7D">
        <w:rPr>
          <w:rFonts w:ascii="Book Antiqua" w:hAnsi="Book Antiqua"/>
          <w:b/>
          <w:bCs/>
        </w:rPr>
        <w:t>101</w:t>
      </w:r>
      <w:r w:rsidRPr="00AA0B7D">
        <w:rPr>
          <w:rFonts w:ascii="Book Antiqua" w:hAnsi="Book Antiqua"/>
        </w:rPr>
        <w:t>: 1382-1392 [PMID: 19755986 DOI: 10.1038/sj.bjc.6605318]</w:t>
      </w:r>
    </w:p>
    <w:p w14:paraId="24C13AF2"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9 </w:t>
      </w:r>
      <w:proofErr w:type="spellStart"/>
      <w:r w:rsidRPr="00AA0B7D">
        <w:rPr>
          <w:rFonts w:ascii="Book Antiqua" w:hAnsi="Book Antiqua"/>
          <w:b/>
          <w:bCs/>
        </w:rPr>
        <w:t>Lugli</w:t>
      </w:r>
      <w:proofErr w:type="spellEnd"/>
      <w:r w:rsidRPr="00AA0B7D">
        <w:rPr>
          <w:rFonts w:ascii="Book Antiqua" w:hAnsi="Book Antiqua"/>
          <w:b/>
          <w:bCs/>
        </w:rPr>
        <w:t xml:space="preserve"> A</w:t>
      </w:r>
      <w:r w:rsidRPr="00AA0B7D">
        <w:rPr>
          <w:rFonts w:ascii="Book Antiqua" w:hAnsi="Book Antiqua"/>
        </w:rPr>
        <w:t xml:space="preserve">, </w:t>
      </w:r>
      <w:proofErr w:type="spellStart"/>
      <w:r w:rsidRPr="00AA0B7D">
        <w:rPr>
          <w:rFonts w:ascii="Book Antiqua" w:hAnsi="Book Antiqua"/>
        </w:rPr>
        <w:t>Zlobec</w:t>
      </w:r>
      <w:proofErr w:type="spellEnd"/>
      <w:r w:rsidRPr="00AA0B7D">
        <w:rPr>
          <w:rFonts w:ascii="Book Antiqua" w:hAnsi="Book Antiqua"/>
        </w:rPr>
        <w:t xml:space="preserve"> I, Berger MD, Kirsch R, </w:t>
      </w:r>
      <w:proofErr w:type="spellStart"/>
      <w:r w:rsidRPr="00AA0B7D">
        <w:rPr>
          <w:rFonts w:ascii="Book Antiqua" w:hAnsi="Book Antiqua"/>
        </w:rPr>
        <w:t>Nagtegaal</w:t>
      </w:r>
      <w:proofErr w:type="spellEnd"/>
      <w:r w:rsidRPr="00AA0B7D">
        <w:rPr>
          <w:rFonts w:ascii="Book Antiqua" w:hAnsi="Book Antiqua"/>
        </w:rPr>
        <w:t xml:space="preserve"> ID. </w:t>
      </w:r>
      <w:proofErr w:type="spellStart"/>
      <w:r w:rsidRPr="00AA0B7D">
        <w:rPr>
          <w:rFonts w:ascii="Book Antiqua" w:hAnsi="Book Antiqua"/>
        </w:rPr>
        <w:t>Tumour</w:t>
      </w:r>
      <w:proofErr w:type="spellEnd"/>
      <w:r w:rsidRPr="00AA0B7D">
        <w:rPr>
          <w:rFonts w:ascii="Book Antiqua" w:hAnsi="Book Antiqua"/>
        </w:rPr>
        <w:t xml:space="preserve"> budding in solid cancers. </w:t>
      </w:r>
      <w:r w:rsidRPr="00AA0B7D">
        <w:rPr>
          <w:rFonts w:ascii="Book Antiqua" w:hAnsi="Book Antiqua"/>
          <w:i/>
          <w:iCs/>
        </w:rPr>
        <w:t>Nat Rev Clin Oncol</w:t>
      </w:r>
      <w:r w:rsidRPr="00AA0B7D">
        <w:rPr>
          <w:rFonts w:ascii="Book Antiqua" w:hAnsi="Book Antiqua"/>
        </w:rPr>
        <w:t xml:space="preserve"> 2021; </w:t>
      </w:r>
      <w:r w:rsidRPr="00AA0B7D">
        <w:rPr>
          <w:rFonts w:ascii="Book Antiqua" w:hAnsi="Book Antiqua"/>
          <w:b/>
          <w:bCs/>
        </w:rPr>
        <w:t>18</w:t>
      </w:r>
      <w:r w:rsidRPr="00AA0B7D">
        <w:rPr>
          <w:rFonts w:ascii="Book Antiqua" w:hAnsi="Book Antiqua"/>
        </w:rPr>
        <w:t>: 101-115 [PMID: 32901132 DOI: 10.1038/s41571-020-0422-y]</w:t>
      </w:r>
    </w:p>
    <w:p w14:paraId="23FF2DA8"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10 </w:t>
      </w:r>
      <w:r w:rsidRPr="00AA0B7D">
        <w:rPr>
          <w:rFonts w:ascii="Book Antiqua" w:hAnsi="Book Antiqua"/>
          <w:b/>
          <w:bCs/>
        </w:rPr>
        <w:t>IMAI T</w:t>
      </w:r>
      <w:r w:rsidRPr="00AA0B7D">
        <w:rPr>
          <w:rFonts w:ascii="Book Antiqua" w:hAnsi="Book Antiqua"/>
        </w:rPr>
        <w:t xml:space="preserve">. Growth patterns in human carcinoma. Their classification and relation to prognosis. </w:t>
      </w:r>
      <w:proofErr w:type="spellStart"/>
      <w:r w:rsidRPr="00AA0B7D">
        <w:rPr>
          <w:rFonts w:ascii="Book Antiqua" w:hAnsi="Book Antiqua"/>
          <w:i/>
          <w:iCs/>
        </w:rPr>
        <w:t>Obstet</w:t>
      </w:r>
      <w:proofErr w:type="spellEnd"/>
      <w:r w:rsidRPr="00AA0B7D">
        <w:rPr>
          <w:rFonts w:ascii="Book Antiqua" w:hAnsi="Book Antiqua"/>
          <w:i/>
          <w:iCs/>
        </w:rPr>
        <w:t xml:space="preserve"> </w:t>
      </w:r>
      <w:proofErr w:type="spellStart"/>
      <w:r w:rsidRPr="00AA0B7D">
        <w:rPr>
          <w:rFonts w:ascii="Book Antiqua" w:hAnsi="Book Antiqua"/>
          <w:i/>
          <w:iCs/>
        </w:rPr>
        <w:t>Gynecol</w:t>
      </w:r>
      <w:proofErr w:type="spellEnd"/>
      <w:r w:rsidRPr="00AA0B7D">
        <w:rPr>
          <w:rFonts w:ascii="Book Antiqua" w:hAnsi="Book Antiqua"/>
        </w:rPr>
        <w:t xml:space="preserve"> 1960; </w:t>
      </w:r>
      <w:r w:rsidRPr="00AA0B7D">
        <w:rPr>
          <w:rFonts w:ascii="Book Antiqua" w:hAnsi="Book Antiqua"/>
          <w:b/>
          <w:bCs/>
        </w:rPr>
        <w:t>16</w:t>
      </w:r>
      <w:r w:rsidRPr="00AA0B7D">
        <w:rPr>
          <w:rFonts w:ascii="Book Antiqua" w:hAnsi="Book Antiqua"/>
        </w:rPr>
        <w:t>: 296-308 [PMID: 13717558]</w:t>
      </w:r>
    </w:p>
    <w:p w14:paraId="0F875469"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11 </w:t>
      </w:r>
      <w:r w:rsidRPr="00AA0B7D">
        <w:rPr>
          <w:rFonts w:ascii="Book Antiqua" w:hAnsi="Book Antiqua"/>
          <w:b/>
          <w:bCs/>
        </w:rPr>
        <w:t>Berg KB</w:t>
      </w:r>
      <w:r w:rsidRPr="00AA0B7D">
        <w:rPr>
          <w:rFonts w:ascii="Book Antiqua" w:hAnsi="Book Antiqua"/>
        </w:rPr>
        <w:t xml:space="preserve">, Schaeffer DF. Tumor budding as a standardized parameter in gastrointestinal carcinomas: more than just the colon. </w:t>
      </w:r>
      <w:r w:rsidRPr="00AA0B7D">
        <w:rPr>
          <w:rFonts w:ascii="Book Antiqua" w:hAnsi="Book Antiqua"/>
          <w:i/>
          <w:iCs/>
        </w:rPr>
        <w:t xml:space="preserve">Mod </w:t>
      </w:r>
      <w:proofErr w:type="spellStart"/>
      <w:r w:rsidRPr="00AA0B7D">
        <w:rPr>
          <w:rFonts w:ascii="Book Antiqua" w:hAnsi="Book Antiqua"/>
          <w:i/>
          <w:iCs/>
        </w:rPr>
        <w:t>Pathol</w:t>
      </w:r>
      <w:proofErr w:type="spellEnd"/>
      <w:r w:rsidRPr="00AA0B7D">
        <w:rPr>
          <w:rFonts w:ascii="Book Antiqua" w:hAnsi="Book Antiqua"/>
        </w:rPr>
        <w:t xml:space="preserve"> 2018; </w:t>
      </w:r>
      <w:r w:rsidRPr="00AA0B7D">
        <w:rPr>
          <w:rFonts w:ascii="Book Antiqua" w:hAnsi="Book Antiqua"/>
          <w:b/>
          <w:bCs/>
        </w:rPr>
        <w:t>31</w:t>
      </w:r>
      <w:r w:rsidRPr="00AA0B7D">
        <w:rPr>
          <w:rFonts w:ascii="Book Antiqua" w:hAnsi="Book Antiqua"/>
        </w:rPr>
        <w:t>: 862-872 [PMID: 29403085 DOI: 10.1038/s41379-018-0028-4]</w:t>
      </w:r>
    </w:p>
    <w:p w14:paraId="55BDF378"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12 </w:t>
      </w:r>
      <w:proofErr w:type="spellStart"/>
      <w:r w:rsidRPr="00AA0B7D">
        <w:rPr>
          <w:rFonts w:ascii="Book Antiqua" w:hAnsi="Book Antiqua"/>
          <w:b/>
          <w:bCs/>
        </w:rPr>
        <w:t>Voutsadakis</w:t>
      </w:r>
      <w:proofErr w:type="spellEnd"/>
      <w:r w:rsidRPr="00AA0B7D">
        <w:rPr>
          <w:rFonts w:ascii="Book Antiqua" w:hAnsi="Book Antiqua"/>
          <w:b/>
          <w:bCs/>
        </w:rPr>
        <w:t xml:space="preserve"> IA</w:t>
      </w:r>
      <w:r w:rsidRPr="00AA0B7D">
        <w:rPr>
          <w:rFonts w:ascii="Book Antiqua" w:hAnsi="Book Antiqua"/>
        </w:rPr>
        <w:t xml:space="preserve">. Prognostic role of tumor budding in breast cancer. </w:t>
      </w:r>
      <w:r w:rsidRPr="00AA0B7D">
        <w:rPr>
          <w:rFonts w:ascii="Book Antiqua" w:hAnsi="Book Antiqua"/>
          <w:i/>
          <w:iCs/>
        </w:rPr>
        <w:t>World J Exp Med</w:t>
      </w:r>
      <w:r w:rsidRPr="00AA0B7D">
        <w:rPr>
          <w:rFonts w:ascii="Book Antiqua" w:hAnsi="Book Antiqua"/>
        </w:rPr>
        <w:t xml:space="preserve"> 2018; </w:t>
      </w:r>
      <w:r w:rsidRPr="00AA0B7D">
        <w:rPr>
          <w:rFonts w:ascii="Book Antiqua" w:hAnsi="Book Antiqua"/>
          <w:b/>
          <w:bCs/>
        </w:rPr>
        <w:t>8</w:t>
      </w:r>
      <w:r w:rsidRPr="00AA0B7D">
        <w:rPr>
          <w:rFonts w:ascii="Book Antiqua" w:hAnsi="Book Antiqua"/>
        </w:rPr>
        <w:t>: 12-17 [PMID: 30211020 DOI: 10.5493/wjem.v8.i2.12]</w:t>
      </w:r>
    </w:p>
    <w:p w14:paraId="73322CB0"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lastRenderedPageBreak/>
        <w:t xml:space="preserve">13 </w:t>
      </w:r>
      <w:r w:rsidRPr="00AA0B7D">
        <w:rPr>
          <w:rFonts w:ascii="Book Antiqua" w:hAnsi="Book Antiqua"/>
          <w:b/>
          <w:bCs/>
        </w:rPr>
        <w:t>Beer A</w:t>
      </w:r>
      <w:r w:rsidRPr="00AA0B7D">
        <w:rPr>
          <w:rFonts w:ascii="Book Antiqua" w:hAnsi="Book Antiqua"/>
        </w:rPr>
        <w:t xml:space="preserve">, </w:t>
      </w:r>
      <w:proofErr w:type="spellStart"/>
      <w:r w:rsidRPr="00AA0B7D">
        <w:rPr>
          <w:rFonts w:ascii="Book Antiqua" w:hAnsi="Book Antiqua"/>
        </w:rPr>
        <w:t>Reber</w:t>
      </w:r>
      <w:proofErr w:type="spellEnd"/>
      <w:r w:rsidRPr="00AA0B7D">
        <w:rPr>
          <w:rFonts w:ascii="Book Antiqua" w:hAnsi="Book Antiqua"/>
        </w:rPr>
        <w:t xml:space="preserve"> A, </w:t>
      </w:r>
      <w:proofErr w:type="spellStart"/>
      <w:r w:rsidRPr="00AA0B7D">
        <w:rPr>
          <w:rFonts w:ascii="Book Antiqua" w:hAnsi="Book Antiqua"/>
        </w:rPr>
        <w:t>Paireder</w:t>
      </w:r>
      <w:proofErr w:type="spellEnd"/>
      <w:r w:rsidRPr="00AA0B7D">
        <w:rPr>
          <w:rFonts w:ascii="Book Antiqua" w:hAnsi="Book Antiqua"/>
        </w:rPr>
        <w:t xml:space="preserve"> M, </w:t>
      </w:r>
      <w:proofErr w:type="spellStart"/>
      <w:r w:rsidRPr="00AA0B7D">
        <w:rPr>
          <w:rFonts w:ascii="Book Antiqua" w:hAnsi="Book Antiqua"/>
        </w:rPr>
        <w:t>Schoppmann</w:t>
      </w:r>
      <w:proofErr w:type="spellEnd"/>
      <w:r w:rsidRPr="00AA0B7D">
        <w:rPr>
          <w:rFonts w:ascii="Book Antiqua" w:hAnsi="Book Antiqua"/>
        </w:rPr>
        <w:t xml:space="preserve"> SF, Heber S, Schiefer AI. Tumor cell budding in preoperative biopsies of esophageal and gastroesophageal junction carcinoma independently predicts survival in a grade-dependent manner. </w:t>
      </w:r>
      <w:r w:rsidRPr="00AA0B7D">
        <w:rPr>
          <w:rFonts w:ascii="Book Antiqua" w:hAnsi="Book Antiqua"/>
          <w:i/>
          <w:iCs/>
        </w:rPr>
        <w:t>Surgery</w:t>
      </w:r>
      <w:r w:rsidRPr="00AA0B7D">
        <w:rPr>
          <w:rFonts w:ascii="Book Antiqua" w:hAnsi="Book Antiqua"/>
        </w:rPr>
        <w:t xml:space="preserve"> 2022; </w:t>
      </w:r>
      <w:r w:rsidRPr="00AA0B7D">
        <w:rPr>
          <w:rFonts w:ascii="Book Antiqua" w:hAnsi="Book Antiqua"/>
          <w:b/>
          <w:bCs/>
        </w:rPr>
        <w:t>172</w:t>
      </w:r>
      <w:r w:rsidRPr="00AA0B7D">
        <w:rPr>
          <w:rFonts w:ascii="Book Antiqua" w:hAnsi="Book Antiqua"/>
        </w:rPr>
        <w:t>: 567-574 [PMID: 35422326 DOI: 10.1016/j.surg.2022.02.020]</w:t>
      </w:r>
    </w:p>
    <w:p w14:paraId="66E963EE"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14 </w:t>
      </w:r>
      <w:proofErr w:type="spellStart"/>
      <w:r w:rsidRPr="00AA0B7D">
        <w:rPr>
          <w:rFonts w:ascii="Book Antiqua" w:hAnsi="Book Antiqua"/>
          <w:b/>
          <w:bCs/>
        </w:rPr>
        <w:t>Kosaka</w:t>
      </w:r>
      <w:proofErr w:type="spellEnd"/>
      <w:r w:rsidRPr="00AA0B7D">
        <w:rPr>
          <w:rFonts w:ascii="Book Antiqua" w:hAnsi="Book Antiqua"/>
          <w:b/>
          <w:bCs/>
        </w:rPr>
        <w:t xml:space="preserve"> H</w:t>
      </w:r>
      <w:r w:rsidRPr="00AA0B7D">
        <w:rPr>
          <w:rFonts w:ascii="Book Antiqua" w:hAnsi="Book Antiqua"/>
        </w:rPr>
        <w:t xml:space="preserve">, Ishida M, Ueno M, Komeda K, </w:t>
      </w:r>
      <w:proofErr w:type="spellStart"/>
      <w:r w:rsidRPr="00AA0B7D">
        <w:rPr>
          <w:rFonts w:ascii="Book Antiqua" w:hAnsi="Book Antiqua"/>
        </w:rPr>
        <w:t>Hokutou</w:t>
      </w:r>
      <w:proofErr w:type="spellEnd"/>
      <w:r w:rsidRPr="00AA0B7D">
        <w:rPr>
          <w:rFonts w:ascii="Book Antiqua" w:hAnsi="Book Antiqua"/>
        </w:rPr>
        <w:t xml:space="preserve"> D, Iida H, Hirokawa F, Matsui K, Sekimoto M, </w:t>
      </w:r>
      <w:proofErr w:type="spellStart"/>
      <w:r w:rsidRPr="00AA0B7D">
        <w:rPr>
          <w:rFonts w:ascii="Book Antiqua" w:hAnsi="Book Antiqua"/>
        </w:rPr>
        <w:t>Kaibori</w:t>
      </w:r>
      <w:proofErr w:type="spellEnd"/>
      <w:r w:rsidRPr="00AA0B7D">
        <w:rPr>
          <w:rFonts w:ascii="Book Antiqua" w:hAnsi="Book Antiqua"/>
        </w:rPr>
        <w:t xml:space="preserve"> M. Tumor budding may be a promising prognostic indicator in intrahepatic cholangiocarcinoma: A multicenter retrospective study. </w:t>
      </w:r>
      <w:r w:rsidRPr="00AA0B7D">
        <w:rPr>
          <w:rFonts w:ascii="Book Antiqua" w:hAnsi="Book Antiqua"/>
          <w:i/>
          <w:iCs/>
        </w:rPr>
        <w:t>Ann Gastroenterol Surg</w:t>
      </w:r>
      <w:r w:rsidRPr="00AA0B7D">
        <w:rPr>
          <w:rFonts w:ascii="Book Antiqua" w:hAnsi="Book Antiqua"/>
        </w:rPr>
        <w:t xml:space="preserve"> 2023; </w:t>
      </w:r>
      <w:r w:rsidRPr="00AA0B7D">
        <w:rPr>
          <w:rFonts w:ascii="Book Antiqua" w:hAnsi="Book Antiqua"/>
          <w:b/>
          <w:bCs/>
        </w:rPr>
        <w:t>7</w:t>
      </w:r>
      <w:r w:rsidRPr="00AA0B7D">
        <w:rPr>
          <w:rFonts w:ascii="Book Antiqua" w:hAnsi="Book Antiqua"/>
        </w:rPr>
        <w:t>: 138-146 [PMID: 36643363 DOI: 10.1002/ags3.12605]</w:t>
      </w:r>
    </w:p>
    <w:p w14:paraId="22AB9561"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15 </w:t>
      </w:r>
      <w:r w:rsidRPr="00AA0B7D">
        <w:rPr>
          <w:rFonts w:ascii="Book Antiqua" w:hAnsi="Book Antiqua"/>
          <w:b/>
          <w:bCs/>
        </w:rPr>
        <w:t>Bosch SL</w:t>
      </w:r>
      <w:r w:rsidRPr="00AA0B7D">
        <w:rPr>
          <w:rFonts w:ascii="Book Antiqua" w:hAnsi="Book Antiqua"/>
        </w:rPr>
        <w:t xml:space="preserve">, </w:t>
      </w:r>
      <w:proofErr w:type="spellStart"/>
      <w:r w:rsidRPr="00AA0B7D">
        <w:rPr>
          <w:rFonts w:ascii="Book Antiqua" w:hAnsi="Book Antiqua"/>
        </w:rPr>
        <w:t>Teerenstra</w:t>
      </w:r>
      <w:proofErr w:type="spellEnd"/>
      <w:r w:rsidRPr="00AA0B7D">
        <w:rPr>
          <w:rFonts w:ascii="Book Antiqua" w:hAnsi="Book Antiqua"/>
        </w:rPr>
        <w:t xml:space="preserve"> S, de Wilt JH, Cunningham C, </w:t>
      </w:r>
      <w:proofErr w:type="spellStart"/>
      <w:r w:rsidRPr="00AA0B7D">
        <w:rPr>
          <w:rFonts w:ascii="Book Antiqua" w:hAnsi="Book Antiqua"/>
        </w:rPr>
        <w:t>Nagtegaal</w:t>
      </w:r>
      <w:proofErr w:type="spellEnd"/>
      <w:r w:rsidRPr="00AA0B7D">
        <w:rPr>
          <w:rFonts w:ascii="Book Antiqua" w:hAnsi="Book Antiqua"/>
        </w:rPr>
        <w:t xml:space="preserve"> ID. Predicting lymph node metastasis in pT1 colorectal cancer: a systematic review of risk factors providing rationale for therapy decisions. </w:t>
      </w:r>
      <w:r w:rsidRPr="00AA0B7D">
        <w:rPr>
          <w:rFonts w:ascii="Book Antiqua" w:hAnsi="Book Antiqua"/>
          <w:i/>
          <w:iCs/>
        </w:rPr>
        <w:t>Endoscopy</w:t>
      </w:r>
      <w:r w:rsidRPr="00AA0B7D">
        <w:rPr>
          <w:rFonts w:ascii="Book Antiqua" w:hAnsi="Book Antiqua"/>
        </w:rPr>
        <w:t xml:space="preserve"> 2013; </w:t>
      </w:r>
      <w:r w:rsidRPr="00AA0B7D">
        <w:rPr>
          <w:rFonts w:ascii="Book Antiqua" w:hAnsi="Book Antiqua"/>
          <w:b/>
          <w:bCs/>
        </w:rPr>
        <w:t>45</w:t>
      </w:r>
      <w:r w:rsidRPr="00AA0B7D">
        <w:rPr>
          <w:rFonts w:ascii="Book Antiqua" w:hAnsi="Book Antiqua"/>
        </w:rPr>
        <w:t>: 827-834 [PMID: 23884793 DOI: 10.1055/s-0033-1344238]</w:t>
      </w:r>
    </w:p>
    <w:p w14:paraId="2B8E5DA4"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16 </w:t>
      </w:r>
      <w:r w:rsidRPr="00AA0B7D">
        <w:rPr>
          <w:rFonts w:ascii="Book Antiqua" w:hAnsi="Book Antiqua"/>
          <w:b/>
          <w:bCs/>
        </w:rPr>
        <w:t>Rogers AC</w:t>
      </w:r>
      <w:r w:rsidRPr="00AA0B7D">
        <w:rPr>
          <w:rFonts w:ascii="Book Antiqua" w:hAnsi="Book Antiqua"/>
        </w:rPr>
        <w:t xml:space="preserve">, Winter DC, Heeney A, Gibbons D, </w:t>
      </w:r>
      <w:proofErr w:type="spellStart"/>
      <w:r w:rsidRPr="00AA0B7D">
        <w:rPr>
          <w:rFonts w:ascii="Book Antiqua" w:hAnsi="Book Antiqua"/>
        </w:rPr>
        <w:t>Lugli</w:t>
      </w:r>
      <w:proofErr w:type="spellEnd"/>
      <w:r w:rsidRPr="00AA0B7D">
        <w:rPr>
          <w:rFonts w:ascii="Book Antiqua" w:hAnsi="Book Antiqua"/>
        </w:rPr>
        <w:t xml:space="preserve"> A, </w:t>
      </w:r>
      <w:proofErr w:type="spellStart"/>
      <w:r w:rsidRPr="00AA0B7D">
        <w:rPr>
          <w:rFonts w:ascii="Book Antiqua" w:hAnsi="Book Antiqua"/>
        </w:rPr>
        <w:t>Puppa</w:t>
      </w:r>
      <w:proofErr w:type="spellEnd"/>
      <w:r w:rsidRPr="00AA0B7D">
        <w:rPr>
          <w:rFonts w:ascii="Book Antiqua" w:hAnsi="Book Antiqua"/>
        </w:rPr>
        <w:t xml:space="preserve"> G, Sheahan K. Systematic review and meta-analysis of the impact of </w:t>
      </w:r>
      <w:proofErr w:type="spellStart"/>
      <w:r w:rsidRPr="00AA0B7D">
        <w:rPr>
          <w:rFonts w:ascii="Book Antiqua" w:hAnsi="Book Antiqua"/>
        </w:rPr>
        <w:t>tumour</w:t>
      </w:r>
      <w:proofErr w:type="spellEnd"/>
      <w:r w:rsidRPr="00AA0B7D">
        <w:rPr>
          <w:rFonts w:ascii="Book Antiqua" w:hAnsi="Book Antiqua"/>
        </w:rPr>
        <w:t xml:space="preserve"> budding in colorectal cancer. </w:t>
      </w:r>
      <w:r w:rsidRPr="00AA0B7D">
        <w:rPr>
          <w:rFonts w:ascii="Book Antiqua" w:hAnsi="Book Antiqua"/>
          <w:i/>
          <w:iCs/>
        </w:rPr>
        <w:t>Br J Cancer</w:t>
      </w:r>
      <w:r w:rsidRPr="00AA0B7D">
        <w:rPr>
          <w:rFonts w:ascii="Book Antiqua" w:hAnsi="Book Antiqua"/>
        </w:rPr>
        <w:t xml:space="preserve"> 2016; </w:t>
      </w:r>
      <w:r w:rsidRPr="00AA0B7D">
        <w:rPr>
          <w:rFonts w:ascii="Book Antiqua" w:hAnsi="Book Antiqua"/>
          <w:b/>
          <w:bCs/>
        </w:rPr>
        <w:t>115</w:t>
      </w:r>
      <w:r w:rsidRPr="00AA0B7D">
        <w:rPr>
          <w:rFonts w:ascii="Book Antiqua" w:hAnsi="Book Antiqua"/>
        </w:rPr>
        <w:t>: 831-840 [PMID: 27599041 DOI: 10.1038/bjc.2016.274]</w:t>
      </w:r>
    </w:p>
    <w:p w14:paraId="0FAB2749"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17 </w:t>
      </w:r>
      <w:proofErr w:type="spellStart"/>
      <w:r w:rsidRPr="00AA0B7D">
        <w:rPr>
          <w:rFonts w:ascii="Book Antiqua" w:hAnsi="Book Antiqua"/>
          <w:b/>
          <w:bCs/>
        </w:rPr>
        <w:t>Nagtegaal</w:t>
      </w:r>
      <w:proofErr w:type="spellEnd"/>
      <w:r w:rsidRPr="00AA0B7D">
        <w:rPr>
          <w:rFonts w:ascii="Book Antiqua" w:hAnsi="Book Antiqua"/>
          <w:b/>
          <w:bCs/>
        </w:rPr>
        <w:t xml:space="preserve"> ID</w:t>
      </w:r>
      <w:r w:rsidRPr="00AA0B7D">
        <w:rPr>
          <w:rFonts w:ascii="Book Antiqua" w:hAnsi="Book Antiqua"/>
        </w:rPr>
        <w:t xml:space="preserve">, </w:t>
      </w:r>
      <w:proofErr w:type="spellStart"/>
      <w:r w:rsidRPr="00AA0B7D">
        <w:rPr>
          <w:rFonts w:ascii="Book Antiqua" w:hAnsi="Book Antiqua"/>
        </w:rPr>
        <w:t>Odze</w:t>
      </w:r>
      <w:proofErr w:type="spellEnd"/>
      <w:r w:rsidRPr="00AA0B7D">
        <w:rPr>
          <w:rFonts w:ascii="Book Antiqua" w:hAnsi="Book Antiqua"/>
        </w:rPr>
        <w:t xml:space="preserve"> RD, </w:t>
      </w:r>
      <w:proofErr w:type="spellStart"/>
      <w:r w:rsidRPr="00AA0B7D">
        <w:rPr>
          <w:rFonts w:ascii="Book Antiqua" w:hAnsi="Book Antiqua"/>
        </w:rPr>
        <w:t>Klimstra</w:t>
      </w:r>
      <w:proofErr w:type="spellEnd"/>
      <w:r w:rsidRPr="00AA0B7D">
        <w:rPr>
          <w:rFonts w:ascii="Book Antiqua" w:hAnsi="Book Antiqua"/>
        </w:rPr>
        <w:t xml:space="preserve"> D, Paradis V, </w:t>
      </w:r>
      <w:proofErr w:type="spellStart"/>
      <w:r w:rsidRPr="00AA0B7D">
        <w:rPr>
          <w:rFonts w:ascii="Book Antiqua" w:hAnsi="Book Antiqua"/>
        </w:rPr>
        <w:t>Rugge</w:t>
      </w:r>
      <w:proofErr w:type="spellEnd"/>
      <w:r w:rsidRPr="00AA0B7D">
        <w:rPr>
          <w:rFonts w:ascii="Book Antiqua" w:hAnsi="Book Antiqua"/>
        </w:rPr>
        <w:t xml:space="preserve"> M, </w:t>
      </w:r>
      <w:proofErr w:type="spellStart"/>
      <w:r w:rsidRPr="00AA0B7D">
        <w:rPr>
          <w:rFonts w:ascii="Book Antiqua" w:hAnsi="Book Antiqua"/>
        </w:rPr>
        <w:t>Schirmacher</w:t>
      </w:r>
      <w:proofErr w:type="spellEnd"/>
      <w:r w:rsidRPr="00AA0B7D">
        <w:rPr>
          <w:rFonts w:ascii="Book Antiqua" w:hAnsi="Book Antiqua"/>
        </w:rPr>
        <w:t xml:space="preserve"> P, Washington KM, Carneiro F, Cree IA; WHO Classification of </w:t>
      </w:r>
      <w:proofErr w:type="spellStart"/>
      <w:r w:rsidRPr="00AA0B7D">
        <w:rPr>
          <w:rFonts w:ascii="Book Antiqua" w:hAnsi="Book Antiqua"/>
        </w:rPr>
        <w:t>Tumours</w:t>
      </w:r>
      <w:proofErr w:type="spellEnd"/>
      <w:r w:rsidRPr="00AA0B7D">
        <w:rPr>
          <w:rFonts w:ascii="Book Antiqua" w:hAnsi="Book Antiqua"/>
        </w:rPr>
        <w:t xml:space="preserve"> Editorial Board. The 2019 WHO classification of </w:t>
      </w:r>
      <w:proofErr w:type="spellStart"/>
      <w:r w:rsidRPr="00AA0B7D">
        <w:rPr>
          <w:rFonts w:ascii="Book Antiqua" w:hAnsi="Book Antiqua"/>
        </w:rPr>
        <w:t>tumours</w:t>
      </w:r>
      <w:proofErr w:type="spellEnd"/>
      <w:r w:rsidRPr="00AA0B7D">
        <w:rPr>
          <w:rFonts w:ascii="Book Antiqua" w:hAnsi="Book Antiqua"/>
        </w:rPr>
        <w:t xml:space="preserve"> of the digestive system. </w:t>
      </w:r>
      <w:r w:rsidRPr="00AA0B7D">
        <w:rPr>
          <w:rFonts w:ascii="Book Antiqua" w:hAnsi="Book Antiqua"/>
          <w:i/>
          <w:iCs/>
        </w:rPr>
        <w:t>Histopathology</w:t>
      </w:r>
      <w:r w:rsidRPr="00AA0B7D">
        <w:rPr>
          <w:rFonts w:ascii="Book Antiqua" w:hAnsi="Book Antiqua"/>
        </w:rPr>
        <w:t xml:space="preserve"> 2020; </w:t>
      </w:r>
      <w:r w:rsidRPr="00AA0B7D">
        <w:rPr>
          <w:rFonts w:ascii="Book Antiqua" w:hAnsi="Book Antiqua"/>
          <w:b/>
          <w:bCs/>
        </w:rPr>
        <w:t>76</w:t>
      </w:r>
      <w:r w:rsidRPr="00AA0B7D">
        <w:rPr>
          <w:rFonts w:ascii="Book Antiqua" w:hAnsi="Book Antiqua"/>
        </w:rPr>
        <w:t>: 182-188 [PMID: 31433515 DOI: 10.1111/his.13975]</w:t>
      </w:r>
    </w:p>
    <w:p w14:paraId="340ED2AB"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18 </w:t>
      </w:r>
      <w:r w:rsidRPr="00AA0B7D">
        <w:rPr>
          <w:rFonts w:ascii="Book Antiqua" w:hAnsi="Book Antiqua"/>
          <w:b/>
          <w:bCs/>
        </w:rPr>
        <w:t>Akabane S</w:t>
      </w:r>
      <w:r w:rsidRPr="00AA0B7D">
        <w:rPr>
          <w:rFonts w:ascii="Book Antiqua" w:hAnsi="Book Antiqua"/>
        </w:rPr>
        <w:t xml:space="preserve">, Shimizu W, Takakura Y, Kochi M, Taguchi K, Nakashima I, Sato K, Hattori M, Egi H, </w:t>
      </w:r>
      <w:proofErr w:type="spellStart"/>
      <w:r w:rsidRPr="00AA0B7D">
        <w:rPr>
          <w:rFonts w:ascii="Book Antiqua" w:hAnsi="Book Antiqua"/>
        </w:rPr>
        <w:t>Sentani</w:t>
      </w:r>
      <w:proofErr w:type="spellEnd"/>
      <w:r w:rsidRPr="00AA0B7D">
        <w:rPr>
          <w:rFonts w:ascii="Book Antiqua" w:hAnsi="Book Antiqua"/>
        </w:rPr>
        <w:t xml:space="preserve"> K, </w:t>
      </w:r>
      <w:proofErr w:type="spellStart"/>
      <w:r w:rsidRPr="00AA0B7D">
        <w:rPr>
          <w:rFonts w:ascii="Book Antiqua" w:hAnsi="Book Antiqua"/>
        </w:rPr>
        <w:t>Yasui</w:t>
      </w:r>
      <w:proofErr w:type="spellEnd"/>
      <w:r w:rsidRPr="00AA0B7D">
        <w:rPr>
          <w:rFonts w:ascii="Book Antiqua" w:hAnsi="Book Antiqua"/>
        </w:rPr>
        <w:t xml:space="preserve"> W, </w:t>
      </w:r>
      <w:proofErr w:type="spellStart"/>
      <w:r w:rsidRPr="00AA0B7D">
        <w:rPr>
          <w:rFonts w:ascii="Book Antiqua" w:hAnsi="Book Antiqua"/>
        </w:rPr>
        <w:t>Ohdan</w:t>
      </w:r>
      <w:proofErr w:type="spellEnd"/>
      <w:r w:rsidRPr="00AA0B7D">
        <w:rPr>
          <w:rFonts w:ascii="Book Antiqua" w:hAnsi="Book Antiqua"/>
        </w:rPr>
        <w:t xml:space="preserve"> H. Tumor budding as a predictive marker for 5-fluorouracil response in adjuvant-treated stage III colorectal cancer. </w:t>
      </w:r>
      <w:r w:rsidRPr="00AA0B7D">
        <w:rPr>
          <w:rFonts w:ascii="Book Antiqua" w:hAnsi="Book Antiqua"/>
          <w:i/>
          <w:iCs/>
        </w:rPr>
        <w:t>Int J Clin Oncol</w:t>
      </w:r>
      <w:r w:rsidRPr="00AA0B7D">
        <w:rPr>
          <w:rFonts w:ascii="Book Antiqua" w:hAnsi="Book Antiqua"/>
        </w:rPr>
        <w:t xml:space="preserve"> 2021; </w:t>
      </w:r>
      <w:r w:rsidRPr="00AA0B7D">
        <w:rPr>
          <w:rFonts w:ascii="Book Antiqua" w:hAnsi="Book Antiqua"/>
          <w:b/>
          <w:bCs/>
        </w:rPr>
        <w:t>26</w:t>
      </w:r>
      <w:r w:rsidRPr="00AA0B7D">
        <w:rPr>
          <w:rFonts w:ascii="Book Antiqua" w:hAnsi="Book Antiqua"/>
        </w:rPr>
        <w:t>: 1285-1292 [PMID: 33881678 DOI: 10.1007/s10147-021-01917-9]</w:t>
      </w:r>
    </w:p>
    <w:p w14:paraId="37B4B7F9"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19 </w:t>
      </w:r>
      <w:r w:rsidRPr="00AA0B7D">
        <w:rPr>
          <w:rFonts w:ascii="Book Antiqua" w:hAnsi="Book Antiqua"/>
          <w:b/>
          <w:bCs/>
        </w:rPr>
        <w:t>Yamadera M</w:t>
      </w:r>
      <w:r w:rsidRPr="00AA0B7D">
        <w:rPr>
          <w:rFonts w:ascii="Book Antiqua" w:hAnsi="Book Antiqua"/>
        </w:rPr>
        <w:t xml:space="preserve">, Shinto E, </w:t>
      </w:r>
      <w:proofErr w:type="spellStart"/>
      <w:r w:rsidRPr="00AA0B7D">
        <w:rPr>
          <w:rFonts w:ascii="Book Antiqua" w:hAnsi="Book Antiqua"/>
        </w:rPr>
        <w:t>Kajiwara</w:t>
      </w:r>
      <w:proofErr w:type="spellEnd"/>
      <w:r w:rsidRPr="00AA0B7D">
        <w:rPr>
          <w:rFonts w:ascii="Book Antiqua" w:hAnsi="Book Antiqua"/>
        </w:rPr>
        <w:t xml:space="preserve"> Y, Mochizuki S, Okamoto K, </w:t>
      </w:r>
      <w:proofErr w:type="spellStart"/>
      <w:r w:rsidRPr="00AA0B7D">
        <w:rPr>
          <w:rFonts w:ascii="Book Antiqua" w:hAnsi="Book Antiqua"/>
        </w:rPr>
        <w:t>Hase</w:t>
      </w:r>
      <w:proofErr w:type="spellEnd"/>
      <w:r w:rsidRPr="00AA0B7D">
        <w:rPr>
          <w:rFonts w:ascii="Book Antiqua" w:hAnsi="Book Antiqua"/>
        </w:rPr>
        <w:t xml:space="preserve"> K, Yamamoto J, Ueno H. Differential Survival Benefits of 5-Fluorouracil-Based Adjuvant Chemotherapy for Patients With Microsatellite-Stable Stage III Colorectal Cancer According to the Tumor Budding Status: A Retrospective Analysis. </w:t>
      </w:r>
      <w:r w:rsidRPr="00AA0B7D">
        <w:rPr>
          <w:rFonts w:ascii="Book Antiqua" w:hAnsi="Book Antiqua"/>
          <w:i/>
          <w:iCs/>
        </w:rPr>
        <w:t>Dis Colon Rectum</w:t>
      </w:r>
      <w:r w:rsidRPr="00AA0B7D">
        <w:rPr>
          <w:rFonts w:ascii="Book Antiqua" w:hAnsi="Book Antiqua"/>
        </w:rPr>
        <w:t xml:space="preserve"> 2019; </w:t>
      </w:r>
      <w:r w:rsidRPr="00AA0B7D">
        <w:rPr>
          <w:rFonts w:ascii="Book Antiqua" w:hAnsi="Book Antiqua"/>
          <w:b/>
          <w:bCs/>
        </w:rPr>
        <w:t>62</w:t>
      </w:r>
      <w:r w:rsidRPr="00AA0B7D">
        <w:rPr>
          <w:rFonts w:ascii="Book Antiqua" w:hAnsi="Book Antiqua"/>
        </w:rPr>
        <w:t>: 1316-1325 [PMID: 31567925 DOI: 10.1097/DCR.0000000000001480]</w:t>
      </w:r>
    </w:p>
    <w:p w14:paraId="2B029ABC"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20 </w:t>
      </w:r>
      <w:r w:rsidRPr="00AA0B7D">
        <w:rPr>
          <w:rFonts w:ascii="Book Antiqua" w:hAnsi="Book Antiqua"/>
          <w:b/>
          <w:bCs/>
        </w:rPr>
        <w:t>Graham RP</w:t>
      </w:r>
      <w:r w:rsidRPr="00AA0B7D">
        <w:rPr>
          <w:rFonts w:ascii="Book Antiqua" w:hAnsi="Book Antiqua"/>
        </w:rPr>
        <w:t xml:space="preserve">, </w:t>
      </w:r>
      <w:proofErr w:type="spellStart"/>
      <w:r w:rsidRPr="00AA0B7D">
        <w:rPr>
          <w:rFonts w:ascii="Book Antiqua" w:hAnsi="Book Antiqua"/>
        </w:rPr>
        <w:t>Vierkant</w:t>
      </w:r>
      <w:proofErr w:type="spellEnd"/>
      <w:r w:rsidRPr="00AA0B7D">
        <w:rPr>
          <w:rFonts w:ascii="Book Antiqua" w:hAnsi="Book Antiqua"/>
        </w:rPr>
        <w:t xml:space="preserve"> RA, Tillmans LS, Wang AH, Laird PW, </w:t>
      </w:r>
      <w:proofErr w:type="spellStart"/>
      <w:r w:rsidRPr="00AA0B7D">
        <w:rPr>
          <w:rFonts w:ascii="Book Antiqua" w:hAnsi="Book Antiqua"/>
        </w:rPr>
        <w:t>Weisenberger</w:t>
      </w:r>
      <w:proofErr w:type="spellEnd"/>
      <w:r w:rsidRPr="00AA0B7D">
        <w:rPr>
          <w:rFonts w:ascii="Book Antiqua" w:hAnsi="Book Antiqua"/>
        </w:rPr>
        <w:t xml:space="preserve"> DJ, Lynch CF, French AJ, </w:t>
      </w:r>
      <w:proofErr w:type="spellStart"/>
      <w:r w:rsidRPr="00AA0B7D">
        <w:rPr>
          <w:rFonts w:ascii="Book Antiqua" w:hAnsi="Book Antiqua"/>
        </w:rPr>
        <w:t>Slager</w:t>
      </w:r>
      <w:proofErr w:type="spellEnd"/>
      <w:r w:rsidRPr="00AA0B7D">
        <w:rPr>
          <w:rFonts w:ascii="Book Antiqua" w:hAnsi="Book Antiqua"/>
        </w:rPr>
        <w:t xml:space="preserve"> SL, </w:t>
      </w:r>
      <w:proofErr w:type="spellStart"/>
      <w:r w:rsidRPr="00AA0B7D">
        <w:rPr>
          <w:rFonts w:ascii="Book Antiqua" w:hAnsi="Book Antiqua"/>
        </w:rPr>
        <w:t>Raissian</w:t>
      </w:r>
      <w:proofErr w:type="spellEnd"/>
      <w:r w:rsidRPr="00AA0B7D">
        <w:rPr>
          <w:rFonts w:ascii="Book Antiqua" w:hAnsi="Book Antiqua"/>
        </w:rPr>
        <w:t xml:space="preserve"> Y, Garcia JJ, Kerr SE, Lee HE, Thibodeau SN, </w:t>
      </w:r>
      <w:proofErr w:type="spellStart"/>
      <w:r w:rsidRPr="00AA0B7D">
        <w:rPr>
          <w:rFonts w:ascii="Book Antiqua" w:hAnsi="Book Antiqua"/>
        </w:rPr>
        <w:t>Cerhan</w:t>
      </w:r>
      <w:proofErr w:type="spellEnd"/>
      <w:r w:rsidRPr="00AA0B7D">
        <w:rPr>
          <w:rFonts w:ascii="Book Antiqua" w:hAnsi="Book Antiqua"/>
        </w:rPr>
        <w:t xml:space="preserve"> </w:t>
      </w:r>
      <w:r w:rsidRPr="00AA0B7D">
        <w:rPr>
          <w:rFonts w:ascii="Book Antiqua" w:hAnsi="Book Antiqua"/>
        </w:rPr>
        <w:lastRenderedPageBreak/>
        <w:t xml:space="preserve">JR, Limburg PJ, </w:t>
      </w:r>
      <w:proofErr w:type="spellStart"/>
      <w:r w:rsidRPr="00AA0B7D">
        <w:rPr>
          <w:rFonts w:ascii="Book Antiqua" w:hAnsi="Book Antiqua"/>
        </w:rPr>
        <w:t>Smyrk</w:t>
      </w:r>
      <w:proofErr w:type="spellEnd"/>
      <w:r w:rsidRPr="00AA0B7D">
        <w:rPr>
          <w:rFonts w:ascii="Book Antiqua" w:hAnsi="Book Antiqua"/>
        </w:rPr>
        <w:t xml:space="preserve"> TC. Tumor Budding in Colorectal Carcinoma: Confirmation of Prognostic Significance and Histologic Cutoff in a Population-based Cohort. </w:t>
      </w:r>
      <w:r w:rsidRPr="00AA0B7D">
        <w:rPr>
          <w:rFonts w:ascii="Book Antiqua" w:hAnsi="Book Antiqua"/>
          <w:i/>
          <w:iCs/>
        </w:rPr>
        <w:t xml:space="preserve">Am J Surg </w:t>
      </w:r>
      <w:proofErr w:type="spellStart"/>
      <w:r w:rsidRPr="00AA0B7D">
        <w:rPr>
          <w:rFonts w:ascii="Book Antiqua" w:hAnsi="Book Antiqua"/>
          <w:i/>
          <w:iCs/>
        </w:rPr>
        <w:t>Pathol</w:t>
      </w:r>
      <w:proofErr w:type="spellEnd"/>
      <w:r w:rsidRPr="00AA0B7D">
        <w:rPr>
          <w:rFonts w:ascii="Book Antiqua" w:hAnsi="Book Antiqua"/>
        </w:rPr>
        <w:t xml:space="preserve"> 2015; </w:t>
      </w:r>
      <w:r w:rsidRPr="00AA0B7D">
        <w:rPr>
          <w:rFonts w:ascii="Book Antiqua" w:hAnsi="Book Antiqua"/>
          <w:b/>
          <w:bCs/>
        </w:rPr>
        <w:t>39</w:t>
      </w:r>
      <w:r w:rsidRPr="00AA0B7D">
        <w:rPr>
          <w:rFonts w:ascii="Book Antiqua" w:hAnsi="Book Antiqua"/>
        </w:rPr>
        <w:t>: 1340-1346 [PMID: 26200097 DOI: 10.1097/PAS.0000000000000504]</w:t>
      </w:r>
    </w:p>
    <w:p w14:paraId="1DF6D885"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21 </w:t>
      </w:r>
      <w:r w:rsidRPr="00AA0B7D">
        <w:rPr>
          <w:rFonts w:ascii="Book Antiqua" w:hAnsi="Book Antiqua"/>
          <w:b/>
          <w:bCs/>
        </w:rPr>
        <w:t>Nearchou IP</w:t>
      </w:r>
      <w:r w:rsidRPr="00AA0B7D">
        <w:rPr>
          <w:rFonts w:ascii="Book Antiqua" w:hAnsi="Book Antiqua"/>
        </w:rPr>
        <w:t xml:space="preserve">, Lillard K, </w:t>
      </w:r>
      <w:proofErr w:type="spellStart"/>
      <w:r w:rsidRPr="00AA0B7D">
        <w:rPr>
          <w:rFonts w:ascii="Book Antiqua" w:hAnsi="Book Antiqua"/>
        </w:rPr>
        <w:t>Gavriel</w:t>
      </w:r>
      <w:proofErr w:type="spellEnd"/>
      <w:r w:rsidRPr="00AA0B7D">
        <w:rPr>
          <w:rFonts w:ascii="Book Antiqua" w:hAnsi="Book Antiqua"/>
        </w:rPr>
        <w:t xml:space="preserve"> CG, Ueno H, Harrison DJ, </w:t>
      </w:r>
      <w:proofErr w:type="spellStart"/>
      <w:r w:rsidRPr="00AA0B7D">
        <w:rPr>
          <w:rFonts w:ascii="Book Antiqua" w:hAnsi="Book Antiqua"/>
        </w:rPr>
        <w:t>Caie</w:t>
      </w:r>
      <w:proofErr w:type="spellEnd"/>
      <w:r w:rsidRPr="00AA0B7D">
        <w:rPr>
          <w:rFonts w:ascii="Book Antiqua" w:hAnsi="Book Antiqua"/>
        </w:rPr>
        <w:t xml:space="preserve"> PD. Automated Analysis of Lymphocytic Infiltration, Tumor Budding, and Their Spatial Relationship Improves Prognostic Accuracy in Colorectal Cancer. </w:t>
      </w:r>
      <w:r w:rsidRPr="00AA0B7D">
        <w:rPr>
          <w:rFonts w:ascii="Book Antiqua" w:hAnsi="Book Antiqua"/>
          <w:i/>
          <w:iCs/>
        </w:rPr>
        <w:t>Cancer Immunol Res</w:t>
      </w:r>
      <w:r w:rsidRPr="00AA0B7D">
        <w:rPr>
          <w:rFonts w:ascii="Book Antiqua" w:hAnsi="Book Antiqua"/>
        </w:rPr>
        <w:t xml:space="preserve"> 2019; </w:t>
      </w:r>
      <w:r w:rsidRPr="00AA0B7D">
        <w:rPr>
          <w:rFonts w:ascii="Book Antiqua" w:hAnsi="Book Antiqua"/>
          <w:b/>
          <w:bCs/>
        </w:rPr>
        <w:t>7</w:t>
      </w:r>
      <w:r w:rsidRPr="00AA0B7D">
        <w:rPr>
          <w:rFonts w:ascii="Book Antiqua" w:hAnsi="Book Antiqua"/>
        </w:rPr>
        <w:t>: 609-620 [PMID: 30846441 DOI: 10.1158/2326-6066.CIR-18-0377]</w:t>
      </w:r>
    </w:p>
    <w:p w14:paraId="21DD1EF7"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22 </w:t>
      </w:r>
      <w:proofErr w:type="spellStart"/>
      <w:r w:rsidRPr="00AA0B7D">
        <w:rPr>
          <w:rFonts w:ascii="Book Antiqua" w:hAnsi="Book Antiqua"/>
          <w:b/>
          <w:bCs/>
        </w:rPr>
        <w:t>Derynck</w:t>
      </w:r>
      <w:proofErr w:type="spellEnd"/>
      <w:r w:rsidRPr="00AA0B7D">
        <w:rPr>
          <w:rFonts w:ascii="Book Antiqua" w:hAnsi="Book Antiqua"/>
          <w:b/>
          <w:bCs/>
        </w:rPr>
        <w:t xml:space="preserve"> R</w:t>
      </w:r>
      <w:r w:rsidRPr="00AA0B7D">
        <w:rPr>
          <w:rFonts w:ascii="Book Antiqua" w:hAnsi="Book Antiqua"/>
        </w:rPr>
        <w:t xml:space="preserve">, Weinberg RA. EMT and Cancer: More Than Meets the Eye. </w:t>
      </w:r>
      <w:r w:rsidRPr="00AA0B7D">
        <w:rPr>
          <w:rFonts w:ascii="Book Antiqua" w:hAnsi="Book Antiqua"/>
          <w:i/>
          <w:iCs/>
        </w:rPr>
        <w:t>Dev Cell</w:t>
      </w:r>
      <w:r w:rsidRPr="00AA0B7D">
        <w:rPr>
          <w:rFonts w:ascii="Book Antiqua" w:hAnsi="Book Antiqua"/>
        </w:rPr>
        <w:t xml:space="preserve"> 2019; </w:t>
      </w:r>
      <w:r w:rsidRPr="00AA0B7D">
        <w:rPr>
          <w:rFonts w:ascii="Book Antiqua" w:hAnsi="Book Antiqua"/>
          <w:b/>
          <w:bCs/>
        </w:rPr>
        <w:t>49</w:t>
      </w:r>
      <w:r w:rsidRPr="00AA0B7D">
        <w:rPr>
          <w:rFonts w:ascii="Book Antiqua" w:hAnsi="Book Antiqua"/>
        </w:rPr>
        <w:t>: 313-316 [PMID: 31063750 DOI: 10.1016/j.devcel.2019.04.026]</w:t>
      </w:r>
    </w:p>
    <w:p w14:paraId="3AF9A97F"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23 </w:t>
      </w:r>
      <w:proofErr w:type="spellStart"/>
      <w:r w:rsidRPr="00AA0B7D">
        <w:rPr>
          <w:rFonts w:ascii="Book Antiqua" w:hAnsi="Book Antiqua"/>
          <w:b/>
          <w:bCs/>
        </w:rPr>
        <w:t>Klymkowsky</w:t>
      </w:r>
      <w:proofErr w:type="spellEnd"/>
      <w:r w:rsidRPr="00AA0B7D">
        <w:rPr>
          <w:rFonts w:ascii="Book Antiqua" w:hAnsi="Book Antiqua"/>
          <w:b/>
          <w:bCs/>
        </w:rPr>
        <w:t xml:space="preserve"> MW</w:t>
      </w:r>
      <w:r w:rsidRPr="00AA0B7D">
        <w:rPr>
          <w:rFonts w:ascii="Book Antiqua" w:hAnsi="Book Antiqua"/>
        </w:rPr>
        <w:t xml:space="preserve">, </w:t>
      </w:r>
      <w:proofErr w:type="spellStart"/>
      <w:r w:rsidRPr="00AA0B7D">
        <w:rPr>
          <w:rFonts w:ascii="Book Antiqua" w:hAnsi="Book Antiqua"/>
        </w:rPr>
        <w:t>Savagner</w:t>
      </w:r>
      <w:proofErr w:type="spellEnd"/>
      <w:r w:rsidRPr="00AA0B7D">
        <w:rPr>
          <w:rFonts w:ascii="Book Antiqua" w:hAnsi="Book Antiqua"/>
        </w:rPr>
        <w:t xml:space="preserve"> P. Epithelial-mesenchymal transition: a cancer researcher's conceptual friend and foe. </w:t>
      </w:r>
      <w:r w:rsidRPr="00AA0B7D">
        <w:rPr>
          <w:rFonts w:ascii="Book Antiqua" w:hAnsi="Book Antiqua"/>
          <w:i/>
          <w:iCs/>
        </w:rPr>
        <w:t xml:space="preserve">Am J </w:t>
      </w:r>
      <w:proofErr w:type="spellStart"/>
      <w:r w:rsidRPr="00AA0B7D">
        <w:rPr>
          <w:rFonts w:ascii="Book Antiqua" w:hAnsi="Book Antiqua"/>
          <w:i/>
          <w:iCs/>
        </w:rPr>
        <w:t>Pathol</w:t>
      </w:r>
      <w:proofErr w:type="spellEnd"/>
      <w:r w:rsidRPr="00AA0B7D">
        <w:rPr>
          <w:rFonts w:ascii="Book Antiqua" w:hAnsi="Book Antiqua"/>
        </w:rPr>
        <w:t xml:space="preserve"> 2009; </w:t>
      </w:r>
      <w:r w:rsidRPr="00AA0B7D">
        <w:rPr>
          <w:rFonts w:ascii="Book Antiqua" w:hAnsi="Book Antiqua"/>
          <w:b/>
          <w:bCs/>
        </w:rPr>
        <w:t>174</w:t>
      </w:r>
      <w:r w:rsidRPr="00AA0B7D">
        <w:rPr>
          <w:rFonts w:ascii="Book Antiqua" w:hAnsi="Book Antiqua"/>
        </w:rPr>
        <w:t>: 1588-1593 [PMID: 19342369 DOI: 10.2353/ajpath.2009.080545]</w:t>
      </w:r>
    </w:p>
    <w:p w14:paraId="16E836B8"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24 </w:t>
      </w:r>
      <w:r w:rsidRPr="00AA0B7D">
        <w:rPr>
          <w:rFonts w:ascii="Book Antiqua" w:hAnsi="Book Antiqua"/>
          <w:b/>
          <w:bCs/>
        </w:rPr>
        <w:t>Yilmaz M</w:t>
      </w:r>
      <w:r w:rsidRPr="00AA0B7D">
        <w:rPr>
          <w:rFonts w:ascii="Book Antiqua" w:hAnsi="Book Antiqua"/>
        </w:rPr>
        <w:t xml:space="preserve">, </w:t>
      </w:r>
      <w:proofErr w:type="spellStart"/>
      <w:r w:rsidRPr="00AA0B7D">
        <w:rPr>
          <w:rFonts w:ascii="Book Antiqua" w:hAnsi="Book Antiqua"/>
        </w:rPr>
        <w:t>Christofori</w:t>
      </w:r>
      <w:proofErr w:type="spellEnd"/>
      <w:r w:rsidRPr="00AA0B7D">
        <w:rPr>
          <w:rFonts w:ascii="Book Antiqua" w:hAnsi="Book Antiqua"/>
        </w:rPr>
        <w:t xml:space="preserve"> G. EMT, the cytoskeleton, and cancer cell invasion. </w:t>
      </w:r>
      <w:r w:rsidRPr="00AA0B7D">
        <w:rPr>
          <w:rFonts w:ascii="Book Antiqua" w:hAnsi="Book Antiqua"/>
          <w:i/>
          <w:iCs/>
        </w:rPr>
        <w:t>Cancer Metastasis Rev</w:t>
      </w:r>
      <w:r w:rsidRPr="00AA0B7D">
        <w:rPr>
          <w:rFonts w:ascii="Book Antiqua" w:hAnsi="Book Antiqua"/>
        </w:rPr>
        <w:t xml:space="preserve"> 2009; </w:t>
      </w:r>
      <w:r w:rsidRPr="00AA0B7D">
        <w:rPr>
          <w:rFonts w:ascii="Book Antiqua" w:hAnsi="Book Antiqua"/>
          <w:b/>
          <w:bCs/>
        </w:rPr>
        <w:t>28</w:t>
      </w:r>
      <w:r w:rsidRPr="00AA0B7D">
        <w:rPr>
          <w:rFonts w:ascii="Book Antiqua" w:hAnsi="Book Antiqua"/>
        </w:rPr>
        <w:t>: 15-33 [PMID: 19169796 DOI: 10.1007/s10555-008-9169-0]</w:t>
      </w:r>
    </w:p>
    <w:p w14:paraId="6587F28E"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25 </w:t>
      </w:r>
      <w:proofErr w:type="spellStart"/>
      <w:r w:rsidRPr="00AA0B7D">
        <w:rPr>
          <w:rFonts w:ascii="Book Antiqua" w:hAnsi="Book Antiqua"/>
          <w:b/>
          <w:bCs/>
        </w:rPr>
        <w:t>Polyak</w:t>
      </w:r>
      <w:proofErr w:type="spellEnd"/>
      <w:r w:rsidRPr="00AA0B7D">
        <w:rPr>
          <w:rFonts w:ascii="Book Antiqua" w:hAnsi="Book Antiqua"/>
          <w:b/>
          <w:bCs/>
        </w:rPr>
        <w:t xml:space="preserve"> K</w:t>
      </w:r>
      <w:r w:rsidRPr="00AA0B7D">
        <w:rPr>
          <w:rFonts w:ascii="Book Antiqua" w:hAnsi="Book Antiqua"/>
        </w:rPr>
        <w:t xml:space="preserve">, Weinberg RA. Transitions between epithelial and mesenchymal states: acquisition of malignant and stem cell traits. </w:t>
      </w:r>
      <w:r w:rsidRPr="00AA0B7D">
        <w:rPr>
          <w:rFonts w:ascii="Book Antiqua" w:hAnsi="Book Antiqua"/>
          <w:i/>
          <w:iCs/>
        </w:rPr>
        <w:t>Nat Rev Cancer</w:t>
      </w:r>
      <w:r w:rsidRPr="00AA0B7D">
        <w:rPr>
          <w:rFonts w:ascii="Book Antiqua" w:hAnsi="Book Antiqua"/>
        </w:rPr>
        <w:t xml:space="preserve"> 2009; </w:t>
      </w:r>
      <w:r w:rsidRPr="00AA0B7D">
        <w:rPr>
          <w:rFonts w:ascii="Book Antiqua" w:hAnsi="Book Antiqua"/>
          <w:b/>
          <w:bCs/>
        </w:rPr>
        <w:t>9</w:t>
      </w:r>
      <w:r w:rsidRPr="00AA0B7D">
        <w:rPr>
          <w:rFonts w:ascii="Book Antiqua" w:hAnsi="Book Antiqua"/>
        </w:rPr>
        <w:t>: 265-273 [PMID: 19262571 DOI: 10.1038/nrc2620]</w:t>
      </w:r>
    </w:p>
    <w:p w14:paraId="2B7116E4" w14:textId="77777777" w:rsidR="00042CD6" w:rsidRPr="00AA0B7D" w:rsidRDefault="00042CD6" w:rsidP="00042CD6">
      <w:pPr>
        <w:adjustRightInd w:val="0"/>
        <w:snapToGrid w:val="0"/>
        <w:spacing w:line="360" w:lineRule="auto"/>
        <w:jc w:val="both"/>
        <w:rPr>
          <w:rFonts w:ascii="Book Antiqua" w:hAnsi="Book Antiqua"/>
          <w:lang w:val="de-AT"/>
        </w:rPr>
      </w:pPr>
      <w:r w:rsidRPr="00AA0B7D">
        <w:rPr>
          <w:rFonts w:ascii="Book Antiqua" w:hAnsi="Book Antiqua"/>
        </w:rPr>
        <w:t xml:space="preserve">26 </w:t>
      </w:r>
      <w:proofErr w:type="spellStart"/>
      <w:r w:rsidRPr="00AA0B7D">
        <w:rPr>
          <w:rFonts w:ascii="Book Antiqua" w:hAnsi="Book Antiqua"/>
          <w:b/>
          <w:bCs/>
        </w:rPr>
        <w:t>Zlobec</w:t>
      </w:r>
      <w:proofErr w:type="spellEnd"/>
      <w:r w:rsidRPr="00AA0B7D">
        <w:rPr>
          <w:rFonts w:ascii="Book Antiqua" w:hAnsi="Book Antiqua"/>
          <w:b/>
          <w:bCs/>
        </w:rPr>
        <w:t xml:space="preserve"> I</w:t>
      </w:r>
      <w:r w:rsidRPr="00AA0B7D">
        <w:rPr>
          <w:rFonts w:ascii="Book Antiqua" w:hAnsi="Book Antiqua"/>
        </w:rPr>
        <w:t xml:space="preserve">, </w:t>
      </w:r>
      <w:proofErr w:type="spellStart"/>
      <w:r w:rsidRPr="00AA0B7D">
        <w:rPr>
          <w:rFonts w:ascii="Book Antiqua" w:hAnsi="Book Antiqua"/>
        </w:rPr>
        <w:t>Lugli</w:t>
      </w:r>
      <w:proofErr w:type="spellEnd"/>
      <w:r w:rsidRPr="00AA0B7D">
        <w:rPr>
          <w:rFonts w:ascii="Book Antiqua" w:hAnsi="Book Antiqua"/>
        </w:rPr>
        <w:t xml:space="preserve"> A, Baker K, Roth S, </w:t>
      </w:r>
      <w:proofErr w:type="spellStart"/>
      <w:r w:rsidRPr="00AA0B7D">
        <w:rPr>
          <w:rFonts w:ascii="Book Antiqua" w:hAnsi="Book Antiqua"/>
        </w:rPr>
        <w:t>Minoo</w:t>
      </w:r>
      <w:proofErr w:type="spellEnd"/>
      <w:r w:rsidRPr="00AA0B7D">
        <w:rPr>
          <w:rFonts w:ascii="Book Antiqua" w:hAnsi="Book Antiqua"/>
        </w:rPr>
        <w:t xml:space="preserve"> P, Hayashi S, </w:t>
      </w:r>
      <w:proofErr w:type="spellStart"/>
      <w:r w:rsidRPr="00AA0B7D">
        <w:rPr>
          <w:rFonts w:ascii="Book Antiqua" w:hAnsi="Book Antiqua"/>
        </w:rPr>
        <w:t>Terracciano</w:t>
      </w:r>
      <w:proofErr w:type="spellEnd"/>
      <w:r w:rsidRPr="00AA0B7D">
        <w:rPr>
          <w:rFonts w:ascii="Book Antiqua" w:hAnsi="Book Antiqua"/>
        </w:rPr>
        <w:t xml:space="preserve"> L, </w:t>
      </w:r>
      <w:proofErr w:type="spellStart"/>
      <w:r w:rsidRPr="00AA0B7D">
        <w:rPr>
          <w:rFonts w:ascii="Book Antiqua" w:hAnsi="Book Antiqua"/>
        </w:rPr>
        <w:t>Jass</w:t>
      </w:r>
      <w:proofErr w:type="spellEnd"/>
      <w:r w:rsidRPr="00AA0B7D">
        <w:rPr>
          <w:rFonts w:ascii="Book Antiqua" w:hAnsi="Book Antiqua"/>
        </w:rPr>
        <w:t xml:space="preserve"> JR. Role of APAF-1, E-cadherin and peritumoral lymphocytic infiltration in </w:t>
      </w:r>
      <w:proofErr w:type="spellStart"/>
      <w:r w:rsidRPr="00AA0B7D">
        <w:rPr>
          <w:rFonts w:ascii="Book Antiqua" w:hAnsi="Book Antiqua"/>
        </w:rPr>
        <w:t>tumour</w:t>
      </w:r>
      <w:proofErr w:type="spellEnd"/>
      <w:r w:rsidRPr="00AA0B7D">
        <w:rPr>
          <w:rFonts w:ascii="Book Antiqua" w:hAnsi="Book Antiqua"/>
        </w:rPr>
        <w:t xml:space="preserve"> budding in colorectal cancer. </w:t>
      </w:r>
      <w:r w:rsidRPr="00AA0B7D">
        <w:rPr>
          <w:rFonts w:ascii="Book Antiqua" w:hAnsi="Book Antiqua"/>
          <w:i/>
          <w:iCs/>
          <w:lang w:val="de-AT"/>
        </w:rPr>
        <w:t xml:space="preserve">J </w:t>
      </w:r>
      <w:proofErr w:type="spellStart"/>
      <w:r w:rsidRPr="00AA0B7D">
        <w:rPr>
          <w:rFonts w:ascii="Book Antiqua" w:hAnsi="Book Antiqua"/>
          <w:i/>
          <w:iCs/>
          <w:lang w:val="de-AT"/>
        </w:rPr>
        <w:t>Pathol</w:t>
      </w:r>
      <w:proofErr w:type="spellEnd"/>
      <w:r w:rsidRPr="00AA0B7D">
        <w:rPr>
          <w:rFonts w:ascii="Book Antiqua" w:hAnsi="Book Antiqua"/>
          <w:lang w:val="de-AT"/>
        </w:rPr>
        <w:t xml:space="preserve"> 2007; </w:t>
      </w:r>
      <w:r w:rsidRPr="00AA0B7D">
        <w:rPr>
          <w:rFonts w:ascii="Book Antiqua" w:hAnsi="Book Antiqua"/>
          <w:b/>
          <w:bCs/>
          <w:lang w:val="de-AT"/>
        </w:rPr>
        <w:t>212</w:t>
      </w:r>
      <w:r w:rsidRPr="00AA0B7D">
        <w:rPr>
          <w:rFonts w:ascii="Book Antiqua" w:hAnsi="Book Antiqua"/>
          <w:lang w:val="de-AT"/>
        </w:rPr>
        <w:t>: 260-268 [PMID: 17516584 DOI: 10.1002/path.2164]</w:t>
      </w:r>
    </w:p>
    <w:p w14:paraId="2C87F27C"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lang w:val="de-AT"/>
        </w:rPr>
        <w:t xml:space="preserve">27 </w:t>
      </w:r>
      <w:r w:rsidRPr="00AA0B7D">
        <w:rPr>
          <w:rFonts w:ascii="Book Antiqua" w:hAnsi="Book Antiqua"/>
          <w:b/>
          <w:bCs/>
          <w:lang w:val="de-AT"/>
        </w:rPr>
        <w:t>Kohler I</w:t>
      </w:r>
      <w:r w:rsidRPr="00AA0B7D">
        <w:rPr>
          <w:rFonts w:ascii="Book Antiqua" w:hAnsi="Book Antiqua"/>
          <w:lang w:val="de-AT"/>
        </w:rPr>
        <w:t xml:space="preserve">, </w:t>
      </w:r>
      <w:proofErr w:type="spellStart"/>
      <w:r w:rsidRPr="00AA0B7D">
        <w:rPr>
          <w:rFonts w:ascii="Book Antiqua" w:hAnsi="Book Antiqua"/>
          <w:lang w:val="de-AT"/>
        </w:rPr>
        <w:t>Bronsert</w:t>
      </w:r>
      <w:proofErr w:type="spellEnd"/>
      <w:r w:rsidRPr="00AA0B7D">
        <w:rPr>
          <w:rFonts w:ascii="Book Antiqua" w:hAnsi="Book Antiqua"/>
          <w:lang w:val="de-AT"/>
        </w:rPr>
        <w:t xml:space="preserve"> P, </w:t>
      </w:r>
      <w:proofErr w:type="spellStart"/>
      <w:r w:rsidRPr="00AA0B7D">
        <w:rPr>
          <w:rFonts w:ascii="Book Antiqua" w:hAnsi="Book Antiqua"/>
          <w:lang w:val="de-AT"/>
        </w:rPr>
        <w:t>Timme</w:t>
      </w:r>
      <w:proofErr w:type="spellEnd"/>
      <w:r w:rsidRPr="00AA0B7D">
        <w:rPr>
          <w:rFonts w:ascii="Book Antiqua" w:hAnsi="Book Antiqua"/>
          <w:lang w:val="de-AT"/>
        </w:rPr>
        <w:t xml:space="preserve"> S, Werner M, </w:t>
      </w:r>
      <w:proofErr w:type="spellStart"/>
      <w:r w:rsidRPr="00AA0B7D">
        <w:rPr>
          <w:rFonts w:ascii="Book Antiqua" w:hAnsi="Book Antiqua"/>
          <w:lang w:val="de-AT"/>
        </w:rPr>
        <w:t>Brabletz</w:t>
      </w:r>
      <w:proofErr w:type="spellEnd"/>
      <w:r w:rsidRPr="00AA0B7D">
        <w:rPr>
          <w:rFonts w:ascii="Book Antiqua" w:hAnsi="Book Antiqua"/>
          <w:lang w:val="de-AT"/>
        </w:rPr>
        <w:t xml:space="preserve"> T, Hopt UT, Schilling O, Bausch D, Keck T, Wellner UF. </w:t>
      </w:r>
      <w:r w:rsidRPr="00AA0B7D">
        <w:rPr>
          <w:rFonts w:ascii="Book Antiqua" w:hAnsi="Book Antiqua"/>
        </w:rPr>
        <w:t xml:space="preserve">Detailed analysis of epithelial-mesenchymal transition and tumor budding identifies predictors of long-term survival in pancreatic ductal adenocarcinoma. </w:t>
      </w:r>
      <w:r w:rsidRPr="00AA0B7D">
        <w:rPr>
          <w:rFonts w:ascii="Book Antiqua" w:hAnsi="Book Antiqua"/>
          <w:i/>
          <w:iCs/>
        </w:rPr>
        <w:t>J Gastroenterol Hepatol</w:t>
      </w:r>
      <w:r w:rsidRPr="00AA0B7D">
        <w:rPr>
          <w:rFonts w:ascii="Book Antiqua" w:hAnsi="Book Antiqua"/>
        </w:rPr>
        <w:t xml:space="preserve"> 2015; </w:t>
      </w:r>
      <w:r w:rsidRPr="00AA0B7D">
        <w:rPr>
          <w:rFonts w:ascii="Book Antiqua" w:hAnsi="Book Antiqua"/>
          <w:b/>
          <w:bCs/>
        </w:rPr>
        <w:t>30</w:t>
      </w:r>
      <w:r w:rsidRPr="00AA0B7D">
        <w:rPr>
          <w:rFonts w:ascii="Book Antiqua" w:hAnsi="Book Antiqua"/>
        </w:rPr>
        <w:t>: 78-84 [PMID: 25827809 DOI: 10.1111/jgh.12752]</w:t>
      </w:r>
    </w:p>
    <w:p w14:paraId="766E47B9"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28 </w:t>
      </w:r>
      <w:r w:rsidRPr="00AA0B7D">
        <w:rPr>
          <w:rFonts w:ascii="Book Antiqua" w:hAnsi="Book Antiqua"/>
          <w:b/>
          <w:bCs/>
        </w:rPr>
        <w:t>Jensen DH</w:t>
      </w:r>
      <w:r w:rsidRPr="00AA0B7D">
        <w:rPr>
          <w:rFonts w:ascii="Book Antiqua" w:hAnsi="Book Antiqua"/>
        </w:rPr>
        <w:t xml:space="preserve">, </w:t>
      </w:r>
      <w:proofErr w:type="spellStart"/>
      <w:r w:rsidRPr="00AA0B7D">
        <w:rPr>
          <w:rFonts w:ascii="Book Antiqua" w:hAnsi="Book Antiqua"/>
        </w:rPr>
        <w:t>Dabelsteen</w:t>
      </w:r>
      <w:proofErr w:type="spellEnd"/>
      <w:r w:rsidRPr="00AA0B7D">
        <w:rPr>
          <w:rFonts w:ascii="Book Antiqua" w:hAnsi="Book Antiqua"/>
        </w:rPr>
        <w:t xml:space="preserve"> E, Specht L, </w:t>
      </w:r>
      <w:proofErr w:type="spellStart"/>
      <w:r w:rsidRPr="00AA0B7D">
        <w:rPr>
          <w:rFonts w:ascii="Book Antiqua" w:hAnsi="Book Antiqua"/>
        </w:rPr>
        <w:t>Fiehn</w:t>
      </w:r>
      <w:proofErr w:type="spellEnd"/>
      <w:r w:rsidRPr="00AA0B7D">
        <w:rPr>
          <w:rFonts w:ascii="Book Antiqua" w:hAnsi="Book Antiqua"/>
        </w:rPr>
        <w:t xml:space="preserve"> AM, </w:t>
      </w:r>
      <w:proofErr w:type="spellStart"/>
      <w:r w:rsidRPr="00AA0B7D">
        <w:rPr>
          <w:rFonts w:ascii="Book Antiqua" w:hAnsi="Book Antiqua"/>
        </w:rPr>
        <w:t>Therkildsen</w:t>
      </w:r>
      <w:proofErr w:type="spellEnd"/>
      <w:r w:rsidRPr="00AA0B7D">
        <w:rPr>
          <w:rFonts w:ascii="Book Antiqua" w:hAnsi="Book Antiqua"/>
        </w:rPr>
        <w:t xml:space="preserve"> MH, </w:t>
      </w:r>
      <w:proofErr w:type="spellStart"/>
      <w:r w:rsidRPr="00AA0B7D">
        <w:rPr>
          <w:rFonts w:ascii="Book Antiqua" w:hAnsi="Book Antiqua"/>
        </w:rPr>
        <w:t>Jønson</w:t>
      </w:r>
      <w:proofErr w:type="spellEnd"/>
      <w:r w:rsidRPr="00AA0B7D">
        <w:rPr>
          <w:rFonts w:ascii="Book Antiqua" w:hAnsi="Book Antiqua"/>
        </w:rPr>
        <w:t xml:space="preserve"> L, </w:t>
      </w:r>
      <w:proofErr w:type="spellStart"/>
      <w:r w:rsidRPr="00AA0B7D">
        <w:rPr>
          <w:rFonts w:ascii="Book Antiqua" w:hAnsi="Book Antiqua"/>
        </w:rPr>
        <w:t>Vikesaa</w:t>
      </w:r>
      <w:proofErr w:type="spellEnd"/>
      <w:r w:rsidRPr="00AA0B7D">
        <w:rPr>
          <w:rFonts w:ascii="Book Antiqua" w:hAnsi="Book Antiqua"/>
        </w:rPr>
        <w:t xml:space="preserve"> J, Nielsen FC, von Buchwald C. Molecular profiling of </w:t>
      </w:r>
      <w:proofErr w:type="spellStart"/>
      <w:r w:rsidRPr="00AA0B7D">
        <w:rPr>
          <w:rFonts w:ascii="Book Antiqua" w:hAnsi="Book Antiqua"/>
        </w:rPr>
        <w:t>tumour</w:t>
      </w:r>
      <w:proofErr w:type="spellEnd"/>
      <w:r w:rsidRPr="00AA0B7D">
        <w:rPr>
          <w:rFonts w:ascii="Book Antiqua" w:hAnsi="Book Antiqua"/>
        </w:rPr>
        <w:t xml:space="preserve"> budding implicates TGFβ-mediated epithelial-mesenchymal transition as a therapeutic target in oral squamous cell carcinoma. </w:t>
      </w:r>
      <w:r w:rsidRPr="00AA0B7D">
        <w:rPr>
          <w:rFonts w:ascii="Book Antiqua" w:hAnsi="Book Antiqua"/>
          <w:i/>
          <w:iCs/>
        </w:rPr>
        <w:t xml:space="preserve">J </w:t>
      </w:r>
      <w:proofErr w:type="spellStart"/>
      <w:r w:rsidRPr="00AA0B7D">
        <w:rPr>
          <w:rFonts w:ascii="Book Antiqua" w:hAnsi="Book Antiqua"/>
          <w:i/>
          <w:iCs/>
        </w:rPr>
        <w:t>Pathol</w:t>
      </w:r>
      <w:proofErr w:type="spellEnd"/>
      <w:r w:rsidRPr="00AA0B7D">
        <w:rPr>
          <w:rFonts w:ascii="Book Antiqua" w:hAnsi="Book Antiqua"/>
        </w:rPr>
        <w:t xml:space="preserve"> 2015; </w:t>
      </w:r>
      <w:r w:rsidRPr="00AA0B7D">
        <w:rPr>
          <w:rFonts w:ascii="Book Antiqua" w:hAnsi="Book Antiqua"/>
          <w:b/>
          <w:bCs/>
        </w:rPr>
        <w:t>236</w:t>
      </w:r>
      <w:r w:rsidRPr="00AA0B7D">
        <w:rPr>
          <w:rFonts w:ascii="Book Antiqua" w:hAnsi="Book Antiqua"/>
        </w:rPr>
        <w:t>: 505-516 [PMID: 25925492 DOI: 10.1002/path.4550]</w:t>
      </w:r>
    </w:p>
    <w:p w14:paraId="7FC28BC0"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lastRenderedPageBreak/>
        <w:t xml:space="preserve">29 </w:t>
      </w:r>
      <w:proofErr w:type="spellStart"/>
      <w:r w:rsidRPr="00AA0B7D">
        <w:rPr>
          <w:rFonts w:ascii="Book Antiqua" w:hAnsi="Book Antiqua"/>
          <w:b/>
          <w:bCs/>
        </w:rPr>
        <w:t>Attramadal</w:t>
      </w:r>
      <w:proofErr w:type="spellEnd"/>
      <w:r w:rsidRPr="00AA0B7D">
        <w:rPr>
          <w:rFonts w:ascii="Book Antiqua" w:hAnsi="Book Antiqua"/>
          <w:b/>
          <w:bCs/>
        </w:rPr>
        <w:t xml:space="preserve"> CG</w:t>
      </w:r>
      <w:r w:rsidRPr="00AA0B7D">
        <w:rPr>
          <w:rFonts w:ascii="Book Antiqua" w:hAnsi="Book Antiqua"/>
        </w:rPr>
        <w:t xml:space="preserve">, Kumar S, Boysen ME, </w:t>
      </w:r>
      <w:proofErr w:type="spellStart"/>
      <w:r w:rsidRPr="00AA0B7D">
        <w:rPr>
          <w:rFonts w:ascii="Book Antiqua" w:hAnsi="Book Antiqua"/>
        </w:rPr>
        <w:t>Dhakal</w:t>
      </w:r>
      <w:proofErr w:type="spellEnd"/>
      <w:r w:rsidRPr="00AA0B7D">
        <w:rPr>
          <w:rFonts w:ascii="Book Antiqua" w:hAnsi="Book Antiqua"/>
        </w:rPr>
        <w:t xml:space="preserve"> HP, </w:t>
      </w:r>
      <w:proofErr w:type="spellStart"/>
      <w:r w:rsidRPr="00AA0B7D">
        <w:rPr>
          <w:rFonts w:ascii="Book Antiqua" w:hAnsi="Book Antiqua"/>
        </w:rPr>
        <w:t>Nesland</w:t>
      </w:r>
      <w:proofErr w:type="spellEnd"/>
      <w:r w:rsidRPr="00AA0B7D">
        <w:rPr>
          <w:rFonts w:ascii="Book Antiqua" w:hAnsi="Book Antiqua"/>
        </w:rPr>
        <w:t xml:space="preserve"> JM, </w:t>
      </w:r>
      <w:proofErr w:type="spellStart"/>
      <w:r w:rsidRPr="00AA0B7D">
        <w:rPr>
          <w:rFonts w:ascii="Book Antiqua" w:hAnsi="Book Antiqua"/>
        </w:rPr>
        <w:t>Bryne</w:t>
      </w:r>
      <w:proofErr w:type="spellEnd"/>
      <w:r w:rsidRPr="00AA0B7D">
        <w:rPr>
          <w:rFonts w:ascii="Book Antiqua" w:hAnsi="Book Antiqua"/>
        </w:rPr>
        <w:t xml:space="preserve"> M. Tumor Budding, EMT and Cancer Stem Cells in T1-2/N0 Oral Squamous Cell Carcinomas. </w:t>
      </w:r>
      <w:r w:rsidRPr="00AA0B7D">
        <w:rPr>
          <w:rFonts w:ascii="Book Antiqua" w:hAnsi="Book Antiqua"/>
          <w:i/>
          <w:iCs/>
        </w:rPr>
        <w:t>Anticancer Res</w:t>
      </w:r>
      <w:r w:rsidRPr="00AA0B7D">
        <w:rPr>
          <w:rFonts w:ascii="Book Antiqua" w:hAnsi="Book Antiqua"/>
        </w:rPr>
        <w:t xml:space="preserve"> 2015; </w:t>
      </w:r>
      <w:r w:rsidRPr="00AA0B7D">
        <w:rPr>
          <w:rFonts w:ascii="Book Antiqua" w:hAnsi="Book Antiqua"/>
          <w:b/>
          <w:bCs/>
        </w:rPr>
        <w:t>35</w:t>
      </w:r>
      <w:r w:rsidRPr="00AA0B7D">
        <w:rPr>
          <w:rFonts w:ascii="Book Antiqua" w:hAnsi="Book Antiqua"/>
        </w:rPr>
        <w:t>: 6111-6120 [PMID: 26504037]</w:t>
      </w:r>
    </w:p>
    <w:p w14:paraId="65783537"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30 </w:t>
      </w:r>
      <w:r w:rsidRPr="00AA0B7D">
        <w:rPr>
          <w:rFonts w:ascii="Book Antiqua" w:hAnsi="Book Antiqua"/>
          <w:b/>
          <w:bCs/>
        </w:rPr>
        <w:t>Lee SJ</w:t>
      </w:r>
      <w:r w:rsidRPr="00AA0B7D">
        <w:rPr>
          <w:rFonts w:ascii="Book Antiqua" w:hAnsi="Book Antiqua"/>
        </w:rPr>
        <w:t xml:space="preserve">, Choi SY, Kim WJ, Ji M, Lee TG, Son BR, Yoon SM, Sung R, Lee EJ, </w:t>
      </w:r>
      <w:proofErr w:type="spellStart"/>
      <w:r w:rsidRPr="00AA0B7D">
        <w:rPr>
          <w:rFonts w:ascii="Book Antiqua" w:hAnsi="Book Antiqua"/>
        </w:rPr>
        <w:t>Youn</w:t>
      </w:r>
      <w:proofErr w:type="spellEnd"/>
      <w:r w:rsidRPr="00AA0B7D">
        <w:rPr>
          <w:rFonts w:ascii="Book Antiqua" w:hAnsi="Book Antiqua"/>
        </w:rPr>
        <w:t xml:space="preserve"> SJ, Park SM. Combined aberrant expression of E-cadherin and S100A4, but not β-catenin is associated with disease-free survival and overall survival in colorectal cancer patients. </w:t>
      </w:r>
      <w:proofErr w:type="spellStart"/>
      <w:r w:rsidRPr="00AA0B7D">
        <w:rPr>
          <w:rFonts w:ascii="Book Antiqua" w:hAnsi="Book Antiqua"/>
          <w:i/>
          <w:iCs/>
        </w:rPr>
        <w:t>Diagn</w:t>
      </w:r>
      <w:proofErr w:type="spellEnd"/>
      <w:r w:rsidRPr="00AA0B7D">
        <w:rPr>
          <w:rFonts w:ascii="Book Antiqua" w:hAnsi="Book Antiqua"/>
          <w:i/>
          <w:iCs/>
        </w:rPr>
        <w:t xml:space="preserve"> </w:t>
      </w:r>
      <w:proofErr w:type="spellStart"/>
      <w:r w:rsidRPr="00AA0B7D">
        <w:rPr>
          <w:rFonts w:ascii="Book Antiqua" w:hAnsi="Book Antiqua"/>
          <w:i/>
          <w:iCs/>
        </w:rPr>
        <w:t>Pathol</w:t>
      </w:r>
      <w:proofErr w:type="spellEnd"/>
      <w:r w:rsidRPr="00AA0B7D">
        <w:rPr>
          <w:rFonts w:ascii="Book Antiqua" w:hAnsi="Book Antiqua"/>
        </w:rPr>
        <w:t xml:space="preserve"> 2013; </w:t>
      </w:r>
      <w:r w:rsidRPr="00AA0B7D">
        <w:rPr>
          <w:rFonts w:ascii="Book Antiqua" w:hAnsi="Book Antiqua"/>
          <w:b/>
          <w:bCs/>
        </w:rPr>
        <w:t>8</w:t>
      </w:r>
      <w:r w:rsidRPr="00AA0B7D">
        <w:rPr>
          <w:rFonts w:ascii="Book Antiqua" w:hAnsi="Book Antiqua"/>
        </w:rPr>
        <w:t>: 99 [PMID: 23783026 DOI: 10.1186/1746-1596-8-99]</w:t>
      </w:r>
    </w:p>
    <w:p w14:paraId="4F9E718C"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31 </w:t>
      </w:r>
      <w:r w:rsidRPr="00AA0B7D">
        <w:rPr>
          <w:rFonts w:ascii="Book Antiqua" w:hAnsi="Book Antiqua"/>
          <w:b/>
          <w:bCs/>
        </w:rPr>
        <w:t>Nakagawa Y</w:t>
      </w:r>
      <w:r w:rsidRPr="00AA0B7D">
        <w:rPr>
          <w:rFonts w:ascii="Book Antiqua" w:hAnsi="Book Antiqua"/>
        </w:rPr>
        <w:t xml:space="preserve">, </w:t>
      </w:r>
      <w:proofErr w:type="spellStart"/>
      <w:r w:rsidRPr="00AA0B7D">
        <w:rPr>
          <w:rFonts w:ascii="Book Antiqua" w:hAnsi="Book Antiqua"/>
        </w:rPr>
        <w:t>Ohira</w:t>
      </w:r>
      <w:proofErr w:type="spellEnd"/>
      <w:r w:rsidRPr="00AA0B7D">
        <w:rPr>
          <w:rFonts w:ascii="Book Antiqua" w:hAnsi="Book Antiqua"/>
        </w:rPr>
        <w:t xml:space="preserve"> M, Kubo N, Yamashita Y, Sakurai K, Toyokawa T, Tanaka H, </w:t>
      </w:r>
      <w:proofErr w:type="spellStart"/>
      <w:r w:rsidRPr="00AA0B7D">
        <w:rPr>
          <w:rFonts w:ascii="Book Antiqua" w:hAnsi="Book Antiqua"/>
        </w:rPr>
        <w:t>Muguruma</w:t>
      </w:r>
      <w:proofErr w:type="spellEnd"/>
      <w:r w:rsidRPr="00AA0B7D">
        <w:rPr>
          <w:rFonts w:ascii="Book Antiqua" w:hAnsi="Book Antiqua"/>
        </w:rPr>
        <w:t xml:space="preserve"> K, Shibutani M, </w:t>
      </w:r>
      <w:proofErr w:type="spellStart"/>
      <w:r w:rsidRPr="00AA0B7D">
        <w:rPr>
          <w:rFonts w:ascii="Book Antiqua" w:hAnsi="Book Antiqua"/>
        </w:rPr>
        <w:t>Yamazoe</w:t>
      </w:r>
      <w:proofErr w:type="spellEnd"/>
      <w:r w:rsidRPr="00AA0B7D">
        <w:rPr>
          <w:rFonts w:ascii="Book Antiqua" w:hAnsi="Book Antiqua"/>
        </w:rPr>
        <w:t xml:space="preserve"> S, Kimura K, Nagahara H, Amano R, </w:t>
      </w:r>
      <w:proofErr w:type="spellStart"/>
      <w:r w:rsidRPr="00AA0B7D">
        <w:rPr>
          <w:rFonts w:ascii="Book Antiqua" w:hAnsi="Book Antiqua"/>
        </w:rPr>
        <w:t>Ohtani</w:t>
      </w:r>
      <w:proofErr w:type="spellEnd"/>
      <w:r w:rsidRPr="00AA0B7D">
        <w:rPr>
          <w:rFonts w:ascii="Book Antiqua" w:hAnsi="Book Antiqua"/>
        </w:rPr>
        <w:t xml:space="preserve"> H, Yashiro M, Maeda K, </w:t>
      </w:r>
      <w:proofErr w:type="spellStart"/>
      <w:r w:rsidRPr="00AA0B7D">
        <w:rPr>
          <w:rFonts w:ascii="Book Antiqua" w:hAnsi="Book Antiqua"/>
        </w:rPr>
        <w:t>Hirakawa</w:t>
      </w:r>
      <w:proofErr w:type="spellEnd"/>
      <w:r w:rsidRPr="00AA0B7D">
        <w:rPr>
          <w:rFonts w:ascii="Book Antiqua" w:hAnsi="Book Antiqua"/>
        </w:rPr>
        <w:t xml:space="preserve"> K. Tumor budding and E-cadherin expression are useful predictors of nodal involvement in T1 esophageal squamous cell carcinoma. </w:t>
      </w:r>
      <w:r w:rsidRPr="00AA0B7D">
        <w:rPr>
          <w:rFonts w:ascii="Book Antiqua" w:hAnsi="Book Antiqua"/>
          <w:i/>
          <w:iCs/>
        </w:rPr>
        <w:t>Anticancer Res</w:t>
      </w:r>
      <w:r w:rsidRPr="00AA0B7D">
        <w:rPr>
          <w:rFonts w:ascii="Book Antiqua" w:hAnsi="Book Antiqua"/>
        </w:rPr>
        <w:t xml:space="preserve"> 2013; </w:t>
      </w:r>
      <w:r w:rsidRPr="00AA0B7D">
        <w:rPr>
          <w:rFonts w:ascii="Book Antiqua" w:hAnsi="Book Antiqua"/>
          <w:b/>
          <w:bCs/>
        </w:rPr>
        <w:t>33</w:t>
      </w:r>
      <w:r w:rsidRPr="00AA0B7D">
        <w:rPr>
          <w:rFonts w:ascii="Book Antiqua" w:hAnsi="Book Antiqua"/>
        </w:rPr>
        <w:t>: 5023-5029 [PMID: 24222146]</w:t>
      </w:r>
    </w:p>
    <w:p w14:paraId="0C76D749"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32 </w:t>
      </w:r>
      <w:r w:rsidRPr="00AA0B7D">
        <w:rPr>
          <w:rFonts w:ascii="Book Antiqua" w:hAnsi="Book Antiqua"/>
          <w:b/>
          <w:bCs/>
        </w:rPr>
        <w:t>Katayama M</w:t>
      </w:r>
      <w:r w:rsidRPr="00AA0B7D">
        <w:rPr>
          <w:rFonts w:ascii="Book Antiqua" w:hAnsi="Book Antiqua"/>
        </w:rPr>
        <w:t xml:space="preserve">, Sekiguchi K. Laminin-5 in epithelial </w:t>
      </w:r>
      <w:proofErr w:type="spellStart"/>
      <w:r w:rsidRPr="00AA0B7D">
        <w:rPr>
          <w:rFonts w:ascii="Book Antiqua" w:hAnsi="Book Antiqua"/>
        </w:rPr>
        <w:t>tumour</w:t>
      </w:r>
      <w:proofErr w:type="spellEnd"/>
      <w:r w:rsidRPr="00AA0B7D">
        <w:rPr>
          <w:rFonts w:ascii="Book Antiqua" w:hAnsi="Book Antiqua"/>
        </w:rPr>
        <w:t xml:space="preserve"> invasion. </w:t>
      </w:r>
      <w:r w:rsidRPr="00AA0B7D">
        <w:rPr>
          <w:rFonts w:ascii="Book Antiqua" w:hAnsi="Book Antiqua"/>
          <w:i/>
          <w:iCs/>
        </w:rPr>
        <w:t xml:space="preserve">J Mol </w:t>
      </w:r>
      <w:proofErr w:type="spellStart"/>
      <w:r w:rsidRPr="00AA0B7D">
        <w:rPr>
          <w:rFonts w:ascii="Book Antiqua" w:hAnsi="Book Antiqua"/>
          <w:i/>
          <w:iCs/>
        </w:rPr>
        <w:t>Histol</w:t>
      </w:r>
      <w:proofErr w:type="spellEnd"/>
      <w:r w:rsidRPr="00AA0B7D">
        <w:rPr>
          <w:rFonts w:ascii="Book Antiqua" w:hAnsi="Book Antiqua"/>
        </w:rPr>
        <w:t xml:space="preserve"> 2004; </w:t>
      </w:r>
      <w:r w:rsidRPr="00AA0B7D">
        <w:rPr>
          <w:rFonts w:ascii="Book Antiqua" w:hAnsi="Book Antiqua"/>
          <w:b/>
          <w:bCs/>
        </w:rPr>
        <w:t>35</w:t>
      </w:r>
      <w:r w:rsidRPr="00AA0B7D">
        <w:rPr>
          <w:rFonts w:ascii="Book Antiqua" w:hAnsi="Book Antiqua"/>
        </w:rPr>
        <w:t>: 277-286 [PMID: 15339047 DOI: 10.1023/b:hijo.0000032359.35698.fe]</w:t>
      </w:r>
    </w:p>
    <w:p w14:paraId="462DD3AD"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33 </w:t>
      </w:r>
      <w:r w:rsidRPr="00AA0B7D">
        <w:rPr>
          <w:rFonts w:ascii="Book Antiqua" w:hAnsi="Book Antiqua"/>
          <w:b/>
          <w:bCs/>
        </w:rPr>
        <w:t>Zhou B</w:t>
      </w:r>
      <w:r w:rsidRPr="00AA0B7D">
        <w:rPr>
          <w:rFonts w:ascii="Book Antiqua" w:hAnsi="Book Antiqua"/>
        </w:rPr>
        <w:t xml:space="preserve">, </w:t>
      </w:r>
      <w:proofErr w:type="spellStart"/>
      <w:r w:rsidRPr="00AA0B7D">
        <w:rPr>
          <w:rFonts w:ascii="Book Antiqua" w:hAnsi="Book Antiqua"/>
        </w:rPr>
        <w:t>Zong</w:t>
      </w:r>
      <w:proofErr w:type="spellEnd"/>
      <w:r w:rsidRPr="00AA0B7D">
        <w:rPr>
          <w:rFonts w:ascii="Book Antiqua" w:hAnsi="Book Antiqua"/>
        </w:rPr>
        <w:t xml:space="preserve"> S, Zhong W, Tian Y, Wang L, Zhang Q, Zhang R, Li L, Wang W, Zhao J, Chen X, Feng Y, </w:t>
      </w:r>
      <w:proofErr w:type="spellStart"/>
      <w:r w:rsidRPr="00AA0B7D">
        <w:rPr>
          <w:rFonts w:ascii="Book Antiqua" w:hAnsi="Book Antiqua"/>
        </w:rPr>
        <w:t>Zhai</w:t>
      </w:r>
      <w:proofErr w:type="spellEnd"/>
      <w:r w:rsidRPr="00AA0B7D">
        <w:rPr>
          <w:rFonts w:ascii="Book Antiqua" w:hAnsi="Book Antiqua"/>
        </w:rPr>
        <w:t xml:space="preserve"> B, Sun T, Liu Y. Interaction between laminin-5γ2 and integrin β1 promotes the tumor budding of colorectal cancer via the activation of Yes-associated proteins. </w:t>
      </w:r>
      <w:r w:rsidRPr="00AA0B7D">
        <w:rPr>
          <w:rFonts w:ascii="Book Antiqua" w:hAnsi="Book Antiqua"/>
          <w:i/>
          <w:iCs/>
        </w:rPr>
        <w:t>Oncogene</w:t>
      </w:r>
      <w:r w:rsidRPr="00AA0B7D">
        <w:rPr>
          <w:rFonts w:ascii="Book Antiqua" w:hAnsi="Book Antiqua"/>
        </w:rPr>
        <w:t xml:space="preserve"> 2020; </w:t>
      </w:r>
      <w:r w:rsidRPr="00AA0B7D">
        <w:rPr>
          <w:rFonts w:ascii="Book Antiqua" w:hAnsi="Book Antiqua"/>
          <w:b/>
          <w:bCs/>
        </w:rPr>
        <w:t>39</w:t>
      </w:r>
      <w:r w:rsidRPr="00AA0B7D">
        <w:rPr>
          <w:rFonts w:ascii="Book Antiqua" w:hAnsi="Book Antiqua"/>
        </w:rPr>
        <w:t>: 1527-1542 [PMID: 31676872 DOI: 10.1038/s41388-019-1082-1]</w:t>
      </w:r>
    </w:p>
    <w:p w14:paraId="671E6A9D" w14:textId="77777777" w:rsidR="00042CD6" w:rsidRPr="00AA0B7D" w:rsidRDefault="00042CD6" w:rsidP="00042CD6">
      <w:pPr>
        <w:adjustRightInd w:val="0"/>
        <w:snapToGrid w:val="0"/>
        <w:spacing w:line="360" w:lineRule="auto"/>
        <w:jc w:val="both"/>
        <w:rPr>
          <w:rFonts w:ascii="Book Antiqua" w:hAnsi="Book Antiqua"/>
        </w:rPr>
      </w:pPr>
      <w:r w:rsidRPr="00AA0B7D">
        <w:rPr>
          <w:rFonts w:ascii="Book Antiqua" w:hAnsi="Book Antiqua"/>
        </w:rPr>
        <w:t xml:space="preserve">34 </w:t>
      </w:r>
      <w:r w:rsidRPr="00AA0B7D">
        <w:rPr>
          <w:rFonts w:ascii="Book Antiqua" w:hAnsi="Book Antiqua"/>
          <w:b/>
          <w:bCs/>
        </w:rPr>
        <w:t>Koelzer VH</w:t>
      </w:r>
      <w:r w:rsidRPr="00AA0B7D">
        <w:rPr>
          <w:rFonts w:ascii="Book Antiqua" w:hAnsi="Book Antiqua"/>
        </w:rPr>
        <w:t xml:space="preserve">, Herrmann P, </w:t>
      </w:r>
      <w:proofErr w:type="spellStart"/>
      <w:r w:rsidRPr="00AA0B7D">
        <w:rPr>
          <w:rFonts w:ascii="Book Antiqua" w:hAnsi="Book Antiqua"/>
        </w:rPr>
        <w:t>Zlobec</w:t>
      </w:r>
      <w:proofErr w:type="spellEnd"/>
      <w:r w:rsidRPr="00AA0B7D">
        <w:rPr>
          <w:rFonts w:ascii="Book Antiqua" w:hAnsi="Book Antiqua"/>
        </w:rPr>
        <w:t xml:space="preserve"> I, </w:t>
      </w:r>
      <w:proofErr w:type="spellStart"/>
      <w:r w:rsidRPr="00AA0B7D">
        <w:rPr>
          <w:rFonts w:ascii="Book Antiqua" w:hAnsi="Book Antiqua"/>
        </w:rPr>
        <w:t>Karamitopoulou</w:t>
      </w:r>
      <w:proofErr w:type="spellEnd"/>
      <w:r w:rsidRPr="00AA0B7D">
        <w:rPr>
          <w:rFonts w:ascii="Book Antiqua" w:hAnsi="Book Antiqua"/>
        </w:rPr>
        <w:t xml:space="preserve"> E, </w:t>
      </w:r>
      <w:proofErr w:type="spellStart"/>
      <w:r w:rsidRPr="00AA0B7D">
        <w:rPr>
          <w:rFonts w:ascii="Book Antiqua" w:hAnsi="Book Antiqua"/>
        </w:rPr>
        <w:t>Lugli</w:t>
      </w:r>
      <w:proofErr w:type="spellEnd"/>
      <w:r w:rsidRPr="00AA0B7D">
        <w:rPr>
          <w:rFonts w:ascii="Book Antiqua" w:hAnsi="Book Antiqua"/>
        </w:rPr>
        <w:t xml:space="preserve"> A, Stein U. Heterogeneity analysis of Metastasis Associated in Colon Cancer 1 (MACC1) for survival prognosis of colorectal cancer patients: a retrospective cohort study. </w:t>
      </w:r>
      <w:r w:rsidRPr="00AA0B7D">
        <w:rPr>
          <w:rFonts w:ascii="Book Antiqua" w:hAnsi="Book Antiqua"/>
          <w:i/>
          <w:iCs/>
        </w:rPr>
        <w:t>BMC Cancer</w:t>
      </w:r>
      <w:r w:rsidRPr="00AA0B7D">
        <w:rPr>
          <w:rFonts w:ascii="Book Antiqua" w:hAnsi="Book Antiqua"/>
        </w:rPr>
        <w:t xml:space="preserve"> 2015; </w:t>
      </w:r>
      <w:r w:rsidRPr="00AA0B7D">
        <w:rPr>
          <w:rFonts w:ascii="Book Antiqua" w:hAnsi="Book Antiqua"/>
          <w:b/>
          <w:bCs/>
        </w:rPr>
        <w:t>15</w:t>
      </w:r>
      <w:r w:rsidRPr="00AA0B7D">
        <w:rPr>
          <w:rFonts w:ascii="Book Antiqua" w:hAnsi="Book Antiqua"/>
        </w:rPr>
        <w:t>: 160 [PMID: 25884643 DOI: 10.1186/s12885-015-1150-z]</w:t>
      </w:r>
    </w:p>
    <w:bookmarkEnd w:id="55"/>
    <w:bookmarkEnd w:id="56"/>
    <w:p w14:paraId="32FA84F4" w14:textId="77777777" w:rsidR="00A77B3E" w:rsidRPr="00AA0B7D" w:rsidRDefault="00A77B3E" w:rsidP="00300CC9">
      <w:pPr>
        <w:spacing w:line="360" w:lineRule="auto"/>
        <w:jc w:val="both"/>
        <w:rPr>
          <w:rFonts w:ascii="Book Antiqua" w:hAnsi="Book Antiqua"/>
        </w:rPr>
        <w:sectPr w:rsidR="00A77B3E" w:rsidRPr="00AA0B7D">
          <w:pgSz w:w="12240" w:h="15840"/>
          <w:pgMar w:top="1440" w:right="1440" w:bottom="1440" w:left="1440" w:header="720" w:footer="720" w:gutter="0"/>
          <w:cols w:space="720"/>
          <w:docGrid w:linePitch="360"/>
        </w:sectPr>
      </w:pPr>
    </w:p>
    <w:p w14:paraId="4FCB4441"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lastRenderedPageBreak/>
        <w:t>Footnotes</w:t>
      </w:r>
    </w:p>
    <w:p w14:paraId="4406539F" w14:textId="5192DD8E"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Institutional review board statement: </w:t>
      </w:r>
      <w:r w:rsidRPr="00AA0B7D">
        <w:rPr>
          <w:rFonts w:ascii="Book Antiqua" w:eastAsia="Book Antiqua" w:hAnsi="Book Antiqua" w:cs="Book Antiqua"/>
        </w:rPr>
        <w:t>This study was approved by the review committee of the affiliated institution of Tongji Medical College of Huazhong University of Science and Technology (2018-S377).</w:t>
      </w:r>
    </w:p>
    <w:p w14:paraId="41C2C4B7" w14:textId="77777777" w:rsidR="00A77B3E" w:rsidRPr="00AA0B7D" w:rsidRDefault="00A77B3E" w:rsidP="00300CC9">
      <w:pPr>
        <w:spacing w:line="360" w:lineRule="auto"/>
        <w:jc w:val="both"/>
        <w:rPr>
          <w:rFonts w:ascii="Book Antiqua" w:hAnsi="Book Antiqua"/>
        </w:rPr>
      </w:pPr>
    </w:p>
    <w:p w14:paraId="68018508"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Informed consent statement: </w:t>
      </w:r>
      <w:r w:rsidRPr="00AA0B7D">
        <w:rPr>
          <w:rFonts w:ascii="Book Antiqua" w:eastAsia="Book Antiqua" w:hAnsi="Book Antiqua" w:cs="Book Antiqua"/>
          <w:color w:val="000000"/>
        </w:rPr>
        <w:t>Consent was obtained from all patients participating in the study.</w:t>
      </w:r>
    </w:p>
    <w:p w14:paraId="1D597AF8" w14:textId="77777777" w:rsidR="00A77B3E" w:rsidRPr="00AA0B7D" w:rsidRDefault="00A77B3E" w:rsidP="00300CC9">
      <w:pPr>
        <w:spacing w:line="360" w:lineRule="auto"/>
        <w:jc w:val="both"/>
        <w:rPr>
          <w:rFonts w:ascii="Book Antiqua" w:hAnsi="Book Antiqua"/>
        </w:rPr>
      </w:pPr>
    </w:p>
    <w:p w14:paraId="0CCF47A0" w14:textId="4974888B"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Conflict-of-interest statement: </w:t>
      </w:r>
      <w:r w:rsidR="00420CEB">
        <w:rPr>
          <w:rFonts w:ascii="Book Antiqua" w:eastAsia="Book Antiqua" w:hAnsi="Book Antiqua" w:cs="Book Antiqua"/>
        </w:rPr>
        <w:t>T</w:t>
      </w:r>
      <w:r w:rsidRPr="00AA0B7D">
        <w:rPr>
          <w:rFonts w:ascii="Book Antiqua" w:eastAsia="Book Antiqua" w:hAnsi="Book Antiqua" w:cs="Book Antiqua"/>
        </w:rPr>
        <w:t xml:space="preserve">he authors </w:t>
      </w:r>
      <w:r w:rsidR="00420CEB">
        <w:rPr>
          <w:rFonts w:ascii="Book Antiqua" w:eastAsia="Book Antiqua" w:hAnsi="Book Antiqua" w:cs="Book Antiqua"/>
        </w:rPr>
        <w:t>have</w:t>
      </w:r>
      <w:r w:rsidR="00420CEB" w:rsidRPr="00AA0B7D">
        <w:rPr>
          <w:rFonts w:ascii="Book Antiqua" w:eastAsia="Book Antiqua" w:hAnsi="Book Antiqua" w:cs="Book Antiqua"/>
        </w:rPr>
        <w:t xml:space="preserve"> </w:t>
      </w:r>
      <w:r w:rsidRPr="00AA0B7D">
        <w:rPr>
          <w:rFonts w:ascii="Book Antiqua" w:eastAsia="Book Antiqua" w:hAnsi="Book Antiqua" w:cs="Book Antiqua"/>
        </w:rPr>
        <w:t xml:space="preserve">no conflicts of interest </w:t>
      </w:r>
      <w:r w:rsidR="00420CEB">
        <w:rPr>
          <w:rFonts w:ascii="Book Antiqua" w:eastAsia="Book Antiqua" w:hAnsi="Book Antiqua" w:cs="Book Antiqua"/>
        </w:rPr>
        <w:t>to declare</w:t>
      </w:r>
      <w:r w:rsidRPr="00AA0B7D">
        <w:rPr>
          <w:rFonts w:ascii="Book Antiqua" w:eastAsia="Book Antiqua" w:hAnsi="Book Antiqua" w:cs="Book Antiqua"/>
        </w:rPr>
        <w:t>.</w:t>
      </w:r>
    </w:p>
    <w:p w14:paraId="06FB7C33" w14:textId="77777777" w:rsidR="00A77B3E" w:rsidRPr="00AA0B7D" w:rsidRDefault="00A77B3E" w:rsidP="00300CC9">
      <w:pPr>
        <w:spacing w:line="360" w:lineRule="auto"/>
        <w:jc w:val="both"/>
        <w:rPr>
          <w:rFonts w:ascii="Book Antiqua" w:hAnsi="Book Antiqua"/>
        </w:rPr>
      </w:pPr>
    </w:p>
    <w:p w14:paraId="78D87768"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Data sharing statement: </w:t>
      </w:r>
      <w:r w:rsidRPr="00AA0B7D">
        <w:rPr>
          <w:rFonts w:ascii="Book Antiqua" w:eastAsia="Book Antiqua" w:hAnsi="Book Antiqua" w:cs="Book Antiqua"/>
        </w:rPr>
        <w:t>No additional data are available.</w:t>
      </w:r>
    </w:p>
    <w:p w14:paraId="2369CA8B" w14:textId="77777777" w:rsidR="00A77B3E" w:rsidRPr="00AA0B7D" w:rsidRDefault="00A77B3E" w:rsidP="00300CC9">
      <w:pPr>
        <w:spacing w:line="360" w:lineRule="auto"/>
        <w:jc w:val="both"/>
        <w:rPr>
          <w:rFonts w:ascii="Book Antiqua" w:hAnsi="Book Antiqua"/>
        </w:rPr>
      </w:pPr>
    </w:p>
    <w:p w14:paraId="2C8BF06B"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rPr>
        <w:t xml:space="preserve">Open-Access: </w:t>
      </w:r>
      <w:r w:rsidRPr="00AA0B7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92FC03" w14:textId="77777777" w:rsidR="00A77B3E" w:rsidRPr="00AA0B7D" w:rsidRDefault="00A77B3E" w:rsidP="00300CC9">
      <w:pPr>
        <w:spacing w:line="360" w:lineRule="auto"/>
        <w:jc w:val="both"/>
        <w:rPr>
          <w:rFonts w:ascii="Book Antiqua" w:hAnsi="Book Antiqua"/>
        </w:rPr>
      </w:pPr>
    </w:p>
    <w:p w14:paraId="644364DF" w14:textId="16A7216D" w:rsidR="002B25E7" w:rsidRPr="00AA0B7D" w:rsidRDefault="00000000" w:rsidP="00300CC9">
      <w:pPr>
        <w:spacing w:line="360" w:lineRule="auto"/>
        <w:jc w:val="both"/>
        <w:rPr>
          <w:rFonts w:ascii="Book Antiqua" w:eastAsia="Book Antiqua" w:hAnsi="Book Antiqua" w:cs="Book Antiqua"/>
          <w:b/>
          <w:color w:val="000000"/>
        </w:rPr>
      </w:pPr>
      <w:r w:rsidRPr="00AA0B7D">
        <w:rPr>
          <w:rFonts w:ascii="Book Antiqua" w:eastAsia="Book Antiqua" w:hAnsi="Book Antiqua" w:cs="Book Antiqua"/>
          <w:b/>
          <w:color w:val="000000"/>
        </w:rPr>
        <w:t xml:space="preserve">Provenance and peer review: </w:t>
      </w:r>
      <w:r w:rsidRPr="00AA0B7D">
        <w:rPr>
          <w:rFonts w:ascii="Book Antiqua" w:eastAsia="Book Antiqua" w:hAnsi="Book Antiqua" w:cs="Book Antiqua"/>
        </w:rPr>
        <w:t>Unsolicited article; Externally peer reviewed.</w:t>
      </w:r>
    </w:p>
    <w:p w14:paraId="239146E7" w14:textId="0A4A6CFA"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 xml:space="preserve">Peer-review model: </w:t>
      </w:r>
      <w:r w:rsidRPr="00AA0B7D">
        <w:rPr>
          <w:rFonts w:ascii="Book Antiqua" w:eastAsia="Book Antiqua" w:hAnsi="Book Antiqua" w:cs="Book Antiqua"/>
        </w:rPr>
        <w:t>Single blind</w:t>
      </w:r>
    </w:p>
    <w:p w14:paraId="1759DBB8" w14:textId="77777777" w:rsidR="00A77B3E" w:rsidRPr="00AA0B7D" w:rsidRDefault="00A77B3E" w:rsidP="00300CC9">
      <w:pPr>
        <w:spacing w:line="360" w:lineRule="auto"/>
        <w:jc w:val="both"/>
        <w:rPr>
          <w:rFonts w:ascii="Book Antiqua" w:hAnsi="Book Antiqua"/>
        </w:rPr>
      </w:pPr>
    </w:p>
    <w:p w14:paraId="6D4EE67A"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 xml:space="preserve">Peer-review started: </w:t>
      </w:r>
      <w:r w:rsidRPr="00AA0B7D">
        <w:rPr>
          <w:rFonts w:ascii="Book Antiqua" w:eastAsia="Book Antiqua" w:hAnsi="Book Antiqua" w:cs="Book Antiqua"/>
        </w:rPr>
        <w:t>October 25, 2023</w:t>
      </w:r>
    </w:p>
    <w:p w14:paraId="06ECBED9"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 xml:space="preserve">First decision: </w:t>
      </w:r>
      <w:r w:rsidRPr="00AA0B7D">
        <w:rPr>
          <w:rFonts w:ascii="Book Antiqua" w:eastAsia="Book Antiqua" w:hAnsi="Book Antiqua" w:cs="Book Antiqua"/>
        </w:rPr>
        <w:t>November 12, 2023</w:t>
      </w:r>
    </w:p>
    <w:p w14:paraId="43624D4B"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 xml:space="preserve">Article in press: </w:t>
      </w:r>
    </w:p>
    <w:p w14:paraId="2D3C1482" w14:textId="77777777" w:rsidR="00A77B3E" w:rsidRPr="00AA0B7D" w:rsidRDefault="00A77B3E" w:rsidP="00300CC9">
      <w:pPr>
        <w:spacing w:line="360" w:lineRule="auto"/>
        <w:jc w:val="both"/>
        <w:rPr>
          <w:rFonts w:ascii="Book Antiqua" w:hAnsi="Book Antiqua"/>
        </w:rPr>
      </w:pPr>
    </w:p>
    <w:p w14:paraId="0F2509B7" w14:textId="1AF276CB" w:rsidR="00386C67" w:rsidRPr="00AA0B7D" w:rsidRDefault="00000000" w:rsidP="00300CC9">
      <w:pPr>
        <w:snapToGrid w:val="0"/>
        <w:spacing w:line="360" w:lineRule="auto"/>
        <w:jc w:val="both"/>
        <w:rPr>
          <w:rFonts w:ascii="Book Antiqua" w:eastAsia="Microsoft YaHei" w:hAnsi="Book Antiqua" w:cs="SimSun"/>
        </w:rPr>
      </w:pPr>
      <w:r w:rsidRPr="00AA0B7D">
        <w:rPr>
          <w:rFonts w:ascii="Book Antiqua" w:eastAsia="Book Antiqua" w:hAnsi="Book Antiqua" w:cs="Book Antiqua"/>
          <w:b/>
          <w:color w:val="000000"/>
        </w:rPr>
        <w:t xml:space="preserve">Specialty type: </w:t>
      </w:r>
      <w:r w:rsidR="00386C67" w:rsidRPr="00AA0B7D">
        <w:rPr>
          <w:rFonts w:ascii="Book Antiqua" w:eastAsia="Microsoft YaHei" w:hAnsi="Book Antiqua" w:cs="SimSun"/>
        </w:rPr>
        <w:t>Gastroenterology and hepatology</w:t>
      </w:r>
    </w:p>
    <w:p w14:paraId="0A81D3B3"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 xml:space="preserve">Country/Territory of origin: </w:t>
      </w:r>
      <w:r w:rsidRPr="00AA0B7D">
        <w:rPr>
          <w:rFonts w:ascii="Book Antiqua" w:eastAsia="Book Antiqua" w:hAnsi="Book Antiqua" w:cs="Book Antiqua"/>
        </w:rPr>
        <w:t>China</w:t>
      </w:r>
    </w:p>
    <w:p w14:paraId="31A337FF"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color w:val="000000"/>
        </w:rPr>
        <w:t>Peer-review report’s scientific quality classification</w:t>
      </w:r>
    </w:p>
    <w:p w14:paraId="5DA7ED6E"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Grade A (Excellent): 0</w:t>
      </w:r>
    </w:p>
    <w:p w14:paraId="0E4C6CDB"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lastRenderedPageBreak/>
        <w:t>Grade B (Very good): B</w:t>
      </w:r>
    </w:p>
    <w:p w14:paraId="24F8C382" w14:textId="490BE51E"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Grade C (Good): C</w:t>
      </w:r>
      <w:r w:rsidR="00E16FFD" w:rsidRPr="00AA0B7D">
        <w:rPr>
          <w:rFonts w:ascii="Book Antiqua" w:eastAsia="Book Antiqua" w:hAnsi="Book Antiqua" w:cs="Book Antiqua"/>
        </w:rPr>
        <w:t>, C</w:t>
      </w:r>
    </w:p>
    <w:p w14:paraId="767123AC"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Grade D (Fair): 0</w:t>
      </w:r>
    </w:p>
    <w:p w14:paraId="6D726854" w14:textId="77777777"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rPr>
        <w:t>Grade E (Poor): 0</w:t>
      </w:r>
    </w:p>
    <w:p w14:paraId="59195F9E" w14:textId="77777777" w:rsidR="00A77B3E" w:rsidRPr="00AA0B7D" w:rsidRDefault="00A77B3E" w:rsidP="00300CC9">
      <w:pPr>
        <w:spacing w:line="360" w:lineRule="auto"/>
        <w:jc w:val="both"/>
        <w:rPr>
          <w:rFonts w:ascii="Book Antiqua" w:hAnsi="Book Antiqua"/>
        </w:rPr>
      </w:pPr>
    </w:p>
    <w:p w14:paraId="2E50007A" w14:textId="6A21FADE" w:rsidR="00A77B3E" w:rsidRPr="00AA0B7D" w:rsidRDefault="00000000" w:rsidP="00300CC9">
      <w:pPr>
        <w:spacing w:line="360" w:lineRule="auto"/>
        <w:jc w:val="both"/>
        <w:rPr>
          <w:rFonts w:ascii="Book Antiqua" w:eastAsia="Book Antiqua" w:hAnsi="Book Antiqua" w:cs="Book Antiqua"/>
          <w:b/>
          <w:color w:val="000000"/>
        </w:rPr>
      </w:pPr>
      <w:r w:rsidRPr="00AA0B7D">
        <w:rPr>
          <w:rFonts w:ascii="Book Antiqua" w:eastAsia="Book Antiqua" w:hAnsi="Book Antiqua" w:cs="Book Antiqua"/>
          <w:b/>
          <w:color w:val="000000"/>
        </w:rPr>
        <w:t xml:space="preserve">P-Reviewer: </w:t>
      </w:r>
      <w:r w:rsidRPr="00AA0B7D">
        <w:rPr>
          <w:rFonts w:ascii="Book Antiqua" w:eastAsia="Book Antiqua" w:hAnsi="Book Antiqua" w:cs="Book Antiqua"/>
        </w:rPr>
        <w:t>Jeong KY, South Korea; Lim YC, Brunei Darussalam</w:t>
      </w:r>
      <w:r w:rsidRPr="00AA0B7D">
        <w:rPr>
          <w:rFonts w:ascii="Book Antiqua" w:eastAsia="Book Antiqua" w:hAnsi="Book Antiqua" w:cs="Book Antiqua"/>
          <w:b/>
          <w:color w:val="000000"/>
        </w:rPr>
        <w:t xml:space="preserve"> S-Editor: </w:t>
      </w:r>
      <w:r w:rsidR="0021020B" w:rsidRPr="00AA0B7D">
        <w:rPr>
          <w:rFonts w:ascii="Book Antiqua" w:eastAsia="Book Antiqua" w:hAnsi="Book Antiqua" w:cs="Book Antiqua"/>
          <w:bCs/>
          <w:color w:val="000000"/>
        </w:rPr>
        <w:t>Li L</w:t>
      </w:r>
      <w:r w:rsidRPr="00AA0B7D">
        <w:rPr>
          <w:rFonts w:ascii="Book Antiqua" w:eastAsia="Book Antiqua" w:hAnsi="Book Antiqua" w:cs="Book Antiqua"/>
          <w:b/>
          <w:color w:val="000000"/>
        </w:rPr>
        <w:t xml:space="preserve"> L-Editor: </w:t>
      </w:r>
      <w:r w:rsidR="00276429">
        <w:rPr>
          <w:rFonts w:ascii="Book Antiqua" w:eastAsia="Book Antiqua" w:hAnsi="Book Antiqua" w:cs="Book Antiqua"/>
          <w:bCs/>
          <w:color w:val="000000"/>
        </w:rPr>
        <w:t xml:space="preserve">Filipodia </w:t>
      </w:r>
      <w:r w:rsidRPr="00AA0B7D">
        <w:rPr>
          <w:rFonts w:ascii="Book Antiqua" w:eastAsia="Book Antiqua" w:hAnsi="Book Antiqua" w:cs="Book Antiqua"/>
          <w:b/>
          <w:color w:val="000000"/>
        </w:rPr>
        <w:t xml:space="preserve">P-Editor: </w:t>
      </w:r>
    </w:p>
    <w:p w14:paraId="3D76090A" w14:textId="3B180B83" w:rsidR="00823E3C" w:rsidRPr="00AA0B7D" w:rsidRDefault="00823E3C" w:rsidP="00300CC9">
      <w:pPr>
        <w:spacing w:line="360" w:lineRule="auto"/>
        <w:jc w:val="both"/>
        <w:rPr>
          <w:rFonts w:ascii="Book Antiqua" w:hAnsi="Book Antiqua"/>
        </w:rPr>
        <w:sectPr w:rsidR="00823E3C" w:rsidRPr="00AA0B7D">
          <w:pgSz w:w="12240" w:h="15840"/>
          <w:pgMar w:top="1440" w:right="1440" w:bottom="1440" w:left="1440" w:header="720" w:footer="720" w:gutter="0"/>
          <w:cols w:space="720"/>
          <w:docGrid w:linePitch="360"/>
        </w:sectPr>
      </w:pPr>
    </w:p>
    <w:p w14:paraId="744599E6" w14:textId="77777777" w:rsidR="00A77B3E" w:rsidRPr="00AA0B7D" w:rsidRDefault="00000000" w:rsidP="00300CC9">
      <w:pPr>
        <w:spacing w:line="360" w:lineRule="auto"/>
        <w:jc w:val="both"/>
        <w:rPr>
          <w:rFonts w:ascii="Book Antiqua" w:eastAsia="Book Antiqua" w:hAnsi="Book Antiqua" w:cs="Book Antiqua"/>
          <w:b/>
          <w:color w:val="000000"/>
        </w:rPr>
      </w:pPr>
      <w:r w:rsidRPr="00AA0B7D">
        <w:rPr>
          <w:rFonts w:ascii="Book Antiqua" w:eastAsia="Book Antiqua" w:hAnsi="Book Antiqua" w:cs="Book Antiqua"/>
          <w:b/>
          <w:color w:val="000000"/>
        </w:rPr>
        <w:lastRenderedPageBreak/>
        <w:t>Figure Legends</w:t>
      </w:r>
    </w:p>
    <w:p w14:paraId="10EBFE31" w14:textId="291F16E9" w:rsidR="002C5FC2" w:rsidRPr="00AA0B7D" w:rsidRDefault="008371BD" w:rsidP="00300CC9">
      <w:pPr>
        <w:spacing w:line="360" w:lineRule="auto"/>
        <w:jc w:val="both"/>
        <w:rPr>
          <w:rFonts w:ascii="Book Antiqua" w:hAnsi="Book Antiqua"/>
        </w:rPr>
      </w:pPr>
      <w:r w:rsidRPr="00AA0B7D">
        <w:rPr>
          <w:rFonts w:ascii="Book Antiqua" w:hAnsi="Book Antiqua"/>
          <w:noProof/>
        </w:rPr>
        <w:drawing>
          <wp:inline distT="0" distB="0" distL="0" distR="0" wp14:anchorId="28BEAF9A" wp14:editId="2917745D">
            <wp:extent cx="5943600" cy="4126321"/>
            <wp:effectExtent l="0" t="0" r="0" b="7620"/>
            <wp:docPr id="3338385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38571" name=""/>
                    <pic:cNvPicPr/>
                  </pic:nvPicPr>
                  <pic:blipFill rotWithShape="1">
                    <a:blip r:embed="rId7"/>
                    <a:srcRect t="656"/>
                    <a:stretch/>
                  </pic:blipFill>
                  <pic:spPr bwMode="auto">
                    <a:xfrm>
                      <a:off x="0" y="0"/>
                      <a:ext cx="5943600" cy="4126321"/>
                    </a:xfrm>
                    <a:prstGeom prst="rect">
                      <a:avLst/>
                    </a:prstGeom>
                    <a:ln>
                      <a:noFill/>
                    </a:ln>
                    <a:extLst>
                      <a:ext uri="{53640926-AAD7-44D8-BBD7-CCE9431645EC}">
                        <a14:shadowObscured xmlns:a14="http://schemas.microsoft.com/office/drawing/2010/main"/>
                      </a:ext>
                    </a:extLst>
                  </pic:spPr>
                </pic:pic>
              </a:graphicData>
            </a:graphic>
          </wp:inline>
        </w:drawing>
      </w:r>
    </w:p>
    <w:p w14:paraId="2D2E0185" w14:textId="3D478B0C" w:rsidR="00A77B3E" w:rsidRPr="00AA0B7D" w:rsidRDefault="00000000" w:rsidP="00300CC9">
      <w:pPr>
        <w:spacing w:line="360" w:lineRule="auto"/>
        <w:jc w:val="both"/>
        <w:rPr>
          <w:rFonts w:ascii="Book Antiqua" w:hAnsi="Book Antiqua"/>
        </w:rPr>
      </w:pPr>
      <w:r w:rsidRPr="00AA0B7D">
        <w:rPr>
          <w:rFonts w:ascii="Book Antiqua" w:eastAsia="Book Antiqua" w:hAnsi="Book Antiqua" w:cs="Book Antiqua"/>
          <w:b/>
          <w:bCs/>
          <w:color w:val="000000"/>
        </w:rPr>
        <w:t>Figure 1 Study design and flow diagram.</w:t>
      </w:r>
      <w:r w:rsidR="0063779C" w:rsidRPr="00AA0B7D">
        <w:rPr>
          <w:rFonts w:ascii="Book Antiqua" w:eastAsia="Book Antiqua" w:hAnsi="Book Antiqua" w:cs="Book Antiqua"/>
          <w:b/>
          <w:bCs/>
          <w:color w:val="000000"/>
        </w:rPr>
        <w:t xml:space="preserve"> </w:t>
      </w:r>
      <w:r w:rsidR="0063779C" w:rsidRPr="00AA0B7D">
        <w:rPr>
          <w:rFonts w:ascii="Book Antiqua" w:eastAsia="Book Antiqua" w:hAnsi="Book Antiqua" w:cs="Book Antiqua"/>
          <w:color w:val="000000"/>
        </w:rPr>
        <w:t xml:space="preserve">CRC: </w:t>
      </w:r>
      <w:r w:rsidR="0063779C" w:rsidRPr="00AA0B7D">
        <w:rPr>
          <w:rFonts w:ascii="Book Antiqua" w:eastAsia="Book Antiqua" w:hAnsi="Book Antiqua" w:cs="Book Antiqua"/>
        </w:rPr>
        <w:t>Colorectal cancer.</w:t>
      </w:r>
    </w:p>
    <w:p w14:paraId="58FD139F" w14:textId="6D96EDD0" w:rsidR="00A77B3E" w:rsidRPr="00AA0B7D" w:rsidRDefault="008371BD" w:rsidP="00300CC9">
      <w:pPr>
        <w:spacing w:line="360" w:lineRule="auto"/>
        <w:jc w:val="both"/>
        <w:rPr>
          <w:rFonts w:ascii="Book Antiqua" w:hAnsi="Book Antiqua"/>
        </w:rPr>
      </w:pPr>
      <w:r w:rsidRPr="00AA0B7D">
        <w:rPr>
          <w:rFonts w:ascii="Book Antiqua" w:hAnsi="Book Antiqua"/>
          <w:noProof/>
        </w:rPr>
        <w:lastRenderedPageBreak/>
        <w:drawing>
          <wp:inline distT="0" distB="0" distL="0" distR="0" wp14:anchorId="522E2D89" wp14:editId="5095CD0A">
            <wp:extent cx="4541914" cy="3833192"/>
            <wp:effectExtent l="0" t="0" r="0" b="0"/>
            <wp:docPr id="2050076718"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076718" name="图片 1" descr="图表, 散点图&#10;&#10;描述已自动生成"/>
                    <pic:cNvPicPr/>
                  </pic:nvPicPr>
                  <pic:blipFill>
                    <a:blip r:embed="rId8"/>
                    <a:stretch>
                      <a:fillRect/>
                    </a:stretch>
                  </pic:blipFill>
                  <pic:spPr>
                    <a:xfrm>
                      <a:off x="0" y="0"/>
                      <a:ext cx="4541914" cy="3833192"/>
                    </a:xfrm>
                    <a:prstGeom prst="rect">
                      <a:avLst/>
                    </a:prstGeom>
                  </pic:spPr>
                </pic:pic>
              </a:graphicData>
            </a:graphic>
          </wp:inline>
        </w:drawing>
      </w:r>
    </w:p>
    <w:p w14:paraId="7FE69F76" w14:textId="3376A785" w:rsidR="00A77B3E" w:rsidRPr="00784314" w:rsidRDefault="00000000" w:rsidP="00300CC9">
      <w:pPr>
        <w:spacing w:line="360" w:lineRule="auto"/>
        <w:jc w:val="both"/>
        <w:rPr>
          <w:rFonts w:ascii="Book Antiqua" w:eastAsia="Book Antiqua" w:hAnsi="Book Antiqua" w:cs="Book Antiqua"/>
          <w:color w:val="000000"/>
        </w:rPr>
      </w:pPr>
      <w:r w:rsidRPr="00AA0B7D">
        <w:rPr>
          <w:rFonts w:ascii="Book Antiqua" w:eastAsia="Book Antiqua" w:hAnsi="Book Antiqua" w:cs="Book Antiqua"/>
          <w:b/>
          <w:bCs/>
          <w:color w:val="000000"/>
        </w:rPr>
        <w:t xml:space="preserve">Figure 2 Spearman correlation analysis was used to evaluate the consistency between </w:t>
      </w:r>
      <w:r w:rsidR="00EC2AEA" w:rsidRPr="00AA0B7D">
        <w:rPr>
          <w:rFonts w:ascii="Book Antiqua" w:eastAsia="Book Antiqua" w:hAnsi="Book Antiqua" w:cs="Book Antiqua"/>
          <w:b/>
          <w:bCs/>
          <w:color w:val="000000"/>
        </w:rPr>
        <w:t>tumor budding</w:t>
      </w:r>
      <w:r w:rsidRPr="00AA0B7D">
        <w:rPr>
          <w:rFonts w:ascii="Book Antiqua" w:eastAsia="Book Antiqua" w:hAnsi="Book Antiqua" w:cs="Book Antiqua"/>
          <w:b/>
          <w:bCs/>
          <w:color w:val="000000"/>
        </w:rPr>
        <w:t xml:space="preserve"> categories evaluated by two pathologists</w:t>
      </w:r>
      <w:r w:rsidR="00E644B0">
        <w:rPr>
          <w:rFonts w:ascii="Book Antiqua" w:eastAsia="Book Antiqua" w:hAnsi="Book Antiqua" w:cs="Book Antiqua"/>
          <w:b/>
          <w:bCs/>
          <w:color w:val="000000"/>
        </w:rPr>
        <w:t>.</w:t>
      </w:r>
      <w:r w:rsidRPr="00AA0B7D">
        <w:rPr>
          <w:rFonts w:ascii="Book Antiqua" w:eastAsia="Book Antiqua" w:hAnsi="Book Antiqua" w:cs="Book Antiqua"/>
          <w:b/>
          <w:bCs/>
          <w:color w:val="000000"/>
        </w:rPr>
        <w:t xml:space="preserve"> </w:t>
      </w:r>
      <w:r w:rsidR="00EC2AEA" w:rsidRPr="00784314">
        <w:rPr>
          <w:rFonts w:ascii="Book Antiqua" w:eastAsia="Book Antiqua" w:hAnsi="Book Antiqua" w:cs="Book Antiqua"/>
          <w:i/>
          <w:iCs/>
          <w:color w:val="000000"/>
        </w:rPr>
        <w:t>R</w:t>
      </w:r>
      <w:r w:rsidRPr="00784314">
        <w:rPr>
          <w:rFonts w:ascii="Book Antiqua" w:eastAsia="Book Antiqua" w:hAnsi="Book Antiqua" w:cs="Book Antiqua"/>
          <w:color w:val="000000"/>
        </w:rPr>
        <w:t xml:space="preserve"> = 0.865, </w:t>
      </w:r>
      <w:r w:rsidRPr="00784314">
        <w:rPr>
          <w:rFonts w:ascii="Book Antiqua" w:eastAsia="Book Antiqua" w:hAnsi="Book Antiqua" w:cs="Book Antiqua"/>
          <w:i/>
          <w:iCs/>
          <w:color w:val="000000"/>
        </w:rPr>
        <w:t>P</w:t>
      </w:r>
      <w:r w:rsidRPr="00784314">
        <w:rPr>
          <w:rFonts w:ascii="Book Antiqua" w:eastAsia="Book Antiqua" w:hAnsi="Book Antiqua" w:cs="Book Antiqua"/>
          <w:color w:val="000000"/>
        </w:rPr>
        <w:t xml:space="preserve"> &lt; 0.001.</w:t>
      </w:r>
    </w:p>
    <w:p w14:paraId="72251E92" w14:textId="36CDD27A" w:rsidR="0022457A" w:rsidRPr="00AA0B7D" w:rsidRDefault="00A073FB" w:rsidP="0022457A">
      <w:pPr>
        <w:snapToGrid w:val="0"/>
        <w:spacing w:line="360" w:lineRule="auto"/>
        <w:jc w:val="both"/>
        <w:rPr>
          <w:rFonts w:ascii="Book Antiqua" w:hAnsi="Book Antiqua"/>
          <w:b/>
          <w:bCs/>
        </w:rPr>
      </w:pPr>
      <w:bookmarkStart w:id="57" w:name="OLE_LINK4"/>
      <w:bookmarkStart w:id="58" w:name="OLE_LINK1"/>
      <w:r w:rsidRPr="00AA0B7D">
        <w:rPr>
          <w:rFonts w:ascii="Book Antiqua" w:hAnsi="Book Antiqua"/>
          <w:noProof/>
        </w:rPr>
        <w:lastRenderedPageBreak/>
        <w:drawing>
          <wp:inline distT="0" distB="0" distL="0" distR="0" wp14:anchorId="476362E9" wp14:editId="7699C917">
            <wp:extent cx="5943600" cy="3255645"/>
            <wp:effectExtent l="0" t="0" r="0" b="1905"/>
            <wp:docPr id="1080953155" name="图片 1" descr="图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953155" name="图片 1" descr="图表&#10;&#10;中度可信度描述已自动生成"/>
                    <pic:cNvPicPr/>
                  </pic:nvPicPr>
                  <pic:blipFill>
                    <a:blip r:embed="rId9"/>
                    <a:stretch>
                      <a:fillRect/>
                    </a:stretch>
                  </pic:blipFill>
                  <pic:spPr>
                    <a:xfrm>
                      <a:off x="0" y="0"/>
                      <a:ext cx="5943600" cy="3255645"/>
                    </a:xfrm>
                    <a:prstGeom prst="rect">
                      <a:avLst/>
                    </a:prstGeom>
                  </pic:spPr>
                </pic:pic>
              </a:graphicData>
            </a:graphic>
          </wp:inline>
        </w:drawing>
      </w:r>
      <w:r w:rsidR="0022457A" w:rsidRPr="00AA0B7D">
        <w:rPr>
          <w:rFonts w:ascii="Book Antiqua" w:eastAsia="Book Antiqua" w:hAnsi="Book Antiqua" w:cs="Book Antiqua"/>
          <w:b/>
          <w:bCs/>
          <w:color w:val="000000"/>
        </w:rPr>
        <w:t>Figure 3</w:t>
      </w:r>
      <w:bookmarkEnd w:id="57"/>
      <w:r w:rsidRPr="00AA0B7D">
        <w:rPr>
          <w:rFonts w:ascii="Book Antiqua" w:eastAsia="Book Antiqua" w:hAnsi="Book Antiqua" w:cs="Book Antiqua"/>
          <w:b/>
          <w:bCs/>
          <w:color w:val="000000"/>
        </w:rPr>
        <w:t xml:space="preserve"> </w:t>
      </w:r>
      <w:r w:rsidR="0022457A" w:rsidRPr="00AA0B7D">
        <w:rPr>
          <w:rFonts w:ascii="Book Antiqua" w:hAnsi="Book Antiqua"/>
          <w:b/>
          <w:bCs/>
        </w:rPr>
        <w:t>Univariable analysis of progression-free survival in colorectal cancer patients.</w:t>
      </w:r>
      <w:bookmarkEnd w:id="58"/>
      <w:r w:rsidR="0022457A" w:rsidRPr="00AA0B7D">
        <w:rPr>
          <w:rFonts w:ascii="Book Antiqua" w:hAnsi="Book Antiqua"/>
          <w:b/>
          <w:bCs/>
        </w:rPr>
        <w:t xml:space="preserve"> </w:t>
      </w:r>
      <w:r w:rsidR="0022457A" w:rsidRPr="00AA0B7D">
        <w:rPr>
          <w:rFonts w:ascii="Book Antiqua" w:hAnsi="Book Antiqua"/>
        </w:rPr>
        <w:t xml:space="preserve">AJCC: </w:t>
      </w:r>
      <w:r w:rsidR="0022457A" w:rsidRPr="00AA0B7D">
        <w:rPr>
          <w:rFonts w:ascii="Book Antiqua" w:eastAsia="Book Antiqua" w:hAnsi="Book Antiqua" w:cs="Book Antiqua"/>
          <w:color w:val="000000"/>
        </w:rPr>
        <w:t>American Joint Committee on Cancer;</w:t>
      </w:r>
      <w:r w:rsidR="0022457A" w:rsidRPr="00AA0B7D">
        <w:rPr>
          <w:rFonts w:ascii="Book Antiqua" w:hAnsi="Book Antiqua"/>
        </w:rPr>
        <w:t xml:space="preserve"> HR: </w:t>
      </w:r>
      <w:r w:rsidR="0022457A" w:rsidRPr="00AA0B7D">
        <w:rPr>
          <w:rFonts w:ascii="Book Antiqua" w:eastAsia="Book Antiqua" w:hAnsi="Book Antiqua" w:cs="Book Antiqua"/>
          <w:color w:val="000000"/>
        </w:rPr>
        <w:t>Hazard ratio.</w:t>
      </w:r>
      <w:r w:rsidR="0022457A" w:rsidRPr="00AA0B7D">
        <w:rPr>
          <w:rFonts w:ascii="Book Antiqua" w:hAnsi="Book Antiqua"/>
          <w:b/>
          <w:bCs/>
        </w:rPr>
        <w:t xml:space="preserve"> </w:t>
      </w:r>
    </w:p>
    <w:p w14:paraId="1512C8BE" w14:textId="77777777" w:rsidR="0022457A" w:rsidRPr="00AA0B7D" w:rsidRDefault="0022457A" w:rsidP="0022457A">
      <w:pPr>
        <w:snapToGrid w:val="0"/>
        <w:spacing w:line="360" w:lineRule="auto"/>
        <w:jc w:val="both"/>
        <w:rPr>
          <w:rFonts w:ascii="Book Antiqua" w:hAnsi="Book Antiqua"/>
          <w:b/>
          <w:bCs/>
        </w:rPr>
        <w:sectPr w:rsidR="0022457A" w:rsidRPr="00AA0B7D">
          <w:pgSz w:w="12240" w:h="15840"/>
          <w:pgMar w:top="1440" w:right="1440" w:bottom="1440" w:left="1440" w:header="720" w:footer="720" w:gutter="0"/>
          <w:cols w:space="720"/>
          <w:docGrid w:linePitch="360"/>
        </w:sectPr>
      </w:pPr>
    </w:p>
    <w:p w14:paraId="0CABE4B0" w14:textId="60CFAA92" w:rsidR="0022457A" w:rsidRPr="00AA0B7D" w:rsidRDefault="00FF1613" w:rsidP="0022457A">
      <w:pPr>
        <w:snapToGrid w:val="0"/>
        <w:spacing w:line="360" w:lineRule="auto"/>
        <w:ind w:firstLineChars="100" w:firstLine="240"/>
        <w:jc w:val="both"/>
        <w:rPr>
          <w:rFonts w:ascii="Book Antiqua" w:hAnsi="Book Antiqua"/>
        </w:rPr>
      </w:pPr>
      <w:r w:rsidRPr="00AA0B7D">
        <w:rPr>
          <w:rFonts w:ascii="Book Antiqua" w:hAnsi="Book Antiqua"/>
          <w:noProof/>
        </w:rPr>
        <w:lastRenderedPageBreak/>
        <w:drawing>
          <wp:inline distT="0" distB="0" distL="0" distR="0" wp14:anchorId="19CFA066" wp14:editId="18668E4C">
            <wp:extent cx="5943600" cy="3289300"/>
            <wp:effectExtent l="0" t="0" r="0" b="6350"/>
            <wp:docPr id="478760688" name="图片 1"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60688" name="图片 1" descr="图片包含 图表&#10;&#10;描述已自动生成"/>
                    <pic:cNvPicPr/>
                  </pic:nvPicPr>
                  <pic:blipFill>
                    <a:blip r:embed="rId10"/>
                    <a:stretch>
                      <a:fillRect/>
                    </a:stretch>
                  </pic:blipFill>
                  <pic:spPr>
                    <a:xfrm>
                      <a:off x="0" y="0"/>
                      <a:ext cx="5943600" cy="3289300"/>
                    </a:xfrm>
                    <a:prstGeom prst="rect">
                      <a:avLst/>
                    </a:prstGeom>
                  </pic:spPr>
                </pic:pic>
              </a:graphicData>
            </a:graphic>
          </wp:inline>
        </w:drawing>
      </w:r>
    </w:p>
    <w:p w14:paraId="3970E83D" w14:textId="111074B4" w:rsidR="0022457A" w:rsidRPr="00AA0B7D" w:rsidRDefault="0022457A" w:rsidP="0022457A">
      <w:pPr>
        <w:snapToGrid w:val="0"/>
        <w:spacing w:line="360" w:lineRule="auto"/>
        <w:jc w:val="both"/>
        <w:rPr>
          <w:rFonts w:ascii="Book Antiqua" w:hAnsi="Book Antiqua"/>
          <w:b/>
          <w:bCs/>
        </w:rPr>
      </w:pPr>
      <w:r w:rsidRPr="00AA0B7D">
        <w:rPr>
          <w:rFonts w:ascii="Book Antiqua" w:eastAsia="Book Antiqua" w:hAnsi="Book Antiqua" w:cs="Book Antiqua"/>
          <w:b/>
          <w:bCs/>
          <w:color w:val="000000"/>
        </w:rPr>
        <w:t>Figure 4</w:t>
      </w:r>
      <w:r w:rsidRPr="00AA0B7D">
        <w:rPr>
          <w:rFonts w:ascii="Book Antiqua" w:hAnsi="Book Antiqua"/>
          <w:b/>
          <w:bCs/>
        </w:rPr>
        <w:t xml:space="preserve"> Univariable analysis of overall survival in colorectal cancer patients. </w:t>
      </w:r>
      <w:r w:rsidRPr="00AA0B7D">
        <w:rPr>
          <w:rFonts w:ascii="Book Antiqua" w:hAnsi="Book Antiqua"/>
        </w:rPr>
        <w:t xml:space="preserve">AJCC: </w:t>
      </w:r>
      <w:r w:rsidRPr="00AA0B7D">
        <w:rPr>
          <w:rFonts w:ascii="Book Antiqua" w:eastAsia="Book Antiqua" w:hAnsi="Book Antiqua" w:cs="Book Antiqua"/>
          <w:color w:val="000000"/>
        </w:rPr>
        <w:t>American Joint Committee on Cancer;</w:t>
      </w:r>
      <w:r w:rsidRPr="00AA0B7D">
        <w:rPr>
          <w:rFonts w:ascii="Book Antiqua" w:hAnsi="Book Antiqua"/>
        </w:rPr>
        <w:t xml:space="preserve"> HR: </w:t>
      </w:r>
      <w:r w:rsidRPr="00AA0B7D">
        <w:rPr>
          <w:rFonts w:ascii="Book Antiqua" w:eastAsia="Book Antiqua" w:hAnsi="Book Antiqua" w:cs="Book Antiqua"/>
          <w:color w:val="000000"/>
        </w:rPr>
        <w:t>Hazard ratio.</w:t>
      </w:r>
    </w:p>
    <w:p w14:paraId="3B8A3DC2" w14:textId="77777777" w:rsidR="0022457A" w:rsidRPr="00AA0B7D" w:rsidRDefault="0022457A" w:rsidP="0022457A">
      <w:pPr>
        <w:snapToGrid w:val="0"/>
        <w:spacing w:line="360" w:lineRule="auto"/>
        <w:jc w:val="both"/>
        <w:rPr>
          <w:rFonts w:ascii="Book Antiqua" w:hAnsi="Book Antiqua"/>
          <w:b/>
          <w:bCs/>
        </w:rPr>
        <w:sectPr w:rsidR="0022457A" w:rsidRPr="00AA0B7D">
          <w:pgSz w:w="12240" w:h="15840"/>
          <w:pgMar w:top="1440" w:right="1440" w:bottom="1440" w:left="1440" w:header="720" w:footer="720" w:gutter="0"/>
          <w:cols w:space="720"/>
          <w:docGrid w:linePitch="360"/>
        </w:sectPr>
      </w:pPr>
    </w:p>
    <w:p w14:paraId="41700DE6" w14:textId="4071CC54" w:rsidR="0022457A" w:rsidRPr="00AA0B7D" w:rsidRDefault="00A073FB" w:rsidP="0022457A">
      <w:pPr>
        <w:snapToGrid w:val="0"/>
        <w:spacing w:line="360" w:lineRule="auto"/>
        <w:jc w:val="both"/>
        <w:rPr>
          <w:rFonts w:ascii="Book Antiqua" w:hAnsi="Book Antiqua"/>
        </w:rPr>
      </w:pPr>
      <w:r w:rsidRPr="00AA0B7D">
        <w:rPr>
          <w:rFonts w:ascii="Book Antiqua" w:hAnsi="Book Antiqua"/>
          <w:noProof/>
        </w:rPr>
        <w:lastRenderedPageBreak/>
        <w:drawing>
          <wp:inline distT="0" distB="0" distL="0" distR="0" wp14:anchorId="68B88F20" wp14:editId="14789557">
            <wp:extent cx="5943600" cy="3230880"/>
            <wp:effectExtent l="0" t="0" r="0" b="7620"/>
            <wp:docPr id="86070988"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0988" name="图片 1" descr="表格&#10;&#10;描述已自动生成"/>
                    <pic:cNvPicPr/>
                  </pic:nvPicPr>
                  <pic:blipFill>
                    <a:blip r:embed="rId11"/>
                    <a:stretch>
                      <a:fillRect/>
                    </a:stretch>
                  </pic:blipFill>
                  <pic:spPr>
                    <a:xfrm>
                      <a:off x="0" y="0"/>
                      <a:ext cx="5943600" cy="3230880"/>
                    </a:xfrm>
                    <a:prstGeom prst="rect">
                      <a:avLst/>
                    </a:prstGeom>
                  </pic:spPr>
                </pic:pic>
              </a:graphicData>
            </a:graphic>
          </wp:inline>
        </w:drawing>
      </w:r>
    </w:p>
    <w:p w14:paraId="02D202E8" w14:textId="3F59E3D3" w:rsidR="0022457A" w:rsidRPr="00AA0B7D" w:rsidRDefault="0022457A" w:rsidP="0022457A">
      <w:pPr>
        <w:snapToGrid w:val="0"/>
        <w:spacing w:line="360" w:lineRule="auto"/>
        <w:jc w:val="both"/>
        <w:rPr>
          <w:rFonts w:ascii="Book Antiqua" w:hAnsi="Book Antiqua"/>
          <w:b/>
          <w:bCs/>
        </w:rPr>
      </w:pPr>
      <w:r w:rsidRPr="00AA0B7D">
        <w:rPr>
          <w:rFonts w:ascii="Book Antiqua" w:eastAsia="Book Antiqua" w:hAnsi="Book Antiqua" w:cs="Book Antiqua"/>
          <w:b/>
          <w:bCs/>
          <w:color w:val="000000"/>
        </w:rPr>
        <w:t>Figure 5</w:t>
      </w:r>
      <w:r w:rsidRPr="00AA0B7D">
        <w:rPr>
          <w:rFonts w:ascii="Book Antiqua" w:hAnsi="Book Antiqua"/>
          <w:b/>
          <w:bCs/>
        </w:rPr>
        <w:t xml:space="preserve"> Multivariable Cox hazards model analysis on progression-free survival in colorectal cancer patients. </w:t>
      </w:r>
      <w:r w:rsidRPr="00AA0B7D">
        <w:rPr>
          <w:rFonts w:ascii="Book Antiqua" w:hAnsi="Book Antiqua"/>
        </w:rPr>
        <w:t xml:space="preserve">AJCC: </w:t>
      </w:r>
      <w:r w:rsidRPr="00AA0B7D">
        <w:rPr>
          <w:rFonts w:ascii="Book Antiqua" w:eastAsia="Book Antiqua" w:hAnsi="Book Antiqua" w:cs="Book Antiqua"/>
          <w:color w:val="000000"/>
        </w:rPr>
        <w:t>American Joint Committee on Cancer;</w:t>
      </w:r>
      <w:r w:rsidRPr="00AA0B7D">
        <w:rPr>
          <w:rFonts w:ascii="Book Antiqua" w:hAnsi="Book Antiqua"/>
        </w:rPr>
        <w:t xml:space="preserve"> HR: </w:t>
      </w:r>
      <w:r w:rsidRPr="00AA0B7D">
        <w:rPr>
          <w:rFonts w:ascii="Book Antiqua" w:eastAsia="Book Antiqua" w:hAnsi="Book Antiqua" w:cs="Book Antiqua"/>
          <w:color w:val="000000"/>
        </w:rPr>
        <w:t>Hazard ratio.</w:t>
      </w:r>
    </w:p>
    <w:p w14:paraId="4DC6234C" w14:textId="77777777" w:rsidR="0022457A" w:rsidRPr="00AA0B7D" w:rsidRDefault="0022457A" w:rsidP="0022457A">
      <w:pPr>
        <w:snapToGrid w:val="0"/>
        <w:spacing w:line="360" w:lineRule="auto"/>
        <w:jc w:val="both"/>
        <w:rPr>
          <w:rFonts w:ascii="Book Antiqua" w:hAnsi="Book Antiqua"/>
          <w:b/>
          <w:bCs/>
        </w:rPr>
        <w:sectPr w:rsidR="0022457A" w:rsidRPr="00AA0B7D">
          <w:pgSz w:w="12240" w:h="15840"/>
          <w:pgMar w:top="1440" w:right="1440" w:bottom="1440" w:left="1440" w:header="720" w:footer="720" w:gutter="0"/>
          <w:cols w:space="720"/>
          <w:docGrid w:linePitch="360"/>
        </w:sectPr>
      </w:pPr>
    </w:p>
    <w:p w14:paraId="4544EA1C" w14:textId="77398E2F" w:rsidR="0022457A" w:rsidRPr="00AA0B7D" w:rsidRDefault="00A77034" w:rsidP="0022457A">
      <w:pPr>
        <w:snapToGrid w:val="0"/>
        <w:spacing w:line="360" w:lineRule="auto"/>
        <w:jc w:val="both"/>
        <w:rPr>
          <w:rFonts w:ascii="Book Antiqua" w:hAnsi="Book Antiqua"/>
          <w:noProof/>
        </w:rPr>
      </w:pPr>
      <w:r w:rsidRPr="00AA0B7D">
        <w:rPr>
          <w:rFonts w:ascii="Book Antiqua" w:hAnsi="Book Antiqua"/>
          <w:noProof/>
        </w:rPr>
        <w:lastRenderedPageBreak/>
        <w:drawing>
          <wp:inline distT="0" distB="0" distL="0" distR="0" wp14:anchorId="76108DCB" wp14:editId="1C6BD8B5">
            <wp:extent cx="5943600" cy="3239135"/>
            <wp:effectExtent l="0" t="0" r="0" b="0"/>
            <wp:docPr id="1129719621" name="图片 1"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719621" name="图片 1" descr="表格&#10;&#10;中度可信度描述已自动生成"/>
                    <pic:cNvPicPr/>
                  </pic:nvPicPr>
                  <pic:blipFill>
                    <a:blip r:embed="rId12"/>
                    <a:stretch>
                      <a:fillRect/>
                    </a:stretch>
                  </pic:blipFill>
                  <pic:spPr>
                    <a:xfrm>
                      <a:off x="0" y="0"/>
                      <a:ext cx="5943600" cy="3239135"/>
                    </a:xfrm>
                    <a:prstGeom prst="rect">
                      <a:avLst/>
                    </a:prstGeom>
                  </pic:spPr>
                </pic:pic>
              </a:graphicData>
            </a:graphic>
          </wp:inline>
        </w:drawing>
      </w:r>
    </w:p>
    <w:p w14:paraId="53BBC58D" w14:textId="7685E599" w:rsidR="0022457A" w:rsidRPr="00AA0B7D" w:rsidRDefault="0022457A" w:rsidP="0022457A">
      <w:pPr>
        <w:snapToGrid w:val="0"/>
        <w:spacing w:line="360" w:lineRule="auto"/>
        <w:jc w:val="both"/>
        <w:rPr>
          <w:rFonts w:ascii="Book Antiqua" w:hAnsi="Book Antiqua"/>
          <w:b/>
          <w:bCs/>
        </w:rPr>
        <w:sectPr w:rsidR="0022457A" w:rsidRPr="00AA0B7D">
          <w:pgSz w:w="12240" w:h="15840"/>
          <w:pgMar w:top="1440" w:right="1440" w:bottom="1440" w:left="1440" w:header="720" w:footer="720" w:gutter="0"/>
          <w:cols w:space="720"/>
          <w:docGrid w:linePitch="360"/>
        </w:sectPr>
      </w:pPr>
      <w:r w:rsidRPr="00AA0B7D">
        <w:rPr>
          <w:rFonts w:ascii="Book Antiqua" w:eastAsia="Book Antiqua" w:hAnsi="Book Antiqua" w:cs="Book Antiqua"/>
          <w:b/>
          <w:bCs/>
          <w:color w:val="000000"/>
        </w:rPr>
        <w:t xml:space="preserve">Figure 6 </w:t>
      </w:r>
      <w:r w:rsidRPr="00AA0B7D">
        <w:rPr>
          <w:rFonts w:ascii="Book Antiqua" w:hAnsi="Book Antiqua"/>
          <w:b/>
          <w:bCs/>
        </w:rPr>
        <w:t>Multivariable Cox hazards model analysis on overall survival in colorectal cancer patients.</w:t>
      </w:r>
      <w:r w:rsidR="00A77034" w:rsidRPr="00AA0B7D">
        <w:rPr>
          <w:rFonts w:ascii="Book Antiqua" w:hAnsi="Book Antiqua"/>
          <w:b/>
          <w:bCs/>
        </w:rPr>
        <w:t xml:space="preserve"> </w:t>
      </w:r>
      <w:r w:rsidR="00A77034" w:rsidRPr="00AA0B7D">
        <w:rPr>
          <w:rFonts w:ascii="Book Antiqua" w:hAnsi="Book Antiqua"/>
        </w:rPr>
        <w:t xml:space="preserve">AJCC: </w:t>
      </w:r>
      <w:r w:rsidR="00A77034" w:rsidRPr="00AA0B7D">
        <w:rPr>
          <w:rFonts w:ascii="Book Antiqua" w:eastAsia="Book Antiqua" w:hAnsi="Book Antiqua" w:cs="Book Antiqua"/>
          <w:color w:val="000000"/>
        </w:rPr>
        <w:t>American Joint Committee on Cancer</w:t>
      </w:r>
      <w:r w:rsidR="00A41F54" w:rsidRPr="00AA0B7D">
        <w:rPr>
          <w:rFonts w:ascii="Book Antiqua" w:eastAsia="Book Antiqua" w:hAnsi="Book Antiqua" w:cs="Book Antiqua"/>
          <w:color w:val="000000"/>
        </w:rPr>
        <w:t>;</w:t>
      </w:r>
      <w:r w:rsidR="00A41F54" w:rsidRPr="00AA0B7D">
        <w:rPr>
          <w:rFonts w:ascii="Book Antiqua" w:hAnsi="Book Antiqua"/>
        </w:rPr>
        <w:t xml:space="preserve"> HR: </w:t>
      </w:r>
      <w:r w:rsidR="00A41F54" w:rsidRPr="00AA0B7D">
        <w:rPr>
          <w:rFonts w:ascii="Book Antiqua" w:eastAsia="Book Antiqua" w:hAnsi="Book Antiqua" w:cs="Book Antiqua"/>
          <w:color w:val="000000"/>
        </w:rPr>
        <w:t>Hazard ratio</w:t>
      </w:r>
      <w:r w:rsidR="00E644B0">
        <w:rPr>
          <w:rFonts w:ascii="Book Antiqua" w:eastAsia="Book Antiqua" w:hAnsi="Book Antiqua" w:cs="Book Antiqua"/>
          <w:color w:val="000000"/>
        </w:rPr>
        <w:t>.</w:t>
      </w:r>
    </w:p>
    <w:p w14:paraId="4D8076DD" w14:textId="7B14A6FB" w:rsidR="00A77B3E" w:rsidRPr="00AA0B7D" w:rsidRDefault="00A77034" w:rsidP="00300CC9">
      <w:pPr>
        <w:spacing w:line="360" w:lineRule="auto"/>
        <w:jc w:val="both"/>
        <w:rPr>
          <w:rFonts w:ascii="Book Antiqua" w:hAnsi="Book Antiqua"/>
        </w:rPr>
      </w:pPr>
      <w:r w:rsidRPr="00AA0B7D">
        <w:rPr>
          <w:rFonts w:ascii="Book Antiqua" w:hAnsi="Book Antiqua"/>
          <w:noProof/>
        </w:rPr>
        <w:lastRenderedPageBreak/>
        <w:drawing>
          <wp:inline distT="0" distB="0" distL="0" distR="0" wp14:anchorId="6256DA87" wp14:editId="2F241CC5">
            <wp:extent cx="5943600" cy="3014345"/>
            <wp:effectExtent l="0" t="0" r="0" b="0"/>
            <wp:docPr id="1458696907"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696907" name="图片 1" descr="图表, 折线图&#10;&#10;描述已自动生成"/>
                    <pic:cNvPicPr/>
                  </pic:nvPicPr>
                  <pic:blipFill>
                    <a:blip r:embed="rId13"/>
                    <a:stretch>
                      <a:fillRect/>
                    </a:stretch>
                  </pic:blipFill>
                  <pic:spPr>
                    <a:xfrm>
                      <a:off x="0" y="0"/>
                      <a:ext cx="5943600" cy="3014345"/>
                    </a:xfrm>
                    <a:prstGeom prst="rect">
                      <a:avLst/>
                    </a:prstGeom>
                  </pic:spPr>
                </pic:pic>
              </a:graphicData>
            </a:graphic>
          </wp:inline>
        </w:drawing>
      </w:r>
    </w:p>
    <w:p w14:paraId="706AFA43" w14:textId="7C8265E6" w:rsidR="00120940" w:rsidRPr="00AA0B7D" w:rsidRDefault="00120940" w:rsidP="00120940">
      <w:pPr>
        <w:snapToGrid w:val="0"/>
        <w:spacing w:line="360" w:lineRule="auto"/>
        <w:jc w:val="both"/>
        <w:rPr>
          <w:rFonts w:ascii="Book Antiqua" w:eastAsia="Book Antiqua" w:hAnsi="Book Antiqua" w:cs="Book Antiqua"/>
          <w:color w:val="000000"/>
        </w:rPr>
      </w:pPr>
      <w:r w:rsidRPr="00AA0B7D">
        <w:rPr>
          <w:rFonts w:ascii="Book Antiqua" w:eastAsia="Book Antiqua" w:hAnsi="Book Antiqua" w:cs="Book Antiqua"/>
          <w:b/>
          <w:bCs/>
          <w:color w:val="000000"/>
        </w:rPr>
        <w:t>Figure 7</w:t>
      </w:r>
      <w:bookmarkStart w:id="59" w:name="OLE_LINK5"/>
      <w:r w:rsidRPr="00AA0B7D">
        <w:rPr>
          <w:rFonts w:ascii="Book Antiqua" w:eastAsia="Book Antiqua" w:hAnsi="Book Antiqua" w:cs="Book Antiqua"/>
          <w:b/>
          <w:bCs/>
          <w:color w:val="000000"/>
        </w:rPr>
        <w:t xml:space="preserve"> Kaplan–Meier survival analysis of survival in patients with Stage </w:t>
      </w:r>
      <w:r w:rsidR="00AA0B7D" w:rsidRPr="00AA0B7D">
        <w:rPr>
          <w:rFonts w:ascii="Book Antiqua" w:eastAsia="SimSun" w:hAnsi="Book Antiqua" w:cs="SimSun"/>
          <w:b/>
          <w:bCs/>
          <w:color w:val="000000"/>
        </w:rPr>
        <w:t>III-IV</w:t>
      </w:r>
      <w:r w:rsidR="00AA0B7D" w:rsidRPr="00AA0B7D" w:rsidDel="00AA0B7D">
        <w:rPr>
          <w:rFonts w:ascii="Book Antiqua" w:eastAsia="SimSun" w:hAnsi="Book Antiqua" w:cs="SimSun"/>
          <w:b/>
          <w:bCs/>
          <w:color w:val="000000"/>
        </w:rPr>
        <w:t xml:space="preserve"> </w:t>
      </w:r>
      <w:r w:rsidRPr="00AA0B7D">
        <w:rPr>
          <w:rFonts w:ascii="Book Antiqua" w:eastAsia="Book Antiqua" w:hAnsi="Book Antiqua" w:cs="Book Antiqua"/>
          <w:b/>
          <w:bCs/>
          <w:color w:val="000000"/>
        </w:rPr>
        <w:t xml:space="preserve">colorectal cancer according to grade of tumor budding. </w:t>
      </w:r>
      <w:r w:rsidRPr="00AA0B7D">
        <w:rPr>
          <w:rFonts w:ascii="Book Antiqua" w:eastAsia="Book Antiqua" w:hAnsi="Book Antiqua" w:cs="Book Antiqua"/>
          <w:color w:val="000000"/>
        </w:rPr>
        <w:t xml:space="preserve">A: Overall survival </w:t>
      </w:r>
      <w:r w:rsidR="00E644B0">
        <w:rPr>
          <w:rFonts w:ascii="Book Antiqua" w:eastAsia="Book Antiqua" w:hAnsi="Book Antiqua" w:cs="Book Antiqua"/>
          <w:color w:val="000000"/>
        </w:rPr>
        <w:t xml:space="preserve">(OS) </w:t>
      </w:r>
      <w:r w:rsidRPr="00AA0B7D">
        <w:rPr>
          <w:rFonts w:ascii="Book Antiqua" w:eastAsia="Book Antiqua" w:hAnsi="Book Antiqua" w:cs="Book Antiqua"/>
          <w:color w:val="000000"/>
        </w:rPr>
        <w:t>in patients with B</w:t>
      </w:r>
      <w:r w:rsidRPr="00AA0B7D">
        <w:rPr>
          <w:rFonts w:ascii="Book Antiqua" w:eastAsia="Book Antiqua" w:hAnsi="Book Antiqua" w:cs="Book Antiqua"/>
          <w:color w:val="000000"/>
          <w:lang w:eastAsia="zh-CN"/>
        </w:rPr>
        <w:t xml:space="preserve">d </w:t>
      </w:r>
      <w:r w:rsidRPr="00AA0B7D">
        <w:rPr>
          <w:rFonts w:ascii="Book Antiqua" w:eastAsia="Book Antiqua" w:hAnsi="Book Antiqua" w:cs="Book Antiqua"/>
          <w:color w:val="000000"/>
        </w:rPr>
        <w:t xml:space="preserve">1 </w:t>
      </w:r>
      <w:r w:rsidRPr="00AA0B7D">
        <w:rPr>
          <w:rFonts w:ascii="Book Antiqua" w:eastAsia="Book Antiqua" w:hAnsi="Book Antiqua" w:cs="Book Antiqua"/>
          <w:color w:val="000000"/>
          <w:lang w:eastAsia="zh-CN"/>
        </w:rPr>
        <w:t>and</w:t>
      </w:r>
      <w:r w:rsidRPr="00AA0B7D">
        <w:rPr>
          <w:rFonts w:ascii="Book Antiqua" w:eastAsia="Book Antiqua" w:hAnsi="Book Antiqua" w:cs="Book Antiqua"/>
          <w:color w:val="000000"/>
        </w:rPr>
        <w:t xml:space="preserve"> B</w:t>
      </w:r>
      <w:r w:rsidRPr="00AA0B7D">
        <w:rPr>
          <w:rFonts w:ascii="Book Antiqua" w:eastAsia="Book Antiqua" w:hAnsi="Book Antiqua" w:cs="Book Antiqua"/>
          <w:color w:val="000000"/>
          <w:lang w:eastAsia="zh-CN"/>
        </w:rPr>
        <w:t xml:space="preserve">d </w:t>
      </w:r>
      <w:r w:rsidRPr="00AA0B7D">
        <w:rPr>
          <w:rFonts w:ascii="Book Antiqua" w:eastAsia="Book Antiqua" w:hAnsi="Book Antiqua" w:cs="Book Antiqua"/>
          <w:color w:val="000000"/>
        </w:rPr>
        <w:t xml:space="preserve">2-3; B: Progression-free survival </w:t>
      </w:r>
      <w:r w:rsidR="00E644B0">
        <w:rPr>
          <w:rFonts w:ascii="Book Antiqua" w:eastAsia="Book Antiqua" w:hAnsi="Book Antiqua" w:cs="Book Antiqua"/>
          <w:color w:val="000000"/>
        </w:rPr>
        <w:t xml:space="preserve">(PFS) </w:t>
      </w:r>
      <w:r w:rsidRPr="00AA0B7D">
        <w:rPr>
          <w:rFonts w:ascii="Book Antiqua" w:eastAsia="Book Antiqua" w:hAnsi="Book Antiqua" w:cs="Book Antiqua"/>
          <w:color w:val="000000"/>
        </w:rPr>
        <w:t>in patients with B</w:t>
      </w:r>
      <w:r w:rsidRPr="00AA0B7D">
        <w:rPr>
          <w:rFonts w:ascii="Book Antiqua" w:eastAsia="Book Antiqua" w:hAnsi="Book Antiqua" w:cs="Book Antiqua"/>
          <w:color w:val="000000"/>
          <w:lang w:eastAsia="zh-CN"/>
        </w:rPr>
        <w:t xml:space="preserve">d </w:t>
      </w:r>
      <w:r w:rsidRPr="00AA0B7D">
        <w:rPr>
          <w:rFonts w:ascii="Book Antiqua" w:eastAsia="Book Antiqua" w:hAnsi="Book Antiqua" w:cs="Book Antiqua"/>
          <w:color w:val="000000"/>
        </w:rPr>
        <w:t xml:space="preserve">1 </w:t>
      </w:r>
      <w:r w:rsidRPr="00AA0B7D">
        <w:rPr>
          <w:rFonts w:ascii="Book Antiqua" w:eastAsia="Book Antiqua" w:hAnsi="Book Antiqua" w:cs="Book Antiqua"/>
          <w:color w:val="000000"/>
          <w:lang w:eastAsia="zh-CN"/>
        </w:rPr>
        <w:t>and</w:t>
      </w:r>
      <w:r w:rsidRPr="00AA0B7D">
        <w:rPr>
          <w:rFonts w:ascii="Book Antiqua" w:eastAsia="Book Antiqua" w:hAnsi="Book Antiqua" w:cs="Book Antiqua"/>
          <w:color w:val="000000"/>
        </w:rPr>
        <w:t xml:space="preserve"> B</w:t>
      </w:r>
      <w:r w:rsidRPr="00AA0B7D">
        <w:rPr>
          <w:rFonts w:ascii="Book Antiqua" w:eastAsia="Book Antiqua" w:hAnsi="Book Antiqua" w:cs="Book Antiqua"/>
          <w:color w:val="000000"/>
          <w:lang w:eastAsia="zh-CN"/>
        </w:rPr>
        <w:t xml:space="preserve">d </w:t>
      </w:r>
      <w:r w:rsidRPr="00AA0B7D">
        <w:rPr>
          <w:rFonts w:ascii="Book Antiqua" w:eastAsia="Book Antiqua" w:hAnsi="Book Antiqua" w:cs="Book Antiqua"/>
          <w:color w:val="000000"/>
        </w:rPr>
        <w:t>2-3.</w:t>
      </w:r>
      <w:bookmarkEnd w:id="59"/>
      <w:r w:rsidRPr="00AA0B7D">
        <w:rPr>
          <w:rFonts w:ascii="Book Antiqua" w:eastAsia="Book Antiqua" w:hAnsi="Book Antiqua" w:cs="Book Antiqua"/>
          <w:color w:val="000000"/>
        </w:rPr>
        <w:t xml:space="preserve"> </w:t>
      </w:r>
    </w:p>
    <w:p w14:paraId="530FE04A" w14:textId="77777777" w:rsidR="00120940" w:rsidRPr="00AA0B7D" w:rsidRDefault="00120940" w:rsidP="00120940">
      <w:pPr>
        <w:snapToGrid w:val="0"/>
        <w:spacing w:line="360" w:lineRule="auto"/>
        <w:jc w:val="both"/>
        <w:rPr>
          <w:rFonts w:ascii="Book Antiqua" w:hAnsi="Book Antiqua"/>
        </w:rPr>
        <w:sectPr w:rsidR="00120940" w:rsidRPr="00AA0B7D">
          <w:pgSz w:w="12240" w:h="15840"/>
          <w:pgMar w:top="1440" w:right="1440" w:bottom="1440" w:left="1440" w:header="720" w:footer="720" w:gutter="0"/>
          <w:cols w:space="720"/>
          <w:docGrid w:linePitch="360"/>
        </w:sectPr>
      </w:pPr>
    </w:p>
    <w:p w14:paraId="0AF0BFE2" w14:textId="238E3AF8" w:rsidR="00A77B3E" w:rsidRPr="00AA0B7D" w:rsidRDefault="00A77034" w:rsidP="00300CC9">
      <w:pPr>
        <w:spacing w:line="360" w:lineRule="auto"/>
        <w:jc w:val="both"/>
        <w:rPr>
          <w:rFonts w:ascii="Book Antiqua" w:hAnsi="Book Antiqua"/>
        </w:rPr>
      </w:pPr>
      <w:r w:rsidRPr="00AA0B7D">
        <w:rPr>
          <w:rFonts w:ascii="Book Antiqua" w:hAnsi="Book Antiqua"/>
          <w:noProof/>
        </w:rPr>
        <w:lastRenderedPageBreak/>
        <w:drawing>
          <wp:inline distT="0" distB="0" distL="0" distR="0" wp14:anchorId="227911BD" wp14:editId="581953EF">
            <wp:extent cx="5943600" cy="2820035"/>
            <wp:effectExtent l="0" t="0" r="0" b="0"/>
            <wp:docPr id="1121629417" name="图片 1"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629417" name="图片 1" descr="图表, 直方图&#10;&#10;描述已自动生成"/>
                    <pic:cNvPicPr/>
                  </pic:nvPicPr>
                  <pic:blipFill>
                    <a:blip r:embed="rId14"/>
                    <a:stretch>
                      <a:fillRect/>
                    </a:stretch>
                  </pic:blipFill>
                  <pic:spPr>
                    <a:xfrm>
                      <a:off x="0" y="0"/>
                      <a:ext cx="5943600" cy="2820035"/>
                    </a:xfrm>
                    <a:prstGeom prst="rect">
                      <a:avLst/>
                    </a:prstGeom>
                  </pic:spPr>
                </pic:pic>
              </a:graphicData>
            </a:graphic>
          </wp:inline>
        </w:drawing>
      </w:r>
    </w:p>
    <w:p w14:paraId="563B4C86" w14:textId="318C10B5" w:rsidR="00120940" w:rsidRPr="00AA0B7D" w:rsidRDefault="00120940" w:rsidP="00120940">
      <w:pPr>
        <w:snapToGrid w:val="0"/>
        <w:spacing w:line="360" w:lineRule="auto"/>
        <w:jc w:val="both"/>
        <w:rPr>
          <w:rFonts w:ascii="Book Antiqua" w:eastAsia="Book Antiqua" w:hAnsi="Book Antiqua" w:cs="Book Antiqua"/>
          <w:color w:val="000000"/>
        </w:rPr>
      </w:pPr>
      <w:bookmarkStart w:id="60" w:name="_Hlk152338750"/>
      <w:r w:rsidRPr="00AA0B7D">
        <w:rPr>
          <w:rFonts w:ascii="Book Antiqua" w:eastAsia="Book Antiqua" w:hAnsi="Book Antiqua" w:cs="Book Antiqua"/>
          <w:b/>
          <w:bCs/>
          <w:color w:val="000000"/>
        </w:rPr>
        <w:t xml:space="preserve">Figure 8 Kaplan–Meier survival analysis of survival in patients with Stage </w:t>
      </w:r>
      <w:r w:rsidR="00AA0B7D" w:rsidRPr="00AA0B7D">
        <w:rPr>
          <w:rFonts w:ascii="Book Antiqua" w:eastAsia="Book Antiqua" w:hAnsi="Book Antiqua" w:cs="Book Antiqua"/>
          <w:b/>
          <w:bCs/>
          <w:color w:val="000000"/>
        </w:rPr>
        <w:t>III-IV</w:t>
      </w:r>
      <w:r w:rsidRPr="00AA0B7D">
        <w:rPr>
          <w:rFonts w:ascii="Book Antiqua" w:eastAsia="Book Antiqua" w:hAnsi="Book Antiqua" w:cs="Book Antiqua"/>
          <w:b/>
          <w:bCs/>
          <w:color w:val="000000"/>
        </w:rPr>
        <w:t xml:space="preserve"> colorectal cancer according to grade of tumor budding. </w:t>
      </w:r>
      <w:r w:rsidRPr="00AA0B7D">
        <w:rPr>
          <w:rFonts w:ascii="Book Antiqua" w:eastAsia="Book Antiqua" w:hAnsi="Book Antiqua" w:cs="Book Antiqua"/>
          <w:color w:val="000000"/>
        </w:rPr>
        <w:t xml:space="preserve">A: Overall survival </w:t>
      </w:r>
      <w:r w:rsidR="00E644B0">
        <w:rPr>
          <w:rFonts w:ascii="Book Antiqua" w:eastAsia="Book Antiqua" w:hAnsi="Book Antiqua" w:cs="Book Antiqua"/>
          <w:color w:val="000000"/>
        </w:rPr>
        <w:t xml:space="preserve">(OS) </w:t>
      </w:r>
      <w:r w:rsidRPr="00AA0B7D">
        <w:rPr>
          <w:rFonts w:ascii="Book Antiqua" w:eastAsia="Book Antiqua" w:hAnsi="Book Antiqua" w:cs="Book Antiqua"/>
          <w:color w:val="000000"/>
        </w:rPr>
        <w:t xml:space="preserve">in the vascular invasion group; B: Progression-free survival </w:t>
      </w:r>
      <w:r w:rsidR="00E644B0">
        <w:rPr>
          <w:rFonts w:ascii="Book Antiqua" w:eastAsia="Book Antiqua" w:hAnsi="Book Antiqua" w:cs="Book Antiqua"/>
          <w:color w:val="000000"/>
        </w:rPr>
        <w:t xml:space="preserve">(PFS) </w:t>
      </w:r>
      <w:r w:rsidRPr="00AA0B7D">
        <w:rPr>
          <w:rFonts w:ascii="Book Antiqua" w:eastAsia="Book Antiqua" w:hAnsi="Book Antiqua" w:cs="Book Antiqua"/>
          <w:color w:val="000000"/>
        </w:rPr>
        <w:t xml:space="preserve">in the vascular invasion group. </w:t>
      </w:r>
    </w:p>
    <w:p w14:paraId="3BF38FFD" w14:textId="77777777" w:rsidR="00120940" w:rsidRPr="00AA0B7D" w:rsidRDefault="00120940" w:rsidP="00120940">
      <w:pPr>
        <w:snapToGrid w:val="0"/>
        <w:spacing w:line="360" w:lineRule="auto"/>
        <w:jc w:val="both"/>
        <w:rPr>
          <w:rFonts w:ascii="Book Antiqua" w:hAnsi="Book Antiqua"/>
        </w:rPr>
        <w:sectPr w:rsidR="00120940" w:rsidRPr="00AA0B7D">
          <w:pgSz w:w="12240" w:h="15840"/>
          <w:pgMar w:top="1440" w:right="1440" w:bottom="1440" w:left="1440" w:header="720" w:footer="720" w:gutter="0"/>
          <w:cols w:space="720"/>
          <w:docGrid w:linePitch="360"/>
        </w:sectPr>
      </w:pPr>
    </w:p>
    <w:bookmarkEnd w:id="60"/>
    <w:p w14:paraId="20A6E8B0" w14:textId="77777777" w:rsidR="00473F21" w:rsidRPr="00AA0B7D" w:rsidRDefault="00473F21" w:rsidP="00473F21">
      <w:pPr>
        <w:spacing w:line="360" w:lineRule="auto"/>
        <w:jc w:val="both"/>
        <w:rPr>
          <w:rFonts w:ascii="Book Antiqua" w:hAnsi="Book Antiqua"/>
        </w:rPr>
      </w:pPr>
      <w:r w:rsidRPr="00AA0B7D">
        <w:rPr>
          <w:rFonts w:ascii="Book Antiqua" w:hAnsi="Book Antiqua"/>
          <w:noProof/>
        </w:rPr>
        <w:lastRenderedPageBreak/>
        <w:drawing>
          <wp:inline distT="0" distB="0" distL="0" distR="0" wp14:anchorId="3E396022" wp14:editId="3A29DB08">
            <wp:extent cx="5943600" cy="2998470"/>
            <wp:effectExtent l="0" t="0" r="0" b="0"/>
            <wp:docPr id="1864652177"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52177" name="图片 1" descr="图表&#10;&#10;描述已自动生成"/>
                    <pic:cNvPicPr/>
                  </pic:nvPicPr>
                  <pic:blipFill>
                    <a:blip r:embed="rId15"/>
                    <a:stretch>
                      <a:fillRect/>
                    </a:stretch>
                  </pic:blipFill>
                  <pic:spPr>
                    <a:xfrm>
                      <a:off x="0" y="0"/>
                      <a:ext cx="5943600" cy="2998470"/>
                    </a:xfrm>
                    <a:prstGeom prst="rect">
                      <a:avLst/>
                    </a:prstGeom>
                  </pic:spPr>
                </pic:pic>
              </a:graphicData>
            </a:graphic>
          </wp:inline>
        </w:drawing>
      </w:r>
    </w:p>
    <w:p w14:paraId="732B6A95" w14:textId="5852360A" w:rsidR="00120940" w:rsidRPr="00AA0B7D" w:rsidRDefault="00120940" w:rsidP="00120940">
      <w:pPr>
        <w:snapToGrid w:val="0"/>
        <w:spacing w:line="360" w:lineRule="auto"/>
        <w:jc w:val="both"/>
        <w:rPr>
          <w:rFonts w:ascii="Book Antiqua" w:hAnsi="Book Antiqua" w:cs="SimSun"/>
          <w:b/>
          <w:bCs/>
          <w:color w:val="000000"/>
        </w:rPr>
      </w:pPr>
      <w:bookmarkStart w:id="61" w:name="_Hlk152339275"/>
      <w:r w:rsidRPr="00AA0B7D">
        <w:rPr>
          <w:rFonts w:ascii="Book Antiqua" w:eastAsia="Book Antiqua" w:hAnsi="Book Antiqua" w:cs="Book Antiqua"/>
          <w:b/>
          <w:bCs/>
          <w:color w:val="000000"/>
        </w:rPr>
        <w:t xml:space="preserve">Figure 9 Kaplan–Meier survival analysis of survival in patients with Stage </w:t>
      </w:r>
      <w:r w:rsidR="00AA0B7D" w:rsidRPr="00AA0B7D">
        <w:rPr>
          <w:rFonts w:ascii="Book Antiqua" w:eastAsia="Book Antiqua" w:hAnsi="Book Antiqua" w:cs="Book Antiqua"/>
          <w:b/>
          <w:bCs/>
          <w:color w:val="000000"/>
        </w:rPr>
        <w:t xml:space="preserve">III-IV </w:t>
      </w:r>
      <w:r w:rsidRPr="00AA0B7D">
        <w:rPr>
          <w:rFonts w:ascii="Book Antiqua" w:eastAsia="Book Antiqua" w:hAnsi="Book Antiqua" w:cs="Book Antiqua"/>
          <w:b/>
          <w:bCs/>
          <w:color w:val="000000"/>
        </w:rPr>
        <w:t xml:space="preserve">colorectal cancer according to grade of tumor budding. </w:t>
      </w:r>
      <w:r w:rsidRPr="00AA0B7D">
        <w:rPr>
          <w:rFonts w:ascii="Book Antiqua" w:eastAsia="Book Antiqua" w:hAnsi="Book Antiqua" w:cs="Book Antiqua"/>
          <w:color w:val="000000"/>
        </w:rPr>
        <w:t xml:space="preserve">A: Overall survival </w:t>
      </w:r>
      <w:r w:rsidR="00E644B0">
        <w:rPr>
          <w:rFonts w:ascii="Book Antiqua" w:eastAsia="Book Antiqua" w:hAnsi="Book Antiqua" w:cs="Book Antiqua"/>
          <w:color w:val="000000"/>
        </w:rPr>
        <w:t xml:space="preserve">(OS) </w:t>
      </w:r>
      <w:r w:rsidRPr="00AA0B7D">
        <w:rPr>
          <w:rFonts w:ascii="Book Antiqua" w:eastAsia="Book Antiqua" w:hAnsi="Book Antiqua" w:cs="Book Antiqua"/>
          <w:color w:val="000000"/>
        </w:rPr>
        <w:t xml:space="preserve">in the perineural invasion group; B: Progression-free survival </w:t>
      </w:r>
      <w:r w:rsidR="00E644B0">
        <w:rPr>
          <w:rFonts w:ascii="Book Antiqua" w:eastAsia="Book Antiqua" w:hAnsi="Book Antiqua" w:cs="Book Antiqua"/>
          <w:color w:val="000000"/>
        </w:rPr>
        <w:t xml:space="preserve">(PFS) </w:t>
      </w:r>
      <w:r w:rsidRPr="00AA0B7D">
        <w:rPr>
          <w:rFonts w:ascii="Book Antiqua" w:eastAsia="Book Antiqua" w:hAnsi="Book Antiqua" w:cs="Book Antiqua"/>
          <w:color w:val="000000"/>
        </w:rPr>
        <w:t>in the perineural invasion group</w:t>
      </w:r>
      <w:r w:rsidRPr="00AA0B7D">
        <w:rPr>
          <w:rFonts w:ascii="Book Antiqua" w:hAnsi="Book Antiqua" w:cs="SimSun"/>
          <w:color w:val="000000"/>
        </w:rPr>
        <w:t xml:space="preserve">. </w:t>
      </w:r>
    </w:p>
    <w:p w14:paraId="63A4C492" w14:textId="77777777" w:rsidR="00120940" w:rsidRPr="00AA0B7D" w:rsidRDefault="00120940" w:rsidP="00120940">
      <w:pPr>
        <w:snapToGrid w:val="0"/>
        <w:spacing w:line="360" w:lineRule="auto"/>
        <w:jc w:val="both"/>
        <w:rPr>
          <w:rFonts w:ascii="Book Antiqua" w:hAnsi="Book Antiqua"/>
        </w:rPr>
        <w:sectPr w:rsidR="00120940" w:rsidRPr="00AA0B7D">
          <w:pgSz w:w="12240" w:h="15840"/>
          <w:pgMar w:top="1440" w:right="1440" w:bottom="1440" w:left="1440" w:header="720" w:footer="720" w:gutter="0"/>
          <w:cols w:space="720"/>
          <w:docGrid w:linePitch="360"/>
        </w:sectPr>
      </w:pPr>
    </w:p>
    <w:bookmarkEnd w:id="61"/>
    <w:p w14:paraId="42FD18CC" w14:textId="6EEC41D8" w:rsidR="00A77B3E" w:rsidRPr="00AA0B7D" w:rsidRDefault="00EA0B58" w:rsidP="00300CC9">
      <w:pPr>
        <w:spacing w:line="360" w:lineRule="auto"/>
        <w:jc w:val="both"/>
        <w:rPr>
          <w:rFonts w:ascii="Book Antiqua" w:hAnsi="Book Antiqua"/>
        </w:rPr>
      </w:pPr>
      <w:r w:rsidRPr="00AA0B7D">
        <w:rPr>
          <w:rFonts w:ascii="Book Antiqua" w:hAnsi="Book Antiqua"/>
          <w:noProof/>
        </w:rPr>
        <w:lastRenderedPageBreak/>
        <w:drawing>
          <wp:inline distT="0" distB="0" distL="0" distR="0" wp14:anchorId="78A6E5CA" wp14:editId="5C554937">
            <wp:extent cx="5943600" cy="3017520"/>
            <wp:effectExtent l="0" t="0" r="0" b="0"/>
            <wp:docPr id="1858408995"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408995" name="图片 1" descr="图表, 箱线图&#10;&#10;描述已自动生成"/>
                    <pic:cNvPicPr/>
                  </pic:nvPicPr>
                  <pic:blipFill>
                    <a:blip r:embed="rId16"/>
                    <a:stretch>
                      <a:fillRect/>
                    </a:stretch>
                  </pic:blipFill>
                  <pic:spPr>
                    <a:xfrm>
                      <a:off x="0" y="0"/>
                      <a:ext cx="5943600" cy="3017520"/>
                    </a:xfrm>
                    <a:prstGeom prst="rect">
                      <a:avLst/>
                    </a:prstGeom>
                  </pic:spPr>
                </pic:pic>
              </a:graphicData>
            </a:graphic>
          </wp:inline>
        </w:drawing>
      </w:r>
    </w:p>
    <w:p w14:paraId="1CF4BB0C" w14:textId="4CAE788F" w:rsidR="00120940" w:rsidRPr="00AA0B7D" w:rsidRDefault="00120940" w:rsidP="00120940">
      <w:pPr>
        <w:snapToGrid w:val="0"/>
        <w:spacing w:line="360" w:lineRule="auto"/>
        <w:jc w:val="both"/>
        <w:rPr>
          <w:rFonts w:ascii="Book Antiqua" w:eastAsia="Book Antiqua" w:hAnsi="Book Antiqua" w:cs="Book Antiqua"/>
          <w:color w:val="000000"/>
        </w:rPr>
      </w:pPr>
      <w:r w:rsidRPr="00AA0B7D">
        <w:rPr>
          <w:rFonts w:ascii="Book Antiqua" w:eastAsia="Book Antiqua" w:hAnsi="Book Antiqua" w:cs="Book Antiqua"/>
          <w:b/>
          <w:bCs/>
          <w:color w:val="000000"/>
        </w:rPr>
        <w:t xml:space="preserve">Figure 10 </w:t>
      </w:r>
      <w:r w:rsidR="00E644B0">
        <w:rPr>
          <w:rFonts w:ascii="Book Antiqua" w:eastAsia="Book Antiqua" w:hAnsi="Book Antiqua" w:cs="Book Antiqua"/>
          <w:b/>
          <w:bCs/>
          <w:color w:val="000000"/>
        </w:rPr>
        <w:t>R</w:t>
      </w:r>
      <w:r w:rsidRPr="00AA0B7D">
        <w:rPr>
          <w:rFonts w:ascii="Book Antiqua" w:eastAsia="Book Antiqua" w:hAnsi="Book Antiqua" w:cs="Book Antiqua"/>
          <w:b/>
          <w:bCs/>
          <w:color w:val="000000"/>
        </w:rPr>
        <w:t xml:space="preserve">elationship between grade of tumor budding and tumor infiltrating lymphocytes. </w:t>
      </w:r>
      <w:r w:rsidRPr="00AA0B7D">
        <w:rPr>
          <w:rFonts w:ascii="Book Antiqua" w:eastAsia="Book Antiqua" w:hAnsi="Book Antiqua" w:cs="Book Antiqua"/>
          <w:color w:val="000000"/>
        </w:rPr>
        <w:t xml:space="preserve">A: Bd 1 and Bd 2-3 </w:t>
      </w:r>
      <w:r w:rsidRPr="00AA0B7D">
        <w:rPr>
          <w:rFonts w:ascii="Book Antiqua" w:eastAsia="Book Antiqua" w:hAnsi="Book Antiqua" w:cs="Book Antiqua"/>
          <w:color w:val="000000"/>
          <w:lang w:eastAsia="zh-CN"/>
        </w:rPr>
        <w:t>with</w:t>
      </w:r>
      <w:r w:rsidRPr="00AA0B7D">
        <w:rPr>
          <w:rFonts w:ascii="Book Antiqua" w:eastAsia="Book Antiqua" w:hAnsi="Book Antiqua" w:cs="Book Antiqua"/>
          <w:color w:val="000000"/>
        </w:rPr>
        <w:t xml:space="preserve"> stromal tumor</w:t>
      </w:r>
      <w:r w:rsidR="00F84582">
        <w:rPr>
          <w:rFonts w:ascii="Book Antiqua" w:eastAsia="Book Antiqua" w:hAnsi="Book Antiqua" w:cs="Book Antiqua"/>
          <w:color w:val="000000"/>
        </w:rPr>
        <w:t>-</w:t>
      </w:r>
      <w:r w:rsidRPr="00AA0B7D">
        <w:rPr>
          <w:rFonts w:ascii="Book Antiqua" w:eastAsia="Book Antiqua" w:hAnsi="Book Antiqua" w:cs="Book Antiqua"/>
          <w:color w:val="000000"/>
        </w:rPr>
        <w:t xml:space="preserve">infiltrating lymphocytes (TILs); B: Bd 1 and Bd 2-3 </w:t>
      </w:r>
      <w:r w:rsidRPr="00AA0B7D">
        <w:rPr>
          <w:rFonts w:ascii="Book Antiqua" w:eastAsia="Book Antiqua" w:hAnsi="Book Antiqua" w:cs="Book Antiqua"/>
          <w:color w:val="000000"/>
          <w:lang w:eastAsia="zh-CN"/>
        </w:rPr>
        <w:t>with</w:t>
      </w:r>
      <w:r w:rsidRPr="00AA0B7D">
        <w:rPr>
          <w:rFonts w:ascii="Book Antiqua" w:eastAsia="Book Antiqua" w:hAnsi="Book Antiqua" w:cs="Book Antiqua"/>
          <w:color w:val="000000"/>
        </w:rPr>
        <w:t xml:space="preserve"> TILs at the invasive margin. </w:t>
      </w:r>
    </w:p>
    <w:p w14:paraId="449CD1BB" w14:textId="77777777" w:rsidR="00A77B3E" w:rsidRPr="00AA0B7D" w:rsidRDefault="00A77B3E" w:rsidP="00300CC9">
      <w:pPr>
        <w:spacing w:line="360" w:lineRule="auto"/>
        <w:jc w:val="both"/>
        <w:rPr>
          <w:rFonts w:ascii="Book Antiqua" w:hAnsi="Book Antiqua"/>
        </w:rPr>
      </w:pPr>
    </w:p>
    <w:p w14:paraId="04482653" w14:textId="77777777" w:rsidR="009D6D57" w:rsidRPr="00AA0B7D" w:rsidRDefault="009D6D57" w:rsidP="00300CC9">
      <w:pPr>
        <w:spacing w:line="360" w:lineRule="auto"/>
        <w:jc w:val="both"/>
        <w:rPr>
          <w:rFonts w:ascii="Book Antiqua" w:hAnsi="Book Antiqua"/>
        </w:rPr>
        <w:sectPr w:rsidR="009D6D57" w:rsidRPr="00AA0B7D">
          <w:pgSz w:w="12240" w:h="15840"/>
          <w:pgMar w:top="1440" w:right="1440" w:bottom="1440" w:left="1440" w:header="720" w:footer="720" w:gutter="0"/>
          <w:cols w:space="720"/>
          <w:docGrid w:linePitch="360"/>
        </w:sectPr>
      </w:pPr>
    </w:p>
    <w:p w14:paraId="02F9F2E0" w14:textId="19CAB26F" w:rsidR="00120940" w:rsidRPr="00AA0B7D" w:rsidRDefault="00120940" w:rsidP="00120940">
      <w:pPr>
        <w:snapToGrid w:val="0"/>
        <w:spacing w:line="360" w:lineRule="auto"/>
        <w:jc w:val="both"/>
        <w:rPr>
          <w:rFonts w:ascii="Book Antiqua" w:hAnsi="Book Antiqua"/>
          <w:b/>
          <w:bCs/>
        </w:rPr>
      </w:pPr>
      <w:bookmarkStart w:id="62" w:name="_Hlk152343912"/>
      <w:r w:rsidRPr="00AA0B7D">
        <w:rPr>
          <w:rFonts w:ascii="Book Antiqua" w:hAnsi="Book Antiqua"/>
          <w:b/>
          <w:bCs/>
        </w:rPr>
        <w:lastRenderedPageBreak/>
        <w:t>T</w:t>
      </w:r>
      <w:bookmarkStart w:id="63" w:name="_Hlk151633347"/>
      <w:r w:rsidRPr="00AA0B7D">
        <w:rPr>
          <w:rFonts w:ascii="Book Antiqua" w:hAnsi="Book Antiqua"/>
          <w:b/>
          <w:bCs/>
        </w:rPr>
        <w:t>able 1 Patient population characteristics according to tumor budding</w:t>
      </w:r>
    </w:p>
    <w:tbl>
      <w:tblPr>
        <w:tblW w:w="8789" w:type="dxa"/>
        <w:tblBorders>
          <w:top w:val="single" w:sz="4" w:space="0" w:color="auto"/>
          <w:bottom w:val="single" w:sz="4" w:space="0" w:color="auto"/>
        </w:tblBorders>
        <w:tblLook w:val="04A0" w:firstRow="1" w:lastRow="0" w:firstColumn="1" w:lastColumn="0" w:noHBand="0" w:noVBand="1"/>
      </w:tblPr>
      <w:tblGrid>
        <w:gridCol w:w="2268"/>
        <w:gridCol w:w="1871"/>
        <w:gridCol w:w="1673"/>
        <w:gridCol w:w="1843"/>
        <w:gridCol w:w="1134"/>
      </w:tblGrid>
      <w:tr w:rsidR="00120940" w:rsidRPr="00AA0B7D" w14:paraId="7AC4F5B2" w14:textId="77777777" w:rsidTr="0052362F">
        <w:trPr>
          <w:trHeight w:val="882"/>
        </w:trPr>
        <w:tc>
          <w:tcPr>
            <w:tcW w:w="2268" w:type="dxa"/>
            <w:tcBorders>
              <w:top w:val="single" w:sz="4" w:space="0" w:color="auto"/>
              <w:bottom w:val="single" w:sz="4" w:space="0" w:color="auto"/>
            </w:tcBorders>
            <w:shd w:val="clear" w:color="auto" w:fill="auto"/>
            <w:noWrap/>
            <w:vAlign w:val="bottom"/>
            <w:hideMark/>
          </w:tcPr>
          <w:bookmarkEnd w:id="62"/>
          <w:p w14:paraId="49E72256"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Characteristics</w:t>
            </w:r>
          </w:p>
        </w:tc>
        <w:tc>
          <w:tcPr>
            <w:tcW w:w="1871" w:type="dxa"/>
            <w:tcBorders>
              <w:top w:val="single" w:sz="4" w:space="0" w:color="auto"/>
            </w:tcBorders>
            <w:shd w:val="clear" w:color="auto" w:fill="auto"/>
            <w:noWrap/>
            <w:vAlign w:val="bottom"/>
            <w:hideMark/>
          </w:tcPr>
          <w:p w14:paraId="431D2878"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 xml:space="preserve">Total, </w:t>
            </w:r>
            <w:r w:rsidRPr="00AA0B7D">
              <w:rPr>
                <w:rFonts w:ascii="Book Antiqua" w:hAnsi="Book Antiqua"/>
                <w:b/>
                <w:bCs/>
                <w:i/>
                <w:iCs/>
              </w:rPr>
              <w:t>n</w:t>
            </w:r>
            <w:r w:rsidRPr="00AA0B7D">
              <w:rPr>
                <w:rFonts w:ascii="Book Antiqua" w:hAnsi="Book Antiqua"/>
                <w:b/>
                <w:bCs/>
              </w:rPr>
              <w:t xml:space="preserve"> = 547</w:t>
            </w:r>
          </w:p>
        </w:tc>
        <w:tc>
          <w:tcPr>
            <w:tcW w:w="1673" w:type="dxa"/>
            <w:tcBorders>
              <w:top w:val="single" w:sz="4" w:space="0" w:color="auto"/>
            </w:tcBorders>
            <w:shd w:val="clear" w:color="auto" w:fill="auto"/>
            <w:noWrap/>
            <w:vAlign w:val="bottom"/>
            <w:hideMark/>
          </w:tcPr>
          <w:p w14:paraId="50A64B4D"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 xml:space="preserve">Bd 1, </w:t>
            </w:r>
            <w:r w:rsidRPr="00AA0B7D">
              <w:rPr>
                <w:rFonts w:ascii="Book Antiqua" w:hAnsi="Book Antiqua"/>
                <w:b/>
                <w:bCs/>
                <w:i/>
                <w:iCs/>
              </w:rPr>
              <w:t>n</w:t>
            </w:r>
            <w:r w:rsidRPr="00AA0B7D">
              <w:rPr>
                <w:rFonts w:ascii="Book Antiqua" w:hAnsi="Book Antiqua"/>
                <w:b/>
                <w:bCs/>
              </w:rPr>
              <w:t xml:space="preserve"> = 386</w:t>
            </w:r>
          </w:p>
        </w:tc>
        <w:tc>
          <w:tcPr>
            <w:tcW w:w="1843" w:type="dxa"/>
            <w:tcBorders>
              <w:top w:val="single" w:sz="4" w:space="0" w:color="auto"/>
            </w:tcBorders>
            <w:shd w:val="clear" w:color="auto" w:fill="auto"/>
            <w:noWrap/>
            <w:vAlign w:val="bottom"/>
            <w:hideMark/>
          </w:tcPr>
          <w:p w14:paraId="16A39C4C"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 xml:space="preserve">Bd 2-3, </w:t>
            </w:r>
            <w:r w:rsidRPr="00AA0B7D">
              <w:rPr>
                <w:rFonts w:ascii="Book Antiqua" w:hAnsi="Book Antiqua"/>
                <w:b/>
                <w:bCs/>
                <w:i/>
                <w:iCs/>
              </w:rPr>
              <w:t xml:space="preserve">n </w:t>
            </w:r>
            <w:r w:rsidRPr="00AA0B7D">
              <w:rPr>
                <w:rFonts w:ascii="Book Antiqua" w:hAnsi="Book Antiqua"/>
                <w:b/>
                <w:bCs/>
              </w:rPr>
              <w:t>= 161</w:t>
            </w:r>
          </w:p>
        </w:tc>
        <w:tc>
          <w:tcPr>
            <w:tcW w:w="1134" w:type="dxa"/>
            <w:tcBorders>
              <w:top w:val="single" w:sz="4" w:space="0" w:color="auto"/>
            </w:tcBorders>
            <w:shd w:val="clear" w:color="auto" w:fill="auto"/>
            <w:noWrap/>
            <w:vAlign w:val="bottom"/>
            <w:hideMark/>
          </w:tcPr>
          <w:p w14:paraId="1DAFC27D"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i/>
                <w:iCs/>
              </w:rPr>
              <w:t xml:space="preserve">P </w:t>
            </w:r>
            <w:r w:rsidRPr="00AA0B7D">
              <w:rPr>
                <w:rFonts w:ascii="Book Antiqua" w:hAnsi="Book Antiqua"/>
                <w:b/>
                <w:bCs/>
              </w:rPr>
              <w:t>value</w:t>
            </w:r>
          </w:p>
        </w:tc>
      </w:tr>
      <w:tr w:rsidR="00120940" w:rsidRPr="00AA0B7D" w14:paraId="3745224A" w14:textId="77777777" w:rsidTr="0052362F">
        <w:trPr>
          <w:trHeight w:val="240"/>
        </w:trPr>
        <w:tc>
          <w:tcPr>
            <w:tcW w:w="2268" w:type="dxa"/>
            <w:tcBorders>
              <w:top w:val="single" w:sz="4" w:space="0" w:color="auto"/>
              <w:bottom w:val="nil"/>
            </w:tcBorders>
            <w:shd w:val="clear" w:color="auto" w:fill="auto"/>
            <w:noWrap/>
            <w:vAlign w:val="center"/>
            <w:hideMark/>
          </w:tcPr>
          <w:p w14:paraId="7112A805" w14:textId="77777777" w:rsidR="00120940" w:rsidRPr="00AA0B7D" w:rsidRDefault="00120940" w:rsidP="0052362F">
            <w:pPr>
              <w:snapToGrid w:val="0"/>
              <w:spacing w:line="360" w:lineRule="auto"/>
              <w:jc w:val="both"/>
              <w:rPr>
                <w:rFonts w:ascii="Book Antiqua" w:hAnsi="Book Antiqua"/>
              </w:rPr>
            </w:pPr>
            <w:r w:rsidRPr="00AA0B7D">
              <w:rPr>
                <w:rFonts w:ascii="Book Antiqua" w:eastAsia="Book Antiqua" w:hAnsi="Book Antiqua" w:cs="Book Antiqua"/>
                <w:color w:val="000000"/>
              </w:rPr>
              <w:t>Sex</w:t>
            </w:r>
          </w:p>
        </w:tc>
        <w:tc>
          <w:tcPr>
            <w:tcW w:w="1871" w:type="dxa"/>
            <w:tcBorders>
              <w:top w:val="single" w:sz="4" w:space="0" w:color="auto"/>
              <w:bottom w:val="nil"/>
            </w:tcBorders>
            <w:shd w:val="clear" w:color="auto" w:fill="auto"/>
            <w:noWrap/>
            <w:vAlign w:val="center"/>
            <w:hideMark/>
          </w:tcPr>
          <w:p w14:paraId="73C4B97B" w14:textId="77777777" w:rsidR="00120940" w:rsidRPr="00AA0B7D" w:rsidRDefault="00120940" w:rsidP="0052362F">
            <w:pPr>
              <w:snapToGrid w:val="0"/>
              <w:spacing w:line="360" w:lineRule="auto"/>
              <w:jc w:val="both"/>
              <w:rPr>
                <w:rFonts w:ascii="Book Antiqua" w:hAnsi="Book Antiqua"/>
              </w:rPr>
            </w:pPr>
          </w:p>
        </w:tc>
        <w:tc>
          <w:tcPr>
            <w:tcW w:w="1673" w:type="dxa"/>
            <w:tcBorders>
              <w:top w:val="single" w:sz="4" w:space="0" w:color="auto"/>
              <w:bottom w:val="nil"/>
            </w:tcBorders>
            <w:shd w:val="clear" w:color="auto" w:fill="auto"/>
            <w:noWrap/>
            <w:vAlign w:val="center"/>
            <w:hideMark/>
          </w:tcPr>
          <w:p w14:paraId="5D0C92A7" w14:textId="77777777" w:rsidR="00120940" w:rsidRPr="00AA0B7D" w:rsidRDefault="00120940" w:rsidP="0052362F">
            <w:pPr>
              <w:snapToGrid w:val="0"/>
              <w:spacing w:line="360" w:lineRule="auto"/>
              <w:jc w:val="both"/>
              <w:rPr>
                <w:rFonts w:ascii="Book Antiqua" w:hAnsi="Book Antiqua"/>
              </w:rPr>
            </w:pPr>
          </w:p>
        </w:tc>
        <w:tc>
          <w:tcPr>
            <w:tcW w:w="1843" w:type="dxa"/>
            <w:tcBorders>
              <w:top w:val="single" w:sz="4" w:space="0" w:color="auto"/>
              <w:bottom w:val="nil"/>
            </w:tcBorders>
            <w:shd w:val="clear" w:color="auto" w:fill="auto"/>
            <w:noWrap/>
            <w:vAlign w:val="center"/>
            <w:hideMark/>
          </w:tcPr>
          <w:p w14:paraId="4662EAF5" w14:textId="77777777" w:rsidR="00120940" w:rsidRPr="00AA0B7D" w:rsidRDefault="00120940" w:rsidP="0052362F">
            <w:pPr>
              <w:snapToGrid w:val="0"/>
              <w:spacing w:line="360" w:lineRule="auto"/>
              <w:jc w:val="both"/>
              <w:rPr>
                <w:rFonts w:ascii="Book Antiqua" w:hAnsi="Book Antiqua"/>
              </w:rPr>
            </w:pPr>
          </w:p>
        </w:tc>
        <w:tc>
          <w:tcPr>
            <w:tcW w:w="1134" w:type="dxa"/>
            <w:tcBorders>
              <w:top w:val="single" w:sz="4" w:space="0" w:color="auto"/>
              <w:bottom w:val="nil"/>
            </w:tcBorders>
            <w:shd w:val="clear" w:color="auto" w:fill="auto"/>
            <w:noWrap/>
            <w:vAlign w:val="center"/>
            <w:hideMark/>
          </w:tcPr>
          <w:p w14:paraId="5BDC8E1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0.514</w:t>
            </w:r>
          </w:p>
        </w:tc>
      </w:tr>
      <w:tr w:rsidR="00120940" w:rsidRPr="00AA0B7D" w14:paraId="02C9A32D" w14:textId="77777777" w:rsidTr="0052362F">
        <w:trPr>
          <w:trHeight w:val="276"/>
        </w:trPr>
        <w:tc>
          <w:tcPr>
            <w:tcW w:w="2268" w:type="dxa"/>
            <w:tcBorders>
              <w:top w:val="nil"/>
            </w:tcBorders>
            <w:shd w:val="clear" w:color="auto" w:fill="auto"/>
            <w:noWrap/>
            <w:vAlign w:val="center"/>
            <w:hideMark/>
          </w:tcPr>
          <w:p w14:paraId="7241415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Male</w:t>
            </w:r>
          </w:p>
        </w:tc>
        <w:tc>
          <w:tcPr>
            <w:tcW w:w="1871" w:type="dxa"/>
            <w:tcBorders>
              <w:top w:val="nil"/>
            </w:tcBorders>
            <w:shd w:val="clear" w:color="auto" w:fill="auto"/>
            <w:noWrap/>
            <w:vAlign w:val="center"/>
            <w:hideMark/>
          </w:tcPr>
          <w:p w14:paraId="4C751D0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317 (58.0)</w:t>
            </w:r>
          </w:p>
        </w:tc>
        <w:tc>
          <w:tcPr>
            <w:tcW w:w="1673" w:type="dxa"/>
            <w:tcBorders>
              <w:top w:val="nil"/>
            </w:tcBorders>
            <w:shd w:val="clear" w:color="auto" w:fill="auto"/>
            <w:noWrap/>
            <w:vAlign w:val="center"/>
            <w:hideMark/>
          </w:tcPr>
          <w:p w14:paraId="43E818D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224 (58.0)</w:t>
            </w:r>
          </w:p>
        </w:tc>
        <w:tc>
          <w:tcPr>
            <w:tcW w:w="1843" w:type="dxa"/>
            <w:tcBorders>
              <w:top w:val="nil"/>
            </w:tcBorders>
            <w:shd w:val="clear" w:color="auto" w:fill="auto"/>
            <w:noWrap/>
            <w:vAlign w:val="center"/>
            <w:hideMark/>
          </w:tcPr>
          <w:p w14:paraId="3A0EEFB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93 (57.8)</w:t>
            </w:r>
          </w:p>
        </w:tc>
        <w:tc>
          <w:tcPr>
            <w:tcW w:w="1134" w:type="dxa"/>
            <w:tcBorders>
              <w:top w:val="nil"/>
            </w:tcBorders>
            <w:shd w:val="clear" w:color="auto" w:fill="auto"/>
            <w:noWrap/>
            <w:vAlign w:val="center"/>
            <w:hideMark/>
          </w:tcPr>
          <w:p w14:paraId="6A0FFF7F" w14:textId="77777777" w:rsidR="00120940" w:rsidRPr="00AA0B7D" w:rsidRDefault="00120940" w:rsidP="0052362F">
            <w:pPr>
              <w:snapToGrid w:val="0"/>
              <w:spacing w:line="360" w:lineRule="auto"/>
              <w:jc w:val="both"/>
              <w:rPr>
                <w:rFonts w:ascii="Book Antiqua" w:hAnsi="Book Antiqua"/>
              </w:rPr>
            </w:pPr>
          </w:p>
        </w:tc>
      </w:tr>
      <w:tr w:rsidR="00120940" w:rsidRPr="00AA0B7D" w14:paraId="1465B35B" w14:textId="77777777" w:rsidTr="0052362F">
        <w:trPr>
          <w:trHeight w:val="276"/>
        </w:trPr>
        <w:tc>
          <w:tcPr>
            <w:tcW w:w="2268" w:type="dxa"/>
            <w:shd w:val="clear" w:color="auto" w:fill="auto"/>
            <w:noWrap/>
            <w:vAlign w:val="center"/>
            <w:hideMark/>
          </w:tcPr>
          <w:p w14:paraId="0C85A86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Female</w:t>
            </w:r>
          </w:p>
        </w:tc>
        <w:tc>
          <w:tcPr>
            <w:tcW w:w="1871" w:type="dxa"/>
            <w:shd w:val="clear" w:color="auto" w:fill="auto"/>
            <w:noWrap/>
            <w:vAlign w:val="center"/>
            <w:hideMark/>
          </w:tcPr>
          <w:p w14:paraId="7E993919"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230 (42.0)</w:t>
            </w:r>
          </w:p>
        </w:tc>
        <w:tc>
          <w:tcPr>
            <w:tcW w:w="1673" w:type="dxa"/>
            <w:shd w:val="clear" w:color="auto" w:fill="auto"/>
            <w:noWrap/>
            <w:vAlign w:val="center"/>
            <w:hideMark/>
          </w:tcPr>
          <w:p w14:paraId="57307D3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162 (42.0)</w:t>
            </w:r>
          </w:p>
        </w:tc>
        <w:tc>
          <w:tcPr>
            <w:tcW w:w="1843" w:type="dxa"/>
            <w:shd w:val="clear" w:color="auto" w:fill="auto"/>
            <w:noWrap/>
            <w:vAlign w:val="center"/>
            <w:hideMark/>
          </w:tcPr>
          <w:p w14:paraId="7A3F9AF0"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68 (42.2)</w:t>
            </w:r>
          </w:p>
        </w:tc>
        <w:tc>
          <w:tcPr>
            <w:tcW w:w="1134" w:type="dxa"/>
            <w:shd w:val="clear" w:color="auto" w:fill="auto"/>
            <w:noWrap/>
            <w:vAlign w:val="center"/>
            <w:hideMark/>
          </w:tcPr>
          <w:p w14:paraId="7527D6BB" w14:textId="77777777" w:rsidR="00120940" w:rsidRPr="00AA0B7D" w:rsidRDefault="00120940" w:rsidP="0052362F">
            <w:pPr>
              <w:snapToGrid w:val="0"/>
              <w:spacing w:line="360" w:lineRule="auto"/>
              <w:jc w:val="both"/>
              <w:rPr>
                <w:rFonts w:ascii="Book Antiqua" w:hAnsi="Book Antiqua"/>
              </w:rPr>
            </w:pPr>
          </w:p>
        </w:tc>
      </w:tr>
      <w:tr w:rsidR="00120940" w:rsidRPr="00AA0B7D" w14:paraId="3CFF3845" w14:textId="77777777" w:rsidTr="0052362F">
        <w:trPr>
          <w:trHeight w:val="276"/>
        </w:trPr>
        <w:tc>
          <w:tcPr>
            <w:tcW w:w="2268" w:type="dxa"/>
            <w:shd w:val="clear" w:color="auto" w:fill="auto"/>
            <w:noWrap/>
            <w:vAlign w:val="center"/>
            <w:hideMark/>
          </w:tcPr>
          <w:p w14:paraId="1C9E616F" w14:textId="3969E6D4" w:rsidR="00120940" w:rsidRPr="00AA0B7D" w:rsidRDefault="00120940" w:rsidP="0052362F">
            <w:pPr>
              <w:snapToGrid w:val="0"/>
              <w:spacing w:line="360" w:lineRule="auto"/>
              <w:jc w:val="both"/>
              <w:rPr>
                <w:rFonts w:ascii="Book Antiqua" w:hAnsi="Book Antiqua"/>
              </w:rPr>
            </w:pPr>
            <w:r w:rsidRPr="00AA0B7D">
              <w:rPr>
                <w:rFonts w:ascii="Book Antiqua" w:hAnsi="Book Antiqua"/>
              </w:rPr>
              <w:t>Age</w:t>
            </w:r>
            <w:r w:rsidR="00E644B0">
              <w:rPr>
                <w:rFonts w:ascii="Book Antiqua" w:hAnsi="Book Antiqua"/>
              </w:rPr>
              <w:t xml:space="preserve"> in yr</w:t>
            </w:r>
          </w:p>
        </w:tc>
        <w:tc>
          <w:tcPr>
            <w:tcW w:w="1871" w:type="dxa"/>
            <w:shd w:val="clear" w:color="auto" w:fill="auto"/>
            <w:noWrap/>
            <w:vAlign w:val="center"/>
            <w:hideMark/>
          </w:tcPr>
          <w:p w14:paraId="030C9BB8"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center"/>
            <w:hideMark/>
          </w:tcPr>
          <w:p w14:paraId="15BEA4C2"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center"/>
            <w:hideMark/>
          </w:tcPr>
          <w:p w14:paraId="4DC361D2"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center"/>
            <w:hideMark/>
          </w:tcPr>
          <w:p w14:paraId="5B8CA0B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0.141</w:t>
            </w:r>
          </w:p>
        </w:tc>
      </w:tr>
      <w:tr w:rsidR="00120940" w:rsidRPr="00AA0B7D" w14:paraId="5A13AAF9" w14:textId="77777777" w:rsidTr="0052362F">
        <w:trPr>
          <w:trHeight w:val="276"/>
        </w:trPr>
        <w:tc>
          <w:tcPr>
            <w:tcW w:w="2268" w:type="dxa"/>
            <w:shd w:val="clear" w:color="auto" w:fill="auto"/>
            <w:noWrap/>
            <w:vAlign w:val="center"/>
            <w:hideMark/>
          </w:tcPr>
          <w:p w14:paraId="261E7F17" w14:textId="77777777" w:rsidR="00120940" w:rsidRPr="00AA0B7D" w:rsidRDefault="00120940" w:rsidP="0052362F">
            <w:pPr>
              <w:snapToGrid w:val="0"/>
              <w:spacing w:line="360" w:lineRule="auto"/>
              <w:jc w:val="both"/>
              <w:rPr>
                <w:rFonts w:ascii="Book Antiqua" w:hAnsi="Book Antiqua"/>
              </w:rPr>
            </w:pPr>
            <w:r w:rsidRPr="00AA0B7D">
              <w:rPr>
                <w:rFonts w:ascii="Book Antiqua" w:eastAsia="Book Antiqua" w:hAnsi="Book Antiqua" w:cs="Book Antiqua"/>
                <w:color w:val="000000"/>
              </w:rPr>
              <w:t xml:space="preserve">&lt; </w:t>
            </w:r>
            <w:r w:rsidRPr="00AA0B7D">
              <w:rPr>
                <w:rFonts w:ascii="Book Antiqua" w:hAnsi="Book Antiqua"/>
              </w:rPr>
              <w:t>60</w:t>
            </w:r>
          </w:p>
        </w:tc>
        <w:tc>
          <w:tcPr>
            <w:tcW w:w="1871" w:type="dxa"/>
            <w:shd w:val="clear" w:color="auto" w:fill="auto"/>
            <w:noWrap/>
            <w:vAlign w:val="center"/>
            <w:hideMark/>
          </w:tcPr>
          <w:p w14:paraId="7AFE6EE4"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276 (50.5)</w:t>
            </w:r>
          </w:p>
        </w:tc>
        <w:tc>
          <w:tcPr>
            <w:tcW w:w="1673" w:type="dxa"/>
            <w:shd w:val="clear" w:color="auto" w:fill="auto"/>
            <w:noWrap/>
            <w:vAlign w:val="center"/>
            <w:hideMark/>
          </w:tcPr>
          <w:p w14:paraId="0DF1235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201 (52.1)</w:t>
            </w:r>
          </w:p>
        </w:tc>
        <w:tc>
          <w:tcPr>
            <w:tcW w:w="1843" w:type="dxa"/>
            <w:shd w:val="clear" w:color="auto" w:fill="auto"/>
            <w:noWrap/>
            <w:vAlign w:val="center"/>
            <w:hideMark/>
          </w:tcPr>
          <w:p w14:paraId="76E61DB7"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75 (46.6)</w:t>
            </w:r>
          </w:p>
        </w:tc>
        <w:tc>
          <w:tcPr>
            <w:tcW w:w="1134" w:type="dxa"/>
            <w:shd w:val="clear" w:color="auto" w:fill="auto"/>
            <w:noWrap/>
            <w:vAlign w:val="center"/>
            <w:hideMark/>
          </w:tcPr>
          <w:p w14:paraId="750EF681" w14:textId="77777777" w:rsidR="00120940" w:rsidRPr="00AA0B7D" w:rsidRDefault="00120940" w:rsidP="0052362F">
            <w:pPr>
              <w:snapToGrid w:val="0"/>
              <w:spacing w:line="360" w:lineRule="auto"/>
              <w:jc w:val="both"/>
              <w:rPr>
                <w:rFonts w:ascii="Book Antiqua" w:hAnsi="Book Antiqua"/>
              </w:rPr>
            </w:pPr>
          </w:p>
        </w:tc>
      </w:tr>
      <w:tr w:rsidR="00120940" w:rsidRPr="00AA0B7D" w14:paraId="68B78721" w14:textId="77777777" w:rsidTr="0052362F">
        <w:trPr>
          <w:trHeight w:val="276"/>
        </w:trPr>
        <w:tc>
          <w:tcPr>
            <w:tcW w:w="2268" w:type="dxa"/>
            <w:shd w:val="clear" w:color="auto" w:fill="auto"/>
            <w:noWrap/>
            <w:vAlign w:val="center"/>
            <w:hideMark/>
          </w:tcPr>
          <w:p w14:paraId="3F92F2E4"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 60</w:t>
            </w:r>
          </w:p>
        </w:tc>
        <w:tc>
          <w:tcPr>
            <w:tcW w:w="1871" w:type="dxa"/>
            <w:shd w:val="clear" w:color="auto" w:fill="auto"/>
            <w:noWrap/>
            <w:vAlign w:val="center"/>
            <w:hideMark/>
          </w:tcPr>
          <w:p w14:paraId="037CE5E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271 (49.5)</w:t>
            </w:r>
          </w:p>
        </w:tc>
        <w:tc>
          <w:tcPr>
            <w:tcW w:w="1673" w:type="dxa"/>
            <w:shd w:val="clear" w:color="auto" w:fill="auto"/>
            <w:noWrap/>
            <w:vAlign w:val="center"/>
            <w:hideMark/>
          </w:tcPr>
          <w:p w14:paraId="698C96E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185 (47.9)</w:t>
            </w:r>
          </w:p>
        </w:tc>
        <w:tc>
          <w:tcPr>
            <w:tcW w:w="1843" w:type="dxa"/>
            <w:shd w:val="clear" w:color="auto" w:fill="auto"/>
            <w:noWrap/>
            <w:vAlign w:val="center"/>
            <w:hideMark/>
          </w:tcPr>
          <w:p w14:paraId="5186CAE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86 (53.4)</w:t>
            </w:r>
          </w:p>
        </w:tc>
        <w:tc>
          <w:tcPr>
            <w:tcW w:w="1134" w:type="dxa"/>
            <w:shd w:val="clear" w:color="auto" w:fill="auto"/>
            <w:noWrap/>
            <w:vAlign w:val="center"/>
            <w:hideMark/>
          </w:tcPr>
          <w:p w14:paraId="3B23D538" w14:textId="77777777" w:rsidR="00120940" w:rsidRPr="00AA0B7D" w:rsidRDefault="00120940" w:rsidP="0052362F">
            <w:pPr>
              <w:snapToGrid w:val="0"/>
              <w:spacing w:line="360" w:lineRule="auto"/>
              <w:jc w:val="both"/>
              <w:rPr>
                <w:rFonts w:ascii="Book Antiqua" w:hAnsi="Book Antiqua"/>
              </w:rPr>
            </w:pPr>
          </w:p>
        </w:tc>
      </w:tr>
      <w:tr w:rsidR="00120940" w:rsidRPr="00AA0B7D" w14:paraId="697DD241" w14:textId="77777777" w:rsidTr="0052362F">
        <w:trPr>
          <w:trHeight w:val="276"/>
        </w:trPr>
        <w:tc>
          <w:tcPr>
            <w:tcW w:w="2268" w:type="dxa"/>
            <w:shd w:val="clear" w:color="auto" w:fill="auto"/>
            <w:noWrap/>
            <w:vAlign w:val="bottom"/>
            <w:hideMark/>
          </w:tcPr>
          <w:p w14:paraId="63C7E94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Chemotherapy</w:t>
            </w:r>
          </w:p>
        </w:tc>
        <w:tc>
          <w:tcPr>
            <w:tcW w:w="1871" w:type="dxa"/>
            <w:shd w:val="clear" w:color="auto" w:fill="auto"/>
            <w:noWrap/>
            <w:vAlign w:val="bottom"/>
            <w:hideMark/>
          </w:tcPr>
          <w:p w14:paraId="074C74E1"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1B2C7E6F"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14FB1FA0"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00F8F28E"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0.055</w:t>
            </w:r>
          </w:p>
        </w:tc>
      </w:tr>
      <w:tr w:rsidR="00120940" w:rsidRPr="00AA0B7D" w14:paraId="4D53B77F" w14:textId="77777777" w:rsidTr="0052362F">
        <w:trPr>
          <w:trHeight w:val="276"/>
        </w:trPr>
        <w:tc>
          <w:tcPr>
            <w:tcW w:w="2268" w:type="dxa"/>
            <w:shd w:val="clear" w:color="auto" w:fill="auto"/>
            <w:noWrap/>
            <w:vAlign w:val="bottom"/>
            <w:hideMark/>
          </w:tcPr>
          <w:p w14:paraId="1AF7E8F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Yes</w:t>
            </w:r>
          </w:p>
        </w:tc>
        <w:tc>
          <w:tcPr>
            <w:tcW w:w="1871" w:type="dxa"/>
            <w:shd w:val="clear" w:color="auto" w:fill="auto"/>
            <w:noWrap/>
            <w:vAlign w:val="bottom"/>
            <w:hideMark/>
          </w:tcPr>
          <w:p w14:paraId="33B06F5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319 (58.3)</w:t>
            </w:r>
          </w:p>
        </w:tc>
        <w:tc>
          <w:tcPr>
            <w:tcW w:w="1673" w:type="dxa"/>
            <w:shd w:val="clear" w:color="auto" w:fill="auto"/>
            <w:noWrap/>
            <w:vAlign w:val="bottom"/>
            <w:hideMark/>
          </w:tcPr>
          <w:p w14:paraId="12AC5E3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234 (60.6)</w:t>
            </w:r>
          </w:p>
        </w:tc>
        <w:tc>
          <w:tcPr>
            <w:tcW w:w="1843" w:type="dxa"/>
            <w:shd w:val="clear" w:color="auto" w:fill="auto"/>
            <w:noWrap/>
            <w:vAlign w:val="bottom"/>
            <w:hideMark/>
          </w:tcPr>
          <w:p w14:paraId="79A7E069"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85 (52.8)</w:t>
            </w:r>
          </w:p>
        </w:tc>
        <w:tc>
          <w:tcPr>
            <w:tcW w:w="1134" w:type="dxa"/>
            <w:shd w:val="clear" w:color="auto" w:fill="auto"/>
            <w:noWrap/>
            <w:vAlign w:val="bottom"/>
            <w:hideMark/>
          </w:tcPr>
          <w:p w14:paraId="38591A53" w14:textId="77777777" w:rsidR="00120940" w:rsidRPr="00AA0B7D" w:rsidRDefault="00120940" w:rsidP="0052362F">
            <w:pPr>
              <w:snapToGrid w:val="0"/>
              <w:spacing w:line="360" w:lineRule="auto"/>
              <w:jc w:val="both"/>
              <w:rPr>
                <w:rFonts w:ascii="Book Antiqua" w:hAnsi="Book Antiqua"/>
              </w:rPr>
            </w:pPr>
          </w:p>
        </w:tc>
      </w:tr>
      <w:tr w:rsidR="00120940" w:rsidRPr="00AA0B7D" w14:paraId="7BD7BAC8" w14:textId="77777777" w:rsidTr="0052362F">
        <w:trPr>
          <w:trHeight w:val="276"/>
        </w:trPr>
        <w:tc>
          <w:tcPr>
            <w:tcW w:w="2268" w:type="dxa"/>
            <w:shd w:val="clear" w:color="auto" w:fill="auto"/>
            <w:noWrap/>
            <w:vAlign w:val="bottom"/>
            <w:hideMark/>
          </w:tcPr>
          <w:p w14:paraId="1FB358B5"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No</w:t>
            </w:r>
          </w:p>
        </w:tc>
        <w:tc>
          <w:tcPr>
            <w:tcW w:w="1871" w:type="dxa"/>
            <w:shd w:val="clear" w:color="auto" w:fill="auto"/>
            <w:noWrap/>
            <w:vAlign w:val="bottom"/>
            <w:hideMark/>
          </w:tcPr>
          <w:p w14:paraId="3E5EDBD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228 (41.7)</w:t>
            </w:r>
          </w:p>
        </w:tc>
        <w:tc>
          <w:tcPr>
            <w:tcW w:w="1673" w:type="dxa"/>
            <w:shd w:val="clear" w:color="auto" w:fill="auto"/>
            <w:noWrap/>
            <w:vAlign w:val="bottom"/>
            <w:hideMark/>
          </w:tcPr>
          <w:p w14:paraId="58258B65"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152 (39.4)</w:t>
            </w:r>
          </w:p>
        </w:tc>
        <w:tc>
          <w:tcPr>
            <w:tcW w:w="1843" w:type="dxa"/>
            <w:shd w:val="clear" w:color="auto" w:fill="auto"/>
            <w:noWrap/>
            <w:vAlign w:val="bottom"/>
            <w:hideMark/>
          </w:tcPr>
          <w:p w14:paraId="336180E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76 (47.2)</w:t>
            </w:r>
          </w:p>
        </w:tc>
        <w:tc>
          <w:tcPr>
            <w:tcW w:w="1134" w:type="dxa"/>
            <w:shd w:val="clear" w:color="auto" w:fill="auto"/>
            <w:noWrap/>
            <w:vAlign w:val="bottom"/>
            <w:hideMark/>
          </w:tcPr>
          <w:p w14:paraId="3E9BD8C4" w14:textId="77777777" w:rsidR="00120940" w:rsidRPr="00AA0B7D" w:rsidRDefault="00120940" w:rsidP="0052362F">
            <w:pPr>
              <w:snapToGrid w:val="0"/>
              <w:spacing w:line="360" w:lineRule="auto"/>
              <w:jc w:val="both"/>
              <w:rPr>
                <w:rFonts w:ascii="Book Antiqua" w:hAnsi="Book Antiqua"/>
              </w:rPr>
            </w:pPr>
          </w:p>
        </w:tc>
      </w:tr>
      <w:tr w:rsidR="00120940" w:rsidRPr="00AA0B7D" w14:paraId="42FCD666" w14:textId="77777777" w:rsidTr="0052362F">
        <w:trPr>
          <w:trHeight w:val="276"/>
        </w:trPr>
        <w:tc>
          <w:tcPr>
            <w:tcW w:w="2268" w:type="dxa"/>
            <w:shd w:val="clear" w:color="auto" w:fill="auto"/>
            <w:noWrap/>
            <w:vAlign w:val="bottom"/>
            <w:hideMark/>
          </w:tcPr>
          <w:p w14:paraId="1E2573D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Radiotherapy</w:t>
            </w:r>
          </w:p>
        </w:tc>
        <w:tc>
          <w:tcPr>
            <w:tcW w:w="1871" w:type="dxa"/>
            <w:shd w:val="clear" w:color="auto" w:fill="auto"/>
            <w:noWrap/>
            <w:vAlign w:val="bottom"/>
            <w:hideMark/>
          </w:tcPr>
          <w:p w14:paraId="1DDA734D"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6086032C"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1034A3A7"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4E76EA06"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0.119</w:t>
            </w:r>
          </w:p>
        </w:tc>
      </w:tr>
      <w:tr w:rsidR="00120940" w:rsidRPr="00AA0B7D" w14:paraId="261784F3" w14:textId="77777777" w:rsidTr="0052362F">
        <w:trPr>
          <w:trHeight w:val="276"/>
        </w:trPr>
        <w:tc>
          <w:tcPr>
            <w:tcW w:w="2268" w:type="dxa"/>
            <w:shd w:val="clear" w:color="auto" w:fill="auto"/>
            <w:noWrap/>
            <w:vAlign w:val="bottom"/>
            <w:hideMark/>
          </w:tcPr>
          <w:p w14:paraId="78B9E84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Yes</w:t>
            </w:r>
          </w:p>
        </w:tc>
        <w:tc>
          <w:tcPr>
            <w:tcW w:w="1871" w:type="dxa"/>
            <w:shd w:val="clear" w:color="auto" w:fill="auto"/>
            <w:noWrap/>
            <w:vAlign w:val="bottom"/>
            <w:hideMark/>
          </w:tcPr>
          <w:p w14:paraId="0F121610"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32 (5.9)</w:t>
            </w:r>
          </w:p>
        </w:tc>
        <w:tc>
          <w:tcPr>
            <w:tcW w:w="1673" w:type="dxa"/>
            <w:shd w:val="clear" w:color="auto" w:fill="auto"/>
            <w:noWrap/>
            <w:vAlign w:val="bottom"/>
            <w:hideMark/>
          </w:tcPr>
          <w:p w14:paraId="43E524E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26 (6.7)</w:t>
            </w:r>
          </w:p>
        </w:tc>
        <w:tc>
          <w:tcPr>
            <w:tcW w:w="1843" w:type="dxa"/>
            <w:shd w:val="clear" w:color="auto" w:fill="auto"/>
            <w:noWrap/>
            <w:vAlign w:val="bottom"/>
            <w:hideMark/>
          </w:tcPr>
          <w:p w14:paraId="48C66C04"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6 (3.7)</w:t>
            </w:r>
          </w:p>
        </w:tc>
        <w:tc>
          <w:tcPr>
            <w:tcW w:w="1134" w:type="dxa"/>
            <w:shd w:val="clear" w:color="auto" w:fill="auto"/>
            <w:noWrap/>
            <w:vAlign w:val="bottom"/>
            <w:hideMark/>
          </w:tcPr>
          <w:p w14:paraId="7F2AC013" w14:textId="77777777" w:rsidR="00120940" w:rsidRPr="00AA0B7D" w:rsidRDefault="00120940" w:rsidP="0052362F">
            <w:pPr>
              <w:snapToGrid w:val="0"/>
              <w:spacing w:line="360" w:lineRule="auto"/>
              <w:jc w:val="both"/>
              <w:rPr>
                <w:rFonts w:ascii="Book Antiqua" w:hAnsi="Book Antiqua"/>
              </w:rPr>
            </w:pPr>
          </w:p>
        </w:tc>
      </w:tr>
      <w:tr w:rsidR="00120940" w:rsidRPr="00AA0B7D" w14:paraId="6225288D" w14:textId="77777777" w:rsidTr="0052362F">
        <w:trPr>
          <w:trHeight w:val="276"/>
        </w:trPr>
        <w:tc>
          <w:tcPr>
            <w:tcW w:w="2268" w:type="dxa"/>
            <w:shd w:val="clear" w:color="auto" w:fill="auto"/>
            <w:noWrap/>
            <w:vAlign w:val="bottom"/>
            <w:hideMark/>
          </w:tcPr>
          <w:p w14:paraId="6F54356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No</w:t>
            </w:r>
          </w:p>
        </w:tc>
        <w:tc>
          <w:tcPr>
            <w:tcW w:w="1871" w:type="dxa"/>
            <w:shd w:val="clear" w:color="auto" w:fill="auto"/>
            <w:noWrap/>
            <w:vAlign w:val="bottom"/>
            <w:hideMark/>
          </w:tcPr>
          <w:p w14:paraId="0C922D3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515 (94.1)</w:t>
            </w:r>
          </w:p>
        </w:tc>
        <w:tc>
          <w:tcPr>
            <w:tcW w:w="1673" w:type="dxa"/>
            <w:shd w:val="clear" w:color="auto" w:fill="auto"/>
            <w:noWrap/>
            <w:vAlign w:val="bottom"/>
            <w:hideMark/>
          </w:tcPr>
          <w:p w14:paraId="5EDDDE8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360 (93.3)</w:t>
            </w:r>
          </w:p>
        </w:tc>
        <w:tc>
          <w:tcPr>
            <w:tcW w:w="1843" w:type="dxa"/>
            <w:shd w:val="clear" w:color="auto" w:fill="auto"/>
            <w:noWrap/>
            <w:vAlign w:val="bottom"/>
            <w:hideMark/>
          </w:tcPr>
          <w:p w14:paraId="00AE3CA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155 (96.3)</w:t>
            </w:r>
          </w:p>
        </w:tc>
        <w:tc>
          <w:tcPr>
            <w:tcW w:w="1134" w:type="dxa"/>
            <w:shd w:val="clear" w:color="auto" w:fill="auto"/>
            <w:noWrap/>
            <w:vAlign w:val="bottom"/>
            <w:hideMark/>
          </w:tcPr>
          <w:p w14:paraId="3758BBB0" w14:textId="77777777" w:rsidR="00120940" w:rsidRPr="00AA0B7D" w:rsidRDefault="00120940" w:rsidP="0052362F">
            <w:pPr>
              <w:snapToGrid w:val="0"/>
              <w:spacing w:line="360" w:lineRule="auto"/>
              <w:jc w:val="both"/>
              <w:rPr>
                <w:rFonts w:ascii="Book Antiqua" w:hAnsi="Book Antiqua"/>
              </w:rPr>
            </w:pPr>
          </w:p>
        </w:tc>
      </w:tr>
      <w:tr w:rsidR="00120940" w:rsidRPr="00AA0B7D" w14:paraId="09D86FE8" w14:textId="77777777" w:rsidTr="0052362F">
        <w:trPr>
          <w:trHeight w:val="276"/>
        </w:trPr>
        <w:tc>
          <w:tcPr>
            <w:tcW w:w="2268" w:type="dxa"/>
            <w:shd w:val="clear" w:color="auto" w:fill="auto"/>
            <w:noWrap/>
            <w:vAlign w:val="bottom"/>
            <w:hideMark/>
          </w:tcPr>
          <w:p w14:paraId="469197D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Perineural invasion</w:t>
            </w:r>
          </w:p>
        </w:tc>
        <w:tc>
          <w:tcPr>
            <w:tcW w:w="1871" w:type="dxa"/>
            <w:shd w:val="clear" w:color="auto" w:fill="auto"/>
            <w:noWrap/>
            <w:vAlign w:val="bottom"/>
            <w:hideMark/>
          </w:tcPr>
          <w:p w14:paraId="5A7A0AA9"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16F7D827"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3D2C1314"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5EE4C7F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&lt; 0.001</w:t>
            </w:r>
          </w:p>
        </w:tc>
      </w:tr>
      <w:tr w:rsidR="00120940" w:rsidRPr="00AA0B7D" w14:paraId="63ED116A" w14:textId="77777777" w:rsidTr="0052362F">
        <w:trPr>
          <w:trHeight w:val="276"/>
        </w:trPr>
        <w:tc>
          <w:tcPr>
            <w:tcW w:w="2268" w:type="dxa"/>
            <w:shd w:val="clear" w:color="auto" w:fill="auto"/>
            <w:noWrap/>
            <w:vAlign w:val="bottom"/>
            <w:hideMark/>
          </w:tcPr>
          <w:p w14:paraId="4F49BF9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Yes</w:t>
            </w:r>
          </w:p>
        </w:tc>
        <w:tc>
          <w:tcPr>
            <w:tcW w:w="1871" w:type="dxa"/>
            <w:shd w:val="clear" w:color="auto" w:fill="auto"/>
            <w:noWrap/>
            <w:vAlign w:val="bottom"/>
            <w:hideMark/>
          </w:tcPr>
          <w:p w14:paraId="5B47F96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171 (31.3)</w:t>
            </w:r>
          </w:p>
        </w:tc>
        <w:tc>
          <w:tcPr>
            <w:tcW w:w="1673" w:type="dxa"/>
            <w:shd w:val="clear" w:color="auto" w:fill="auto"/>
            <w:noWrap/>
            <w:vAlign w:val="bottom"/>
            <w:hideMark/>
          </w:tcPr>
          <w:p w14:paraId="7338577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100 (25.9)</w:t>
            </w:r>
          </w:p>
        </w:tc>
        <w:tc>
          <w:tcPr>
            <w:tcW w:w="1843" w:type="dxa"/>
            <w:shd w:val="clear" w:color="auto" w:fill="auto"/>
            <w:noWrap/>
            <w:vAlign w:val="bottom"/>
            <w:hideMark/>
          </w:tcPr>
          <w:p w14:paraId="5381132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71 (44.1)</w:t>
            </w:r>
          </w:p>
        </w:tc>
        <w:tc>
          <w:tcPr>
            <w:tcW w:w="1134" w:type="dxa"/>
            <w:shd w:val="clear" w:color="auto" w:fill="auto"/>
            <w:noWrap/>
            <w:vAlign w:val="bottom"/>
            <w:hideMark/>
          </w:tcPr>
          <w:p w14:paraId="19C98B2E" w14:textId="77777777" w:rsidR="00120940" w:rsidRPr="00AA0B7D" w:rsidRDefault="00120940" w:rsidP="0052362F">
            <w:pPr>
              <w:snapToGrid w:val="0"/>
              <w:spacing w:line="360" w:lineRule="auto"/>
              <w:jc w:val="both"/>
              <w:rPr>
                <w:rFonts w:ascii="Book Antiqua" w:hAnsi="Book Antiqua"/>
              </w:rPr>
            </w:pPr>
          </w:p>
        </w:tc>
      </w:tr>
      <w:tr w:rsidR="00120940" w:rsidRPr="00AA0B7D" w14:paraId="5783800A" w14:textId="77777777" w:rsidTr="0052362F">
        <w:trPr>
          <w:trHeight w:val="276"/>
        </w:trPr>
        <w:tc>
          <w:tcPr>
            <w:tcW w:w="2268" w:type="dxa"/>
            <w:shd w:val="clear" w:color="auto" w:fill="auto"/>
            <w:noWrap/>
            <w:vAlign w:val="bottom"/>
            <w:hideMark/>
          </w:tcPr>
          <w:p w14:paraId="18C2081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No</w:t>
            </w:r>
          </w:p>
        </w:tc>
        <w:tc>
          <w:tcPr>
            <w:tcW w:w="1871" w:type="dxa"/>
            <w:shd w:val="clear" w:color="auto" w:fill="auto"/>
            <w:noWrap/>
            <w:vAlign w:val="bottom"/>
            <w:hideMark/>
          </w:tcPr>
          <w:p w14:paraId="66BC57F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376 (68.7)</w:t>
            </w:r>
          </w:p>
        </w:tc>
        <w:tc>
          <w:tcPr>
            <w:tcW w:w="1673" w:type="dxa"/>
            <w:shd w:val="clear" w:color="auto" w:fill="auto"/>
            <w:noWrap/>
            <w:vAlign w:val="bottom"/>
            <w:hideMark/>
          </w:tcPr>
          <w:p w14:paraId="62880FE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286 (74.1)</w:t>
            </w:r>
          </w:p>
        </w:tc>
        <w:tc>
          <w:tcPr>
            <w:tcW w:w="1843" w:type="dxa"/>
            <w:shd w:val="clear" w:color="auto" w:fill="auto"/>
            <w:noWrap/>
            <w:vAlign w:val="bottom"/>
            <w:hideMark/>
          </w:tcPr>
          <w:p w14:paraId="18D7C57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90 (55.9)</w:t>
            </w:r>
          </w:p>
        </w:tc>
        <w:tc>
          <w:tcPr>
            <w:tcW w:w="1134" w:type="dxa"/>
            <w:shd w:val="clear" w:color="auto" w:fill="auto"/>
            <w:noWrap/>
            <w:vAlign w:val="bottom"/>
            <w:hideMark/>
          </w:tcPr>
          <w:p w14:paraId="28BF8CA6" w14:textId="77777777" w:rsidR="00120940" w:rsidRPr="00AA0B7D" w:rsidRDefault="00120940" w:rsidP="0052362F">
            <w:pPr>
              <w:snapToGrid w:val="0"/>
              <w:spacing w:line="360" w:lineRule="auto"/>
              <w:jc w:val="both"/>
              <w:rPr>
                <w:rFonts w:ascii="Book Antiqua" w:hAnsi="Book Antiqua"/>
              </w:rPr>
            </w:pPr>
          </w:p>
        </w:tc>
      </w:tr>
      <w:tr w:rsidR="00120940" w:rsidRPr="00AA0B7D" w14:paraId="5092F4B3" w14:textId="77777777" w:rsidTr="0052362F">
        <w:trPr>
          <w:trHeight w:val="276"/>
        </w:trPr>
        <w:tc>
          <w:tcPr>
            <w:tcW w:w="2268" w:type="dxa"/>
            <w:shd w:val="clear" w:color="auto" w:fill="auto"/>
            <w:noWrap/>
            <w:vAlign w:val="bottom"/>
            <w:hideMark/>
          </w:tcPr>
          <w:p w14:paraId="6AD3E14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Vascular invasion</w:t>
            </w:r>
          </w:p>
        </w:tc>
        <w:tc>
          <w:tcPr>
            <w:tcW w:w="1871" w:type="dxa"/>
            <w:shd w:val="clear" w:color="auto" w:fill="auto"/>
            <w:noWrap/>
            <w:vAlign w:val="bottom"/>
            <w:hideMark/>
          </w:tcPr>
          <w:p w14:paraId="5D75BB2D"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089AA6A9"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2FF857CB"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654CDBA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0.004</w:t>
            </w:r>
          </w:p>
        </w:tc>
      </w:tr>
      <w:tr w:rsidR="00120940" w:rsidRPr="00AA0B7D" w14:paraId="59824EC9" w14:textId="77777777" w:rsidTr="0052362F">
        <w:trPr>
          <w:trHeight w:val="276"/>
        </w:trPr>
        <w:tc>
          <w:tcPr>
            <w:tcW w:w="2268" w:type="dxa"/>
            <w:shd w:val="clear" w:color="auto" w:fill="auto"/>
            <w:noWrap/>
            <w:vAlign w:val="bottom"/>
            <w:hideMark/>
          </w:tcPr>
          <w:p w14:paraId="30C253D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Yes</w:t>
            </w:r>
          </w:p>
        </w:tc>
        <w:tc>
          <w:tcPr>
            <w:tcW w:w="1871" w:type="dxa"/>
            <w:shd w:val="clear" w:color="auto" w:fill="auto"/>
            <w:noWrap/>
            <w:vAlign w:val="bottom"/>
            <w:hideMark/>
          </w:tcPr>
          <w:p w14:paraId="2A182126"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152 (27.8)</w:t>
            </w:r>
          </w:p>
        </w:tc>
        <w:tc>
          <w:tcPr>
            <w:tcW w:w="1673" w:type="dxa"/>
            <w:shd w:val="clear" w:color="auto" w:fill="auto"/>
            <w:noWrap/>
            <w:vAlign w:val="bottom"/>
            <w:hideMark/>
          </w:tcPr>
          <w:p w14:paraId="7ABC7CC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94 (24.4)</w:t>
            </w:r>
          </w:p>
        </w:tc>
        <w:tc>
          <w:tcPr>
            <w:tcW w:w="1843" w:type="dxa"/>
            <w:shd w:val="clear" w:color="auto" w:fill="auto"/>
            <w:noWrap/>
            <w:vAlign w:val="bottom"/>
            <w:hideMark/>
          </w:tcPr>
          <w:p w14:paraId="2C0CC80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58 (36.0)</w:t>
            </w:r>
          </w:p>
        </w:tc>
        <w:tc>
          <w:tcPr>
            <w:tcW w:w="1134" w:type="dxa"/>
            <w:shd w:val="clear" w:color="auto" w:fill="auto"/>
            <w:noWrap/>
            <w:vAlign w:val="bottom"/>
            <w:hideMark/>
          </w:tcPr>
          <w:p w14:paraId="01634CB4" w14:textId="77777777" w:rsidR="00120940" w:rsidRPr="00AA0B7D" w:rsidRDefault="00120940" w:rsidP="0052362F">
            <w:pPr>
              <w:snapToGrid w:val="0"/>
              <w:spacing w:line="360" w:lineRule="auto"/>
              <w:jc w:val="both"/>
              <w:rPr>
                <w:rFonts w:ascii="Book Antiqua" w:hAnsi="Book Antiqua"/>
              </w:rPr>
            </w:pPr>
          </w:p>
        </w:tc>
      </w:tr>
      <w:tr w:rsidR="00120940" w:rsidRPr="00AA0B7D" w14:paraId="7CEAD9DC" w14:textId="77777777" w:rsidTr="0052362F">
        <w:trPr>
          <w:trHeight w:val="276"/>
        </w:trPr>
        <w:tc>
          <w:tcPr>
            <w:tcW w:w="2268" w:type="dxa"/>
            <w:shd w:val="clear" w:color="auto" w:fill="auto"/>
            <w:noWrap/>
            <w:vAlign w:val="bottom"/>
            <w:hideMark/>
          </w:tcPr>
          <w:p w14:paraId="7715541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No</w:t>
            </w:r>
          </w:p>
        </w:tc>
        <w:tc>
          <w:tcPr>
            <w:tcW w:w="1871" w:type="dxa"/>
            <w:shd w:val="clear" w:color="auto" w:fill="auto"/>
            <w:noWrap/>
            <w:vAlign w:val="bottom"/>
            <w:hideMark/>
          </w:tcPr>
          <w:p w14:paraId="0848620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395 (72.2)</w:t>
            </w:r>
          </w:p>
        </w:tc>
        <w:tc>
          <w:tcPr>
            <w:tcW w:w="1673" w:type="dxa"/>
            <w:shd w:val="clear" w:color="auto" w:fill="auto"/>
            <w:noWrap/>
            <w:vAlign w:val="bottom"/>
            <w:hideMark/>
          </w:tcPr>
          <w:p w14:paraId="5BE4A43E"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292 (75.6)</w:t>
            </w:r>
          </w:p>
        </w:tc>
        <w:tc>
          <w:tcPr>
            <w:tcW w:w="1843" w:type="dxa"/>
            <w:shd w:val="clear" w:color="auto" w:fill="auto"/>
            <w:noWrap/>
            <w:vAlign w:val="bottom"/>
            <w:hideMark/>
          </w:tcPr>
          <w:p w14:paraId="6D7DBD3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103 (64.0)</w:t>
            </w:r>
          </w:p>
        </w:tc>
        <w:tc>
          <w:tcPr>
            <w:tcW w:w="1134" w:type="dxa"/>
            <w:shd w:val="clear" w:color="auto" w:fill="auto"/>
            <w:noWrap/>
            <w:vAlign w:val="bottom"/>
            <w:hideMark/>
          </w:tcPr>
          <w:p w14:paraId="0BD1710E" w14:textId="77777777" w:rsidR="00120940" w:rsidRPr="00AA0B7D" w:rsidRDefault="00120940" w:rsidP="0052362F">
            <w:pPr>
              <w:snapToGrid w:val="0"/>
              <w:spacing w:line="360" w:lineRule="auto"/>
              <w:jc w:val="both"/>
              <w:rPr>
                <w:rFonts w:ascii="Book Antiqua" w:hAnsi="Book Antiqua"/>
              </w:rPr>
            </w:pPr>
          </w:p>
        </w:tc>
      </w:tr>
      <w:tr w:rsidR="00120940" w:rsidRPr="00AA0B7D" w14:paraId="70EBF6A9" w14:textId="77777777" w:rsidTr="0052362F">
        <w:trPr>
          <w:trHeight w:val="276"/>
        </w:trPr>
        <w:tc>
          <w:tcPr>
            <w:tcW w:w="2268" w:type="dxa"/>
            <w:shd w:val="clear" w:color="auto" w:fill="auto"/>
            <w:noWrap/>
            <w:vAlign w:val="bottom"/>
            <w:hideMark/>
          </w:tcPr>
          <w:p w14:paraId="58B4BA77"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Clinical stages</w:t>
            </w:r>
          </w:p>
        </w:tc>
        <w:tc>
          <w:tcPr>
            <w:tcW w:w="1871" w:type="dxa"/>
            <w:shd w:val="clear" w:color="auto" w:fill="auto"/>
            <w:noWrap/>
            <w:vAlign w:val="bottom"/>
            <w:hideMark/>
          </w:tcPr>
          <w:p w14:paraId="286256A7"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5FA2FBF7"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0AA90E85"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129ECB5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0.006</w:t>
            </w:r>
          </w:p>
        </w:tc>
      </w:tr>
      <w:tr w:rsidR="00120940" w:rsidRPr="00AA0B7D" w14:paraId="5869E1BA" w14:textId="77777777" w:rsidTr="0052362F">
        <w:trPr>
          <w:trHeight w:val="276"/>
        </w:trPr>
        <w:tc>
          <w:tcPr>
            <w:tcW w:w="2268" w:type="dxa"/>
            <w:shd w:val="clear" w:color="auto" w:fill="auto"/>
            <w:noWrap/>
            <w:vAlign w:val="bottom"/>
            <w:hideMark/>
          </w:tcPr>
          <w:p w14:paraId="2762AFB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w:t>
            </w:r>
          </w:p>
        </w:tc>
        <w:tc>
          <w:tcPr>
            <w:tcW w:w="1871" w:type="dxa"/>
            <w:shd w:val="clear" w:color="auto" w:fill="auto"/>
            <w:noWrap/>
            <w:vAlign w:val="bottom"/>
            <w:hideMark/>
          </w:tcPr>
          <w:p w14:paraId="0FFC2FA4"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436 (79.7)</w:t>
            </w:r>
          </w:p>
        </w:tc>
        <w:tc>
          <w:tcPr>
            <w:tcW w:w="1673" w:type="dxa"/>
            <w:shd w:val="clear" w:color="auto" w:fill="auto"/>
            <w:noWrap/>
            <w:vAlign w:val="bottom"/>
            <w:hideMark/>
          </w:tcPr>
          <w:p w14:paraId="58BC5B7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319 (82.6</w:t>
            </w:r>
            <w:r w:rsidRPr="00AA0B7D">
              <w:rPr>
                <w:rFonts w:ascii="Book Antiqua" w:hAnsi="Book Antiqua"/>
              </w:rPr>
              <w:t>）</w:t>
            </w:r>
          </w:p>
        </w:tc>
        <w:tc>
          <w:tcPr>
            <w:tcW w:w="1843" w:type="dxa"/>
            <w:shd w:val="clear" w:color="auto" w:fill="auto"/>
            <w:noWrap/>
            <w:vAlign w:val="bottom"/>
            <w:hideMark/>
          </w:tcPr>
          <w:p w14:paraId="4D0E3A4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117 (72.7)</w:t>
            </w:r>
          </w:p>
        </w:tc>
        <w:tc>
          <w:tcPr>
            <w:tcW w:w="1134" w:type="dxa"/>
            <w:shd w:val="clear" w:color="auto" w:fill="auto"/>
            <w:noWrap/>
            <w:vAlign w:val="bottom"/>
            <w:hideMark/>
          </w:tcPr>
          <w:p w14:paraId="35DF73CA" w14:textId="77777777" w:rsidR="00120940" w:rsidRPr="00AA0B7D" w:rsidRDefault="00120940" w:rsidP="0052362F">
            <w:pPr>
              <w:snapToGrid w:val="0"/>
              <w:spacing w:line="360" w:lineRule="auto"/>
              <w:jc w:val="both"/>
              <w:rPr>
                <w:rFonts w:ascii="Book Antiqua" w:hAnsi="Book Antiqua"/>
              </w:rPr>
            </w:pPr>
          </w:p>
        </w:tc>
      </w:tr>
      <w:tr w:rsidR="00120940" w:rsidRPr="00AA0B7D" w14:paraId="798E6481" w14:textId="77777777" w:rsidTr="0052362F">
        <w:trPr>
          <w:trHeight w:val="276"/>
        </w:trPr>
        <w:tc>
          <w:tcPr>
            <w:tcW w:w="2268" w:type="dxa"/>
            <w:shd w:val="clear" w:color="auto" w:fill="auto"/>
            <w:noWrap/>
            <w:vAlign w:val="bottom"/>
            <w:hideMark/>
          </w:tcPr>
          <w:p w14:paraId="7105722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w:t>
            </w:r>
          </w:p>
        </w:tc>
        <w:tc>
          <w:tcPr>
            <w:tcW w:w="1871" w:type="dxa"/>
            <w:shd w:val="clear" w:color="auto" w:fill="auto"/>
            <w:noWrap/>
            <w:vAlign w:val="bottom"/>
            <w:hideMark/>
          </w:tcPr>
          <w:p w14:paraId="78F8932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111 (20.3)</w:t>
            </w:r>
          </w:p>
        </w:tc>
        <w:tc>
          <w:tcPr>
            <w:tcW w:w="1673" w:type="dxa"/>
            <w:shd w:val="clear" w:color="auto" w:fill="auto"/>
            <w:noWrap/>
            <w:vAlign w:val="bottom"/>
            <w:hideMark/>
          </w:tcPr>
          <w:p w14:paraId="7333769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67 (17.4)</w:t>
            </w:r>
          </w:p>
        </w:tc>
        <w:tc>
          <w:tcPr>
            <w:tcW w:w="1843" w:type="dxa"/>
            <w:shd w:val="clear" w:color="auto" w:fill="auto"/>
            <w:noWrap/>
            <w:vAlign w:val="bottom"/>
            <w:hideMark/>
          </w:tcPr>
          <w:p w14:paraId="185A980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44 (27.3)</w:t>
            </w:r>
          </w:p>
        </w:tc>
        <w:tc>
          <w:tcPr>
            <w:tcW w:w="1134" w:type="dxa"/>
            <w:shd w:val="clear" w:color="auto" w:fill="auto"/>
            <w:noWrap/>
            <w:vAlign w:val="bottom"/>
            <w:hideMark/>
          </w:tcPr>
          <w:p w14:paraId="66878F39" w14:textId="77777777" w:rsidR="00120940" w:rsidRPr="00AA0B7D" w:rsidRDefault="00120940" w:rsidP="0052362F">
            <w:pPr>
              <w:snapToGrid w:val="0"/>
              <w:spacing w:line="360" w:lineRule="auto"/>
              <w:jc w:val="both"/>
              <w:rPr>
                <w:rFonts w:ascii="Book Antiqua" w:hAnsi="Book Antiqua"/>
              </w:rPr>
            </w:pPr>
          </w:p>
        </w:tc>
      </w:tr>
      <w:tr w:rsidR="00120940" w:rsidRPr="00AA0B7D" w14:paraId="4DCADACA" w14:textId="77777777" w:rsidTr="0052362F">
        <w:trPr>
          <w:trHeight w:val="276"/>
        </w:trPr>
        <w:tc>
          <w:tcPr>
            <w:tcW w:w="2268" w:type="dxa"/>
            <w:shd w:val="clear" w:color="auto" w:fill="auto"/>
            <w:noWrap/>
            <w:vAlign w:val="bottom"/>
            <w:hideMark/>
          </w:tcPr>
          <w:p w14:paraId="66B2B12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Lymphatic invasion</w:t>
            </w:r>
          </w:p>
        </w:tc>
        <w:tc>
          <w:tcPr>
            <w:tcW w:w="1871" w:type="dxa"/>
            <w:shd w:val="clear" w:color="auto" w:fill="auto"/>
            <w:noWrap/>
            <w:vAlign w:val="bottom"/>
            <w:hideMark/>
          </w:tcPr>
          <w:p w14:paraId="704334F4"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5D536448"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633B10DF"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6C03185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0.019</w:t>
            </w:r>
          </w:p>
        </w:tc>
      </w:tr>
      <w:tr w:rsidR="00120940" w:rsidRPr="00AA0B7D" w14:paraId="10E72BA9" w14:textId="77777777" w:rsidTr="0052362F">
        <w:trPr>
          <w:trHeight w:val="276"/>
        </w:trPr>
        <w:tc>
          <w:tcPr>
            <w:tcW w:w="2268" w:type="dxa"/>
            <w:shd w:val="clear" w:color="auto" w:fill="auto"/>
            <w:noWrap/>
            <w:vAlign w:val="bottom"/>
            <w:hideMark/>
          </w:tcPr>
          <w:p w14:paraId="7A384EF9"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N0</w:t>
            </w:r>
          </w:p>
        </w:tc>
        <w:tc>
          <w:tcPr>
            <w:tcW w:w="1871" w:type="dxa"/>
            <w:shd w:val="clear" w:color="auto" w:fill="auto"/>
            <w:noWrap/>
            <w:vAlign w:val="bottom"/>
            <w:hideMark/>
          </w:tcPr>
          <w:p w14:paraId="5D3A8D4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134 (24.5)</w:t>
            </w:r>
          </w:p>
        </w:tc>
        <w:tc>
          <w:tcPr>
            <w:tcW w:w="1673" w:type="dxa"/>
            <w:shd w:val="clear" w:color="auto" w:fill="auto"/>
            <w:noWrap/>
            <w:vAlign w:val="bottom"/>
            <w:hideMark/>
          </w:tcPr>
          <w:p w14:paraId="2A49FEE9"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105 (27.2)</w:t>
            </w:r>
          </w:p>
        </w:tc>
        <w:tc>
          <w:tcPr>
            <w:tcW w:w="1843" w:type="dxa"/>
            <w:shd w:val="clear" w:color="auto" w:fill="auto"/>
            <w:noWrap/>
            <w:vAlign w:val="bottom"/>
            <w:hideMark/>
          </w:tcPr>
          <w:p w14:paraId="73C4F3A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29 (18.0)</w:t>
            </w:r>
          </w:p>
        </w:tc>
        <w:tc>
          <w:tcPr>
            <w:tcW w:w="1134" w:type="dxa"/>
            <w:shd w:val="clear" w:color="auto" w:fill="auto"/>
            <w:noWrap/>
            <w:vAlign w:val="bottom"/>
            <w:hideMark/>
          </w:tcPr>
          <w:p w14:paraId="65C35029" w14:textId="77777777" w:rsidR="00120940" w:rsidRPr="00AA0B7D" w:rsidRDefault="00120940" w:rsidP="0052362F">
            <w:pPr>
              <w:snapToGrid w:val="0"/>
              <w:spacing w:line="360" w:lineRule="auto"/>
              <w:jc w:val="both"/>
              <w:rPr>
                <w:rFonts w:ascii="Book Antiqua" w:hAnsi="Book Antiqua"/>
              </w:rPr>
            </w:pPr>
          </w:p>
        </w:tc>
      </w:tr>
      <w:tr w:rsidR="00120940" w:rsidRPr="00AA0B7D" w14:paraId="1B51F43A" w14:textId="77777777" w:rsidTr="0052362F">
        <w:trPr>
          <w:trHeight w:val="276"/>
        </w:trPr>
        <w:tc>
          <w:tcPr>
            <w:tcW w:w="2268" w:type="dxa"/>
            <w:shd w:val="clear" w:color="auto" w:fill="auto"/>
            <w:noWrap/>
            <w:vAlign w:val="bottom"/>
            <w:hideMark/>
          </w:tcPr>
          <w:p w14:paraId="0F82A20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N1</w:t>
            </w:r>
          </w:p>
        </w:tc>
        <w:tc>
          <w:tcPr>
            <w:tcW w:w="1871" w:type="dxa"/>
            <w:shd w:val="clear" w:color="auto" w:fill="auto"/>
            <w:noWrap/>
            <w:vAlign w:val="bottom"/>
            <w:hideMark/>
          </w:tcPr>
          <w:p w14:paraId="218F944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258 (47.2)</w:t>
            </w:r>
          </w:p>
        </w:tc>
        <w:tc>
          <w:tcPr>
            <w:tcW w:w="1673" w:type="dxa"/>
            <w:shd w:val="clear" w:color="auto" w:fill="auto"/>
            <w:noWrap/>
            <w:vAlign w:val="bottom"/>
            <w:hideMark/>
          </w:tcPr>
          <w:p w14:paraId="1C38538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183 (47.4)</w:t>
            </w:r>
          </w:p>
        </w:tc>
        <w:tc>
          <w:tcPr>
            <w:tcW w:w="1843" w:type="dxa"/>
            <w:shd w:val="clear" w:color="auto" w:fill="auto"/>
            <w:noWrap/>
            <w:vAlign w:val="bottom"/>
            <w:hideMark/>
          </w:tcPr>
          <w:p w14:paraId="37E9B69E"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75 (46.6)</w:t>
            </w:r>
          </w:p>
        </w:tc>
        <w:tc>
          <w:tcPr>
            <w:tcW w:w="1134" w:type="dxa"/>
            <w:shd w:val="clear" w:color="auto" w:fill="auto"/>
            <w:noWrap/>
            <w:vAlign w:val="bottom"/>
            <w:hideMark/>
          </w:tcPr>
          <w:p w14:paraId="1C0F8AF1" w14:textId="77777777" w:rsidR="00120940" w:rsidRPr="00AA0B7D" w:rsidRDefault="00120940" w:rsidP="0052362F">
            <w:pPr>
              <w:snapToGrid w:val="0"/>
              <w:spacing w:line="360" w:lineRule="auto"/>
              <w:jc w:val="both"/>
              <w:rPr>
                <w:rFonts w:ascii="Book Antiqua" w:hAnsi="Book Antiqua"/>
              </w:rPr>
            </w:pPr>
          </w:p>
        </w:tc>
      </w:tr>
      <w:tr w:rsidR="00120940" w:rsidRPr="00AA0B7D" w14:paraId="74387666" w14:textId="77777777" w:rsidTr="0052362F">
        <w:trPr>
          <w:trHeight w:val="276"/>
        </w:trPr>
        <w:tc>
          <w:tcPr>
            <w:tcW w:w="2268" w:type="dxa"/>
            <w:shd w:val="clear" w:color="auto" w:fill="auto"/>
            <w:noWrap/>
            <w:vAlign w:val="bottom"/>
            <w:hideMark/>
          </w:tcPr>
          <w:p w14:paraId="32132326"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lastRenderedPageBreak/>
              <w:t>N2</w:t>
            </w:r>
          </w:p>
        </w:tc>
        <w:tc>
          <w:tcPr>
            <w:tcW w:w="1871" w:type="dxa"/>
            <w:shd w:val="clear" w:color="auto" w:fill="auto"/>
            <w:noWrap/>
            <w:vAlign w:val="bottom"/>
            <w:hideMark/>
          </w:tcPr>
          <w:p w14:paraId="2338269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155 (28.3)</w:t>
            </w:r>
          </w:p>
        </w:tc>
        <w:tc>
          <w:tcPr>
            <w:tcW w:w="1673" w:type="dxa"/>
            <w:shd w:val="clear" w:color="auto" w:fill="auto"/>
            <w:noWrap/>
            <w:vAlign w:val="bottom"/>
            <w:hideMark/>
          </w:tcPr>
          <w:p w14:paraId="3C2E75F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98 (25.4)</w:t>
            </w:r>
          </w:p>
        </w:tc>
        <w:tc>
          <w:tcPr>
            <w:tcW w:w="1843" w:type="dxa"/>
            <w:shd w:val="clear" w:color="auto" w:fill="auto"/>
            <w:noWrap/>
            <w:vAlign w:val="bottom"/>
            <w:hideMark/>
          </w:tcPr>
          <w:p w14:paraId="5D70FE5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57 (35.4)</w:t>
            </w:r>
          </w:p>
        </w:tc>
        <w:tc>
          <w:tcPr>
            <w:tcW w:w="1134" w:type="dxa"/>
            <w:shd w:val="clear" w:color="auto" w:fill="auto"/>
            <w:noWrap/>
            <w:vAlign w:val="bottom"/>
            <w:hideMark/>
          </w:tcPr>
          <w:p w14:paraId="52D944FD" w14:textId="77777777" w:rsidR="00120940" w:rsidRPr="00AA0B7D" w:rsidRDefault="00120940" w:rsidP="0052362F">
            <w:pPr>
              <w:snapToGrid w:val="0"/>
              <w:spacing w:line="360" w:lineRule="auto"/>
              <w:jc w:val="both"/>
              <w:rPr>
                <w:rFonts w:ascii="Book Antiqua" w:hAnsi="Book Antiqua"/>
              </w:rPr>
            </w:pPr>
          </w:p>
        </w:tc>
      </w:tr>
      <w:tr w:rsidR="00120940" w:rsidRPr="00AA0B7D" w14:paraId="75ED3736" w14:textId="77777777" w:rsidTr="0052362F">
        <w:trPr>
          <w:trHeight w:val="276"/>
        </w:trPr>
        <w:tc>
          <w:tcPr>
            <w:tcW w:w="2268" w:type="dxa"/>
            <w:shd w:val="clear" w:color="auto" w:fill="auto"/>
            <w:noWrap/>
            <w:vAlign w:val="bottom"/>
            <w:hideMark/>
          </w:tcPr>
          <w:p w14:paraId="352314C0"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Tumor location</w:t>
            </w:r>
          </w:p>
        </w:tc>
        <w:tc>
          <w:tcPr>
            <w:tcW w:w="1871" w:type="dxa"/>
            <w:shd w:val="clear" w:color="auto" w:fill="auto"/>
            <w:noWrap/>
            <w:vAlign w:val="bottom"/>
            <w:hideMark/>
          </w:tcPr>
          <w:p w14:paraId="1DDFE098" w14:textId="77777777" w:rsidR="00120940" w:rsidRPr="00AA0B7D" w:rsidRDefault="00120940" w:rsidP="0052362F">
            <w:pPr>
              <w:snapToGrid w:val="0"/>
              <w:spacing w:line="360" w:lineRule="auto"/>
              <w:jc w:val="both"/>
              <w:rPr>
                <w:rFonts w:ascii="Book Antiqua" w:hAnsi="Book Antiqua"/>
              </w:rPr>
            </w:pPr>
          </w:p>
        </w:tc>
        <w:tc>
          <w:tcPr>
            <w:tcW w:w="1673" w:type="dxa"/>
            <w:shd w:val="clear" w:color="auto" w:fill="auto"/>
            <w:noWrap/>
            <w:vAlign w:val="bottom"/>
            <w:hideMark/>
          </w:tcPr>
          <w:p w14:paraId="30B7EEB4" w14:textId="77777777" w:rsidR="00120940" w:rsidRPr="00AA0B7D" w:rsidRDefault="00120940" w:rsidP="0052362F">
            <w:pPr>
              <w:snapToGrid w:val="0"/>
              <w:spacing w:line="360" w:lineRule="auto"/>
              <w:jc w:val="both"/>
              <w:rPr>
                <w:rFonts w:ascii="Book Antiqua" w:hAnsi="Book Antiqua"/>
              </w:rPr>
            </w:pPr>
          </w:p>
        </w:tc>
        <w:tc>
          <w:tcPr>
            <w:tcW w:w="1843" w:type="dxa"/>
            <w:shd w:val="clear" w:color="auto" w:fill="auto"/>
            <w:noWrap/>
            <w:vAlign w:val="bottom"/>
            <w:hideMark/>
          </w:tcPr>
          <w:p w14:paraId="1B4D2DCF" w14:textId="77777777" w:rsidR="00120940" w:rsidRPr="00AA0B7D" w:rsidRDefault="00120940" w:rsidP="0052362F">
            <w:pPr>
              <w:snapToGrid w:val="0"/>
              <w:spacing w:line="360" w:lineRule="auto"/>
              <w:jc w:val="both"/>
              <w:rPr>
                <w:rFonts w:ascii="Book Antiqua" w:hAnsi="Book Antiqua"/>
              </w:rPr>
            </w:pPr>
          </w:p>
        </w:tc>
        <w:tc>
          <w:tcPr>
            <w:tcW w:w="1134" w:type="dxa"/>
            <w:shd w:val="clear" w:color="auto" w:fill="auto"/>
            <w:noWrap/>
            <w:vAlign w:val="bottom"/>
            <w:hideMark/>
          </w:tcPr>
          <w:p w14:paraId="7AE31D6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0.458</w:t>
            </w:r>
          </w:p>
        </w:tc>
      </w:tr>
      <w:tr w:rsidR="00120940" w:rsidRPr="00AA0B7D" w14:paraId="64292ACC" w14:textId="77777777" w:rsidTr="0052362F">
        <w:trPr>
          <w:trHeight w:val="276"/>
        </w:trPr>
        <w:tc>
          <w:tcPr>
            <w:tcW w:w="2268" w:type="dxa"/>
            <w:shd w:val="clear" w:color="auto" w:fill="auto"/>
            <w:noWrap/>
            <w:vAlign w:val="bottom"/>
            <w:hideMark/>
          </w:tcPr>
          <w:p w14:paraId="286C179E"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Right-sided colon</w:t>
            </w:r>
          </w:p>
        </w:tc>
        <w:tc>
          <w:tcPr>
            <w:tcW w:w="1871" w:type="dxa"/>
            <w:shd w:val="clear" w:color="auto" w:fill="auto"/>
            <w:noWrap/>
            <w:vAlign w:val="bottom"/>
            <w:hideMark/>
          </w:tcPr>
          <w:p w14:paraId="55D2CBC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167 (30.5)</w:t>
            </w:r>
          </w:p>
        </w:tc>
        <w:tc>
          <w:tcPr>
            <w:tcW w:w="1673" w:type="dxa"/>
            <w:shd w:val="clear" w:color="auto" w:fill="auto"/>
            <w:noWrap/>
            <w:vAlign w:val="bottom"/>
            <w:hideMark/>
          </w:tcPr>
          <w:p w14:paraId="12DFB6A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124 (32.1)</w:t>
            </w:r>
          </w:p>
        </w:tc>
        <w:tc>
          <w:tcPr>
            <w:tcW w:w="1843" w:type="dxa"/>
            <w:shd w:val="clear" w:color="auto" w:fill="auto"/>
            <w:noWrap/>
            <w:vAlign w:val="bottom"/>
            <w:hideMark/>
          </w:tcPr>
          <w:p w14:paraId="2B6E209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43 (26.7)</w:t>
            </w:r>
          </w:p>
        </w:tc>
        <w:tc>
          <w:tcPr>
            <w:tcW w:w="1134" w:type="dxa"/>
            <w:shd w:val="clear" w:color="auto" w:fill="auto"/>
            <w:noWrap/>
            <w:vAlign w:val="bottom"/>
            <w:hideMark/>
          </w:tcPr>
          <w:p w14:paraId="3AE451F6" w14:textId="77777777" w:rsidR="00120940" w:rsidRPr="00AA0B7D" w:rsidRDefault="00120940" w:rsidP="0052362F">
            <w:pPr>
              <w:snapToGrid w:val="0"/>
              <w:spacing w:line="360" w:lineRule="auto"/>
              <w:jc w:val="both"/>
              <w:rPr>
                <w:rFonts w:ascii="Book Antiqua" w:hAnsi="Book Antiqua"/>
              </w:rPr>
            </w:pPr>
          </w:p>
        </w:tc>
      </w:tr>
      <w:tr w:rsidR="00120940" w:rsidRPr="00AA0B7D" w14:paraId="3BEDAF04" w14:textId="77777777" w:rsidTr="0052362F">
        <w:trPr>
          <w:trHeight w:val="240"/>
        </w:trPr>
        <w:tc>
          <w:tcPr>
            <w:tcW w:w="2268" w:type="dxa"/>
            <w:shd w:val="clear" w:color="auto" w:fill="auto"/>
            <w:noWrap/>
            <w:vAlign w:val="bottom"/>
            <w:hideMark/>
          </w:tcPr>
          <w:p w14:paraId="1A5BCB8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Left-sided colon</w:t>
            </w:r>
          </w:p>
        </w:tc>
        <w:tc>
          <w:tcPr>
            <w:tcW w:w="1871" w:type="dxa"/>
            <w:shd w:val="clear" w:color="auto" w:fill="auto"/>
            <w:noWrap/>
            <w:vAlign w:val="bottom"/>
            <w:hideMark/>
          </w:tcPr>
          <w:p w14:paraId="4E9C81D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136 (24.9)</w:t>
            </w:r>
          </w:p>
        </w:tc>
        <w:tc>
          <w:tcPr>
            <w:tcW w:w="1673" w:type="dxa"/>
            <w:shd w:val="clear" w:color="auto" w:fill="auto"/>
            <w:noWrap/>
            <w:vAlign w:val="bottom"/>
            <w:hideMark/>
          </w:tcPr>
          <w:p w14:paraId="652EEA7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93 (24.1)</w:t>
            </w:r>
          </w:p>
        </w:tc>
        <w:tc>
          <w:tcPr>
            <w:tcW w:w="1843" w:type="dxa"/>
            <w:shd w:val="clear" w:color="auto" w:fill="auto"/>
            <w:noWrap/>
            <w:vAlign w:val="bottom"/>
            <w:hideMark/>
          </w:tcPr>
          <w:p w14:paraId="53E63970"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43 (26.7)</w:t>
            </w:r>
          </w:p>
        </w:tc>
        <w:tc>
          <w:tcPr>
            <w:tcW w:w="1134" w:type="dxa"/>
            <w:shd w:val="clear" w:color="auto" w:fill="auto"/>
            <w:noWrap/>
            <w:vAlign w:val="bottom"/>
            <w:hideMark/>
          </w:tcPr>
          <w:p w14:paraId="423665D7" w14:textId="77777777" w:rsidR="00120940" w:rsidRPr="00AA0B7D" w:rsidRDefault="00120940" w:rsidP="0052362F">
            <w:pPr>
              <w:snapToGrid w:val="0"/>
              <w:spacing w:line="360" w:lineRule="auto"/>
              <w:jc w:val="both"/>
              <w:rPr>
                <w:rFonts w:ascii="Book Antiqua" w:hAnsi="Book Antiqua"/>
              </w:rPr>
            </w:pPr>
          </w:p>
        </w:tc>
      </w:tr>
      <w:tr w:rsidR="00120940" w:rsidRPr="00AA0B7D" w14:paraId="709A08CA" w14:textId="77777777" w:rsidTr="0052362F">
        <w:trPr>
          <w:trHeight w:val="240"/>
        </w:trPr>
        <w:tc>
          <w:tcPr>
            <w:tcW w:w="2268" w:type="dxa"/>
            <w:tcBorders>
              <w:bottom w:val="single" w:sz="4" w:space="0" w:color="auto"/>
            </w:tcBorders>
            <w:shd w:val="clear" w:color="auto" w:fill="auto"/>
            <w:noWrap/>
            <w:vAlign w:val="bottom"/>
            <w:hideMark/>
          </w:tcPr>
          <w:p w14:paraId="285FF1F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Rectosigmoid</w:t>
            </w:r>
          </w:p>
        </w:tc>
        <w:tc>
          <w:tcPr>
            <w:tcW w:w="1871" w:type="dxa"/>
            <w:tcBorders>
              <w:bottom w:val="single" w:sz="4" w:space="0" w:color="auto"/>
            </w:tcBorders>
            <w:shd w:val="clear" w:color="auto" w:fill="auto"/>
            <w:noWrap/>
            <w:vAlign w:val="bottom"/>
            <w:hideMark/>
          </w:tcPr>
          <w:p w14:paraId="03D33FF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244 (44.6)</w:t>
            </w:r>
          </w:p>
        </w:tc>
        <w:tc>
          <w:tcPr>
            <w:tcW w:w="1673" w:type="dxa"/>
            <w:tcBorders>
              <w:bottom w:val="single" w:sz="4" w:space="0" w:color="auto"/>
            </w:tcBorders>
            <w:shd w:val="clear" w:color="auto" w:fill="auto"/>
            <w:noWrap/>
            <w:vAlign w:val="bottom"/>
            <w:hideMark/>
          </w:tcPr>
          <w:p w14:paraId="5A49C464"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169 (43.8)</w:t>
            </w:r>
          </w:p>
        </w:tc>
        <w:tc>
          <w:tcPr>
            <w:tcW w:w="1843" w:type="dxa"/>
            <w:tcBorders>
              <w:bottom w:val="single" w:sz="4" w:space="0" w:color="auto"/>
            </w:tcBorders>
            <w:shd w:val="clear" w:color="auto" w:fill="auto"/>
            <w:noWrap/>
            <w:vAlign w:val="bottom"/>
            <w:hideMark/>
          </w:tcPr>
          <w:p w14:paraId="5B000C1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75 (46.6)</w:t>
            </w:r>
          </w:p>
        </w:tc>
        <w:tc>
          <w:tcPr>
            <w:tcW w:w="1134" w:type="dxa"/>
            <w:tcBorders>
              <w:bottom w:val="single" w:sz="4" w:space="0" w:color="auto"/>
            </w:tcBorders>
            <w:shd w:val="clear" w:color="auto" w:fill="auto"/>
            <w:noWrap/>
            <w:vAlign w:val="bottom"/>
            <w:hideMark/>
          </w:tcPr>
          <w:p w14:paraId="2BDDA1EF" w14:textId="77777777" w:rsidR="00120940" w:rsidRPr="00AA0B7D" w:rsidRDefault="00120940" w:rsidP="0052362F">
            <w:pPr>
              <w:snapToGrid w:val="0"/>
              <w:spacing w:line="360" w:lineRule="auto"/>
              <w:jc w:val="both"/>
              <w:rPr>
                <w:rFonts w:ascii="Book Antiqua" w:hAnsi="Book Antiqua"/>
              </w:rPr>
            </w:pPr>
          </w:p>
        </w:tc>
      </w:tr>
    </w:tbl>
    <w:bookmarkEnd w:id="63"/>
    <w:p w14:paraId="60502BB6" w14:textId="6B7CD192" w:rsidR="00120940" w:rsidRPr="00784314" w:rsidRDefault="00E644B0" w:rsidP="00120940">
      <w:pPr>
        <w:snapToGrid w:val="0"/>
        <w:spacing w:line="360" w:lineRule="auto"/>
        <w:jc w:val="both"/>
        <w:rPr>
          <w:rFonts w:ascii="Book Antiqua" w:hAnsi="Book Antiqua"/>
          <w:b/>
          <w:bCs/>
        </w:rPr>
        <w:sectPr w:rsidR="00120940" w:rsidRPr="00784314">
          <w:pgSz w:w="12240" w:h="15840"/>
          <w:pgMar w:top="1440" w:right="1440" w:bottom="1440" w:left="1440" w:header="720" w:footer="720" w:gutter="0"/>
          <w:cols w:space="720"/>
          <w:docGrid w:linePitch="360"/>
        </w:sectPr>
      </w:pPr>
      <w:r>
        <w:rPr>
          <w:rFonts w:ascii="Book Antiqua" w:hAnsi="Book Antiqua"/>
        </w:rPr>
        <w:t>Data are</w:t>
      </w:r>
      <w:r w:rsidRPr="00AA0B7D">
        <w:rPr>
          <w:rFonts w:ascii="Book Antiqua" w:hAnsi="Book Antiqua"/>
          <w:b/>
          <w:bCs/>
        </w:rPr>
        <w:t xml:space="preserve"> </w:t>
      </w:r>
      <w:r w:rsidRPr="00784314">
        <w:rPr>
          <w:rFonts w:ascii="Book Antiqua" w:hAnsi="Book Antiqua"/>
          <w:i/>
          <w:iCs/>
        </w:rPr>
        <w:t>n</w:t>
      </w:r>
      <w:r w:rsidRPr="00784314">
        <w:rPr>
          <w:rFonts w:ascii="Book Antiqua" w:hAnsi="Book Antiqua"/>
        </w:rPr>
        <w:t xml:space="preserve"> (%).</w:t>
      </w:r>
    </w:p>
    <w:p w14:paraId="7EA9C88B" w14:textId="0C4428FD" w:rsidR="00120940" w:rsidRPr="00AA0B7D" w:rsidRDefault="00120940" w:rsidP="00120940">
      <w:pPr>
        <w:snapToGrid w:val="0"/>
        <w:spacing w:line="360" w:lineRule="auto"/>
        <w:jc w:val="both"/>
        <w:rPr>
          <w:rFonts w:ascii="Book Antiqua" w:hAnsi="Book Antiqua"/>
          <w:b/>
          <w:bCs/>
        </w:rPr>
      </w:pPr>
      <w:bookmarkStart w:id="64" w:name="OLE_LINK3"/>
      <w:r w:rsidRPr="00AA0B7D">
        <w:rPr>
          <w:rFonts w:ascii="Book Antiqua" w:hAnsi="Book Antiqua"/>
          <w:b/>
          <w:bCs/>
        </w:rPr>
        <w:lastRenderedPageBreak/>
        <w:t xml:space="preserve">Table 2 Patients with </w:t>
      </w:r>
      <w:r w:rsidRPr="00AA0B7D">
        <w:rPr>
          <w:rFonts w:ascii="Book Antiqua" w:hAnsi="Book Antiqua"/>
          <w:b/>
          <w:bCs/>
          <w:i/>
          <w:iCs/>
        </w:rPr>
        <w:t>KRAS, NRAS, BRAF</w:t>
      </w:r>
      <w:r w:rsidRPr="00AA0B7D">
        <w:rPr>
          <w:rFonts w:ascii="Book Antiqua" w:hAnsi="Book Antiqua"/>
          <w:b/>
          <w:bCs/>
        </w:rPr>
        <w:t xml:space="preserve"> mutations according to tumor budding</w:t>
      </w:r>
    </w:p>
    <w:tbl>
      <w:tblPr>
        <w:tblW w:w="8647" w:type="dxa"/>
        <w:tblBorders>
          <w:top w:val="single" w:sz="4" w:space="0" w:color="auto"/>
          <w:bottom w:val="single" w:sz="4" w:space="0" w:color="auto"/>
        </w:tblBorders>
        <w:tblLook w:val="04A0" w:firstRow="1" w:lastRow="0" w:firstColumn="1" w:lastColumn="0" w:noHBand="0" w:noVBand="1"/>
      </w:tblPr>
      <w:tblGrid>
        <w:gridCol w:w="2268"/>
        <w:gridCol w:w="1871"/>
        <w:gridCol w:w="1516"/>
        <w:gridCol w:w="1716"/>
        <w:gridCol w:w="1276"/>
      </w:tblGrid>
      <w:tr w:rsidR="00120940" w:rsidRPr="00AA0B7D" w14:paraId="00868904" w14:textId="77777777" w:rsidTr="00EA0B58">
        <w:trPr>
          <w:trHeight w:val="528"/>
        </w:trPr>
        <w:tc>
          <w:tcPr>
            <w:tcW w:w="2268" w:type="dxa"/>
            <w:tcBorders>
              <w:top w:val="single" w:sz="4" w:space="0" w:color="auto"/>
              <w:bottom w:val="single" w:sz="4" w:space="0" w:color="auto"/>
            </w:tcBorders>
            <w:shd w:val="clear" w:color="auto" w:fill="auto"/>
            <w:noWrap/>
            <w:vAlign w:val="bottom"/>
            <w:hideMark/>
          </w:tcPr>
          <w:bookmarkEnd w:id="64"/>
          <w:p w14:paraId="527F7E1F"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Characteristics</w:t>
            </w:r>
          </w:p>
        </w:tc>
        <w:tc>
          <w:tcPr>
            <w:tcW w:w="1871" w:type="dxa"/>
            <w:tcBorders>
              <w:top w:val="single" w:sz="4" w:space="0" w:color="auto"/>
              <w:bottom w:val="single" w:sz="4" w:space="0" w:color="auto"/>
            </w:tcBorders>
            <w:shd w:val="clear" w:color="auto" w:fill="auto"/>
            <w:noWrap/>
            <w:vAlign w:val="bottom"/>
            <w:hideMark/>
          </w:tcPr>
          <w:p w14:paraId="00164E65"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 xml:space="preserve">Total, </w:t>
            </w:r>
            <w:r w:rsidRPr="00AA0B7D">
              <w:rPr>
                <w:rFonts w:ascii="Book Antiqua" w:hAnsi="Book Antiqua"/>
                <w:b/>
                <w:bCs/>
                <w:i/>
                <w:iCs/>
              </w:rPr>
              <w:t>n</w:t>
            </w:r>
            <w:r w:rsidRPr="00AA0B7D">
              <w:rPr>
                <w:rFonts w:ascii="Book Antiqua" w:hAnsi="Book Antiqua"/>
                <w:b/>
                <w:bCs/>
              </w:rPr>
              <w:t xml:space="preserve"> = 112</w:t>
            </w:r>
          </w:p>
        </w:tc>
        <w:tc>
          <w:tcPr>
            <w:tcW w:w="1516" w:type="dxa"/>
            <w:tcBorders>
              <w:top w:val="single" w:sz="4" w:space="0" w:color="auto"/>
              <w:bottom w:val="single" w:sz="4" w:space="0" w:color="auto"/>
            </w:tcBorders>
            <w:shd w:val="clear" w:color="auto" w:fill="auto"/>
            <w:noWrap/>
            <w:vAlign w:val="bottom"/>
            <w:hideMark/>
          </w:tcPr>
          <w:p w14:paraId="72CA3814"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 xml:space="preserve">Bd 1, </w:t>
            </w:r>
            <w:r w:rsidRPr="00AA0B7D">
              <w:rPr>
                <w:rFonts w:ascii="Book Antiqua" w:hAnsi="Book Antiqua"/>
                <w:b/>
                <w:bCs/>
                <w:i/>
                <w:iCs/>
              </w:rPr>
              <w:t>n</w:t>
            </w:r>
            <w:r w:rsidRPr="00AA0B7D">
              <w:rPr>
                <w:rFonts w:ascii="Book Antiqua" w:hAnsi="Book Antiqua"/>
                <w:b/>
                <w:bCs/>
              </w:rPr>
              <w:t xml:space="preserve"> = 87</w:t>
            </w:r>
          </w:p>
        </w:tc>
        <w:tc>
          <w:tcPr>
            <w:tcW w:w="1716" w:type="dxa"/>
            <w:tcBorders>
              <w:top w:val="single" w:sz="4" w:space="0" w:color="auto"/>
              <w:bottom w:val="single" w:sz="4" w:space="0" w:color="auto"/>
            </w:tcBorders>
            <w:shd w:val="clear" w:color="auto" w:fill="auto"/>
            <w:noWrap/>
            <w:vAlign w:val="bottom"/>
            <w:hideMark/>
          </w:tcPr>
          <w:p w14:paraId="52D64ABB"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rPr>
              <w:t xml:space="preserve">Bd 2-3, </w:t>
            </w:r>
            <w:r w:rsidRPr="00AA0B7D">
              <w:rPr>
                <w:rFonts w:ascii="Book Antiqua" w:hAnsi="Book Antiqua"/>
                <w:b/>
                <w:bCs/>
                <w:i/>
                <w:iCs/>
              </w:rPr>
              <w:t>n</w:t>
            </w:r>
            <w:r w:rsidRPr="00AA0B7D">
              <w:rPr>
                <w:rFonts w:ascii="Book Antiqua" w:hAnsi="Book Antiqua"/>
                <w:b/>
                <w:bCs/>
              </w:rPr>
              <w:t xml:space="preserve"> = 25</w:t>
            </w:r>
          </w:p>
        </w:tc>
        <w:tc>
          <w:tcPr>
            <w:tcW w:w="1276" w:type="dxa"/>
            <w:tcBorders>
              <w:top w:val="single" w:sz="4" w:space="0" w:color="auto"/>
              <w:bottom w:val="single" w:sz="4" w:space="0" w:color="auto"/>
            </w:tcBorders>
            <w:shd w:val="clear" w:color="auto" w:fill="auto"/>
            <w:noWrap/>
            <w:vAlign w:val="bottom"/>
            <w:hideMark/>
          </w:tcPr>
          <w:p w14:paraId="01FDCBF8" w14:textId="77777777" w:rsidR="00120940" w:rsidRPr="00AA0B7D" w:rsidRDefault="00120940" w:rsidP="0052362F">
            <w:pPr>
              <w:snapToGrid w:val="0"/>
              <w:spacing w:line="360" w:lineRule="auto"/>
              <w:jc w:val="both"/>
              <w:rPr>
                <w:rFonts w:ascii="Book Antiqua" w:hAnsi="Book Antiqua"/>
                <w:b/>
                <w:bCs/>
              </w:rPr>
            </w:pPr>
            <w:r w:rsidRPr="00AA0B7D">
              <w:rPr>
                <w:rFonts w:ascii="Book Antiqua" w:hAnsi="Book Antiqua"/>
                <w:b/>
                <w:bCs/>
                <w:i/>
                <w:iCs/>
              </w:rPr>
              <w:t xml:space="preserve">P </w:t>
            </w:r>
            <w:r w:rsidRPr="00AA0B7D">
              <w:rPr>
                <w:rFonts w:ascii="Book Antiqua" w:hAnsi="Book Antiqua"/>
                <w:b/>
                <w:bCs/>
              </w:rPr>
              <w:t>value</w:t>
            </w:r>
          </w:p>
        </w:tc>
      </w:tr>
      <w:tr w:rsidR="00120940" w:rsidRPr="00AA0B7D" w14:paraId="5D1F04F3" w14:textId="77777777" w:rsidTr="00EA0B58">
        <w:trPr>
          <w:trHeight w:val="278"/>
        </w:trPr>
        <w:tc>
          <w:tcPr>
            <w:tcW w:w="2268" w:type="dxa"/>
            <w:tcBorders>
              <w:top w:val="single" w:sz="4" w:space="0" w:color="auto"/>
            </w:tcBorders>
            <w:shd w:val="clear" w:color="auto" w:fill="auto"/>
            <w:noWrap/>
            <w:vAlign w:val="bottom"/>
            <w:hideMark/>
          </w:tcPr>
          <w:p w14:paraId="44432078" w14:textId="77777777" w:rsidR="00120940" w:rsidRPr="00AA0B7D" w:rsidRDefault="00120940" w:rsidP="0052362F">
            <w:pPr>
              <w:snapToGrid w:val="0"/>
              <w:spacing w:line="360" w:lineRule="auto"/>
              <w:jc w:val="both"/>
              <w:rPr>
                <w:rFonts w:ascii="Book Antiqua" w:hAnsi="Book Antiqua"/>
                <w:i/>
                <w:iCs/>
              </w:rPr>
            </w:pPr>
            <w:r w:rsidRPr="00AA0B7D">
              <w:rPr>
                <w:rFonts w:ascii="Book Antiqua" w:hAnsi="Book Antiqua"/>
                <w:i/>
                <w:iCs/>
              </w:rPr>
              <w:t>KRAS</w:t>
            </w:r>
          </w:p>
        </w:tc>
        <w:tc>
          <w:tcPr>
            <w:tcW w:w="1871" w:type="dxa"/>
            <w:tcBorders>
              <w:top w:val="single" w:sz="4" w:space="0" w:color="auto"/>
            </w:tcBorders>
            <w:shd w:val="clear" w:color="auto" w:fill="auto"/>
            <w:noWrap/>
            <w:vAlign w:val="center"/>
            <w:hideMark/>
          </w:tcPr>
          <w:p w14:paraId="5E41670A" w14:textId="77777777" w:rsidR="00120940" w:rsidRPr="00AA0B7D" w:rsidRDefault="00120940" w:rsidP="0052362F">
            <w:pPr>
              <w:snapToGrid w:val="0"/>
              <w:spacing w:line="360" w:lineRule="auto"/>
              <w:jc w:val="both"/>
              <w:rPr>
                <w:rFonts w:ascii="Book Antiqua" w:hAnsi="Book Antiqua"/>
              </w:rPr>
            </w:pPr>
          </w:p>
        </w:tc>
        <w:tc>
          <w:tcPr>
            <w:tcW w:w="1516" w:type="dxa"/>
            <w:tcBorders>
              <w:top w:val="single" w:sz="4" w:space="0" w:color="auto"/>
            </w:tcBorders>
            <w:shd w:val="clear" w:color="auto" w:fill="auto"/>
            <w:noWrap/>
            <w:vAlign w:val="center"/>
            <w:hideMark/>
          </w:tcPr>
          <w:p w14:paraId="0E1AD45C" w14:textId="77777777" w:rsidR="00120940" w:rsidRPr="00AA0B7D" w:rsidRDefault="00120940" w:rsidP="0052362F">
            <w:pPr>
              <w:snapToGrid w:val="0"/>
              <w:spacing w:line="360" w:lineRule="auto"/>
              <w:jc w:val="both"/>
              <w:rPr>
                <w:rFonts w:ascii="Book Antiqua" w:hAnsi="Book Antiqua"/>
              </w:rPr>
            </w:pPr>
          </w:p>
        </w:tc>
        <w:tc>
          <w:tcPr>
            <w:tcW w:w="1716" w:type="dxa"/>
            <w:tcBorders>
              <w:top w:val="single" w:sz="4" w:space="0" w:color="auto"/>
            </w:tcBorders>
            <w:shd w:val="clear" w:color="auto" w:fill="auto"/>
            <w:noWrap/>
            <w:vAlign w:val="center"/>
            <w:hideMark/>
          </w:tcPr>
          <w:p w14:paraId="36518C36" w14:textId="77777777" w:rsidR="00120940" w:rsidRPr="00AA0B7D" w:rsidRDefault="00120940" w:rsidP="0052362F">
            <w:pPr>
              <w:snapToGrid w:val="0"/>
              <w:spacing w:line="360" w:lineRule="auto"/>
              <w:jc w:val="both"/>
              <w:rPr>
                <w:rFonts w:ascii="Book Antiqua" w:hAnsi="Book Antiqua"/>
              </w:rPr>
            </w:pPr>
          </w:p>
        </w:tc>
        <w:tc>
          <w:tcPr>
            <w:tcW w:w="1276" w:type="dxa"/>
            <w:tcBorders>
              <w:top w:val="single" w:sz="4" w:space="0" w:color="auto"/>
            </w:tcBorders>
            <w:shd w:val="clear" w:color="auto" w:fill="auto"/>
            <w:noWrap/>
            <w:vAlign w:val="center"/>
            <w:hideMark/>
          </w:tcPr>
          <w:p w14:paraId="717CD5B2"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0.064</w:t>
            </w:r>
          </w:p>
        </w:tc>
      </w:tr>
      <w:tr w:rsidR="00120940" w:rsidRPr="00AA0B7D" w14:paraId="64D0708B" w14:textId="77777777" w:rsidTr="0052362F">
        <w:trPr>
          <w:trHeight w:val="278"/>
        </w:trPr>
        <w:tc>
          <w:tcPr>
            <w:tcW w:w="2268" w:type="dxa"/>
            <w:shd w:val="clear" w:color="auto" w:fill="auto"/>
            <w:noWrap/>
            <w:vAlign w:val="center"/>
            <w:hideMark/>
          </w:tcPr>
          <w:p w14:paraId="0A0DBEB7"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Wild</w:t>
            </w:r>
          </w:p>
        </w:tc>
        <w:tc>
          <w:tcPr>
            <w:tcW w:w="1871" w:type="dxa"/>
            <w:shd w:val="clear" w:color="auto" w:fill="auto"/>
            <w:noWrap/>
            <w:vAlign w:val="center"/>
            <w:hideMark/>
          </w:tcPr>
          <w:p w14:paraId="4C5A1D30"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53 (47.3)</w:t>
            </w:r>
          </w:p>
        </w:tc>
        <w:tc>
          <w:tcPr>
            <w:tcW w:w="1516" w:type="dxa"/>
            <w:shd w:val="clear" w:color="auto" w:fill="auto"/>
            <w:noWrap/>
            <w:vAlign w:val="center"/>
            <w:hideMark/>
          </w:tcPr>
          <w:p w14:paraId="381EA8CF"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45 (51.7)</w:t>
            </w:r>
          </w:p>
        </w:tc>
        <w:tc>
          <w:tcPr>
            <w:tcW w:w="1716" w:type="dxa"/>
            <w:shd w:val="clear" w:color="auto" w:fill="auto"/>
            <w:noWrap/>
            <w:vAlign w:val="center"/>
            <w:hideMark/>
          </w:tcPr>
          <w:p w14:paraId="0B3ED60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8 (32.0)</w:t>
            </w:r>
          </w:p>
        </w:tc>
        <w:tc>
          <w:tcPr>
            <w:tcW w:w="1276" w:type="dxa"/>
            <w:shd w:val="clear" w:color="auto" w:fill="auto"/>
            <w:noWrap/>
            <w:vAlign w:val="center"/>
            <w:hideMark/>
          </w:tcPr>
          <w:p w14:paraId="04A5B9AA" w14:textId="77777777" w:rsidR="00120940" w:rsidRPr="00AA0B7D" w:rsidRDefault="00120940" w:rsidP="0052362F">
            <w:pPr>
              <w:snapToGrid w:val="0"/>
              <w:spacing w:line="360" w:lineRule="auto"/>
              <w:jc w:val="both"/>
              <w:rPr>
                <w:rFonts w:ascii="Book Antiqua" w:hAnsi="Book Antiqua"/>
              </w:rPr>
            </w:pPr>
          </w:p>
        </w:tc>
      </w:tr>
      <w:tr w:rsidR="00120940" w:rsidRPr="00AA0B7D" w14:paraId="01A4BD9C" w14:textId="77777777" w:rsidTr="0052362F">
        <w:trPr>
          <w:trHeight w:val="278"/>
        </w:trPr>
        <w:tc>
          <w:tcPr>
            <w:tcW w:w="2268" w:type="dxa"/>
            <w:shd w:val="clear" w:color="auto" w:fill="auto"/>
            <w:noWrap/>
            <w:vAlign w:val="center"/>
            <w:hideMark/>
          </w:tcPr>
          <w:p w14:paraId="2B7A70C5"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Mutant</w:t>
            </w:r>
          </w:p>
        </w:tc>
        <w:tc>
          <w:tcPr>
            <w:tcW w:w="1871" w:type="dxa"/>
            <w:shd w:val="clear" w:color="auto" w:fill="auto"/>
            <w:noWrap/>
            <w:vAlign w:val="center"/>
            <w:hideMark/>
          </w:tcPr>
          <w:p w14:paraId="1344FB1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59 (52.7)</w:t>
            </w:r>
          </w:p>
        </w:tc>
        <w:tc>
          <w:tcPr>
            <w:tcW w:w="1516" w:type="dxa"/>
            <w:shd w:val="clear" w:color="auto" w:fill="auto"/>
            <w:noWrap/>
            <w:vAlign w:val="center"/>
            <w:hideMark/>
          </w:tcPr>
          <w:p w14:paraId="5861DD80"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42 (48.3)</w:t>
            </w:r>
          </w:p>
        </w:tc>
        <w:tc>
          <w:tcPr>
            <w:tcW w:w="1716" w:type="dxa"/>
            <w:shd w:val="clear" w:color="auto" w:fill="auto"/>
            <w:noWrap/>
            <w:vAlign w:val="center"/>
            <w:hideMark/>
          </w:tcPr>
          <w:p w14:paraId="3D7B5529"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17 (68.0)</w:t>
            </w:r>
          </w:p>
        </w:tc>
        <w:tc>
          <w:tcPr>
            <w:tcW w:w="1276" w:type="dxa"/>
            <w:shd w:val="clear" w:color="auto" w:fill="auto"/>
            <w:noWrap/>
            <w:vAlign w:val="center"/>
            <w:hideMark/>
          </w:tcPr>
          <w:p w14:paraId="3F7EE1AF" w14:textId="77777777" w:rsidR="00120940" w:rsidRPr="00AA0B7D" w:rsidRDefault="00120940" w:rsidP="0052362F">
            <w:pPr>
              <w:snapToGrid w:val="0"/>
              <w:spacing w:line="360" w:lineRule="auto"/>
              <w:jc w:val="both"/>
              <w:rPr>
                <w:rFonts w:ascii="Book Antiqua" w:hAnsi="Book Antiqua"/>
              </w:rPr>
            </w:pPr>
          </w:p>
        </w:tc>
      </w:tr>
      <w:tr w:rsidR="00120940" w:rsidRPr="00AA0B7D" w14:paraId="416067F9" w14:textId="77777777" w:rsidTr="0052362F">
        <w:trPr>
          <w:trHeight w:val="278"/>
        </w:trPr>
        <w:tc>
          <w:tcPr>
            <w:tcW w:w="2268" w:type="dxa"/>
            <w:shd w:val="clear" w:color="auto" w:fill="auto"/>
            <w:noWrap/>
            <w:vAlign w:val="bottom"/>
            <w:hideMark/>
          </w:tcPr>
          <w:p w14:paraId="280AC4A4" w14:textId="77777777" w:rsidR="00120940" w:rsidRPr="00AA0B7D" w:rsidRDefault="00120940" w:rsidP="0052362F">
            <w:pPr>
              <w:snapToGrid w:val="0"/>
              <w:spacing w:line="360" w:lineRule="auto"/>
              <w:jc w:val="both"/>
              <w:rPr>
                <w:rFonts w:ascii="Book Antiqua" w:hAnsi="Book Antiqua"/>
                <w:i/>
                <w:iCs/>
              </w:rPr>
            </w:pPr>
            <w:r w:rsidRPr="00AA0B7D">
              <w:rPr>
                <w:rFonts w:ascii="Book Antiqua" w:hAnsi="Book Antiqua"/>
                <w:i/>
                <w:iCs/>
              </w:rPr>
              <w:t>NRAS</w:t>
            </w:r>
          </w:p>
        </w:tc>
        <w:tc>
          <w:tcPr>
            <w:tcW w:w="1871" w:type="dxa"/>
            <w:shd w:val="clear" w:color="auto" w:fill="auto"/>
            <w:noWrap/>
            <w:vAlign w:val="center"/>
            <w:hideMark/>
          </w:tcPr>
          <w:p w14:paraId="40269F8C" w14:textId="77777777" w:rsidR="00120940" w:rsidRPr="00AA0B7D" w:rsidRDefault="00120940" w:rsidP="0052362F">
            <w:pPr>
              <w:snapToGrid w:val="0"/>
              <w:spacing w:line="360" w:lineRule="auto"/>
              <w:jc w:val="both"/>
              <w:rPr>
                <w:rFonts w:ascii="Book Antiqua" w:hAnsi="Book Antiqua"/>
              </w:rPr>
            </w:pPr>
          </w:p>
        </w:tc>
        <w:tc>
          <w:tcPr>
            <w:tcW w:w="1516" w:type="dxa"/>
            <w:shd w:val="clear" w:color="auto" w:fill="auto"/>
            <w:noWrap/>
            <w:vAlign w:val="center"/>
            <w:hideMark/>
          </w:tcPr>
          <w:p w14:paraId="24C38648" w14:textId="77777777" w:rsidR="00120940" w:rsidRPr="00AA0B7D" w:rsidRDefault="00120940" w:rsidP="0052362F">
            <w:pPr>
              <w:snapToGrid w:val="0"/>
              <w:spacing w:line="360" w:lineRule="auto"/>
              <w:jc w:val="both"/>
              <w:rPr>
                <w:rFonts w:ascii="Book Antiqua" w:hAnsi="Book Antiqua"/>
              </w:rPr>
            </w:pPr>
          </w:p>
        </w:tc>
        <w:tc>
          <w:tcPr>
            <w:tcW w:w="1716" w:type="dxa"/>
            <w:shd w:val="clear" w:color="auto" w:fill="auto"/>
            <w:noWrap/>
            <w:vAlign w:val="center"/>
            <w:hideMark/>
          </w:tcPr>
          <w:p w14:paraId="7C032DCD" w14:textId="77777777" w:rsidR="00120940" w:rsidRPr="00AA0B7D" w:rsidRDefault="00120940" w:rsidP="0052362F">
            <w:pPr>
              <w:snapToGrid w:val="0"/>
              <w:spacing w:line="360" w:lineRule="auto"/>
              <w:jc w:val="both"/>
              <w:rPr>
                <w:rFonts w:ascii="Book Antiqua" w:hAnsi="Book Antiqua"/>
              </w:rPr>
            </w:pPr>
          </w:p>
        </w:tc>
        <w:tc>
          <w:tcPr>
            <w:tcW w:w="1276" w:type="dxa"/>
            <w:shd w:val="clear" w:color="auto" w:fill="auto"/>
            <w:noWrap/>
            <w:vAlign w:val="center"/>
            <w:hideMark/>
          </w:tcPr>
          <w:p w14:paraId="210113C6"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0.275</w:t>
            </w:r>
          </w:p>
        </w:tc>
      </w:tr>
      <w:tr w:rsidR="00120940" w:rsidRPr="00AA0B7D" w14:paraId="1FC6B91A" w14:textId="77777777" w:rsidTr="0052362F">
        <w:trPr>
          <w:trHeight w:val="278"/>
        </w:trPr>
        <w:tc>
          <w:tcPr>
            <w:tcW w:w="2268" w:type="dxa"/>
            <w:shd w:val="clear" w:color="auto" w:fill="auto"/>
            <w:noWrap/>
            <w:vAlign w:val="center"/>
            <w:hideMark/>
          </w:tcPr>
          <w:p w14:paraId="2A819B84"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Wild</w:t>
            </w:r>
          </w:p>
        </w:tc>
        <w:tc>
          <w:tcPr>
            <w:tcW w:w="1871" w:type="dxa"/>
            <w:shd w:val="clear" w:color="auto" w:fill="auto"/>
            <w:noWrap/>
            <w:vAlign w:val="center"/>
            <w:hideMark/>
          </w:tcPr>
          <w:p w14:paraId="4937EB8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107 (95.5)</w:t>
            </w:r>
          </w:p>
        </w:tc>
        <w:tc>
          <w:tcPr>
            <w:tcW w:w="1516" w:type="dxa"/>
            <w:shd w:val="clear" w:color="auto" w:fill="auto"/>
            <w:noWrap/>
            <w:vAlign w:val="center"/>
            <w:hideMark/>
          </w:tcPr>
          <w:p w14:paraId="0154367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82 (94.3)</w:t>
            </w:r>
          </w:p>
        </w:tc>
        <w:tc>
          <w:tcPr>
            <w:tcW w:w="1716" w:type="dxa"/>
            <w:shd w:val="clear" w:color="auto" w:fill="auto"/>
            <w:noWrap/>
            <w:vAlign w:val="center"/>
            <w:hideMark/>
          </w:tcPr>
          <w:p w14:paraId="16BA86EB"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25 (100.0)</w:t>
            </w:r>
          </w:p>
        </w:tc>
        <w:tc>
          <w:tcPr>
            <w:tcW w:w="1276" w:type="dxa"/>
            <w:shd w:val="clear" w:color="auto" w:fill="auto"/>
            <w:noWrap/>
            <w:vAlign w:val="center"/>
            <w:hideMark/>
          </w:tcPr>
          <w:p w14:paraId="0CD69960" w14:textId="77777777" w:rsidR="00120940" w:rsidRPr="00AA0B7D" w:rsidRDefault="00120940" w:rsidP="0052362F">
            <w:pPr>
              <w:snapToGrid w:val="0"/>
              <w:spacing w:line="360" w:lineRule="auto"/>
              <w:jc w:val="both"/>
              <w:rPr>
                <w:rFonts w:ascii="Book Antiqua" w:hAnsi="Book Antiqua"/>
              </w:rPr>
            </w:pPr>
          </w:p>
        </w:tc>
      </w:tr>
      <w:tr w:rsidR="00120940" w:rsidRPr="00AA0B7D" w14:paraId="28961051" w14:textId="77777777" w:rsidTr="0052362F">
        <w:trPr>
          <w:trHeight w:val="278"/>
        </w:trPr>
        <w:tc>
          <w:tcPr>
            <w:tcW w:w="2268" w:type="dxa"/>
            <w:shd w:val="clear" w:color="auto" w:fill="auto"/>
            <w:noWrap/>
            <w:vAlign w:val="center"/>
            <w:hideMark/>
          </w:tcPr>
          <w:p w14:paraId="25B7E5A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Mutant</w:t>
            </w:r>
          </w:p>
        </w:tc>
        <w:tc>
          <w:tcPr>
            <w:tcW w:w="1871" w:type="dxa"/>
            <w:shd w:val="clear" w:color="auto" w:fill="auto"/>
            <w:noWrap/>
            <w:vAlign w:val="center"/>
            <w:hideMark/>
          </w:tcPr>
          <w:p w14:paraId="1AF16F7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 (4.5)</w:t>
            </w:r>
          </w:p>
        </w:tc>
        <w:tc>
          <w:tcPr>
            <w:tcW w:w="1516" w:type="dxa"/>
            <w:shd w:val="clear" w:color="auto" w:fill="auto"/>
            <w:noWrap/>
            <w:vAlign w:val="center"/>
            <w:hideMark/>
          </w:tcPr>
          <w:p w14:paraId="3B4E619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 (5.7)</w:t>
            </w:r>
          </w:p>
        </w:tc>
        <w:tc>
          <w:tcPr>
            <w:tcW w:w="1716" w:type="dxa"/>
            <w:shd w:val="clear" w:color="auto" w:fill="auto"/>
            <w:noWrap/>
            <w:vAlign w:val="center"/>
            <w:hideMark/>
          </w:tcPr>
          <w:p w14:paraId="4901C963"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 (0.0)</w:t>
            </w:r>
          </w:p>
        </w:tc>
        <w:tc>
          <w:tcPr>
            <w:tcW w:w="1276" w:type="dxa"/>
            <w:shd w:val="clear" w:color="auto" w:fill="auto"/>
            <w:noWrap/>
            <w:vAlign w:val="bottom"/>
            <w:hideMark/>
          </w:tcPr>
          <w:p w14:paraId="6497A4B1" w14:textId="77777777" w:rsidR="00120940" w:rsidRPr="00AA0B7D" w:rsidRDefault="00120940" w:rsidP="0052362F">
            <w:pPr>
              <w:snapToGrid w:val="0"/>
              <w:spacing w:line="360" w:lineRule="auto"/>
              <w:jc w:val="both"/>
              <w:rPr>
                <w:rFonts w:ascii="Book Antiqua" w:hAnsi="Book Antiqua"/>
              </w:rPr>
            </w:pPr>
          </w:p>
        </w:tc>
      </w:tr>
      <w:tr w:rsidR="00120940" w:rsidRPr="00AA0B7D" w14:paraId="460359D6" w14:textId="77777777" w:rsidTr="0052362F">
        <w:trPr>
          <w:trHeight w:val="278"/>
        </w:trPr>
        <w:tc>
          <w:tcPr>
            <w:tcW w:w="2268" w:type="dxa"/>
            <w:shd w:val="clear" w:color="auto" w:fill="auto"/>
            <w:noWrap/>
            <w:vAlign w:val="bottom"/>
            <w:hideMark/>
          </w:tcPr>
          <w:p w14:paraId="1FFCAA20" w14:textId="77777777" w:rsidR="00120940" w:rsidRPr="00AA0B7D" w:rsidRDefault="00120940" w:rsidP="0052362F">
            <w:pPr>
              <w:snapToGrid w:val="0"/>
              <w:spacing w:line="360" w:lineRule="auto"/>
              <w:jc w:val="both"/>
              <w:rPr>
                <w:rFonts w:ascii="Book Antiqua" w:hAnsi="Book Antiqua"/>
                <w:i/>
                <w:iCs/>
              </w:rPr>
            </w:pPr>
            <w:r w:rsidRPr="00AA0B7D">
              <w:rPr>
                <w:rFonts w:ascii="Book Antiqua" w:hAnsi="Book Antiqua"/>
                <w:i/>
                <w:iCs/>
              </w:rPr>
              <w:t>BRAF</w:t>
            </w:r>
          </w:p>
        </w:tc>
        <w:tc>
          <w:tcPr>
            <w:tcW w:w="1871" w:type="dxa"/>
            <w:shd w:val="clear" w:color="auto" w:fill="auto"/>
            <w:noWrap/>
            <w:vAlign w:val="bottom"/>
            <w:hideMark/>
          </w:tcPr>
          <w:p w14:paraId="3B175808" w14:textId="77777777" w:rsidR="00120940" w:rsidRPr="00AA0B7D" w:rsidRDefault="00120940" w:rsidP="0052362F">
            <w:pPr>
              <w:snapToGrid w:val="0"/>
              <w:spacing w:line="360" w:lineRule="auto"/>
              <w:jc w:val="both"/>
              <w:rPr>
                <w:rFonts w:ascii="Book Antiqua" w:hAnsi="Book Antiqua"/>
              </w:rPr>
            </w:pPr>
          </w:p>
        </w:tc>
        <w:tc>
          <w:tcPr>
            <w:tcW w:w="1516" w:type="dxa"/>
            <w:shd w:val="clear" w:color="auto" w:fill="auto"/>
            <w:noWrap/>
            <w:vAlign w:val="bottom"/>
            <w:hideMark/>
          </w:tcPr>
          <w:p w14:paraId="0998EC8C" w14:textId="77777777" w:rsidR="00120940" w:rsidRPr="00AA0B7D" w:rsidRDefault="00120940" w:rsidP="0052362F">
            <w:pPr>
              <w:snapToGrid w:val="0"/>
              <w:spacing w:line="360" w:lineRule="auto"/>
              <w:jc w:val="both"/>
              <w:rPr>
                <w:rFonts w:ascii="Book Antiqua" w:hAnsi="Book Antiqua"/>
              </w:rPr>
            </w:pPr>
          </w:p>
        </w:tc>
        <w:tc>
          <w:tcPr>
            <w:tcW w:w="1716" w:type="dxa"/>
            <w:shd w:val="clear" w:color="auto" w:fill="auto"/>
            <w:noWrap/>
            <w:vAlign w:val="bottom"/>
            <w:hideMark/>
          </w:tcPr>
          <w:p w14:paraId="4AB76ED5" w14:textId="77777777" w:rsidR="00120940" w:rsidRPr="00AA0B7D" w:rsidRDefault="00120940" w:rsidP="0052362F">
            <w:pPr>
              <w:snapToGrid w:val="0"/>
              <w:spacing w:line="360" w:lineRule="auto"/>
              <w:jc w:val="both"/>
              <w:rPr>
                <w:rFonts w:ascii="Book Antiqua" w:hAnsi="Book Antiqua"/>
              </w:rPr>
            </w:pPr>
          </w:p>
        </w:tc>
        <w:tc>
          <w:tcPr>
            <w:tcW w:w="1276" w:type="dxa"/>
            <w:shd w:val="clear" w:color="auto" w:fill="auto"/>
            <w:noWrap/>
            <w:vAlign w:val="bottom"/>
            <w:hideMark/>
          </w:tcPr>
          <w:p w14:paraId="7A23AF27"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0.597</w:t>
            </w:r>
          </w:p>
        </w:tc>
      </w:tr>
      <w:tr w:rsidR="00120940" w:rsidRPr="00AA0B7D" w14:paraId="7B75BD2C" w14:textId="77777777" w:rsidTr="0052362F">
        <w:trPr>
          <w:trHeight w:val="278"/>
        </w:trPr>
        <w:tc>
          <w:tcPr>
            <w:tcW w:w="2268" w:type="dxa"/>
            <w:shd w:val="clear" w:color="auto" w:fill="auto"/>
            <w:noWrap/>
            <w:vAlign w:val="center"/>
            <w:hideMark/>
          </w:tcPr>
          <w:p w14:paraId="099A4B86"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Wild</w:t>
            </w:r>
          </w:p>
        </w:tc>
        <w:tc>
          <w:tcPr>
            <w:tcW w:w="1871" w:type="dxa"/>
            <w:shd w:val="clear" w:color="auto" w:fill="auto"/>
            <w:noWrap/>
            <w:vAlign w:val="center"/>
            <w:hideMark/>
          </w:tcPr>
          <w:p w14:paraId="7F5012EA"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106 (94.6)</w:t>
            </w:r>
          </w:p>
        </w:tc>
        <w:tc>
          <w:tcPr>
            <w:tcW w:w="1516" w:type="dxa"/>
            <w:shd w:val="clear" w:color="auto" w:fill="auto"/>
            <w:noWrap/>
            <w:vAlign w:val="center"/>
            <w:hideMark/>
          </w:tcPr>
          <w:p w14:paraId="3DF2A6E6"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82 (94.3)</w:t>
            </w:r>
          </w:p>
        </w:tc>
        <w:tc>
          <w:tcPr>
            <w:tcW w:w="1716" w:type="dxa"/>
            <w:shd w:val="clear" w:color="auto" w:fill="auto"/>
            <w:noWrap/>
            <w:vAlign w:val="center"/>
            <w:hideMark/>
          </w:tcPr>
          <w:p w14:paraId="20F9A431"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24 (96.0)</w:t>
            </w:r>
          </w:p>
        </w:tc>
        <w:tc>
          <w:tcPr>
            <w:tcW w:w="1276" w:type="dxa"/>
            <w:shd w:val="clear" w:color="auto" w:fill="auto"/>
            <w:noWrap/>
            <w:vAlign w:val="bottom"/>
            <w:hideMark/>
          </w:tcPr>
          <w:p w14:paraId="241CAF17" w14:textId="77777777" w:rsidR="00120940" w:rsidRPr="00AA0B7D" w:rsidRDefault="00120940" w:rsidP="0052362F">
            <w:pPr>
              <w:snapToGrid w:val="0"/>
              <w:spacing w:line="360" w:lineRule="auto"/>
              <w:jc w:val="both"/>
              <w:rPr>
                <w:rFonts w:ascii="Book Antiqua" w:hAnsi="Book Antiqua"/>
              </w:rPr>
            </w:pPr>
          </w:p>
        </w:tc>
      </w:tr>
      <w:tr w:rsidR="00120940" w:rsidRPr="00AA0B7D" w14:paraId="0927FE36" w14:textId="77777777" w:rsidTr="0052362F">
        <w:trPr>
          <w:trHeight w:val="278"/>
        </w:trPr>
        <w:tc>
          <w:tcPr>
            <w:tcW w:w="2268" w:type="dxa"/>
            <w:shd w:val="clear" w:color="auto" w:fill="auto"/>
            <w:noWrap/>
            <w:vAlign w:val="center"/>
            <w:hideMark/>
          </w:tcPr>
          <w:p w14:paraId="6EE74D8C"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Mutant</w:t>
            </w:r>
          </w:p>
        </w:tc>
        <w:tc>
          <w:tcPr>
            <w:tcW w:w="1871" w:type="dxa"/>
            <w:shd w:val="clear" w:color="auto" w:fill="auto"/>
            <w:noWrap/>
            <w:vAlign w:val="center"/>
            <w:hideMark/>
          </w:tcPr>
          <w:p w14:paraId="3A96EAC5"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6 (5.4)</w:t>
            </w:r>
          </w:p>
        </w:tc>
        <w:tc>
          <w:tcPr>
            <w:tcW w:w="1516" w:type="dxa"/>
            <w:shd w:val="clear" w:color="auto" w:fill="auto"/>
            <w:noWrap/>
            <w:vAlign w:val="center"/>
            <w:hideMark/>
          </w:tcPr>
          <w:p w14:paraId="4AB96B98"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5 (5.7)</w:t>
            </w:r>
          </w:p>
        </w:tc>
        <w:tc>
          <w:tcPr>
            <w:tcW w:w="1716" w:type="dxa"/>
            <w:shd w:val="clear" w:color="auto" w:fill="auto"/>
            <w:noWrap/>
            <w:vAlign w:val="center"/>
            <w:hideMark/>
          </w:tcPr>
          <w:p w14:paraId="466192DD" w14:textId="77777777" w:rsidR="00120940" w:rsidRPr="00AA0B7D" w:rsidRDefault="00120940" w:rsidP="0052362F">
            <w:pPr>
              <w:snapToGrid w:val="0"/>
              <w:spacing w:line="360" w:lineRule="auto"/>
              <w:jc w:val="both"/>
              <w:rPr>
                <w:rFonts w:ascii="Book Antiqua" w:hAnsi="Book Antiqua"/>
              </w:rPr>
            </w:pPr>
            <w:r w:rsidRPr="00AA0B7D">
              <w:rPr>
                <w:rFonts w:ascii="Book Antiqua" w:hAnsi="Book Antiqua"/>
              </w:rPr>
              <w:t>1 (4.0)</w:t>
            </w:r>
          </w:p>
        </w:tc>
        <w:tc>
          <w:tcPr>
            <w:tcW w:w="1276" w:type="dxa"/>
            <w:shd w:val="clear" w:color="auto" w:fill="auto"/>
            <w:noWrap/>
            <w:vAlign w:val="bottom"/>
            <w:hideMark/>
          </w:tcPr>
          <w:p w14:paraId="284C10A9" w14:textId="77777777" w:rsidR="00120940" w:rsidRPr="00AA0B7D" w:rsidRDefault="00120940" w:rsidP="0052362F">
            <w:pPr>
              <w:snapToGrid w:val="0"/>
              <w:spacing w:line="360" w:lineRule="auto"/>
              <w:jc w:val="both"/>
              <w:rPr>
                <w:rFonts w:ascii="Book Antiqua" w:hAnsi="Book Antiqua"/>
              </w:rPr>
            </w:pPr>
          </w:p>
        </w:tc>
      </w:tr>
    </w:tbl>
    <w:p w14:paraId="5E5016C9" w14:textId="2A63DE9C" w:rsidR="00120940" w:rsidRPr="00E644B0" w:rsidRDefault="00E644B0" w:rsidP="00120940">
      <w:pPr>
        <w:snapToGrid w:val="0"/>
        <w:spacing w:line="360" w:lineRule="auto"/>
        <w:jc w:val="both"/>
        <w:rPr>
          <w:rFonts w:ascii="Book Antiqua" w:hAnsi="Book Antiqua"/>
        </w:rPr>
      </w:pPr>
      <w:r>
        <w:rPr>
          <w:rFonts w:ascii="Book Antiqua" w:hAnsi="Book Antiqua"/>
        </w:rPr>
        <w:t xml:space="preserve">Data </w:t>
      </w:r>
      <w:r w:rsidRPr="00E644B0">
        <w:rPr>
          <w:rFonts w:ascii="Book Antiqua" w:hAnsi="Book Antiqua"/>
        </w:rPr>
        <w:t xml:space="preserve">are </w:t>
      </w:r>
      <w:r w:rsidRPr="00784314">
        <w:rPr>
          <w:rFonts w:ascii="Book Antiqua" w:hAnsi="Book Antiqua"/>
          <w:i/>
          <w:iCs/>
        </w:rPr>
        <w:t>n</w:t>
      </w:r>
      <w:r w:rsidRPr="00784314">
        <w:rPr>
          <w:rFonts w:ascii="Book Antiqua" w:hAnsi="Book Antiqua"/>
        </w:rPr>
        <w:t xml:space="preserve"> (%).</w:t>
      </w:r>
    </w:p>
    <w:p w14:paraId="7CC9C133" w14:textId="77777777" w:rsidR="00697BD0" w:rsidRPr="00AA0B7D" w:rsidRDefault="00697BD0" w:rsidP="00120940">
      <w:pPr>
        <w:spacing w:line="360" w:lineRule="auto"/>
        <w:jc w:val="both"/>
        <w:rPr>
          <w:rFonts w:ascii="Book Antiqua" w:hAnsi="Book Antiqua"/>
        </w:rPr>
      </w:pPr>
    </w:p>
    <w:sectPr w:rsidR="00697BD0" w:rsidRPr="00AA0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F375" w14:textId="77777777" w:rsidR="002F06B7" w:rsidRDefault="002F06B7" w:rsidP="008929E2">
      <w:r>
        <w:separator/>
      </w:r>
    </w:p>
  </w:endnote>
  <w:endnote w:type="continuationSeparator" w:id="0">
    <w:p w14:paraId="5831FADF" w14:textId="77777777" w:rsidR="002F06B7" w:rsidRDefault="002F06B7" w:rsidP="0089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ＭＳ 明朝"/>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873095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C997CF6" w14:textId="587341DF" w:rsidR="008929E2" w:rsidRPr="00B72BA1" w:rsidRDefault="008929E2">
            <w:pPr>
              <w:pStyle w:val="Footer"/>
              <w:jc w:val="right"/>
              <w:rPr>
                <w:rFonts w:ascii="Book Antiqua" w:hAnsi="Book Antiqua"/>
                <w:sz w:val="24"/>
                <w:szCs w:val="24"/>
              </w:rPr>
            </w:pPr>
            <w:r w:rsidRPr="008929E2">
              <w:rPr>
                <w:rFonts w:ascii="Book Antiqua" w:hAnsi="Book Antiqua"/>
                <w:sz w:val="24"/>
                <w:szCs w:val="24"/>
                <w:lang w:val="zh-CN" w:eastAsia="zh-CN"/>
              </w:rPr>
              <w:t xml:space="preserve"> </w:t>
            </w:r>
            <w:r w:rsidRPr="00784314">
              <w:rPr>
                <w:rFonts w:ascii="Book Antiqua" w:hAnsi="Book Antiqua"/>
                <w:sz w:val="24"/>
                <w:szCs w:val="24"/>
              </w:rPr>
              <w:fldChar w:fldCharType="begin"/>
            </w:r>
            <w:r w:rsidRPr="00784314">
              <w:rPr>
                <w:rFonts w:ascii="Book Antiqua" w:hAnsi="Book Antiqua"/>
                <w:sz w:val="24"/>
                <w:szCs w:val="24"/>
              </w:rPr>
              <w:instrText>PAGE</w:instrText>
            </w:r>
            <w:r w:rsidRPr="00784314">
              <w:rPr>
                <w:rFonts w:ascii="Book Antiqua" w:hAnsi="Book Antiqua"/>
                <w:sz w:val="24"/>
                <w:szCs w:val="24"/>
              </w:rPr>
              <w:fldChar w:fldCharType="separate"/>
            </w:r>
            <w:r w:rsidRPr="00784314">
              <w:rPr>
                <w:rFonts w:ascii="Book Antiqua" w:hAnsi="Book Antiqua"/>
                <w:sz w:val="24"/>
                <w:szCs w:val="24"/>
                <w:lang w:val="zh-CN" w:eastAsia="zh-CN"/>
              </w:rPr>
              <w:t>2</w:t>
            </w:r>
            <w:r w:rsidRPr="00784314">
              <w:rPr>
                <w:rFonts w:ascii="Book Antiqua" w:hAnsi="Book Antiqua"/>
                <w:sz w:val="24"/>
                <w:szCs w:val="24"/>
              </w:rPr>
              <w:fldChar w:fldCharType="end"/>
            </w:r>
            <w:r w:rsidRPr="00B72BA1">
              <w:rPr>
                <w:rFonts w:ascii="Book Antiqua" w:hAnsi="Book Antiqua"/>
                <w:sz w:val="24"/>
                <w:szCs w:val="24"/>
                <w:lang w:val="zh-CN" w:eastAsia="zh-CN"/>
              </w:rPr>
              <w:t xml:space="preserve"> / </w:t>
            </w:r>
            <w:r w:rsidRPr="00784314">
              <w:rPr>
                <w:rFonts w:ascii="Book Antiqua" w:hAnsi="Book Antiqua"/>
                <w:sz w:val="24"/>
                <w:szCs w:val="24"/>
              </w:rPr>
              <w:fldChar w:fldCharType="begin"/>
            </w:r>
            <w:r w:rsidRPr="00784314">
              <w:rPr>
                <w:rFonts w:ascii="Book Antiqua" w:hAnsi="Book Antiqua"/>
                <w:sz w:val="24"/>
                <w:szCs w:val="24"/>
              </w:rPr>
              <w:instrText>NUMPAGES</w:instrText>
            </w:r>
            <w:r w:rsidRPr="00784314">
              <w:rPr>
                <w:rFonts w:ascii="Book Antiqua" w:hAnsi="Book Antiqua"/>
                <w:sz w:val="24"/>
                <w:szCs w:val="24"/>
              </w:rPr>
              <w:fldChar w:fldCharType="separate"/>
            </w:r>
            <w:r w:rsidRPr="00784314">
              <w:rPr>
                <w:rFonts w:ascii="Book Antiqua" w:hAnsi="Book Antiqua"/>
                <w:sz w:val="24"/>
                <w:szCs w:val="24"/>
                <w:lang w:val="zh-CN" w:eastAsia="zh-CN"/>
              </w:rPr>
              <w:t>2</w:t>
            </w:r>
            <w:r w:rsidRPr="00784314">
              <w:rPr>
                <w:rFonts w:ascii="Book Antiqua" w:hAnsi="Book Antiqua"/>
                <w:sz w:val="24"/>
                <w:szCs w:val="24"/>
              </w:rPr>
              <w:fldChar w:fldCharType="end"/>
            </w:r>
          </w:p>
        </w:sdtContent>
      </w:sdt>
    </w:sdtContent>
  </w:sdt>
  <w:p w14:paraId="1C0AE453" w14:textId="77777777" w:rsidR="008929E2" w:rsidRPr="008929E2" w:rsidRDefault="008929E2">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9404" w14:textId="77777777" w:rsidR="002F06B7" w:rsidRDefault="002F06B7" w:rsidP="008929E2">
      <w:r>
        <w:separator/>
      </w:r>
    </w:p>
  </w:footnote>
  <w:footnote w:type="continuationSeparator" w:id="0">
    <w:p w14:paraId="7DD6D71B" w14:textId="77777777" w:rsidR="002F06B7" w:rsidRDefault="002F06B7" w:rsidP="0089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CD6"/>
    <w:rsid w:val="000936B4"/>
    <w:rsid w:val="000A6A8F"/>
    <w:rsid w:val="000B1683"/>
    <w:rsid w:val="000B2AD0"/>
    <w:rsid w:val="000D06D7"/>
    <w:rsid w:val="000F270A"/>
    <w:rsid w:val="001011A7"/>
    <w:rsid w:val="00120940"/>
    <w:rsid w:val="00134823"/>
    <w:rsid w:val="00186405"/>
    <w:rsid w:val="001D1E70"/>
    <w:rsid w:val="001F5637"/>
    <w:rsid w:val="001F5D6D"/>
    <w:rsid w:val="00204A27"/>
    <w:rsid w:val="0021020B"/>
    <w:rsid w:val="0022457A"/>
    <w:rsid w:val="002353B8"/>
    <w:rsid w:val="00265CA5"/>
    <w:rsid w:val="00276429"/>
    <w:rsid w:val="00291505"/>
    <w:rsid w:val="00293E6B"/>
    <w:rsid w:val="002A43EA"/>
    <w:rsid w:val="002A6118"/>
    <w:rsid w:val="002B2134"/>
    <w:rsid w:val="002B25E7"/>
    <w:rsid w:val="002C5FC2"/>
    <w:rsid w:val="002E02F1"/>
    <w:rsid w:val="002F06B7"/>
    <w:rsid w:val="00300CC9"/>
    <w:rsid w:val="00365748"/>
    <w:rsid w:val="003747F7"/>
    <w:rsid w:val="00386C67"/>
    <w:rsid w:val="003E3DE1"/>
    <w:rsid w:val="003F59CA"/>
    <w:rsid w:val="00420CEB"/>
    <w:rsid w:val="00446D0D"/>
    <w:rsid w:val="004476FF"/>
    <w:rsid w:val="0046289B"/>
    <w:rsid w:val="00473F21"/>
    <w:rsid w:val="004961DE"/>
    <w:rsid w:val="004D3FBB"/>
    <w:rsid w:val="004E761C"/>
    <w:rsid w:val="004F08D9"/>
    <w:rsid w:val="004F468A"/>
    <w:rsid w:val="00502A57"/>
    <w:rsid w:val="00505702"/>
    <w:rsid w:val="00505E0C"/>
    <w:rsid w:val="005222E1"/>
    <w:rsid w:val="00534A0B"/>
    <w:rsid w:val="00566F07"/>
    <w:rsid w:val="00577FED"/>
    <w:rsid w:val="005875EB"/>
    <w:rsid w:val="005A0C8D"/>
    <w:rsid w:val="005B444F"/>
    <w:rsid w:val="005C1E3A"/>
    <w:rsid w:val="005C53AD"/>
    <w:rsid w:val="005D07D1"/>
    <w:rsid w:val="005D5887"/>
    <w:rsid w:val="005F3699"/>
    <w:rsid w:val="005F3D4F"/>
    <w:rsid w:val="00636B75"/>
    <w:rsid w:val="00636B90"/>
    <w:rsid w:val="0063779C"/>
    <w:rsid w:val="0065186F"/>
    <w:rsid w:val="00663021"/>
    <w:rsid w:val="00674588"/>
    <w:rsid w:val="0068364E"/>
    <w:rsid w:val="00697BD0"/>
    <w:rsid w:val="006B62C1"/>
    <w:rsid w:val="00784314"/>
    <w:rsid w:val="007C4962"/>
    <w:rsid w:val="007D6EF6"/>
    <w:rsid w:val="007E0D0C"/>
    <w:rsid w:val="007F0F55"/>
    <w:rsid w:val="00823E3C"/>
    <w:rsid w:val="0083700E"/>
    <w:rsid w:val="008371BD"/>
    <w:rsid w:val="00856F51"/>
    <w:rsid w:val="008929E2"/>
    <w:rsid w:val="008C2B2E"/>
    <w:rsid w:val="008D50AE"/>
    <w:rsid w:val="008F5898"/>
    <w:rsid w:val="00952F23"/>
    <w:rsid w:val="0095419E"/>
    <w:rsid w:val="00964F56"/>
    <w:rsid w:val="0097246D"/>
    <w:rsid w:val="0099722A"/>
    <w:rsid w:val="009D6D57"/>
    <w:rsid w:val="009E37E7"/>
    <w:rsid w:val="009F1995"/>
    <w:rsid w:val="00A073FB"/>
    <w:rsid w:val="00A21110"/>
    <w:rsid w:val="00A2575A"/>
    <w:rsid w:val="00A41F54"/>
    <w:rsid w:val="00A77034"/>
    <w:rsid w:val="00A77B3E"/>
    <w:rsid w:val="00AA0B7D"/>
    <w:rsid w:val="00AF2646"/>
    <w:rsid w:val="00B024FD"/>
    <w:rsid w:val="00B10361"/>
    <w:rsid w:val="00B15ADE"/>
    <w:rsid w:val="00B67277"/>
    <w:rsid w:val="00B72BA1"/>
    <w:rsid w:val="00BE0487"/>
    <w:rsid w:val="00BF7F4C"/>
    <w:rsid w:val="00C33F80"/>
    <w:rsid w:val="00C67173"/>
    <w:rsid w:val="00C70FF6"/>
    <w:rsid w:val="00CA2A55"/>
    <w:rsid w:val="00CA4CF6"/>
    <w:rsid w:val="00CD1089"/>
    <w:rsid w:val="00D10D14"/>
    <w:rsid w:val="00D12EF0"/>
    <w:rsid w:val="00D40B8D"/>
    <w:rsid w:val="00D57B9F"/>
    <w:rsid w:val="00D84FEA"/>
    <w:rsid w:val="00D91DCF"/>
    <w:rsid w:val="00DF31B8"/>
    <w:rsid w:val="00E16FFD"/>
    <w:rsid w:val="00E3179F"/>
    <w:rsid w:val="00E47B72"/>
    <w:rsid w:val="00E55B64"/>
    <w:rsid w:val="00E644B0"/>
    <w:rsid w:val="00EA0B58"/>
    <w:rsid w:val="00EA6376"/>
    <w:rsid w:val="00EB09D1"/>
    <w:rsid w:val="00EB1F91"/>
    <w:rsid w:val="00EC2AEA"/>
    <w:rsid w:val="00EE2775"/>
    <w:rsid w:val="00EF30FB"/>
    <w:rsid w:val="00F15399"/>
    <w:rsid w:val="00F84582"/>
    <w:rsid w:val="00FD6186"/>
    <w:rsid w:val="00FF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98476"/>
  <w15:docId w15:val="{E2BBBEB0-AF09-4CB5-B4E5-9E363A96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29E2"/>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929E2"/>
    <w:rPr>
      <w:sz w:val="18"/>
      <w:szCs w:val="18"/>
    </w:rPr>
  </w:style>
  <w:style w:type="paragraph" w:styleId="Footer">
    <w:name w:val="footer"/>
    <w:basedOn w:val="Normal"/>
    <w:link w:val="FooterChar"/>
    <w:uiPriority w:val="99"/>
    <w:rsid w:val="008929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29E2"/>
    <w:rPr>
      <w:sz w:val="18"/>
      <w:szCs w:val="18"/>
    </w:rPr>
  </w:style>
  <w:style w:type="character" w:styleId="CommentReference">
    <w:name w:val="annotation reference"/>
    <w:basedOn w:val="DefaultParagraphFont"/>
    <w:uiPriority w:val="99"/>
    <w:rsid w:val="0065186F"/>
    <w:rPr>
      <w:sz w:val="21"/>
      <w:szCs w:val="21"/>
    </w:rPr>
  </w:style>
  <w:style w:type="paragraph" w:styleId="CommentText">
    <w:name w:val="annotation text"/>
    <w:basedOn w:val="Normal"/>
    <w:link w:val="CommentTextChar"/>
    <w:uiPriority w:val="99"/>
    <w:rsid w:val="0065186F"/>
  </w:style>
  <w:style w:type="character" w:customStyle="1" w:styleId="CommentTextChar">
    <w:name w:val="Comment Text Char"/>
    <w:basedOn w:val="DefaultParagraphFont"/>
    <w:link w:val="CommentText"/>
    <w:uiPriority w:val="99"/>
    <w:rsid w:val="0065186F"/>
    <w:rPr>
      <w:sz w:val="24"/>
      <w:szCs w:val="24"/>
    </w:rPr>
  </w:style>
  <w:style w:type="paragraph" w:styleId="CommentSubject">
    <w:name w:val="annotation subject"/>
    <w:basedOn w:val="CommentText"/>
    <w:next w:val="CommentText"/>
    <w:link w:val="CommentSubjectChar"/>
    <w:rsid w:val="0065186F"/>
    <w:rPr>
      <w:b/>
      <w:bCs/>
    </w:rPr>
  </w:style>
  <w:style w:type="character" w:customStyle="1" w:styleId="CommentSubjectChar">
    <w:name w:val="Comment Subject Char"/>
    <w:basedOn w:val="CommentTextChar"/>
    <w:link w:val="CommentSubject"/>
    <w:rsid w:val="0065186F"/>
    <w:rPr>
      <w:b/>
      <w:bCs/>
      <w:sz w:val="24"/>
      <w:szCs w:val="24"/>
    </w:rPr>
  </w:style>
  <w:style w:type="paragraph" w:styleId="Revision">
    <w:name w:val="Revision"/>
    <w:hidden/>
    <w:uiPriority w:val="99"/>
    <w:semiHidden/>
    <w:rsid w:val="009D6D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5635</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haohaoluo</dc:creator>
  <cp:lastModifiedBy>Jennifer van Velkinburgh</cp:lastModifiedBy>
  <cp:revision>2</cp:revision>
  <dcterms:created xsi:type="dcterms:W3CDTF">2023-12-19T19:32:00Z</dcterms:created>
  <dcterms:modified xsi:type="dcterms:W3CDTF">2023-12-19T19:32:00Z</dcterms:modified>
</cp:coreProperties>
</file>