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89322</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New strategies in the diagnosis and treatment of immune-checkpoint inhibitor-mediated colitis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 xml:space="preserve">Velikova T </w:t>
      </w:r>
      <w:r>
        <w:rPr>
          <w:rFonts w:ascii="Book Antiqua" w:hAnsi="Book Antiqua" w:eastAsia="Book Antiqua" w:cs="Book Antiqua"/>
          <w:i/>
          <w:iCs/>
        </w:rPr>
        <w:t>et al</w:t>
      </w:r>
      <w:r>
        <w:rPr>
          <w:rFonts w:ascii="Book Antiqua" w:hAnsi="Book Antiqua" w:eastAsia="Book Antiqua" w:cs="Book Antiqua"/>
        </w:rPr>
        <w:t>. Immune-checkpoint inhibitor-mediated colitis</w:t>
      </w:r>
    </w:p>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eastAsia="Book Antiqua" w:cs="Book Antiqua"/>
          <w:b/>
          <w:bCs/>
        </w:rPr>
        <w:t>Tsvetelina Velikova, Boris Krastev, Milena Gulinac, Miroslav Zashev, Vasko Graklanov, Milena Peruhova</w:t>
      </w:r>
    </w:p>
    <w:p>
      <w:pPr>
        <w:spacing w:line="360" w:lineRule="auto"/>
        <w:jc w:val="both"/>
        <w:rPr>
          <w:rFonts w:ascii="Book Antiqua" w:hAnsi="Book Antiqua"/>
          <w:b/>
          <w:bCs/>
        </w:rPr>
      </w:pPr>
    </w:p>
    <w:p>
      <w:pPr>
        <w:spacing w:line="360" w:lineRule="auto"/>
        <w:jc w:val="both"/>
        <w:rPr>
          <w:rFonts w:ascii="Book Antiqua" w:hAnsi="Book Antiqua"/>
        </w:rPr>
      </w:pPr>
      <w:r>
        <w:rPr>
          <w:rFonts w:ascii="Book Antiqua" w:hAnsi="Book Antiqua" w:eastAsia="Book Antiqua" w:cs="Book Antiqua"/>
          <w:b/>
          <w:bCs/>
        </w:rPr>
        <w:t xml:space="preserve">Tsvetelina Velikova, Milena Gulinac, </w:t>
      </w:r>
      <w:r>
        <w:rPr>
          <w:rFonts w:ascii="Book Antiqua" w:hAnsi="Book Antiqua" w:eastAsia="Book Antiqua" w:cs="Book Antiqua"/>
        </w:rPr>
        <w:t>Medical Faculty, Sofia University St. Kliment Ohridski, Sofia 1407,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Boris Krastev, </w:t>
      </w:r>
      <w:r>
        <w:rPr>
          <w:rFonts w:ascii="Book Antiqua" w:hAnsi="Book Antiqua" w:eastAsia="Book Antiqua" w:cs="Book Antiqua"/>
        </w:rPr>
        <w:t>Medical Center Nadezhda, Medical Center Nadezhda, Sofia 1407,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Milena Gulinac, </w:t>
      </w:r>
      <w:r>
        <w:rPr>
          <w:rFonts w:ascii="Book Antiqua" w:hAnsi="Book Antiqua" w:eastAsia="Book Antiqua" w:cs="Book Antiqua"/>
        </w:rPr>
        <w:t>General and Clinical Pathology, Medical University of Plovdiv, Plovdiv 4002,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Miroslav Zashev, </w:t>
      </w:r>
      <w:r>
        <w:rPr>
          <w:rFonts w:ascii="Book Antiqua" w:hAnsi="Book Antiqua" w:eastAsia="Book Antiqua" w:cs="Book Antiqua"/>
        </w:rPr>
        <w:t>Department of General Surgery, University Hospital “Heart and Brain”, Burgas 8000,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Vasko Graklanov, </w:t>
      </w:r>
      <w:r>
        <w:rPr>
          <w:rFonts w:ascii="Book Antiqua" w:hAnsi="Book Antiqua" w:eastAsia="Book Antiqua" w:cs="Book Antiqua"/>
        </w:rPr>
        <w:t>First Department of Internal Diseases, Medical University of Plovdiv, Plovdiv 4000,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Vasko Graklanov, </w:t>
      </w:r>
      <w:r>
        <w:rPr>
          <w:rFonts w:ascii="Book Antiqua" w:hAnsi="Book Antiqua" w:eastAsia="Book Antiqua" w:cs="Book Antiqua"/>
        </w:rPr>
        <w:t>Department of Hematology, University Hospital “St. George”, Plovdiv 4000,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Milena Peruhova, </w:t>
      </w:r>
      <w:r>
        <w:rPr>
          <w:rFonts w:ascii="Book Antiqua" w:hAnsi="Book Antiqua" w:eastAsia="Book Antiqua" w:cs="Book Antiqua"/>
        </w:rPr>
        <w:t>Division of Gastroenterology, University Hospital “Heart and Brain”, Burgas 1000, Bulgaria</w:t>
      </w:r>
    </w:p>
    <w:p>
      <w:pPr>
        <w:spacing w:line="360" w:lineRule="auto"/>
        <w:jc w:val="both"/>
        <w:rPr>
          <w:rFonts w:ascii="Book Antiqua" w:hAnsi="Book Antiqua" w:eastAsia="Book Antiqua" w:cs="Book Antiqua"/>
          <w:b/>
          <w:bCs/>
        </w:rPr>
      </w:pPr>
    </w:p>
    <w:p>
      <w:pPr>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rPr>
        <w:t>Peruhova M and Velikova T contributed to</w:t>
      </w:r>
      <w:r>
        <w:rPr>
          <w:rFonts w:ascii="Book Antiqua" w:hAnsi="Book Antiqua" w:eastAsia="Book Antiqua" w:cs="Book Antiqua"/>
          <w:b/>
          <w:bCs/>
        </w:rPr>
        <w:t xml:space="preserve"> </w:t>
      </w:r>
      <w:r>
        <w:rPr>
          <w:rFonts w:ascii="Book Antiqua" w:hAnsi="Book Antiqua" w:eastAsia="Book Antiqua" w:cs="Book Antiqua"/>
        </w:rPr>
        <w:t>conceptualization; Krastev B and Gulinac M contributed to methodology; Zashe M contributed to software; Peruhova M and Graklanov V contributed to resources; Zashev M and Graklanov V contributed to data curation; Velikova T, Gulinac M, and Peruhova M contributed to visualization; Peruhova M, Krastev B, Gulinac M, and Zashev M wrote the original draft; Velikova T contributed to review and editing the manuscript, English language proofreading, funding acquisition, and supervision; all authors revised and approved the final version of the manuscript prior to submission.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Supported by</w:t>
      </w:r>
      <w:r>
        <w:rPr>
          <w:rFonts w:ascii="Book Antiqua" w:hAnsi="Book Antiqua" w:eastAsia="Book Antiqua" w:cs="Book Antiqua"/>
        </w:rPr>
        <w:t xml:space="preserve"> the</w:t>
      </w:r>
      <w:r>
        <w:rPr>
          <w:rFonts w:ascii="Book Antiqua" w:hAnsi="Book Antiqua" w:eastAsia="Book Antiqua" w:cs="Book Antiqua"/>
          <w:b/>
          <w:bCs/>
        </w:rPr>
        <w:t xml:space="preserve"> </w:t>
      </w:r>
      <w:r>
        <w:rPr>
          <w:rFonts w:ascii="Book Antiqua" w:hAnsi="Book Antiqua" w:eastAsia="Book Antiqua" w:cs="Book Antiqua"/>
        </w:rPr>
        <w:t>European Union-NextGenerationEU, through the National Recovery and Resilience Plan of the Republic of Bulgaria, No. BG-RRP-2.004-0008.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Corresponding author: Milena Peruhova, MD, Assistant Professor, Chief Physician, </w:t>
      </w:r>
      <w:r>
        <w:rPr>
          <w:rFonts w:ascii="Book Antiqua" w:hAnsi="Book Antiqua" w:eastAsia="Book Antiqua" w:cs="Book Antiqua"/>
        </w:rPr>
        <w:t>Division of Gastroenterology, University Hospital “Heart and Brain”, 1 Zdrave Street, Burgas 1000, Bulgaria. mperuhova@gmail.com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27, 2023</w:t>
      </w:r>
    </w:p>
    <w:p>
      <w:pPr>
        <w:spacing w:line="360" w:lineRule="auto"/>
        <w:jc w:val="both"/>
        <w:rPr>
          <w:rFonts w:ascii="Book Antiqua" w:hAnsi="Book Antiqua" w:eastAsia="Book Antiqua" w:cs="Book Antiqua"/>
          <w:b/>
          <w:bCs/>
        </w:rPr>
      </w:pPr>
      <w:r>
        <w:rPr>
          <w:rFonts w:ascii="Book Antiqua" w:hAnsi="Book Antiqua" w:eastAsia="Book Antiqua" w:cs="Book Antiqua"/>
          <w:b/>
          <w:bCs/>
        </w:rPr>
        <w:t xml:space="preserve">Revised: </w:t>
      </w:r>
      <w:r>
        <w:rPr>
          <w:rFonts w:ascii="Book Antiqua" w:hAnsi="Book Antiqua" w:eastAsia="Book Antiqua" w:cs="Book Antiqua"/>
        </w:rPr>
        <w:t>December 20, 2023</w:t>
      </w:r>
    </w:p>
    <w:p>
      <w:pPr>
        <w:spacing w:line="360" w:lineRule="auto"/>
        <w:rPr>
          <w:rFonts w:ascii="Book Antiqua" w:hAnsi="Book Antiqua"/>
        </w:rPr>
      </w:pPr>
      <w:r>
        <w:rPr>
          <w:rFonts w:ascii="Book Antiqua" w:hAnsi="Book Antiqua" w:eastAsia="Book Antiqua" w:cs="Book Antiqua"/>
          <w:b/>
          <w:bCs/>
        </w:rPr>
        <w:t xml:space="preserve">Accepted: </w:t>
      </w:r>
      <w:bookmarkStart w:id="0" w:name="OLE_LINK7744"/>
      <w:bookmarkStart w:id="1" w:name="OLE_LINK1342"/>
      <w:bookmarkStart w:id="2" w:name="OLE_LINK1250"/>
      <w:bookmarkStart w:id="3" w:name="OLE_LINK7259"/>
      <w:bookmarkStart w:id="4" w:name="OLE_LINK15"/>
      <w:bookmarkStart w:id="5" w:name="OLE_LINK7264"/>
      <w:bookmarkStart w:id="6" w:name="OLE_LINK1237"/>
      <w:bookmarkStart w:id="7" w:name="OLE_LINK1251"/>
      <w:bookmarkStart w:id="8" w:name="OLE_LINK7295"/>
      <w:bookmarkStart w:id="9" w:name="OLE_LINK7287"/>
      <w:bookmarkStart w:id="10" w:name="OLE_LINK1225"/>
      <w:bookmarkStart w:id="11" w:name="OLE_LINK7753"/>
      <w:bookmarkStart w:id="12" w:name="OLE_LINK1297"/>
      <w:bookmarkStart w:id="13" w:name="OLE_LINK7639"/>
      <w:bookmarkStart w:id="14" w:name="OLE_LINK7732"/>
      <w:bookmarkStart w:id="15" w:name="OLE_LINK7761"/>
      <w:bookmarkStart w:id="16" w:name="OLE_LINK7305"/>
      <w:bookmarkStart w:id="17" w:name="OLE_LINK7308"/>
      <w:bookmarkStart w:id="18" w:name="OLE_LINK1319"/>
      <w:bookmarkStart w:id="19" w:name="OLE_LINK1346"/>
      <w:bookmarkStart w:id="20" w:name="OLE_LINK7644"/>
      <w:bookmarkStart w:id="21" w:name="OLE_LINK1305"/>
      <w:bookmarkStart w:id="22" w:name="OLE_LINK1352"/>
      <w:bookmarkStart w:id="23" w:name="OLE_LINK1273"/>
      <w:bookmarkStart w:id="24" w:name="OLE_LINK7244"/>
      <w:bookmarkStart w:id="25" w:name="OLE_LINK7268"/>
      <w:bookmarkStart w:id="26" w:name="OLE_LINK7241"/>
      <w:bookmarkStart w:id="27" w:name="OLE_LINK3"/>
      <w:bookmarkStart w:id="28" w:name="OLE_LINK7800"/>
      <w:bookmarkStart w:id="29" w:name="OLE_LINK7317"/>
      <w:bookmarkStart w:id="30" w:name="OLE_LINK7682"/>
      <w:bookmarkStart w:id="31" w:name="OLE_LINK7313"/>
      <w:bookmarkStart w:id="32" w:name="OLE_LINK7670"/>
      <w:bookmarkStart w:id="33" w:name="OLE_LINK7300"/>
      <w:bookmarkStart w:id="34" w:name="OLE_LINK7666"/>
      <w:bookmarkStart w:id="35" w:name="OLE_LINK7623"/>
      <w:bookmarkStart w:id="36" w:name="OLE_LINK7654"/>
      <w:bookmarkStart w:id="37" w:name="OLE_LINK7303"/>
      <w:bookmarkStart w:id="38" w:name="OLE_LINK7630"/>
      <w:bookmarkStart w:id="39" w:name="OLE_LINK7675"/>
      <w:bookmarkStart w:id="40" w:name="OLE_LINK7292"/>
      <w:bookmarkStart w:id="41" w:name="OLE_LINK7290"/>
      <w:bookmarkStart w:id="42" w:name="OLE_LINK7727"/>
      <w:bookmarkStart w:id="43" w:name="OLE_LINK7263"/>
      <w:bookmarkStart w:id="44" w:name="OLE_LINK7724"/>
      <w:bookmarkStart w:id="45" w:name="OLE_LINK7772"/>
      <w:bookmarkStart w:id="46" w:name="OLE_LINK7618"/>
      <w:bookmarkStart w:id="47" w:name="OLE_LINK7815"/>
      <w:bookmarkStart w:id="48" w:name="OLE_LINK7322"/>
      <w:bookmarkStart w:id="49" w:name="OLE_LINK7296"/>
      <w:bookmarkStart w:id="50" w:name="OLE_LINK7693"/>
      <w:bookmarkStart w:id="51" w:name="OLE_LINK7302"/>
      <w:bookmarkStart w:id="52" w:name="OLE_LINK7650"/>
      <w:bookmarkStart w:id="53" w:name="OLE_LINK7238"/>
      <w:bookmarkStart w:id="54" w:name="OLE_LINK7254"/>
      <w:bookmarkStart w:id="55" w:name="OLE_LINK7279"/>
      <w:bookmarkStart w:id="56" w:name="OLE_LINK7307"/>
      <w:bookmarkStart w:id="57" w:name="OLE_LINK7688"/>
      <w:bookmarkStart w:id="58" w:name="OLE_LINK7681"/>
      <w:bookmarkStart w:id="59" w:name="OLE_LINK7794"/>
      <w:bookmarkStart w:id="60" w:name="OLE_LINK7619"/>
      <w:bookmarkStart w:id="61" w:name="OLE_LINK7631"/>
      <w:bookmarkStart w:id="62" w:name="OLE_LINK7245"/>
      <w:bookmarkStart w:id="63" w:name="OLE_LINK7642"/>
      <w:bookmarkStart w:id="64" w:name="OLE_LINK7765"/>
      <w:bookmarkStart w:id="65" w:name="OLE_LINK7282"/>
      <w:bookmarkStart w:id="66" w:name="OLE_LINK7272"/>
      <w:bookmarkStart w:id="67" w:name="OLE_LINK7769"/>
      <w:bookmarkStart w:id="68" w:name="OLE_LINK7588"/>
      <w:bookmarkStart w:id="69" w:name="OLE_LINK7394"/>
      <w:bookmarkStart w:id="70" w:name="OLE_LINK7811"/>
      <w:bookmarkStart w:id="71" w:name="OLE_LINK7788"/>
      <w:bookmarkStart w:id="72" w:name="OLE_LINK7810"/>
      <w:bookmarkStart w:id="73" w:name="OLE_LINK7785"/>
      <w:bookmarkStart w:id="74" w:name="OLE_LINK7646"/>
      <w:bookmarkStart w:id="75" w:name="OLE_LINK7266"/>
      <w:bookmarkStart w:id="76" w:name="OLE_LINK7803"/>
      <w:bookmarkStart w:id="77" w:name="OLE_LINK7383"/>
      <w:bookmarkStart w:id="78" w:name="OLE_LINK7376"/>
      <w:bookmarkStart w:id="79" w:name="OLE_LINK7775"/>
      <w:bookmarkStart w:id="80" w:name="OLE_LINK7806"/>
      <w:bookmarkStart w:id="81" w:name="OLE_LINK7779"/>
      <w:bookmarkStart w:id="82" w:name="OLE_LINK7440"/>
      <w:bookmarkStart w:id="83" w:name="OLE_LINK7432"/>
      <w:bookmarkStart w:id="84" w:name="OLE_LINK7593"/>
      <w:bookmarkStart w:id="85" w:name="OLE_LINK7534"/>
      <w:bookmarkStart w:id="86" w:name="OLE_LINK7260"/>
      <w:bookmarkStart w:id="87" w:name="OLE_LINK7280"/>
      <w:bookmarkStart w:id="88" w:name="OLE_LINK7265"/>
      <w:bookmarkStart w:id="89" w:name="OLE_LINK7791"/>
      <w:bookmarkStart w:id="90" w:name="OLE_LINK7572"/>
      <w:bookmarkStart w:id="91" w:name="OLE_LINK7548"/>
      <w:bookmarkStart w:id="92" w:name="OLE_LINK7426"/>
      <w:bookmarkStart w:id="93" w:name="OLE_LINK7579"/>
      <w:bookmarkStart w:id="94" w:name="OLE_LINK7379"/>
      <w:bookmarkStart w:id="95" w:name="OLE_LINK7786"/>
      <w:bookmarkStart w:id="96" w:name="OLE_LINK7739"/>
      <w:bookmarkStart w:id="97" w:name="OLE_LINK7403"/>
      <w:bookmarkStart w:id="98" w:name="OLE_LINK7422"/>
      <w:bookmarkStart w:id="99" w:name="OLE_LINK7648"/>
      <w:bookmarkStart w:id="100" w:name="OLE_LINK7898"/>
      <w:bookmarkStart w:id="101" w:name="OLE_LINK7389"/>
      <w:bookmarkStart w:id="102" w:name="OLE_LINK7386"/>
      <w:bookmarkStart w:id="103" w:name="OLE_LINK7533"/>
      <w:bookmarkStart w:id="104" w:name="OLE_LINK7562"/>
      <w:bookmarkStart w:id="105" w:name="OLE_LINK7901"/>
      <w:bookmarkStart w:id="106" w:name="OLE_LINK7526"/>
      <w:bookmarkStart w:id="107" w:name="OLE_LINK7275"/>
      <w:bookmarkStart w:id="108" w:name="OLE_LINK7523"/>
      <w:bookmarkStart w:id="109" w:name="OLE_LINK7658"/>
      <w:bookmarkStart w:id="110" w:name="OLE_LINK7326"/>
      <w:bookmarkStart w:id="111" w:name="OLE_LINK7853"/>
      <w:bookmarkStart w:id="112" w:name="OLE_LINK7552"/>
      <w:bookmarkStart w:id="113" w:name="OLE_LINK7825"/>
      <w:bookmarkStart w:id="114" w:name="OLE_LINK7862"/>
      <w:bookmarkStart w:id="115" w:name="OLE_LINK7573"/>
      <w:bookmarkStart w:id="116" w:name="OLE_LINK7538"/>
      <w:bookmarkStart w:id="117" w:name="OLE_LINK7710"/>
      <w:bookmarkStart w:id="118" w:name="OLE_LINK7711"/>
      <w:bookmarkStart w:id="119" w:name="OLE_LINK14"/>
      <w:bookmarkStart w:id="120" w:name="OLE_LINK7655"/>
      <w:bookmarkStart w:id="121" w:name="OLE_LINK7721"/>
      <w:bookmarkStart w:id="122" w:name="OLE_LINK7695"/>
      <w:bookmarkStart w:id="123" w:name="OLE_LINK2"/>
      <w:bookmarkStart w:id="124" w:name="OLE_LINK7690"/>
      <w:bookmarkStart w:id="125" w:name="OLE_LINK7722"/>
      <w:bookmarkStart w:id="126" w:name="OLE_LINK7527"/>
      <w:bookmarkStart w:id="127" w:name="OLE_LINK7734"/>
      <w:bookmarkStart w:id="128" w:name="OLE_LINK4"/>
      <w:bookmarkStart w:id="129" w:name="OLE_LINK7735"/>
      <w:bookmarkStart w:id="130" w:name="OLE_LINK7718"/>
      <w:bookmarkStart w:id="131" w:name="OLE_LINK7706"/>
      <w:bookmarkStart w:id="132" w:name="OLE_LINK7665"/>
      <w:bookmarkStart w:id="133" w:name="OLE_LINK7635"/>
      <w:bookmarkStart w:id="134" w:name="OLE_LINK7703"/>
      <w:bookmarkStart w:id="135" w:name="OLE_LINK7712"/>
      <w:bookmarkStart w:id="136" w:name="OLE_LINK11"/>
      <w:bookmarkStart w:id="137" w:name="OLE_LINK7699"/>
      <w:bookmarkStart w:id="138" w:name="OLE_LINK10"/>
      <w:bookmarkStart w:id="139" w:name="OLE_LINK17"/>
      <w:bookmarkStart w:id="140" w:name="OLE_LINK7684"/>
      <w:bookmarkStart w:id="141" w:name="OLE_LINK7709"/>
      <w:bookmarkStart w:id="142" w:name="OLE_LINK7687"/>
      <w:bookmarkStart w:id="143" w:name="OLE_LINK7620"/>
      <w:bookmarkStart w:id="144" w:name="OLE_LINK20"/>
      <w:bookmarkStart w:id="145" w:name="OLE_LINK7652"/>
      <w:bookmarkStart w:id="146" w:name="OLE_LINK7649"/>
      <w:bookmarkStart w:id="147" w:name="OLE_LINK7691"/>
      <w:bookmarkStart w:id="148" w:name="OLE_LINK7617"/>
      <w:bookmarkStart w:id="149" w:name="OLE_LINK7629"/>
      <w:bookmarkStart w:id="150" w:name="OLE_LINK226"/>
      <w:bookmarkStart w:id="151" w:name="OLE_LINK7641"/>
      <w:bookmarkStart w:id="152" w:name="OLE_LINK7228"/>
      <w:bookmarkStart w:id="153" w:name="OLE_LINK7215"/>
      <w:bookmarkStart w:id="154" w:name="OLE_LINK7616"/>
      <w:bookmarkStart w:id="155" w:name="OLE_LINK7555"/>
      <w:bookmarkStart w:id="156" w:name="OLE_LINK7515"/>
      <w:bookmarkStart w:id="157" w:name="OLE_LINK7569"/>
      <w:bookmarkStart w:id="158" w:name="OLE_LINK7223"/>
      <w:bookmarkStart w:id="159" w:name="OLE_LINK7633"/>
      <w:bookmarkStart w:id="160" w:name="OLE_LINK7243"/>
      <w:bookmarkStart w:id="161" w:name="OLE_LINK7213"/>
      <w:bookmarkStart w:id="162" w:name="OLE_LINK7568"/>
      <w:bookmarkStart w:id="163" w:name="OLE_LINK7237"/>
      <w:bookmarkStart w:id="164" w:name="OLE_LINK7608"/>
      <w:bookmarkStart w:id="165" w:name="OLE_LINK7530"/>
      <w:bookmarkStart w:id="166" w:name="OLE_LINK7547"/>
      <w:bookmarkStart w:id="167" w:name="OLE_LINK7611"/>
      <w:bookmarkStart w:id="168" w:name="OLE_LINK7550"/>
      <w:bookmarkStart w:id="169" w:name="OLE_LINK7559"/>
      <w:bookmarkStart w:id="170" w:name="OLE_LINK7253"/>
      <w:bookmarkStart w:id="171" w:name="OLE_LINK7240"/>
      <w:bookmarkStart w:id="172" w:name="OLE_LINK7236"/>
      <w:bookmarkStart w:id="173" w:name="OLE_LINK7625"/>
      <w:bookmarkStart w:id="174" w:name="OLE_LINK7250"/>
      <w:bookmarkStart w:id="175" w:name="OLE_LINK7214"/>
      <w:bookmarkStart w:id="176" w:name="OLE_LINK7513"/>
      <w:bookmarkStart w:id="177" w:name="OLE_LINK7561"/>
      <w:bookmarkStart w:id="178" w:name="OLE_LINK7522"/>
      <w:bookmarkStart w:id="179" w:name="OLE_LINK7628"/>
      <w:bookmarkStart w:id="180" w:name="OLE_LINK7235"/>
      <w:bookmarkStart w:id="181" w:name="OLE_LINK7605"/>
      <w:bookmarkStart w:id="182" w:name="OLE_LINK7583"/>
      <w:bookmarkStart w:id="183" w:name="OLE_LINK7577"/>
      <w:bookmarkStart w:id="184" w:name="OLE_LINK40"/>
      <w:bookmarkStart w:id="185" w:name="OLE_LINK7597"/>
      <w:bookmarkStart w:id="186" w:name="OLE_LINK7587"/>
      <w:bookmarkStart w:id="187" w:name="OLE_LINK75"/>
      <w:bookmarkStart w:id="188" w:name="OLE_LINK220"/>
      <w:bookmarkStart w:id="189" w:name="OLE_LINK7610"/>
      <w:bookmarkStart w:id="190" w:name="OLE_LINK192"/>
      <w:bookmarkStart w:id="191" w:name="OLE_LINK34"/>
      <w:bookmarkStart w:id="192" w:name="OLE_LINK219"/>
      <w:bookmarkStart w:id="193" w:name="OLE_LINK41"/>
      <w:bookmarkStart w:id="194" w:name="OLE_LINK7606"/>
      <w:bookmarkStart w:id="195" w:name="OLE_LINK7571"/>
      <w:bookmarkStart w:id="196" w:name="OLE_LINK200"/>
      <w:bookmarkStart w:id="197" w:name="OLE_LINK65"/>
      <w:bookmarkStart w:id="198" w:name="OLE_LINK72"/>
      <w:bookmarkStart w:id="199" w:name="OLE_LINK84"/>
      <w:bookmarkStart w:id="200" w:name="OLE_LINK60"/>
      <w:bookmarkStart w:id="201" w:name="OLE_LINK49"/>
      <w:bookmarkStart w:id="202" w:name="OLE_LINK7578"/>
      <w:bookmarkStart w:id="203" w:name="OLE_LINK82"/>
      <w:bookmarkStart w:id="204" w:name="OLE_LINK46"/>
      <w:bookmarkStart w:id="205" w:name="OLE_LINK37"/>
      <w:bookmarkStart w:id="206" w:name="OLE_LINK29"/>
      <w:bookmarkStart w:id="207" w:name="OLE_LINK57"/>
      <w:bookmarkStart w:id="208" w:name="OLE_LINK7602"/>
      <w:bookmarkStart w:id="209" w:name="OLE_LINK87"/>
      <w:bookmarkStart w:id="210" w:name="OLE_LINK54"/>
      <w:bookmarkStart w:id="211" w:name="OLE_LINK7574"/>
      <w:bookmarkStart w:id="212" w:name="OLE_LINK187"/>
      <w:bookmarkStart w:id="213" w:name="OLE_LINK6830"/>
      <w:bookmarkStart w:id="214" w:name="OLE_LINK1231"/>
      <w:bookmarkStart w:id="215" w:name="OLE_LINK7116"/>
      <w:bookmarkStart w:id="216" w:name="OLE_LINK103"/>
      <w:bookmarkStart w:id="217" w:name="OLE_LINK216"/>
      <w:bookmarkStart w:id="218" w:name="OLE_LINK1246"/>
      <w:bookmarkStart w:id="219" w:name="OLE_LINK241"/>
      <w:bookmarkStart w:id="220" w:name="OLE_LINK6812"/>
      <w:bookmarkStart w:id="221" w:name="OLE_LINK177"/>
      <w:bookmarkStart w:id="222" w:name="OLE_LINK1218"/>
      <w:bookmarkStart w:id="223" w:name="OLE_LINK1223"/>
      <w:bookmarkStart w:id="224" w:name="OLE_LINK1327"/>
      <w:bookmarkStart w:id="225" w:name="OLE_LINK6803"/>
      <w:bookmarkStart w:id="226" w:name="OLE_LINK1310"/>
      <w:bookmarkStart w:id="227" w:name="OLE_LINK6798"/>
      <w:bookmarkStart w:id="228" w:name="OLE_LINK108"/>
      <w:bookmarkStart w:id="229" w:name="OLE_LINK233"/>
      <w:bookmarkStart w:id="230" w:name="OLE_LINK1198"/>
      <w:bookmarkStart w:id="231" w:name="OLE_LINK1318"/>
      <w:bookmarkStart w:id="232" w:name="OLE_LINK229"/>
      <w:bookmarkStart w:id="233" w:name="OLE_LINK1227"/>
      <w:bookmarkStart w:id="234" w:name="OLE_LINK1199"/>
      <w:bookmarkStart w:id="235" w:name="OLE_LINK1222"/>
      <w:bookmarkStart w:id="236" w:name="OLE_LINK208"/>
      <w:bookmarkStart w:id="237" w:name="OLE_LINK100"/>
      <w:bookmarkStart w:id="238" w:name="OLE_LINK203"/>
      <w:bookmarkStart w:id="239" w:name="OLE_LINK197"/>
      <w:bookmarkStart w:id="240" w:name="OLE_LINK184"/>
      <w:bookmarkStart w:id="241" w:name="OLE_LINK1224"/>
      <w:bookmarkStart w:id="242" w:name="OLE_LINK1242"/>
      <w:bookmarkStart w:id="243" w:name="OLE_LINK236"/>
      <w:bookmarkStart w:id="244" w:name="OLE_LINK174"/>
      <w:bookmarkStart w:id="245" w:name="OLE_LINK1340"/>
      <w:bookmarkStart w:id="246" w:name="OLE_LINK1255"/>
      <w:bookmarkStart w:id="247" w:name="OLE_LINK7122"/>
      <w:bookmarkStart w:id="248" w:name="OLE_LINK78"/>
      <w:bookmarkStart w:id="249" w:name="OLE_LINK7141"/>
      <w:bookmarkStart w:id="250" w:name="OLE_LINK66"/>
      <w:bookmarkStart w:id="251" w:name="OLE_LINK7126"/>
      <w:bookmarkStart w:id="252" w:name="OLE_LINK7212"/>
      <w:bookmarkStart w:id="253" w:name="OLE_LINK7167"/>
      <w:bookmarkStart w:id="254" w:name="OLE_LINK7133"/>
      <w:bookmarkStart w:id="255" w:name="OLE_LINK7140"/>
      <w:bookmarkStart w:id="256" w:name="OLE_LINK74"/>
      <w:bookmarkStart w:id="257" w:name="OLE_LINK6834"/>
      <w:bookmarkStart w:id="258" w:name="OLE_LINK1292"/>
      <w:bookmarkStart w:id="259" w:name="OLE_LINK7173"/>
      <w:bookmarkStart w:id="260" w:name="OLE_LINK7158"/>
      <w:bookmarkStart w:id="261" w:name="OLE_LINK6816"/>
      <w:bookmarkStart w:id="262" w:name="OLE_LINK1261"/>
      <w:bookmarkStart w:id="263" w:name="OLE_LINK7153"/>
      <w:bookmarkStart w:id="264" w:name="OLE_LINK7130"/>
      <w:bookmarkStart w:id="265" w:name="OLE_LINK7145"/>
      <w:bookmarkStart w:id="266" w:name="OLE_LINK7119"/>
      <w:bookmarkStart w:id="267" w:name="OLE_LINK42"/>
      <w:bookmarkStart w:id="268" w:name="OLE_LINK6827"/>
      <w:bookmarkStart w:id="269" w:name="OLE_LINK7125"/>
      <w:bookmarkStart w:id="270" w:name="OLE_LINK61"/>
      <w:bookmarkStart w:id="271" w:name="OLE_LINK1236"/>
      <w:bookmarkStart w:id="272" w:name="OLE_LINK1282"/>
      <w:bookmarkStart w:id="273" w:name="OLE_LINK1241"/>
      <w:bookmarkStart w:id="274" w:name="OLE_LINK7150"/>
      <w:bookmarkStart w:id="275" w:name="OLE_LINK36"/>
      <w:bookmarkStart w:id="276" w:name="OLE_LINK7127"/>
      <w:bookmarkStart w:id="277" w:name="OLE_LINK1311"/>
      <w:bookmarkStart w:id="278" w:name="OLE_LINK1262"/>
      <w:bookmarkStart w:id="279" w:name="OLE_LINK1286"/>
      <w:bookmarkStart w:id="280" w:name="OLE_LINK7224"/>
      <w:bookmarkStart w:id="281" w:name="OLE_LINK1295"/>
      <w:bookmarkStart w:id="282" w:name="OLE_LINK1219"/>
      <w:bookmarkStart w:id="283" w:name="OLE_LINK1312"/>
      <w:bookmarkStart w:id="284" w:name="OLE_LINK1272"/>
      <w:bookmarkStart w:id="285" w:name="OLE_LINK7288"/>
      <w:bookmarkStart w:id="286" w:name="OLE_LINK1315"/>
      <w:bookmarkStart w:id="287" w:name="OLE_LINK1290"/>
      <w:bookmarkStart w:id="288" w:name="OLE_LINK1303"/>
      <w:bookmarkStart w:id="289" w:name="OLE_LINK30"/>
      <w:bookmarkStart w:id="290" w:name="OLE_LINK1299"/>
      <w:bookmarkStart w:id="291" w:name="OLE_LINK7234"/>
      <w:bookmarkStart w:id="292" w:name="OLE_LINK1283"/>
      <w:bookmarkStart w:id="293" w:name="OLE_LINK1267"/>
      <w:bookmarkStart w:id="294" w:name="OLE_LINK1232"/>
      <w:bookmarkStart w:id="295" w:name="OLE_LINK1334"/>
      <w:bookmarkStart w:id="296" w:name="OLE_LINK1301"/>
      <w:bookmarkStart w:id="297" w:name="OLE_LINK1276"/>
      <w:bookmarkStart w:id="298" w:name="OLE_LINK1291"/>
      <w:bookmarkStart w:id="299" w:name="OLE_LINK1233"/>
      <w:bookmarkStart w:id="300" w:name="OLE_LINK7301"/>
      <w:bookmarkStart w:id="301" w:name="OLE_LINK21"/>
      <w:bookmarkStart w:id="302" w:name="OLE_LINK1307"/>
      <w:bookmarkStart w:id="303" w:name="OLE_LINK1244"/>
      <w:bookmarkStart w:id="304" w:name="OLE_LINK7229"/>
      <w:bookmarkStart w:id="305" w:name="OLE_LINK51"/>
      <w:bookmarkStart w:id="306" w:name="OLE_LINK7700"/>
      <w:bookmarkStart w:id="307" w:name="OLE_LINK23"/>
      <w:bookmarkStart w:id="308" w:name="OLE_LINK1269"/>
      <w:bookmarkStart w:id="309" w:name="OLE_LINK1220"/>
      <w:bookmarkStart w:id="310" w:name="OLE_LINK1322"/>
      <w:bookmarkStart w:id="311" w:name="OLE_LINK1247"/>
      <w:bookmarkStart w:id="312" w:name="OLE_LINK1256"/>
      <w:bookmarkStart w:id="313" w:name="OLE_LINK7274"/>
      <w:bookmarkStart w:id="314" w:name="OLE_LINK7324"/>
      <w:bookmarkStart w:id="315" w:name="OLE_LINK7348"/>
      <w:bookmarkStart w:id="316" w:name="OLE_LINK7789"/>
      <w:bookmarkStart w:id="317" w:name="OLE_LINK7372"/>
      <w:bookmarkStart w:id="318" w:name="OLE_LINK7360"/>
      <w:bookmarkStart w:id="319" w:name="OLE_LINK7384"/>
      <w:bookmarkStart w:id="320" w:name="OLE_LINK7344"/>
      <w:bookmarkStart w:id="321" w:name="OLE_LINK7854"/>
      <w:bookmarkStart w:id="322" w:name="OLE_LINK7306"/>
      <w:bookmarkStart w:id="323" w:name="OLE_LINK7351"/>
      <w:bookmarkStart w:id="324" w:name="OLE_LINK7708"/>
      <w:bookmarkStart w:id="325" w:name="OLE_LINK7361"/>
      <w:bookmarkStart w:id="326" w:name="OLE_LINK7330"/>
      <w:bookmarkStart w:id="327" w:name="OLE_LINK7293"/>
      <w:bookmarkStart w:id="328" w:name="OLE_LINK7415"/>
      <w:bookmarkStart w:id="329" w:name="OLE_LINK7889"/>
      <w:bookmarkStart w:id="330" w:name="OLE_LINK7357"/>
      <w:bookmarkStart w:id="331" w:name="OLE_LINK7906"/>
      <w:bookmarkStart w:id="332" w:name="OLE_LINK7368"/>
      <w:bookmarkStart w:id="333" w:name="OLE_LINK7407"/>
      <w:bookmarkStart w:id="334" w:name="OLE_LINK7335"/>
      <w:bookmarkStart w:id="335" w:name="OLE_LINK7720"/>
      <w:bookmarkStart w:id="336" w:name="OLE_LINK7866"/>
      <w:bookmarkStart w:id="337" w:name="OLE_LINK7729"/>
      <w:bookmarkStart w:id="338" w:name="OLE_LINK1375"/>
      <w:bookmarkStart w:id="339" w:name="OLE_LINK7340"/>
      <w:bookmarkStart w:id="340" w:name="OLE_LINK7424"/>
      <w:bookmarkStart w:id="341" w:name="OLE_LINK7913"/>
      <w:bookmarkStart w:id="342" w:name="OLE_LINK7304"/>
      <w:bookmarkStart w:id="343" w:name="OLE_LINK7343"/>
      <w:bookmarkStart w:id="344" w:name="OLE_LINK7816"/>
      <w:bookmarkStart w:id="345" w:name="OLE_LINK7878"/>
      <w:bookmarkStart w:id="346" w:name="OLE_LINK7747"/>
      <w:bookmarkStart w:id="347" w:name="OLE_LINK1478"/>
      <w:bookmarkStart w:id="348" w:name="OLE_LINK1361"/>
      <w:bookmarkStart w:id="349" w:name="OLE_LINK7314"/>
      <w:bookmarkStart w:id="350" w:name="OLE_LINK7841"/>
      <w:bookmarkStart w:id="351" w:name="OLE_LINK1344"/>
      <w:bookmarkStart w:id="352" w:name="OLE_LINK7771"/>
      <w:bookmarkStart w:id="353" w:name="OLE_LINK1457"/>
      <w:bookmarkStart w:id="354" w:name="OLE_LINK1496"/>
      <w:bookmarkStart w:id="355" w:name="OLE_LINK7787"/>
      <w:bookmarkStart w:id="356" w:name="OLE_LINK7848"/>
      <w:bookmarkStart w:id="357" w:name="OLE_LINK7909"/>
      <w:bookmarkStart w:id="358" w:name="OLE_LINK1449"/>
      <w:bookmarkStart w:id="359" w:name="OLE_LINK7411"/>
      <w:bookmarkStart w:id="360" w:name="OLE_LINK1466"/>
      <w:bookmarkStart w:id="361" w:name="OLE_LINK1371"/>
      <w:bookmarkStart w:id="362" w:name="OLE_LINK1412"/>
      <w:bookmarkStart w:id="363" w:name="OLE_LINK7754"/>
      <w:bookmarkStart w:id="364" w:name="OLE_LINK7395"/>
      <w:bookmarkStart w:id="365" w:name="OLE_LINK7795"/>
      <w:bookmarkStart w:id="366" w:name="OLE_LINK7900"/>
      <w:bookmarkStart w:id="367" w:name="OLE_LINK1353"/>
      <w:bookmarkStart w:id="368" w:name="OLE_LINK7776"/>
      <w:bookmarkStart w:id="369" w:name="OLE_LINK1395"/>
      <w:bookmarkStart w:id="370" w:name="OLE_LINK7781"/>
      <w:bookmarkStart w:id="371" w:name="OLE_LINK7916"/>
      <w:bookmarkStart w:id="372" w:name="OLE_LINK7804"/>
      <w:bookmarkStart w:id="373" w:name="OLE_LINK1364"/>
      <w:bookmarkStart w:id="374" w:name="OLE_LINK1343"/>
      <w:bookmarkStart w:id="375" w:name="OLE_LINK1490"/>
      <w:bookmarkStart w:id="376" w:name="OLE_LINK1348"/>
      <w:bookmarkStart w:id="377" w:name="OLE_LINK1452"/>
      <w:bookmarkStart w:id="378" w:name="OLE_LINK7883"/>
      <w:bookmarkStart w:id="379" w:name="OLE_LINK7667"/>
      <w:bookmarkStart w:id="380" w:name="OLE_LINK1391"/>
      <w:bookmarkStart w:id="381" w:name="OLE_LINK7871"/>
      <w:bookmarkStart w:id="382" w:name="OLE_LINK1474"/>
      <w:bookmarkStart w:id="383" w:name="OLE_LINK1436"/>
      <w:bookmarkStart w:id="384" w:name="OLE_LINK7864"/>
      <w:bookmarkStart w:id="385" w:name="OLE_LINK7418"/>
      <w:bookmarkStart w:id="386" w:name="OLE_LINK1477"/>
      <w:bookmarkStart w:id="387" w:name="OLE_LINK1499"/>
      <w:bookmarkStart w:id="388" w:name="OLE_LINK7676"/>
      <w:bookmarkStart w:id="389" w:name="OLE_LINK7850"/>
      <w:bookmarkStart w:id="390" w:name="OLE_LINK7805"/>
      <w:bookmarkStart w:id="391" w:name="OLE_LINK7743"/>
      <w:bookmarkStart w:id="392" w:name="OLE_LINK7269"/>
      <w:bookmarkStart w:id="393" w:name="OLE_LINK1387"/>
      <w:bookmarkStart w:id="394" w:name="OLE_LINK1399"/>
      <w:bookmarkStart w:id="395" w:name="OLE_LINK1379"/>
      <w:bookmarkStart w:id="396" w:name="OLE_LINK1402"/>
      <w:bookmarkStart w:id="397" w:name="OLE_LINK7877"/>
      <w:bookmarkStart w:id="398" w:name="OLE_LINK1492"/>
      <w:bookmarkStart w:id="399" w:name="OLE_LINK7840"/>
      <w:bookmarkStart w:id="400" w:name="OLE_LINK7777"/>
      <w:bookmarkStart w:id="401" w:name="OLE_LINK1335"/>
      <w:bookmarkStart w:id="402" w:name="OLE_LINK1429"/>
      <w:bookmarkStart w:id="403" w:name="OLE_LINK1433"/>
      <w:bookmarkStart w:id="404" w:name="OLE_LINK1356"/>
      <w:bookmarkStart w:id="405" w:name="OLE_LINK1365"/>
      <w:bookmarkStart w:id="406" w:name="OLE_LINK1384"/>
      <w:bookmarkStart w:id="407" w:name="OLE_LINK7404"/>
      <w:bookmarkStart w:id="408" w:name="OLE_LINK7261"/>
      <w:bookmarkStart w:id="409" w:name="OLE_LINK1484"/>
      <w:bookmarkStart w:id="410" w:name="OLE_LINK7685"/>
      <w:bookmarkStart w:id="411" w:name="OLE_LINK7834"/>
      <w:bookmarkStart w:id="412" w:name="OLE_LINK7822"/>
      <w:bookmarkStart w:id="413" w:name="OLE_LINK7749"/>
      <w:bookmarkStart w:id="414" w:name="OLE_LINK7818"/>
      <w:bookmarkStart w:id="415" w:name="OLE_LINK7255"/>
      <w:bookmarkStart w:id="416" w:name="OLE_LINK7844"/>
      <w:bookmarkStart w:id="417" w:name="OLE_LINK6"/>
      <w:bookmarkStart w:id="418" w:name="OLE_LINK7689"/>
      <w:bookmarkStart w:id="419" w:name="OLE_LINK19"/>
      <w:bookmarkStart w:id="420" w:name="OLE_LINK7814"/>
      <w:bookmarkStart w:id="421" w:name="OLE_LINK7736"/>
      <w:bookmarkStart w:id="422" w:name="OLE_LINK12"/>
      <w:bookmarkStart w:id="423" w:name="OLE_LINK7378"/>
      <w:bookmarkStart w:id="424" w:name="OLE_LINK7885"/>
      <w:bookmarkStart w:id="425" w:name="OLE_LINK1326"/>
      <w:bookmarkStart w:id="426" w:name="OLE_LINK7858"/>
      <w:bookmarkStart w:id="427" w:name="OLE_LINK7286"/>
      <w:bookmarkStart w:id="428" w:name="OLE_LINK26"/>
      <w:bookmarkStart w:id="429" w:name="OLE_LINK1325"/>
      <w:bookmarkStart w:id="430" w:name="OLE_LINK7838"/>
      <w:bookmarkStart w:id="431" w:name="OLE_LINK7738"/>
      <w:bookmarkStart w:id="432" w:name="OLE_LINK7896"/>
      <w:bookmarkStart w:id="433" w:name="OLE_LINK7985"/>
      <w:bookmarkStart w:id="434" w:name="OLE_LINK7888"/>
      <w:bookmarkStart w:id="435" w:name="OLE_LINK7793"/>
      <w:bookmarkStart w:id="436" w:name="OLE_LINK7801"/>
      <w:bookmarkStart w:id="437" w:name="OLE_LINK1324"/>
      <w:bookmarkStart w:id="438" w:name="OLE_LINK7813"/>
      <w:bookmarkStart w:id="439" w:name="OLE_LINK7756"/>
      <w:bookmarkStart w:id="440" w:name="OLE_LINK7701"/>
      <w:bookmarkStart w:id="441" w:name="OLE_LINK7863"/>
      <w:bookmarkStart w:id="442" w:name="OLE_LINK7897"/>
      <w:bookmarkStart w:id="443" w:name="OLE_LINK1"/>
      <w:bookmarkStart w:id="444" w:name="OLE_LINK7894"/>
      <w:bookmarkStart w:id="445" w:name="OLE_LINK7983"/>
      <w:bookmarkStart w:id="446" w:name="OLE_LINK7903"/>
      <w:bookmarkStart w:id="447" w:name="OLE_LINK7867"/>
      <w:bookmarkStart w:id="448" w:name="OLE_LINK7876"/>
      <w:bookmarkStart w:id="449" w:name="OLE_LINK7979"/>
      <w:bookmarkStart w:id="450" w:name="OLE_LINK7809"/>
      <w:bookmarkStart w:id="451" w:name="OLE_LINK7"/>
      <w:bookmarkStart w:id="452" w:name="OLE_LINK7846"/>
      <w:bookmarkStart w:id="453" w:name="OLE_LINK7910"/>
      <w:bookmarkStart w:id="454" w:name="OLE_LINK7977"/>
      <w:bookmarkStart w:id="455" w:name="OLE_LINK7879"/>
      <w:bookmarkStart w:id="456" w:name="OLE_LINK7837"/>
      <w:bookmarkStart w:id="457" w:name="OLE_LINK7873"/>
      <w:bookmarkStart w:id="458" w:name="OLE_LINK7730"/>
      <w:bookmarkStart w:id="459" w:name="OLE_LINK7737"/>
      <w:bookmarkStart w:id="460" w:name="OLE_LINK7839"/>
      <w:bookmarkStart w:id="461" w:name="OLE_LINK7843"/>
      <w:bookmarkStart w:id="462" w:name="OLE_LINK7984"/>
      <w:bookmarkStart w:id="463" w:name="OLE_LINK7799"/>
      <w:bookmarkStart w:id="464" w:name="OLE_LINK7820"/>
      <w:bookmarkStart w:id="465" w:name="OLE_LINK7895"/>
      <w:bookmarkStart w:id="466" w:name="OLE_LINK7882"/>
      <w:bookmarkStart w:id="467" w:name="OLE_LINK7796"/>
      <w:bookmarkStart w:id="468" w:name="OLE_LINK7836"/>
      <w:r>
        <w:rPr>
          <w:rFonts w:ascii="Book Antiqua" w:hAnsi="Book Antiqua"/>
        </w:rPr>
        <w:t>January 19,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spacing w:line="360" w:lineRule="auto"/>
        <w:jc w:val="both"/>
        <w:rPr>
          <w:rFonts w:ascii="Book Antiqua" w:hAnsi="Book Antiqua"/>
        </w:rPr>
      </w:pPr>
      <w:r>
        <w:rPr>
          <w:rFonts w:ascii="Book Antiqua" w:hAnsi="Book Antiqua" w:eastAsia="Book Antiqua" w:cs="Book Antiqua"/>
          <w:b/>
          <w:bCs/>
        </w:rPr>
        <w:t>Published online:</w:t>
      </w:r>
      <w:r>
        <w:rPr>
          <w:rFonts w:ascii="Book Antiqua" w:hAnsi="Book Antiqua" w:eastAsia="Book Antiqua" w:cs="Book Antiqua"/>
        </w:rPr>
        <w:t xml:space="preserve"> February 26,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Immune-checkpoint inhibitor-mediated colitis (IMC) is an increasingly recognized adverse event in cancer immunotherapy, particularly associated with immune checkpoint inhibitors (ICIs) such as anti-cytotoxic T-lymphocyte antigen-4 and anti-programmed cell death protein-1 antibodies. As this revolutionary immunotherapy gains prominence in cancer treatment, understanding, diagnosing, and effectively managing IMC becomes paramount. IMC represents a unique challenge due to its immune-mediated nature and potential for severe complications. However, a precise picture of IMC pathophysiology is currently unavailable. Therefore, we aimed to summarize the existing data while acknowledging the need for further research. This comprehensive review explores the mechanisms underlying ICIs, gastrointestinal adverse effects, and, in particular, IMC’s incidence, prevalence, and features. Our review also emphasizes the importance of recognizing IMC’s distinct clinical and histopathological features to differentiate it from other forms of colitis. Furthermore, this paper highlights the urgent need for evolving diagnostic methods, therapeutic strategies, and a multidisciplinary approach to effectively manage IMC.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Immune-checkpoint inhibitors; Immune-checkpoint inhibitor-mediated colitis; Inhibitor-mediated colitis management; Immunotherapy-associated colitis; Checkpoint inhibitor-induced colitis; Gastrointestinal adverse effects; Checkpoint inhibitor toxicity; Inhibitor-mediated colitis therapy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ascii="Book Antiqua" w:hAnsi="Book Antiqua" w:eastAsia="Book Antiqua" w:cs="Book Antiqua"/>
          <w:b/>
          <w:bCs/>
        </w:rPr>
        <w:t>Citation</w:t>
      </w:r>
      <w:r>
        <w:rPr>
          <w:rFonts w:ascii="Book Antiqua" w:hAnsi="Book Antiqua" w:eastAsia="Book Antiqua" w:cs="Book Antiqua"/>
        </w:rPr>
        <w:t xml:space="preserve">: Velikova T, Krastev B, Gulinac M, Zashev M, Graklanov V, Peruhova M. New strategies in the diagnosis and treatment of immune-checkpoint inhibitor-mediated colitis. </w:t>
      </w:r>
      <w:r>
        <w:rPr>
          <w:rFonts w:ascii="Book Antiqua" w:hAnsi="Book Antiqua" w:eastAsia="Book Antiqua" w:cs="Book Antiqua"/>
          <w:i/>
          <w:iCs/>
        </w:rPr>
        <w:t>World J Clin Cases</w:t>
      </w:r>
      <w:r>
        <w:rPr>
          <w:rFonts w:ascii="Book Antiqua" w:hAnsi="Book Antiqua" w:eastAsia="Book Antiqua" w:cs="Book Antiqua"/>
        </w:rPr>
        <w:t xml:space="preserve"> 2024; </w:t>
      </w:r>
      <w:r>
        <w:rPr>
          <w:rFonts w:hint="eastAsia" w:ascii="Book Antiqua" w:hAnsi="Book Antiqua" w:eastAsia="Book Antiqua" w:cs="Book Antiqua"/>
        </w:rPr>
        <w:t xml:space="preserve">12(6): </w:t>
      </w:r>
      <w:r>
        <w:rPr>
          <w:rStyle w:val="16"/>
          <w:rFonts w:hint="default" w:ascii="Book Antiqua" w:hAnsi="Book Antiqua" w:eastAsia="宋体" w:cs="Book Antiqua"/>
          <w:sz w:val="24"/>
          <w:szCs w:val="24"/>
          <w:lang w:val="en-US" w:eastAsia="zh-CN" w:bidi="ar"/>
        </w:rPr>
        <w:t>1050-1062</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https://www.wjgnet.com/2307-8960/full/v12/i6/</w:t>
      </w:r>
      <w:r>
        <w:rPr>
          <w:rStyle w:val="16"/>
          <w:rFonts w:hint="default" w:ascii="Book Antiqua" w:hAnsi="Book Antiqua" w:eastAsia="宋体" w:cs="Book Antiqua"/>
          <w:sz w:val="24"/>
          <w:szCs w:val="24"/>
          <w:lang w:val="en-US" w:eastAsia="zh-CN" w:bidi="ar"/>
        </w:rPr>
        <w:t>1050</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https://dx.doi.org/10.12998/wjcc.v12.i6.</w:t>
      </w:r>
      <w:r>
        <w:rPr>
          <w:rStyle w:val="16"/>
          <w:rFonts w:hint="default" w:ascii="Book Antiqua" w:hAnsi="Book Antiqua" w:eastAsia="宋体" w:cs="Book Antiqua"/>
          <w:sz w:val="24"/>
          <w:szCs w:val="24"/>
          <w:lang w:val="en-US" w:eastAsia="zh-CN" w:bidi="ar"/>
        </w:rPr>
        <w:t>1050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Diagnosing and managing immune-checkpoint inhibitor-mediated colitis (IMC) is essential for optimizing the benefits of cancer immunotherapy. This review underscores the importance of accurate diagnosis, differentiating IMC from other forms of colitis, and tailoring treatment strategies for optimal outcomes. Multidisciplinary approaches, including endoscopy, histopathology, and immune profiling, are crucial in diagnosing IMC. Treatment options range from corticosteroids to immunosuppressants, and a personalized approach is often required. Collaborative efforts between oncologists, gastroenterologists, and pathologists are critical to effectively manage this emerging immune-related adverse event.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INTRODUCTION</w:t>
      </w:r>
    </w:p>
    <w:p>
      <w:pPr>
        <w:spacing w:line="360" w:lineRule="auto"/>
        <w:jc w:val="both"/>
        <w:rPr>
          <w:rFonts w:ascii="Book Antiqua" w:hAnsi="Book Antiqua"/>
        </w:rPr>
      </w:pPr>
      <w:r>
        <w:rPr>
          <w:rFonts w:ascii="Book Antiqua" w:hAnsi="Book Antiqua" w:eastAsia="Book Antiqua" w:cs="Book Antiqua"/>
        </w:rPr>
        <w:t>Over the past two decades, immune checkpoint inhibitors (ICIs) have transformed the landscape of cancer treatment, offering a glimmer of hope for patients battling a spectrum of malignancies</w:t>
      </w:r>
      <w:r>
        <w:rPr>
          <w:rFonts w:ascii="Book Antiqua" w:hAnsi="Book Antiqua" w:eastAsia="Book Antiqua" w:cs="Book Antiqua"/>
          <w:vertAlign w:val="superscript"/>
        </w:rPr>
        <w:t>[1]</w:t>
      </w:r>
      <w:r>
        <w:rPr>
          <w:rFonts w:ascii="Book Antiqua" w:hAnsi="Book Antiqua" w:eastAsia="Book Antiqua" w:cs="Book Antiqua"/>
        </w:rPr>
        <w:t>. By targeting immune checkpoint molecules like cytotoxic T-lymphocyte antigen-4 (CTLA-4) and programmed cell death protein-1 (PD-1), these immunotherapies harness their own defenses to combat cancer cells. The clinical success of ICIs is nothing short of remarkable, ushering in an era where some individuals previously deemed incurable experience profound and durable remissions</w:t>
      </w:r>
      <w:r>
        <w:rPr>
          <w:rFonts w:ascii="Book Antiqua" w:hAnsi="Book Antiqua" w:eastAsia="Book Antiqua" w:cs="Book Antiqua"/>
          <w:vertAlign w:val="superscript"/>
        </w:rPr>
        <w:t>[2]</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However, this therapeutic paradigm shift has not been without its challenges. While ICIs show great promise, they also constrain immune-related adverse events (irAEs)</w:t>
      </w:r>
      <w:r>
        <w:rPr>
          <w:rFonts w:ascii="Book Antiqua" w:hAnsi="Book Antiqua" w:eastAsia="Book Antiqua" w:cs="Book Antiqua"/>
          <w:vertAlign w:val="superscript"/>
        </w:rPr>
        <w:t>[3]</w:t>
      </w:r>
      <w:r>
        <w:rPr>
          <w:rFonts w:ascii="Book Antiqua" w:hAnsi="Book Antiqua" w:eastAsia="Book Antiqua" w:cs="Book Antiqua"/>
        </w:rPr>
        <w:t>. These irAEs can affect nearly any organ or system, ranging from skin rashes to endocrine dysfunction. Gastrointestinal (GI) toxicities are the most common and clinically significant. Immune-checkpoint inhibitor-mediated colitis (IMC) stands out as a prominent and often formidable challenge</w:t>
      </w:r>
      <w:r>
        <w:rPr>
          <w:rFonts w:ascii="Book Antiqua" w:hAnsi="Book Antiqua" w:eastAsia="Book Antiqua" w:cs="Book Antiqua"/>
          <w:vertAlign w:val="superscript"/>
        </w:rPr>
        <w:t>[4,5]</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IMC is characterized by inflammation of the colonic mucosa and presents as one of the most frequent irAEs associated with ICIs</w:t>
      </w:r>
      <w:r>
        <w:rPr>
          <w:rFonts w:ascii="Book Antiqua" w:hAnsi="Book Antiqua" w:eastAsia="Book Antiqua" w:cs="Book Antiqua"/>
          <w:vertAlign w:val="superscript"/>
        </w:rPr>
        <w:t>[6]</w:t>
      </w:r>
      <w:r>
        <w:rPr>
          <w:rFonts w:ascii="Book Antiqua" w:hAnsi="Book Antiqua" w:eastAsia="Book Antiqua" w:cs="Book Antiqua"/>
        </w:rPr>
        <w:t>. This inflammatory condition arises when the delicate balance between immune activation and tolerance in the gut is disrupted, leading to dysregulated immune responses. The exact pathophysiological mechanisms of IMC are still under intense investigation, but emerging evidence indicates that gut mucosal immunity plays a pivotal role in its development</w:t>
      </w:r>
      <w:r>
        <w:rPr>
          <w:rFonts w:ascii="Book Antiqua" w:hAnsi="Book Antiqua" w:eastAsia="Book Antiqua" w:cs="Book Antiqua"/>
          <w:vertAlign w:val="superscript"/>
        </w:rPr>
        <w:t>[7]</w:t>
      </w:r>
      <w:r>
        <w:rPr>
          <w:rFonts w:ascii="Book Antiqua" w:hAnsi="Book Antiqua" w:eastAsia="Book Antiqua" w:cs="Book Antiqua"/>
        </w:rPr>
        <w:t>.</w:t>
      </w:r>
      <w:r>
        <w:rPr>
          <w:rFonts w:ascii="Book Antiqua" w:hAnsi="Book Antiqua"/>
          <w:lang w:eastAsia="zh-CN"/>
        </w:rPr>
        <w:t xml:space="preserve"> </w:t>
      </w:r>
      <w:r>
        <w:rPr>
          <w:rFonts w:ascii="Book Antiqua" w:hAnsi="Book Antiqua" w:eastAsia="Book Antiqua" w:cs="Book Antiqua"/>
        </w:rPr>
        <w:t>Figure 1 presents some of the hypothesized immunological mechanisms of IMC development.</w:t>
      </w:r>
    </w:p>
    <w:p>
      <w:pPr>
        <w:spacing w:line="360" w:lineRule="auto"/>
        <w:ind w:firstLine="240" w:firstLineChars="100"/>
        <w:jc w:val="both"/>
        <w:rPr>
          <w:rFonts w:ascii="Book Antiqua" w:hAnsi="Book Antiqua"/>
        </w:rPr>
      </w:pPr>
      <w:r>
        <w:rPr>
          <w:rFonts w:ascii="Book Antiqua" w:hAnsi="Book Antiqua" w:eastAsia="Book Antiqua" w:cs="Book Antiqua"/>
        </w:rPr>
        <w:t>Precise incidence and prevalence of IMC can be challenging to ascertain, primarily due to variations in rates between different ICIs and the absence of standardized reporting mechanisms. However, some estimates have provided insights. Contemporary studies suggest that the incidence of GI irAEs, including IMC, occurs in 0.3% to 7.0% of treated patient, approximately 15%-25% of patients treated with anti-CTLA-4 agents and 5%-10% of patients treated with anti-PD-1/PD-L1 agents</w:t>
      </w:r>
      <w:r>
        <w:rPr>
          <w:rFonts w:ascii="Book Antiqua" w:hAnsi="Book Antiqua" w:eastAsia="Book Antiqua" w:cs="Book Antiqua"/>
          <w:vertAlign w:val="superscript"/>
        </w:rPr>
        <w:t>[8,9]</w:t>
      </w:r>
      <w:r>
        <w:rPr>
          <w:rFonts w:ascii="Book Antiqua" w:hAnsi="Book Antiqua" w:eastAsia="Book Antiqua" w:cs="Book Antiqua"/>
        </w:rPr>
        <w:t>. The prevalence of IMC may be underestimated, as not all cases reach clinical significance</w:t>
      </w:r>
      <w:r>
        <w:rPr>
          <w:rFonts w:ascii="Book Antiqua" w:hAnsi="Book Antiqua" w:eastAsia="Book Antiqua" w:cs="Book Antiqua"/>
          <w:vertAlign w:val="superscript"/>
        </w:rPr>
        <w:t>[10]</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The clinical features of IMC are broad and varied, encompassing a spectrum of presentations from mild diarrhea to severe colitis. The diversity of symptoms and the potential for rapid progression underscore the need for early detection and prompt intervention. Clinicians, oncologists, and researchers must comprehensively understand IMC to optimize patient care</w:t>
      </w:r>
      <w:r>
        <w:rPr>
          <w:rFonts w:ascii="Book Antiqua" w:hAnsi="Book Antiqua" w:eastAsia="Book Antiqua" w:cs="Book Antiqua"/>
          <w:vertAlign w:val="superscript"/>
        </w:rPr>
        <w:t>[7,11]</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 xml:space="preserve">This review aims to present the mechanisms of action of ICIs and existing data on IMC risk factors, diagnosis, clinical, endoscopic, and serologic features, and treatment strategies, including medications, biologics, fecal microbiota transplantation (FMT), surgery, </w:t>
      </w:r>
      <w:r>
        <w:rPr>
          <w:rFonts w:ascii="Book Antiqua" w:hAnsi="Book Antiqua" w:eastAsia="Book Antiqua" w:cs="Book Antiqua"/>
          <w:i/>
          <w:iCs/>
        </w:rPr>
        <w:t>etc</w:t>
      </w:r>
      <w:r>
        <w:rPr>
          <w:rFonts w:ascii="Book Antiqua" w:hAnsi="Book Antiqua" w:eastAsia="Book Antiqua" w:cs="Book Antiqua"/>
        </w:rPr>
        <w:t>, and the emergence of novel biomarkers and treatments, leading to more effective management of this irAE and improved patient outcomes.</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eastAsia="Book Antiqua" w:cs="Book Antiqua"/>
          <w:b/>
          <w:bCs/>
          <w:u w:val="single"/>
        </w:rPr>
        <w:t>SEARCH STRATEGY</w:t>
      </w:r>
    </w:p>
    <w:p>
      <w:pPr>
        <w:spacing w:line="360" w:lineRule="auto"/>
        <w:jc w:val="both"/>
        <w:rPr>
          <w:rFonts w:ascii="Book Antiqua" w:hAnsi="Book Antiqua"/>
        </w:rPr>
      </w:pPr>
      <w:r>
        <w:rPr>
          <w:rFonts w:ascii="Book Antiqua" w:hAnsi="Book Antiqua" w:eastAsia="Book Antiqua" w:cs="Book Antiqua"/>
        </w:rPr>
        <w:t>We conducted a comprehensive literature review to identify relevant studies focusing on IMC diagnosis and treatment. The search was performed in key databases, including PubMed, Scopus, and Medline. A combination of Medical Subject Headings (MESH) terms and free-text words was used to maximize the search results.</w:t>
      </w:r>
    </w:p>
    <w:p>
      <w:pPr>
        <w:spacing w:line="360" w:lineRule="auto"/>
        <w:ind w:firstLine="240" w:firstLineChars="100"/>
        <w:jc w:val="both"/>
        <w:rPr>
          <w:rFonts w:ascii="Book Antiqua" w:hAnsi="Book Antiqua"/>
        </w:rPr>
      </w:pPr>
      <w:r>
        <w:rPr>
          <w:rFonts w:ascii="Book Antiqua" w:hAnsi="Book Antiqua" w:eastAsia="Book Antiqua" w:cs="Book Antiqua"/>
        </w:rPr>
        <w:t>The search terms used were as follows: (“Immune-Checkpoint Inhibitor” OR “Checkpoint Inhibitor”) AND (“Colitis”); (“Immune-Checkpoint Inhibitor-Mediated Colitis” OR “Immunotherapy-Associated Colitis”) AND (“Diagnosis Strategies” OR “Diagnostic Approaches”); (“Immune-Checkpoint Inhibitor” OR “Checkpoint Inhibitor”) AND (“Gastrointestinal Adverse Effects” OR “Immune-Related Colitis”); (“Immune-Checkpoint Inhibitor-Mediated Colitis” OR “Immunotherapy-Associated Colitis”) AND (“Treatment Approaches” OR “Management”). The search strategy aimed to identify papers discussing IMC diagnosis and treatment in the context of immunotherapy and ICIs. Relevant articles were screened based on titles, abstracts, and full text to ensure their alignment with the paper’s objectives. The flow chart of identification, screening, and inclusion of retrieved papers is shown in Figure 2, following the PRISM guidelines.</w:t>
      </w:r>
    </w:p>
    <w:p>
      <w:pPr>
        <w:spacing w:line="360" w:lineRule="auto"/>
        <w:ind w:firstLine="240" w:firstLineChars="100"/>
        <w:jc w:val="both"/>
        <w:rPr>
          <w:rFonts w:ascii="Book Antiqua" w:hAnsi="Book Antiqua"/>
        </w:rPr>
      </w:pPr>
      <w:r>
        <w:rPr>
          <w:rFonts w:ascii="Book Antiqua" w:hAnsi="Book Antiqua" w:eastAsia="Book Antiqua" w:cs="Book Antiqua"/>
        </w:rPr>
        <w:t>The retrieved papers were further filtered to include only original research, reviews, clinical trials, and case studies that provided valuable insights into the topic. The publication date was limited to the most recent literature, primarily from the last ten years.</w:t>
      </w:r>
    </w:p>
    <w:p>
      <w:pPr>
        <w:spacing w:line="360" w:lineRule="auto"/>
        <w:ind w:firstLine="240" w:firstLineChars="100"/>
        <w:jc w:val="both"/>
        <w:rPr>
          <w:rFonts w:ascii="Book Antiqua" w:hAnsi="Book Antiqua" w:eastAsia="Book Antiqua" w:cs="Book Antiqua"/>
        </w:rPr>
      </w:pPr>
      <w:r>
        <w:rPr>
          <w:rFonts w:ascii="Book Antiqua" w:hAnsi="Book Antiqua" w:eastAsia="Book Antiqua" w:cs="Book Antiqua"/>
        </w:rPr>
        <w:t>This systematic search strategy gathered a comprehensive selection of literature to form the basis for our review of new strategies for diagnosing and treating IMC. We wrote a modified form of a narrative review, following the recent guidelines</w:t>
      </w:r>
      <w:r>
        <w:rPr>
          <w:rFonts w:ascii="Book Antiqua" w:hAnsi="Book Antiqua" w:eastAsia="Book Antiqua" w:cs="Book Antiqua"/>
          <w:vertAlign w:val="superscript"/>
        </w:rPr>
        <w:t>[12]</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eastAsia="Book Antiqua" w:cs="Book Antiqua"/>
          <w:b/>
          <w:bCs/>
          <w:u w:val="single"/>
        </w:rPr>
        <w:t>RISK FACTORS FOR THE DEVELOPMENT OF IMMUNE-CHECKPOINT INHIBITOR-MEDICATED COLITIS</w:t>
      </w:r>
    </w:p>
    <w:p>
      <w:pPr>
        <w:spacing w:line="360" w:lineRule="auto"/>
        <w:jc w:val="both"/>
        <w:rPr>
          <w:rFonts w:ascii="Book Antiqua" w:hAnsi="Book Antiqua"/>
        </w:rPr>
      </w:pPr>
      <w:r>
        <w:rPr>
          <w:rFonts w:ascii="Book Antiqua" w:hAnsi="Book Antiqua" w:eastAsia="Book Antiqua" w:cs="Book Antiqua"/>
        </w:rPr>
        <w:t>The risk of IMC among cancer patients depends on various factors with external and intrinsic nature. One of the most significant determinants of IMC occurrence is the type of checkpoint inhibitor treatment. While both anti-CTLA4 and PD1 inhibitors have the potential to cause immune-mediated bowel inflammation and diarrhea, this toxicity is up to three times more common among patients treated with anti-CTLA4 compared to those who have received anti-PD1 or anti-PD-L1 agents</w:t>
      </w:r>
      <w:r>
        <w:rPr>
          <w:rFonts w:ascii="Book Antiqua" w:hAnsi="Book Antiqua" w:eastAsia="Book Antiqua" w:cs="Book Antiqua"/>
          <w:vertAlign w:val="superscript"/>
        </w:rPr>
        <w:t>[13,14]</w:t>
      </w:r>
      <w:r>
        <w:rPr>
          <w:rFonts w:ascii="Book Antiqua" w:hAnsi="Book Antiqua" w:eastAsia="Book Antiqua" w:cs="Book Antiqua"/>
        </w:rPr>
        <w:t>. The risk of IMC and diarrhea becomes most pronounced with checkpoint inhibitor combinations.</w:t>
      </w:r>
    </w:p>
    <w:p>
      <w:pPr>
        <w:spacing w:line="360" w:lineRule="auto"/>
        <w:ind w:firstLine="240" w:firstLineChars="100"/>
        <w:jc w:val="both"/>
        <w:rPr>
          <w:rFonts w:ascii="Book Antiqua" w:hAnsi="Book Antiqua"/>
        </w:rPr>
      </w:pPr>
      <w:r>
        <w:rPr>
          <w:rFonts w:ascii="Book Antiqua" w:hAnsi="Book Antiqua" w:eastAsia="Book Antiqua" w:cs="Book Antiqua"/>
        </w:rPr>
        <w:t xml:space="preserve">A meta-analysis on the incidence of immune-related diarrhea among patients treated with combinations of anti-CTLA4 and anti-PD1 or anti-CTLA1 and anti-PD-L1 reports the incidence of IMC almost three times higher in the anti-CTLA4 and anti-PD1 cohort: 40.4% for anti-CTLA4 and anti-PD-L1 </w:t>
      </w:r>
      <w:r>
        <w:rPr>
          <w:rFonts w:ascii="Book Antiqua" w:hAnsi="Book Antiqua" w:eastAsia="Book Antiqua" w:cs="Book Antiqua"/>
          <w:i/>
          <w:iCs/>
        </w:rPr>
        <w:t>vs</w:t>
      </w:r>
      <w:r>
        <w:rPr>
          <w:rFonts w:ascii="Book Antiqua" w:hAnsi="Book Antiqua" w:eastAsia="Book Antiqua" w:cs="Book Antiqua"/>
        </w:rPr>
        <w:t xml:space="preserve"> 13.2% for the anti-CTLA4 and anti-PD1 combination</w:t>
      </w:r>
      <w:r>
        <w:rPr>
          <w:rFonts w:ascii="Book Antiqua" w:hAnsi="Book Antiqua" w:eastAsia="Book Antiqua" w:cs="Book Antiqua"/>
          <w:vertAlign w:val="superscript"/>
        </w:rPr>
        <w:t>[15]</w:t>
      </w:r>
      <w:r>
        <w:rPr>
          <w:rFonts w:ascii="Book Antiqua" w:hAnsi="Book Antiqua" w:eastAsia="Book Antiqua" w:cs="Book Antiqua"/>
        </w:rPr>
        <w:t>. Monotherapies with anti-PD1-L1 or anti-PD-1 posed the slightest risk of such GI complications, with occurrence rates of 11.0% and 9.1% for each drug subclass, respectively. Whether higher doses of ICIs are associated with more IMC is not yet clear. While it is considered more relevant to drugs like nivolumab and ipilimumab, the dose seems less significant for pembrolizumab</w:t>
      </w:r>
      <w:r>
        <w:rPr>
          <w:rFonts w:ascii="Book Antiqua" w:hAnsi="Book Antiqua" w:eastAsia="Book Antiqua" w:cs="Book Antiqua"/>
          <w:vertAlign w:val="superscript"/>
        </w:rPr>
        <w:t>[16]</w:t>
      </w:r>
      <w:r>
        <w:rPr>
          <w:rFonts w:ascii="Book Antiqua" w:hAnsi="Book Antiqua" w:eastAsia="Book Antiqua" w:cs="Book Antiqua"/>
        </w:rPr>
        <w:t>.</w:t>
      </w:r>
    </w:p>
    <w:p>
      <w:pPr>
        <w:spacing w:line="360" w:lineRule="auto"/>
        <w:ind w:firstLine="240" w:firstLineChars="100"/>
        <w:jc w:val="both"/>
        <w:rPr>
          <w:rFonts w:ascii="Book Antiqua" w:hAnsi="Book Antiqua" w:eastAsia="Book Antiqua" w:cs="Book Antiqua"/>
        </w:rPr>
      </w:pPr>
      <w:r>
        <w:rPr>
          <w:rFonts w:ascii="Book Antiqua" w:hAnsi="Book Antiqua" w:eastAsia="Book Antiqua" w:cs="Book Antiqua"/>
        </w:rPr>
        <w:t xml:space="preserve">Genetic predisposition to the occurrence of IMC has also been a subject of research and speculation. A report on the association of human leucocyte antigen (HLA) variation and immunotherapy-related adverse events revealed a significant association between </w:t>
      </w:r>
      <w:r>
        <w:rPr>
          <w:rFonts w:ascii="Book Antiqua" w:hAnsi="Book Antiqua" w:eastAsia="Book Antiqua" w:cs="Book Antiqua"/>
          <w:i/>
          <w:iCs/>
        </w:rPr>
        <w:t>HLA-DQB1*03:01</w:t>
      </w:r>
      <w:r>
        <w:rPr>
          <w:rFonts w:ascii="Book Antiqua" w:hAnsi="Book Antiqua" w:eastAsia="Book Antiqua" w:cs="Book Antiqua"/>
        </w:rPr>
        <w:t xml:space="preserve"> and colitis</w:t>
      </w:r>
      <w:r>
        <w:rPr>
          <w:rFonts w:ascii="Book Antiqua" w:hAnsi="Book Antiqua" w:eastAsia="Book Antiqua" w:cs="Book Antiqua"/>
          <w:vertAlign w:val="superscript"/>
        </w:rPr>
        <w:t>[17]</w:t>
      </w:r>
      <w:r>
        <w:rPr>
          <w:rFonts w:ascii="Book Antiqua" w:hAnsi="Book Antiqua" w:eastAsia="Book Antiqua" w:cs="Book Antiqua"/>
        </w:rPr>
        <w:t>. As this HLA class II variant is also found with higher prevalence among inflammatory bowel disease (IBD) patients, it further supports a potential role in the pathogenesis of immune-mediated bowel inflammation like the one observed with IMC. Clinical similarities between IMC and IBD led to the investigation of a polygenic risk score, primarily developed for ulcerative colitis, in IMC</w:t>
      </w:r>
      <w:r>
        <w:rPr>
          <w:rFonts w:ascii="Book Antiqua" w:hAnsi="Book Antiqua" w:eastAsia="Book Antiqua" w:cs="Book Antiqua"/>
          <w:vertAlign w:val="superscript"/>
        </w:rPr>
        <w:t>[18]</w:t>
      </w:r>
      <w:r>
        <w:rPr>
          <w:rFonts w:ascii="Book Antiqua" w:hAnsi="Book Antiqua" w:eastAsia="Book Antiqua" w:cs="Book Antiqua"/>
        </w:rPr>
        <w:t>. The score effectively identified subjects at risk of all grades and severe IMC in a cohort of more than 1300 non-small cell lung cancer patients receiving ICIs</w:t>
      </w:r>
      <w:r>
        <w:rPr>
          <w:rFonts w:ascii="Book Antiqua" w:hAnsi="Book Antiqua" w:eastAsia="Book Antiqua" w:cs="Book Antiqua"/>
          <w:vertAlign w:val="superscript"/>
        </w:rPr>
        <w:t>[18]</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eastAsia="Book Antiqua" w:cs="Book Antiqua"/>
          <w:b/>
          <w:bCs/>
        </w:rPr>
      </w:pPr>
      <w:r>
        <w:rPr>
          <w:rFonts w:ascii="Book Antiqua" w:hAnsi="Book Antiqua" w:eastAsia="Book Antiqua" w:cs="Book Antiqua"/>
          <w:b/>
          <w:bCs/>
          <w:u w:val="single"/>
        </w:rPr>
        <w:t>DIAGNOSIs OF IMMUNE-CHECKPOINT INHIBITOR-MEDIATED COLITIS</w:t>
      </w:r>
      <w:r>
        <w:rPr>
          <w:rFonts w:ascii="Book Antiqua" w:hAnsi="Book Antiqua" w:eastAsia="Book Antiqua" w:cs="Book Antiqua"/>
          <w:b/>
          <w:bCs/>
        </w:rPr>
        <w:t xml:space="preserve"> </w:t>
      </w:r>
    </w:p>
    <w:p>
      <w:pPr>
        <w:spacing w:line="360" w:lineRule="auto"/>
        <w:jc w:val="both"/>
        <w:rPr>
          <w:rFonts w:ascii="Book Antiqua" w:hAnsi="Book Antiqua"/>
          <w:b/>
          <w:bCs/>
        </w:rPr>
      </w:pPr>
      <w:r>
        <w:rPr>
          <w:rFonts w:ascii="Book Antiqua" w:hAnsi="Book Antiqua" w:eastAsia="Book Antiqua" w:cs="Book Antiqua"/>
          <w:b/>
          <w:bCs/>
          <w:i/>
          <w:iCs/>
        </w:rPr>
        <w:t>Clinical presentation</w:t>
      </w:r>
    </w:p>
    <w:p>
      <w:pPr>
        <w:spacing w:line="360" w:lineRule="auto"/>
        <w:jc w:val="both"/>
        <w:rPr>
          <w:rFonts w:ascii="Book Antiqua" w:hAnsi="Book Antiqua"/>
        </w:rPr>
      </w:pPr>
      <w:r>
        <w:rPr>
          <w:rFonts w:ascii="Book Antiqua" w:hAnsi="Book Antiqua" w:eastAsia="Book Antiqua" w:cs="Book Antiqua"/>
        </w:rPr>
        <w:t>Most commonly, ICI-related GI irAEs manifest as colitis, characterized by watery diarrhea, abdominal pain, blood or mucus in the stool, and nocturnal bowel movements. IMC is the second most common irAE, which appears 6 wk to 8 wk after initial treatment with ICIs</w:t>
      </w:r>
      <w:r>
        <w:rPr>
          <w:rFonts w:ascii="Book Antiqua" w:hAnsi="Book Antiqua" w:eastAsia="Book Antiqua" w:cs="Book Antiqua"/>
          <w:vertAlign w:val="superscript"/>
        </w:rPr>
        <w:t>[19,20]</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It was estimated that more frequently, GI irAEs emerged in patients treated with anti-CTLA-4 monotherapy than with PD-1/PD-L1 inhibitors. More specifically, as reported above, many studies reported that 30% to 40% of patients treated with CTLA-4 blockers developed diarrhea. Moreover, combined therapy of PD-1/PD-L1 inhibitor and CTLA-4 blockade leads to the highest rate of ICI-mediated diarrhea</w:t>
      </w:r>
      <w:r>
        <w:rPr>
          <w:rFonts w:ascii="Book Antiqua" w:hAnsi="Book Antiqua" w:eastAsia="Book Antiqua" w:cs="Book Antiqua"/>
          <w:b/>
          <w:bCs/>
          <w:vertAlign w:val="superscript"/>
        </w:rPr>
        <w:t>[</w:t>
      </w:r>
      <w:r>
        <w:rPr>
          <w:rFonts w:ascii="Book Antiqua" w:hAnsi="Book Antiqua" w:eastAsia="Book Antiqua" w:cs="Book Antiqua"/>
          <w:vertAlign w:val="superscript"/>
        </w:rPr>
        <w:t>14,21]</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The evaluation of IMC typically involves a combination of clinical, endoscopic, histopathological, and laboratory assessments to determine the severity, extent, and underlying cause of the condition.</w:t>
      </w:r>
    </w:p>
    <w:p>
      <w:pPr>
        <w:spacing w:line="360" w:lineRule="auto"/>
        <w:ind w:firstLine="240" w:firstLineChars="100"/>
        <w:jc w:val="both"/>
        <w:rPr>
          <w:rFonts w:ascii="Book Antiqua" w:hAnsi="Book Antiqua"/>
        </w:rPr>
      </w:pPr>
      <w:r>
        <w:rPr>
          <w:rFonts w:ascii="Book Antiqua" w:hAnsi="Book Antiqua" w:eastAsia="Book Antiqua" w:cs="Book Antiqua"/>
        </w:rPr>
        <w:t>The clinical presentation of IMC can vary from person to person but often includes the following symptoms: diarrhea, abdominal pain, rectal bleeding, urgency tenesmus, and weight loss</w:t>
      </w:r>
      <w:r>
        <w:rPr>
          <w:rFonts w:ascii="Book Antiqua" w:hAnsi="Book Antiqua" w:eastAsia="Book Antiqua" w:cs="Book Antiqua"/>
          <w:vertAlign w:val="superscript"/>
        </w:rPr>
        <w:t>[7]</w:t>
      </w:r>
      <w:r>
        <w:rPr>
          <w:rFonts w:ascii="Book Antiqua" w:hAnsi="Book Antiqua" w:eastAsia="Book Antiqua" w:cs="Book Antiqua"/>
        </w:rPr>
        <w:t xml:space="preserve">. To rule out infectious enterocolitis, the patients should be initially tested for infections such as </w:t>
      </w:r>
      <w:r>
        <w:rPr>
          <w:rFonts w:ascii="Book Antiqua" w:hAnsi="Book Antiqua" w:eastAsia="Book Antiqua" w:cs="Book Antiqua"/>
          <w:i/>
          <w:iCs/>
        </w:rPr>
        <w:t>Salmonella</w:t>
      </w:r>
      <w:r>
        <w:rPr>
          <w:rFonts w:ascii="Book Antiqua" w:hAnsi="Book Antiqua" w:eastAsia="Book Antiqua" w:cs="Book Antiqua"/>
        </w:rPr>
        <w:t xml:space="preserve">, </w:t>
      </w:r>
      <w:r>
        <w:rPr>
          <w:rFonts w:ascii="Book Antiqua" w:hAnsi="Book Antiqua" w:eastAsia="Book Antiqua" w:cs="Book Antiqua"/>
          <w:i/>
          <w:iCs/>
        </w:rPr>
        <w:t>Shigella</w:t>
      </w:r>
      <w:r>
        <w:rPr>
          <w:rFonts w:ascii="Book Antiqua" w:hAnsi="Book Antiqua" w:eastAsia="Book Antiqua" w:cs="Book Antiqua"/>
        </w:rPr>
        <w:t xml:space="preserve">, </w:t>
      </w:r>
      <w:r>
        <w:rPr>
          <w:rFonts w:ascii="Book Antiqua" w:hAnsi="Book Antiqua" w:eastAsia="Book Antiqua" w:cs="Book Antiqua"/>
          <w:i/>
          <w:iCs/>
        </w:rPr>
        <w:t>Campylobacter</w:t>
      </w:r>
      <w:r>
        <w:rPr>
          <w:rFonts w:ascii="Book Antiqua" w:hAnsi="Book Antiqua" w:eastAsia="Book Antiqua" w:cs="Book Antiqua"/>
        </w:rPr>
        <w:t xml:space="preserve">, parasites, </w:t>
      </w:r>
      <w:r>
        <w:rPr>
          <w:rFonts w:ascii="Book Antiqua" w:hAnsi="Book Antiqua" w:eastAsia="Book Antiqua" w:cs="Book Antiqua"/>
          <w:i/>
          <w:iCs/>
        </w:rPr>
        <w:t>and Clostridium difficile</w:t>
      </w:r>
      <w:r>
        <w:rPr>
          <w:rFonts w:ascii="Book Antiqua" w:hAnsi="Book Antiqua" w:eastAsia="Book Antiqua" w:cs="Book Antiqua"/>
        </w:rPr>
        <w:t xml:space="preserve"> before the diagnosis of IMC is accepted. Another important diagnostic test in patients with diarrhea includes a fecal PCR test to exclude </w:t>
      </w:r>
      <w:r>
        <w:rPr>
          <w:rFonts w:ascii="Book Antiqua" w:hAnsi="Book Antiqua" w:eastAsia="Book Antiqua" w:cs="Book Antiqua"/>
          <w:i/>
          <w:iCs/>
        </w:rPr>
        <w:t>cytomegalovirus</w:t>
      </w:r>
      <w:r>
        <w:rPr>
          <w:rFonts w:ascii="Book Antiqua" w:hAnsi="Book Antiqua" w:eastAsia="Book Antiqua" w:cs="Book Antiqua"/>
        </w:rPr>
        <w:t xml:space="preserve"> colitis</w:t>
      </w:r>
      <w:r>
        <w:rPr>
          <w:rFonts w:ascii="Book Antiqua" w:hAnsi="Book Antiqua" w:eastAsia="Book Antiqua" w:cs="Book Antiqua"/>
          <w:vertAlign w:val="superscript"/>
        </w:rPr>
        <w:t>[22]</w:t>
      </w:r>
      <w:r>
        <w:rPr>
          <w:rFonts w:ascii="Book Antiqua" w:hAnsi="Book Antiqua" w:eastAsia="Book Antiqua" w:cs="Book Antiqua"/>
        </w:rPr>
        <w:t>. Computer tomography (CT) with oral and intravenous contrast should be performed in patients with diarrhea and abdominal pain to evaluate bowel inflammation and other intra-abdominal disorders. Long-lasting IMC could lead to severe complications such as ileus, toxic megacolon, and intestinal perforation</w:t>
      </w:r>
      <w:r>
        <w:rPr>
          <w:rFonts w:ascii="Book Antiqua" w:hAnsi="Book Antiqua" w:eastAsia="Book Antiqua" w:cs="Book Antiqua"/>
          <w:vertAlign w:val="superscript"/>
        </w:rPr>
        <w:t>[23]</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It must be highlighted that symptom severity and duration could vary widely in patients. Clinical manifestation could present with mild, intermittent symptoms in some patients, while others could have severe symptoms that require urgent medical treatment. The exact medical evaluation and early detection of IMC are essential for better outcomes</w:t>
      </w:r>
      <w:r>
        <w:rPr>
          <w:rFonts w:ascii="Book Antiqua" w:hAnsi="Book Antiqua" w:eastAsia="Book Antiqua" w:cs="Book Antiqua"/>
          <w:vertAlign w:val="superscript"/>
        </w:rPr>
        <w:t>[24]</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In line with this, Common Terminology Criteria for Adverse Events (CTCAE) provides a widely recognized system for evaluating the intensity of IMC</w:t>
      </w:r>
      <w:r>
        <w:rPr>
          <w:rFonts w:ascii="Book Antiqua" w:hAnsi="Book Antiqua" w:eastAsia="Book Antiqua" w:cs="Book Antiqua"/>
          <w:vertAlign w:val="superscript"/>
        </w:rPr>
        <w:t>[7]</w:t>
      </w:r>
      <w:r>
        <w:rPr>
          <w:rFonts w:ascii="Book Antiqua" w:hAnsi="Book Antiqua" w:eastAsia="Book Antiqua" w:cs="Book Antiqua"/>
        </w:rPr>
        <w:t>. IMC severity is categorized on a scale ranging from 1 (mild symptoms) to 5 (the most severe cases), taking into account symptomatology, endoscopic observations, and treatment protocols. Based on the grading, different treatment options are available (Figure 3).</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rPr>
        <w:t>Endoscopic features of immune-mediated colitis</w:t>
      </w:r>
    </w:p>
    <w:p>
      <w:pPr>
        <w:spacing w:line="360" w:lineRule="auto"/>
        <w:jc w:val="both"/>
        <w:rPr>
          <w:rFonts w:ascii="Book Antiqua" w:hAnsi="Book Antiqua"/>
        </w:rPr>
      </w:pPr>
      <w:r>
        <w:rPr>
          <w:rFonts w:ascii="Book Antiqua" w:hAnsi="Book Antiqua" w:eastAsia="Book Antiqua" w:cs="Book Antiqua"/>
        </w:rPr>
        <w:t>It should be noted that the precise evaluation of colonic mucosa during the colonoscopy is essential for distinguishing the IMC from other GI disorders, such as IBD or infections colitis. After detailed analysis of many factors, such as clinical manifestation, endoscopic appearance, and histopathological examination of the tissue biopsies, the diagnosis of IMC could be accepted</w:t>
      </w:r>
      <w:r>
        <w:rPr>
          <w:rFonts w:ascii="Book Antiqua" w:hAnsi="Book Antiqua" w:eastAsia="Book Antiqua" w:cs="Book Antiqua"/>
          <w:vertAlign w:val="superscript"/>
        </w:rPr>
        <w:t>[25]</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So far, there is no established grading scale for endoscopic evaluation of IMC. However, in clinical practice, the Mayo Endoscopic Score for Ulcerative Colitis and the Simple Endoscopic Score for Crohn’s disease (CD) could be used</w:t>
      </w:r>
      <w:r>
        <w:rPr>
          <w:rFonts w:ascii="Book Antiqua" w:hAnsi="Book Antiqua" w:eastAsia="Book Antiqua" w:cs="Book Antiqua"/>
          <w:vertAlign w:val="superscript"/>
        </w:rPr>
        <w:t>[24]</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In line with this, endoscopic evaluation is essential in diagnosing and assessing the severity of IMC. The endoscopic features of IMC could be diverse, depending on the underlying cause and extent of inflammation.</w:t>
      </w:r>
      <w:r>
        <w:rPr>
          <w:rFonts w:ascii="Book Antiqua" w:hAnsi="Book Antiqua" w:eastAsia="Book Antiqua" w:cs="Book Antiqua"/>
          <w:b/>
          <w:bCs/>
        </w:rPr>
        <w:t xml:space="preserve"> </w:t>
      </w:r>
      <w:r>
        <w:rPr>
          <w:rFonts w:ascii="Book Antiqua" w:hAnsi="Book Antiqua" w:eastAsia="Book Antiqua" w:cs="Book Antiqua"/>
        </w:rPr>
        <w:t>Some of the major endoscopic features typical for IMC include mucosal inflammation, erythema, edema, and loss of vascular pattern</w:t>
      </w:r>
      <w:r>
        <w:rPr>
          <w:rFonts w:ascii="Book Antiqua" w:hAnsi="Book Antiqua" w:eastAsia="Book Antiqua" w:cs="Book Antiqua"/>
          <w:b/>
          <w:bCs/>
        </w:rPr>
        <w:t xml:space="preserve"> </w:t>
      </w:r>
      <w:r>
        <w:rPr>
          <w:rFonts w:ascii="Book Antiqua" w:hAnsi="Book Antiqua" w:eastAsia="Book Antiqua" w:cs="Book Antiqua"/>
        </w:rPr>
        <w:t>of the mucosa</w:t>
      </w:r>
      <w:r>
        <w:rPr>
          <w:rFonts w:ascii="Book Antiqua" w:hAnsi="Book Antiqua" w:eastAsia="Book Antiqua" w:cs="Book Antiqua"/>
          <w:vertAlign w:val="superscript"/>
        </w:rPr>
        <w:t>[26]</w:t>
      </w:r>
      <w:r>
        <w:rPr>
          <w:rFonts w:ascii="Book Antiqua" w:hAnsi="Book Antiqua" w:eastAsia="Book Antiqua" w:cs="Book Antiqua"/>
        </w:rPr>
        <w:t>. Most commonly, in clinical practice, patients on a high dose or combination of immunotherapy are diagnosed with mild colitis</w:t>
      </w:r>
      <w:r>
        <w:rPr>
          <w:rFonts w:ascii="Book Antiqua" w:hAnsi="Book Antiqua" w:eastAsia="Book Antiqua" w:cs="Book Antiqua"/>
          <w:vertAlign w:val="superscript"/>
        </w:rPr>
        <w:t>[27]</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Many publications indicate that colonic ulcerations observed during endoscopy in patients with ipilimumab-mediated enterocolitis may be a clinical indicator of a more severe and potentially steroid-refractory disease. Extensive ulcerations suggest a more significant degree of tissue damage and inflammation. Patients with such endoscopic findings may be at higher risk of not responding well to standard steroid therapy</w:t>
      </w:r>
      <w:r>
        <w:rPr>
          <w:rFonts w:ascii="Book Antiqua" w:hAnsi="Book Antiqua" w:eastAsia="Book Antiqua" w:cs="Book Antiqua"/>
          <w:vertAlign w:val="superscript"/>
        </w:rPr>
        <w:t>[28]</w:t>
      </w:r>
      <w:r>
        <w:rPr>
          <w:rFonts w:ascii="Book Antiqua" w:hAnsi="Book Antiqua" w:eastAsia="Book Antiqua" w:cs="Book Antiqua"/>
        </w:rPr>
        <w:t>.</w:t>
      </w:r>
    </w:p>
    <w:p>
      <w:pPr>
        <w:spacing w:line="360" w:lineRule="auto"/>
        <w:ind w:firstLine="240" w:firstLineChars="100"/>
        <w:jc w:val="both"/>
        <w:rPr>
          <w:rFonts w:ascii="Book Antiqua" w:hAnsi="Book Antiqua" w:eastAsia="Book Antiqua" w:cs="Book Antiqua"/>
        </w:rPr>
      </w:pPr>
      <w:r>
        <w:rPr>
          <w:rFonts w:ascii="Book Antiqua" w:hAnsi="Book Antiqua" w:eastAsia="Book Antiqua" w:cs="Book Antiqua"/>
        </w:rPr>
        <w:t>A single-center study by Wang</w:t>
      </w:r>
      <w:r>
        <w:rPr>
          <w:rFonts w:ascii="Book Antiqua" w:hAnsi="Book Antiqua" w:eastAsia="Book Antiqua" w:cs="Book Antiqua"/>
          <w:b/>
          <w:bCs/>
        </w:rPr>
        <w:t xml:space="preserve"> </w:t>
      </w:r>
      <w:r>
        <w:rPr>
          <w:rFonts w:ascii="Book Antiqua" w:hAnsi="Book Antiqua" w:eastAsia="Book Antiqua" w:cs="Book Antiqua"/>
          <w:i/>
          <w:iCs/>
        </w:rPr>
        <w:t>et al</w:t>
      </w:r>
      <w:r>
        <w:rPr>
          <w:rFonts w:ascii="Book Antiqua" w:hAnsi="Book Antiqua" w:eastAsia="Book Antiqua" w:cs="Book Antiqua"/>
          <w:b/>
          <w:bCs/>
          <w:vertAlign w:val="superscript"/>
        </w:rPr>
        <w:t>[</w:t>
      </w:r>
      <w:r>
        <w:rPr>
          <w:rFonts w:ascii="Book Antiqua" w:hAnsi="Book Antiqua" w:eastAsia="Book Antiqua" w:cs="Book Antiqua"/>
          <w:vertAlign w:val="superscript"/>
        </w:rPr>
        <w:t>29]</w:t>
      </w:r>
      <w:r>
        <w:rPr>
          <w:rFonts w:ascii="Book Antiqua" w:hAnsi="Book Antiqua" w:eastAsia="Book Antiqua" w:cs="Book Antiqua"/>
          <w:i/>
          <w:iCs/>
        </w:rPr>
        <w:t xml:space="preserve"> </w:t>
      </w:r>
      <w:r>
        <w:rPr>
          <w:rFonts w:ascii="Book Antiqua" w:hAnsi="Book Antiqua" w:eastAsia="Book Antiqua" w:cs="Book Antiqua"/>
        </w:rPr>
        <w:t>demonstrated the connection between endoscopic and histologic features of</w:t>
      </w:r>
      <w:r>
        <w:rPr>
          <w:rFonts w:ascii="Book Antiqua" w:hAnsi="Book Antiqua" w:eastAsia="Book Antiqua" w:cs="Book Antiqua"/>
          <w:b/>
          <w:bCs/>
        </w:rPr>
        <w:t xml:space="preserve"> </w:t>
      </w:r>
      <w:r>
        <w:rPr>
          <w:rFonts w:ascii="Book Antiqua" w:hAnsi="Book Antiqua" w:eastAsia="Book Antiqua" w:cs="Book Antiqua"/>
        </w:rPr>
        <w:t>ICI-related GI toxicities with long-term follow-up</w:t>
      </w:r>
      <w:r>
        <w:rPr>
          <w:rFonts w:ascii="Book Antiqua" w:hAnsi="Book Antiqua" w:eastAsia="Book Antiqua" w:cs="Book Antiqua"/>
          <w:b/>
          <w:bCs/>
        </w:rPr>
        <w:t xml:space="preserve">. </w:t>
      </w:r>
      <w:r>
        <w:rPr>
          <w:rFonts w:ascii="Book Antiqua" w:hAnsi="Book Antiqua" w:eastAsia="Book Antiqua" w:cs="Book Antiqua"/>
        </w:rPr>
        <w:t>The authors established that patients with more extensive and higher-grade colitis with ulcers on endoscopy and histological findings of acute inflammation have better outcomes. Another important conclusion is the correlation between endoscopic inflammation and the higher grade of colitis but not with higher-grade diarrhea.</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rPr>
        <w:t>Pathologic and histologic features of IMC</w:t>
      </w:r>
    </w:p>
    <w:p>
      <w:pPr>
        <w:spacing w:line="360" w:lineRule="auto"/>
        <w:jc w:val="both"/>
        <w:rPr>
          <w:rFonts w:ascii="Book Antiqua" w:hAnsi="Book Antiqua"/>
        </w:rPr>
      </w:pPr>
      <w:r>
        <w:rPr>
          <w:rFonts w:ascii="Book Antiqua" w:hAnsi="Book Antiqua" w:eastAsia="Book Antiqua" w:cs="Book Antiqua"/>
        </w:rPr>
        <w:t>Today, as oncology emphasizes personalized therapy, the identification of PD-L1 on tumor cells and tumor-infiltrating immune cells by histological and immunohistochemical examination is a great step forward. However, it is vital to determine whether it can be used a predictive tissue biomarker for scientific research and leverage the potential for antitumor immunotherapy in patients. Although PD-L1 expression represents a measure of the potential of the patient’s immune system to recognize the tumor and mount an effective antitumor immune response, ICIs produce various side effects</w:t>
      </w:r>
      <w:r>
        <w:rPr>
          <w:rFonts w:ascii="Book Antiqua" w:hAnsi="Book Antiqua" w:eastAsia="Book Antiqua" w:cs="Book Antiqua"/>
          <w:vertAlign w:val="superscript"/>
        </w:rPr>
        <w:t>[30]</w:t>
      </w:r>
      <w:r>
        <w:rPr>
          <w:rFonts w:ascii="Book Antiqua" w:hAnsi="Book Antiqua" w:eastAsia="Book Antiqua" w:cs="Book Antiqua"/>
        </w:rPr>
        <w:t>. According to literature data, only 4.9% to 22.0% of patients treated with ICIs report mild immune-related side effects and 4%-8% reported severe side effects that required treatment discontinuation</w:t>
      </w:r>
      <w:r>
        <w:rPr>
          <w:rFonts w:ascii="Book Antiqua" w:hAnsi="Book Antiqua" w:eastAsia="Book Antiqua" w:cs="Book Antiqua"/>
          <w:vertAlign w:val="superscript"/>
        </w:rPr>
        <w:t>[30]</w:t>
      </w:r>
      <w:r>
        <w:rPr>
          <w:rFonts w:ascii="Book Antiqua" w:hAnsi="Book Antiqua" w:eastAsia="Book Antiqua" w:cs="Book Antiqua"/>
        </w:rPr>
        <w:t>. The most commonly reported side effects are fatigue (affecting more than 36% of patients), opportunistic infections (in more than 38% of cases), disorders in the function of the thyroid gland as thyroiditis, hyper- and hypothyroidism (mainly when treated with anti-PD-1), adrenal insufficiency, hepatitis (proceeding with jaundice and asymptomatic elevation of transaminases and/or bilirubin) and diarrhea. Diarrhea is the most frequent mild side effect in patients with IMC, and perforation is rare but causes severe complications. The incidence of immune-related diarrhea is 1.3%-13.6% based on the specific agent, dose and combination of treatment for patients taking anti-PD1 and anti-PD-L1 medication</w:t>
      </w:r>
      <w:r>
        <w:rPr>
          <w:rFonts w:ascii="Book Antiqua" w:hAnsi="Book Antiqua" w:eastAsia="Book Antiqua" w:cs="Book Antiqua"/>
          <w:vertAlign w:val="superscript"/>
        </w:rPr>
        <w:t>[31,32]</w:t>
      </w:r>
      <w:r>
        <w:rPr>
          <w:rFonts w:ascii="Book Antiqua" w:hAnsi="Book Antiqua" w:eastAsia="Book Antiqua" w:cs="Book Antiqua"/>
        </w:rPr>
        <w:t>. Colitis is an immune-related adverse event of anti-PD1 (Nivolumab and Pembrolizumab) and anti-PD-L1 medications (Atezolizumab, Avelumab, and Durvalumab)</w:t>
      </w:r>
      <w:r>
        <w:rPr>
          <w:rFonts w:ascii="Book Antiqua" w:hAnsi="Book Antiqua" w:eastAsia="Book Antiqua" w:cs="Book Antiqua"/>
          <w:vertAlign w:val="superscript"/>
        </w:rPr>
        <w:t>[32]</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Histologic assessment is a valuable tool for confirming the diagnosis of IMC and guiding treatment decisions. Depending on the severity and extent of inflammation, treatment may include corticosteroids, immunosuppressive agents, or temporary discontinuation of the ICI</w:t>
      </w:r>
      <w:r>
        <w:rPr>
          <w:rFonts w:ascii="Book Antiqua" w:hAnsi="Book Antiqua" w:eastAsia="Book Antiqua" w:cs="Book Antiqua"/>
          <w:b/>
          <w:bCs/>
          <w:vertAlign w:val="superscript"/>
        </w:rPr>
        <w:t>[</w:t>
      </w:r>
      <w:r>
        <w:rPr>
          <w:rFonts w:ascii="Book Antiqua" w:hAnsi="Book Antiqua" w:eastAsia="Book Antiqua" w:cs="Book Antiqua"/>
          <w:vertAlign w:val="superscript"/>
        </w:rPr>
        <w:t>20]</w:t>
      </w:r>
      <w:r>
        <w:rPr>
          <w:rFonts w:ascii="Book Antiqua" w:hAnsi="Book Antiqua" w:eastAsia="Book Antiqua" w:cs="Book Antiqua"/>
        </w:rPr>
        <w:t>, as shown in Figure 3.</w:t>
      </w:r>
    </w:p>
    <w:p>
      <w:pPr>
        <w:spacing w:line="360" w:lineRule="auto"/>
        <w:ind w:firstLine="240" w:firstLineChars="100"/>
        <w:jc w:val="both"/>
        <w:rPr>
          <w:rFonts w:ascii="Book Antiqua" w:hAnsi="Book Antiqua"/>
        </w:rPr>
      </w:pPr>
      <w:r>
        <w:rPr>
          <w:rFonts w:ascii="Book Antiqua" w:hAnsi="Book Antiqua" w:eastAsia="Book Antiqua" w:cs="Book Antiqua"/>
        </w:rPr>
        <w:t>It is important to note that the histological features of IMC can overlap with those of other forms of colitis, such as IBD. Therefore, a careful evaluation of clinical history, endoscopic findings, and histopathological features is necessary to differentiate ICI-related colitis from other causes. A hallmark feature of IMC is the presence of a dense inflammatory infiltrate within the colonic mucosa</w:t>
      </w:r>
      <w:r>
        <w:rPr>
          <w:rFonts w:ascii="Book Antiqua" w:hAnsi="Book Antiqua" w:eastAsia="Book Antiqua" w:cs="Book Antiqua"/>
          <w:vertAlign w:val="superscript"/>
        </w:rPr>
        <w:t>[32]</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According to our experience, in just 1 mo, we had 6 patients (3/6 men and 3/6 women), aged between 27-51 years. The patients are had relapse/refractory Hodgkin’s lymphoma (4/6 with nodular sclerosis and 2/6 with mixed cellularity) and were treated with PDL-1 therapy as 4</w:t>
      </w:r>
      <w:r>
        <w:rPr>
          <w:rFonts w:ascii="Book Antiqua" w:hAnsi="Book Antiqua" w:eastAsia="Book Antiqua" w:cs="Book Antiqua"/>
          <w:vertAlign w:val="superscript"/>
        </w:rPr>
        <w:t>th</w:t>
      </w:r>
      <w:r>
        <w:rPr>
          <w:rFonts w:ascii="Book Antiqua" w:hAnsi="Book Antiqua" w:eastAsia="Book Antiqua" w:cs="Book Antiqua"/>
        </w:rPr>
        <w:t xml:space="preserve"> line. All patients developed immune-related colitis after treatment with Nivolumab (4/6) and Pembrolizumab (2/6). One of the patients also had immune-related hepatitis and immune-related arthritis, and one died during therapy. The observed IMCs were grade 2 (5 of the patients) and grade 3 (1 patient). We performed fibro colonoscopy (FCS) in 1 patient with grade 3 colitis (Figure 4) and with grade 1-2 colitis (Figure 5) to evaluate mucosal involvement. We provide a histological evaluation of the biopsies (</w:t>
      </w:r>
      <w:bookmarkStart w:id="469" w:name="OLE_LINK1507"/>
      <w:bookmarkStart w:id="470" w:name="OLE_LINK1506"/>
      <w:r>
        <w:rPr>
          <w:rFonts w:ascii="Book Antiqua" w:hAnsi="Book Antiqua" w:eastAsia="Book Antiqua" w:cs="Book Antiqua"/>
        </w:rPr>
        <w:t>Fig</w:t>
      </w:r>
      <w:bookmarkEnd w:id="469"/>
      <w:bookmarkEnd w:id="470"/>
      <w:r>
        <w:rPr>
          <w:rFonts w:ascii="Book Antiqua" w:hAnsi="Book Antiqua" w:eastAsia="Book Antiqua" w:cs="Book Antiqua"/>
        </w:rPr>
        <w:t>ures 4 and 5). All patients had grade 3 diarrhea, which was treated with corticosteroids and cessation of checkpoint inhibitors.</w:t>
      </w:r>
    </w:p>
    <w:p>
      <w:pPr>
        <w:spacing w:line="360" w:lineRule="auto"/>
        <w:ind w:firstLine="240" w:firstLineChars="100"/>
        <w:jc w:val="both"/>
        <w:rPr>
          <w:rFonts w:ascii="Book Antiqua" w:hAnsi="Book Antiqua"/>
        </w:rPr>
      </w:pPr>
      <w:r>
        <w:rPr>
          <w:rFonts w:ascii="Book Antiqua" w:hAnsi="Book Antiqua" w:eastAsia="Book Antiqua" w:cs="Book Antiqua"/>
        </w:rPr>
        <w:t>Recent reports suggest that ICI-induced diarrhea/colitis may occur at different periods of therapy, but in most cases, occurs after an average of three infusions. However, it can occur immediately after the first infusion</w:t>
      </w:r>
      <w:r>
        <w:rPr>
          <w:rFonts w:ascii="Book Antiqua" w:hAnsi="Book Antiqua" w:eastAsia="Book Antiqua" w:cs="Book Antiqua"/>
          <w:vertAlign w:val="superscript"/>
        </w:rPr>
        <w:t>[33,34]</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 xml:space="preserve">Although IMC is one of the most common side effects, there is little information on the pathological features of anti-PD-1/PD-L1 colitis. </w:t>
      </w:r>
      <w:r>
        <w:rPr>
          <w:rFonts w:ascii="Book Antiqua" w:hAnsi="Book Antiqua" w:eastAsia="Book Antiqua" w:cs="Book Antiqua"/>
          <w:u w:color="0563C1"/>
        </w:rPr>
        <w:t>Chen</w:t>
      </w:r>
      <w:r>
        <w:rPr>
          <w:rFonts w:ascii="Book Antiqua" w:hAnsi="Book Antiqua" w:eastAsia="Book Antiqua" w:cs="Book Antiqua"/>
        </w:rPr>
        <w:t xml:space="preserve"> </w:t>
      </w:r>
      <w:r>
        <w:rPr>
          <w:rFonts w:ascii="Book Antiqua" w:hAnsi="Book Antiqua" w:eastAsia="Book Antiqua" w:cs="Book Antiqua"/>
          <w:i/>
          <w:iCs/>
        </w:rPr>
        <w:t>et al</w:t>
      </w:r>
      <w:r>
        <w:rPr>
          <w:rFonts w:ascii="Book Antiqua" w:hAnsi="Book Antiqua" w:eastAsia="Book Antiqua" w:cs="Book Antiqua"/>
          <w:vertAlign w:val="superscript"/>
        </w:rPr>
        <w:t>[35]</w:t>
      </w:r>
      <w:r>
        <w:rPr>
          <w:rFonts w:ascii="Book Antiqua" w:hAnsi="Book Antiqua" w:eastAsia="Book Antiqua" w:cs="Book Antiqua"/>
        </w:rPr>
        <w:t xml:space="preserve"> described the most common histopathologic findings in 8 patients who developed colitis while on monotherapy with ICIs. The most common injury pattern they observed (5/8 cases) was an active colitis with neutrophilic crypt microabscesses and prominent crypt epithelial cell apoptosis and crypt atrophy/dropout. The remaining cases (3/8) showed a lymphocytic colitis-like pattern characterized by increased intraepithelial lymphocytes and surface epithelial injury without crypt atrophy</w:t>
      </w:r>
      <w:r>
        <w:rPr>
          <w:rFonts w:ascii="Book Antiqua" w:hAnsi="Book Antiqua" w:eastAsia="Book Antiqua" w:cs="Book Antiqua"/>
          <w:vertAlign w:val="superscript"/>
        </w:rPr>
        <w:t>[35]</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Interestingly, the authors reported that recurrent colitis was observed in patients several months after completion of ICI therapy</w:t>
      </w:r>
      <w:r>
        <w:rPr>
          <w:rFonts w:ascii="Book Antiqua" w:hAnsi="Book Antiqua" w:eastAsia="Book Antiqua" w:cs="Book Antiqua"/>
          <w:vertAlign w:val="superscript"/>
        </w:rPr>
        <w:t>[34,35]</w:t>
      </w:r>
      <w:r>
        <w:rPr>
          <w:rFonts w:ascii="Book Antiqua" w:hAnsi="Book Antiqua" w:eastAsia="Book Antiqua" w:cs="Book Antiqua"/>
        </w:rPr>
        <w:t>. Unfortunately, in our practice, patients with immune-related colitis are rarely biopsied, thus significantly reducing the awareness of anti-PD-1/PD-L1 colitis among pathologists and making it difficult to diagnose and treat it timely.</w:t>
      </w:r>
    </w:p>
    <w:p>
      <w:pPr>
        <w:spacing w:line="360" w:lineRule="auto"/>
        <w:ind w:firstLine="240" w:firstLineChars="100"/>
        <w:jc w:val="both"/>
        <w:rPr>
          <w:rFonts w:ascii="Book Antiqua" w:hAnsi="Book Antiqua"/>
        </w:rPr>
      </w:pPr>
      <w:r>
        <w:rPr>
          <w:rFonts w:ascii="Book Antiqua" w:hAnsi="Book Antiqua" w:eastAsia="Book Antiqua" w:cs="Book Antiqua"/>
        </w:rPr>
        <w:t>Nevertheless, precisely because of the non-specific morphological features of IMC and the similar changes in other colitis (</w:t>
      </w:r>
      <w:r>
        <w:rPr>
          <w:rFonts w:ascii="Book Antiqua" w:hAnsi="Book Antiqua" w:eastAsia="Book Antiqua" w:cs="Book Antiqua"/>
          <w:i/>
          <w:iCs/>
        </w:rPr>
        <w:t>i</w:t>
      </w:r>
      <w:r>
        <w:rPr>
          <w:rFonts w:ascii="Book Antiqua" w:hAnsi="Book Antiqua" w:eastAsia="Book Antiqua" w:cs="Book Antiqua"/>
        </w:rPr>
        <w:t>.</w:t>
      </w:r>
      <w:r>
        <w:rPr>
          <w:rFonts w:ascii="Book Antiqua" w:hAnsi="Book Antiqua" w:eastAsia="Book Antiqua" w:cs="Book Antiqua"/>
          <w:i/>
          <w:iCs/>
        </w:rPr>
        <w:t>e</w:t>
      </w:r>
      <w:r>
        <w:rPr>
          <w:rFonts w:ascii="Book Antiqua" w:hAnsi="Book Antiqua" w:eastAsia="Book Antiqua" w:cs="Book Antiqua"/>
        </w:rPr>
        <w:t>.</w:t>
      </w:r>
      <w:r>
        <w:rPr>
          <w:rFonts w:ascii="Book Antiqua" w:hAnsi="Book Antiqua" w:eastAsia="Book Antiqua" w:cs="Book Antiqua"/>
          <w:i/>
          <w:iCs/>
        </w:rPr>
        <w:t xml:space="preserve"> </w:t>
      </w:r>
      <w:r>
        <w:rPr>
          <w:rFonts w:ascii="Book Antiqua" w:hAnsi="Book Antiqua" w:eastAsia="Book Antiqua" w:cs="Book Antiqua"/>
          <w:i/>
          <w:iCs/>
          <w:u w:color="0563C1"/>
        </w:rPr>
        <w:t>cytomegalovirus</w:t>
      </w:r>
      <w:r>
        <w:rPr>
          <w:rFonts w:ascii="Book Antiqua" w:hAnsi="Book Antiqua" w:eastAsia="Book Antiqua" w:cs="Book Antiqua"/>
          <w:u w:color="0563C1"/>
        </w:rPr>
        <w:t>-associated colitis</w:t>
      </w:r>
      <w:r>
        <w:rPr>
          <w:rFonts w:ascii="Book Antiqua" w:hAnsi="Book Antiqua" w:eastAsia="Book Antiqua" w:cs="Book Antiqua"/>
        </w:rPr>
        <w:t xml:space="preserve">, </w:t>
      </w:r>
      <w:r>
        <w:rPr>
          <w:rFonts w:ascii="Book Antiqua" w:hAnsi="Book Antiqua" w:eastAsia="Book Antiqua" w:cs="Book Antiqua"/>
          <w:u w:color="0563C1"/>
        </w:rPr>
        <w:t xml:space="preserve">acute graft </w:t>
      </w:r>
      <w:r>
        <w:rPr>
          <w:rFonts w:ascii="Book Antiqua" w:hAnsi="Book Antiqua" w:eastAsia="Book Antiqua" w:cs="Book Antiqua"/>
          <w:i/>
          <w:iCs/>
          <w:u w:color="0563C1"/>
        </w:rPr>
        <w:t>vs</w:t>
      </w:r>
      <w:r>
        <w:rPr>
          <w:rFonts w:ascii="Book Antiqua" w:hAnsi="Book Antiqua" w:eastAsia="Book Antiqua" w:cs="Book Antiqua"/>
          <w:u w:color="0563C1"/>
        </w:rPr>
        <w:t xml:space="preserve"> host disease</w:t>
      </w:r>
      <w:r>
        <w:rPr>
          <w:rFonts w:ascii="Book Antiqua" w:hAnsi="Book Antiqua" w:eastAsia="Book Antiqua" w:cs="Book Antiqua"/>
        </w:rPr>
        <w:t xml:space="preserve">, </w:t>
      </w:r>
      <w:r>
        <w:rPr>
          <w:rFonts w:ascii="Book Antiqua" w:hAnsi="Book Antiqua" w:eastAsia="Book Antiqua" w:cs="Book Antiqua"/>
          <w:u w:color="0563C1"/>
        </w:rPr>
        <w:t>IBD</w:t>
      </w:r>
      <w:r>
        <w:rPr>
          <w:rFonts w:ascii="Book Antiqua" w:hAnsi="Book Antiqua" w:eastAsia="Book Antiqua" w:cs="Book Antiqua"/>
        </w:rPr>
        <w:t xml:space="preserve">; </w:t>
      </w:r>
      <w:r>
        <w:rPr>
          <w:rFonts w:ascii="Book Antiqua" w:hAnsi="Book Antiqua" w:eastAsia="Book Antiqua" w:cs="Book Antiqua"/>
          <w:u w:color="0563C1"/>
        </w:rPr>
        <w:t>chemotherapy-induced colitis</w:t>
      </w:r>
      <w:r>
        <w:rPr>
          <w:rFonts w:ascii="Book Antiqua" w:hAnsi="Book Antiqua" w:eastAsia="Book Antiqua" w:cs="Book Antiqua"/>
        </w:rPr>
        <w:t>), further evaluation with endoscopy and biopsy could confirm the diagnosis.</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rPr>
        <w:t>Biomarkers and serological markers</w:t>
      </w:r>
    </w:p>
    <w:p>
      <w:pPr>
        <w:spacing w:line="360" w:lineRule="auto"/>
        <w:jc w:val="both"/>
        <w:rPr>
          <w:rFonts w:ascii="Book Antiqua" w:hAnsi="Book Antiqua"/>
        </w:rPr>
      </w:pPr>
      <w:r>
        <w:rPr>
          <w:rFonts w:ascii="Book Antiqua" w:hAnsi="Book Antiqua" w:eastAsia="Book Antiqua" w:cs="Book Antiqua"/>
        </w:rPr>
        <w:t>Effective management of IMC is liable on early diagnosis, as prompt intervention can mitigate the severity of colitis. To facilitate this, there is growing interest in identifying serological and fecal biomarkers that can aid in the early detection and monitoring of IMC</w:t>
      </w:r>
      <w:r>
        <w:rPr>
          <w:rFonts w:ascii="Book Antiqua" w:hAnsi="Book Antiqua" w:eastAsia="Book Antiqua" w:cs="Book Antiqua"/>
          <w:vertAlign w:val="superscript"/>
        </w:rPr>
        <w:t>[36]</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 xml:space="preserve">These markers can be obtained from circulation, target organs, </w:t>
      </w:r>
      <w:r>
        <w:rPr>
          <w:rFonts w:ascii="Book Antiqua" w:hAnsi="Book Antiqua" w:eastAsia="Book Antiqua" w:cs="Book Antiqua"/>
          <w:i/>
          <w:iCs/>
        </w:rPr>
        <w:t>etc</w:t>
      </w:r>
      <w:r>
        <w:rPr>
          <w:rFonts w:ascii="Book Antiqua" w:hAnsi="Book Antiqua" w:eastAsia="Book Antiqua" w:cs="Book Antiqua"/>
        </w:rPr>
        <w:t>. For CTLA-4 inhibitors, the following are discussed: from blood (</w:t>
      </w:r>
      <w:r>
        <w:rPr>
          <w:rFonts w:ascii="Book Antiqua" w:hAnsi="Book Antiqua" w:eastAsia="Book Antiqua" w:cs="Book Antiqua"/>
          <w:i/>
          <w:iCs/>
        </w:rPr>
        <w:t>i</w:t>
      </w:r>
      <w:r>
        <w:rPr>
          <w:rFonts w:ascii="Book Antiqua" w:hAnsi="Book Antiqua" w:eastAsia="Book Antiqua" w:cs="Book Antiqua"/>
        </w:rPr>
        <w:t>.</w:t>
      </w:r>
      <w:r>
        <w:rPr>
          <w:rFonts w:ascii="Book Antiqua" w:hAnsi="Book Antiqua" w:eastAsia="Book Antiqua" w:cs="Book Antiqua"/>
          <w:i/>
          <w:iCs/>
        </w:rPr>
        <w:t>e</w:t>
      </w:r>
      <w:r>
        <w:rPr>
          <w:rFonts w:ascii="Book Antiqua" w:hAnsi="Book Antiqua" w:eastAsia="Book Antiqua" w:cs="Book Antiqua"/>
        </w:rPr>
        <w:t xml:space="preserve">. T cell repertoires, T regulatory cells, eosinophils, IL-6, IL-17, serum proteins, and gene expression profiles, </w:t>
      </w:r>
      <w:r>
        <w:rPr>
          <w:rFonts w:ascii="Book Antiqua" w:hAnsi="Book Antiqua" w:eastAsia="Book Antiqua" w:cs="Book Antiqua"/>
          <w:i/>
          <w:iCs/>
        </w:rPr>
        <w:t>etc</w:t>
      </w:r>
      <w:r>
        <w:rPr>
          <w:rFonts w:ascii="Book Antiqua" w:hAnsi="Book Antiqua" w:eastAsia="Book Antiqua" w:cs="Book Antiqua"/>
        </w:rPr>
        <w:t>), from target organs (</w:t>
      </w:r>
      <w:r>
        <w:rPr>
          <w:rFonts w:ascii="Book Antiqua" w:hAnsi="Book Antiqua" w:eastAsia="Book Antiqua" w:cs="Book Antiqua"/>
          <w:i/>
          <w:iCs/>
        </w:rPr>
        <w:t>i</w:t>
      </w:r>
      <w:r>
        <w:rPr>
          <w:rFonts w:ascii="Book Antiqua" w:hAnsi="Book Antiqua" w:eastAsia="Book Antiqua" w:cs="Book Antiqua"/>
        </w:rPr>
        <w:t>.</w:t>
      </w:r>
      <w:r>
        <w:rPr>
          <w:rFonts w:ascii="Book Antiqua" w:hAnsi="Book Antiqua" w:eastAsia="Book Antiqua" w:cs="Book Antiqua"/>
          <w:i/>
          <w:iCs/>
        </w:rPr>
        <w:t>e</w:t>
      </w:r>
      <w:r>
        <w:rPr>
          <w:rFonts w:ascii="Book Antiqua" w:hAnsi="Book Antiqua" w:eastAsia="Book Antiqua" w:cs="Book Antiqua"/>
        </w:rPr>
        <w:t>. ectopic expression of CTLA-4, baseline gut microbiota, muscle attenuation) and from the host. On the other hand, for PD-1/PD-L1 inhibitor-related toxicity, there are some routine blood tests (</w:t>
      </w:r>
      <w:r>
        <w:rPr>
          <w:rFonts w:ascii="Book Antiqua" w:hAnsi="Book Antiqua" w:eastAsia="Book Antiqua" w:cs="Book Antiqua"/>
          <w:i/>
          <w:iCs/>
        </w:rPr>
        <w:t>i</w:t>
      </w:r>
      <w:r>
        <w:rPr>
          <w:rFonts w:ascii="Book Antiqua" w:hAnsi="Book Antiqua" w:eastAsia="Book Antiqua" w:cs="Book Antiqua"/>
        </w:rPr>
        <w:t>.</w:t>
      </w:r>
      <w:r>
        <w:rPr>
          <w:rFonts w:ascii="Book Antiqua" w:hAnsi="Book Antiqua" w:eastAsia="Book Antiqua" w:cs="Book Antiqua"/>
          <w:i/>
          <w:iCs/>
        </w:rPr>
        <w:t>e</w:t>
      </w:r>
      <w:r>
        <w:rPr>
          <w:rFonts w:ascii="Book Antiqua" w:hAnsi="Book Antiqua" w:eastAsia="Book Antiqua" w:cs="Book Antiqua"/>
        </w:rPr>
        <w:t xml:space="preserve">. complete blood count, CD4+ Th1 cells, serum autoantibodies, soluble serum proteins, HLA genotypes), </w:t>
      </w:r>
      <w:r>
        <w:rPr>
          <w:rFonts w:ascii="Book Antiqua" w:hAnsi="Book Antiqua" w:eastAsia="Book Antiqua" w:cs="Book Antiqua"/>
          <w:i/>
          <w:iCs/>
        </w:rPr>
        <w:t>etc</w:t>
      </w:r>
      <w:r>
        <w:rPr>
          <w:rFonts w:ascii="Book Antiqua" w:hAnsi="Book Antiqua" w:eastAsia="Book Antiqua" w:cs="Book Antiqua"/>
          <w:vertAlign w:val="superscript"/>
        </w:rPr>
        <w:t>[37-40]</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Because IMC involves complex immune system dysregulation, IL-17, a pro-inflammatory cytokine implicated in several autoimmune and inflammatory conditions, has also been explored. While IL-17’s role in IMC remains an area of active investigation, its elevated levels in the serum and colon tissue may signify the immunological milieu and contribute to IMC pathogenesis. Monitoring IL-17 levels could provide insights into disease progression and therapeutic responses</w:t>
      </w:r>
      <w:r>
        <w:rPr>
          <w:rFonts w:ascii="Book Antiqua" w:hAnsi="Book Antiqua" w:eastAsia="Book Antiqua" w:cs="Book Antiqua"/>
          <w:vertAlign w:val="superscript"/>
        </w:rPr>
        <w:t>[41-43]</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Fecal calprotectin is another biomarker whose usefulness is under investigation for IMC diagnosis and management. Elevated fecal calprotectin levels are associated with various GI disorders, including IBD. For IMC, a rise in fecal calprotectin levels may indicate an inflammatory process in the colon. However, more research is needed to establish the sensitivity and specificity of fecal calprotectin as a reliable biomarker for IMC. Its use is limited by the possibility of false-positive results in the context of irAEs and immunotherapy, making its interpretation challenging</w:t>
      </w:r>
      <w:r>
        <w:rPr>
          <w:rFonts w:ascii="Book Antiqua" w:hAnsi="Book Antiqua" w:eastAsia="Book Antiqua" w:cs="Book Antiqua"/>
          <w:vertAlign w:val="superscript"/>
        </w:rPr>
        <w:t>[44-46]</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Despite potential biomarkers, it is essential to acknowledge that serological markers for IMC are not yet validated for routine clinical use. Current research primarily consists of small-scale studies and case reports, and there is a lack of standardized cutoff values to define IMC. Moreover, serological markers may not be exclusive to IMC, making differential diagnosis complex</w:t>
      </w:r>
      <w:r>
        <w:rPr>
          <w:rFonts w:ascii="Book Antiqua" w:hAnsi="Book Antiqua" w:eastAsia="Book Antiqua" w:cs="Book Antiqua"/>
          <w:vertAlign w:val="superscript"/>
        </w:rPr>
        <w:t>[37]</w:t>
      </w:r>
      <w:r>
        <w:rPr>
          <w:rFonts w:ascii="Book Antiqua" w:hAnsi="Book Antiqua" w:eastAsia="Book Antiqua" w:cs="Book Antiqua"/>
        </w:rPr>
        <w:t>. However, the search for reliable biomarkers for IMC continues. By identifying distinct serological profiles associated with IMC, clinicians may be better equipped to diagnose and manage these emerging irAEs. Prospective studies with larger cohorts, exploring a spectrum of potential markers, and their correlation with clinical outcomes are vital for establishing their clinical utility. Furthermore, understanding the interplay between these serological markers and the evolving immune responses during immunotherapy will provide deeper insights into the immunopathogenesis of IMC</w:t>
      </w:r>
      <w:r>
        <w:rPr>
          <w:rFonts w:ascii="Book Antiqua" w:hAnsi="Book Antiqua" w:eastAsia="Book Antiqua" w:cs="Book Antiqua"/>
          <w:vertAlign w:val="superscript"/>
        </w:rPr>
        <w:t>[38]</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In conclusion, some established biomarkers, such as fecal calprotectin and IL-17, represent promising avenues for improving the diagnosis and management of IMC. While these markers hold potential, further research and standardization are required before they can be integrated into clinical practice. By leveraging the collective expertise of oncologists, gastroenterologists, and immunologists, the quest for biomarkers specific to IMC is a collaborative effort that underscores the need for precision medicine in the era of cancer immunotherapy.</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eastAsia="Book Antiqua" w:cs="Book Antiqua"/>
          <w:b/>
          <w:bCs/>
          <w:u w:val="single"/>
        </w:rPr>
        <w:t>MANAGEMENT OF IMMUNE-CHECKPOINT INHIBITOR-MEDIATED COLITIS</w:t>
      </w:r>
    </w:p>
    <w:p>
      <w:pPr>
        <w:spacing w:line="360" w:lineRule="auto"/>
        <w:jc w:val="both"/>
        <w:rPr>
          <w:rFonts w:ascii="Book Antiqua" w:hAnsi="Book Antiqua"/>
          <w:b/>
          <w:bCs/>
        </w:rPr>
      </w:pPr>
      <w:r>
        <w:rPr>
          <w:rFonts w:ascii="Book Antiqua" w:hAnsi="Book Antiqua" w:eastAsia="Book Antiqua" w:cs="Book Antiqua"/>
          <w:b/>
          <w:bCs/>
          <w:i/>
          <w:iCs/>
        </w:rPr>
        <w:t>Treatment options</w:t>
      </w:r>
    </w:p>
    <w:p>
      <w:pPr>
        <w:spacing w:line="360" w:lineRule="auto"/>
        <w:jc w:val="both"/>
        <w:rPr>
          <w:rFonts w:ascii="Book Antiqua" w:hAnsi="Book Antiqua" w:eastAsia="Book Antiqua" w:cs="Book Antiqua"/>
        </w:rPr>
      </w:pPr>
      <w:r>
        <w:rPr>
          <w:rFonts w:ascii="Book Antiqua" w:hAnsi="Book Antiqua" w:eastAsia="Book Antiqua" w:cs="Book Antiqua"/>
        </w:rPr>
        <w:t>The grade of the GI irAE is determined by the severity of the diarrhea (</w:t>
      </w:r>
      <w:r>
        <w:rPr>
          <w:rFonts w:ascii="Book Antiqua" w:hAnsi="Book Antiqua" w:eastAsia="Book Antiqua" w:cs="Book Antiqua"/>
          <w:i/>
          <w:iCs/>
        </w:rPr>
        <w:t>i</w:t>
      </w:r>
      <w:r>
        <w:rPr>
          <w:rFonts w:ascii="Book Antiqua" w:hAnsi="Book Antiqua" w:eastAsia="Book Antiqua" w:cs="Book Antiqua"/>
        </w:rPr>
        <w:t>.</w:t>
      </w:r>
      <w:r>
        <w:rPr>
          <w:rFonts w:ascii="Book Antiqua" w:hAnsi="Book Antiqua" w:eastAsia="Book Antiqua" w:cs="Book Antiqua"/>
          <w:i/>
          <w:iCs/>
        </w:rPr>
        <w:t>e</w:t>
      </w:r>
      <w:r>
        <w:rPr>
          <w:rFonts w:ascii="Book Antiqua" w:hAnsi="Book Antiqua" w:eastAsia="Book Antiqua" w:cs="Book Antiqua"/>
        </w:rPr>
        <w:t>. a rise in the number of stool movements per day relative to baseline) and the existence and seriousness of additional colitis symptoms.</w:t>
      </w:r>
    </w:p>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eastAsia="Book Antiqua" w:cs="Book Antiqua"/>
          <w:b/>
          <w:bCs/>
          <w:i/>
          <w:iCs/>
        </w:rPr>
        <w:t>Management of grade 1 and 2 IMC</w:t>
      </w:r>
    </w:p>
    <w:p>
      <w:pPr>
        <w:spacing w:line="360" w:lineRule="auto"/>
        <w:jc w:val="both"/>
        <w:rPr>
          <w:rFonts w:ascii="Book Antiqua" w:hAnsi="Book Antiqua"/>
        </w:rPr>
      </w:pPr>
      <w:r>
        <w:rPr>
          <w:rFonts w:ascii="Book Antiqua" w:hAnsi="Book Antiqua" w:eastAsia="Book Antiqua" w:cs="Book Antiqua"/>
        </w:rPr>
        <w:t>Current guidelines recommend that patients with grade 1 diarrhea (&lt; 4 bowel movements per day) without other additional symptoms of colitis be treated conservatively with hydration and loperamide or diphenoxylate/atropine</w:t>
      </w:r>
      <w:r>
        <w:rPr>
          <w:rFonts w:ascii="Book Antiqua" w:hAnsi="Book Antiqua" w:eastAsia="Book Antiqua" w:cs="Book Antiqua"/>
          <w:vertAlign w:val="superscript"/>
        </w:rPr>
        <w:t>[47]</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In patients with more than four bowel movements per day (grade 2), treatment should start with oral corticosteroid (1-2 mg/kg) with tapering in 4-6 wk. In such cases, ICI therapy should be discontinued immediately (Figure 3). If this therapy fails, intravenous corticosteroids should be initiated. The efficacy of the treatment must be evaluated regularly every 3-5 d. In cases where the general condition of the patient deteriorates and the severity of diarrhea does not improve, a colonoscopy should be performed</w:t>
      </w:r>
      <w:r>
        <w:rPr>
          <w:rFonts w:ascii="Book Antiqua" w:hAnsi="Book Antiqua" w:eastAsia="Book Antiqua" w:cs="Book Antiqua"/>
          <w:vertAlign w:val="superscript"/>
        </w:rPr>
        <w:t>[48]</w:t>
      </w:r>
      <w:r>
        <w:rPr>
          <w:rFonts w:ascii="Book Antiqua" w:hAnsi="Book Antiqua" w:eastAsia="Book Antiqua" w:cs="Book Antiqua"/>
        </w:rPr>
        <w:t>. The results from the endoscopic assessment can give valuable information about the activity of colon inflammation and its extent. According to many retrospective clinical studies, half of the patients treated with systemic corticosteroids have improved ICI-related diarrhea</w:t>
      </w:r>
      <w:r>
        <w:rPr>
          <w:rFonts w:ascii="Book Antiqua" w:hAnsi="Book Antiqua" w:eastAsia="Book Antiqua" w:cs="Book Antiqua"/>
          <w:vertAlign w:val="superscript"/>
        </w:rPr>
        <w:t>[24]</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However, in certain situations, corticosteroids cannot control the symptoms, and the deterioration of diarrhea may become even life-threatening without more aggressive immunosuppressant treatment. Current guidelines recommend adding infliximab or vedolizumab to corticosteroid treatment in such cases.</w:t>
      </w:r>
    </w:p>
    <w:p>
      <w:pPr>
        <w:spacing w:line="360" w:lineRule="auto"/>
        <w:ind w:firstLine="240" w:firstLineChars="100"/>
        <w:jc w:val="both"/>
        <w:rPr>
          <w:rFonts w:ascii="Book Antiqua" w:hAnsi="Book Antiqua"/>
        </w:rPr>
      </w:pPr>
      <w:r>
        <w:rPr>
          <w:rFonts w:ascii="Book Antiqua" w:hAnsi="Book Antiqua" w:eastAsia="Book Antiqua" w:cs="Book Antiqua"/>
        </w:rPr>
        <w:t>Initially, infliximab has been recommended in steroid-refractory IMC. Infliximab is a monoclonal antitumor necrosis factor alpha (TNF-α) antibody, which has a comprehensive implication in the treatment of various autoimmune diseases such as ulcerative colitis, CD, rheumatoid and psoriatic arthritis, and psoriasis</w:t>
      </w:r>
      <w:r>
        <w:rPr>
          <w:rFonts w:ascii="Book Antiqua" w:hAnsi="Book Antiqua" w:eastAsia="Book Antiqua" w:cs="Book Antiqua"/>
          <w:vertAlign w:val="superscript"/>
        </w:rPr>
        <w:t>[49]</w:t>
      </w:r>
      <w:r>
        <w:rPr>
          <w:rFonts w:ascii="Book Antiqua" w:hAnsi="Book Antiqua" w:eastAsia="Book Antiqua" w:cs="Book Antiqua"/>
        </w:rPr>
        <w:t>. There have been reported data concerning the implication of infliximab for treating severe steroid-refractory IMC associated with ipilimumab</w:t>
      </w:r>
      <w:r>
        <w:rPr>
          <w:rFonts w:ascii="Book Antiqua" w:hAnsi="Book Antiqua" w:eastAsia="Book Antiqua" w:cs="Book Antiqua"/>
          <w:vertAlign w:val="superscript"/>
        </w:rPr>
        <w:t>[50,51]</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Another immunosuppressant agent used in steroid-refractory IMC cases is vedolizumab, which represents an integrin antagonist that binds to α4β7 integrin. In general, the mechanism of action of vedolizumab includes limiting the migration of T-lymphocytes into the gut mucosa, which leads to the alleviation of gut inflammation. Vedolizumab can provide a more specific immunosuppression impact over inflamed gut mucosa by remodeling antitumor immune responses</w:t>
      </w:r>
      <w:r>
        <w:rPr>
          <w:rFonts w:ascii="Book Antiqua" w:hAnsi="Book Antiqua" w:eastAsia="Book Antiqua" w:cs="Book Antiqua"/>
          <w:vertAlign w:val="superscript"/>
        </w:rPr>
        <w:t>[52,53]</w:t>
      </w:r>
      <w:r>
        <w:rPr>
          <w:rFonts w:ascii="Book Antiqua" w:hAnsi="Book Antiqua" w:eastAsia="Book Antiqua" w:cs="Book Antiqua"/>
        </w:rPr>
        <w:t>.</w:t>
      </w:r>
    </w:p>
    <w:p>
      <w:pPr>
        <w:spacing w:line="360" w:lineRule="auto"/>
        <w:ind w:firstLine="240" w:firstLineChars="100"/>
        <w:jc w:val="both"/>
        <w:rPr>
          <w:rFonts w:ascii="Book Antiqua" w:hAnsi="Book Antiqua" w:eastAsia="Book Antiqua" w:cs="Book Antiqua"/>
        </w:rPr>
      </w:pPr>
      <w:r>
        <w:rPr>
          <w:rFonts w:ascii="Book Antiqua" w:hAnsi="Book Antiqua" w:eastAsia="Book Antiqua" w:cs="Book Antiqua"/>
        </w:rPr>
        <w:t>It must be pointed out that both immunosuppressants have several weaknesses, such as drug-induced comorbidities and increased risk of infections</w:t>
      </w:r>
      <w:r>
        <w:rPr>
          <w:rFonts w:ascii="Book Antiqua" w:hAnsi="Book Antiqua" w:eastAsia="Book Antiqua" w:cs="Book Antiqua"/>
          <w:vertAlign w:val="superscript"/>
        </w:rPr>
        <w:t>[54,55]</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eastAsia="Book Antiqua" w:cs="Book Antiqua"/>
          <w:b/>
          <w:bCs/>
          <w:i/>
          <w:iCs/>
        </w:rPr>
        <w:t>Management of severe (grade 3-4) IMC</w:t>
      </w:r>
    </w:p>
    <w:p>
      <w:pPr>
        <w:spacing w:line="360" w:lineRule="auto"/>
        <w:jc w:val="both"/>
        <w:rPr>
          <w:rFonts w:ascii="Book Antiqua" w:hAnsi="Book Antiqua"/>
        </w:rPr>
      </w:pPr>
      <w:r>
        <w:rPr>
          <w:rFonts w:ascii="Book Antiqua" w:hAnsi="Book Antiqua" w:eastAsia="Book Antiqua" w:cs="Book Antiqua"/>
        </w:rPr>
        <w:t>In cases with severe IMC (grade 3-4), patients should be hospitalized, and specific treatment must be initiated. Intravenous corticosteroids (1-2 mg/kg/d) should be started until symptoms improve. The duration of corticosteroid treatment usually continues over 4-6 wk with tapering of corticosteroid dosage</w:t>
      </w:r>
      <w:r>
        <w:rPr>
          <w:rFonts w:ascii="Book Antiqua" w:hAnsi="Book Antiqua" w:eastAsia="Book Antiqua" w:cs="Book Antiqua"/>
          <w:vertAlign w:val="superscript"/>
        </w:rPr>
        <w:t>[56]</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The current guidelines recommend combined therapy with steroids and infliximab or vedolizumab, preferably within 2 wk of onset, especially for patients with high-risk endoscopic features if no improvement is seen after 2 d to 3 d of intravenous methylprednisolone (1-2 mg/kg/d) therapy</w:t>
      </w:r>
      <w:r>
        <w:rPr>
          <w:rFonts w:ascii="Book Antiqua" w:hAnsi="Book Antiqua" w:eastAsia="Book Antiqua" w:cs="Book Antiqua"/>
          <w:vertAlign w:val="superscript"/>
        </w:rPr>
        <w:t>[57]</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There is no consensus on the length of treatment with TNF-blockers (infliximab) or integrin blockers (vedolizumab). The likelihood of endoscopic/histologic remission is correlated with the treatment duration. It was estimated that the risk of recurrence is decreased by using up to three doses (at weeks 0, 2, and 6)</w:t>
      </w:r>
      <w:r>
        <w:rPr>
          <w:rFonts w:ascii="Book Antiqua" w:hAnsi="Book Antiqua" w:eastAsia="Book Antiqua" w:cs="Book Antiqua"/>
          <w:vertAlign w:val="superscript"/>
        </w:rPr>
        <w:t>[58]</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The choice between which immunosuppressive regimen (infliximab or vedolizumab) should be administrated depends on many factors. Of great importance is to properly evaluate the risk of infections, other comorbidities, and malignancy</w:t>
      </w:r>
      <w:r>
        <w:rPr>
          <w:rFonts w:ascii="Book Antiqua" w:hAnsi="Book Antiqua" w:eastAsia="Book Antiqua" w:cs="Book Antiqua"/>
          <w:vertAlign w:val="superscript"/>
        </w:rPr>
        <w:t>[59]</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Data related to treating colitis resistant to immunosuppressive medication with fecal transplantation has been published. Of course, the expertise of the center and the institutional availability are of great importance for the success of the procedure</w:t>
      </w:r>
      <w:r>
        <w:rPr>
          <w:rFonts w:ascii="Book Antiqua" w:hAnsi="Book Antiqua" w:eastAsia="Book Antiqua" w:cs="Book Antiqua"/>
          <w:vertAlign w:val="superscript"/>
        </w:rPr>
        <w:t>[60]</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rPr>
        <w:t>Fecal transplantation in immune-mediated colitis</w:t>
      </w:r>
    </w:p>
    <w:p>
      <w:pPr>
        <w:spacing w:line="360" w:lineRule="auto"/>
        <w:jc w:val="both"/>
        <w:rPr>
          <w:rFonts w:ascii="Book Antiqua" w:hAnsi="Book Antiqua"/>
        </w:rPr>
      </w:pPr>
      <w:r>
        <w:rPr>
          <w:rFonts w:ascii="Book Antiqua" w:hAnsi="Book Antiqua" w:eastAsia="Book Antiqua" w:cs="Book Antiqua"/>
        </w:rPr>
        <w:t>The impaired homeostasis of the gut microbiome plays an essential role in developing IMC.</w:t>
      </w:r>
      <w:r>
        <w:rPr>
          <w:rFonts w:ascii="Book Antiqua" w:hAnsi="Book Antiqua" w:eastAsia="Book Antiqua" w:cs="Book Antiqua"/>
          <w:b/>
          <w:bCs/>
        </w:rPr>
        <w:t xml:space="preserve"> </w:t>
      </w:r>
      <w:r>
        <w:rPr>
          <w:rFonts w:ascii="Book Antiqua" w:hAnsi="Book Antiqua" w:eastAsia="Book Antiqua" w:cs="Book Antiqua"/>
        </w:rPr>
        <w:t xml:space="preserve">In recent decades, FMT has been used in clinical practice as a treatment method for patients with recurrent </w:t>
      </w:r>
      <w:r>
        <w:rPr>
          <w:rFonts w:ascii="Book Antiqua" w:hAnsi="Book Antiqua" w:eastAsia="Book Antiqua" w:cs="Book Antiqua"/>
          <w:i/>
          <w:iCs/>
        </w:rPr>
        <w:t>Clostridium difficile</w:t>
      </w:r>
      <w:r>
        <w:rPr>
          <w:rFonts w:ascii="Book Antiqua" w:hAnsi="Book Antiqua" w:eastAsia="Book Antiqua" w:cs="Book Antiqua"/>
        </w:rPr>
        <w:t xml:space="preserve"> infection and IBD. FMT aims to restructure the gut microbiota to its normal composition. This medical process is characterized by transferring fecal matter obtained from a healthy donor into the GI tract of the patient</w:t>
      </w:r>
      <w:r>
        <w:rPr>
          <w:rFonts w:ascii="Book Antiqua" w:hAnsi="Book Antiqua" w:eastAsia="Book Antiqua" w:cs="Book Antiqua"/>
          <w:vertAlign w:val="superscript"/>
        </w:rPr>
        <w:t>[61]</w:t>
      </w:r>
      <w:r>
        <w:rPr>
          <w:rFonts w:ascii="Book Antiqua" w:hAnsi="Book Antiqua" w:eastAsia="Book Antiqua" w:cs="Book Antiqua"/>
        </w:rPr>
        <w:t>. The first case series concerning the implication of FMT for successfully treated patients with IMC was published by Wang</w:t>
      </w:r>
      <w:r>
        <w:rPr>
          <w:rFonts w:ascii="Book Antiqua" w:hAnsi="Book Antiqua" w:eastAsia="Book Antiqua" w:cs="Book Antiqua"/>
          <w:i/>
          <w:iCs/>
        </w:rPr>
        <w:t xml:space="preserve"> et al</w:t>
      </w:r>
      <w:r>
        <w:rPr>
          <w:rFonts w:ascii="Book Antiqua" w:hAnsi="Book Antiqua" w:eastAsia="Book Antiqua" w:cs="Book Antiqua"/>
          <w:vertAlign w:val="superscript"/>
        </w:rPr>
        <w:t>[60]</w:t>
      </w:r>
      <w:r>
        <w:rPr>
          <w:rFonts w:ascii="Book Antiqua" w:hAnsi="Book Antiqua" w:eastAsia="Book Antiqua" w:cs="Book Antiqua"/>
        </w:rPr>
        <w:t>. The authors concluded that modulation of the gut microbiome could lead to improvement of the IMC.</w:t>
      </w:r>
    </w:p>
    <w:p>
      <w:pPr>
        <w:spacing w:line="360" w:lineRule="auto"/>
        <w:ind w:firstLine="240" w:firstLineChars="100"/>
        <w:jc w:val="both"/>
        <w:rPr>
          <w:rFonts w:ascii="Book Antiqua" w:hAnsi="Book Antiqua"/>
        </w:rPr>
      </w:pPr>
      <w:r>
        <w:rPr>
          <w:rFonts w:ascii="Book Antiqua" w:hAnsi="Book Antiqua" w:eastAsia="Book Antiqua" w:cs="Book Antiqua"/>
        </w:rPr>
        <w:t>Recently, many data represent fascinating results concerning the effect of FMT in the treatment of refractory to corticosteroids and immunosuppression therapy. A current study by Halsey</w:t>
      </w:r>
      <w:r>
        <w:rPr>
          <w:rFonts w:ascii="Book Antiqua" w:hAnsi="Book Antiqua" w:eastAsia="Book Antiqua" w:cs="Book Antiqua"/>
          <w:i/>
          <w:iCs/>
        </w:rPr>
        <w:t xml:space="preserve"> et al</w:t>
      </w:r>
      <w:r>
        <w:rPr>
          <w:rFonts w:ascii="Book Antiqua" w:hAnsi="Book Antiqua" w:eastAsia="Book Antiqua" w:cs="Book Antiqua"/>
          <w:vertAlign w:val="superscript"/>
        </w:rPr>
        <w:t>[62]</w:t>
      </w:r>
      <w:r>
        <w:rPr>
          <w:rFonts w:ascii="Book Antiqua" w:hAnsi="Book Antiqua" w:eastAsia="Book Antiqua" w:cs="Book Antiqua"/>
        </w:rPr>
        <w:t xml:space="preserve"> reveals 92% achieving clinical remission in patients with grade 3 or 4 ICM-related diarrhea. The authors also made a 16S rRNA sequencing of patient stool samples. They found a complete remission of the patient’s microbiota after the FMT with increases in abundance of </w:t>
      </w:r>
      <w:r>
        <w:rPr>
          <w:rFonts w:ascii="Book Antiqua" w:hAnsi="Book Antiqua" w:eastAsia="Book Antiqua" w:cs="Book Antiqua"/>
          <w:i/>
          <w:iCs/>
        </w:rPr>
        <w:t>Collinsella</w:t>
      </w:r>
      <w:r>
        <w:rPr>
          <w:rFonts w:ascii="Book Antiqua" w:hAnsi="Book Antiqua" w:eastAsia="Book Antiqua" w:cs="Book Antiqua"/>
        </w:rPr>
        <w:t xml:space="preserve"> and </w:t>
      </w:r>
      <w:r>
        <w:rPr>
          <w:rFonts w:ascii="Book Antiqua" w:hAnsi="Book Antiqua" w:eastAsia="Book Antiqua" w:cs="Book Antiqua"/>
          <w:i/>
          <w:iCs/>
        </w:rPr>
        <w:t>Bifidobacterium</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A study by Wang</w:t>
      </w:r>
      <w:r>
        <w:rPr>
          <w:rFonts w:ascii="Book Antiqua" w:hAnsi="Book Antiqua" w:eastAsia="Book Antiqua" w:cs="Book Antiqua"/>
          <w:i/>
          <w:iCs/>
        </w:rPr>
        <w:t xml:space="preserve"> et al</w:t>
      </w:r>
      <w:r>
        <w:rPr>
          <w:rFonts w:ascii="Book Antiqua" w:hAnsi="Book Antiqua" w:eastAsia="Book Antiqua" w:cs="Book Antiqua"/>
          <w:vertAlign w:val="superscript"/>
        </w:rPr>
        <w:t>[63]</w:t>
      </w:r>
      <w:r>
        <w:rPr>
          <w:rFonts w:ascii="Book Antiqua" w:hAnsi="Book Antiqua" w:eastAsia="Book Antiqua" w:cs="Book Antiqua"/>
        </w:rPr>
        <w:t xml:space="preserve"> represents data on managing IMC with FMT as a first-line treatment. The results from the study demonstrate that FMT as a first-line treatment leads to quick relief of symptoms in most patients; thus, the use of steroids and immunosuppression could be avoided. Furthermore, the study revealed that first-line FMT treatment of IMC could replace the current treatment standards.</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rPr>
        <w:t>Surgical treatment</w:t>
      </w:r>
    </w:p>
    <w:p>
      <w:pPr>
        <w:spacing w:line="360" w:lineRule="auto"/>
        <w:jc w:val="both"/>
        <w:rPr>
          <w:rFonts w:ascii="Book Antiqua" w:hAnsi="Book Antiqua"/>
        </w:rPr>
      </w:pPr>
      <w:r>
        <w:rPr>
          <w:rFonts w:ascii="Book Antiqua" w:hAnsi="Book Antiqua" w:eastAsia="Book Antiqua" w:cs="Book Antiqua"/>
        </w:rPr>
        <w:t>In situations where IMC fails to adequately respond to medical treatment and becomes severe, surgical intervention becomes necessary</w:t>
      </w:r>
      <w:r>
        <w:rPr>
          <w:rFonts w:ascii="Book Antiqua" w:hAnsi="Book Antiqua" w:eastAsia="Book Antiqua" w:cs="Book Antiqua"/>
          <w:vertAlign w:val="superscript"/>
        </w:rPr>
        <w:t>[64,65]</w:t>
      </w:r>
      <w:r>
        <w:rPr>
          <w:rFonts w:ascii="Book Antiqua" w:hAnsi="Book Antiqua" w:eastAsia="Book Antiqua" w:cs="Book Antiqua"/>
        </w:rPr>
        <w:t>. The surgical procedure can vary, contingent upon factors such as the severity and extent of the colitis, the patient’s overall health, and specific clinical considerations. Surgery is particularly indicated when complications arise, such as colonic perforation, toxic megacolon, or severe bleeding.</w:t>
      </w:r>
    </w:p>
    <w:p>
      <w:pPr>
        <w:spacing w:line="360" w:lineRule="auto"/>
        <w:ind w:firstLine="240" w:firstLineChars="100"/>
        <w:jc w:val="both"/>
        <w:rPr>
          <w:rFonts w:ascii="Book Antiqua" w:hAnsi="Book Antiqua"/>
        </w:rPr>
      </w:pPr>
      <w:r>
        <w:rPr>
          <w:rFonts w:ascii="Book Antiqua" w:hAnsi="Book Antiqua" w:eastAsia="Book Antiqua" w:cs="Book Antiqua"/>
        </w:rPr>
        <w:t>Fortunately, such complications are rare. In a phase III clinical trial comprising 511 patients who underwent ipilimumab treatment for malignant melanoma, only 1% had perforation as a side effect, while 5% needed hospitalization for severe enterocolitis</w:t>
      </w:r>
      <w:r>
        <w:rPr>
          <w:rFonts w:ascii="Book Antiqua" w:hAnsi="Book Antiqua" w:eastAsia="Book Antiqua" w:cs="Book Antiqua"/>
          <w:vertAlign w:val="superscript"/>
        </w:rPr>
        <w:t>[66]</w:t>
      </w:r>
      <w:r>
        <w:rPr>
          <w:rFonts w:ascii="Book Antiqua" w:hAnsi="Book Antiqua" w:eastAsia="Book Antiqua" w:cs="Book Antiqua"/>
        </w:rPr>
        <w:t>. A difference in the frequency of colonic perforation or need for colectomy is observed among patients treated for renal cell carcinoma, with an incidence of 6.6%</w:t>
      </w:r>
      <w:r>
        <w:rPr>
          <w:rFonts w:ascii="Book Antiqua" w:hAnsi="Book Antiqua" w:eastAsia="Book Antiqua" w:cs="Book Antiqua"/>
          <w:vertAlign w:val="superscript"/>
        </w:rPr>
        <w:t>[67]</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The preferred surgical approach is a subtotal colectomy because the colonic lesions tend to be extensive. Opting for segmental colonic resection often leads to significant inflammation of the remaining colon during the postoperative period</w:t>
      </w:r>
      <w:r>
        <w:rPr>
          <w:rFonts w:ascii="Book Antiqua" w:hAnsi="Book Antiqua" w:eastAsia="Book Antiqua" w:cs="Book Antiqua"/>
          <w:vertAlign w:val="superscript"/>
        </w:rPr>
        <w:t>[68]</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In non-perforative cases, particularly in critically ill patients, an alternative option is the creation of a diverting ileostomy. This can help reduce the duration of the surgery and minimize complications</w:t>
      </w:r>
      <w:r>
        <w:rPr>
          <w:rFonts w:ascii="Book Antiqua" w:hAnsi="Book Antiqua" w:eastAsia="Book Antiqua" w:cs="Book Antiqua"/>
          <w:vertAlign w:val="superscript"/>
        </w:rPr>
        <w:t>[69]</w:t>
      </w:r>
      <w:r>
        <w:rPr>
          <w:rFonts w:ascii="Book Antiqua" w:hAnsi="Book Antiqua" w:eastAsia="Book Antiqua" w:cs="Book Antiqua"/>
        </w:rPr>
        <w:t>. An ileostomy should be considered at an earlier stage, as this surgical intervention tends to be less aggressive than a colectomy. Additionally, an early ileostomy allows for the potential resumption of ICI therapy sooner</w:t>
      </w:r>
      <w:r>
        <w:rPr>
          <w:rFonts w:ascii="Book Antiqua" w:hAnsi="Book Antiqua" w:eastAsia="Book Antiqua" w:cs="Book Antiqua"/>
          <w:vertAlign w:val="superscript"/>
        </w:rPr>
        <w:t>[70]</w:t>
      </w:r>
      <w:r>
        <w:rPr>
          <w:rFonts w:ascii="Book Antiqua" w:hAnsi="Book Antiqua" w:eastAsia="Book Antiqua" w:cs="Book Antiqua"/>
        </w:rPr>
        <w:t>. Due to the possibility of relapsing with severe colitis, which in some cases can be much more severe than the initial type, the ileostomy closure period must be carefully planned</w:t>
      </w:r>
      <w:r>
        <w:rPr>
          <w:rFonts w:ascii="Book Antiqua" w:hAnsi="Book Antiqua" w:eastAsia="Book Antiqua" w:cs="Book Antiqua"/>
          <w:vertAlign w:val="superscript"/>
        </w:rPr>
        <w:t>[71]</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Postoperative complications vary depending on the surgical procedure and patient comorbidities. At short-term follow-up (&lt; 30 d), complications may occur in 21% of patients, often presenting as postoperative infection and intestinal obstruction. In the long term, the complication rate can vary by 39%, mainly due to fecal incontinence and small bowel obstruction</w:t>
      </w:r>
      <w:r>
        <w:rPr>
          <w:rFonts w:ascii="Book Antiqua" w:hAnsi="Book Antiqua" w:eastAsia="Book Antiqua" w:cs="Book Antiqua"/>
          <w:vertAlign w:val="superscript"/>
        </w:rPr>
        <w:t>[72]</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Due to the lack of early warning symptoms of colitis development after ICI use, multidisciplinary team monitoring and quick action are advised</w:t>
      </w:r>
      <w:r>
        <w:rPr>
          <w:rFonts w:ascii="Book Antiqua" w:hAnsi="Book Antiqua" w:eastAsia="Book Antiqua" w:cs="Book Antiqua"/>
          <w:vertAlign w:val="superscript"/>
        </w:rPr>
        <w:t>[73]</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b/>
          <w:bCs/>
          <w:u w:val="single"/>
        </w:rPr>
      </w:pPr>
      <w:r>
        <w:rPr>
          <w:rFonts w:ascii="Book Antiqua" w:hAnsi="Book Antiqua" w:eastAsia="Book Antiqua" w:cs="Book Antiqua"/>
          <w:b/>
          <w:bCs/>
          <w:u w:val="single"/>
        </w:rPr>
        <w:t>FUTURE DIRECTIONS AND PERSPECTIVES FOR IMC</w:t>
      </w:r>
    </w:p>
    <w:p>
      <w:pPr>
        <w:spacing w:line="360" w:lineRule="auto"/>
        <w:jc w:val="both"/>
        <w:rPr>
          <w:rFonts w:ascii="Book Antiqua" w:hAnsi="Book Antiqua" w:eastAsia="Book Antiqua" w:cs="Book Antiqua"/>
        </w:rPr>
      </w:pPr>
      <w:r>
        <w:rPr>
          <w:rFonts w:ascii="Book Antiqua" w:hAnsi="Book Antiqua" w:eastAsia="Book Antiqua" w:cs="Book Antiqua"/>
        </w:rPr>
        <w:t>As the field of immunotherapy rapidly evolves, ongoing research in diagnosing and managing IMC is essential to ensure the best possible care for patients. Several promising future directions can be explored to enhance our understanding and handling of this specific immunotherapy-related adverse event</w:t>
      </w:r>
      <w:r>
        <w:rPr>
          <w:rFonts w:ascii="Book Antiqua" w:hAnsi="Book Antiqua" w:eastAsia="Book Antiqua" w:cs="Book Antiqua"/>
          <w:vertAlign w:val="superscript"/>
        </w:rPr>
        <w:t>[74]</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The development of these future directions relies on robust, large-scale studies, interdisciplinary collaboration, and the exchange of knowledge across the fields of oncology, immunology, and gastroenterology. A collective effort among researchers, clinicians, and pharmaceutical companies is vital to enhance our ability to diagnose and manage IMC, ultimately improving patient outcomes and the safety of cancer immunotherapy</w:t>
      </w:r>
      <w:r>
        <w:rPr>
          <w:rFonts w:ascii="Book Antiqua" w:hAnsi="Book Antiqua" w:eastAsia="Book Antiqua" w:cs="Book Antiqua"/>
          <w:vertAlign w:val="superscript"/>
        </w:rPr>
        <w:t>[75,76]</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rPr>
      </w:pPr>
      <w:r>
        <w:rPr>
          <w:rFonts w:ascii="Book Antiqua" w:hAnsi="Book Antiqua" w:eastAsia="Book Antiqua" w:cs="Book Antiqua"/>
          <w:b/>
          <w:bCs/>
          <w:i/>
          <w:iCs/>
        </w:rPr>
        <w:t>Personalized risk profiling</w:t>
      </w:r>
    </w:p>
    <w:p>
      <w:pPr>
        <w:spacing w:line="360" w:lineRule="auto"/>
        <w:jc w:val="both"/>
        <w:rPr>
          <w:rFonts w:ascii="Book Antiqua" w:hAnsi="Book Antiqua" w:eastAsia="Book Antiqua" w:cs="Book Antiqua"/>
        </w:rPr>
      </w:pPr>
      <w:r>
        <w:rPr>
          <w:rFonts w:ascii="Book Antiqua" w:hAnsi="Book Antiqua" w:eastAsia="Book Antiqua" w:cs="Book Antiqua"/>
        </w:rPr>
        <w:t>Precision medicine proposed tools to predict individual susceptibility to IMC, such as genomics, immunogenetics, and immune profiling, allowing for risk assessment before immunotherapy initiation.</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b/>
          <w:bCs/>
          <w:i/>
          <w:iCs/>
        </w:rPr>
      </w:pPr>
      <w:r>
        <w:rPr>
          <w:rFonts w:ascii="Book Antiqua" w:hAnsi="Book Antiqua" w:eastAsia="Book Antiqua" w:cs="Book Antiqua"/>
          <w:b/>
          <w:bCs/>
          <w:i/>
          <w:iCs/>
        </w:rPr>
        <w:t>Early biomarker panels</w:t>
      </w:r>
    </w:p>
    <w:p>
      <w:pPr>
        <w:spacing w:line="360" w:lineRule="auto"/>
        <w:jc w:val="both"/>
        <w:rPr>
          <w:rFonts w:ascii="Book Antiqua" w:hAnsi="Book Antiqua"/>
        </w:rPr>
      </w:pPr>
      <w:r>
        <w:rPr>
          <w:rFonts w:ascii="Book Antiqua" w:hAnsi="Book Antiqua" w:eastAsia="Book Antiqua" w:cs="Book Antiqua"/>
        </w:rPr>
        <w:t>Identifying specific serological and molecular markers for IMC is a priority. However, the search for reliable, high-sensitivity assays that can identify IMC earlier in treatment, allowing for timely intervention, is ongoing.</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b/>
          <w:bCs/>
          <w:i/>
          <w:iCs/>
        </w:rPr>
      </w:pPr>
      <w:r>
        <w:rPr>
          <w:rFonts w:ascii="Book Antiqua" w:hAnsi="Book Antiqua" w:eastAsia="Book Antiqua" w:cs="Book Antiqua"/>
          <w:b/>
          <w:bCs/>
          <w:i/>
          <w:iCs/>
        </w:rPr>
        <w:t>Multidisciplinary guidelines</w:t>
      </w:r>
    </w:p>
    <w:p>
      <w:pPr>
        <w:spacing w:line="360" w:lineRule="auto"/>
        <w:jc w:val="both"/>
        <w:rPr>
          <w:rFonts w:ascii="Book Antiqua" w:hAnsi="Book Antiqua"/>
        </w:rPr>
      </w:pPr>
      <w:r>
        <w:rPr>
          <w:rFonts w:ascii="Book Antiqua" w:hAnsi="Book Antiqua" w:eastAsia="Book Antiqua" w:cs="Book Antiqua"/>
        </w:rPr>
        <w:t>It is important to create comprehensive, multidisciplinary guidelines to offer oncologists, gastroenterologists, and other healthcare providers a standardized approach to the diagnosis, management, and monitoring of IMC.</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b/>
          <w:bCs/>
          <w:i/>
          <w:iCs/>
        </w:rPr>
      </w:pPr>
      <w:r>
        <w:rPr>
          <w:rFonts w:ascii="Book Antiqua" w:hAnsi="Book Antiqua" w:eastAsia="Book Antiqua" w:cs="Book Antiqua"/>
          <w:b/>
          <w:bCs/>
          <w:i/>
          <w:iCs/>
        </w:rPr>
        <w:t>Tailored therapies</w:t>
      </w:r>
    </w:p>
    <w:p>
      <w:pPr>
        <w:spacing w:line="360" w:lineRule="auto"/>
        <w:jc w:val="both"/>
        <w:rPr>
          <w:rFonts w:ascii="Book Antiqua" w:hAnsi="Book Antiqua" w:eastAsia="Book Antiqua" w:cs="Book Antiqua"/>
        </w:rPr>
      </w:pPr>
      <w:r>
        <w:rPr>
          <w:rFonts w:ascii="Book Antiqua" w:hAnsi="Book Antiqua" w:eastAsia="Book Antiqua" w:cs="Book Antiqua"/>
        </w:rPr>
        <w:t>Investigating tailored therapies for individual patient responses to different treatment modalities, including immunosuppressive agents, ICI discontinuation, and monoclonal antibodies, is essential for optimizing care.</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rPr>
      </w:pPr>
      <w:r>
        <w:rPr>
          <w:rFonts w:ascii="Book Antiqua" w:hAnsi="Book Antiqua" w:eastAsia="Book Antiqua" w:cs="Book Antiqua"/>
          <w:b/>
          <w:bCs/>
          <w:i/>
          <w:iCs/>
        </w:rPr>
        <w:t>Combination of immunotherapies</w:t>
      </w:r>
    </w:p>
    <w:p>
      <w:pPr>
        <w:spacing w:line="360" w:lineRule="auto"/>
        <w:jc w:val="both"/>
        <w:rPr>
          <w:rFonts w:ascii="Book Antiqua" w:hAnsi="Book Antiqua" w:eastAsia="Book Antiqua" w:cs="Book Antiqua"/>
        </w:rPr>
      </w:pPr>
      <w:r>
        <w:rPr>
          <w:rFonts w:ascii="Book Antiqua" w:hAnsi="Book Antiqua" w:eastAsia="Book Antiqua" w:cs="Book Antiqua"/>
        </w:rPr>
        <w:t>More research is needed to understand the specific risk profiles for IMC and establish guidelines for managing complex cases.</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rPr>
      </w:pPr>
      <w:r>
        <w:rPr>
          <w:rFonts w:ascii="Book Antiqua" w:hAnsi="Book Antiqua" w:eastAsia="Book Antiqua" w:cs="Book Antiqua"/>
          <w:b/>
          <w:bCs/>
          <w:i/>
          <w:iCs/>
        </w:rPr>
        <w:t>Telemedicine and remote monitoring</w:t>
      </w:r>
    </w:p>
    <w:p>
      <w:pPr>
        <w:spacing w:line="360" w:lineRule="auto"/>
        <w:jc w:val="both"/>
        <w:rPr>
          <w:rFonts w:ascii="Book Antiqua" w:hAnsi="Book Antiqua"/>
        </w:rPr>
      </w:pPr>
      <w:r>
        <w:rPr>
          <w:rFonts w:ascii="Book Antiqua" w:hAnsi="Book Antiqua" w:eastAsia="Book Antiqua" w:cs="Book Antiqua"/>
        </w:rPr>
        <w:t>These allow for regular monitoring of patients, enabling the early detection of IMC symptoms and swift intervention.</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b/>
          <w:bCs/>
          <w:i/>
          <w:iCs/>
        </w:rPr>
      </w:pPr>
      <w:r>
        <w:rPr>
          <w:rFonts w:ascii="Book Antiqua" w:hAnsi="Book Antiqua" w:eastAsia="Book Antiqua" w:cs="Book Antiqua"/>
          <w:b/>
          <w:bCs/>
          <w:i/>
          <w:iCs/>
        </w:rPr>
        <w:t>Shared decision-making</w:t>
      </w:r>
    </w:p>
    <w:p>
      <w:pPr>
        <w:spacing w:line="360" w:lineRule="auto"/>
        <w:jc w:val="both"/>
        <w:rPr>
          <w:rFonts w:ascii="Book Antiqua" w:hAnsi="Book Antiqua" w:eastAsia="Book Antiqua" w:cs="Book Antiqua"/>
        </w:rPr>
      </w:pPr>
      <w:r>
        <w:rPr>
          <w:rFonts w:ascii="Book Antiqua" w:hAnsi="Book Antiqua" w:eastAsia="Book Antiqua" w:cs="Book Antiqua"/>
        </w:rPr>
        <w:t>Future clinical practice should embrace shared decision-making models, allowing patients to actively participate in treatment decisions while understanding the risks and benefits of certain immunotherapy.</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rPr>
      </w:pPr>
      <w:r>
        <w:rPr>
          <w:rFonts w:ascii="Book Antiqua" w:hAnsi="Book Antiqua" w:eastAsia="Book Antiqua" w:cs="Book Antiqua"/>
          <w:b/>
          <w:bCs/>
          <w:i/>
          <w:iCs/>
        </w:rPr>
        <w:t>Immunomodulation strategies</w:t>
      </w:r>
    </w:p>
    <w:p>
      <w:pPr>
        <w:spacing w:line="360" w:lineRule="auto"/>
        <w:jc w:val="both"/>
        <w:rPr>
          <w:rFonts w:ascii="Book Antiqua" w:hAnsi="Book Antiqua"/>
        </w:rPr>
      </w:pPr>
      <w:r>
        <w:rPr>
          <w:rFonts w:ascii="Book Antiqua" w:hAnsi="Book Antiqua" w:eastAsia="Book Antiqua" w:cs="Book Antiqua"/>
        </w:rPr>
        <w:t>Novel immunomodulation strategies are needed that target and modulate immune responses and induce immune tolerance.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rPr>
        <w:t>IMC is an emerging and complex clinical entity associated with the expanding use of cancer immunotherapies. In this comprehensive review, we have delved into the mechanisms, clinical features, diagnosis, management of IMC and promising future directions, focusing on evolving biomarker-based diagnostics.</w:t>
      </w:r>
    </w:p>
    <w:p>
      <w:pPr>
        <w:spacing w:line="360" w:lineRule="auto"/>
        <w:ind w:firstLine="240" w:firstLineChars="100"/>
        <w:jc w:val="both"/>
        <w:rPr>
          <w:rFonts w:ascii="Book Antiqua" w:hAnsi="Book Antiqua"/>
        </w:rPr>
      </w:pPr>
      <w:r>
        <w:rPr>
          <w:rFonts w:ascii="Book Antiqua" w:hAnsi="Book Antiqua" w:eastAsia="Book Antiqua" w:cs="Book Antiqua"/>
        </w:rPr>
        <w:t>The importance of early recognition and accurate diagnosis of IMC to ensure prompt and effective management of the condition was emphasized. Incorporating established or novel biomarkers for IMC into clinical practice holds promise for swift, accurate, and non-invasive identification of cases, enabling clinicians to intervene in a timely manner.</w:t>
      </w:r>
    </w:p>
    <w:p>
      <w:pPr>
        <w:spacing w:line="360" w:lineRule="auto"/>
        <w:jc w:val="both"/>
        <w:rPr>
          <w:rFonts w:ascii="Book Antiqua" w:hAnsi="Book Antiqua"/>
        </w:rPr>
      </w:pPr>
      <w:r>
        <w:rPr>
          <w:rFonts w:ascii="Book Antiqua" w:hAnsi="Book Antiqua" w:eastAsia="Book Antiqua" w:cs="Book Antiqua"/>
        </w:rPr>
        <w:t>Nevertheless, managing IMC requires a multidisciplinary approach and tailored treatment strategies that balance effective ICI administration with the potential risk of IMC. Medical professionals from different fields must collaborate to optimize patient care while minimizing adverse effects. Overall, as immunotherapy continues to revolutionize cancer treatment, IMC remains a challenge but also represents a growing opportunity for research and innovation. The future directions we have outlined open avenues for more personalized care, early biomarker-based diagnosis, and novel treatment strategies, fostering a safer and more effective landscape for cancer immunotherapy.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eastAsia="Book Antiqua" w:cs="Book Antiqua"/>
        </w:rPr>
      </w:pPr>
      <w:bookmarkStart w:id="471" w:name="OLE_LINK1504"/>
      <w:bookmarkStart w:id="472" w:name="OLE_LINK1505"/>
      <w:r>
        <w:rPr>
          <w:rFonts w:ascii="Book Antiqua" w:hAnsi="Book Antiqua" w:eastAsia="Book Antiqua" w:cs="Book Antiqua"/>
        </w:rPr>
        <w:t xml:space="preserve">1 </w:t>
      </w:r>
      <w:r>
        <w:rPr>
          <w:rFonts w:ascii="Book Antiqua" w:hAnsi="Book Antiqua" w:eastAsia="Book Antiqua" w:cs="Book Antiqua"/>
          <w:b/>
          <w:bCs/>
        </w:rPr>
        <w:t>Iranzo P</w:t>
      </w:r>
      <w:r>
        <w:rPr>
          <w:rFonts w:ascii="Book Antiqua" w:hAnsi="Book Antiqua" w:eastAsia="Book Antiqua" w:cs="Book Antiqua"/>
        </w:rPr>
        <w:t xml:space="preserve">, Callejo A, Assaf JD, Molina G, Lopez DE, Garcia-Illescas D, Pardo N, Navarro A, Martinez-Marti A, Cedres S, Carbonell C, Frigola J, Amat R, Felip E. Overview of Checkpoint Inhibitors Mechanism of Action: Role of Immune-Related Adverse Events and Their Treatment on Progression of Underlying Cancer. </w:t>
      </w:r>
      <w:r>
        <w:rPr>
          <w:rFonts w:ascii="Book Antiqua" w:hAnsi="Book Antiqua" w:eastAsia="Book Antiqua" w:cs="Book Antiqua"/>
          <w:i/>
          <w:iCs/>
        </w:rPr>
        <w:t>Front Med (Lausanne)</w:t>
      </w:r>
      <w:r>
        <w:rPr>
          <w:rFonts w:ascii="Book Antiqua" w:hAnsi="Book Antiqua" w:eastAsia="Book Antiqua" w:cs="Book Antiqua"/>
        </w:rPr>
        <w:t xml:space="preserve"> 2022; </w:t>
      </w:r>
      <w:r>
        <w:rPr>
          <w:rFonts w:ascii="Book Antiqua" w:hAnsi="Book Antiqua" w:eastAsia="Book Antiqua" w:cs="Book Antiqua"/>
          <w:b/>
          <w:bCs/>
        </w:rPr>
        <w:t>9</w:t>
      </w:r>
      <w:r>
        <w:rPr>
          <w:rFonts w:ascii="Book Antiqua" w:hAnsi="Book Antiqua" w:eastAsia="Book Antiqua" w:cs="Book Antiqua"/>
        </w:rPr>
        <w:t>: 875974 [PMID: 35707528 DOI: 10.3389/fmed.2022.875974]</w:t>
      </w:r>
    </w:p>
    <w:p>
      <w:pPr>
        <w:spacing w:line="360" w:lineRule="auto"/>
        <w:jc w:val="both"/>
        <w:rPr>
          <w:rFonts w:ascii="Book Antiqua" w:hAnsi="Book Antiqua" w:eastAsia="Book Antiqua" w:cs="Book Antiqua"/>
        </w:rPr>
      </w:pPr>
      <w:r>
        <w:rPr>
          <w:rFonts w:ascii="Book Antiqua" w:hAnsi="Book Antiqua" w:eastAsia="Book Antiqua" w:cs="Book Antiqua"/>
        </w:rPr>
        <w:t xml:space="preserve">2 </w:t>
      </w:r>
      <w:r>
        <w:rPr>
          <w:rFonts w:ascii="Book Antiqua" w:hAnsi="Book Antiqua" w:eastAsia="Book Antiqua" w:cs="Book Antiqua"/>
          <w:b/>
          <w:bCs/>
        </w:rPr>
        <w:t>Perdyan A</w:t>
      </w:r>
      <w:r>
        <w:rPr>
          <w:rFonts w:ascii="Book Antiqua" w:hAnsi="Book Antiqua" w:eastAsia="Book Antiqua" w:cs="Book Antiqua"/>
        </w:rPr>
        <w:t xml:space="preserve">, Sobocki BK, Balihodzic A, Dąbrowska A, Kacperczyk J, Rutkowski J. The Effectiveness of Cancer Immune Checkpoint Inhibitor Retreatment and Rechallenge-A Systematic Review. </w:t>
      </w:r>
      <w:r>
        <w:rPr>
          <w:rFonts w:ascii="Book Antiqua" w:hAnsi="Book Antiqua" w:eastAsia="Book Antiqua" w:cs="Book Antiqua"/>
          <w:i/>
          <w:iCs/>
        </w:rPr>
        <w:t>Cancers (Basel)</w:t>
      </w:r>
      <w:r>
        <w:rPr>
          <w:rFonts w:ascii="Book Antiqua" w:hAnsi="Book Antiqua" w:eastAsia="Book Antiqua" w:cs="Book Antiqua"/>
        </w:rPr>
        <w:t xml:space="preserve"> 2023; </w:t>
      </w:r>
      <w:r>
        <w:rPr>
          <w:rFonts w:ascii="Book Antiqua" w:hAnsi="Book Antiqua" w:eastAsia="Book Antiqua" w:cs="Book Antiqua"/>
          <w:b/>
          <w:bCs/>
        </w:rPr>
        <w:t>15</w:t>
      </w:r>
      <w:r>
        <w:rPr>
          <w:rFonts w:ascii="Book Antiqua" w:hAnsi="Book Antiqua" w:eastAsia="Book Antiqua" w:cs="Book Antiqua"/>
        </w:rPr>
        <w:t xml:space="preserve"> [PMID: 37444600 DOI: 10.3390/cancers15133490]</w:t>
      </w:r>
    </w:p>
    <w:p>
      <w:pPr>
        <w:spacing w:line="360" w:lineRule="auto"/>
        <w:jc w:val="both"/>
        <w:rPr>
          <w:rFonts w:ascii="Book Antiqua" w:hAnsi="Book Antiqua" w:eastAsia="Book Antiqua" w:cs="Book Antiqua"/>
        </w:rPr>
      </w:pPr>
      <w:r>
        <w:rPr>
          <w:rFonts w:ascii="Book Antiqua" w:hAnsi="Book Antiqua" w:eastAsia="Book Antiqua" w:cs="Book Antiqua"/>
        </w:rPr>
        <w:t xml:space="preserve">3 </w:t>
      </w:r>
      <w:r>
        <w:rPr>
          <w:rFonts w:ascii="Book Antiqua" w:hAnsi="Book Antiqua" w:eastAsia="Book Antiqua" w:cs="Book Antiqua"/>
          <w:b/>
          <w:bCs/>
        </w:rPr>
        <w:t>Esfahani K</w:t>
      </w:r>
      <w:r>
        <w:rPr>
          <w:rFonts w:ascii="Book Antiqua" w:hAnsi="Book Antiqua" w:eastAsia="Book Antiqua" w:cs="Book Antiqua"/>
        </w:rPr>
        <w:t xml:space="preserve">, Meti N, Miller WH Jr, Hudson M. Adverse events associated with immune checkpoint inhibitor treatment for cancer. </w:t>
      </w:r>
      <w:r>
        <w:rPr>
          <w:rFonts w:ascii="Book Antiqua" w:hAnsi="Book Antiqua" w:eastAsia="Book Antiqua" w:cs="Book Antiqua"/>
          <w:i/>
          <w:iCs/>
        </w:rPr>
        <w:t>CMAJ</w:t>
      </w:r>
      <w:r>
        <w:rPr>
          <w:rFonts w:ascii="Book Antiqua" w:hAnsi="Book Antiqua" w:eastAsia="Book Antiqua" w:cs="Book Antiqua"/>
        </w:rPr>
        <w:t xml:space="preserve"> 2019; </w:t>
      </w:r>
      <w:r>
        <w:rPr>
          <w:rFonts w:ascii="Book Antiqua" w:hAnsi="Book Antiqua" w:eastAsia="Book Antiqua" w:cs="Book Antiqua"/>
          <w:b/>
          <w:bCs/>
        </w:rPr>
        <w:t>191</w:t>
      </w:r>
      <w:r>
        <w:rPr>
          <w:rFonts w:ascii="Book Antiqua" w:hAnsi="Book Antiqua" w:eastAsia="Book Antiqua" w:cs="Book Antiqua"/>
        </w:rPr>
        <w:t>: E40-E46 [PMID: 30642824 DOI: 10.1503/cmaj.180870]</w:t>
      </w:r>
    </w:p>
    <w:p>
      <w:pPr>
        <w:spacing w:line="360" w:lineRule="auto"/>
        <w:jc w:val="both"/>
        <w:rPr>
          <w:rFonts w:ascii="Book Antiqua" w:hAnsi="Book Antiqua" w:eastAsia="Book Antiqua" w:cs="Book Antiqua"/>
        </w:rPr>
      </w:pPr>
      <w:r>
        <w:rPr>
          <w:rFonts w:ascii="Book Antiqua" w:hAnsi="Book Antiqua" w:eastAsia="Book Antiqua" w:cs="Book Antiqua"/>
        </w:rPr>
        <w:t xml:space="preserve">4 </w:t>
      </w:r>
      <w:r>
        <w:rPr>
          <w:rFonts w:ascii="Book Antiqua" w:hAnsi="Book Antiqua" w:eastAsia="Book Antiqua" w:cs="Book Antiqua"/>
          <w:b/>
          <w:bCs/>
        </w:rPr>
        <w:t>Ramos-Casals M</w:t>
      </w:r>
      <w:r>
        <w:rPr>
          <w:rFonts w:ascii="Book Antiqua" w:hAnsi="Book Antiqua" w:eastAsia="Book Antiqua" w:cs="Book Antiqua"/>
        </w:rPr>
        <w:t xml:space="preserve">, Brahmer JR, Callahan MK, Flores-Chávez A, Keegan N, Khamashta MA, Lambotte O, Mariette X, Prat A, Suárez-Almazor ME. Immune-related adverse events of checkpoint inhibitors. </w:t>
      </w:r>
      <w:r>
        <w:rPr>
          <w:rFonts w:ascii="Book Antiqua" w:hAnsi="Book Antiqua" w:eastAsia="Book Antiqua" w:cs="Book Antiqua"/>
          <w:i/>
          <w:iCs/>
        </w:rPr>
        <w:t>Nat Rev Dis Primers</w:t>
      </w:r>
      <w:r>
        <w:rPr>
          <w:rFonts w:ascii="Book Antiqua" w:hAnsi="Book Antiqua" w:eastAsia="Book Antiqua" w:cs="Book Antiqua"/>
        </w:rPr>
        <w:t xml:space="preserve"> 2020; </w:t>
      </w:r>
      <w:r>
        <w:rPr>
          <w:rFonts w:ascii="Book Antiqua" w:hAnsi="Book Antiqua" w:eastAsia="Book Antiqua" w:cs="Book Antiqua"/>
          <w:b/>
          <w:bCs/>
        </w:rPr>
        <w:t>6</w:t>
      </w:r>
      <w:r>
        <w:rPr>
          <w:rFonts w:ascii="Book Antiqua" w:hAnsi="Book Antiqua" w:eastAsia="Book Antiqua" w:cs="Book Antiqua"/>
        </w:rPr>
        <w:t>: 38 [PMID: 32382051 DOI: 10.1038/s41572-020-0160-6]</w:t>
      </w:r>
    </w:p>
    <w:p>
      <w:pPr>
        <w:spacing w:line="360" w:lineRule="auto"/>
        <w:jc w:val="both"/>
        <w:rPr>
          <w:rFonts w:ascii="Book Antiqua" w:hAnsi="Book Antiqua" w:eastAsia="Book Antiqua" w:cs="Book Antiqua"/>
        </w:rPr>
      </w:pPr>
      <w:r>
        <w:rPr>
          <w:rFonts w:ascii="Book Antiqua" w:hAnsi="Book Antiqua" w:eastAsia="Book Antiqua" w:cs="Book Antiqua"/>
        </w:rPr>
        <w:t xml:space="preserve">5 </w:t>
      </w:r>
      <w:r>
        <w:rPr>
          <w:rFonts w:ascii="Book Antiqua" w:hAnsi="Book Antiqua" w:eastAsia="Book Antiqua" w:cs="Book Antiqua"/>
          <w:b/>
          <w:bCs/>
        </w:rPr>
        <w:t>Velikova T</w:t>
      </w:r>
      <w:r>
        <w:rPr>
          <w:rFonts w:ascii="Book Antiqua" w:hAnsi="Book Antiqua" w:eastAsia="Book Antiqua" w:cs="Book Antiqua"/>
        </w:rPr>
        <w:t xml:space="preserve">, Krastev B, Lozenov S, Gencheva R, Peshevska-Sekulovska M, Nikolaev G, Peruhova M. Antibiotic-Related Changes in Microbiome: The Hidden Villain behind Colorectal Carcinoma Immunotherapy Failure. </w:t>
      </w:r>
      <w:r>
        <w:rPr>
          <w:rFonts w:ascii="Book Antiqua" w:hAnsi="Book Antiqua" w:eastAsia="Book Antiqua" w:cs="Book Antiqua"/>
          <w:i/>
          <w:iCs/>
        </w:rPr>
        <w:t>Int J Mol Sci</w:t>
      </w:r>
      <w:r>
        <w:rPr>
          <w:rFonts w:ascii="Book Antiqua" w:hAnsi="Book Antiqua" w:eastAsia="Book Antiqua" w:cs="Book Antiqua"/>
        </w:rPr>
        <w:t xml:space="preserve"> 2021; </w:t>
      </w:r>
      <w:r>
        <w:rPr>
          <w:rFonts w:ascii="Book Antiqua" w:hAnsi="Book Antiqua" w:eastAsia="Book Antiqua" w:cs="Book Antiqua"/>
          <w:b/>
          <w:bCs/>
        </w:rPr>
        <w:t>22</w:t>
      </w:r>
      <w:r>
        <w:rPr>
          <w:rFonts w:ascii="Book Antiqua" w:hAnsi="Book Antiqua" w:eastAsia="Book Antiqua" w:cs="Book Antiqua"/>
        </w:rPr>
        <w:t xml:space="preserve"> [PMID: 33578709 DOI: 10.3390/ijms22041754]</w:t>
      </w:r>
    </w:p>
    <w:p>
      <w:pPr>
        <w:spacing w:line="360" w:lineRule="auto"/>
        <w:jc w:val="both"/>
        <w:rPr>
          <w:rFonts w:ascii="Book Antiqua" w:hAnsi="Book Antiqua" w:eastAsia="Book Antiqua" w:cs="Book Antiqua"/>
        </w:rPr>
      </w:pPr>
      <w:r>
        <w:rPr>
          <w:rFonts w:ascii="Book Antiqua" w:hAnsi="Book Antiqua" w:eastAsia="Book Antiqua" w:cs="Book Antiqua"/>
        </w:rPr>
        <w:t xml:space="preserve">6 </w:t>
      </w:r>
      <w:r>
        <w:rPr>
          <w:rFonts w:ascii="Book Antiqua" w:hAnsi="Book Antiqua" w:eastAsia="Book Antiqua" w:cs="Book Antiqua"/>
          <w:b/>
          <w:bCs/>
        </w:rPr>
        <w:t>Yin Q</w:t>
      </w:r>
      <w:r>
        <w:rPr>
          <w:rFonts w:ascii="Book Antiqua" w:hAnsi="Book Antiqua" w:eastAsia="Book Antiqua" w:cs="Book Antiqua"/>
        </w:rPr>
        <w:t xml:space="preserve">, Wu L, Han L, Zheng X, Tong R, Li L, Bai L, Bian Y. Immune-related adverse events of immune checkpoint inhibitors: a review. </w:t>
      </w:r>
      <w:r>
        <w:rPr>
          <w:rFonts w:ascii="Book Antiqua" w:hAnsi="Book Antiqua" w:eastAsia="Book Antiqua" w:cs="Book Antiqua"/>
          <w:i/>
          <w:iCs/>
        </w:rPr>
        <w:t>Front Immunol</w:t>
      </w:r>
      <w:r>
        <w:rPr>
          <w:rFonts w:ascii="Book Antiqua" w:hAnsi="Book Antiqua" w:eastAsia="Book Antiqua" w:cs="Book Antiqua"/>
        </w:rPr>
        <w:t xml:space="preserve"> 2023; </w:t>
      </w:r>
      <w:r>
        <w:rPr>
          <w:rFonts w:ascii="Book Antiqua" w:hAnsi="Book Antiqua" w:eastAsia="Book Antiqua" w:cs="Book Antiqua"/>
          <w:b/>
          <w:bCs/>
        </w:rPr>
        <w:t>14</w:t>
      </w:r>
      <w:r>
        <w:rPr>
          <w:rFonts w:ascii="Book Antiqua" w:hAnsi="Book Antiqua" w:eastAsia="Book Antiqua" w:cs="Book Antiqua"/>
        </w:rPr>
        <w:t>: 1167975 [PMID: 37304306 DOI: 10.3389/fimmu.2023.1167975]</w:t>
      </w:r>
    </w:p>
    <w:p>
      <w:pPr>
        <w:spacing w:line="360" w:lineRule="auto"/>
        <w:jc w:val="both"/>
        <w:rPr>
          <w:rFonts w:ascii="Book Antiqua" w:hAnsi="Book Antiqua" w:eastAsia="Book Antiqua" w:cs="Book Antiqua"/>
        </w:rPr>
      </w:pPr>
      <w:r>
        <w:rPr>
          <w:rFonts w:ascii="Book Antiqua" w:hAnsi="Book Antiqua" w:eastAsia="Book Antiqua" w:cs="Book Antiqua"/>
        </w:rPr>
        <w:t xml:space="preserve">7 </w:t>
      </w:r>
      <w:r>
        <w:rPr>
          <w:rFonts w:ascii="Book Antiqua" w:hAnsi="Book Antiqua" w:eastAsia="Book Antiqua" w:cs="Book Antiqua"/>
          <w:b/>
          <w:bCs/>
        </w:rPr>
        <w:t>Som A</w:t>
      </w:r>
      <w:r>
        <w:rPr>
          <w:rFonts w:ascii="Book Antiqua" w:hAnsi="Book Antiqua" w:eastAsia="Book Antiqua" w:cs="Book Antiqua"/>
        </w:rPr>
        <w:t xml:space="preserve">, Mandaliya R, Alsaadi D, Farshidpour M, Charabaty A, Malhotra N, Mattar MC. Immune checkpoint inhibitor-induced colitis: A comprehensive review. </w:t>
      </w:r>
      <w:r>
        <w:rPr>
          <w:rFonts w:ascii="Book Antiqua" w:hAnsi="Book Antiqua" w:eastAsia="Book Antiqua" w:cs="Book Antiqua"/>
          <w:i/>
          <w:iCs/>
        </w:rPr>
        <w:t>World J Clin Cases</w:t>
      </w:r>
      <w:r>
        <w:rPr>
          <w:rFonts w:ascii="Book Antiqua" w:hAnsi="Book Antiqua" w:eastAsia="Book Antiqua" w:cs="Book Antiqua"/>
        </w:rPr>
        <w:t xml:space="preserve"> 2019; </w:t>
      </w:r>
      <w:r>
        <w:rPr>
          <w:rFonts w:ascii="Book Antiqua" w:hAnsi="Book Antiqua" w:eastAsia="Book Antiqua" w:cs="Book Antiqua"/>
          <w:b/>
          <w:bCs/>
        </w:rPr>
        <w:t>7</w:t>
      </w:r>
      <w:r>
        <w:rPr>
          <w:rFonts w:ascii="Book Antiqua" w:hAnsi="Book Antiqua" w:eastAsia="Book Antiqua" w:cs="Book Antiqua"/>
        </w:rPr>
        <w:t>: 405-418 [PMID: 30842952 DOI: 10.12998/wjcc.v7.i4.405]</w:t>
      </w:r>
    </w:p>
    <w:p>
      <w:pPr>
        <w:spacing w:line="360" w:lineRule="auto"/>
        <w:jc w:val="both"/>
        <w:rPr>
          <w:rFonts w:ascii="Book Antiqua" w:hAnsi="Book Antiqua" w:eastAsia="Book Antiqua" w:cs="Book Antiqua"/>
        </w:rPr>
      </w:pPr>
      <w:r>
        <w:rPr>
          <w:rFonts w:ascii="Book Antiqua" w:hAnsi="Book Antiqua" w:eastAsia="Book Antiqua" w:cs="Book Antiqua"/>
        </w:rPr>
        <w:t xml:space="preserve">8 </w:t>
      </w:r>
      <w:r>
        <w:rPr>
          <w:rFonts w:ascii="Book Antiqua" w:hAnsi="Book Antiqua" w:eastAsia="Book Antiqua" w:cs="Book Antiqua"/>
          <w:b/>
          <w:bCs/>
        </w:rPr>
        <w:t>Prieux-Klotz C</w:t>
      </w:r>
      <w:r>
        <w:rPr>
          <w:rFonts w:ascii="Book Antiqua" w:hAnsi="Book Antiqua" w:eastAsia="Book Antiqua" w:cs="Book Antiqua"/>
        </w:rPr>
        <w:t xml:space="preserve">, Dior M, Damotte D, Dreanic J, Brieau B, Brezault C, Abitbol V, Chaussade S, Coriat R. Immune Checkpoint Inhibitor-Induced Colitis: Diagnosis and Management. </w:t>
      </w:r>
      <w:r>
        <w:rPr>
          <w:rFonts w:ascii="Book Antiqua" w:hAnsi="Book Antiqua" w:eastAsia="Book Antiqua" w:cs="Book Antiqua"/>
          <w:i/>
          <w:iCs/>
        </w:rPr>
        <w:t>Target Oncol</w:t>
      </w:r>
      <w:r>
        <w:rPr>
          <w:rFonts w:ascii="Book Antiqua" w:hAnsi="Book Antiqua" w:eastAsia="Book Antiqua" w:cs="Book Antiqua"/>
        </w:rPr>
        <w:t xml:space="preserve"> 2017; </w:t>
      </w:r>
      <w:r>
        <w:rPr>
          <w:rFonts w:ascii="Book Antiqua" w:hAnsi="Book Antiqua" w:eastAsia="Book Antiqua" w:cs="Book Antiqua"/>
          <w:b/>
          <w:bCs/>
        </w:rPr>
        <w:t>12</w:t>
      </w:r>
      <w:r>
        <w:rPr>
          <w:rFonts w:ascii="Book Antiqua" w:hAnsi="Book Antiqua" w:eastAsia="Book Antiqua" w:cs="Book Antiqua"/>
        </w:rPr>
        <w:t>: 301-308 [PMID: 28540478 DOI: 10.1007/s11523-017-0495-4]</w:t>
      </w:r>
    </w:p>
    <w:p>
      <w:pPr>
        <w:spacing w:line="360" w:lineRule="auto"/>
        <w:jc w:val="both"/>
        <w:rPr>
          <w:rFonts w:ascii="Book Antiqua" w:hAnsi="Book Antiqua" w:eastAsia="Book Antiqua" w:cs="Book Antiqua"/>
        </w:rPr>
      </w:pPr>
      <w:r>
        <w:rPr>
          <w:rFonts w:ascii="Book Antiqua" w:hAnsi="Book Antiqua" w:eastAsia="Book Antiqua" w:cs="Book Antiqua"/>
        </w:rPr>
        <w:t xml:space="preserve">9 </w:t>
      </w:r>
      <w:r>
        <w:rPr>
          <w:rFonts w:ascii="Book Antiqua" w:hAnsi="Book Antiqua" w:eastAsia="Book Antiqua" w:cs="Book Antiqua"/>
          <w:b/>
          <w:bCs/>
        </w:rPr>
        <w:t>Weingarden AR</w:t>
      </w:r>
      <w:r>
        <w:rPr>
          <w:rFonts w:ascii="Book Antiqua" w:hAnsi="Book Antiqua" w:eastAsia="Book Antiqua" w:cs="Book Antiqua"/>
        </w:rPr>
        <w:t xml:space="preserve">, Rubin SJS, Gubatan J. Immune checkpoint inhibitor-mediated colitis in gastrointestinal malignancies and inflammatory bowel disease. </w:t>
      </w:r>
      <w:r>
        <w:rPr>
          <w:rFonts w:ascii="Book Antiqua" w:hAnsi="Book Antiqua" w:eastAsia="Book Antiqua" w:cs="Book Antiqua"/>
          <w:i/>
          <w:iCs/>
        </w:rPr>
        <w:t>World J Gastrointest Oncol</w:t>
      </w:r>
      <w:r>
        <w:rPr>
          <w:rFonts w:ascii="Book Antiqua" w:hAnsi="Book Antiqua" w:eastAsia="Book Antiqua" w:cs="Book Antiqua"/>
        </w:rPr>
        <w:t xml:space="preserve"> 2021; </w:t>
      </w:r>
      <w:r>
        <w:rPr>
          <w:rFonts w:ascii="Book Antiqua" w:hAnsi="Book Antiqua" w:eastAsia="Book Antiqua" w:cs="Book Antiqua"/>
          <w:b/>
          <w:bCs/>
        </w:rPr>
        <w:t>13</w:t>
      </w:r>
      <w:r>
        <w:rPr>
          <w:rFonts w:ascii="Book Antiqua" w:hAnsi="Book Antiqua" w:eastAsia="Book Antiqua" w:cs="Book Antiqua"/>
        </w:rPr>
        <w:t>: 772-798 [PMID: 34457186 DOI: 10.4251/wjgo.v13.i8.772]</w:t>
      </w:r>
    </w:p>
    <w:p>
      <w:pPr>
        <w:spacing w:line="360" w:lineRule="auto"/>
        <w:jc w:val="both"/>
        <w:rPr>
          <w:rFonts w:ascii="Book Antiqua" w:hAnsi="Book Antiqua" w:eastAsia="Book Antiqua" w:cs="Book Antiqua"/>
        </w:rPr>
      </w:pPr>
      <w:r>
        <w:rPr>
          <w:rFonts w:ascii="Book Antiqua" w:hAnsi="Book Antiqua" w:eastAsia="Book Antiqua" w:cs="Book Antiqua"/>
        </w:rPr>
        <w:t xml:space="preserve">10 </w:t>
      </w:r>
      <w:r>
        <w:rPr>
          <w:rFonts w:ascii="Book Antiqua" w:hAnsi="Book Antiqua" w:eastAsia="Book Antiqua" w:cs="Book Antiqua"/>
          <w:b/>
          <w:bCs/>
        </w:rPr>
        <w:t>Tang L</w:t>
      </w:r>
      <w:r>
        <w:rPr>
          <w:rFonts w:ascii="Book Antiqua" w:hAnsi="Book Antiqua" w:eastAsia="Book Antiqua" w:cs="Book Antiqua"/>
        </w:rPr>
        <w:t xml:space="preserve">, Wang J, Lin N, Zhou Y, He W, Liu J, Ma X. Immune Checkpoint Inhibitor-Associated Colitis: From Mechanism to Management. </w:t>
      </w:r>
      <w:r>
        <w:rPr>
          <w:rFonts w:ascii="Book Antiqua" w:hAnsi="Book Antiqua" w:eastAsia="Book Antiqua" w:cs="Book Antiqua"/>
          <w:i/>
          <w:iCs/>
        </w:rPr>
        <w:t>Front Immunol</w:t>
      </w:r>
      <w:r>
        <w:rPr>
          <w:rFonts w:ascii="Book Antiqua" w:hAnsi="Book Antiqua" w:eastAsia="Book Antiqua" w:cs="Book Antiqua"/>
        </w:rPr>
        <w:t xml:space="preserve"> 2021; </w:t>
      </w:r>
      <w:r>
        <w:rPr>
          <w:rFonts w:ascii="Book Antiqua" w:hAnsi="Book Antiqua" w:eastAsia="Book Antiqua" w:cs="Book Antiqua"/>
          <w:b/>
          <w:bCs/>
        </w:rPr>
        <w:t>12</w:t>
      </w:r>
      <w:r>
        <w:rPr>
          <w:rFonts w:ascii="Book Antiqua" w:hAnsi="Book Antiqua" w:eastAsia="Book Antiqua" w:cs="Book Antiqua"/>
        </w:rPr>
        <w:t>: 800879 [PMID: 34992611 DOI: 10.3389/fimmu.2021.800879]</w:t>
      </w:r>
    </w:p>
    <w:p>
      <w:pPr>
        <w:spacing w:line="360" w:lineRule="auto"/>
        <w:jc w:val="both"/>
        <w:rPr>
          <w:rFonts w:ascii="Book Antiqua" w:hAnsi="Book Antiqua" w:eastAsia="Book Antiqua" w:cs="Book Antiqua"/>
        </w:rPr>
      </w:pPr>
      <w:r>
        <w:rPr>
          <w:rFonts w:ascii="Book Antiqua" w:hAnsi="Book Antiqua" w:eastAsia="Book Antiqua" w:cs="Book Antiqua"/>
        </w:rPr>
        <w:t xml:space="preserve">11 </w:t>
      </w:r>
      <w:r>
        <w:rPr>
          <w:rFonts w:ascii="Book Antiqua" w:hAnsi="Book Antiqua" w:eastAsia="Book Antiqua" w:cs="Book Antiqua"/>
          <w:b/>
          <w:bCs/>
        </w:rPr>
        <w:t>Alorfi NM</w:t>
      </w:r>
      <w:r>
        <w:rPr>
          <w:rFonts w:ascii="Book Antiqua" w:hAnsi="Book Antiqua" w:eastAsia="Book Antiqua" w:cs="Book Antiqua"/>
        </w:rPr>
        <w:t xml:space="preserve">, Alourfi MM. Biologic Therapy for Refractory Immune Checkpoint Inhibitor Colitis. </w:t>
      </w:r>
      <w:r>
        <w:rPr>
          <w:rFonts w:ascii="Book Antiqua" w:hAnsi="Book Antiqua" w:eastAsia="Book Antiqua" w:cs="Book Antiqua"/>
          <w:i/>
          <w:iCs/>
        </w:rPr>
        <w:t>Biologics</w:t>
      </w:r>
      <w:r>
        <w:rPr>
          <w:rFonts w:ascii="Book Antiqua" w:hAnsi="Book Antiqua" w:eastAsia="Book Antiqua" w:cs="Book Antiqua"/>
        </w:rPr>
        <w:t xml:space="preserve"> 2022; </w:t>
      </w:r>
      <w:r>
        <w:rPr>
          <w:rFonts w:ascii="Book Antiqua" w:hAnsi="Book Antiqua" w:eastAsia="Book Antiqua" w:cs="Book Antiqua"/>
          <w:b/>
          <w:bCs/>
        </w:rPr>
        <w:t>16</w:t>
      </w:r>
      <w:r>
        <w:rPr>
          <w:rFonts w:ascii="Book Antiqua" w:hAnsi="Book Antiqua" w:eastAsia="Book Antiqua" w:cs="Book Antiqua"/>
        </w:rPr>
        <w:t>: 119-127 [PMID: 35957978 DOI: 10.2147/BTT.S367675]</w:t>
      </w:r>
    </w:p>
    <w:p>
      <w:pPr>
        <w:spacing w:line="360" w:lineRule="auto"/>
        <w:jc w:val="both"/>
        <w:rPr>
          <w:rFonts w:ascii="Book Antiqua" w:hAnsi="Book Antiqua" w:eastAsia="Book Antiqua" w:cs="Book Antiqua"/>
        </w:rPr>
      </w:pPr>
      <w:r>
        <w:rPr>
          <w:rFonts w:ascii="Book Antiqua" w:hAnsi="Book Antiqua" w:eastAsia="Book Antiqua" w:cs="Book Antiqua"/>
        </w:rPr>
        <w:t xml:space="preserve">12 </w:t>
      </w:r>
      <w:r>
        <w:rPr>
          <w:rFonts w:ascii="Book Antiqua" w:hAnsi="Book Antiqua" w:eastAsia="Book Antiqua" w:cs="Book Antiqua"/>
          <w:b/>
          <w:bCs/>
        </w:rPr>
        <w:t>Gasparyan AY</w:t>
      </w:r>
      <w:r>
        <w:rPr>
          <w:rFonts w:ascii="Book Antiqua" w:hAnsi="Book Antiqua" w:eastAsia="Book Antiqua" w:cs="Book Antiqua"/>
        </w:rPr>
        <w:t xml:space="preserve">, Ayvazyan L, Blackmore H, Kitas GD. Writing a narrative biomedical review: considerations for authors, peer reviewers, and editors. </w:t>
      </w:r>
      <w:r>
        <w:rPr>
          <w:rFonts w:ascii="Book Antiqua" w:hAnsi="Book Antiqua" w:eastAsia="Book Antiqua" w:cs="Book Antiqua"/>
          <w:i/>
          <w:iCs/>
        </w:rPr>
        <w:t>Rheumatol Int</w:t>
      </w:r>
      <w:r>
        <w:rPr>
          <w:rFonts w:ascii="Book Antiqua" w:hAnsi="Book Antiqua" w:eastAsia="Book Antiqua" w:cs="Book Antiqua"/>
        </w:rPr>
        <w:t xml:space="preserve"> 2011; </w:t>
      </w:r>
      <w:r>
        <w:rPr>
          <w:rFonts w:ascii="Book Antiqua" w:hAnsi="Book Antiqua" w:eastAsia="Book Antiqua" w:cs="Book Antiqua"/>
          <w:b/>
          <w:bCs/>
        </w:rPr>
        <w:t>31</w:t>
      </w:r>
      <w:r>
        <w:rPr>
          <w:rFonts w:ascii="Book Antiqua" w:hAnsi="Book Antiqua" w:eastAsia="Book Antiqua" w:cs="Book Antiqua"/>
        </w:rPr>
        <w:t>: 1409-1417 [PMID: 21800117 DOI: 10.1007/s00296-011-1999-3]</w:t>
      </w:r>
    </w:p>
    <w:p>
      <w:pPr>
        <w:spacing w:line="360" w:lineRule="auto"/>
        <w:jc w:val="both"/>
        <w:rPr>
          <w:rFonts w:ascii="Book Antiqua" w:hAnsi="Book Antiqua" w:eastAsia="Book Antiqua" w:cs="Book Antiqua"/>
        </w:rPr>
      </w:pPr>
      <w:r>
        <w:rPr>
          <w:rFonts w:ascii="Book Antiqua" w:hAnsi="Book Antiqua" w:eastAsia="Book Antiqua" w:cs="Book Antiqua"/>
        </w:rPr>
        <w:t xml:space="preserve">13 </w:t>
      </w:r>
      <w:r>
        <w:rPr>
          <w:rFonts w:ascii="Book Antiqua" w:hAnsi="Book Antiqua" w:eastAsia="Book Antiqua" w:cs="Book Antiqua"/>
          <w:b/>
          <w:bCs/>
        </w:rPr>
        <w:t>Soularue E</w:t>
      </w:r>
      <w:r>
        <w:rPr>
          <w:rFonts w:ascii="Book Antiqua" w:hAnsi="Book Antiqua" w:eastAsia="Book Antiqua" w:cs="Book Antiqua"/>
        </w:rPr>
        <w:t xml:space="preserve">, Lepage P, Colombel JF, Coutzac C, Faleck D, Marthey L, Collins M, Chaput N, Robert C, Carbonnel F. Enterocolitis due to immune checkpoint inhibitors: a systematic review. </w:t>
      </w:r>
      <w:r>
        <w:rPr>
          <w:rFonts w:ascii="Book Antiqua" w:hAnsi="Book Antiqua" w:eastAsia="Book Antiqua" w:cs="Book Antiqua"/>
          <w:i/>
          <w:iCs/>
        </w:rPr>
        <w:t>Gut</w:t>
      </w:r>
      <w:r>
        <w:rPr>
          <w:rFonts w:ascii="Book Antiqua" w:hAnsi="Book Antiqua" w:eastAsia="Book Antiqua" w:cs="Book Antiqua"/>
        </w:rPr>
        <w:t xml:space="preserve"> 2018; </w:t>
      </w:r>
      <w:r>
        <w:rPr>
          <w:rFonts w:ascii="Book Antiqua" w:hAnsi="Book Antiqua" w:eastAsia="Book Antiqua" w:cs="Book Antiqua"/>
          <w:b/>
          <w:bCs/>
        </w:rPr>
        <w:t>67</w:t>
      </w:r>
      <w:r>
        <w:rPr>
          <w:rFonts w:ascii="Book Antiqua" w:hAnsi="Book Antiqua" w:eastAsia="Book Antiqua" w:cs="Book Antiqua"/>
        </w:rPr>
        <w:t>: 2056-2067 [PMID: 30131322 DOI: 10.1136/gutjnl-2018-316948]</w:t>
      </w:r>
    </w:p>
    <w:p>
      <w:pPr>
        <w:spacing w:line="360" w:lineRule="auto"/>
        <w:jc w:val="both"/>
        <w:rPr>
          <w:rFonts w:ascii="Book Antiqua" w:hAnsi="Book Antiqua" w:eastAsia="Book Antiqua" w:cs="Book Antiqua"/>
        </w:rPr>
      </w:pPr>
      <w:r>
        <w:rPr>
          <w:rFonts w:ascii="Book Antiqua" w:hAnsi="Book Antiqua" w:eastAsia="Book Antiqua" w:cs="Book Antiqua"/>
        </w:rPr>
        <w:t xml:space="preserve">14 </w:t>
      </w:r>
      <w:r>
        <w:rPr>
          <w:rFonts w:ascii="Book Antiqua" w:hAnsi="Book Antiqua" w:eastAsia="Book Antiqua" w:cs="Book Antiqua"/>
          <w:b/>
          <w:bCs/>
        </w:rPr>
        <w:t>Tandon P</w:t>
      </w:r>
      <w:r>
        <w:rPr>
          <w:rFonts w:ascii="Book Antiqua" w:hAnsi="Book Antiqua" w:eastAsia="Book Antiqua" w:cs="Book Antiqua"/>
        </w:rPr>
        <w:t xml:space="preserve">, Bourassa-Blanchette S, Bishay K, Parlow S, Laurie SA, McCurdy JD. The Risk of Diarrhea and Colitis in Patients With Advanced Melanoma Undergoing Immune Checkpoint Inhibitor Therapy: A Systematic Review and Meta-Analysis. </w:t>
      </w:r>
      <w:r>
        <w:rPr>
          <w:rFonts w:ascii="Book Antiqua" w:hAnsi="Book Antiqua" w:eastAsia="Book Antiqua" w:cs="Book Antiqua"/>
          <w:i/>
          <w:iCs/>
        </w:rPr>
        <w:t>J Immunother</w:t>
      </w:r>
      <w:r>
        <w:rPr>
          <w:rFonts w:ascii="Book Antiqua" w:hAnsi="Book Antiqua" w:eastAsia="Book Antiqua" w:cs="Book Antiqua"/>
        </w:rPr>
        <w:t xml:space="preserve"> 2018; </w:t>
      </w:r>
      <w:r>
        <w:rPr>
          <w:rFonts w:ascii="Book Antiqua" w:hAnsi="Book Antiqua" w:eastAsia="Book Antiqua" w:cs="Book Antiqua"/>
          <w:b/>
          <w:bCs/>
        </w:rPr>
        <w:t>41</w:t>
      </w:r>
      <w:r>
        <w:rPr>
          <w:rFonts w:ascii="Book Antiqua" w:hAnsi="Book Antiqua" w:eastAsia="Book Antiqua" w:cs="Book Antiqua"/>
        </w:rPr>
        <w:t>: 101-108 [PMID: 29401166 DOI: 10.1097/CJI.0000000000000213]</w:t>
      </w:r>
    </w:p>
    <w:p>
      <w:pPr>
        <w:spacing w:line="360" w:lineRule="auto"/>
        <w:jc w:val="both"/>
        <w:rPr>
          <w:rFonts w:ascii="Book Antiqua" w:hAnsi="Book Antiqua" w:eastAsia="Book Antiqua" w:cs="Book Antiqua"/>
        </w:rPr>
      </w:pPr>
      <w:r>
        <w:rPr>
          <w:rFonts w:ascii="Book Antiqua" w:hAnsi="Book Antiqua" w:eastAsia="Book Antiqua" w:cs="Book Antiqua"/>
        </w:rPr>
        <w:t xml:space="preserve">15 </w:t>
      </w:r>
      <w:r>
        <w:rPr>
          <w:rFonts w:ascii="Book Antiqua" w:hAnsi="Book Antiqua" w:eastAsia="Book Antiqua" w:cs="Book Antiqua"/>
          <w:b/>
          <w:bCs/>
        </w:rPr>
        <w:t>Bishay K</w:t>
      </w:r>
      <w:r>
        <w:rPr>
          <w:rFonts w:ascii="Book Antiqua" w:hAnsi="Book Antiqua" w:eastAsia="Book Antiqua" w:cs="Book Antiqua"/>
        </w:rPr>
        <w:t xml:space="preserve">, Tandon P, Bourassa-Blanchette S, Laurie SA, McCurdy JD. The risk of diarrhea and colitis in patients with lung cancer treated with immune checkpoint inhibitors: a systematic review and meta-analysis. </w:t>
      </w:r>
      <w:r>
        <w:rPr>
          <w:rFonts w:ascii="Book Antiqua" w:hAnsi="Book Antiqua" w:eastAsia="Book Antiqua" w:cs="Book Antiqua"/>
          <w:i/>
          <w:iCs/>
        </w:rPr>
        <w:t>Curr Oncol</w:t>
      </w:r>
      <w:r>
        <w:rPr>
          <w:rFonts w:ascii="Book Antiqua" w:hAnsi="Book Antiqua" w:eastAsia="Book Antiqua" w:cs="Book Antiqua"/>
        </w:rPr>
        <w:t xml:space="preserve"> 2020; </w:t>
      </w:r>
      <w:r>
        <w:rPr>
          <w:rFonts w:ascii="Book Antiqua" w:hAnsi="Book Antiqua" w:eastAsia="Book Antiqua" w:cs="Book Antiqua"/>
          <w:b/>
          <w:bCs/>
        </w:rPr>
        <w:t>27</w:t>
      </w:r>
      <w:r>
        <w:rPr>
          <w:rFonts w:ascii="Book Antiqua" w:hAnsi="Book Antiqua" w:eastAsia="Book Antiqua" w:cs="Book Antiqua"/>
        </w:rPr>
        <w:t>: e486-e494 [PMID: 33173388 DOI: 10.3747/co.27.6251]</w:t>
      </w:r>
    </w:p>
    <w:p>
      <w:pPr>
        <w:spacing w:line="360" w:lineRule="auto"/>
        <w:jc w:val="both"/>
        <w:rPr>
          <w:rFonts w:ascii="Book Antiqua" w:hAnsi="Book Antiqua" w:eastAsia="Book Antiqua" w:cs="Book Antiqua"/>
        </w:rPr>
      </w:pPr>
      <w:r>
        <w:rPr>
          <w:rFonts w:ascii="Book Antiqua" w:hAnsi="Book Antiqua" w:eastAsia="Book Antiqua" w:cs="Book Antiqua"/>
        </w:rPr>
        <w:t xml:space="preserve">16 </w:t>
      </w:r>
      <w:r>
        <w:rPr>
          <w:rFonts w:ascii="Book Antiqua" w:hAnsi="Book Antiqua" w:eastAsia="Book Antiqua" w:cs="Book Antiqua"/>
          <w:b/>
          <w:bCs/>
        </w:rPr>
        <w:t>Gong Z</w:t>
      </w:r>
      <w:r>
        <w:rPr>
          <w:rFonts w:ascii="Book Antiqua" w:hAnsi="Book Antiqua" w:eastAsia="Book Antiqua" w:cs="Book Antiqua"/>
        </w:rPr>
        <w:t xml:space="preserve">, Wang Y. Immune Checkpoint Inhibitor-Mediated Diarrhea and Colitis: A Clinical Review. </w:t>
      </w:r>
      <w:r>
        <w:rPr>
          <w:rFonts w:ascii="Book Antiqua" w:hAnsi="Book Antiqua" w:eastAsia="Book Antiqua" w:cs="Book Antiqua"/>
          <w:i/>
          <w:iCs/>
        </w:rPr>
        <w:t>JCO Oncol Pract</w:t>
      </w:r>
      <w:r>
        <w:rPr>
          <w:rFonts w:ascii="Book Antiqua" w:hAnsi="Book Antiqua" w:eastAsia="Book Antiqua" w:cs="Book Antiqua"/>
        </w:rPr>
        <w:t xml:space="preserve"> 2020; </w:t>
      </w:r>
      <w:r>
        <w:rPr>
          <w:rFonts w:ascii="Book Antiqua" w:hAnsi="Book Antiqua" w:eastAsia="Book Antiqua" w:cs="Book Antiqua"/>
          <w:b/>
          <w:bCs/>
        </w:rPr>
        <w:t>16</w:t>
      </w:r>
      <w:r>
        <w:rPr>
          <w:rFonts w:ascii="Book Antiqua" w:hAnsi="Book Antiqua" w:eastAsia="Book Antiqua" w:cs="Book Antiqua"/>
        </w:rPr>
        <w:t>: 453-461 [PMID: 32584703 DOI: 10.1200/OP.20.00002]</w:t>
      </w:r>
    </w:p>
    <w:p>
      <w:pPr>
        <w:spacing w:line="360" w:lineRule="auto"/>
        <w:jc w:val="both"/>
        <w:rPr>
          <w:rFonts w:ascii="Book Antiqua" w:hAnsi="Book Antiqua" w:eastAsia="Book Antiqua" w:cs="Book Antiqua"/>
        </w:rPr>
      </w:pPr>
      <w:r>
        <w:rPr>
          <w:rFonts w:ascii="Book Antiqua" w:hAnsi="Book Antiqua" w:eastAsia="Book Antiqua" w:cs="Book Antiqua"/>
        </w:rPr>
        <w:t xml:space="preserve">17 </w:t>
      </w:r>
      <w:r>
        <w:rPr>
          <w:rFonts w:ascii="Book Antiqua" w:hAnsi="Book Antiqua" w:eastAsia="Book Antiqua" w:cs="Book Antiqua"/>
          <w:b/>
          <w:bCs/>
        </w:rPr>
        <w:t>Hasan Ali O</w:t>
      </w:r>
      <w:r>
        <w:rPr>
          <w:rFonts w:ascii="Book Antiqua" w:hAnsi="Book Antiqua" w:eastAsia="Book Antiqua" w:cs="Book Antiqua"/>
        </w:rPr>
        <w:t xml:space="preserve">, Berner F, Bomze D, Fässler M, Diem S, Cozzio A, Jörger M, Früh M, Driessen C, Lenz TL, Flatz L. Human leukocyte antigen variation is associated with adverse events of checkpoint inhibitors. </w:t>
      </w:r>
      <w:r>
        <w:rPr>
          <w:rFonts w:ascii="Book Antiqua" w:hAnsi="Book Antiqua" w:eastAsia="Book Antiqua" w:cs="Book Antiqua"/>
          <w:i/>
          <w:iCs/>
        </w:rPr>
        <w:t>Eur J Cancer</w:t>
      </w:r>
      <w:r>
        <w:rPr>
          <w:rFonts w:ascii="Book Antiqua" w:hAnsi="Book Antiqua" w:eastAsia="Book Antiqua" w:cs="Book Antiqua"/>
        </w:rPr>
        <w:t xml:space="preserve"> 2019; </w:t>
      </w:r>
      <w:r>
        <w:rPr>
          <w:rFonts w:ascii="Book Antiqua" w:hAnsi="Book Antiqua" w:eastAsia="Book Antiqua" w:cs="Book Antiqua"/>
          <w:b/>
          <w:bCs/>
        </w:rPr>
        <w:t>107</w:t>
      </w:r>
      <w:r>
        <w:rPr>
          <w:rFonts w:ascii="Book Antiqua" w:hAnsi="Book Antiqua" w:eastAsia="Book Antiqua" w:cs="Book Antiqua"/>
        </w:rPr>
        <w:t>: 8-14 [PMID: 30529903 DOI: 10.1016/j.ejca.2018.11.009]</w:t>
      </w:r>
    </w:p>
    <w:p>
      <w:pPr>
        <w:spacing w:line="360" w:lineRule="auto"/>
        <w:jc w:val="both"/>
        <w:rPr>
          <w:rFonts w:ascii="Book Antiqua" w:hAnsi="Book Antiqua" w:eastAsia="Book Antiqua" w:cs="Book Antiqua"/>
        </w:rPr>
      </w:pPr>
      <w:r>
        <w:rPr>
          <w:rFonts w:ascii="Book Antiqua" w:hAnsi="Book Antiqua" w:eastAsia="Book Antiqua" w:cs="Book Antiqua"/>
        </w:rPr>
        <w:t xml:space="preserve">18 </w:t>
      </w:r>
      <w:r>
        <w:rPr>
          <w:rFonts w:ascii="Book Antiqua" w:hAnsi="Book Antiqua" w:eastAsia="Book Antiqua" w:cs="Book Antiqua"/>
          <w:b/>
          <w:bCs/>
        </w:rPr>
        <w:t>Middha P</w:t>
      </w:r>
      <w:r>
        <w:rPr>
          <w:rFonts w:ascii="Book Antiqua" w:hAnsi="Book Antiqua" w:eastAsia="Book Antiqua" w:cs="Book Antiqua"/>
        </w:rPr>
        <w:t xml:space="preserve">, Thummalapalli R, Betti MJ, Yao L, Quandt Z, Balaratnam K, Bejan CA, Cardenas E, Falcon CJ, Faleck DM; Princess Margaret Lung Group, Gubens MA, Huntsman S, Johnson DB, Kachuri L, Khan K, Li M, Lovly CM, Murray MH, Patel D, Werking K, Xu Y, Zhan LJ, Balko JM, Liu G, Aldrich MC, Schoenfeld AJ, Ziv E. Polygenic risk score for ulcerative colitis predicts immune checkpoint inhibitor-mediated colitis. </w:t>
      </w:r>
      <w:r>
        <w:rPr>
          <w:rFonts w:ascii="Book Antiqua" w:hAnsi="Book Antiqua" w:eastAsia="Book Antiqua" w:cs="Book Antiqua"/>
          <w:i/>
          <w:iCs/>
        </w:rPr>
        <w:t>medRxiv</w:t>
      </w:r>
      <w:r>
        <w:rPr>
          <w:rFonts w:ascii="Book Antiqua" w:hAnsi="Book Antiqua" w:eastAsia="Book Antiqua" w:cs="Book Antiqua"/>
        </w:rPr>
        <w:t xml:space="preserve"> 2023 [PMID: 37292751 DOI: 10.1101/2023.05.15.23289680]</w:t>
      </w:r>
    </w:p>
    <w:p>
      <w:pPr>
        <w:spacing w:line="360" w:lineRule="auto"/>
        <w:jc w:val="both"/>
        <w:rPr>
          <w:rFonts w:ascii="Book Antiqua" w:hAnsi="Book Antiqua" w:eastAsia="Book Antiqua" w:cs="Book Antiqua"/>
        </w:rPr>
      </w:pPr>
      <w:r>
        <w:rPr>
          <w:rFonts w:ascii="Book Antiqua" w:hAnsi="Book Antiqua" w:eastAsia="Book Antiqua" w:cs="Book Antiqua"/>
        </w:rPr>
        <w:t xml:space="preserve">19 </w:t>
      </w:r>
      <w:r>
        <w:rPr>
          <w:rFonts w:ascii="Book Antiqua" w:hAnsi="Book Antiqua" w:eastAsia="Book Antiqua" w:cs="Book Antiqua"/>
          <w:b/>
          <w:bCs/>
        </w:rPr>
        <w:t>Weber JS</w:t>
      </w:r>
      <w:r>
        <w:rPr>
          <w:rFonts w:ascii="Book Antiqua" w:hAnsi="Book Antiqua" w:eastAsia="Book Antiqua" w:cs="Book Antiqua"/>
        </w:rPr>
        <w:t xml:space="preserve">, Dummer R, de Pril V, Lebbé C, Hodi FS; MDX010-20 Investigators. Patterns of onset and resolution of immune-related adverse events of special interest with ipilimumab: detailed safety analysis from a phase 3 trial in patients with advanced melanoma. </w:t>
      </w:r>
      <w:r>
        <w:rPr>
          <w:rFonts w:ascii="Book Antiqua" w:hAnsi="Book Antiqua" w:eastAsia="Book Antiqua" w:cs="Book Antiqua"/>
          <w:i/>
          <w:iCs/>
        </w:rPr>
        <w:t>Cancer</w:t>
      </w:r>
      <w:r>
        <w:rPr>
          <w:rFonts w:ascii="Book Antiqua" w:hAnsi="Book Antiqua" w:eastAsia="Book Antiqua" w:cs="Book Antiqua"/>
        </w:rPr>
        <w:t xml:space="preserve"> 2013; </w:t>
      </w:r>
      <w:r>
        <w:rPr>
          <w:rFonts w:ascii="Book Antiqua" w:hAnsi="Book Antiqua" w:eastAsia="Book Antiqua" w:cs="Book Antiqua"/>
          <w:b/>
          <w:bCs/>
        </w:rPr>
        <w:t>119</w:t>
      </w:r>
      <w:r>
        <w:rPr>
          <w:rFonts w:ascii="Book Antiqua" w:hAnsi="Book Antiqua" w:eastAsia="Book Antiqua" w:cs="Book Antiqua"/>
        </w:rPr>
        <w:t>: 1675-1682 [PMID: 23400564 DOI: 10.1002/cncr.27969]</w:t>
      </w:r>
    </w:p>
    <w:p>
      <w:pPr>
        <w:spacing w:line="360" w:lineRule="auto"/>
        <w:jc w:val="both"/>
        <w:rPr>
          <w:rFonts w:ascii="Book Antiqua" w:hAnsi="Book Antiqua" w:eastAsia="Book Antiqua" w:cs="Book Antiqua"/>
        </w:rPr>
      </w:pPr>
      <w:r>
        <w:rPr>
          <w:rFonts w:ascii="Book Antiqua" w:hAnsi="Book Antiqua" w:eastAsia="Book Antiqua" w:cs="Book Antiqua"/>
        </w:rPr>
        <w:t xml:space="preserve">20 </w:t>
      </w:r>
      <w:r>
        <w:rPr>
          <w:rFonts w:ascii="Book Antiqua" w:hAnsi="Book Antiqua" w:eastAsia="Book Antiqua" w:cs="Book Antiqua"/>
          <w:b/>
          <w:bCs/>
        </w:rPr>
        <w:t>Wang Y</w:t>
      </w:r>
      <w:r>
        <w:rPr>
          <w:rFonts w:ascii="Book Antiqua" w:hAnsi="Book Antiqua" w:eastAsia="Book Antiqua" w:cs="Book Antiqua"/>
        </w:rPr>
        <w:t xml:space="preserve">, Abu-Sbeih H, Mao E, Ali N, Qiao W, Trinh VA, Zobniw C, Johnson DH, Samdani R, Lum P, Shuttlesworth G, Blechacz B, Bresalier R, Miller E, Thirumurthi S, Richards D, Raju G, Stroehlein J, Diab A. Endoscopic and Histologic Features of Immune Checkpoint Inhibitor-Related Colitis. </w:t>
      </w:r>
      <w:r>
        <w:rPr>
          <w:rFonts w:ascii="Book Antiqua" w:hAnsi="Book Antiqua" w:eastAsia="Book Antiqua" w:cs="Book Antiqua"/>
          <w:i/>
          <w:iCs/>
        </w:rPr>
        <w:t>Inflamm Bowel Dis</w:t>
      </w:r>
      <w:r>
        <w:rPr>
          <w:rFonts w:ascii="Book Antiqua" w:hAnsi="Book Antiqua" w:eastAsia="Book Antiqua" w:cs="Book Antiqua"/>
        </w:rPr>
        <w:t xml:space="preserve"> 2018; </w:t>
      </w:r>
      <w:r>
        <w:rPr>
          <w:rFonts w:ascii="Book Antiqua" w:hAnsi="Book Antiqua" w:eastAsia="Book Antiqua" w:cs="Book Antiqua"/>
          <w:b/>
          <w:bCs/>
        </w:rPr>
        <w:t>24</w:t>
      </w:r>
      <w:r>
        <w:rPr>
          <w:rFonts w:ascii="Book Antiqua" w:hAnsi="Book Antiqua" w:eastAsia="Book Antiqua" w:cs="Book Antiqua"/>
        </w:rPr>
        <w:t>: 1695-1705 [PMID: 29718308 DOI: 10.1093/ibd/izy104]</w:t>
      </w:r>
    </w:p>
    <w:p>
      <w:pPr>
        <w:spacing w:line="360" w:lineRule="auto"/>
        <w:jc w:val="both"/>
        <w:rPr>
          <w:rFonts w:ascii="Book Antiqua" w:hAnsi="Book Antiqua" w:eastAsia="Book Antiqua" w:cs="Book Antiqua"/>
        </w:rPr>
      </w:pPr>
      <w:r>
        <w:rPr>
          <w:rFonts w:ascii="Book Antiqua" w:hAnsi="Book Antiqua" w:eastAsia="Book Antiqua" w:cs="Book Antiqua"/>
        </w:rPr>
        <w:t xml:space="preserve">21 </w:t>
      </w:r>
      <w:r>
        <w:rPr>
          <w:rFonts w:ascii="Book Antiqua" w:hAnsi="Book Antiqua" w:eastAsia="Book Antiqua" w:cs="Book Antiqua"/>
          <w:b/>
          <w:bCs/>
        </w:rPr>
        <w:t>Pernot S</w:t>
      </w:r>
      <w:r>
        <w:rPr>
          <w:rFonts w:ascii="Book Antiqua" w:hAnsi="Book Antiqua" w:eastAsia="Book Antiqua" w:cs="Book Antiqua"/>
        </w:rPr>
        <w:t xml:space="preserve">, Ramtohul T, Taieb J. Checkpoint inhibitors and gastrointestinal immune-related adverse events. </w:t>
      </w:r>
      <w:r>
        <w:rPr>
          <w:rFonts w:ascii="Book Antiqua" w:hAnsi="Book Antiqua" w:eastAsia="Book Antiqua" w:cs="Book Antiqua"/>
          <w:i/>
          <w:iCs/>
        </w:rPr>
        <w:t>Curr Opin Oncol</w:t>
      </w:r>
      <w:r>
        <w:rPr>
          <w:rFonts w:ascii="Book Antiqua" w:hAnsi="Book Antiqua" w:eastAsia="Book Antiqua" w:cs="Book Antiqua"/>
        </w:rPr>
        <w:t xml:space="preserve"> 2016; </w:t>
      </w:r>
      <w:r>
        <w:rPr>
          <w:rFonts w:ascii="Book Antiqua" w:hAnsi="Book Antiqua" w:eastAsia="Book Antiqua" w:cs="Book Antiqua"/>
          <w:b/>
          <w:bCs/>
        </w:rPr>
        <w:t>28</w:t>
      </w:r>
      <w:r>
        <w:rPr>
          <w:rFonts w:ascii="Book Antiqua" w:hAnsi="Book Antiqua" w:eastAsia="Book Antiqua" w:cs="Book Antiqua"/>
        </w:rPr>
        <w:t>: 264-268 [PMID: 27138569 DOI: 10.1097/CCO.0000000000000292]</w:t>
      </w:r>
    </w:p>
    <w:p>
      <w:pPr>
        <w:spacing w:line="360" w:lineRule="auto"/>
        <w:jc w:val="both"/>
        <w:rPr>
          <w:rFonts w:ascii="Book Antiqua" w:hAnsi="Book Antiqua" w:eastAsia="Book Antiqua" w:cs="Book Antiqua"/>
        </w:rPr>
      </w:pPr>
      <w:r>
        <w:rPr>
          <w:rFonts w:ascii="Book Antiqua" w:hAnsi="Book Antiqua" w:eastAsia="Book Antiqua" w:cs="Book Antiqua"/>
        </w:rPr>
        <w:t xml:space="preserve">22 </w:t>
      </w:r>
      <w:r>
        <w:rPr>
          <w:rFonts w:ascii="Book Antiqua" w:hAnsi="Book Antiqua" w:eastAsia="Book Antiqua" w:cs="Book Antiqua"/>
          <w:b/>
          <w:bCs/>
        </w:rPr>
        <w:t>McCutcheon JL</w:t>
      </w:r>
      <w:r>
        <w:rPr>
          <w:rFonts w:ascii="Book Antiqua" w:hAnsi="Book Antiqua" w:eastAsia="Book Antiqua" w:cs="Book Antiqua"/>
        </w:rPr>
        <w:t xml:space="preserve">, McClain CM, Puzanov I, Smith TA. Infectious Colitis Associated With Ipilimumab Therapy. </w:t>
      </w:r>
      <w:r>
        <w:rPr>
          <w:rFonts w:ascii="Book Antiqua" w:hAnsi="Book Antiqua" w:eastAsia="Book Antiqua" w:cs="Book Antiqua"/>
          <w:i/>
          <w:iCs/>
        </w:rPr>
        <w:t>Gastroenterology Res</w:t>
      </w:r>
      <w:r>
        <w:rPr>
          <w:rFonts w:ascii="Book Antiqua" w:hAnsi="Book Antiqua" w:eastAsia="Book Antiqua" w:cs="Book Antiqua"/>
        </w:rPr>
        <w:t xml:space="preserve"> 2014; </w:t>
      </w:r>
      <w:r>
        <w:rPr>
          <w:rFonts w:ascii="Book Antiqua" w:hAnsi="Book Antiqua" w:eastAsia="Book Antiqua" w:cs="Book Antiqua"/>
          <w:b/>
          <w:bCs/>
        </w:rPr>
        <w:t>7</w:t>
      </w:r>
      <w:r>
        <w:rPr>
          <w:rFonts w:ascii="Book Antiqua" w:hAnsi="Book Antiqua" w:eastAsia="Book Antiqua" w:cs="Book Antiqua"/>
        </w:rPr>
        <w:t>: 28-31 [PMID: 27785266 DOI: 10.14740/gr594e]</w:t>
      </w:r>
    </w:p>
    <w:p>
      <w:pPr>
        <w:spacing w:line="360" w:lineRule="auto"/>
        <w:jc w:val="both"/>
        <w:rPr>
          <w:rFonts w:ascii="Book Antiqua" w:hAnsi="Book Antiqua" w:eastAsia="Book Antiqua" w:cs="Book Antiqua"/>
        </w:rPr>
      </w:pPr>
      <w:r>
        <w:rPr>
          <w:rFonts w:ascii="Book Antiqua" w:hAnsi="Book Antiqua" w:eastAsia="Book Antiqua" w:cs="Book Antiqua"/>
        </w:rPr>
        <w:t xml:space="preserve">23 </w:t>
      </w:r>
      <w:r>
        <w:rPr>
          <w:rFonts w:ascii="Book Antiqua" w:hAnsi="Book Antiqua" w:eastAsia="Book Antiqua" w:cs="Book Antiqua"/>
          <w:b/>
          <w:bCs/>
        </w:rPr>
        <w:t>Shah R</w:t>
      </w:r>
      <w:r>
        <w:rPr>
          <w:rFonts w:ascii="Book Antiqua" w:hAnsi="Book Antiqua" w:eastAsia="Book Antiqua" w:cs="Book Antiqua"/>
        </w:rPr>
        <w:t xml:space="preserve">, Witt D, Asif T, Mir FF. Ipilimumab as a Cause of Severe Pan-Colitis and Colonic Perforation. </w:t>
      </w:r>
      <w:r>
        <w:rPr>
          <w:rFonts w:ascii="Book Antiqua" w:hAnsi="Book Antiqua" w:eastAsia="Book Antiqua" w:cs="Book Antiqua"/>
          <w:i/>
          <w:iCs/>
        </w:rPr>
        <w:t>Cureus</w:t>
      </w:r>
      <w:r>
        <w:rPr>
          <w:rFonts w:ascii="Book Antiqua" w:hAnsi="Book Antiqua" w:eastAsia="Book Antiqua" w:cs="Book Antiqua"/>
        </w:rPr>
        <w:t xml:space="preserve"> 2017; </w:t>
      </w:r>
      <w:r>
        <w:rPr>
          <w:rFonts w:ascii="Book Antiqua" w:hAnsi="Book Antiqua" w:eastAsia="Book Antiqua" w:cs="Book Antiqua"/>
          <w:b/>
          <w:bCs/>
        </w:rPr>
        <w:t>9</w:t>
      </w:r>
      <w:r>
        <w:rPr>
          <w:rFonts w:ascii="Book Antiqua" w:hAnsi="Book Antiqua" w:eastAsia="Book Antiqua" w:cs="Book Antiqua"/>
        </w:rPr>
        <w:t>: e1182 [PMID: 28533998 DOI: 10.7759/cureus.1182]</w:t>
      </w:r>
    </w:p>
    <w:p>
      <w:pPr>
        <w:spacing w:line="360" w:lineRule="auto"/>
        <w:jc w:val="both"/>
        <w:rPr>
          <w:rFonts w:ascii="Book Antiqua" w:hAnsi="Book Antiqua" w:eastAsia="Book Antiqua" w:cs="Book Antiqua"/>
        </w:rPr>
      </w:pPr>
      <w:r>
        <w:rPr>
          <w:rFonts w:ascii="Book Antiqua" w:hAnsi="Book Antiqua" w:eastAsia="Book Antiqua" w:cs="Book Antiqua"/>
        </w:rPr>
        <w:t xml:space="preserve">24 </w:t>
      </w:r>
      <w:r>
        <w:rPr>
          <w:rFonts w:ascii="Book Antiqua" w:hAnsi="Book Antiqua" w:eastAsia="Book Antiqua" w:cs="Book Antiqua"/>
          <w:b/>
          <w:bCs/>
        </w:rPr>
        <w:t>Geukes Foppen MH</w:t>
      </w:r>
      <w:r>
        <w:rPr>
          <w:rFonts w:ascii="Book Antiqua" w:hAnsi="Book Antiqua" w:eastAsia="Book Antiqua" w:cs="Book Antiqua"/>
        </w:rPr>
        <w:t xml:space="preserve">, Rozeman EA, van Wilpe S, Postma C, Snaebjornsson P, van Thienen JV, van Leerdam ME, van den Heuvel M, Blank CU, van Dieren J, Haanen JBAG. Immune checkpoint inhibition-related colitis: symptoms, endoscopic features, histology and response to management. </w:t>
      </w:r>
      <w:r>
        <w:rPr>
          <w:rFonts w:ascii="Book Antiqua" w:hAnsi="Book Antiqua" w:eastAsia="Book Antiqua" w:cs="Book Antiqua"/>
          <w:i/>
          <w:iCs/>
        </w:rPr>
        <w:t>ESMO Open</w:t>
      </w:r>
      <w:r>
        <w:rPr>
          <w:rFonts w:ascii="Book Antiqua" w:hAnsi="Book Antiqua" w:eastAsia="Book Antiqua" w:cs="Book Antiqua"/>
        </w:rPr>
        <w:t xml:space="preserve"> 2018; </w:t>
      </w:r>
      <w:r>
        <w:rPr>
          <w:rFonts w:ascii="Book Antiqua" w:hAnsi="Book Antiqua" w:eastAsia="Book Antiqua" w:cs="Book Antiqua"/>
          <w:b/>
          <w:bCs/>
        </w:rPr>
        <w:t>3</w:t>
      </w:r>
      <w:r>
        <w:rPr>
          <w:rFonts w:ascii="Book Antiqua" w:hAnsi="Book Antiqua" w:eastAsia="Book Antiqua" w:cs="Book Antiqua"/>
        </w:rPr>
        <w:t>: e000278 [PMID: 29387476 DOI: 10.1136/esmoopen-2017-000278]</w:t>
      </w:r>
    </w:p>
    <w:p>
      <w:pPr>
        <w:spacing w:line="360" w:lineRule="auto"/>
        <w:jc w:val="both"/>
        <w:rPr>
          <w:rFonts w:ascii="Book Antiqua" w:hAnsi="Book Antiqua" w:eastAsia="Book Antiqua" w:cs="Book Antiqua"/>
        </w:rPr>
      </w:pPr>
      <w:r>
        <w:rPr>
          <w:rFonts w:ascii="Book Antiqua" w:hAnsi="Book Antiqua" w:eastAsia="Book Antiqua" w:cs="Book Antiqua"/>
        </w:rPr>
        <w:t xml:space="preserve">25 </w:t>
      </w:r>
      <w:r>
        <w:rPr>
          <w:rFonts w:ascii="Book Antiqua" w:hAnsi="Book Antiqua" w:eastAsia="Book Antiqua" w:cs="Book Antiqua"/>
          <w:b/>
          <w:bCs/>
        </w:rPr>
        <w:t>Menon T</w:t>
      </w:r>
      <w:r>
        <w:rPr>
          <w:rFonts w:ascii="Book Antiqua" w:hAnsi="Book Antiqua" w:eastAsia="Book Antiqua" w:cs="Book Antiqua"/>
        </w:rPr>
        <w:t xml:space="preserve">, Afzali A. Immune-Mediated Colitis. </w:t>
      </w:r>
      <w:r>
        <w:rPr>
          <w:rFonts w:ascii="Book Antiqua" w:hAnsi="Book Antiqua" w:eastAsia="Book Antiqua" w:cs="Book Antiqua"/>
          <w:i/>
          <w:iCs/>
        </w:rPr>
        <w:t>Curr Treat Options Gastroenterol</w:t>
      </w:r>
      <w:r>
        <w:rPr>
          <w:rFonts w:ascii="Book Antiqua" w:hAnsi="Book Antiqua" w:eastAsia="Book Antiqua" w:cs="Book Antiqua"/>
        </w:rPr>
        <w:t xml:space="preserve"> 2019; </w:t>
      </w:r>
      <w:r>
        <w:rPr>
          <w:rFonts w:ascii="Book Antiqua" w:hAnsi="Book Antiqua" w:eastAsia="Book Antiqua" w:cs="Book Antiqua"/>
          <w:b/>
          <w:bCs/>
        </w:rPr>
        <w:t>17</w:t>
      </w:r>
      <w:r>
        <w:rPr>
          <w:rFonts w:ascii="Book Antiqua" w:hAnsi="Book Antiqua" w:eastAsia="Book Antiqua" w:cs="Book Antiqua"/>
        </w:rPr>
        <w:t>: 506-523 [PMID: 31741212 DOI: 10.1007/s11938-019-00263-0]</w:t>
      </w:r>
    </w:p>
    <w:p>
      <w:pPr>
        <w:spacing w:line="360" w:lineRule="auto"/>
        <w:jc w:val="both"/>
        <w:rPr>
          <w:rFonts w:ascii="Book Antiqua" w:hAnsi="Book Antiqua" w:eastAsia="Book Antiqua" w:cs="Book Antiqua"/>
        </w:rPr>
      </w:pPr>
      <w:r>
        <w:rPr>
          <w:rFonts w:ascii="Book Antiqua" w:hAnsi="Book Antiqua" w:eastAsia="Book Antiqua" w:cs="Book Antiqua"/>
        </w:rPr>
        <w:t xml:space="preserve">26 </w:t>
      </w:r>
      <w:r>
        <w:rPr>
          <w:rFonts w:ascii="Book Antiqua" w:hAnsi="Book Antiqua" w:eastAsia="Book Antiqua" w:cs="Book Antiqua"/>
          <w:b/>
          <w:bCs/>
        </w:rPr>
        <w:t>Verschuren EC</w:t>
      </w:r>
      <w:r>
        <w:rPr>
          <w:rFonts w:ascii="Book Antiqua" w:hAnsi="Book Antiqua" w:eastAsia="Book Antiqua" w:cs="Book Antiqua"/>
        </w:rPr>
        <w:t xml:space="preserve">, van den Eertwegh AJ, Wonders J, Slangen RM, van Delft F, van Bodegraven A, Neefjes-Borst A, de Boer NK. Clinical, Endoscopic, and Histologic Characteristics of Ipilimumab-Associated Colitis. </w:t>
      </w:r>
      <w:r>
        <w:rPr>
          <w:rFonts w:ascii="Book Antiqua" w:hAnsi="Book Antiqua" w:eastAsia="Book Antiqua" w:cs="Book Antiqua"/>
          <w:i/>
          <w:iCs/>
        </w:rPr>
        <w:t>Clin Gastroenterol Hepatol</w:t>
      </w:r>
      <w:r>
        <w:rPr>
          <w:rFonts w:ascii="Book Antiqua" w:hAnsi="Book Antiqua" w:eastAsia="Book Antiqua" w:cs="Book Antiqua"/>
        </w:rPr>
        <w:t xml:space="preserve"> 2016; </w:t>
      </w:r>
      <w:r>
        <w:rPr>
          <w:rFonts w:ascii="Book Antiqua" w:hAnsi="Book Antiqua" w:eastAsia="Book Antiqua" w:cs="Book Antiqua"/>
          <w:b/>
          <w:bCs/>
        </w:rPr>
        <w:t>14</w:t>
      </w:r>
      <w:r>
        <w:rPr>
          <w:rFonts w:ascii="Book Antiqua" w:hAnsi="Book Antiqua" w:eastAsia="Book Antiqua" w:cs="Book Antiqua"/>
        </w:rPr>
        <w:t>: 836-842 [PMID: 26748223 DOI: 10.1016/j.cgh.2015.12.028]</w:t>
      </w:r>
    </w:p>
    <w:p>
      <w:pPr>
        <w:spacing w:line="360" w:lineRule="auto"/>
        <w:jc w:val="both"/>
        <w:rPr>
          <w:rFonts w:ascii="Book Antiqua" w:hAnsi="Book Antiqua" w:eastAsia="Book Antiqua" w:cs="Book Antiqua"/>
        </w:rPr>
      </w:pPr>
      <w:r>
        <w:rPr>
          <w:rFonts w:ascii="Book Antiqua" w:hAnsi="Book Antiqua" w:eastAsia="Book Antiqua" w:cs="Book Antiqua"/>
        </w:rPr>
        <w:t xml:space="preserve">27 </w:t>
      </w:r>
      <w:r>
        <w:rPr>
          <w:rFonts w:ascii="Book Antiqua" w:hAnsi="Book Antiqua" w:eastAsia="Book Antiqua" w:cs="Book Antiqua"/>
          <w:b/>
          <w:bCs/>
        </w:rPr>
        <w:t>Larkin J</w:t>
      </w:r>
      <w:r>
        <w:rPr>
          <w:rFonts w:ascii="Book Antiqua" w:hAnsi="Book Antiqua" w:eastAsia="Book Antiqua" w:cs="Book Antiqua"/>
        </w:rPr>
        <w:t xml:space="preserve">, Chiarion-Sileni V, Gonzalez R, Grob JJ, Cowey CL, Lao CD, Schadendorf D, Dummer R, Smylie M, Rutkowski P, Ferrucci PF, Hill A, Wagstaff J, Carlino MS, Haanen JB, Maio M, Marquez-Rodas I, McArthur GA, Ascierto PA, Long GV, Callahan MK, Postow MA, Grossmann K, Sznol M, Dreno B, Bastholt L, Yang A, Rollin LM, Horak C, Hodi FS, Wolchok JD. Combined Nivolumab and Ipilimumab or Monotherapy in Untreated Melanoma. </w:t>
      </w:r>
      <w:r>
        <w:rPr>
          <w:rFonts w:ascii="Book Antiqua" w:hAnsi="Book Antiqua" w:eastAsia="Book Antiqua" w:cs="Book Antiqua"/>
          <w:i/>
          <w:iCs/>
        </w:rPr>
        <w:t>N Engl J Med</w:t>
      </w:r>
      <w:r>
        <w:rPr>
          <w:rFonts w:ascii="Book Antiqua" w:hAnsi="Book Antiqua" w:eastAsia="Book Antiqua" w:cs="Book Antiqua"/>
        </w:rPr>
        <w:t xml:space="preserve"> 2015; </w:t>
      </w:r>
      <w:r>
        <w:rPr>
          <w:rFonts w:ascii="Book Antiqua" w:hAnsi="Book Antiqua" w:eastAsia="Book Antiqua" w:cs="Book Antiqua"/>
          <w:b/>
          <w:bCs/>
        </w:rPr>
        <w:t>373</w:t>
      </w:r>
      <w:r>
        <w:rPr>
          <w:rFonts w:ascii="Book Antiqua" w:hAnsi="Book Antiqua" w:eastAsia="Book Antiqua" w:cs="Book Antiqua"/>
        </w:rPr>
        <w:t>: 23-34 [PMID: 26027431 DOI: 10.1056/NEJMoa1504030]</w:t>
      </w:r>
    </w:p>
    <w:p>
      <w:pPr>
        <w:spacing w:line="360" w:lineRule="auto"/>
        <w:jc w:val="both"/>
        <w:rPr>
          <w:rFonts w:ascii="Book Antiqua" w:hAnsi="Book Antiqua" w:eastAsia="Book Antiqua" w:cs="Book Antiqua"/>
        </w:rPr>
      </w:pPr>
      <w:r>
        <w:rPr>
          <w:rFonts w:ascii="Book Antiqua" w:hAnsi="Book Antiqua" w:eastAsia="Book Antiqua" w:cs="Book Antiqua"/>
        </w:rPr>
        <w:t xml:space="preserve">28 </w:t>
      </w:r>
      <w:r>
        <w:rPr>
          <w:rFonts w:ascii="Book Antiqua" w:hAnsi="Book Antiqua" w:eastAsia="Book Antiqua" w:cs="Book Antiqua"/>
          <w:b/>
          <w:bCs/>
        </w:rPr>
        <w:t>Eggermont AM</w:t>
      </w:r>
      <w:r>
        <w:rPr>
          <w:rFonts w:ascii="Book Antiqua" w:hAnsi="Book Antiqua" w:eastAsia="Book Antiqua" w:cs="Book Antiqua"/>
        </w:rPr>
        <w:t xml:space="preserve">, Chiarion-Sileni V, Grob JJ, Dummer R, Wolchok JD, Schmidt H, Hamid O, Robert C, Ascierto PA, Richards JM, Lebbé C, Ferraresi V, Smylie M, Weber JS, Maio M, Bastholt L, Mortier L, Thomas L, Tahir S, Hauschild A, Hassel JC, Hodi FS, Taitt C, de Pril V, de Schaetzen G, Suciu S, Testori A. Prolonged Survival in Stage III Melanoma with Ipilimumab Adjuvant Therapy. </w:t>
      </w:r>
      <w:r>
        <w:rPr>
          <w:rFonts w:ascii="Book Antiqua" w:hAnsi="Book Antiqua" w:eastAsia="Book Antiqua" w:cs="Book Antiqua"/>
          <w:i/>
          <w:iCs/>
        </w:rPr>
        <w:t>N Engl J Med</w:t>
      </w:r>
      <w:r>
        <w:rPr>
          <w:rFonts w:ascii="Book Antiqua" w:hAnsi="Book Antiqua" w:eastAsia="Book Antiqua" w:cs="Book Antiqua"/>
        </w:rPr>
        <w:t xml:space="preserve"> 2016; </w:t>
      </w:r>
      <w:r>
        <w:rPr>
          <w:rFonts w:ascii="Book Antiqua" w:hAnsi="Book Antiqua" w:eastAsia="Book Antiqua" w:cs="Book Antiqua"/>
          <w:b/>
          <w:bCs/>
        </w:rPr>
        <w:t>375</w:t>
      </w:r>
      <w:r>
        <w:rPr>
          <w:rFonts w:ascii="Book Antiqua" w:hAnsi="Book Antiqua" w:eastAsia="Book Antiqua" w:cs="Book Antiqua"/>
        </w:rPr>
        <w:t>: 1845-1855 [PMID: 27717298 DOI: 10.1056/NEJMoa1611299]</w:t>
      </w:r>
    </w:p>
    <w:p>
      <w:pPr>
        <w:spacing w:line="360" w:lineRule="auto"/>
        <w:jc w:val="both"/>
        <w:rPr>
          <w:rFonts w:ascii="Book Antiqua" w:hAnsi="Book Antiqua" w:eastAsia="Book Antiqua" w:cs="Book Antiqua"/>
        </w:rPr>
      </w:pPr>
      <w:r>
        <w:rPr>
          <w:rFonts w:ascii="Book Antiqua" w:hAnsi="Book Antiqua" w:eastAsia="Book Antiqua" w:cs="Book Antiqua"/>
        </w:rPr>
        <w:t xml:space="preserve">29 </w:t>
      </w:r>
      <w:r>
        <w:rPr>
          <w:rFonts w:ascii="Book Antiqua" w:hAnsi="Book Antiqua" w:eastAsia="Book Antiqua" w:cs="Book Antiqua"/>
          <w:b/>
          <w:bCs/>
        </w:rPr>
        <w:t>Wang Y</w:t>
      </w:r>
      <w:r>
        <w:rPr>
          <w:rFonts w:ascii="Book Antiqua" w:hAnsi="Book Antiqua" w:eastAsia="Book Antiqua" w:cs="Book Antiqua"/>
        </w:rPr>
        <w:t xml:space="preserve">, Abu-Sbeih H, Mao E, Ali N, Ali FS, Qiao W, Lum P, Raju G, Shuttlesworth G, Stroehlein J, Diab A. Immune-checkpoint inhibitor-induced diarrhea and colitis in patients with advanced malignancies: retrospective review at MD Anderson. </w:t>
      </w:r>
      <w:r>
        <w:rPr>
          <w:rFonts w:ascii="Book Antiqua" w:hAnsi="Book Antiqua" w:eastAsia="Book Antiqua" w:cs="Book Antiqua"/>
          <w:i/>
          <w:iCs/>
        </w:rPr>
        <w:t>J Immunother Cancer</w:t>
      </w:r>
      <w:r>
        <w:rPr>
          <w:rFonts w:ascii="Book Antiqua" w:hAnsi="Book Antiqua" w:eastAsia="Book Antiqua" w:cs="Book Antiqua"/>
        </w:rPr>
        <w:t xml:space="preserve"> 2018; </w:t>
      </w:r>
      <w:r>
        <w:rPr>
          <w:rFonts w:ascii="Book Antiqua" w:hAnsi="Book Antiqua" w:eastAsia="Book Antiqua" w:cs="Book Antiqua"/>
          <w:b/>
          <w:bCs/>
        </w:rPr>
        <w:t>6</w:t>
      </w:r>
      <w:r>
        <w:rPr>
          <w:rFonts w:ascii="Book Antiqua" w:hAnsi="Book Antiqua" w:eastAsia="Book Antiqua" w:cs="Book Antiqua"/>
        </w:rPr>
        <w:t>: 37 [PMID: 29747688 DOI: 10.1186/s40425-018-0346-6]</w:t>
      </w:r>
    </w:p>
    <w:p>
      <w:pPr>
        <w:spacing w:line="360" w:lineRule="auto"/>
        <w:jc w:val="both"/>
        <w:rPr>
          <w:rFonts w:ascii="Book Antiqua" w:hAnsi="Book Antiqua" w:eastAsia="Book Antiqua" w:cs="Book Antiqua"/>
        </w:rPr>
      </w:pPr>
      <w:r>
        <w:rPr>
          <w:rFonts w:ascii="Book Antiqua" w:hAnsi="Book Antiqua" w:eastAsia="Book Antiqua" w:cs="Book Antiqua"/>
        </w:rPr>
        <w:t xml:space="preserve">30 </w:t>
      </w:r>
      <w:r>
        <w:rPr>
          <w:rFonts w:ascii="Book Antiqua" w:hAnsi="Book Antiqua" w:eastAsia="Book Antiqua" w:cs="Book Antiqua"/>
          <w:b/>
          <w:bCs/>
        </w:rPr>
        <w:t>Baxi S</w:t>
      </w:r>
      <w:r>
        <w:rPr>
          <w:rFonts w:ascii="Book Antiqua" w:hAnsi="Book Antiqua" w:eastAsia="Book Antiqua" w:cs="Book Antiqua"/>
        </w:rPr>
        <w:t xml:space="preserve">, Yang A, Gennarelli RL, Khan N, Wang Z, Boyce L, Korenstein D. Immune-related adverse events for anti-PD-1 and anti-PD-L1 drugs: systematic review and meta-analysis. </w:t>
      </w:r>
      <w:r>
        <w:rPr>
          <w:rFonts w:ascii="Book Antiqua" w:hAnsi="Book Antiqua" w:eastAsia="Book Antiqua" w:cs="Book Antiqua"/>
          <w:i/>
          <w:iCs/>
        </w:rPr>
        <w:t>BMJ</w:t>
      </w:r>
      <w:r>
        <w:rPr>
          <w:rFonts w:ascii="Book Antiqua" w:hAnsi="Book Antiqua" w:eastAsia="Book Antiqua" w:cs="Book Antiqua"/>
        </w:rPr>
        <w:t xml:space="preserve"> 2018; </w:t>
      </w:r>
      <w:r>
        <w:rPr>
          <w:rFonts w:ascii="Book Antiqua" w:hAnsi="Book Antiqua" w:eastAsia="Book Antiqua" w:cs="Book Antiqua"/>
          <w:b/>
          <w:bCs/>
        </w:rPr>
        <w:t>360</w:t>
      </w:r>
      <w:r>
        <w:rPr>
          <w:rFonts w:ascii="Book Antiqua" w:hAnsi="Book Antiqua" w:eastAsia="Book Antiqua" w:cs="Book Antiqua"/>
        </w:rPr>
        <w:t>: k793 [PMID: 29540345 DOI: 10.1136/bmj.k793]</w:t>
      </w:r>
    </w:p>
    <w:p>
      <w:pPr>
        <w:spacing w:line="360" w:lineRule="auto"/>
        <w:jc w:val="both"/>
        <w:rPr>
          <w:rFonts w:ascii="Book Antiqua" w:hAnsi="Book Antiqua" w:eastAsia="Book Antiqua" w:cs="Book Antiqua"/>
        </w:rPr>
      </w:pPr>
      <w:r>
        <w:rPr>
          <w:rFonts w:ascii="Book Antiqua" w:hAnsi="Book Antiqua" w:eastAsia="Book Antiqua" w:cs="Book Antiqua"/>
        </w:rPr>
        <w:t xml:space="preserve">31 </w:t>
      </w:r>
      <w:r>
        <w:rPr>
          <w:rFonts w:ascii="Book Antiqua" w:hAnsi="Book Antiqua" w:eastAsia="Book Antiqua" w:cs="Book Antiqua"/>
          <w:b/>
          <w:bCs/>
        </w:rPr>
        <w:t>Wang PF</w:t>
      </w:r>
      <w:r>
        <w:rPr>
          <w:rFonts w:ascii="Book Antiqua" w:hAnsi="Book Antiqua" w:eastAsia="Book Antiqua" w:cs="Book Antiqua"/>
        </w:rPr>
        <w:t xml:space="preserve">, Chen Y, Song SY, Wang TJ, Ji WJ, Li SW, Liu N, Yan CX. Immune-Related Adverse Events Associated with Anti-PD-1/PD-L1 Treatment for Malignancies: A Meta-Analysis. </w:t>
      </w:r>
      <w:r>
        <w:rPr>
          <w:rFonts w:ascii="Book Antiqua" w:hAnsi="Book Antiqua" w:eastAsia="Book Antiqua" w:cs="Book Antiqua"/>
          <w:i/>
          <w:iCs/>
        </w:rPr>
        <w:t>Front Pharmacol</w:t>
      </w:r>
      <w:r>
        <w:rPr>
          <w:rFonts w:ascii="Book Antiqua" w:hAnsi="Book Antiqua" w:eastAsia="Book Antiqua" w:cs="Book Antiqua"/>
        </w:rPr>
        <w:t xml:space="preserve"> 2017; </w:t>
      </w:r>
      <w:r>
        <w:rPr>
          <w:rFonts w:ascii="Book Antiqua" w:hAnsi="Book Antiqua" w:eastAsia="Book Antiqua" w:cs="Book Antiqua"/>
          <w:b/>
          <w:bCs/>
        </w:rPr>
        <w:t>8</w:t>
      </w:r>
      <w:r>
        <w:rPr>
          <w:rFonts w:ascii="Book Antiqua" w:hAnsi="Book Antiqua" w:eastAsia="Book Antiqua" w:cs="Book Antiqua"/>
        </w:rPr>
        <w:t>: 730 [PMID: 29093678 DOI: 10.3389/fphar.2017.00730]</w:t>
      </w:r>
    </w:p>
    <w:p>
      <w:pPr>
        <w:spacing w:line="360" w:lineRule="auto"/>
        <w:jc w:val="both"/>
        <w:rPr>
          <w:rFonts w:ascii="Book Antiqua" w:hAnsi="Book Antiqua" w:eastAsia="Book Antiqua" w:cs="Book Antiqua"/>
        </w:rPr>
      </w:pPr>
      <w:r>
        <w:rPr>
          <w:rFonts w:ascii="Book Antiqua" w:hAnsi="Book Antiqua" w:eastAsia="Book Antiqua" w:cs="Book Antiqua"/>
        </w:rPr>
        <w:t xml:space="preserve">32 </w:t>
      </w:r>
      <w:r>
        <w:rPr>
          <w:rFonts w:ascii="Book Antiqua" w:hAnsi="Book Antiqua" w:eastAsia="Book Antiqua" w:cs="Book Antiqua"/>
          <w:b/>
          <w:bCs/>
        </w:rPr>
        <w:t>Wang DY</w:t>
      </w:r>
      <w:r>
        <w:rPr>
          <w:rFonts w:ascii="Book Antiqua" w:hAnsi="Book Antiqua" w:eastAsia="Book Antiqua" w:cs="Book Antiqua"/>
        </w:rPr>
        <w:t xml:space="preserve">, Ye F, Zhao S, Johnson DB. Incidence of immune checkpoint inhibitor-related colitis in solid tumor patients: A systematic review and meta-analysis. </w:t>
      </w:r>
      <w:r>
        <w:rPr>
          <w:rFonts w:ascii="Book Antiqua" w:hAnsi="Book Antiqua" w:eastAsia="Book Antiqua" w:cs="Book Antiqua"/>
          <w:i/>
          <w:iCs/>
        </w:rPr>
        <w:t>Oncoimmunology</w:t>
      </w:r>
      <w:r>
        <w:rPr>
          <w:rFonts w:ascii="Book Antiqua" w:hAnsi="Book Antiqua" w:eastAsia="Book Antiqua" w:cs="Book Antiqua"/>
        </w:rPr>
        <w:t xml:space="preserve"> 2017; </w:t>
      </w:r>
      <w:r>
        <w:rPr>
          <w:rFonts w:ascii="Book Antiqua" w:hAnsi="Book Antiqua" w:eastAsia="Book Antiqua" w:cs="Book Antiqua"/>
          <w:b/>
          <w:bCs/>
        </w:rPr>
        <w:t>6</w:t>
      </w:r>
      <w:r>
        <w:rPr>
          <w:rFonts w:ascii="Book Antiqua" w:hAnsi="Book Antiqua" w:eastAsia="Book Antiqua" w:cs="Book Antiqua"/>
        </w:rPr>
        <w:t>: e1344805 [PMID: 29123955 DOI: 10.1080/2162402X.2017.1344805]</w:t>
      </w:r>
    </w:p>
    <w:p>
      <w:pPr>
        <w:spacing w:line="360" w:lineRule="auto"/>
        <w:jc w:val="both"/>
        <w:rPr>
          <w:rFonts w:ascii="Book Antiqua" w:hAnsi="Book Antiqua" w:eastAsia="Book Antiqua" w:cs="Book Antiqua"/>
        </w:rPr>
      </w:pPr>
      <w:r>
        <w:rPr>
          <w:rFonts w:ascii="Book Antiqua" w:hAnsi="Book Antiqua" w:eastAsia="Book Antiqua" w:cs="Book Antiqua"/>
        </w:rPr>
        <w:t xml:space="preserve">33 </w:t>
      </w:r>
      <w:r>
        <w:rPr>
          <w:rFonts w:ascii="Book Antiqua" w:hAnsi="Book Antiqua" w:eastAsia="Book Antiqua" w:cs="Book Antiqua"/>
          <w:b/>
          <w:bCs/>
        </w:rPr>
        <w:t>Mooradian MJ</w:t>
      </w:r>
      <w:r>
        <w:rPr>
          <w:rFonts w:ascii="Book Antiqua" w:hAnsi="Book Antiqua" w:eastAsia="Book Antiqua" w:cs="Book Antiqua"/>
        </w:rPr>
        <w:t xml:space="preserve">, Wang DY, Coromilas A, Lumish M, Chen T, Giobbie-Hurder A, Johnson DB, Sullivan RJ, Dougan M. Mucosal inflammation predicts response to systemic steroids in immune checkpoint inhibitor colitis. </w:t>
      </w:r>
      <w:r>
        <w:rPr>
          <w:rFonts w:ascii="Book Antiqua" w:hAnsi="Book Antiqua" w:eastAsia="Book Antiqua" w:cs="Book Antiqua"/>
          <w:i/>
          <w:iCs/>
        </w:rPr>
        <w:t>J Immunother Cancer</w:t>
      </w:r>
      <w:r>
        <w:rPr>
          <w:rFonts w:ascii="Book Antiqua" w:hAnsi="Book Antiqua" w:eastAsia="Book Antiqua" w:cs="Book Antiqua"/>
        </w:rPr>
        <w:t xml:space="preserve"> 2020; </w:t>
      </w:r>
      <w:r>
        <w:rPr>
          <w:rFonts w:ascii="Book Antiqua" w:hAnsi="Book Antiqua" w:eastAsia="Book Antiqua" w:cs="Book Antiqua"/>
          <w:b/>
          <w:bCs/>
        </w:rPr>
        <w:t>8</w:t>
      </w:r>
      <w:r>
        <w:rPr>
          <w:rFonts w:ascii="Book Antiqua" w:hAnsi="Book Antiqua" w:eastAsia="Book Antiqua" w:cs="Book Antiqua"/>
        </w:rPr>
        <w:t xml:space="preserve"> [PMID: 32414860 DOI: 10.1136/jitc-2019-000451]</w:t>
      </w:r>
    </w:p>
    <w:p>
      <w:pPr>
        <w:spacing w:line="360" w:lineRule="auto"/>
        <w:jc w:val="both"/>
        <w:rPr>
          <w:rFonts w:ascii="Book Antiqua" w:hAnsi="Book Antiqua" w:eastAsia="Book Antiqua" w:cs="Book Antiqua"/>
        </w:rPr>
      </w:pPr>
      <w:r>
        <w:rPr>
          <w:rFonts w:ascii="Book Antiqua" w:hAnsi="Book Antiqua" w:eastAsia="Book Antiqua" w:cs="Book Antiqua"/>
        </w:rPr>
        <w:t xml:space="preserve">34 </w:t>
      </w:r>
      <w:r>
        <w:rPr>
          <w:rFonts w:ascii="Book Antiqua" w:hAnsi="Book Antiqua" w:eastAsia="Book Antiqua" w:cs="Book Antiqua"/>
          <w:b/>
          <w:bCs/>
        </w:rPr>
        <w:t>Nishida T</w:t>
      </w:r>
      <w:r>
        <w:rPr>
          <w:rFonts w:ascii="Book Antiqua" w:hAnsi="Book Antiqua" w:eastAsia="Book Antiqua" w:cs="Book Antiqua"/>
        </w:rPr>
        <w:t xml:space="preserve">, Iijima H, Adachi S. Immune checkpoint inhibitor-induced diarrhea/colitis: Endoscopic and pathologic findings. </w:t>
      </w:r>
      <w:r>
        <w:rPr>
          <w:rFonts w:ascii="Book Antiqua" w:hAnsi="Book Antiqua" w:eastAsia="Book Antiqua" w:cs="Book Antiqua"/>
          <w:i/>
          <w:iCs/>
        </w:rPr>
        <w:t>World J Gastrointest Pathophysiol</w:t>
      </w:r>
      <w:r>
        <w:rPr>
          <w:rFonts w:ascii="Book Antiqua" w:hAnsi="Book Antiqua" w:eastAsia="Book Antiqua" w:cs="Book Antiqua"/>
        </w:rPr>
        <w:t xml:space="preserve"> 2019; </w:t>
      </w:r>
      <w:r>
        <w:rPr>
          <w:rFonts w:ascii="Book Antiqua" w:hAnsi="Book Antiqua" w:eastAsia="Book Antiqua" w:cs="Book Antiqua"/>
          <w:b/>
          <w:bCs/>
        </w:rPr>
        <w:t>10</w:t>
      </w:r>
      <w:r>
        <w:rPr>
          <w:rFonts w:ascii="Book Antiqua" w:hAnsi="Book Antiqua" w:eastAsia="Book Antiqua" w:cs="Book Antiqua"/>
        </w:rPr>
        <w:t>: 17-28 [PMID: 31559106 DOI: 10.4291/wjgp.v10.i2.17]</w:t>
      </w:r>
    </w:p>
    <w:p>
      <w:pPr>
        <w:spacing w:line="360" w:lineRule="auto"/>
        <w:jc w:val="both"/>
        <w:rPr>
          <w:rFonts w:ascii="Book Antiqua" w:hAnsi="Book Antiqua" w:eastAsia="Book Antiqua" w:cs="Book Antiqua"/>
        </w:rPr>
      </w:pPr>
      <w:r>
        <w:rPr>
          <w:rFonts w:ascii="Book Antiqua" w:hAnsi="Book Antiqua" w:eastAsia="Book Antiqua" w:cs="Book Antiqua"/>
        </w:rPr>
        <w:t xml:space="preserve">35 </w:t>
      </w:r>
      <w:r>
        <w:rPr>
          <w:rFonts w:ascii="Book Antiqua" w:hAnsi="Book Antiqua" w:eastAsia="Book Antiqua" w:cs="Book Antiqua"/>
          <w:b/>
          <w:bCs/>
        </w:rPr>
        <w:t>Chen JH</w:t>
      </w:r>
      <w:r>
        <w:rPr>
          <w:rFonts w:ascii="Book Antiqua" w:hAnsi="Book Antiqua" w:eastAsia="Book Antiqua" w:cs="Book Antiqua"/>
        </w:rPr>
        <w:t xml:space="preserve">, Pezhouh MK, Lauwers GY, Masia R. Histopathologic Features of Colitis Due to Immunotherapy With Anti-PD-1 Antibodies. </w:t>
      </w:r>
      <w:r>
        <w:rPr>
          <w:rFonts w:ascii="Book Antiqua" w:hAnsi="Book Antiqua" w:eastAsia="Book Antiqua" w:cs="Book Antiqua"/>
          <w:i/>
          <w:iCs/>
        </w:rPr>
        <w:t>Am J Surg Pathol</w:t>
      </w:r>
      <w:r>
        <w:rPr>
          <w:rFonts w:ascii="Book Antiqua" w:hAnsi="Book Antiqua" w:eastAsia="Book Antiqua" w:cs="Book Antiqua"/>
        </w:rPr>
        <w:t xml:space="preserve"> 2017; </w:t>
      </w:r>
      <w:r>
        <w:rPr>
          <w:rFonts w:ascii="Book Antiqua" w:hAnsi="Book Antiqua" w:eastAsia="Book Antiqua" w:cs="Book Antiqua"/>
          <w:b/>
          <w:bCs/>
        </w:rPr>
        <w:t>41</w:t>
      </w:r>
      <w:r>
        <w:rPr>
          <w:rFonts w:ascii="Book Antiqua" w:hAnsi="Book Antiqua" w:eastAsia="Book Antiqua" w:cs="Book Antiqua"/>
        </w:rPr>
        <w:t>: 643-654 [PMID: 28296676 DOI: 10.1097/PAS.0000000000000829]</w:t>
      </w:r>
    </w:p>
    <w:p>
      <w:pPr>
        <w:spacing w:line="360" w:lineRule="auto"/>
        <w:jc w:val="both"/>
        <w:rPr>
          <w:rFonts w:ascii="Book Antiqua" w:hAnsi="Book Antiqua" w:eastAsia="Book Antiqua" w:cs="Book Antiqua"/>
        </w:rPr>
      </w:pPr>
      <w:r>
        <w:rPr>
          <w:rFonts w:ascii="Book Antiqua" w:hAnsi="Book Antiqua" w:eastAsia="Book Antiqua" w:cs="Book Antiqua"/>
        </w:rPr>
        <w:t xml:space="preserve">36 </w:t>
      </w:r>
      <w:r>
        <w:rPr>
          <w:rFonts w:ascii="Book Antiqua" w:hAnsi="Book Antiqua" w:eastAsia="Book Antiqua" w:cs="Book Antiqua"/>
          <w:b/>
          <w:bCs/>
        </w:rPr>
        <w:t>Xu Y</w:t>
      </w:r>
      <w:r>
        <w:rPr>
          <w:rFonts w:ascii="Book Antiqua" w:hAnsi="Book Antiqua" w:eastAsia="Book Antiqua" w:cs="Book Antiqua"/>
        </w:rPr>
        <w:t xml:space="preserve">, Fu Y, Zhu B, Wang J, Zhang B. Predictive Biomarkers of Immune Checkpoint Inhibitors-Related Toxicities. </w:t>
      </w:r>
      <w:r>
        <w:rPr>
          <w:rFonts w:ascii="Book Antiqua" w:hAnsi="Book Antiqua" w:eastAsia="Book Antiqua" w:cs="Book Antiqua"/>
          <w:i/>
          <w:iCs/>
        </w:rPr>
        <w:t>Front Immunol</w:t>
      </w:r>
      <w:r>
        <w:rPr>
          <w:rFonts w:ascii="Book Antiqua" w:hAnsi="Book Antiqua" w:eastAsia="Book Antiqua" w:cs="Book Antiqua"/>
        </w:rPr>
        <w:t xml:space="preserve"> 2020; </w:t>
      </w:r>
      <w:r>
        <w:rPr>
          <w:rFonts w:ascii="Book Antiqua" w:hAnsi="Book Antiqua" w:eastAsia="Book Antiqua" w:cs="Book Antiqua"/>
          <w:b/>
          <w:bCs/>
        </w:rPr>
        <w:t>11</w:t>
      </w:r>
      <w:r>
        <w:rPr>
          <w:rFonts w:ascii="Book Antiqua" w:hAnsi="Book Antiqua" w:eastAsia="Book Antiqua" w:cs="Book Antiqua"/>
        </w:rPr>
        <w:t>: 2023 [PMID: 33123120 DOI: 10.3389/fimmu.2020.02023]</w:t>
      </w:r>
    </w:p>
    <w:p>
      <w:pPr>
        <w:spacing w:line="360" w:lineRule="auto"/>
        <w:jc w:val="both"/>
        <w:rPr>
          <w:rFonts w:ascii="Book Antiqua" w:hAnsi="Book Antiqua" w:eastAsia="Book Antiqua" w:cs="Book Antiqua"/>
        </w:rPr>
      </w:pPr>
      <w:r>
        <w:rPr>
          <w:rFonts w:ascii="Book Antiqua" w:hAnsi="Book Antiqua" w:eastAsia="Book Antiqua" w:cs="Book Antiqua"/>
        </w:rPr>
        <w:t xml:space="preserve">37 </w:t>
      </w:r>
      <w:r>
        <w:rPr>
          <w:rFonts w:ascii="Book Antiqua" w:hAnsi="Book Antiqua" w:eastAsia="Book Antiqua" w:cs="Book Antiqua"/>
          <w:b/>
          <w:bCs/>
        </w:rPr>
        <w:t>Li N</w:t>
      </w:r>
      <w:r>
        <w:rPr>
          <w:rFonts w:ascii="Book Antiqua" w:hAnsi="Book Antiqua" w:eastAsia="Book Antiqua" w:cs="Book Antiqua"/>
        </w:rPr>
        <w:t xml:space="preserve">, Hou X, Huang S, Tai R, Lei L, Li S, Abuliz A, Wang G, Yang S. Biomarkers related to immune checkpoint inhibitors therapy. </w:t>
      </w:r>
      <w:r>
        <w:rPr>
          <w:rFonts w:ascii="Book Antiqua" w:hAnsi="Book Antiqua" w:eastAsia="Book Antiqua" w:cs="Book Antiqua"/>
          <w:i/>
          <w:iCs/>
        </w:rPr>
        <w:t>Biomed Pharmacother</w:t>
      </w:r>
      <w:r>
        <w:rPr>
          <w:rFonts w:ascii="Book Antiqua" w:hAnsi="Book Antiqua" w:eastAsia="Book Antiqua" w:cs="Book Antiqua"/>
        </w:rPr>
        <w:t xml:space="preserve"> 2022; </w:t>
      </w:r>
      <w:r>
        <w:rPr>
          <w:rFonts w:ascii="Book Antiqua" w:hAnsi="Book Antiqua" w:eastAsia="Book Antiqua" w:cs="Book Antiqua"/>
          <w:b/>
          <w:bCs/>
        </w:rPr>
        <w:t>147</w:t>
      </w:r>
      <w:r>
        <w:rPr>
          <w:rFonts w:ascii="Book Antiqua" w:hAnsi="Book Antiqua" w:eastAsia="Book Antiqua" w:cs="Book Antiqua"/>
        </w:rPr>
        <w:t>: 112470 [PMID: 35074251 DOI: 10.1016/j.biopha.2021.112470]</w:t>
      </w:r>
    </w:p>
    <w:p>
      <w:pPr>
        <w:spacing w:line="360" w:lineRule="auto"/>
        <w:jc w:val="both"/>
        <w:rPr>
          <w:rFonts w:ascii="Book Antiqua" w:hAnsi="Book Antiqua" w:eastAsia="Book Antiqua" w:cs="Book Antiqua"/>
        </w:rPr>
      </w:pPr>
      <w:r>
        <w:rPr>
          <w:rFonts w:ascii="Book Antiqua" w:hAnsi="Book Antiqua" w:eastAsia="Book Antiqua" w:cs="Book Antiqua"/>
        </w:rPr>
        <w:t xml:space="preserve">38 </w:t>
      </w:r>
      <w:r>
        <w:rPr>
          <w:rFonts w:ascii="Book Antiqua" w:hAnsi="Book Antiqua" w:eastAsia="Book Antiqua" w:cs="Book Antiqua"/>
          <w:b/>
          <w:bCs/>
        </w:rPr>
        <w:t>Les I</w:t>
      </w:r>
      <w:r>
        <w:rPr>
          <w:rFonts w:ascii="Book Antiqua" w:hAnsi="Book Antiqua" w:eastAsia="Book Antiqua" w:cs="Book Antiqua"/>
        </w:rPr>
        <w:t xml:space="preserve">, Martínez M, Pérez-Francisco I, Cabero M, Teijeira L, Arrazubi V, Torrego N, Campillo-Calatayud A, Elejalde I, Kochan G, Escors D. Predictive Biomarkers for Checkpoint Inhibitor Immune-Related Adverse Events. </w:t>
      </w:r>
      <w:r>
        <w:rPr>
          <w:rFonts w:ascii="Book Antiqua" w:hAnsi="Book Antiqua" w:eastAsia="Book Antiqua" w:cs="Book Antiqua"/>
          <w:i/>
          <w:iCs/>
        </w:rPr>
        <w:t>Cancers (Basel)</w:t>
      </w:r>
      <w:r>
        <w:rPr>
          <w:rFonts w:ascii="Book Antiqua" w:hAnsi="Book Antiqua" w:eastAsia="Book Antiqua" w:cs="Book Antiqua"/>
        </w:rPr>
        <w:t xml:space="preserve"> 2023; </w:t>
      </w:r>
      <w:r>
        <w:rPr>
          <w:rFonts w:ascii="Book Antiqua" w:hAnsi="Book Antiqua" w:eastAsia="Book Antiqua" w:cs="Book Antiqua"/>
          <w:b/>
          <w:bCs/>
        </w:rPr>
        <w:t>15</w:t>
      </w:r>
      <w:r>
        <w:rPr>
          <w:rFonts w:ascii="Book Antiqua" w:hAnsi="Book Antiqua" w:eastAsia="Book Antiqua" w:cs="Book Antiqua"/>
        </w:rPr>
        <w:t xml:space="preserve"> [PMID: 36900420 DOI: 10.3390/cancers15051629]</w:t>
      </w:r>
    </w:p>
    <w:p>
      <w:pPr>
        <w:spacing w:line="360" w:lineRule="auto"/>
        <w:jc w:val="both"/>
        <w:rPr>
          <w:rFonts w:ascii="Book Antiqua" w:hAnsi="Book Antiqua" w:eastAsia="Book Antiqua" w:cs="Book Antiqua"/>
        </w:rPr>
      </w:pPr>
      <w:r>
        <w:rPr>
          <w:rFonts w:ascii="Book Antiqua" w:hAnsi="Book Antiqua" w:eastAsia="Book Antiqua" w:cs="Book Antiqua"/>
        </w:rPr>
        <w:t xml:space="preserve">39 </w:t>
      </w:r>
      <w:r>
        <w:rPr>
          <w:rFonts w:ascii="Book Antiqua" w:hAnsi="Book Antiqua" w:eastAsia="Book Antiqua" w:cs="Book Antiqua"/>
          <w:b/>
          <w:bCs/>
        </w:rPr>
        <w:t>Jia XH</w:t>
      </w:r>
      <w:r>
        <w:rPr>
          <w:rFonts w:ascii="Book Antiqua" w:hAnsi="Book Antiqua" w:eastAsia="Book Antiqua" w:cs="Book Antiqua"/>
        </w:rPr>
        <w:t xml:space="preserve">, Geng LY, Jiang PP, Xu H, Nan KJ, Yao Y, Jiang LL, Sun H, Qin TJ, Guo H. The biomarkers related to immune related adverse events caused by immune checkpoint inhibitors. </w:t>
      </w:r>
      <w:r>
        <w:rPr>
          <w:rFonts w:ascii="Book Antiqua" w:hAnsi="Book Antiqua" w:eastAsia="Book Antiqua" w:cs="Book Antiqua"/>
          <w:i/>
          <w:iCs/>
        </w:rPr>
        <w:t>J Exp Clin Cancer Res</w:t>
      </w:r>
      <w:r>
        <w:rPr>
          <w:rFonts w:ascii="Book Antiqua" w:hAnsi="Book Antiqua" w:eastAsia="Book Antiqua" w:cs="Book Antiqua"/>
        </w:rPr>
        <w:t xml:space="preserve"> 2020; </w:t>
      </w:r>
      <w:r>
        <w:rPr>
          <w:rFonts w:ascii="Book Antiqua" w:hAnsi="Book Antiqua" w:eastAsia="Book Antiqua" w:cs="Book Antiqua"/>
          <w:b/>
          <w:bCs/>
        </w:rPr>
        <w:t>39</w:t>
      </w:r>
      <w:r>
        <w:rPr>
          <w:rFonts w:ascii="Book Antiqua" w:hAnsi="Book Antiqua" w:eastAsia="Book Antiqua" w:cs="Book Antiqua"/>
        </w:rPr>
        <w:t>: 284 [PMID: 33317597 DOI: 10.1186/s13046-020-01749-x]</w:t>
      </w:r>
    </w:p>
    <w:p>
      <w:pPr>
        <w:spacing w:line="360" w:lineRule="auto"/>
        <w:jc w:val="both"/>
        <w:rPr>
          <w:rFonts w:ascii="Book Antiqua" w:hAnsi="Book Antiqua" w:eastAsia="Book Antiqua" w:cs="Book Antiqua"/>
        </w:rPr>
      </w:pPr>
      <w:r>
        <w:rPr>
          <w:rFonts w:ascii="Book Antiqua" w:hAnsi="Book Antiqua" w:eastAsia="Book Antiqua" w:cs="Book Antiqua"/>
        </w:rPr>
        <w:t xml:space="preserve">40 </w:t>
      </w:r>
      <w:r>
        <w:rPr>
          <w:rFonts w:ascii="Book Antiqua" w:hAnsi="Book Antiqua" w:eastAsia="Book Antiqua" w:cs="Book Antiqua"/>
          <w:b/>
          <w:bCs/>
        </w:rPr>
        <w:t>Bai R</w:t>
      </w:r>
      <w:r>
        <w:rPr>
          <w:rFonts w:ascii="Book Antiqua" w:hAnsi="Book Antiqua" w:eastAsia="Book Antiqua" w:cs="Book Antiqua"/>
        </w:rPr>
        <w:t xml:space="preserve">, Lv Z, Xu D, Cui J. Predictive biomarkers for cancer immunotherapy with immune checkpoint inhibitors. </w:t>
      </w:r>
      <w:r>
        <w:rPr>
          <w:rFonts w:ascii="Book Antiqua" w:hAnsi="Book Antiqua" w:eastAsia="Book Antiqua" w:cs="Book Antiqua"/>
          <w:i/>
          <w:iCs/>
        </w:rPr>
        <w:t>Biomark Res</w:t>
      </w:r>
      <w:r>
        <w:rPr>
          <w:rFonts w:ascii="Book Antiqua" w:hAnsi="Book Antiqua" w:eastAsia="Book Antiqua" w:cs="Book Antiqua"/>
        </w:rPr>
        <w:t xml:space="preserve"> 2020; </w:t>
      </w:r>
      <w:r>
        <w:rPr>
          <w:rFonts w:ascii="Book Antiqua" w:hAnsi="Book Antiqua" w:eastAsia="Book Antiqua" w:cs="Book Antiqua"/>
          <w:b/>
          <w:bCs/>
        </w:rPr>
        <w:t>8</w:t>
      </w:r>
      <w:r>
        <w:rPr>
          <w:rFonts w:ascii="Book Antiqua" w:hAnsi="Book Antiqua" w:eastAsia="Book Antiqua" w:cs="Book Antiqua"/>
        </w:rPr>
        <w:t>: 34 [PMID: 32864131 DOI: 10.1186/s40364-020-00209-0]</w:t>
      </w:r>
    </w:p>
    <w:p>
      <w:pPr>
        <w:spacing w:line="360" w:lineRule="auto"/>
        <w:jc w:val="both"/>
        <w:rPr>
          <w:rFonts w:ascii="Book Antiqua" w:hAnsi="Book Antiqua" w:eastAsia="Book Antiqua" w:cs="Book Antiqua"/>
        </w:rPr>
      </w:pPr>
      <w:r>
        <w:rPr>
          <w:rFonts w:ascii="Book Antiqua" w:hAnsi="Book Antiqua" w:eastAsia="Book Antiqua" w:cs="Book Antiqua"/>
        </w:rPr>
        <w:t xml:space="preserve">41 </w:t>
      </w:r>
      <w:r>
        <w:rPr>
          <w:rFonts w:ascii="Book Antiqua" w:hAnsi="Book Antiqua" w:eastAsia="Book Antiqua" w:cs="Book Antiqua"/>
          <w:b/>
          <w:bCs/>
        </w:rPr>
        <w:t>Callahan MK</w:t>
      </w:r>
      <w:r>
        <w:rPr>
          <w:rFonts w:ascii="Book Antiqua" w:hAnsi="Book Antiqua" w:eastAsia="Book Antiqua" w:cs="Book Antiqua"/>
        </w:rPr>
        <w:t>, Yang A, Tandon S, Xu Y, Subudhi SK, Roman RA</w:t>
      </w:r>
      <w:r>
        <w:rPr>
          <w:rFonts w:ascii="Book Antiqua" w:hAnsi="Book Antiqua" w:cs="Book Antiqua"/>
          <w:lang w:eastAsia="zh-CN"/>
        </w:rPr>
        <w:t xml:space="preserve">, </w:t>
      </w:r>
      <w:r>
        <w:rPr>
          <w:rFonts w:ascii="Book Antiqua" w:hAnsi="Book Antiqua" w:eastAsia="Book Antiqua" w:cs="Book Antiqua"/>
        </w:rPr>
        <w:t>Heine AI, Pogoriler E, Kuk D, Panageas K, Yuan JD, Allison JP, Wolchok JD. Evaluation of Serum IL-17 Levels During Ipilimumab Therapy: Correlation With Colitis.</w:t>
      </w:r>
      <w:r>
        <w:rPr>
          <w:rFonts w:ascii="Book Antiqua" w:hAnsi="Book Antiqua" w:eastAsia="Book Antiqua" w:cs="Book Antiqua"/>
          <w:i/>
          <w:iCs/>
        </w:rPr>
        <w:t xml:space="preserve"> J Clin Oncol</w:t>
      </w:r>
      <w:r>
        <w:rPr>
          <w:rFonts w:ascii="Book Antiqua" w:hAnsi="Book Antiqua" w:eastAsia="Book Antiqua" w:cs="Book Antiqua"/>
        </w:rPr>
        <w:t xml:space="preserve"> 2011; </w:t>
      </w:r>
      <w:r>
        <w:rPr>
          <w:rFonts w:ascii="Book Antiqua" w:hAnsi="Book Antiqua" w:eastAsia="Book Antiqua" w:cs="Book Antiqua"/>
          <w:b/>
          <w:bCs/>
        </w:rPr>
        <w:t>29</w:t>
      </w:r>
      <w:r>
        <w:rPr>
          <w:rFonts w:ascii="Book Antiqua" w:hAnsi="Book Antiqua" w:eastAsia="Book Antiqua" w:cs="Book Antiqua"/>
        </w:rPr>
        <w:t>: 2505 [DOI: 10.1200/jco.2011.29.15_suppl.2505]</w:t>
      </w:r>
    </w:p>
    <w:p>
      <w:pPr>
        <w:spacing w:line="360" w:lineRule="auto"/>
        <w:jc w:val="both"/>
        <w:rPr>
          <w:rFonts w:ascii="Book Antiqua" w:hAnsi="Book Antiqua" w:eastAsia="Book Antiqua" w:cs="Book Antiqua"/>
        </w:rPr>
      </w:pPr>
      <w:r>
        <w:rPr>
          <w:rFonts w:ascii="Book Antiqua" w:hAnsi="Book Antiqua" w:eastAsia="Book Antiqua" w:cs="Book Antiqua"/>
        </w:rPr>
        <w:t xml:space="preserve">42 </w:t>
      </w:r>
      <w:r>
        <w:rPr>
          <w:rFonts w:ascii="Book Antiqua" w:hAnsi="Book Antiqua" w:eastAsia="Book Antiqua" w:cs="Book Antiqua"/>
          <w:b/>
          <w:bCs/>
        </w:rPr>
        <w:t>Bamias G</w:t>
      </w:r>
      <w:r>
        <w:rPr>
          <w:rFonts w:ascii="Book Antiqua" w:hAnsi="Book Antiqua" w:eastAsia="Book Antiqua" w:cs="Book Antiqua"/>
        </w:rPr>
        <w:t xml:space="preserve">, Delladetsima I, Perdiki M, Siakavellas SI, Goukos D, Papatheodoridis GV, Daikos GL, Gogas H. Immunological Characteristics of Colitis Associated with Anti-CTLA-4 Antibody Therapy. </w:t>
      </w:r>
      <w:r>
        <w:rPr>
          <w:rFonts w:ascii="Book Antiqua" w:hAnsi="Book Antiqua" w:eastAsia="Book Antiqua" w:cs="Book Antiqua"/>
          <w:i/>
          <w:iCs/>
        </w:rPr>
        <w:t>Cancer Invest</w:t>
      </w:r>
      <w:r>
        <w:rPr>
          <w:rFonts w:ascii="Book Antiqua" w:hAnsi="Book Antiqua" w:eastAsia="Book Antiqua" w:cs="Book Antiqua"/>
        </w:rPr>
        <w:t xml:space="preserve"> 2017; </w:t>
      </w:r>
      <w:r>
        <w:rPr>
          <w:rFonts w:ascii="Book Antiqua" w:hAnsi="Book Antiqua" w:eastAsia="Book Antiqua" w:cs="Book Antiqua"/>
          <w:b/>
          <w:bCs/>
        </w:rPr>
        <w:t>35</w:t>
      </w:r>
      <w:r>
        <w:rPr>
          <w:rFonts w:ascii="Book Antiqua" w:hAnsi="Book Antiqua" w:eastAsia="Book Antiqua" w:cs="Book Antiqua"/>
        </w:rPr>
        <w:t>: 443-455 [PMID: 28548891 DOI: 10.1080/07357907.2017.1324032]</w:t>
      </w:r>
    </w:p>
    <w:p>
      <w:pPr>
        <w:spacing w:line="360" w:lineRule="auto"/>
        <w:jc w:val="both"/>
        <w:rPr>
          <w:rFonts w:ascii="Book Antiqua" w:hAnsi="Book Antiqua" w:eastAsia="Book Antiqua" w:cs="Book Antiqua"/>
        </w:rPr>
      </w:pPr>
      <w:r>
        <w:rPr>
          <w:rFonts w:ascii="Book Antiqua" w:hAnsi="Book Antiqua" w:eastAsia="Book Antiqua" w:cs="Book Antiqua"/>
        </w:rPr>
        <w:t xml:space="preserve">43 </w:t>
      </w:r>
      <w:r>
        <w:rPr>
          <w:rFonts w:ascii="Book Antiqua" w:hAnsi="Book Antiqua" w:eastAsia="Book Antiqua" w:cs="Book Antiqua"/>
          <w:b/>
          <w:bCs/>
        </w:rPr>
        <w:t>Westdorp H</w:t>
      </w:r>
      <w:r>
        <w:rPr>
          <w:rFonts w:ascii="Book Antiqua" w:hAnsi="Book Antiqua" w:eastAsia="Book Antiqua" w:cs="Book Antiqua"/>
        </w:rPr>
        <w:t xml:space="preserve">, Sweep MWD, Gorris MAJ, Hoentjen F, Boers-Sonderen MJ, van der Post RS, van den Heuvel MM, Piet B, Boleij A, Bloemendal HJ, de Vries IJM. Mechanisms of Immune Checkpoint Inhibitor-Mediated Colitis. </w:t>
      </w:r>
      <w:r>
        <w:rPr>
          <w:rFonts w:ascii="Book Antiqua" w:hAnsi="Book Antiqua" w:eastAsia="Book Antiqua" w:cs="Book Antiqua"/>
          <w:i/>
          <w:iCs/>
        </w:rPr>
        <w:t>Front Immunol</w:t>
      </w:r>
      <w:r>
        <w:rPr>
          <w:rFonts w:ascii="Book Antiqua" w:hAnsi="Book Antiqua" w:eastAsia="Book Antiqua" w:cs="Book Antiqua"/>
        </w:rPr>
        <w:t xml:space="preserve"> 2021; </w:t>
      </w:r>
      <w:r>
        <w:rPr>
          <w:rFonts w:ascii="Book Antiqua" w:hAnsi="Book Antiqua" w:eastAsia="Book Antiqua" w:cs="Book Antiqua"/>
          <w:b/>
          <w:bCs/>
        </w:rPr>
        <w:t>12</w:t>
      </w:r>
      <w:r>
        <w:rPr>
          <w:rFonts w:ascii="Book Antiqua" w:hAnsi="Book Antiqua" w:eastAsia="Book Antiqua" w:cs="Book Antiqua"/>
        </w:rPr>
        <w:t>: 768957 [PMID: 34777387 DOI: 10.3389/fimmu.2021.768957]</w:t>
      </w:r>
    </w:p>
    <w:p>
      <w:pPr>
        <w:spacing w:line="360" w:lineRule="auto"/>
        <w:jc w:val="both"/>
        <w:rPr>
          <w:rFonts w:ascii="Book Antiqua" w:hAnsi="Book Antiqua" w:eastAsia="Book Antiqua" w:cs="Book Antiqua"/>
        </w:rPr>
      </w:pPr>
      <w:r>
        <w:rPr>
          <w:rFonts w:ascii="Book Antiqua" w:hAnsi="Book Antiqua" w:eastAsia="Book Antiqua" w:cs="Book Antiqua"/>
        </w:rPr>
        <w:t xml:space="preserve">44 </w:t>
      </w:r>
      <w:r>
        <w:rPr>
          <w:rFonts w:ascii="Book Antiqua" w:hAnsi="Book Antiqua" w:eastAsia="Book Antiqua" w:cs="Book Antiqua"/>
          <w:b/>
          <w:bCs/>
        </w:rPr>
        <w:t>Zou F</w:t>
      </w:r>
      <w:r>
        <w:rPr>
          <w:rFonts w:ascii="Book Antiqua" w:hAnsi="Book Antiqua" w:eastAsia="Book Antiqua" w:cs="Book Antiqua"/>
        </w:rPr>
        <w:t xml:space="preserve">, Wang X, Glitza Oliva IC, McQuade JL, Wang J, Zhang HC, Thompson JA, Thomas AS, Wang Y. Fecal calprotectin concentration to assess endoscopic and histologic remission in patients with cancer with immune-mediated diarrhea and colitis. </w:t>
      </w:r>
      <w:r>
        <w:rPr>
          <w:rFonts w:ascii="Book Antiqua" w:hAnsi="Book Antiqua" w:eastAsia="Book Antiqua" w:cs="Book Antiqua"/>
          <w:i/>
          <w:iCs/>
        </w:rPr>
        <w:t>J Immunother Cancer</w:t>
      </w:r>
      <w:r>
        <w:rPr>
          <w:rFonts w:ascii="Book Antiqua" w:hAnsi="Book Antiqua" w:eastAsia="Book Antiqua" w:cs="Book Antiqua"/>
        </w:rPr>
        <w:t xml:space="preserve"> 2021; </w:t>
      </w:r>
      <w:r>
        <w:rPr>
          <w:rFonts w:ascii="Book Antiqua" w:hAnsi="Book Antiqua" w:eastAsia="Book Antiqua" w:cs="Book Antiqua"/>
          <w:b/>
          <w:bCs/>
        </w:rPr>
        <w:t>9</w:t>
      </w:r>
      <w:r>
        <w:rPr>
          <w:rFonts w:ascii="Book Antiqua" w:hAnsi="Book Antiqua" w:eastAsia="Book Antiqua" w:cs="Book Antiqua"/>
        </w:rPr>
        <w:t xml:space="preserve"> [PMID: 33436487 DOI: 10.1136/jitc-2020-002058]</w:t>
      </w:r>
    </w:p>
    <w:p>
      <w:pPr>
        <w:spacing w:line="360" w:lineRule="auto"/>
        <w:jc w:val="both"/>
        <w:rPr>
          <w:rFonts w:ascii="Book Antiqua" w:hAnsi="Book Antiqua" w:eastAsia="Book Antiqua" w:cs="Book Antiqua"/>
        </w:rPr>
      </w:pPr>
      <w:r>
        <w:rPr>
          <w:rFonts w:ascii="Book Antiqua" w:hAnsi="Book Antiqua" w:eastAsia="Book Antiqua" w:cs="Book Antiqua"/>
        </w:rPr>
        <w:t xml:space="preserve">45 </w:t>
      </w:r>
      <w:r>
        <w:rPr>
          <w:rFonts w:ascii="Book Antiqua" w:hAnsi="Book Antiqua" w:eastAsia="Book Antiqua" w:cs="Book Antiqua"/>
          <w:b/>
          <w:bCs/>
        </w:rPr>
        <w:t>Abu-Sbeih H</w:t>
      </w:r>
      <w:r>
        <w:rPr>
          <w:rFonts w:ascii="Book Antiqua" w:hAnsi="Book Antiqua" w:eastAsia="Book Antiqua" w:cs="Book Antiqua"/>
        </w:rPr>
        <w:t xml:space="preserve">, Ali FS, Alsaadi D, Jennings J, Luo W, Gong Z, Richards DM, Charabaty A, Wang Y. Outcomes of vedolizumab therapy in patients with immune checkpoint inhibitor-induced colitis: a multi-center study. </w:t>
      </w:r>
      <w:r>
        <w:rPr>
          <w:rFonts w:ascii="Book Antiqua" w:hAnsi="Book Antiqua" w:eastAsia="Book Antiqua" w:cs="Book Antiqua"/>
          <w:i/>
          <w:iCs/>
        </w:rPr>
        <w:t>J Immunother Cancer</w:t>
      </w:r>
      <w:r>
        <w:rPr>
          <w:rFonts w:ascii="Book Antiqua" w:hAnsi="Book Antiqua" w:eastAsia="Book Antiqua" w:cs="Book Antiqua"/>
        </w:rPr>
        <w:t xml:space="preserve"> 2018; </w:t>
      </w:r>
      <w:r>
        <w:rPr>
          <w:rFonts w:ascii="Book Antiqua" w:hAnsi="Book Antiqua" w:eastAsia="Book Antiqua" w:cs="Book Antiqua"/>
          <w:b/>
          <w:bCs/>
        </w:rPr>
        <w:t>6</w:t>
      </w:r>
      <w:r>
        <w:rPr>
          <w:rFonts w:ascii="Book Antiqua" w:hAnsi="Book Antiqua" w:eastAsia="Book Antiqua" w:cs="Book Antiqua"/>
        </w:rPr>
        <w:t>: 142 [PMID: 30518410 DOI: 10.1186/s40425-018-0461-4]</w:t>
      </w:r>
    </w:p>
    <w:p>
      <w:pPr>
        <w:spacing w:line="360" w:lineRule="auto"/>
        <w:jc w:val="both"/>
        <w:rPr>
          <w:rFonts w:ascii="Book Antiqua" w:hAnsi="Book Antiqua" w:eastAsia="Book Antiqua" w:cs="Book Antiqua"/>
        </w:rPr>
      </w:pPr>
      <w:r>
        <w:rPr>
          <w:rFonts w:ascii="Book Antiqua" w:hAnsi="Book Antiqua" w:eastAsia="Book Antiqua" w:cs="Book Antiqua"/>
        </w:rPr>
        <w:t xml:space="preserve">46 </w:t>
      </w:r>
      <w:r>
        <w:rPr>
          <w:rFonts w:ascii="Book Antiqua" w:hAnsi="Book Antiqua" w:eastAsia="Book Antiqua" w:cs="Book Antiqua"/>
          <w:b/>
          <w:bCs/>
        </w:rPr>
        <w:t>Kennedy LC</w:t>
      </w:r>
      <w:r>
        <w:rPr>
          <w:rFonts w:ascii="Book Antiqua" w:hAnsi="Book Antiqua" w:eastAsia="Book Antiqua" w:cs="Book Antiqua"/>
        </w:rPr>
        <w:t xml:space="preserve">, Grivas P. Immunotherapy-Related Colitis: An Emerging Challenge and a Quest for Prospective Data. </w:t>
      </w:r>
      <w:r>
        <w:rPr>
          <w:rFonts w:ascii="Book Antiqua" w:hAnsi="Book Antiqua" w:eastAsia="Book Antiqua" w:cs="Book Antiqua"/>
          <w:i/>
          <w:iCs/>
        </w:rPr>
        <w:t>JCO Oncol Pract</w:t>
      </w:r>
      <w:r>
        <w:rPr>
          <w:rFonts w:ascii="Book Antiqua" w:hAnsi="Book Antiqua" w:eastAsia="Book Antiqua" w:cs="Book Antiqua"/>
        </w:rPr>
        <w:t xml:space="preserve"> 2020; </w:t>
      </w:r>
      <w:r>
        <w:rPr>
          <w:rFonts w:ascii="Book Antiqua" w:hAnsi="Book Antiqua" w:eastAsia="Book Antiqua" w:cs="Book Antiqua"/>
          <w:b/>
          <w:bCs/>
        </w:rPr>
        <w:t>16</w:t>
      </w:r>
      <w:r>
        <w:rPr>
          <w:rFonts w:ascii="Book Antiqua" w:hAnsi="Book Antiqua" w:eastAsia="Book Antiqua" w:cs="Book Antiqua"/>
        </w:rPr>
        <w:t>: 464-465 [PMID: 32780983 DOI: 10.1200/OP.20.00620]</w:t>
      </w:r>
    </w:p>
    <w:p>
      <w:pPr>
        <w:spacing w:line="360" w:lineRule="auto"/>
        <w:jc w:val="both"/>
        <w:rPr>
          <w:rFonts w:ascii="Book Antiqua" w:hAnsi="Book Antiqua" w:eastAsia="Book Antiqua" w:cs="Book Antiqua"/>
        </w:rPr>
      </w:pPr>
      <w:r>
        <w:rPr>
          <w:rFonts w:ascii="Book Antiqua" w:hAnsi="Book Antiqua" w:eastAsia="Book Antiqua" w:cs="Book Antiqua"/>
        </w:rPr>
        <w:t xml:space="preserve">47 </w:t>
      </w:r>
      <w:r>
        <w:rPr>
          <w:rFonts w:ascii="Book Antiqua" w:hAnsi="Book Antiqua" w:eastAsia="Book Antiqua" w:cs="Book Antiqua"/>
          <w:b/>
          <w:bCs/>
        </w:rPr>
        <w:t>Thompson JA</w:t>
      </w:r>
      <w:r>
        <w:rPr>
          <w:rFonts w:ascii="Book Antiqua" w:hAnsi="Book Antiqua" w:eastAsia="Book Antiqua" w:cs="Book Antiqua"/>
        </w:rPr>
        <w:t xml:space="preserve">, Schneider BJ, Brahmer J, Andrews S, Armand P, Bhatia S, Budde LE, Costa L, Davies M, Dunnington D, Ernstoff MS, Frigault M, Kaffenberger BH, Lunning M, McGettigan S, McPherson J, Mohindra NA, Naidoo J, Olszanski AJ, Oluwole O, Patel SP, Pennell N, Reddy S, Ryder M, Santomasso B, Shofer S, Sosman JA, Wang Y, Weight RM, Johnson-Chilla A, Zuccarino-Catania G, Engh A. NCCN Guidelines Insights: Management of Immunotherapy-Related Toxicities, Version 1.2020. </w:t>
      </w:r>
      <w:r>
        <w:rPr>
          <w:rFonts w:ascii="Book Antiqua" w:hAnsi="Book Antiqua" w:eastAsia="Book Antiqua" w:cs="Book Antiqua"/>
          <w:i/>
          <w:iCs/>
        </w:rPr>
        <w:t>J Natl Compr Canc Netw</w:t>
      </w:r>
      <w:r>
        <w:rPr>
          <w:rFonts w:ascii="Book Antiqua" w:hAnsi="Book Antiqua" w:eastAsia="Book Antiqua" w:cs="Book Antiqua"/>
        </w:rPr>
        <w:t xml:space="preserve"> 2020; </w:t>
      </w:r>
      <w:r>
        <w:rPr>
          <w:rFonts w:ascii="Book Antiqua" w:hAnsi="Book Antiqua" w:eastAsia="Book Antiqua" w:cs="Book Antiqua"/>
          <w:b/>
          <w:bCs/>
        </w:rPr>
        <w:t>18</w:t>
      </w:r>
      <w:r>
        <w:rPr>
          <w:rFonts w:ascii="Book Antiqua" w:hAnsi="Book Antiqua" w:eastAsia="Book Antiqua" w:cs="Book Antiqua"/>
        </w:rPr>
        <w:t>: 230-241 [PMID: 32135517 DOI: 10.6004/jnccn.2020.0012]</w:t>
      </w:r>
    </w:p>
    <w:p>
      <w:pPr>
        <w:spacing w:line="360" w:lineRule="auto"/>
        <w:jc w:val="both"/>
        <w:rPr>
          <w:rFonts w:ascii="Book Antiqua" w:hAnsi="Book Antiqua" w:eastAsia="Book Antiqua" w:cs="Book Antiqua"/>
        </w:rPr>
      </w:pPr>
      <w:r>
        <w:rPr>
          <w:rFonts w:ascii="Book Antiqua" w:hAnsi="Book Antiqua" w:eastAsia="Book Antiqua" w:cs="Book Antiqua"/>
        </w:rPr>
        <w:t xml:space="preserve">48 </w:t>
      </w:r>
      <w:r>
        <w:rPr>
          <w:rFonts w:ascii="Book Antiqua" w:hAnsi="Book Antiqua" w:eastAsia="Book Antiqua" w:cs="Book Antiqua"/>
          <w:b/>
          <w:bCs/>
        </w:rPr>
        <w:t>Brahmer JR</w:t>
      </w:r>
      <w:r>
        <w:rPr>
          <w:rFonts w:ascii="Book Antiqua" w:hAnsi="Book Antiqua" w:eastAsia="Book Antiqua" w:cs="Book Antiqua"/>
        </w:rPr>
        <w:t xml:space="preserve">, Lacchetti C, Schneider BJ, Atkins MB, Brassil KJ, Caterino JM, Chau I, Ernstoff MS, Gardner JM, Ginex P, Hallmeyer S, Holter Chakrabarty J, Leighl NB, Mammen JS, McDermott DF, Naing A, Nastoupil LJ, Phillips T, Porter LD, Puzanov I, Reichner CA, Santomasso BD, Seigel C, Spira A, Suarez-Almazor ME, Wang Y, Weber JS, Wolchok JD, Thompson JA; National Comprehensive Cancer Network. Management of Immune-Related Adverse Events in Patients Treated With Immune Checkpoint Inhibitor Therapy: American Society of Clinical Oncology Clinical Practice Guideline. </w:t>
      </w:r>
      <w:r>
        <w:rPr>
          <w:rFonts w:ascii="Book Antiqua" w:hAnsi="Book Antiqua" w:eastAsia="Book Antiqua" w:cs="Book Antiqua"/>
          <w:i/>
          <w:iCs/>
        </w:rPr>
        <w:t>J Clin Oncol</w:t>
      </w:r>
      <w:r>
        <w:rPr>
          <w:rFonts w:ascii="Book Antiqua" w:hAnsi="Book Antiqua" w:eastAsia="Book Antiqua" w:cs="Book Antiqua"/>
        </w:rPr>
        <w:t xml:space="preserve"> 2018; </w:t>
      </w:r>
      <w:r>
        <w:rPr>
          <w:rFonts w:ascii="Book Antiqua" w:hAnsi="Book Antiqua" w:eastAsia="Book Antiqua" w:cs="Book Antiqua"/>
          <w:b/>
          <w:bCs/>
        </w:rPr>
        <w:t>36</w:t>
      </w:r>
      <w:r>
        <w:rPr>
          <w:rFonts w:ascii="Book Antiqua" w:hAnsi="Book Antiqua" w:eastAsia="Book Antiqua" w:cs="Book Antiqua"/>
        </w:rPr>
        <w:t>: 1714-1768 [PMID: 29442540 DOI: 10.1200/JCO.2017.77.6385]</w:t>
      </w:r>
    </w:p>
    <w:p>
      <w:pPr>
        <w:spacing w:line="360" w:lineRule="auto"/>
        <w:jc w:val="both"/>
        <w:rPr>
          <w:rFonts w:ascii="Book Antiqua" w:hAnsi="Book Antiqua" w:eastAsia="Book Antiqua" w:cs="Book Antiqua"/>
        </w:rPr>
      </w:pPr>
      <w:r>
        <w:rPr>
          <w:rFonts w:ascii="Book Antiqua" w:hAnsi="Book Antiqua" w:eastAsia="Book Antiqua" w:cs="Book Antiqua"/>
        </w:rPr>
        <w:t xml:space="preserve">49 </w:t>
      </w:r>
      <w:r>
        <w:rPr>
          <w:rFonts w:ascii="Book Antiqua" w:hAnsi="Book Antiqua" w:eastAsia="Book Antiqua" w:cs="Book Antiqua"/>
          <w:b/>
          <w:bCs/>
        </w:rPr>
        <w:t>Sfikakis PP</w:t>
      </w:r>
      <w:r>
        <w:rPr>
          <w:rFonts w:ascii="Book Antiqua" w:hAnsi="Book Antiqua" w:eastAsia="Book Antiqua" w:cs="Book Antiqua"/>
        </w:rPr>
        <w:t xml:space="preserve">. The first decade of biologic TNF antagonists in clinical practice: lessons learned, unresolved issues and future directions. </w:t>
      </w:r>
      <w:r>
        <w:rPr>
          <w:rFonts w:ascii="Book Antiqua" w:hAnsi="Book Antiqua" w:eastAsia="Book Antiqua" w:cs="Book Antiqua"/>
          <w:i/>
          <w:iCs/>
        </w:rPr>
        <w:t>Curr Dir Autoimmun</w:t>
      </w:r>
      <w:r>
        <w:rPr>
          <w:rFonts w:ascii="Book Antiqua" w:hAnsi="Book Antiqua" w:eastAsia="Book Antiqua" w:cs="Book Antiqua"/>
        </w:rPr>
        <w:t xml:space="preserve"> 2010; </w:t>
      </w:r>
      <w:r>
        <w:rPr>
          <w:rFonts w:ascii="Book Antiqua" w:hAnsi="Book Antiqua" w:eastAsia="Book Antiqua" w:cs="Book Antiqua"/>
          <w:b/>
          <w:bCs/>
        </w:rPr>
        <w:t>11</w:t>
      </w:r>
      <w:r>
        <w:rPr>
          <w:rFonts w:ascii="Book Antiqua" w:hAnsi="Book Antiqua" w:eastAsia="Book Antiqua" w:cs="Book Antiqua"/>
        </w:rPr>
        <w:t>: 180-210 [PMID: 20173395 DOI: 10.1159/000289205]</w:t>
      </w:r>
    </w:p>
    <w:p>
      <w:pPr>
        <w:spacing w:line="360" w:lineRule="auto"/>
        <w:jc w:val="both"/>
        <w:rPr>
          <w:rFonts w:ascii="Book Antiqua" w:hAnsi="Book Antiqua" w:eastAsia="Book Antiqua" w:cs="Book Antiqua"/>
        </w:rPr>
      </w:pPr>
      <w:r>
        <w:rPr>
          <w:rFonts w:ascii="Book Antiqua" w:hAnsi="Book Antiqua" w:eastAsia="Book Antiqua" w:cs="Book Antiqua"/>
        </w:rPr>
        <w:t xml:space="preserve">50 </w:t>
      </w:r>
      <w:r>
        <w:rPr>
          <w:rFonts w:ascii="Book Antiqua" w:hAnsi="Book Antiqua" w:eastAsia="Book Antiqua" w:cs="Book Antiqua"/>
          <w:b/>
          <w:bCs/>
        </w:rPr>
        <w:t>Postow MA</w:t>
      </w:r>
      <w:r>
        <w:rPr>
          <w:rFonts w:ascii="Book Antiqua" w:hAnsi="Book Antiqua" w:eastAsia="Book Antiqua" w:cs="Book Antiqua"/>
        </w:rPr>
        <w:t xml:space="preserve">, Sidlow R, Hellmann MD. Immune-Related Adverse Events Associated with Immune Checkpoint Blockade. </w:t>
      </w:r>
      <w:r>
        <w:rPr>
          <w:rFonts w:ascii="Book Antiqua" w:hAnsi="Book Antiqua" w:eastAsia="Book Antiqua" w:cs="Book Antiqua"/>
          <w:i/>
          <w:iCs/>
        </w:rPr>
        <w:t>N Engl J Med</w:t>
      </w:r>
      <w:r>
        <w:rPr>
          <w:rFonts w:ascii="Book Antiqua" w:hAnsi="Book Antiqua" w:eastAsia="Book Antiqua" w:cs="Book Antiqua"/>
        </w:rPr>
        <w:t xml:space="preserve"> 2018; </w:t>
      </w:r>
      <w:r>
        <w:rPr>
          <w:rFonts w:ascii="Book Antiqua" w:hAnsi="Book Antiqua" w:eastAsia="Book Antiqua" w:cs="Book Antiqua"/>
          <w:b/>
          <w:bCs/>
        </w:rPr>
        <w:t>378</w:t>
      </w:r>
      <w:r>
        <w:rPr>
          <w:rFonts w:ascii="Book Antiqua" w:hAnsi="Book Antiqua" w:eastAsia="Book Antiqua" w:cs="Book Antiqua"/>
        </w:rPr>
        <w:t>: 158-168 [PMID: 29320654 DOI: 10.1056/NEJMra1703481]</w:t>
      </w:r>
    </w:p>
    <w:p>
      <w:pPr>
        <w:spacing w:line="360" w:lineRule="auto"/>
        <w:jc w:val="both"/>
        <w:rPr>
          <w:rFonts w:ascii="Book Antiqua" w:hAnsi="Book Antiqua" w:eastAsia="Book Antiqua" w:cs="Book Antiqua"/>
        </w:rPr>
      </w:pPr>
      <w:r>
        <w:rPr>
          <w:rFonts w:ascii="Book Antiqua" w:hAnsi="Book Antiqua" w:eastAsia="Book Antiqua" w:cs="Book Antiqua"/>
        </w:rPr>
        <w:t xml:space="preserve">51 </w:t>
      </w:r>
      <w:r>
        <w:rPr>
          <w:rFonts w:ascii="Book Antiqua" w:hAnsi="Book Antiqua" w:eastAsia="Book Antiqua" w:cs="Book Antiqua"/>
          <w:b/>
          <w:bCs/>
        </w:rPr>
        <w:t>Friedman CF</w:t>
      </w:r>
      <w:r>
        <w:rPr>
          <w:rFonts w:ascii="Book Antiqua" w:hAnsi="Book Antiqua" w:eastAsia="Book Antiqua" w:cs="Book Antiqua"/>
        </w:rPr>
        <w:t xml:space="preserve">, Proverbs-Singh TA, Postow MA. Treatment of the Immune-Related Adverse Effects of Immune Checkpoint Inhibitors: A Review. </w:t>
      </w:r>
      <w:r>
        <w:rPr>
          <w:rFonts w:ascii="Book Antiqua" w:hAnsi="Book Antiqua" w:eastAsia="Book Antiqua" w:cs="Book Antiqua"/>
          <w:i/>
          <w:iCs/>
        </w:rPr>
        <w:t>JAMA Oncol</w:t>
      </w:r>
      <w:r>
        <w:rPr>
          <w:rFonts w:ascii="Book Antiqua" w:hAnsi="Book Antiqua" w:eastAsia="Book Antiqua" w:cs="Book Antiqua"/>
        </w:rPr>
        <w:t xml:space="preserve"> 2016; </w:t>
      </w:r>
      <w:r>
        <w:rPr>
          <w:rFonts w:ascii="Book Antiqua" w:hAnsi="Book Antiqua" w:eastAsia="Book Antiqua" w:cs="Book Antiqua"/>
          <w:b/>
          <w:bCs/>
        </w:rPr>
        <w:t>2</w:t>
      </w:r>
      <w:r>
        <w:rPr>
          <w:rFonts w:ascii="Book Antiqua" w:hAnsi="Book Antiqua" w:eastAsia="Book Antiqua" w:cs="Book Antiqua"/>
        </w:rPr>
        <w:t>: 1346-1353 [PMID: 27367787 DOI: 10.1001/jamaoncol.2016.1051]</w:t>
      </w:r>
    </w:p>
    <w:p>
      <w:pPr>
        <w:spacing w:line="360" w:lineRule="auto"/>
        <w:jc w:val="both"/>
        <w:rPr>
          <w:rFonts w:ascii="Book Antiqua" w:hAnsi="Book Antiqua" w:eastAsia="Book Antiqua" w:cs="Book Antiqua"/>
        </w:rPr>
      </w:pPr>
      <w:r>
        <w:rPr>
          <w:rFonts w:ascii="Book Antiqua" w:hAnsi="Book Antiqua" w:eastAsia="Book Antiqua" w:cs="Book Antiqua"/>
        </w:rPr>
        <w:t xml:space="preserve">52 </w:t>
      </w:r>
      <w:r>
        <w:rPr>
          <w:rFonts w:ascii="Book Antiqua" w:hAnsi="Book Antiqua" w:eastAsia="Book Antiqua" w:cs="Book Antiqua"/>
          <w:b/>
          <w:bCs/>
        </w:rPr>
        <w:t>Bergqvist V</w:t>
      </w:r>
      <w:r>
        <w:rPr>
          <w:rFonts w:ascii="Book Antiqua" w:hAnsi="Book Antiqua" w:eastAsia="Book Antiqua" w:cs="Book Antiqua"/>
        </w:rPr>
        <w:t xml:space="preserve">, Hertervig E, Gedeon P, Kopljar M, Griph H, Kinhult S, Carneiro A, Marsal J. Vedolizumab treatment for immune checkpoint inhibitor-induced enterocolitis. </w:t>
      </w:r>
      <w:r>
        <w:rPr>
          <w:rFonts w:ascii="Book Antiqua" w:hAnsi="Book Antiqua" w:eastAsia="Book Antiqua" w:cs="Book Antiqua"/>
          <w:i/>
          <w:iCs/>
        </w:rPr>
        <w:t>Cancer Immunol Immunother</w:t>
      </w:r>
      <w:r>
        <w:rPr>
          <w:rFonts w:ascii="Book Antiqua" w:hAnsi="Book Antiqua" w:eastAsia="Book Antiqua" w:cs="Book Antiqua"/>
        </w:rPr>
        <w:t xml:space="preserve"> 2017; </w:t>
      </w:r>
      <w:r>
        <w:rPr>
          <w:rFonts w:ascii="Book Antiqua" w:hAnsi="Book Antiqua" w:eastAsia="Book Antiqua" w:cs="Book Antiqua"/>
          <w:b/>
          <w:bCs/>
        </w:rPr>
        <w:t>66</w:t>
      </w:r>
      <w:r>
        <w:rPr>
          <w:rFonts w:ascii="Book Antiqua" w:hAnsi="Book Antiqua" w:eastAsia="Book Antiqua" w:cs="Book Antiqua"/>
        </w:rPr>
        <w:t>: 581-592 [PMID: 28204866 DOI: 10.1007/s00262-017-1962-6]</w:t>
      </w:r>
    </w:p>
    <w:p>
      <w:pPr>
        <w:spacing w:line="360" w:lineRule="auto"/>
        <w:jc w:val="both"/>
        <w:rPr>
          <w:rFonts w:ascii="Book Antiqua" w:hAnsi="Book Antiqua" w:eastAsia="Book Antiqua" w:cs="Book Antiqua"/>
        </w:rPr>
      </w:pPr>
      <w:r>
        <w:rPr>
          <w:rFonts w:ascii="Book Antiqua" w:hAnsi="Book Antiqua" w:eastAsia="Book Antiqua" w:cs="Book Antiqua"/>
        </w:rPr>
        <w:t xml:space="preserve">53 </w:t>
      </w:r>
      <w:r>
        <w:rPr>
          <w:rFonts w:ascii="Book Antiqua" w:hAnsi="Book Antiqua" w:eastAsia="Book Antiqua" w:cs="Book Antiqua"/>
          <w:b/>
          <w:bCs/>
        </w:rPr>
        <w:t>Hsieh AH</w:t>
      </w:r>
      <w:r>
        <w:rPr>
          <w:rFonts w:ascii="Book Antiqua" w:hAnsi="Book Antiqua" w:eastAsia="Book Antiqua" w:cs="Book Antiqua"/>
        </w:rPr>
        <w:t xml:space="preserve">, Ferman M, Brown MP, Andrews JM. Vedolizumab: a novel treatment for ipilimumab-induced colitis. </w:t>
      </w:r>
      <w:r>
        <w:rPr>
          <w:rFonts w:ascii="Book Antiqua" w:hAnsi="Book Antiqua" w:eastAsia="Book Antiqua" w:cs="Book Antiqua"/>
          <w:i/>
          <w:iCs/>
        </w:rPr>
        <w:t>BMJ Case Rep</w:t>
      </w:r>
      <w:r>
        <w:rPr>
          <w:rFonts w:ascii="Book Antiqua" w:hAnsi="Book Antiqua" w:eastAsia="Book Antiqua" w:cs="Book Antiqua"/>
        </w:rPr>
        <w:t xml:space="preserve"> 2016; </w:t>
      </w:r>
      <w:r>
        <w:rPr>
          <w:rFonts w:ascii="Book Antiqua" w:hAnsi="Book Antiqua" w:eastAsia="Book Antiqua" w:cs="Book Antiqua"/>
          <w:b/>
          <w:bCs/>
        </w:rPr>
        <w:t>2016</w:t>
      </w:r>
      <w:r>
        <w:rPr>
          <w:rFonts w:ascii="Book Antiqua" w:hAnsi="Book Antiqua" w:eastAsia="Book Antiqua" w:cs="Book Antiqua"/>
        </w:rPr>
        <w:t xml:space="preserve"> [PMID: 27539137 DOI: 10.1136/bcr-2016-216641]</w:t>
      </w:r>
    </w:p>
    <w:p>
      <w:pPr>
        <w:spacing w:line="360" w:lineRule="auto"/>
        <w:jc w:val="both"/>
        <w:rPr>
          <w:rFonts w:ascii="Book Antiqua" w:hAnsi="Book Antiqua" w:eastAsia="Book Antiqua" w:cs="Book Antiqua"/>
        </w:rPr>
      </w:pPr>
      <w:r>
        <w:rPr>
          <w:rFonts w:ascii="Book Antiqua" w:hAnsi="Book Antiqua" w:eastAsia="Book Antiqua" w:cs="Book Antiqua"/>
        </w:rPr>
        <w:t xml:space="preserve">54 </w:t>
      </w:r>
      <w:r>
        <w:rPr>
          <w:rFonts w:ascii="Book Antiqua" w:hAnsi="Book Antiqua" w:eastAsia="Book Antiqua" w:cs="Book Antiqua"/>
          <w:b/>
          <w:bCs/>
        </w:rPr>
        <w:t>Youssef J</w:t>
      </w:r>
      <w:r>
        <w:rPr>
          <w:rFonts w:ascii="Book Antiqua" w:hAnsi="Book Antiqua" w:eastAsia="Book Antiqua" w:cs="Book Antiqua"/>
        </w:rPr>
        <w:t xml:space="preserve">, Novosad SA, Winthrop KL. Infection Risk and Safety of Corticosteroid Use. </w:t>
      </w:r>
      <w:r>
        <w:rPr>
          <w:rFonts w:ascii="Book Antiqua" w:hAnsi="Book Antiqua" w:eastAsia="Book Antiqua" w:cs="Book Antiqua"/>
          <w:i/>
          <w:iCs/>
        </w:rPr>
        <w:t>Rheum Dis Clin North Am</w:t>
      </w:r>
      <w:r>
        <w:rPr>
          <w:rFonts w:ascii="Book Antiqua" w:hAnsi="Book Antiqua" w:eastAsia="Book Antiqua" w:cs="Book Antiqua"/>
        </w:rPr>
        <w:t xml:space="preserve"> 2016; </w:t>
      </w:r>
      <w:r>
        <w:rPr>
          <w:rFonts w:ascii="Book Antiqua" w:hAnsi="Book Antiqua" w:eastAsia="Book Antiqua" w:cs="Book Antiqua"/>
          <w:b/>
          <w:bCs/>
        </w:rPr>
        <w:t>42</w:t>
      </w:r>
      <w:r>
        <w:rPr>
          <w:rFonts w:ascii="Book Antiqua" w:hAnsi="Book Antiqua" w:eastAsia="Book Antiqua" w:cs="Book Antiqua"/>
        </w:rPr>
        <w:t>: 157-176, ix-ix [PMID: 26611557 DOI: 10.1016/j.rdc.2015.08.004]</w:t>
      </w:r>
    </w:p>
    <w:p>
      <w:pPr>
        <w:spacing w:line="360" w:lineRule="auto"/>
        <w:jc w:val="both"/>
        <w:rPr>
          <w:rFonts w:ascii="Book Antiqua" w:hAnsi="Book Antiqua" w:eastAsia="Book Antiqua" w:cs="Book Antiqua"/>
        </w:rPr>
      </w:pPr>
      <w:r>
        <w:rPr>
          <w:rFonts w:ascii="Book Antiqua" w:hAnsi="Book Antiqua" w:eastAsia="Book Antiqua" w:cs="Book Antiqua"/>
        </w:rPr>
        <w:t xml:space="preserve">55 </w:t>
      </w:r>
      <w:r>
        <w:rPr>
          <w:rFonts w:ascii="Book Antiqua" w:hAnsi="Book Antiqua" w:eastAsia="Book Antiqua" w:cs="Book Antiqua"/>
          <w:b/>
          <w:bCs/>
        </w:rPr>
        <w:t>Siegel CA</w:t>
      </w:r>
      <w:r>
        <w:rPr>
          <w:rFonts w:ascii="Book Antiqua" w:hAnsi="Book Antiqua" w:eastAsia="Book Antiqua" w:cs="Book Antiqua"/>
        </w:rPr>
        <w:t xml:space="preserve">, Hur C, Korzenik JR, Gazelle GS, Sands BE. Risks and benefits of infliximab for the treatment of Crohn's disease. </w:t>
      </w:r>
      <w:r>
        <w:rPr>
          <w:rFonts w:ascii="Book Antiqua" w:hAnsi="Book Antiqua" w:eastAsia="Book Antiqua" w:cs="Book Antiqua"/>
          <w:i/>
          <w:iCs/>
        </w:rPr>
        <w:t>Clin Gastroenterol Hepatol</w:t>
      </w:r>
      <w:r>
        <w:rPr>
          <w:rFonts w:ascii="Book Antiqua" w:hAnsi="Book Antiqua" w:eastAsia="Book Antiqua" w:cs="Book Antiqua"/>
        </w:rPr>
        <w:t xml:space="preserve"> 2006; </w:t>
      </w:r>
      <w:r>
        <w:rPr>
          <w:rFonts w:ascii="Book Antiqua" w:hAnsi="Book Antiqua" w:eastAsia="Book Antiqua" w:cs="Book Antiqua"/>
          <w:b/>
          <w:bCs/>
        </w:rPr>
        <w:t>4</w:t>
      </w:r>
      <w:r>
        <w:rPr>
          <w:rFonts w:ascii="Book Antiqua" w:hAnsi="Book Antiqua" w:eastAsia="Book Antiqua" w:cs="Book Antiqua"/>
        </w:rPr>
        <w:t>: 1017-24; quiz 976 [PMID: 16843733 DOI: 10.1016/j.cgh.2006.05.020]</w:t>
      </w:r>
    </w:p>
    <w:p>
      <w:pPr>
        <w:spacing w:line="360" w:lineRule="auto"/>
        <w:jc w:val="both"/>
        <w:rPr>
          <w:rFonts w:ascii="Book Antiqua" w:hAnsi="Book Antiqua" w:eastAsia="Book Antiqua" w:cs="Book Antiqua"/>
        </w:rPr>
      </w:pPr>
      <w:r>
        <w:rPr>
          <w:rFonts w:ascii="Book Antiqua" w:hAnsi="Book Antiqua" w:eastAsia="Book Antiqua" w:cs="Book Antiqua"/>
        </w:rPr>
        <w:t xml:space="preserve">56 </w:t>
      </w:r>
      <w:r>
        <w:rPr>
          <w:rFonts w:ascii="Book Antiqua" w:hAnsi="Book Antiqua" w:eastAsia="Book Antiqua" w:cs="Book Antiqua"/>
          <w:b/>
          <w:bCs/>
        </w:rPr>
        <w:t>Thompson JA</w:t>
      </w:r>
      <w:r>
        <w:rPr>
          <w:rFonts w:ascii="Book Antiqua" w:hAnsi="Book Antiqua" w:eastAsia="Book Antiqua" w:cs="Book Antiqua"/>
        </w:rPr>
        <w:t xml:space="preserve">, Schneider BJ, Brahmer J, Andrews S, Armand P, Bhatia S, Budde LE, Costa L, Davies M, Dunnington D, Ernstoff MS, Frigault M, Hoffner B, Hoimes CJ, Lacouture M, Locke F, Lunning M, Mohindra NA, Naidoo J, Olszanski AJ, Oluwole O, Patel SP, Reddy S, Ryder M, Santomasso B, Shofer S, Sosman JA, Wahidi M, Wang Y, Johnson-Chilla A, Scavone JL. Management of Immunotherapy-Related Toxicities, Version 1.2019. </w:t>
      </w:r>
      <w:r>
        <w:rPr>
          <w:rFonts w:ascii="Book Antiqua" w:hAnsi="Book Antiqua" w:eastAsia="Book Antiqua" w:cs="Book Antiqua"/>
          <w:i/>
          <w:iCs/>
        </w:rPr>
        <w:t>J Natl Compr Canc Netw</w:t>
      </w:r>
      <w:r>
        <w:rPr>
          <w:rFonts w:ascii="Book Antiqua" w:hAnsi="Book Antiqua" w:eastAsia="Book Antiqua" w:cs="Book Antiqua"/>
        </w:rPr>
        <w:t xml:space="preserve"> 2019; </w:t>
      </w:r>
      <w:r>
        <w:rPr>
          <w:rFonts w:ascii="Book Antiqua" w:hAnsi="Book Antiqua" w:eastAsia="Book Antiqua" w:cs="Book Antiqua"/>
          <w:b/>
          <w:bCs/>
        </w:rPr>
        <w:t>17</w:t>
      </w:r>
      <w:r>
        <w:rPr>
          <w:rFonts w:ascii="Book Antiqua" w:hAnsi="Book Antiqua" w:eastAsia="Book Antiqua" w:cs="Book Antiqua"/>
        </w:rPr>
        <w:t>: 255-289 [PMID: 30865922 DOI: 10.6004/jnccn.2019.0013]</w:t>
      </w:r>
    </w:p>
    <w:p>
      <w:pPr>
        <w:spacing w:line="360" w:lineRule="auto"/>
        <w:jc w:val="both"/>
        <w:rPr>
          <w:rFonts w:ascii="Book Antiqua" w:hAnsi="Book Antiqua" w:eastAsia="Book Antiqua" w:cs="Book Antiqua"/>
        </w:rPr>
      </w:pPr>
      <w:r>
        <w:rPr>
          <w:rFonts w:ascii="Book Antiqua" w:hAnsi="Book Antiqua" w:eastAsia="Book Antiqua" w:cs="Book Antiqua"/>
        </w:rPr>
        <w:t xml:space="preserve">57 </w:t>
      </w:r>
      <w:r>
        <w:rPr>
          <w:rFonts w:ascii="Book Antiqua" w:hAnsi="Book Antiqua" w:eastAsia="Book Antiqua" w:cs="Book Antiqua"/>
          <w:b/>
          <w:bCs/>
        </w:rPr>
        <w:t>Abu-Sbeih H</w:t>
      </w:r>
      <w:r>
        <w:rPr>
          <w:rFonts w:ascii="Book Antiqua" w:hAnsi="Book Antiqua" w:eastAsia="Book Antiqua" w:cs="Book Antiqua"/>
        </w:rPr>
        <w:t xml:space="preserve">, Ali FS, Luo W, Qiao W, Raju GS, Wang Y. Importance of endoscopic and histological evaluation in the management of immune checkpoint inhibitor-induced colitis. </w:t>
      </w:r>
      <w:r>
        <w:rPr>
          <w:rFonts w:ascii="Book Antiqua" w:hAnsi="Book Antiqua" w:eastAsia="Book Antiqua" w:cs="Book Antiqua"/>
          <w:i/>
          <w:iCs/>
        </w:rPr>
        <w:t>J Immunother Cancer</w:t>
      </w:r>
      <w:r>
        <w:rPr>
          <w:rFonts w:ascii="Book Antiqua" w:hAnsi="Book Antiqua" w:eastAsia="Book Antiqua" w:cs="Book Antiqua"/>
        </w:rPr>
        <w:t xml:space="preserve"> 2018; </w:t>
      </w:r>
      <w:r>
        <w:rPr>
          <w:rFonts w:ascii="Book Antiqua" w:hAnsi="Book Antiqua" w:eastAsia="Book Antiqua" w:cs="Book Antiqua"/>
          <w:b/>
          <w:bCs/>
        </w:rPr>
        <w:t>6</w:t>
      </w:r>
      <w:r>
        <w:rPr>
          <w:rFonts w:ascii="Book Antiqua" w:hAnsi="Book Antiqua" w:eastAsia="Book Antiqua" w:cs="Book Antiqua"/>
        </w:rPr>
        <w:t>: 95 [PMID: 30253811 DOI: 10.1186/s40425-018-0411-1]</w:t>
      </w:r>
    </w:p>
    <w:p>
      <w:pPr>
        <w:spacing w:line="360" w:lineRule="auto"/>
        <w:jc w:val="both"/>
        <w:rPr>
          <w:rFonts w:ascii="Book Antiqua" w:hAnsi="Book Antiqua" w:eastAsia="Book Antiqua" w:cs="Book Antiqua"/>
        </w:rPr>
      </w:pPr>
      <w:r>
        <w:rPr>
          <w:rFonts w:ascii="Book Antiqua" w:hAnsi="Book Antiqua" w:eastAsia="Book Antiqua" w:cs="Book Antiqua"/>
        </w:rPr>
        <w:t xml:space="preserve">58 </w:t>
      </w:r>
      <w:r>
        <w:rPr>
          <w:rFonts w:ascii="Book Antiqua" w:hAnsi="Book Antiqua" w:eastAsia="Book Antiqua" w:cs="Book Antiqua"/>
          <w:b/>
          <w:bCs/>
        </w:rPr>
        <w:t>Abu-Sbeih H</w:t>
      </w:r>
      <w:r>
        <w:rPr>
          <w:rFonts w:ascii="Book Antiqua" w:hAnsi="Book Antiqua" w:eastAsia="Book Antiqua" w:cs="Book Antiqua"/>
        </w:rPr>
        <w:t xml:space="preserve">, Ali FS, Wang X, Mallepally N, Chen E, Altan M, Bresalier RS, Charabaty A, Dadu R, Jazaeri A, Lashner B, Wang Y. Early introduction of selective immunosuppressive therapy associated with favorable clinical outcomes in patients with immune checkpoint inhibitor-induced colitis. </w:t>
      </w:r>
      <w:r>
        <w:rPr>
          <w:rFonts w:ascii="Book Antiqua" w:hAnsi="Book Antiqua" w:eastAsia="Book Antiqua" w:cs="Book Antiqua"/>
          <w:i/>
          <w:iCs/>
        </w:rPr>
        <w:t>J Immunother Cancer</w:t>
      </w:r>
      <w:r>
        <w:rPr>
          <w:rFonts w:ascii="Book Antiqua" w:hAnsi="Book Antiqua" w:eastAsia="Book Antiqua" w:cs="Book Antiqua"/>
        </w:rPr>
        <w:t xml:space="preserve"> 2019; </w:t>
      </w:r>
      <w:r>
        <w:rPr>
          <w:rFonts w:ascii="Book Antiqua" w:hAnsi="Book Antiqua" w:eastAsia="Book Antiqua" w:cs="Book Antiqua"/>
          <w:b/>
          <w:bCs/>
        </w:rPr>
        <w:t>7</w:t>
      </w:r>
      <w:r>
        <w:rPr>
          <w:rFonts w:ascii="Book Antiqua" w:hAnsi="Book Antiqua" w:eastAsia="Book Antiqua" w:cs="Book Antiqua"/>
        </w:rPr>
        <w:t>: 93 [PMID: 30940209 DOI: 10.1186/s40425-019-0577-1]</w:t>
      </w:r>
    </w:p>
    <w:p>
      <w:pPr>
        <w:spacing w:line="360" w:lineRule="auto"/>
        <w:jc w:val="both"/>
        <w:rPr>
          <w:rFonts w:ascii="Book Antiqua" w:hAnsi="Book Antiqua" w:eastAsia="Book Antiqua" w:cs="Book Antiqua"/>
        </w:rPr>
      </w:pPr>
      <w:r>
        <w:rPr>
          <w:rFonts w:ascii="Book Antiqua" w:hAnsi="Book Antiqua" w:eastAsia="Book Antiqua" w:cs="Book Antiqua"/>
        </w:rPr>
        <w:t xml:space="preserve">59 </w:t>
      </w:r>
      <w:r>
        <w:rPr>
          <w:rFonts w:ascii="Book Antiqua" w:hAnsi="Book Antiqua" w:eastAsia="Book Antiqua" w:cs="Book Antiqua"/>
          <w:b/>
          <w:bCs/>
        </w:rPr>
        <w:t>Evangelatos G</w:t>
      </w:r>
      <w:r>
        <w:rPr>
          <w:rFonts w:ascii="Book Antiqua" w:hAnsi="Book Antiqua" w:eastAsia="Book Antiqua" w:cs="Book Antiqua"/>
        </w:rPr>
        <w:t xml:space="preserve">, Bamias G, Kitas GD, Kollias G, Sfikakis PP. The second decade of anti-TNF-a therapy in clinical practice: new lessons and future directions in the COVID-19 era. </w:t>
      </w:r>
      <w:r>
        <w:rPr>
          <w:rFonts w:ascii="Book Antiqua" w:hAnsi="Book Antiqua" w:eastAsia="Book Antiqua" w:cs="Book Antiqua"/>
          <w:i/>
          <w:iCs/>
        </w:rPr>
        <w:t>Rheumatol Int</w:t>
      </w:r>
      <w:r>
        <w:rPr>
          <w:rFonts w:ascii="Book Antiqua" w:hAnsi="Book Antiqua" w:eastAsia="Book Antiqua" w:cs="Book Antiqua"/>
        </w:rPr>
        <w:t xml:space="preserve"> 2022; </w:t>
      </w:r>
      <w:r>
        <w:rPr>
          <w:rFonts w:ascii="Book Antiqua" w:hAnsi="Book Antiqua" w:eastAsia="Book Antiqua" w:cs="Book Antiqua"/>
          <w:b/>
          <w:bCs/>
        </w:rPr>
        <w:t>42</w:t>
      </w:r>
      <w:r>
        <w:rPr>
          <w:rFonts w:ascii="Book Antiqua" w:hAnsi="Book Antiqua" w:eastAsia="Book Antiqua" w:cs="Book Antiqua"/>
        </w:rPr>
        <w:t>: 1493-1511 [PMID: 35503130 DOI: 10.1007/s00296-022-05136-x]</w:t>
      </w:r>
    </w:p>
    <w:p>
      <w:pPr>
        <w:spacing w:line="360" w:lineRule="auto"/>
        <w:jc w:val="both"/>
        <w:rPr>
          <w:rFonts w:ascii="Book Antiqua" w:hAnsi="Book Antiqua" w:eastAsia="Book Antiqua" w:cs="Book Antiqua"/>
        </w:rPr>
      </w:pPr>
      <w:r>
        <w:rPr>
          <w:rFonts w:ascii="Book Antiqua" w:hAnsi="Book Antiqua" w:eastAsia="Book Antiqua" w:cs="Book Antiqua"/>
        </w:rPr>
        <w:t xml:space="preserve">60 </w:t>
      </w:r>
      <w:r>
        <w:rPr>
          <w:rFonts w:ascii="Book Antiqua" w:hAnsi="Book Antiqua" w:eastAsia="Book Antiqua" w:cs="Book Antiqua"/>
          <w:b/>
          <w:bCs/>
        </w:rPr>
        <w:t>Wang Y</w:t>
      </w:r>
      <w:r>
        <w:rPr>
          <w:rFonts w:ascii="Book Antiqua" w:hAnsi="Book Antiqua" w:eastAsia="Book Antiqua" w:cs="Book Antiqua"/>
        </w:rPr>
        <w:t xml:space="preserve">, Wiesnoski DH, Helmink BA, Gopalakrishnan V, Choi K, DuPont HL, Jiang ZD, Abu-Sbeih H, Sanchez CA, Chang CC, Parra ER, Francisco-Cruz A, Raju GS, Stroehlein JR, Campbell MT, Gao J, Subudhi SK, Maru DM, Blando JM, Lazar AJ, Allison JP, Sharma P, Tetzlaff MT, Wargo JA, Jenq RR. Fecal microbiota transplantation for refractory immune checkpoint inhibitor-associated colitis. </w:t>
      </w:r>
      <w:r>
        <w:rPr>
          <w:rFonts w:ascii="Book Antiqua" w:hAnsi="Book Antiqua" w:eastAsia="Book Antiqua" w:cs="Book Antiqua"/>
          <w:i/>
          <w:iCs/>
        </w:rPr>
        <w:t>Nat Med</w:t>
      </w:r>
      <w:r>
        <w:rPr>
          <w:rFonts w:ascii="Book Antiqua" w:hAnsi="Book Antiqua" w:eastAsia="Book Antiqua" w:cs="Book Antiqua"/>
        </w:rPr>
        <w:t xml:space="preserve"> 2018; </w:t>
      </w:r>
      <w:r>
        <w:rPr>
          <w:rFonts w:ascii="Book Antiqua" w:hAnsi="Book Antiqua" w:eastAsia="Book Antiqua" w:cs="Book Antiqua"/>
          <w:b/>
          <w:bCs/>
        </w:rPr>
        <w:t>24</w:t>
      </w:r>
      <w:r>
        <w:rPr>
          <w:rFonts w:ascii="Book Antiqua" w:hAnsi="Book Antiqua" w:eastAsia="Book Antiqua" w:cs="Book Antiqua"/>
        </w:rPr>
        <w:t>: 1804-1808 [PMID: 30420754 DOI: 10.1038/s41591-018-0238-9]</w:t>
      </w:r>
    </w:p>
    <w:p>
      <w:pPr>
        <w:spacing w:line="360" w:lineRule="auto"/>
        <w:jc w:val="both"/>
        <w:rPr>
          <w:rFonts w:ascii="Book Antiqua" w:hAnsi="Book Antiqua" w:eastAsia="Book Antiqua" w:cs="Book Antiqua"/>
        </w:rPr>
      </w:pPr>
      <w:r>
        <w:rPr>
          <w:rFonts w:ascii="Book Antiqua" w:hAnsi="Book Antiqua" w:eastAsia="Book Antiqua" w:cs="Book Antiqua"/>
        </w:rPr>
        <w:t xml:space="preserve">61 </w:t>
      </w:r>
      <w:r>
        <w:rPr>
          <w:rFonts w:ascii="Book Antiqua" w:hAnsi="Book Antiqua" w:eastAsia="Book Antiqua" w:cs="Book Antiqua"/>
          <w:b/>
          <w:bCs/>
        </w:rPr>
        <w:t>Abu-Sbeih H</w:t>
      </w:r>
      <w:r>
        <w:rPr>
          <w:rFonts w:ascii="Book Antiqua" w:hAnsi="Book Antiqua" w:eastAsia="Book Antiqua" w:cs="Book Antiqua"/>
        </w:rPr>
        <w:t xml:space="preserve">, Wang Y. Gut Microbiome and Immune Checkpoint Inhibitor-Induced Enterocolitis. </w:t>
      </w:r>
      <w:r>
        <w:rPr>
          <w:rFonts w:ascii="Book Antiqua" w:hAnsi="Book Antiqua" w:eastAsia="Book Antiqua" w:cs="Book Antiqua"/>
          <w:i/>
          <w:iCs/>
        </w:rPr>
        <w:t>Dig Dis Sci</w:t>
      </w:r>
      <w:r>
        <w:rPr>
          <w:rFonts w:ascii="Book Antiqua" w:hAnsi="Book Antiqua" w:eastAsia="Book Antiqua" w:cs="Book Antiqua"/>
        </w:rPr>
        <w:t xml:space="preserve"> 2020; </w:t>
      </w:r>
      <w:r>
        <w:rPr>
          <w:rFonts w:ascii="Book Antiqua" w:hAnsi="Book Antiqua" w:eastAsia="Book Antiqua" w:cs="Book Antiqua"/>
          <w:b/>
          <w:bCs/>
        </w:rPr>
        <w:t>65</w:t>
      </w:r>
      <w:r>
        <w:rPr>
          <w:rFonts w:ascii="Book Antiqua" w:hAnsi="Book Antiqua" w:eastAsia="Book Antiqua" w:cs="Book Antiqua"/>
        </w:rPr>
        <w:t>: 797-799 [PMID: 32040664 DOI: 10.1007/s10620-020-06103-x]</w:t>
      </w:r>
    </w:p>
    <w:p>
      <w:pPr>
        <w:spacing w:line="360" w:lineRule="auto"/>
        <w:jc w:val="both"/>
        <w:rPr>
          <w:rFonts w:ascii="Book Antiqua" w:hAnsi="Book Antiqua" w:eastAsia="Book Antiqua" w:cs="Book Antiqua"/>
        </w:rPr>
      </w:pPr>
      <w:r>
        <w:rPr>
          <w:rFonts w:ascii="Book Antiqua" w:hAnsi="Book Antiqua" w:eastAsia="Book Antiqua" w:cs="Book Antiqua"/>
        </w:rPr>
        <w:t xml:space="preserve">62 </w:t>
      </w:r>
      <w:r>
        <w:rPr>
          <w:rFonts w:ascii="Book Antiqua" w:hAnsi="Book Antiqua" w:eastAsia="Book Antiqua" w:cs="Book Antiqua"/>
          <w:b/>
          <w:bCs/>
        </w:rPr>
        <w:t>Halsey TM</w:t>
      </w:r>
      <w:r>
        <w:rPr>
          <w:rFonts w:ascii="Book Antiqua" w:hAnsi="Book Antiqua" w:eastAsia="Book Antiqua" w:cs="Book Antiqua"/>
        </w:rPr>
        <w:t xml:space="preserve">, Thomas AS, Hayase T, Ma W, Abu-Sbeih H, Sun B, Parra ER, Jiang ZD, DuPont HL, Sanchez C, El-Himri R, Brown A, Flores I, McDaniel L, Ortega Turrubiates M, Hensel M, Pham D, Watowich SS, Hayase E, Chang CC, Jenq RR, Wang Y. Microbiome alteration via fecal microbiota transplantation is effective for refractory immune checkpoint inhibitor-induced colitis. </w:t>
      </w:r>
      <w:r>
        <w:rPr>
          <w:rFonts w:ascii="Book Antiqua" w:hAnsi="Book Antiqua" w:eastAsia="Book Antiqua" w:cs="Book Antiqua"/>
          <w:i/>
          <w:iCs/>
        </w:rPr>
        <w:t>Sci Transl Med</w:t>
      </w:r>
      <w:r>
        <w:rPr>
          <w:rFonts w:ascii="Book Antiqua" w:hAnsi="Book Antiqua" w:eastAsia="Book Antiqua" w:cs="Book Antiqua"/>
        </w:rPr>
        <w:t xml:space="preserve"> 2023; </w:t>
      </w:r>
      <w:r>
        <w:rPr>
          <w:rFonts w:ascii="Book Antiqua" w:hAnsi="Book Antiqua" w:eastAsia="Book Antiqua" w:cs="Book Antiqua"/>
          <w:b/>
          <w:bCs/>
        </w:rPr>
        <w:t>15</w:t>
      </w:r>
      <w:r>
        <w:rPr>
          <w:rFonts w:ascii="Book Antiqua" w:hAnsi="Book Antiqua" w:eastAsia="Book Antiqua" w:cs="Book Antiqua"/>
        </w:rPr>
        <w:t>: eabq4006 [PMID: 37315113 DOI: 10.1126/scitranslmed.abq4006]</w:t>
      </w:r>
    </w:p>
    <w:p>
      <w:pPr>
        <w:spacing w:line="360" w:lineRule="auto"/>
        <w:jc w:val="both"/>
        <w:rPr>
          <w:rFonts w:ascii="Book Antiqua" w:hAnsi="Book Antiqua" w:eastAsia="Book Antiqua" w:cs="Book Antiqua"/>
        </w:rPr>
      </w:pPr>
      <w:r>
        <w:rPr>
          <w:rFonts w:ascii="Book Antiqua" w:hAnsi="Book Antiqua" w:eastAsia="Book Antiqua" w:cs="Book Antiqua"/>
        </w:rPr>
        <w:t xml:space="preserve">63 </w:t>
      </w:r>
      <w:r>
        <w:rPr>
          <w:rFonts w:ascii="Book Antiqua" w:hAnsi="Book Antiqua" w:eastAsia="Book Antiqua" w:cs="Book Antiqua"/>
          <w:b/>
          <w:bCs/>
        </w:rPr>
        <w:t>Wang YH</w:t>
      </w:r>
      <w:r>
        <w:rPr>
          <w:rFonts w:ascii="Book Antiqua" w:hAnsi="Book Antiqua" w:eastAsia="Book Antiqua" w:cs="Book Antiqua"/>
        </w:rPr>
        <w:t>, Varatharajalu K, Shatila M, Campbell MT, Msaouel P, Kovitz CA. First-line treatment of fecal microbiota transplantation for immune-mediated colitis.</w:t>
      </w:r>
      <w:r>
        <w:rPr>
          <w:rFonts w:ascii="Book Antiqua" w:hAnsi="Book Antiqua" w:eastAsia="Book Antiqua" w:cs="Book Antiqua"/>
          <w:i/>
          <w:iCs/>
        </w:rPr>
        <w:t xml:space="preserve"> J Clini Onco</w:t>
      </w:r>
      <w:r>
        <w:rPr>
          <w:rFonts w:ascii="Book Antiqua" w:hAnsi="Book Antiqua" w:eastAsia="Book Antiqua" w:cs="Book Antiqua"/>
        </w:rPr>
        <w:t xml:space="preserve"> 2023; </w:t>
      </w:r>
      <w:r>
        <w:rPr>
          <w:rFonts w:ascii="Book Antiqua" w:hAnsi="Book Antiqua" w:eastAsia="Book Antiqua" w:cs="Book Antiqua"/>
          <w:b/>
          <w:bCs/>
        </w:rPr>
        <w:t>41</w:t>
      </w:r>
      <w:r>
        <w:rPr>
          <w:rFonts w:ascii="Book Antiqua" w:hAnsi="Book Antiqua" w:eastAsia="Book Antiqua" w:cs="Book Antiqua"/>
        </w:rPr>
        <w:t xml:space="preserve"> Suppl 16: 2510 [DOI: 10.1200/JCO.2023.41.16_suppl.2510]</w:t>
      </w:r>
    </w:p>
    <w:p>
      <w:pPr>
        <w:spacing w:line="360" w:lineRule="auto"/>
        <w:jc w:val="both"/>
        <w:rPr>
          <w:rFonts w:ascii="Book Antiqua" w:hAnsi="Book Antiqua" w:eastAsia="Book Antiqua" w:cs="Book Antiqua"/>
        </w:rPr>
      </w:pPr>
      <w:r>
        <w:rPr>
          <w:rFonts w:ascii="Book Antiqua" w:hAnsi="Book Antiqua" w:eastAsia="Book Antiqua" w:cs="Book Antiqua"/>
        </w:rPr>
        <w:t xml:space="preserve">64 </w:t>
      </w:r>
      <w:r>
        <w:rPr>
          <w:rFonts w:ascii="Book Antiqua" w:hAnsi="Book Antiqua" w:eastAsia="Book Antiqua" w:cs="Book Antiqua"/>
          <w:b/>
          <w:bCs/>
        </w:rPr>
        <w:t>Samaan MA</w:t>
      </w:r>
      <w:r>
        <w:rPr>
          <w:rFonts w:ascii="Book Antiqua" w:hAnsi="Book Antiqua" w:eastAsia="Book Antiqua" w:cs="Book Antiqua"/>
        </w:rPr>
        <w:t xml:space="preserve">, Pavlidis P, Papa S, Powell N, Irving PM. Gastrointestinal toxicity of immune checkpoint inhibitors: from mechanisms to management. </w:t>
      </w:r>
      <w:r>
        <w:rPr>
          <w:rFonts w:ascii="Book Antiqua" w:hAnsi="Book Antiqua" w:eastAsia="Book Antiqua" w:cs="Book Antiqua"/>
          <w:i/>
          <w:iCs/>
        </w:rPr>
        <w:t>Nat Rev Gastroenterol Hepatol</w:t>
      </w:r>
      <w:r>
        <w:rPr>
          <w:rFonts w:ascii="Book Antiqua" w:hAnsi="Book Antiqua" w:eastAsia="Book Antiqua" w:cs="Book Antiqua"/>
        </w:rPr>
        <w:t xml:space="preserve"> 2018; </w:t>
      </w:r>
      <w:r>
        <w:rPr>
          <w:rFonts w:ascii="Book Antiqua" w:hAnsi="Book Antiqua" w:eastAsia="Book Antiqua" w:cs="Book Antiqua"/>
          <w:b/>
          <w:bCs/>
        </w:rPr>
        <w:t>15</w:t>
      </w:r>
      <w:r>
        <w:rPr>
          <w:rFonts w:ascii="Book Antiqua" w:hAnsi="Book Antiqua" w:eastAsia="Book Antiqua" w:cs="Book Antiqua"/>
        </w:rPr>
        <w:t>: 222-234 [PMID: 29512649 DOI: 10.1038/nrgastro.2018.14]</w:t>
      </w:r>
    </w:p>
    <w:p>
      <w:pPr>
        <w:spacing w:line="360" w:lineRule="auto"/>
        <w:jc w:val="both"/>
        <w:rPr>
          <w:rFonts w:ascii="Book Antiqua" w:hAnsi="Book Antiqua" w:eastAsia="Book Antiqua" w:cs="Book Antiqua"/>
        </w:rPr>
      </w:pPr>
      <w:r>
        <w:rPr>
          <w:rFonts w:ascii="Book Antiqua" w:hAnsi="Book Antiqua" w:eastAsia="Book Antiqua" w:cs="Book Antiqua"/>
        </w:rPr>
        <w:t xml:space="preserve">65 </w:t>
      </w:r>
      <w:r>
        <w:rPr>
          <w:rFonts w:ascii="Book Antiqua" w:hAnsi="Book Antiqua" w:eastAsia="Book Antiqua" w:cs="Book Antiqua"/>
          <w:b/>
          <w:bCs/>
        </w:rPr>
        <w:t>Mitchell KA</w:t>
      </w:r>
      <w:r>
        <w:rPr>
          <w:rFonts w:ascii="Book Antiqua" w:hAnsi="Book Antiqua" w:eastAsia="Book Antiqua" w:cs="Book Antiqua"/>
        </w:rPr>
        <w:t xml:space="preserve">, Kluger H, Sznol M, Hartman DJ. Ipilimumab-induced perforating colitis. </w:t>
      </w:r>
      <w:r>
        <w:rPr>
          <w:rFonts w:ascii="Book Antiqua" w:hAnsi="Book Antiqua" w:eastAsia="Book Antiqua" w:cs="Book Antiqua"/>
          <w:i/>
          <w:iCs/>
        </w:rPr>
        <w:t>J Clin Gastroenterol</w:t>
      </w:r>
      <w:r>
        <w:rPr>
          <w:rFonts w:ascii="Book Antiqua" w:hAnsi="Book Antiqua" w:eastAsia="Book Antiqua" w:cs="Book Antiqua"/>
        </w:rPr>
        <w:t xml:space="preserve"> 2013; </w:t>
      </w:r>
      <w:r>
        <w:rPr>
          <w:rFonts w:ascii="Book Antiqua" w:hAnsi="Book Antiqua" w:eastAsia="Book Antiqua" w:cs="Book Antiqua"/>
          <w:b/>
          <w:bCs/>
        </w:rPr>
        <w:t>47</w:t>
      </w:r>
      <w:r>
        <w:rPr>
          <w:rFonts w:ascii="Book Antiqua" w:hAnsi="Book Antiqua" w:eastAsia="Book Antiqua" w:cs="Book Antiqua"/>
        </w:rPr>
        <w:t>: 781-785 [PMID: 23632354 DOI: 10.1097/MCG.0b013e31828f1d51]</w:t>
      </w:r>
    </w:p>
    <w:p>
      <w:pPr>
        <w:spacing w:line="360" w:lineRule="auto"/>
        <w:jc w:val="both"/>
        <w:rPr>
          <w:rFonts w:ascii="Book Antiqua" w:hAnsi="Book Antiqua" w:eastAsia="Book Antiqua" w:cs="Book Antiqua"/>
        </w:rPr>
      </w:pPr>
      <w:r>
        <w:rPr>
          <w:rFonts w:ascii="Book Antiqua" w:hAnsi="Book Antiqua" w:eastAsia="Book Antiqua" w:cs="Book Antiqua"/>
        </w:rPr>
        <w:t xml:space="preserve">66 </w:t>
      </w:r>
      <w:r>
        <w:rPr>
          <w:rFonts w:ascii="Book Antiqua" w:hAnsi="Book Antiqua" w:eastAsia="Book Antiqua" w:cs="Book Antiqua"/>
          <w:b/>
          <w:bCs/>
        </w:rPr>
        <w:t>Hodi FS</w:t>
      </w:r>
      <w:r>
        <w:rPr>
          <w:rFonts w:ascii="Book Antiqua" w:hAnsi="Book Antiqua" w:eastAsia="Book Antiqua" w:cs="Book Antiqua"/>
        </w:rPr>
        <w:t xml:space="preserve">, O'Day SJ, McDermott DF, Weber RW, Sosman JA, Haanen JB, Gonzalez R, Robert C, Schadendorf D, Hassel JC, Akerley W, van den Eertwegh AJ, Lutzky J, Lorigan P, Vaubel JM, Linette GP, Hogg D, Ottensmeier CH, Lebbé C, Peschel C, Quirt I, Clark JI, Wolchok JD, Weber JS, Tian J, Yellin MJ, Nichol GM, Hoos A, Urba WJ. Improved survival with ipilimumab in patients with metastatic melanoma. </w:t>
      </w:r>
      <w:r>
        <w:rPr>
          <w:rFonts w:ascii="Book Antiqua" w:hAnsi="Book Antiqua" w:eastAsia="Book Antiqua" w:cs="Book Antiqua"/>
          <w:i/>
          <w:iCs/>
        </w:rPr>
        <w:t>N Engl J Med</w:t>
      </w:r>
      <w:r>
        <w:rPr>
          <w:rFonts w:ascii="Book Antiqua" w:hAnsi="Book Antiqua" w:eastAsia="Book Antiqua" w:cs="Book Antiqua"/>
        </w:rPr>
        <w:t xml:space="preserve"> 2010; </w:t>
      </w:r>
      <w:r>
        <w:rPr>
          <w:rFonts w:ascii="Book Antiqua" w:hAnsi="Book Antiqua" w:eastAsia="Book Antiqua" w:cs="Book Antiqua"/>
          <w:b/>
          <w:bCs/>
        </w:rPr>
        <w:t>363</w:t>
      </w:r>
      <w:r>
        <w:rPr>
          <w:rFonts w:ascii="Book Antiqua" w:hAnsi="Book Antiqua" w:eastAsia="Book Antiqua" w:cs="Book Antiqua"/>
        </w:rPr>
        <w:t>: 711-723 [PMID: 20525992 DOI: 10.1056/NEJMoa1003466]</w:t>
      </w:r>
    </w:p>
    <w:p>
      <w:pPr>
        <w:spacing w:line="360" w:lineRule="auto"/>
        <w:jc w:val="both"/>
        <w:rPr>
          <w:rFonts w:ascii="Book Antiqua" w:hAnsi="Book Antiqua" w:eastAsia="Book Antiqua" w:cs="Book Antiqua"/>
        </w:rPr>
      </w:pPr>
      <w:r>
        <w:rPr>
          <w:rFonts w:ascii="Book Antiqua" w:hAnsi="Book Antiqua" w:eastAsia="Book Antiqua" w:cs="Book Antiqua"/>
        </w:rPr>
        <w:t xml:space="preserve">67 </w:t>
      </w:r>
      <w:r>
        <w:rPr>
          <w:rFonts w:ascii="Book Antiqua" w:hAnsi="Book Antiqua" w:eastAsia="Book Antiqua" w:cs="Book Antiqua"/>
          <w:b/>
          <w:bCs/>
        </w:rPr>
        <w:t>Beck KE</w:t>
      </w:r>
      <w:r>
        <w:rPr>
          <w:rFonts w:ascii="Book Antiqua" w:hAnsi="Book Antiqua" w:eastAsia="Book Antiqua" w:cs="Book Antiqua"/>
        </w:rPr>
        <w:t xml:space="preserve">, Blansfield JA, Tran KQ, Feldman AL, Hughes MS, Royal RE, Kammula US, Topalian SL, Sherry RM, Kleiner D, Quezado M, Lowy I, Yellin M, Rosenberg SA, Yang JC. Enterocolitis in patients with cancer after antibody blockade of cytotoxic T-lymphocyte-associated antigen 4. </w:t>
      </w:r>
      <w:r>
        <w:rPr>
          <w:rFonts w:ascii="Book Antiqua" w:hAnsi="Book Antiqua" w:eastAsia="Book Antiqua" w:cs="Book Antiqua"/>
          <w:i/>
          <w:iCs/>
        </w:rPr>
        <w:t>J Clin Oncol</w:t>
      </w:r>
      <w:r>
        <w:rPr>
          <w:rFonts w:ascii="Book Antiqua" w:hAnsi="Book Antiqua" w:eastAsia="Book Antiqua" w:cs="Book Antiqua"/>
        </w:rPr>
        <w:t xml:space="preserve"> 2006; </w:t>
      </w:r>
      <w:r>
        <w:rPr>
          <w:rFonts w:ascii="Book Antiqua" w:hAnsi="Book Antiqua" w:eastAsia="Book Antiqua" w:cs="Book Antiqua"/>
          <w:b/>
          <w:bCs/>
        </w:rPr>
        <w:t>24</w:t>
      </w:r>
      <w:r>
        <w:rPr>
          <w:rFonts w:ascii="Book Antiqua" w:hAnsi="Book Antiqua" w:eastAsia="Book Antiqua" w:cs="Book Antiqua"/>
        </w:rPr>
        <w:t>: 2283-2289 [PMID: 16710025 DOI: 10.1200/jco.2005.04.5716]</w:t>
      </w:r>
    </w:p>
    <w:p>
      <w:pPr>
        <w:spacing w:line="360" w:lineRule="auto"/>
        <w:jc w:val="both"/>
        <w:rPr>
          <w:rFonts w:ascii="Book Antiqua" w:hAnsi="Book Antiqua" w:eastAsia="Book Antiqua" w:cs="Book Antiqua"/>
        </w:rPr>
      </w:pPr>
      <w:r>
        <w:rPr>
          <w:rFonts w:ascii="Book Antiqua" w:hAnsi="Book Antiqua" w:eastAsia="Book Antiqua" w:cs="Book Antiqua"/>
        </w:rPr>
        <w:t xml:space="preserve">68 </w:t>
      </w:r>
      <w:r>
        <w:rPr>
          <w:rFonts w:ascii="Book Antiqua" w:hAnsi="Book Antiqua" w:eastAsia="Book Antiqua" w:cs="Book Antiqua"/>
          <w:b/>
          <w:bCs/>
        </w:rPr>
        <w:t>Marthey L</w:t>
      </w:r>
      <w:r>
        <w:rPr>
          <w:rFonts w:ascii="Book Antiqua" w:hAnsi="Book Antiqua" w:eastAsia="Book Antiqua" w:cs="Book Antiqua"/>
        </w:rPr>
        <w:t xml:space="preserve">, Mateus C, Mussini C, Nachury M, Nancey S, Grange F, Zallot C, Peyrin-Biroulet L, Rahier JF, Bourdier de Beauregard M, Mortier L, Coutzac C, Soularue E, Lanoy E, Kapel N, Planchard D, Chaput N, Robert C, Carbonnel F. Cancer Immunotherapy with Anti-CTLA-4 Monoclonal Antibodies Induces an Inflammatory Bowel Disease. </w:t>
      </w:r>
      <w:r>
        <w:rPr>
          <w:rFonts w:ascii="Book Antiqua" w:hAnsi="Book Antiqua" w:eastAsia="Book Antiqua" w:cs="Book Antiqua"/>
          <w:i/>
          <w:iCs/>
        </w:rPr>
        <w:t>J Crohns Colitis</w:t>
      </w:r>
      <w:r>
        <w:rPr>
          <w:rFonts w:ascii="Book Antiqua" w:hAnsi="Book Antiqua" w:eastAsia="Book Antiqua" w:cs="Book Antiqua"/>
        </w:rPr>
        <w:t xml:space="preserve"> 2016; </w:t>
      </w:r>
      <w:r>
        <w:rPr>
          <w:rFonts w:ascii="Book Antiqua" w:hAnsi="Book Antiqua" w:eastAsia="Book Antiqua" w:cs="Book Antiqua"/>
          <w:b/>
          <w:bCs/>
        </w:rPr>
        <w:t>10</w:t>
      </w:r>
      <w:r>
        <w:rPr>
          <w:rFonts w:ascii="Book Antiqua" w:hAnsi="Book Antiqua" w:eastAsia="Book Antiqua" w:cs="Book Antiqua"/>
        </w:rPr>
        <w:t>: 395-401 [PMID: 26783344 DOI: 10.1093/ecco-jcc/jjv227]</w:t>
      </w:r>
    </w:p>
    <w:p>
      <w:pPr>
        <w:spacing w:line="360" w:lineRule="auto"/>
        <w:jc w:val="both"/>
        <w:rPr>
          <w:rFonts w:ascii="Book Antiqua" w:hAnsi="Book Antiqua" w:eastAsia="Book Antiqua" w:cs="Book Antiqua"/>
        </w:rPr>
      </w:pPr>
      <w:r>
        <w:rPr>
          <w:rFonts w:ascii="Book Antiqua" w:hAnsi="Book Antiqua" w:eastAsia="Book Antiqua" w:cs="Book Antiqua"/>
        </w:rPr>
        <w:t xml:space="preserve">69 </w:t>
      </w:r>
      <w:r>
        <w:rPr>
          <w:rFonts w:ascii="Book Antiqua" w:hAnsi="Book Antiqua" w:eastAsia="Book Antiqua" w:cs="Book Antiqua"/>
          <w:b/>
          <w:bCs/>
        </w:rPr>
        <w:t>Le KDR</w:t>
      </w:r>
      <w:r>
        <w:rPr>
          <w:rFonts w:ascii="Book Antiqua" w:hAnsi="Book Antiqua" w:eastAsia="Book Antiqua" w:cs="Book Antiqua"/>
        </w:rPr>
        <w:t xml:space="preserve">, Choy KT, Roth S, Heriot AG, Kong JCH. Immune mediated colitis: a surgical perspective. </w:t>
      </w:r>
      <w:r>
        <w:rPr>
          <w:rFonts w:ascii="Book Antiqua" w:hAnsi="Book Antiqua" w:eastAsia="Book Antiqua" w:cs="Book Antiqua"/>
          <w:i/>
          <w:iCs/>
        </w:rPr>
        <w:t>ANZ J Surg</w:t>
      </w:r>
      <w:r>
        <w:rPr>
          <w:rFonts w:ascii="Book Antiqua" w:hAnsi="Book Antiqua" w:eastAsia="Book Antiqua" w:cs="Book Antiqua"/>
        </w:rPr>
        <w:t xml:space="preserve"> 2023; </w:t>
      </w:r>
      <w:r>
        <w:rPr>
          <w:rFonts w:ascii="Book Antiqua" w:hAnsi="Book Antiqua" w:eastAsia="Book Antiqua" w:cs="Book Antiqua"/>
          <w:b/>
          <w:bCs/>
        </w:rPr>
        <w:t>93</w:t>
      </w:r>
      <w:r>
        <w:rPr>
          <w:rFonts w:ascii="Book Antiqua" w:hAnsi="Book Antiqua" w:eastAsia="Book Antiqua" w:cs="Book Antiqua"/>
        </w:rPr>
        <w:t>: 1495-1502 [PMID: 37088921 DOI: 10.1111/ans.18485]</w:t>
      </w:r>
    </w:p>
    <w:p>
      <w:pPr>
        <w:spacing w:line="360" w:lineRule="auto"/>
        <w:jc w:val="both"/>
        <w:rPr>
          <w:rFonts w:ascii="Book Antiqua" w:hAnsi="Book Antiqua" w:eastAsia="Book Antiqua" w:cs="Book Antiqua"/>
        </w:rPr>
      </w:pPr>
      <w:r>
        <w:rPr>
          <w:rFonts w:ascii="Book Antiqua" w:hAnsi="Book Antiqua" w:eastAsia="Book Antiqua" w:cs="Book Antiqua"/>
        </w:rPr>
        <w:t xml:space="preserve">70 </w:t>
      </w:r>
      <w:r>
        <w:rPr>
          <w:rFonts w:ascii="Book Antiqua" w:hAnsi="Book Antiqua" w:eastAsia="Book Antiqua" w:cs="Book Antiqua"/>
          <w:b/>
          <w:bCs/>
        </w:rPr>
        <w:t>Portenkirchner C</w:t>
      </w:r>
      <w:r>
        <w:rPr>
          <w:rFonts w:ascii="Book Antiqua" w:hAnsi="Book Antiqua" w:eastAsia="Book Antiqua" w:cs="Book Antiqua"/>
        </w:rPr>
        <w:t xml:space="preserve">, Kienle P, Horisberger K. Checkpoint Inhibitor-Induced Colitis-A Clinical Overview of Incidence, Prognostic Implications and Extension of Current Treatment Options. </w:t>
      </w:r>
      <w:r>
        <w:rPr>
          <w:rFonts w:ascii="Book Antiqua" w:hAnsi="Book Antiqua" w:eastAsia="Book Antiqua" w:cs="Book Antiqua"/>
          <w:i/>
          <w:iCs/>
        </w:rPr>
        <w:t>Pharmaceuticals (Basel)</w:t>
      </w:r>
      <w:r>
        <w:rPr>
          <w:rFonts w:ascii="Book Antiqua" w:hAnsi="Book Antiqua" w:eastAsia="Book Antiqua" w:cs="Book Antiqua"/>
        </w:rPr>
        <w:t xml:space="preserve"> 2021; </w:t>
      </w:r>
      <w:r>
        <w:rPr>
          <w:rFonts w:ascii="Book Antiqua" w:hAnsi="Book Antiqua" w:eastAsia="Book Antiqua" w:cs="Book Antiqua"/>
          <w:b/>
          <w:bCs/>
        </w:rPr>
        <w:t>14</w:t>
      </w:r>
      <w:r>
        <w:rPr>
          <w:rFonts w:ascii="Book Antiqua" w:hAnsi="Book Antiqua" w:eastAsia="Book Antiqua" w:cs="Book Antiqua"/>
        </w:rPr>
        <w:t xml:space="preserve"> [PMID: 33923423 DOI: 10.3390/ph14040367]</w:t>
      </w:r>
    </w:p>
    <w:p>
      <w:pPr>
        <w:spacing w:line="360" w:lineRule="auto"/>
        <w:jc w:val="both"/>
        <w:rPr>
          <w:rFonts w:ascii="Book Antiqua" w:hAnsi="Book Antiqua" w:eastAsia="Book Antiqua" w:cs="Book Antiqua"/>
        </w:rPr>
      </w:pPr>
      <w:r>
        <w:rPr>
          <w:rFonts w:ascii="Book Antiqua" w:hAnsi="Book Antiqua" w:eastAsia="Book Antiqua" w:cs="Book Antiqua"/>
        </w:rPr>
        <w:t xml:space="preserve">71 </w:t>
      </w:r>
      <w:r>
        <w:rPr>
          <w:rFonts w:ascii="Book Antiqua" w:hAnsi="Book Antiqua" w:eastAsia="Book Antiqua" w:cs="Book Antiqua"/>
          <w:b/>
          <w:bCs/>
        </w:rPr>
        <w:t>Horisberger K</w:t>
      </w:r>
      <w:r>
        <w:rPr>
          <w:rFonts w:ascii="Book Antiqua" w:hAnsi="Book Antiqua" w:eastAsia="Book Antiqua" w:cs="Book Antiqua"/>
        </w:rPr>
        <w:t xml:space="preserve">, Portenkirchner C, Rickenbacher A, Biedermann L, Gubler C, Turina M. Complete Recovery of Immune Checkpoint Inhibitor-induced Colitis by Diverting Loop Ileostomy. </w:t>
      </w:r>
      <w:r>
        <w:rPr>
          <w:rFonts w:ascii="Book Antiqua" w:hAnsi="Book Antiqua" w:eastAsia="Book Antiqua" w:cs="Book Antiqua"/>
          <w:i/>
          <w:iCs/>
        </w:rPr>
        <w:t>J Immunother</w:t>
      </w:r>
      <w:r>
        <w:rPr>
          <w:rFonts w:ascii="Book Antiqua" w:hAnsi="Book Antiqua" w:eastAsia="Book Antiqua" w:cs="Book Antiqua"/>
        </w:rPr>
        <w:t xml:space="preserve"> 2020; </w:t>
      </w:r>
      <w:r>
        <w:rPr>
          <w:rFonts w:ascii="Book Antiqua" w:hAnsi="Book Antiqua" w:eastAsia="Book Antiqua" w:cs="Book Antiqua"/>
          <w:b/>
          <w:bCs/>
        </w:rPr>
        <w:t>43</w:t>
      </w:r>
      <w:r>
        <w:rPr>
          <w:rFonts w:ascii="Book Antiqua" w:hAnsi="Book Antiqua" w:eastAsia="Book Antiqua" w:cs="Book Antiqua"/>
        </w:rPr>
        <w:t>: 145-148 [PMID: 32028372 DOI: 10.1097/CJI.0000000000000309]</w:t>
      </w:r>
    </w:p>
    <w:p>
      <w:pPr>
        <w:spacing w:line="360" w:lineRule="auto"/>
        <w:jc w:val="both"/>
        <w:rPr>
          <w:rFonts w:ascii="Book Antiqua" w:hAnsi="Book Antiqua" w:eastAsia="Book Antiqua" w:cs="Book Antiqua"/>
        </w:rPr>
      </w:pPr>
      <w:r>
        <w:rPr>
          <w:rFonts w:ascii="Book Antiqua" w:hAnsi="Book Antiqua" w:eastAsia="Book Antiqua" w:cs="Book Antiqua"/>
        </w:rPr>
        <w:t xml:space="preserve">72 </w:t>
      </w:r>
      <w:r>
        <w:rPr>
          <w:rFonts w:ascii="Book Antiqua" w:hAnsi="Book Antiqua" w:eastAsia="Book Antiqua" w:cs="Book Antiqua"/>
          <w:b/>
          <w:bCs/>
        </w:rPr>
        <w:t>Peyrin-Biroulet L</w:t>
      </w:r>
      <w:r>
        <w:rPr>
          <w:rFonts w:ascii="Book Antiqua" w:hAnsi="Book Antiqua" w:eastAsia="Book Antiqua" w:cs="Book Antiqua"/>
        </w:rPr>
        <w:t xml:space="preserve">, Germain A, Patel AS, Lindsay JO. Systematic review: outcomes and post-operative complications following colectomy for ulcerative colitis. </w:t>
      </w:r>
      <w:r>
        <w:rPr>
          <w:rFonts w:ascii="Book Antiqua" w:hAnsi="Book Antiqua" w:eastAsia="Book Antiqua" w:cs="Book Antiqua"/>
          <w:i/>
          <w:iCs/>
        </w:rPr>
        <w:t>Aliment Pharmacol Ther</w:t>
      </w:r>
      <w:r>
        <w:rPr>
          <w:rFonts w:ascii="Book Antiqua" w:hAnsi="Book Antiqua" w:eastAsia="Book Antiqua" w:cs="Book Antiqua"/>
        </w:rPr>
        <w:t xml:space="preserve"> 2016; </w:t>
      </w:r>
      <w:r>
        <w:rPr>
          <w:rFonts w:ascii="Book Antiqua" w:hAnsi="Book Antiqua" w:eastAsia="Book Antiqua" w:cs="Book Antiqua"/>
          <w:b/>
          <w:bCs/>
        </w:rPr>
        <w:t>44</w:t>
      </w:r>
      <w:r>
        <w:rPr>
          <w:rFonts w:ascii="Book Antiqua" w:hAnsi="Book Antiqua" w:eastAsia="Book Antiqua" w:cs="Book Antiqua"/>
        </w:rPr>
        <w:t>: 807-816 [PMID: 27534519 DOI: 10.1111/apt.13763]</w:t>
      </w:r>
    </w:p>
    <w:p>
      <w:pPr>
        <w:spacing w:line="360" w:lineRule="auto"/>
        <w:jc w:val="both"/>
        <w:rPr>
          <w:rFonts w:ascii="Book Antiqua" w:hAnsi="Book Antiqua" w:eastAsia="Book Antiqua" w:cs="Book Antiqua"/>
        </w:rPr>
      </w:pPr>
      <w:r>
        <w:rPr>
          <w:rFonts w:ascii="Book Antiqua" w:hAnsi="Book Antiqua" w:eastAsia="Book Antiqua" w:cs="Book Antiqua"/>
        </w:rPr>
        <w:t xml:space="preserve">73 </w:t>
      </w:r>
      <w:r>
        <w:rPr>
          <w:rFonts w:ascii="Book Antiqua" w:hAnsi="Book Antiqua" w:eastAsia="Book Antiqua" w:cs="Book Antiqua"/>
          <w:b/>
          <w:bCs/>
        </w:rPr>
        <w:t>Nakamura Y</w:t>
      </w:r>
      <w:r>
        <w:rPr>
          <w:rFonts w:ascii="Book Antiqua" w:hAnsi="Book Antiqua" w:eastAsia="Book Antiqua" w:cs="Book Antiqua"/>
        </w:rPr>
        <w:t xml:space="preserve">. Biomarkers for Immune Checkpoint Inhibitor-Mediated Tumor Response and Adverse Events. </w:t>
      </w:r>
      <w:r>
        <w:rPr>
          <w:rFonts w:ascii="Book Antiqua" w:hAnsi="Book Antiqua" w:eastAsia="Book Antiqua" w:cs="Book Antiqua"/>
          <w:i/>
          <w:iCs/>
        </w:rPr>
        <w:t>Front Med (Lausanne)</w:t>
      </w:r>
      <w:r>
        <w:rPr>
          <w:rFonts w:ascii="Book Antiqua" w:hAnsi="Book Antiqua" w:eastAsia="Book Antiqua" w:cs="Book Antiqua"/>
        </w:rPr>
        <w:t xml:space="preserve"> 2019; </w:t>
      </w:r>
      <w:r>
        <w:rPr>
          <w:rFonts w:ascii="Book Antiqua" w:hAnsi="Book Antiqua" w:eastAsia="Book Antiqua" w:cs="Book Antiqua"/>
          <w:b/>
          <w:bCs/>
        </w:rPr>
        <w:t>6</w:t>
      </w:r>
      <w:r>
        <w:rPr>
          <w:rFonts w:ascii="Book Antiqua" w:hAnsi="Book Antiqua" w:eastAsia="Book Antiqua" w:cs="Book Antiqua"/>
        </w:rPr>
        <w:t>: 119 [PMID: 31192215 DOI: 10.3389/fmed.2019.00119]</w:t>
      </w:r>
    </w:p>
    <w:p>
      <w:pPr>
        <w:spacing w:line="360" w:lineRule="auto"/>
        <w:jc w:val="both"/>
        <w:rPr>
          <w:rFonts w:ascii="Book Antiqua" w:hAnsi="Book Antiqua" w:eastAsia="Book Antiqua" w:cs="Book Antiqua"/>
        </w:rPr>
      </w:pPr>
      <w:r>
        <w:rPr>
          <w:rFonts w:ascii="Book Antiqua" w:hAnsi="Book Antiqua" w:eastAsia="Book Antiqua" w:cs="Book Antiqua"/>
        </w:rPr>
        <w:t xml:space="preserve">74 </w:t>
      </w:r>
      <w:r>
        <w:rPr>
          <w:rFonts w:ascii="Book Antiqua" w:hAnsi="Book Antiqua" w:eastAsia="Book Antiqua" w:cs="Book Antiqua"/>
          <w:b/>
          <w:bCs/>
        </w:rPr>
        <w:t>Terrin M</w:t>
      </w:r>
      <w:r>
        <w:rPr>
          <w:rFonts w:ascii="Book Antiqua" w:hAnsi="Book Antiqua" w:eastAsia="Book Antiqua" w:cs="Book Antiqua"/>
        </w:rPr>
        <w:t xml:space="preserve">, Migliorisi G, Dal Buono A, Gabbiadini R, Mastrorocco E, Quadarella A, Repici A, Santoro A, Armuzzi A. Checkpoint Inhibitor-Induced Colitis: From Pathogenesis to Management. </w:t>
      </w:r>
      <w:r>
        <w:rPr>
          <w:rFonts w:ascii="Book Antiqua" w:hAnsi="Book Antiqua" w:eastAsia="Book Antiqua" w:cs="Book Antiqua"/>
          <w:i/>
          <w:iCs/>
        </w:rPr>
        <w:t>Int J Mol Sci</w:t>
      </w:r>
      <w:r>
        <w:rPr>
          <w:rFonts w:ascii="Book Antiqua" w:hAnsi="Book Antiqua" w:eastAsia="Book Antiqua" w:cs="Book Antiqua"/>
        </w:rPr>
        <w:t xml:space="preserve"> 2023; </w:t>
      </w:r>
      <w:r>
        <w:rPr>
          <w:rFonts w:ascii="Book Antiqua" w:hAnsi="Book Antiqua" w:eastAsia="Book Antiqua" w:cs="Book Antiqua"/>
          <w:b/>
          <w:bCs/>
        </w:rPr>
        <w:t>24</w:t>
      </w:r>
      <w:r>
        <w:rPr>
          <w:rFonts w:ascii="Book Antiqua" w:hAnsi="Book Antiqua" w:eastAsia="Book Antiqua" w:cs="Book Antiqua"/>
        </w:rPr>
        <w:t xml:space="preserve"> [PMID: 37511260 DOI: 10.3390/ijms241411504]</w:t>
      </w:r>
    </w:p>
    <w:p>
      <w:pPr>
        <w:spacing w:line="360" w:lineRule="auto"/>
        <w:jc w:val="both"/>
        <w:rPr>
          <w:rFonts w:ascii="Book Antiqua" w:hAnsi="Book Antiqua" w:eastAsia="Book Antiqua" w:cs="Book Antiqua"/>
        </w:rPr>
      </w:pPr>
      <w:r>
        <w:rPr>
          <w:rFonts w:ascii="Book Antiqua" w:hAnsi="Book Antiqua" w:eastAsia="Book Antiqua" w:cs="Book Antiqua"/>
        </w:rPr>
        <w:t xml:space="preserve">75 </w:t>
      </w:r>
      <w:r>
        <w:rPr>
          <w:rFonts w:ascii="Book Antiqua" w:hAnsi="Book Antiqua" w:eastAsia="Book Antiqua" w:cs="Book Antiqua"/>
          <w:b/>
          <w:bCs/>
        </w:rPr>
        <w:t>Cai X</w:t>
      </w:r>
      <w:r>
        <w:rPr>
          <w:rFonts w:ascii="Book Antiqua" w:hAnsi="Book Antiqua" w:eastAsia="Book Antiqua" w:cs="Book Antiqua"/>
        </w:rPr>
        <w:t xml:space="preserve">, Zhan H, Ye Y, Yang J, Zhang M, Li J, Zhuang Y. Current Progress and Future Perspectives of Immune Checkpoint in Cancer and Infectious Diseases. </w:t>
      </w:r>
      <w:r>
        <w:rPr>
          <w:rFonts w:ascii="Book Antiqua" w:hAnsi="Book Antiqua" w:eastAsia="Book Antiqua" w:cs="Book Antiqua"/>
          <w:i/>
          <w:iCs/>
        </w:rPr>
        <w:t>Front Genet</w:t>
      </w:r>
      <w:r>
        <w:rPr>
          <w:rFonts w:ascii="Book Antiqua" w:hAnsi="Book Antiqua" w:eastAsia="Book Antiqua" w:cs="Book Antiqua"/>
        </w:rPr>
        <w:t xml:space="preserve"> 2021; </w:t>
      </w:r>
      <w:r>
        <w:rPr>
          <w:rFonts w:ascii="Book Antiqua" w:hAnsi="Book Antiqua" w:eastAsia="Book Antiqua" w:cs="Book Antiqua"/>
          <w:b/>
          <w:bCs/>
        </w:rPr>
        <w:t>12</w:t>
      </w:r>
      <w:r>
        <w:rPr>
          <w:rFonts w:ascii="Book Antiqua" w:hAnsi="Book Antiqua" w:eastAsia="Book Antiqua" w:cs="Book Antiqua"/>
        </w:rPr>
        <w:t>: 785153 [PMID: 34917131 DOI: 10.3389/fgene.2021.785153]</w:t>
      </w:r>
    </w:p>
    <w:p>
      <w:pPr>
        <w:spacing w:line="360" w:lineRule="auto"/>
        <w:jc w:val="both"/>
        <w:rPr>
          <w:rFonts w:ascii="Book Antiqua" w:hAnsi="Book Antiqua" w:eastAsia="Book Antiqua" w:cs="Book Antiqua"/>
        </w:rPr>
      </w:pPr>
      <w:r>
        <w:rPr>
          <w:rFonts w:ascii="Book Antiqua" w:hAnsi="Book Antiqua" w:eastAsia="Book Antiqua" w:cs="Book Antiqua"/>
        </w:rPr>
        <w:t xml:space="preserve">76 </w:t>
      </w:r>
      <w:r>
        <w:rPr>
          <w:rFonts w:ascii="Book Antiqua" w:hAnsi="Book Antiqua" w:eastAsia="Book Antiqua" w:cs="Book Antiqua"/>
          <w:b/>
          <w:bCs/>
        </w:rPr>
        <w:t>Del Gaudio A</w:t>
      </w:r>
      <w:r>
        <w:rPr>
          <w:rFonts w:ascii="Book Antiqua" w:hAnsi="Book Antiqua" w:eastAsia="Book Antiqua" w:cs="Book Antiqua"/>
        </w:rPr>
        <w:t xml:space="preserve">, Di Vincenzo F, Petito V, Giustiniani MC, Gasbarrini A, Scaldaferri F, Lopetuso LR. Focus on Immune Checkpoint Inhibitors-related Intestinal Inflammation: From Pathogenesis to Therapeutical Approach. </w:t>
      </w:r>
      <w:r>
        <w:rPr>
          <w:rFonts w:ascii="Book Antiqua" w:hAnsi="Book Antiqua" w:eastAsia="Book Antiqua" w:cs="Book Antiqua"/>
          <w:i/>
          <w:iCs/>
        </w:rPr>
        <w:t>Inflamm Bowel Dis</w:t>
      </w:r>
      <w:r>
        <w:rPr>
          <w:rFonts w:ascii="Book Antiqua" w:hAnsi="Book Antiqua" w:eastAsia="Book Antiqua" w:cs="Book Antiqua"/>
        </w:rPr>
        <w:t xml:space="preserve"> 2023 [PMID: 37801695 DOI: 10.1093/ibd/izad229]</w:t>
      </w:r>
    </w:p>
    <w:bookmarkEnd w:id="471"/>
    <w:bookmarkEnd w:id="472"/>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having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Provenance and peer review: </w:t>
      </w:r>
      <w:r>
        <w:rPr>
          <w:rFonts w:ascii="Book Antiqua" w:hAnsi="Book Antiqua" w:eastAsia="Book Antiqua" w:cs="Book Antiqua"/>
        </w:rPr>
        <w:t>Invited article; Externally peer reviewed.</w:t>
      </w:r>
    </w:p>
    <w:p>
      <w:pPr>
        <w:spacing w:line="360" w:lineRule="auto"/>
        <w:jc w:val="both"/>
        <w:rPr>
          <w:rFonts w:ascii="Book Antiqua" w:hAnsi="Book Antiqua"/>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October 27, 2023</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December 6, 2023</w:t>
      </w:r>
    </w:p>
    <w:p>
      <w:pPr>
        <w:spacing w:line="360" w:lineRule="auto"/>
        <w:jc w:val="both"/>
        <w:rPr>
          <w:rFonts w:ascii="Book Antiqua" w:hAnsi="Book Antiqua"/>
        </w:rPr>
      </w:pPr>
      <w:r>
        <w:rPr>
          <w:rFonts w:ascii="Book Antiqua" w:hAnsi="Book Antiqua" w:eastAsia="Book Antiqua" w:cs="Book Antiqua"/>
          <w:b/>
        </w:rPr>
        <w:t xml:space="preserve">Article in press: </w:t>
      </w:r>
      <w:r>
        <w:rPr>
          <w:rFonts w:ascii="Book Antiqua" w:hAnsi="Book Antiqua"/>
        </w:rPr>
        <w:t>January 19,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r>
        <w:rPr>
          <w:rFonts w:ascii="Book Antiqua" w:hAnsi="Book Antiqua" w:eastAsia="Book Antiqua" w:cs="Book Antiqua"/>
        </w:rPr>
        <w:t xml:space="preserve">Gastroenterology </w:t>
      </w:r>
      <w:r>
        <w:rPr>
          <w:rFonts w:hint="eastAsia" w:ascii="Book Antiqua" w:hAnsi="Book Antiqua" w:eastAsia="宋体" w:cs="Book Antiqua"/>
          <w:lang w:val="en-US" w:eastAsia="zh-CN"/>
        </w:rPr>
        <w:t>and</w:t>
      </w:r>
      <w:r>
        <w:rPr>
          <w:rFonts w:ascii="Book Antiqua" w:hAnsi="Book Antiqua" w:eastAsia="Book Antiqua" w:cs="Book Antiqua"/>
        </w:rPr>
        <w:t xml:space="preserve"> hepatology</w:t>
      </w:r>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Bulgaria</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D</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Cs/>
        </w:rPr>
      </w:pPr>
      <w:r>
        <w:rPr>
          <w:rFonts w:ascii="Book Antiqua" w:hAnsi="Book Antiqua" w:eastAsia="Book Antiqua" w:cs="Book Antiqua"/>
          <w:b/>
        </w:rPr>
        <w:t xml:space="preserve">P-Reviewer: </w:t>
      </w:r>
      <w:r>
        <w:rPr>
          <w:rFonts w:ascii="Book Antiqua" w:hAnsi="Book Antiqua" w:eastAsia="Book Antiqua" w:cs="Book Antiqua"/>
        </w:rPr>
        <w:t>Tulassay Z, Hungary; Zheng L, China</w:t>
      </w:r>
      <w:r>
        <w:rPr>
          <w:rFonts w:ascii="Book Antiqua" w:hAnsi="Book Antiqua" w:eastAsia="Book Antiqua" w:cs="Book Antiqua"/>
          <w:b/>
        </w:rPr>
        <w:t xml:space="preserve"> S-Editor: </w:t>
      </w:r>
      <w:r>
        <w:rPr>
          <w:rFonts w:ascii="Book Antiqua" w:hAnsi="Book Antiqua" w:eastAsia="Book Antiqua" w:cs="Book Antiqua"/>
          <w:bCs/>
        </w:rPr>
        <w:t>Chen YL</w:t>
      </w:r>
      <w:r>
        <w:rPr>
          <w:rFonts w:ascii="Book Antiqua" w:hAnsi="Book Antiqua" w:eastAsia="Book Antiqua" w:cs="Book Antiqua"/>
          <w:b/>
        </w:rPr>
        <w:t xml:space="preserve"> L-Editor</w:t>
      </w:r>
      <w:r>
        <w:rPr>
          <w:rFonts w:ascii="Book Antiqua" w:hAnsi="Book Antiqua" w:eastAsia="Book Antiqua" w:cs="Book Antiqua"/>
          <w:bCs/>
        </w:rPr>
        <w:t>:</w:t>
      </w:r>
      <w:r>
        <w:rPr>
          <w:rFonts w:ascii="Book Antiqua" w:hAnsi="Book Antiqua" w:eastAsia="Book Antiqua" w:cs="Book Antiqua"/>
          <w:b/>
        </w:rPr>
        <w:t xml:space="preserve"> </w:t>
      </w:r>
      <w:r>
        <w:rPr>
          <w:rFonts w:ascii="Book Antiqua" w:hAnsi="Book Antiqua" w:eastAsia="Book Antiqua" w:cs="Book Antiqua"/>
          <w:bCs/>
        </w:rPr>
        <w:t>Filipodia</w:t>
      </w:r>
      <w:r>
        <w:rPr>
          <w:rFonts w:ascii="Book Antiqua" w:hAnsi="Book Antiqua" w:eastAsia="Book Antiqua" w:cs="Book Antiqua"/>
          <w:b/>
        </w:rPr>
        <w:t xml:space="preserve"> P-Editor:</w:t>
      </w:r>
      <w:r>
        <w:rPr>
          <w:rFonts w:ascii="Book Antiqua" w:hAnsi="Book Antiqua" w:eastAsia="Book Antiqua" w:cs="Book Antiqua"/>
          <w:bCs/>
        </w:rPr>
        <w:t xml:space="preserve"> Zhao S</w:t>
      </w:r>
    </w:p>
    <w:p>
      <w:pPr>
        <w:spacing w:line="360" w:lineRule="auto"/>
        <w:jc w:val="both"/>
        <w:rPr>
          <w:rFonts w:ascii="Book Antiqua" w:hAnsi="Book Antiqua" w:eastAsia="Book Antiqua" w:cs="Book Antiqua"/>
          <w:b/>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lang w:eastAsia="zh-CN"/>
        </w:rPr>
      </w:pPr>
      <w:r>
        <w:rPr>
          <w:rFonts w:ascii="Book Antiqua" w:hAnsi="Book Antiqua"/>
          <w:b/>
          <w:bCs/>
          <w:lang w:eastAsia="zh-CN"/>
        </w:rPr>
        <w:t>Figure Legends</w:t>
      </w: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4587875" cy="3338830"/>
            <wp:effectExtent l="0" t="0" r="3175" b="4445"/>
            <wp:docPr id="1" name="图片 1" descr="WJCC-12-105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2-1050-g001"/>
                    <pic:cNvPicPr>
                      <a:picLocks noChangeAspect="1"/>
                    </pic:cNvPicPr>
                  </pic:nvPicPr>
                  <pic:blipFill>
                    <a:blip r:embed="rId5"/>
                    <a:stretch>
                      <a:fillRect/>
                    </a:stretch>
                  </pic:blipFill>
                  <pic:spPr>
                    <a:xfrm>
                      <a:off x="0" y="0"/>
                      <a:ext cx="4587875" cy="333883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Figure 1</w:t>
      </w:r>
      <w:r>
        <w:rPr>
          <w:rFonts w:ascii="Book Antiqua" w:hAnsi="Book Antiqua" w:eastAsia="Book Antiqua" w:cs="Book Antiqua"/>
        </w:rPr>
        <w:t xml:space="preserve"> </w:t>
      </w:r>
      <w:r>
        <w:rPr>
          <w:rFonts w:ascii="Book Antiqua" w:hAnsi="Book Antiqua" w:eastAsia="Book Antiqua" w:cs="Book Antiqua"/>
          <w:b/>
          <w:bCs/>
        </w:rPr>
        <w:t xml:space="preserve">Proposed immune-mediated pathways of immune checkpoint inhibitor-mediated colitis. </w:t>
      </w:r>
      <w:r>
        <w:rPr>
          <w:rFonts w:ascii="Book Antiqua" w:hAnsi="Book Antiqua" w:eastAsia="Book Antiqua" w:cs="Book Antiqua"/>
        </w:rPr>
        <w:t>In normal mucosa, T regulatory cells are fully capable of inducing tolerance while balancing pro-inflammatory cells and molecules (</w:t>
      </w:r>
      <w:r>
        <w:rPr>
          <w:rFonts w:ascii="Book Antiqua" w:hAnsi="Book Antiqua" w:eastAsia="Book Antiqua" w:cs="Book Antiqua"/>
          <w:i/>
          <w:iCs/>
        </w:rPr>
        <w:t>i</w:t>
      </w:r>
      <w:r>
        <w:rPr>
          <w:rFonts w:ascii="Book Antiqua" w:hAnsi="Book Antiqua" w:eastAsia="Book Antiqua" w:cs="Book Antiqua"/>
        </w:rPr>
        <w:t>.</w:t>
      </w:r>
      <w:r>
        <w:rPr>
          <w:rFonts w:ascii="Book Antiqua" w:hAnsi="Book Antiqua" w:eastAsia="Book Antiqua" w:cs="Book Antiqua"/>
          <w:i/>
          <w:iCs/>
        </w:rPr>
        <w:t>e</w:t>
      </w:r>
      <w:r>
        <w:rPr>
          <w:rFonts w:ascii="Book Antiqua" w:hAnsi="Book Antiqua" w:eastAsia="Book Antiqua" w:cs="Book Antiqua"/>
        </w:rPr>
        <w:t>. Th17 cells) and anti-inflammatory molecules (</w:t>
      </w:r>
      <w:r>
        <w:rPr>
          <w:rFonts w:ascii="Book Antiqua" w:hAnsi="Book Antiqua" w:eastAsia="Book Antiqua" w:cs="Book Antiqua"/>
          <w:i/>
          <w:iCs/>
        </w:rPr>
        <w:t>i</w:t>
      </w:r>
      <w:r>
        <w:rPr>
          <w:rFonts w:ascii="Book Antiqua" w:hAnsi="Book Antiqua" w:eastAsia="Book Antiqua" w:cs="Book Antiqua"/>
        </w:rPr>
        <w:t>.</w:t>
      </w:r>
      <w:r>
        <w:rPr>
          <w:rFonts w:ascii="Book Antiqua" w:hAnsi="Book Antiqua" w:eastAsia="Book Antiqua" w:cs="Book Antiqua"/>
          <w:i/>
          <w:iCs/>
        </w:rPr>
        <w:t>e</w:t>
      </w:r>
      <w:r>
        <w:rPr>
          <w:rFonts w:ascii="Book Antiqua" w:hAnsi="Book Antiqua" w:eastAsia="Book Antiqua" w:cs="Book Antiqua"/>
        </w:rPr>
        <w:t>. IL-10, TGF</w:t>
      </w:r>
      <w:r>
        <w:rPr>
          <w:rFonts w:ascii="Symbol" w:hAnsi="Symbol" w:eastAsia="Book Antiqua" w:cs="Book Antiqua"/>
        </w:rPr>
        <w:t>b</w:t>
      </w:r>
      <w:r>
        <w:rPr>
          <w:rFonts w:ascii="Book Antiqua" w:hAnsi="Book Antiqua" w:eastAsia="Book Antiqua" w:cs="Book Antiqua"/>
        </w:rPr>
        <w:t xml:space="preserve">, </w:t>
      </w:r>
      <w:r>
        <w:rPr>
          <w:rFonts w:ascii="Book Antiqua" w:hAnsi="Book Antiqua" w:eastAsia="Book Antiqua" w:cs="Book Antiqua"/>
          <w:i/>
          <w:iCs/>
        </w:rPr>
        <w:t>etc</w:t>
      </w:r>
      <w:r>
        <w:rPr>
          <w:rFonts w:ascii="Book Antiqua" w:hAnsi="Book Antiqua" w:eastAsia="Book Antiqua" w:cs="Book Antiqua"/>
        </w:rPr>
        <w:t>). By blocking cytotoxic T-lymphocyte antigen-4 (CTLA-4) or programmed cell death ligand-1, immune checkpoint inhibitors promote pro-inflammatory cytokines, chemokine production, Treg differentiation inhibition, and suppression of IL-10 and TGF</w:t>
      </w:r>
      <w:r>
        <w:rPr>
          <w:rFonts w:ascii="Symbol" w:hAnsi="Symbol" w:eastAsia="Book Antiqua" w:cs="Book Antiqua"/>
        </w:rPr>
        <w:t>b</w:t>
      </w:r>
      <w:r>
        <w:rPr>
          <w:rFonts w:ascii="Book Antiqua" w:hAnsi="Book Antiqua" w:eastAsia="Book Antiqua" w:cs="Book Antiqua"/>
        </w:rPr>
        <w:t xml:space="preserve"> secretion. Parts of the figure were drawn by using pictures from Servier Medical Art. Servier Medical Art by Servier (https://smart.servier.com/) is licensed under a Creative Commons Attribution 4.0 Unported License (Supplementary material). CTLA-4</w:t>
      </w:r>
      <w:r>
        <w:rPr>
          <w:rFonts w:ascii="Book Antiqua" w:hAnsi="Book Antiqua" w:eastAsia="宋体" w:cs="宋体"/>
          <w:lang w:eastAsia="zh-CN"/>
        </w:rPr>
        <w:t>: C</w:t>
      </w:r>
      <w:r>
        <w:rPr>
          <w:rFonts w:ascii="Book Antiqua" w:hAnsi="Book Antiqua" w:eastAsia="Book Antiqua" w:cs="Book Antiqua"/>
        </w:rPr>
        <w:t xml:space="preserve">ytotoxic T-lymphocyte antigen-4; PD-L1: </w:t>
      </w:r>
      <w:bookmarkStart w:id="473" w:name="_Hlk156049392"/>
      <w:r>
        <w:rPr>
          <w:rFonts w:ascii="Book Antiqua" w:hAnsi="Book Antiqua" w:eastAsia="Book Antiqua" w:cs="Book Antiqua"/>
        </w:rPr>
        <w:t>Programmed cell death ligand-1</w:t>
      </w:r>
      <w:bookmarkEnd w:id="473"/>
      <w:r>
        <w:rPr>
          <w:rFonts w:ascii="宋体" w:hAnsi="宋体" w:eastAsia="宋体" w:cs="宋体"/>
          <w:lang w:eastAsia="zh-CN"/>
        </w:rPr>
        <w:t>.</w:t>
      </w:r>
    </w:p>
    <w:p>
      <w:pPr>
        <w:spacing w:line="360" w:lineRule="auto"/>
        <w:jc w:val="both"/>
        <w:rPr>
          <w:rFonts w:hint="eastAsia" w:ascii="Book Antiqua" w:hAnsi="Book Antiqua" w:eastAsiaTheme="minorEastAsia"/>
          <w:b/>
          <w:bCs/>
          <w:lang w:eastAsia="zh-CN"/>
        </w:rPr>
      </w:pPr>
      <w:r>
        <w:rPr>
          <w:rFonts w:ascii="Book Antiqua" w:hAnsi="Book Antiqua"/>
          <w:b/>
          <w:bCs/>
          <w:lang w:eastAsia="zh-CN"/>
        </w:rPr>
        <w:br w:type="page"/>
      </w:r>
      <w:r>
        <w:rPr>
          <w:rFonts w:hint="eastAsia" w:ascii="Book Antiqua" w:hAnsi="Book Antiqua" w:eastAsiaTheme="minorEastAsia"/>
          <w:b/>
          <w:bCs/>
          <w:lang w:eastAsia="zh-CN"/>
        </w:rPr>
        <w:drawing>
          <wp:inline distT="0" distB="0" distL="114300" distR="114300">
            <wp:extent cx="4940300" cy="3061970"/>
            <wp:effectExtent l="0" t="0" r="3175" b="5080"/>
            <wp:docPr id="2" name="图片 2" descr="WJCC-12-105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2-1050-g002"/>
                    <pic:cNvPicPr>
                      <a:picLocks noChangeAspect="1"/>
                    </pic:cNvPicPr>
                  </pic:nvPicPr>
                  <pic:blipFill>
                    <a:blip r:embed="rId6"/>
                    <a:stretch>
                      <a:fillRect/>
                    </a:stretch>
                  </pic:blipFill>
                  <pic:spPr>
                    <a:xfrm>
                      <a:off x="0" y="0"/>
                      <a:ext cx="4940300" cy="3061970"/>
                    </a:xfrm>
                    <a:prstGeom prst="rect">
                      <a:avLst/>
                    </a:prstGeom>
                  </pic:spPr>
                </pic:pic>
              </a:graphicData>
            </a:graphic>
          </wp:inline>
        </w:drawing>
      </w:r>
    </w:p>
    <w:p>
      <w:pPr>
        <w:spacing w:line="360" w:lineRule="auto"/>
        <w:jc w:val="both"/>
        <w:rPr>
          <w:rFonts w:ascii="Book Antiqua" w:hAnsi="Book Antiqua"/>
          <w:b/>
          <w:bCs/>
        </w:rPr>
      </w:pPr>
      <w:r>
        <w:rPr>
          <w:rFonts w:ascii="Book Antiqua" w:hAnsi="Book Antiqua" w:eastAsia="Book Antiqua" w:cs="Book Antiqua"/>
          <w:b/>
          <w:bCs/>
        </w:rPr>
        <w:t>Figure 2 PRISMA-guided flow chart of the papers screened and included in the manuscript.</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942330" cy="3102610"/>
            <wp:effectExtent l="0" t="0" r="1270" b="2540"/>
            <wp:docPr id="3" name="图片 3" descr="WJCC-12-105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2-1050-g003"/>
                    <pic:cNvPicPr>
                      <a:picLocks noChangeAspect="1"/>
                    </pic:cNvPicPr>
                  </pic:nvPicPr>
                  <pic:blipFill>
                    <a:blip r:embed="rId7"/>
                    <a:stretch>
                      <a:fillRect/>
                    </a:stretch>
                  </pic:blipFill>
                  <pic:spPr>
                    <a:xfrm>
                      <a:off x="0" y="0"/>
                      <a:ext cx="5942330" cy="310261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 xml:space="preserve">Figure 3 Grading the severity of immune checkpoint inhibitor-induced colitis and diarrhea and management. </w:t>
      </w:r>
      <w:r>
        <w:rPr>
          <w:rFonts w:ascii="Book Antiqua" w:hAnsi="Book Antiqua" w:eastAsia="Book Antiqua" w:cs="Book Antiqua"/>
        </w:rPr>
        <w:t>After discontinuing immune checkpoint inhibitors, clinical response and mucosal healing assessment are needed, and then biologics, fecal microbiota transplantation or surgery are introduced. Parts of the figure were drawn by using pictures from Servier Medical Art. Servier Medical Art by Servier (https://smart.servier.com/) is licensed under a Creative Commons Attribution 4.0 Unported License (Supplementary material). FMT: Fecal microbiota transplantation; ICI: Immune checkpoint inhibitors.</w:t>
      </w:r>
    </w:p>
    <w:p>
      <w:pPr>
        <w:spacing w:line="360" w:lineRule="auto"/>
        <w:jc w:val="both"/>
        <w:rPr>
          <w:rFonts w:hint="eastAsia" w:ascii="Book Antiqua" w:hAnsi="Book Antiqua" w:eastAsiaTheme="minorEastAsia"/>
          <w:b/>
          <w:bCs/>
          <w:lang w:eastAsia="zh-CN"/>
        </w:rPr>
      </w:pPr>
      <w:r>
        <w:rPr>
          <w:rFonts w:ascii="Book Antiqua" w:hAnsi="Book Antiqua"/>
          <w:b/>
          <w:bCs/>
          <w:lang w:eastAsia="zh-CN"/>
        </w:rPr>
        <w:br w:type="page"/>
      </w:r>
      <w:r>
        <w:rPr>
          <w:rFonts w:hint="eastAsia" w:ascii="Book Antiqua" w:hAnsi="Book Antiqua" w:eastAsiaTheme="minorEastAsia"/>
          <w:b/>
          <w:bCs/>
          <w:lang w:eastAsia="zh-CN"/>
        </w:rPr>
        <w:drawing>
          <wp:inline distT="0" distB="0" distL="114300" distR="114300">
            <wp:extent cx="5942330" cy="1560830"/>
            <wp:effectExtent l="0" t="0" r="1270" b="1270"/>
            <wp:docPr id="4" name="图片 4" descr="WJCC-12-105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2-1050-g004"/>
                    <pic:cNvPicPr>
                      <a:picLocks noChangeAspect="1"/>
                    </pic:cNvPicPr>
                  </pic:nvPicPr>
                  <pic:blipFill>
                    <a:blip r:embed="rId8"/>
                    <a:stretch>
                      <a:fillRect/>
                    </a:stretch>
                  </pic:blipFill>
                  <pic:spPr>
                    <a:xfrm>
                      <a:off x="0" y="0"/>
                      <a:ext cx="5942330" cy="156083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Figure 4 This c</w:t>
      </w:r>
      <w:bookmarkStart w:id="474" w:name="_GoBack"/>
      <w:bookmarkEnd w:id="474"/>
      <w:r>
        <w:rPr>
          <w:rFonts w:ascii="Book Antiqua" w:hAnsi="Book Antiqua" w:eastAsia="Book Antiqua" w:cs="Book Antiqua"/>
          <w:b/>
          <w:bCs/>
        </w:rPr>
        <w:t>olonic biopsy shows severe colitis highlighted by cryptitis and focal crypt microabscess (C-marked with an arrows), and surface epithelial injury without crypt atrophy</w:t>
      </w:r>
      <w:r>
        <w:rPr>
          <w:rFonts w:ascii="Book Antiqua" w:hAnsi="Book Antiqua" w:eastAsia="Book Antiqua" w:cs="Book Antiqua"/>
          <w:b/>
          <w:bCs/>
        </w:rPr>
        <w:t>.</w:t>
      </w:r>
      <w:r>
        <w:rPr>
          <w:rFonts w:ascii="Book Antiqua" w:hAnsi="Book Antiqua" w:eastAsia="Book Antiqua" w:cs="Book Antiqua"/>
        </w:rPr>
        <w:t xml:space="preserve"> A: Hematoxylin and eosin (H&amp;E) </w:t>
      </w:r>
      <w:r>
        <w:rPr>
          <w:rFonts w:ascii="Book Antiqua" w:hAnsi="Book Antiqua" w:cs="Book Antiqua"/>
          <w:lang w:eastAsia="zh-CN"/>
        </w:rPr>
        <w:t>×</w:t>
      </w:r>
      <w:r>
        <w:rPr>
          <w:rFonts w:ascii="Book Antiqua" w:hAnsi="Book Antiqua" w:eastAsia="Book Antiqua" w:cs="Book Antiqua"/>
        </w:rPr>
        <w:t xml:space="preserve"> 20; B: H&amp;E </w:t>
      </w:r>
      <w:r>
        <w:rPr>
          <w:rFonts w:ascii="Book Antiqua" w:hAnsi="Book Antiqua" w:cs="Book Antiqua"/>
          <w:lang w:eastAsia="zh-CN"/>
        </w:rPr>
        <w:t xml:space="preserve">× 50; </w:t>
      </w:r>
      <w:r>
        <w:rPr>
          <w:rFonts w:ascii="Book Antiqua" w:hAnsi="Book Antiqua" w:eastAsia="Book Antiqua" w:cs="Book Antiqua"/>
        </w:rPr>
        <w:t xml:space="preserve">C: H&amp;E </w:t>
      </w:r>
      <w:r>
        <w:rPr>
          <w:rFonts w:ascii="Book Antiqua" w:hAnsi="Book Antiqua" w:cs="Book Antiqua"/>
          <w:lang w:eastAsia="zh-CN"/>
        </w:rPr>
        <w:t xml:space="preserve">× </w:t>
      </w:r>
      <w:r>
        <w:rPr>
          <w:rFonts w:ascii="Book Antiqua" w:hAnsi="Book Antiqua" w:eastAsia="Book Antiqua" w:cs="Book Antiqua"/>
        </w:rPr>
        <w:t>100.</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3975735" cy="1587500"/>
            <wp:effectExtent l="0" t="0" r="5715" b="3175"/>
            <wp:docPr id="7" name="图片 7" descr="WJCC-12-1050-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2-1050-g005"/>
                    <pic:cNvPicPr>
                      <a:picLocks noChangeAspect="1"/>
                    </pic:cNvPicPr>
                  </pic:nvPicPr>
                  <pic:blipFill>
                    <a:blip r:embed="rId9"/>
                    <a:stretch>
                      <a:fillRect/>
                    </a:stretch>
                  </pic:blipFill>
                  <pic:spPr>
                    <a:xfrm>
                      <a:off x="0" y="0"/>
                      <a:ext cx="3975735" cy="1587500"/>
                    </a:xfrm>
                    <a:prstGeom prst="rect">
                      <a:avLst/>
                    </a:prstGeom>
                  </pic:spPr>
                </pic:pic>
              </a:graphicData>
            </a:graphic>
          </wp:inline>
        </w:drawing>
      </w:r>
    </w:p>
    <w:p>
      <w:pPr>
        <w:spacing w:line="360" w:lineRule="auto"/>
        <w:jc w:val="both"/>
        <w:rPr>
          <w:rFonts w:ascii="Book Antiqua" w:hAnsi="Book Antiqua" w:eastAsia="宋体" w:cs="宋体"/>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Figure 5</w:t>
      </w:r>
      <w:r>
        <w:rPr>
          <w:rFonts w:ascii="Book Antiqua" w:hAnsi="Book Antiqua" w:eastAsia="Book Antiqua" w:cs="Book Antiqua"/>
        </w:rPr>
        <w:t xml:space="preserve"> </w:t>
      </w:r>
      <w:r>
        <w:rPr>
          <w:rFonts w:ascii="Book Antiqua" w:hAnsi="Book Antiqua" w:eastAsia="Book Antiqua" w:cs="Book Antiqua"/>
          <w:b/>
          <w:bCs/>
        </w:rPr>
        <w:t xml:space="preserve">Hematoxylin and eosin staining. </w:t>
      </w:r>
      <w:r>
        <w:rPr>
          <w:rFonts w:ascii="Book Antiqua" w:hAnsi="Book Antiqua" w:eastAsia="Book Antiqua" w:cs="Book Antiqua"/>
        </w:rPr>
        <w:t xml:space="preserve">A and B: This colonic biopsy shows increased intraepithelial lymphocytes (lymphocytic colitis pattern of injury), mild focal active colitis and surface epithelial injury. Hematoxylin and eosin </w:t>
      </w:r>
      <w:r>
        <w:rPr>
          <w:rFonts w:ascii="Book Antiqua" w:hAnsi="Book Antiqua" w:cs="Book Antiqua"/>
          <w:lang w:eastAsia="zh-CN"/>
        </w:rPr>
        <w:t>×</w:t>
      </w:r>
      <w:r>
        <w:rPr>
          <w:rFonts w:ascii="Book Antiqua" w:hAnsi="Book Antiqua" w:eastAsia="Book Antiqua" w:cs="Book Antiqua"/>
        </w:rPr>
        <w:t xml:space="preserve"> 50 (A), </w:t>
      </w:r>
      <w:r>
        <w:rPr>
          <w:rFonts w:ascii="Book Antiqua" w:hAnsi="Book Antiqua" w:cs="Book Antiqua"/>
          <w:lang w:eastAsia="zh-CN"/>
        </w:rPr>
        <w:t xml:space="preserve">× </w:t>
      </w:r>
      <w:r>
        <w:rPr>
          <w:rFonts w:ascii="Book Antiqua" w:hAnsi="Book Antiqua" w:eastAsia="Book Antiqua" w:cs="Book Antiqua"/>
        </w:rPr>
        <w:t>100 (B)</w:t>
      </w:r>
      <w:r>
        <w:rPr>
          <w:rFonts w:ascii="Book Antiqua" w:hAnsi="Book Antiqua" w:eastAsia="宋体" w:cs="宋体"/>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宋体" w:cs="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1139260632"/>
      <w:docPartObj>
        <w:docPartGallery w:val="autotext"/>
      </w:docPartObj>
    </w:sdtPr>
    <w:sdtEndPr>
      <w:rPr>
        <w:rFonts w:ascii="Book Antiqua" w:hAnsi="Book Antiqua"/>
        <w:sz w:val="24"/>
        <w:szCs w:val="24"/>
      </w:rPr>
    </w:sdtEndPr>
    <w:sdtContent>
      <w:sdt>
        <w:sdtPr>
          <w:rPr>
            <w:rFonts w:ascii="Book Antiqua" w:hAnsi="Book Antiqua"/>
            <w:sz w:val="24"/>
            <w:szCs w:val="24"/>
          </w:rPr>
          <w:id w:val="-1769616900"/>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02762"/>
    <w:rsid w:val="00002D6B"/>
    <w:rsid w:val="00012FC9"/>
    <w:rsid w:val="00031755"/>
    <w:rsid w:val="00041297"/>
    <w:rsid w:val="000477A6"/>
    <w:rsid w:val="00053F90"/>
    <w:rsid w:val="00056830"/>
    <w:rsid w:val="00056931"/>
    <w:rsid w:val="000613DD"/>
    <w:rsid w:val="00083743"/>
    <w:rsid w:val="000A0BE2"/>
    <w:rsid w:val="000C25D5"/>
    <w:rsid w:val="000C629A"/>
    <w:rsid w:val="000C7513"/>
    <w:rsid w:val="000F0100"/>
    <w:rsid w:val="000F365B"/>
    <w:rsid w:val="000F68D5"/>
    <w:rsid w:val="0014771B"/>
    <w:rsid w:val="00147CFA"/>
    <w:rsid w:val="001553AD"/>
    <w:rsid w:val="001561E2"/>
    <w:rsid w:val="00160470"/>
    <w:rsid w:val="0016254A"/>
    <w:rsid w:val="00162732"/>
    <w:rsid w:val="00172365"/>
    <w:rsid w:val="00172951"/>
    <w:rsid w:val="00175D93"/>
    <w:rsid w:val="001B17CA"/>
    <w:rsid w:val="001B7D34"/>
    <w:rsid w:val="001C2479"/>
    <w:rsid w:val="00205BB2"/>
    <w:rsid w:val="0022467F"/>
    <w:rsid w:val="00225E8B"/>
    <w:rsid w:val="00232BAA"/>
    <w:rsid w:val="002358C8"/>
    <w:rsid w:val="00237F38"/>
    <w:rsid w:val="002604F6"/>
    <w:rsid w:val="00261F4F"/>
    <w:rsid w:val="00282700"/>
    <w:rsid w:val="00283AB6"/>
    <w:rsid w:val="00293087"/>
    <w:rsid w:val="00293426"/>
    <w:rsid w:val="00293CE3"/>
    <w:rsid w:val="00295002"/>
    <w:rsid w:val="002A3A06"/>
    <w:rsid w:val="002A3D42"/>
    <w:rsid w:val="002D3FCE"/>
    <w:rsid w:val="002D545E"/>
    <w:rsid w:val="002D6E4C"/>
    <w:rsid w:val="00310A0B"/>
    <w:rsid w:val="00313A0C"/>
    <w:rsid w:val="003146B8"/>
    <w:rsid w:val="0031662F"/>
    <w:rsid w:val="003306E8"/>
    <w:rsid w:val="0034079F"/>
    <w:rsid w:val="003540C5"/>
    <w:rsid w:val="00354B72"/>
    <w:rsid w:val="003677E2"/>
    <w:rsid w:val="00376FCC"/>
    <w:rsid w:val="00386B4A"/>
    <w:rsid w:val="003A4D8D"/>
    <w:rsid w:val="003A6FD4"/>
    <w:rsid w:val="003B0160"/>
    <w:rsid w:val="003B5C6A"/>
    <w:rsid w:val="003F21AB"/>
    <w:rsid w:val="003F25A1"/>
    <w:rsid w:val="00400F95"/>
    <w:rsid w:val="004152BD"/>
    <w:rsid w:val="00416BA3"/>
    <w:rsid w:val="00424955"/>
    <w:rsid w:val="00436C02"/>
    <w:rsid w:val="00457734"/>
    <w:rsid w:val="00465AF1"/>
    <w:rsid w:val="00473120"/>
    <w:rsid w:val="00496FF2"/>
    <w:rsid w:val="004C03C3"/>
    <w:rsid w:val="004C63E9"/>
    <w:rsid w:val="004E23F1"/>
    <w:rsid w:val="00511504"/>
    <w:rsid w:val="00523B4F"/>
    <w:rsid w:val="005437ED"/>
    <w:rsid w:val="0055621B"/>
    <w:rsid w:val="00575EFB"/>
    <w:rsid w:val="00576B90"/>
    <w:rsid w:val="005801DE"/>
    <w:rsid w:val="00582C96"/>
    <w:rsid w:val="005A1CE4"/>
    <w:rsid w:val="005B4BC7"/>
    <w:rsid w:val="005C4CF6"/>
    <w:rsid w:val="005D22DE"/>
    <w:rsid w:val="005D4ECD"/>
    <w:rsid w:val="005D7A0A"/>
    <w:rsid w:val="005D7B2B"/>
    <w:rsid w:val="005D7D4C"/>
    <w:rsid w:val="005E6A4D"/>
    <w:rsid w:val="005F19D9"/>
    <w:rsid w:val="00602825"/>
    <w:rsid w:val="00602E4E"/>
    <w:rsid w:val="0062725A"/>
    <w:rsid w:val="0063428A"/>
    <w:rsid w:val="00637938"/>
    <w:rsid w:val="0064018B"/>
    <w:rsid w:val="006427B3"/>
    <w:rsid w:val="00643B21"/>
    <w:rsid w:val="00653AAC"/>
    <w:rsid w:val="00670E54"/>
    <w:rsid w:val="0067575F"/>
    <w:rsid w:val="006772F7"/>
    <w:rsid w:val="00691E81"/>
    <w:rsid w:val="00693432"/>
    <w:rsid w:val="00696D93"/>
    <w:rsid w:val="00696ECD"/>
    <w:rsid w:val="006A3A07"/>
    <w:rsid w:val="006B32A4"/>
    <w:rsid w:val="006B37ED"/>
    <w:rsid w:val="006F105B"/>
    <w:rsid w:val="006F5F70"/>
    <w:rsid w:val="00704875"/>
    <w:rsid w:val="00711726"/>
    <w:rsid w:val="0071224A"/>
    <w:rsid w:val="00715077"/>
    <w:rsid w:val="007164AE"/>
    <w:rsid w:val="007203F3"/>
    <w:rsid w:val="00723715"/>
    <w:rsid w:val="0072493F"/>
    <w:rsid w:val="007304EA"/>
    <w:rsid w:val="00740DAA"/>
    <w:rsid w:val="00742A32"/>
    <w:rsid w:val="007464AE"/>
    <w:rsid w:val="00766F7A"/>
    <w:rsid w:val="007832CD"/>
    <w:rsid w:val="0079072E"/>
    <w:rsid w:val="00796206"/>
    <w:rsid w:val="007A2305"/>
    <w:rsid w:val="007A5C6D"/>
    <w:rsid w:val="007B0A83"/>
    <w:rsid w:val="007C0167"/>
    <w:rsid w:val="007C2B66"/>
    <w:rsid w:val="007C50D7"/>
    <w:rsid w:val="007C6A5F"/>
    <w:rsid w:val="007D6BE9"/>
    <w:rsid w:val="007E6BDE"/>
    <w:rsid w:val="00821C11"/>
    <w:rsid w:val="00825C32"/>
    <w:rsid w:val="008308FE"/>
    <w:rsid w:val="008402AE"/>
    <w:rsid w:val="008A53B6"/>
    <w:rsid w:val="008A7057"/>
    <w:rsid w:val="008B002E"/>
    <w:rsid w:val="008B276E"/>
    <w:rsid w:val="008C759E"/>
    <w:rsid w:val="008D068D"/>
    <w:rsid w:val="008D0F41"/>
    <w:rsid w:val="008E58BE"/>
    <w:rsid w:val="008F1186"/>
    <w:rsid w:val="008F2894"/>
    <w:rsid w:val="00921874"/>
    <w:rsid w:val="0093439C"/>
    <w:rsid w:val="00942DE1"/>
    <w:rsid w:val="00947362"/>
    <w:rsid w:val="00957203"/>
    <w:rsid w:val="00967824"/>
    <w:rsid w:val="0097049D"/>
    <w:rsid w:val="009758F9"/>
    <w:rsid w:val="00991345"/>
    <w:rsid w:val="00996184"/>
    <w:rsid w:val="009C0EB6"/>
    <w:rsid w:val="009D1362"/>
    <w:rsid w:val="009E12DF"/>
    <w:rsid w:val="009E6C92"/>
    <w:rsid w:val="009F3836"/>
    <w:rsid w:val="00A035C8"/>
    <w:rsid w:val="00A07081"/>
    <w:rsid w:val="00A21B5D"/>
    <w:rsid w:val="00A258B3"/>
    <w:rsid w:val="00A33AE3"/>
    <w:rsid w:val="00A40FF0"/>
    <w:rsid w:val="00A417AB"/>
    <w:rsid w:val="00A4767F"/>
    <w:rsid w:val="00A77B3E"/>
    <w:rsid w:val="00A832D6"/>
    <w:rsid w:val="00A90CF9"/>
    <w:rsid w:val="00A939A3"/>
    <w:rsid w:val="00AA1878"/>
    <w:rsid w:val="00AC0630"/>
    <w:rsid w:val="00B0059A"/>
    <w:rsid w:val="00B026BB"/>
    <w:rsid w:val="00B14D00"/>
    <w:rsid w:val="00B16683"/>
    <w:rsid w:val="00B33F3A"/>
    <w:rsid w:val="00B3603D"/>
    <w:rsid w:val="00B4111C"/>
    <w:rsid w:val="00B44341"/>
    <w:rsid w:val="00B44402"/>
    <w:rsid w:val="00B5212C"/>
    <w:rsid w:val="00B56CAA"/>
    <w:rsid w:val="00B605D8"/>
    <w:rsid w:val="00B636C1"/>
    <w:rsid w:val="00B66541"/>
    <w:rsid w:val="00B67F16"/>
    <w:rsid w:val="00BA413C"/>
    <w:rsid w:val="00BB2514"/>
    <w:rsid w:val="00BB6F9C"/>
    <w:rsid w:val="00BC0981"/>
    <w:rsid w:val="00BC6F42"/>
    <w:rsid w:val="00BC7707"/>
    <w:rsid w:val="00BE413D"/>
    <w:rsid w:val="00BE78F8"/>
    <w:rsid w:val="00BF4B75"/>
    <w:rsid w:val="00C26083"/>
    <w:rsid w:val="00C36D4B"/>
    <w:rsid w:val="00C37449"/>
    <w:rsid w:val="00C530DC"/>
    <w:rsid w:val="00C54BFF"/>
    <w:rsid w:val="00C579F2"/>
    <w:rsid w:val="00C57DD4"/>
    <w:rsid w:val="00C63732"/>
    <w:rsid w:val="00C678CE"/>
    <w:rsid w:val="00CA1B7B"/>
    <w:rsid w:val="00CA2A55"/>
    <w:rsid w:val="00CA6C6B"/>
    <w:rsid w:val="00CA70C0"/>
    <w:rsid w:val="00CB4F48"/>
    <w:rsid w:val="00CC5A31"/>
    <w:rsid w:val="00D07AE1"/>
    <w:rsid w:val="00D10F83"/>
    <w:rsid w:val="00D12219"/>
    <w:rsid w:val="00D13F92"/>
    <w:rsid w:val="00D24C25"/>
    <w:rsid w:val="00D50D6B"/>
    <w:rsid w:val="00D51704"/>
    <w:rsid w:val="00D55F41"/>
    <w:rsid w:val="00D56967"/>
    <w:rsid w:val="00D70563"/>
    <w:rsid w:val="00D77629"/>
    <w:rsid w:val="00D8054C"/>
    <w:rsid w:val="00D847D8"/>
    <w:rsid w:val="00D86ED3"/>
    <w:rsid w:val="00D93BB1"/>
    <w:rsid w:val="00D96BCB"/>
    <w:rsid w:val="00D970D6"/>
    <w:rsid w:val="00DA0B55"/>
    <w:rsid w:val="00DB4BE7"/>
    <w:rsid w:val="00DC06C1"/>
    <w:rsid w:val="00DC6227"/>
    <w:rsid w:val="00DD00D5"/>
    <w:rsid w:val="00DD20AA"/>
    <w:rsid w:val="00DD416B"/>
    <w:rsid w:val="00DE1366"/>
    <w:rsid w:val="00E17E0C"/>
    <w:rsid w:val="00E21F38"/>
    <w:rsid w:val="00E23577"/>
    <w:rsid w:val="00E253F0"/>
    <w:rsid w:val="00E2580B"/>
    <w:rsid w:val="00E34508"/>
    <w:rsid w:val="00E36601"/>
    <w:rsid w:val="00E42979"/>
    <w:rsid w:val="00E60CF3"/>
    <w:rsid w:val="00E62541"/>
    <w:rsid w:val="00E66E52"/>
    <w:rsid w:val="00E729A6"/>
    <w:rsid w:val="00EA293C"/>
    <w:rsid w:val="00EB722A"/>
    <w:rsid w:val="00EC588A"/>
    <w:rsid w:val="00EC7705"/>
    <w:rsid w:val="00EE492F"/>
    <w:rsid w:val="00EF1284"/>
    <w:rsid w:val="00F028F1"/>
    <w:rsid w:val="00F02A7E"/>
    <w:rsid w:val="00F11F0C"/>
    <w:rsid w:val="00F61831"/>
    <w:rsid w:val="00F63B24"/>
    <w:rsid w:val="00F9787D"/>
    <w:rsid w:val="00FA5C42"/>
    <w:rsid w:val="00FC6D4C"/>
    <w:rsid w:val="00FD51E8"/>
    <w:rsid w:val="00FD56C2"/>
    <w:rsid w:val="00FE3DF1"/>
    <w:rsid w:val="100B4541"/>
    <w:rsid w:val="15BD03CA"/>
    <w:rsid w:val="4DA6407F"/>
    <w:rsid w:val="6E034F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2"/>
    <w:autoRedefine/>
    <w:qFormat/>
    <w:uiPriority w:val="0"/>
  </w:style>
  <w:style w:type="paragraph" w:styleId="3">
    <w:name w:val="footer"/>
    <w:basedOn w:val="1"/>
    <w:link w:val="11"/>
    <w:autoRedefine/>
    <w:qFormat/>
    <w:uiPriority w:val="99"/>
    <w:pPr>
      <w:tabs>
        <w:tab w:val="center" w:pos="4153"/>
        <w:tab w:val="right" w:pos="8306"/>
      </w:tabs>
      <w:snapToGrid w:val="0"/>
    </w:pPr>
    <w:rPr>
      <w:sz w:val="18"/>
      <w:szCs w:val="18"/>
    </w:rPr>
  </w:style>
  <w:style w:type="paragraph" w:styleId="4">
    <w:name w:val="header"/>
    <w:basedOn w:val="1"/>
    <w:link w:val="10"/>
    <w:autoRedefine/>
    <w:qFormat/>
    <w:uiPriority w:val="0"/>
    <w:pPr>
      <w:tabs>
        <w:tab w:val="center" w:pos="4153"/>
        <w:tab w:val="right" w:pos="8306"/>
      </w:tabs>
      <w:snapToGrid w:val="0"/>
      <w:jc w:val="center"/>
    </w:pPr>
    <w:rPr>
      <w:sz w:val="18"/>
      <w:szCs w:val="18"/>
    </w:rPr>
  </w:style>
  <w:style w:type="paragraph" w:styleId="5">
    <w:name w:val="annotation subject"/>
    <w:basedOn w:val="2"/>
    <w:next w:val="2"/>
    <w:link w:val="13"/>
    <w:autoRedefine/>
    <w:qFormat/>
    <w:uiPriority w:val="0"/>
    <w:rPr>
      <w:b/>
      <w:bCs/>
    </w:rPr>
  </w:style>
  <w:style w:type="character" w:styleId="8">
    <w:name w:val="Hyperlink"/>
    <w:basedOn w:val="7"/>
    <w:autoRedefine/>
    <w:qFormat/>
    <w:uiPriority w:val="0"/>
    <w:rPr>
      <w:color w:val="0000FF" w:themeColor="hyperlink"/>
      <w:u w:val="single"/>
      <w14:textFill>
        <w14:solidFill>
          <w14:schemeClr w14:val="hlink"/>
        </w14:solidFill>
      </w14:textFill>
    </w:rPr>
  </w:style>
  <w:style w:type="character" w:styleId="9">
    <w:name w:val="annotation reference"/>
    <w:basedOn w:val="7"/>
    <w:autoRedefine/>
    <w:qFormat/>
    <w:uiPriority w:val="0"/>
    <w:rPr>
      <w:sz w:val="21"/>
      <w:szCs w:val="21"/>
    </w:rPr>
  </w:style>
  <w:style w:type="character" w:customStyle="1" w:styleId="10">
    <w:name w:val="页眉 字符"/>
    <w:basedOn w:val="7"/>
    <w:link w:val="4"/>
    <w:autoRedefine/>
    <w:qFormat/>
    <w:uiPriority w:val="0"/>
    <w:rPr>
      <w:sz w:val="18"/>
      <w:szCs w:val="18"/>
    </w:rPr>
  </w:style>
  <w:style w:type="character" w:customStyle="1" w:styleId="11">
    <w:name w:val="页脚 字符"/>
    <w:basedOn w:val="7"/>
    <w:link w:val="3"/>
    <w:autoRedefine/>
    <w:qFormat/>
    <w:uiPriority w:val="99"/>
    <w:rPr>
      <w:sz w:val="18"/>
      <w:szCs w:val="18"/>
    </w:rPr>
  </w:style>
  <w:style w:type="character" w:customStyle="1" w:styleId="12">
    <w:name w:val="批注文字 字符"/>
    <w:basedOn w:val="7"/>
    <w:link w:val="2"/>
    <w:autoRedefine/>
    <w:qFormat/>
    <w:uiPriority w:val="0"/>
    <w:rPr>
      <w:sz w:val="24"/>
      <w:szCs w:val="24"/>
    </w:rPr>
  </w:style>
  <w:style w:type="character" w:customStyle="1" w:styleId="13">
    <w:name w:val="批注主题 字符"/>
    <w:basedOn w:val="12"/>
    <w:link w:val="5"/>
    <w:autoRedefine/>
    <w:qFormat/>
    <w:uiPriority w:val="0"/>
    <w:rPr>
      <w:b/>
      <w:bCs/>
      <w:sz w:val="24"/>
      <w:szCs w:val="24"/>
    </w:rPr>
  </w:style>
  <w:style w:type="paragraph" w:customStyle="1" w:styleId="14">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Unresolved Mention"/>
    <w:basedOn w:val="7"/>
    <w:autoRedefine/>
    <w:semiHidden/>
    <w:unhideWhenUsed/>
    <w:qFormat/>
    <w:uiPriority w:val="99"/>
    <w:rPr>
      <w:color w:val="605E5C"/>
      <w:shd w:val="clear" w:color="auto" w:fill="E1DFDD"/>
    </w:rPr>
  </w:style>
  <w:style w:type="character" w:customStyle="1" w:styleId="16">
    <w:name w:val="font31"/>
    <w:basedOn w:val="7"/>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35</Pages>
  <Words>9126</Words>
  <Characters>52020</Characters>
  <Lines>433</Lines>
  <Paragraphs>122</Paragraphs>
  <TotalTime>2</TotalTime>
  <ScaleCrop>false</ScaleCrop>
  <LinksUpToDate>false</LinksUpToDate>
  <CharactersWithSpaces>61024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2024-01-25T18:14:00Z</dcterms:created>
  <dc:creator>10436</dc:creator>
  <cp:lastModifiedBy>xzh</cp:lastModifiedBy>
  <dcterms:modified xsi:type="dcterms:W3CDTF">2024-02-20T07:47:46Z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D4B2E76955444CDB92EF1A7750DDB344_12</vt:lpwstr>
  </property>
</Properties>
</file>