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99C5"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rPr>
        <w:t xml:space="preserve">Name of Journal: </w:t>
      </w:r>
      <w:r w:rsidRPr="00AD5289">
        <w:rPr>
          <w:rFonts w:ascii="Book Antiqua" w:eastAsia="Book Antiqua" w:hAnsi="Book Antiqua" w:cs="Book Antiqua"/>
          <w:i/>
        </w:rPr>
        <w:t>World Journal of Orthopedics</w:t>
      </w:r>
    </w:p>
    <w:p w14:paraId="023BEE0A"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rPr>
        <w:t xml:space="preserve">Manuscript NO: </w:t>
      </w:r>
      <w:r w:rsidRPr="00AD5289">
        <w:rPr>
          <w:rFonts w:ascii="Book Antiqua" w:eastAsia="Book Antiqua" w:hAnsi="Book Antiqua" w:cs="Book Antiqua"/>
        </w:rPr>
        <w:t>89465</w:t>
      </w:r>
    </w:p>
    <w:p w14:paraId="5027B672"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rPr>
        <w:t xml:space="preserve">Manuscript Type: </w:t>
      </w:r>
      <w:r w:rsidRPr="00AD5289">
        <w:rPr>
          <w:rFonts w:ascii="Book Antiqua" w:eastAsia="Book Antiqua" w:hAnsi="Book Antiqua" w:cs="Book Antiqua"/>
        </w:rPr>
        <w:t>ORIGINAL ARTICLE</w:t>
      </w:r>
    </w:p>
    <w:p w14:paraId="1E8F11D4" w14:textId="77777777" w:rsidR="00A77B3E" w:rsidRPr="00AD5289" w:rsidRDefault="00A77B3E" w:rsidP="00AD5289">
      <w:pPr>
        <w:spacing w:line="360" w:lineRule="auto"/>
        <w:jc w:val="both"/>
        <w:rPr>
          <w:rFonts w:ascii="Book Antiqua" w:hAnsi="Book Antiqua"/>
          <w:lang w:eastAsia="zh-CN"/>
        </w:rPr>
      </w:pPr>
    </w:p>
    <w:p w14:paraId="71ABB766"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i/>
        </w:rPr>
        <w:t>Prospective Study</w:t>
      </w:r>
    </w:p>
    <w:p w14:paraId="63A7A589" w14:textId="41B26E2E"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Mid-term survival of the Optimys short stem:</w:t>
      </w:r>
      <w:r w:rsidR="00710996" w:rsidRPr="00AD5289">
        <w:rPr>
          <w:rFonts w:ascii="Book Antiqua" w:eastAsia="Book Antiqua" w:hAnsi="Book Antiqua" w:cs="Book Antiqua"/>
          <w:b/>
          <w:color w:val="000000"/>
        </w:rPr>
        <w:t xml:space="preserve"> A</w:t>
      </w:r>
      <w:r w:rsidRPr="00AD5289">
        <w:rPr>
          <w:rFonts w:ascii="Book Antiqua" w:eastAsia="Book Antiqua" w:hAnsi="Book Antiqua" w:cs="Book Antiqua"/>
          <w:b/>
          <w:color w:val="000000"/>
        </w:rPr>
        <w:t xml:space="preserve"> prospective case</w:t>
      </w:r>
      <w:r w:rsidR="00AD5289">
        <w:rPr>
          <w:rFonts w:ascii="Book Antiqua" w:eastAsia="Book Antiqua" w:hAnsi="Book Antiqua" w:cs="Book Antiqua"/>
          <w:b/>
          <w:color w:val="000000"/>
        </w:rPr>
        <w:t xml:space="preserve"> </w:t>
      </w:r>
      <w:r w:rsidRPr="00AD5289">
        <w:rPr>
          <w:rFonts w:ascii="Book Antiqua" w:eastAsia="Book Antiqua" w:hAnsi="Book Antiqua" w:cs="Book Antiqua"/>
          <w:b/>
          <w:color w:val="000000"/>
        </w:rPr>
        <w:t>series of 500 patients</w:t>
      </w:r>
    </w:p>
    <w:p w14:paraId="31865EC0" w14:textId="77777777" w:rsidR="00A77B3E" w:rsidRPr="00AD5289" w:rsidRDefault="00A77B3E" w:rsidP="00AD5289">
      <w:pPr>
        <w:spacing w:line="360" w:lineRule="auto"/>
        <w:jc w:val="both"/>
        <w:rPr>
          <w:rFonts w:ascii="Book Antiqua" w:hAnsi="Book Antiqua"/>
        </w:rPr>
      </w:pPr>
    </w:p>
    <w:p w14:paraId="0AEDA766" w14:textId="77777777" w:rsidR="00A77B3E" w:rsidRPr="00AD5289" w:rsidRDefault="00F54C1D" w:rsidP="00AD5289">
      <w:pPr>
        <w:spacing w:line="360" w:lineRule="auto"/>
        <w:jc w:val="both"/>
        <w:rPr>
          <w:rFonts w:ascii="Book Antiqua" w:hAnsi="Book Antiqua"/>
        </w:rPr>
      </w:pPr>
      <w:r w:rsidRPr="00AD5289">
        <w:rPr>
          <w:rFonts w:ascii="Book Antiqua" w:eastAsia="Book Antiqua" w:hAnsi="Book Antiqua" w:cs="Book Antiqua"/>
          <w:color w:val="000000"/>
        </w:rPr>
        <w:t xml:space="preserve">Hamans B </w:t>
      </w:r>
      <w:r w:rsidRPr="00AD5289">
        <w:rPr>
          <w:rFonts w:ascii="Book Antiqua" w:eastAsia="Book Antiqua" w:hAnsi="Book Antiqua" w:cs="Book Antiqua"/>
          <w:i/>
          <w:color w:val="000000"/>
        </w:rPr>
        <w:t>et al</w:t>
      </w:r>
      <w:r w:rsidRPr="00AD5289">
        <w:rPr>
          <w:rFonts w:ascii="Book Antiqua" w:eastAsia="Book Antiqua" w:hAnsi="Book Antiqua" w:cs="Book Antiqua"/>
          <w:color w:val="000000"/>
        </w:rPr>
        <w:t xml:space="preserve">. </w:t>
      </w:r>
      <w:r w:rsidR="00B13A0C" w:rsidRPr="00AD5289">
        <w:rPr>
          <w:rFonts w:ascii="Book Antiqua" w:eastAsia="Book Antiqua" w:hAnsi="Book Antiqua" w:cs="Book Antiqua"/>
          <w:color w:val="000000"/>
        </w:rPr>
        <w:t>5-year survival Optimys hip stem</w:t>
      </w:r>
    </w:p>
    <w:p w14:paraId="5A3B97A5" w14:textId="77777777" w:rsidR="00A77B3E" w:rsidRPr="00AD5289" w:rsidRDefault="00A77B3E" w:rsidP="00AD5289">
      <w:pPr>
        <w:spacing w:line="360" w:lineRule="auto"/>
        <w:jc w:val="both"/>
        <w:rPr>
          <w:rFonts w:ascii="Book Antiqua" w:hAnsi="Book Antiqua"/>
        </w:rPr>
      </w:pPr>
    </w:p>
    <w:p w14:paraId="3B35797F" w14:textId="4286A2AF" w:rsidR="00A77B3E" w:rsidRPr="00780CD3" w:rsidRDefault="00B13A0C" w:rsidP="00AD5289">
      <w:pPr>
        <w:spacing w:line="360" w:lineRule="auto"/>
        <w:jc w:val="both"/>
        <w:rPr>
          <w:rFonts w:ascii="Book Antiqua" w:hAnsi="Book Antiqua"/>
          <w:lang w:val="nl-NL"/>
        </w:rPr>
      </w:pPr>
      <w:r w:rsidRPr="00780CD3">
        <w:rPr>
          <w:rFonts w:ascii="Book Antiqua" w:eastAsia="Book Antiqua" w:hAnsi="Book Antiqua" w:cs="Book Antiqua"/>
          <w:color w:val="000000"/>
          <w:lang w:val="nl-NL"/>
        </w:rPr>
        <w:t>Bryan Hamans, Sheryl de Waar</w:t>
      </w:r>
      <w:r w:rsidR="002407FA" w:rsidRPr="00780CD3">
        <w:rPr>
          <w:rFonts w:ascii="Book Antiqua" w:eastAsia="Book Antiqua" w:hAnsi="Book Antiqua" w:cs="Book Antiqua"/>
          <w:color w:val="000000"/>
          <w:lang w:val="nl-NL"/>
        </w:rPr>
        <w:t>d, Sjoerd Kaarsemaker, Esther R C</w:t>
      </w:r>
      <w:r w:rsidRPr="00780CD3">
        <w:rPr>
          <w:rFonts w:ascii="Book Antiqua" w:eastAsia="Book Antiqua" w:hAnsi="Book Antiqua" w:cs="Book Antiqua"/>
          <w:color w:val="000000"/>
          <w:lang w:val="nl-NL"/>
        </w:rPr>
        <w:t xml:space="preserve"> Janssen, Inger N Sierevelt, Gino M</w:t>
      </w:r>
      <w:r w:rsidR="00A23371" w:rsidRPr="00780CD3">
        <w:rPr>
          <w:rFonts w:ascii="Book Antiqua" w:eastAsia="Book Antiqua" w:hAnsi="Book Antiqua" w:cs="Book Antiqua"/>
          <w:color w:val="000000"/>
          <w:lang w:val="nl-NL"/>
        </w:rPr>
        <w:t xml:space="preserve"> </w:t>
      </w:r>
      <w:r w:rsidRPr="00780CD3">
        <w:rPr>
          <w:rFonts w:ascii="Book Antiqua" w:eastAsia="Book Antiqua" w:hAnsi="Book Antiqua" w:cs="Book Antiqua"/>
          <w:color w:val="000000"/>
          <w:lang w:val="nl-NL"/>
        </w:rPr>
        <w:t>M</w:t>
      </w:r>
      <w:r w:rsidR="00A23371" w:rsidRPr="00780CD3">
        <w:rPr>
          <w:rFonts w:ascii="Book Antiqua" w:eastAsia="Book Antiqua" w:hAnsi="Book Antiqua" w:cs="Book Antiqua"/>
          <w:color w:val="000000"/>
          <w:lang w:val="nl-NL"/>
        </w:rPr>
        <w:t xml:space="preserve"> </w:t>
      </w:r>
      <w:r w:rsidRPr="00780CD3">
        <w:rPr>
          <w:rFonts w:ascii="Book Antiqua" w:eastAsia="Book Antiqua" w:hAnsi="Book Antiqua" w:cs="Book Antiqua"/>
          <w:color w:val="000000"/>
          <w:lang w:val="nl-NL"/>
        </w:rPr>
        <w:t>J Kerkhoffs, Daniël Haverkamp</w:t>
      </w:r>
    </w:p>
    <w:p w14:paraId="0D82CDD7" w14:textId="77777777" w:rsidR="00A77B3E" w:rsidRPr="00780CD3" w:rsidRDefault="00A77B3E" w:rsidP="00AD5289">
      <w:pPr>
        <w:spacing w:line="360" w:lineRule="auto"/>
        <w:jc w:val="both"/>
        <w:rPr>
          <w:rFonts w:ascii="Book Antiqua" w:hAnsi="Book Antiqua"/>
          <w:lang w:val="nl-NL"/>
        </w:rPr>
      </w:pPr>
    </w:p>
    <w:p w14:paraId="6E1F5644"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color w:val="000000"/>
        </w:rPr>
        <w:t xml:space="preserve">Bryan Hamans, </w:t>
      </w:r>
      <w:r w:rsidR="00C11AA0" w:rsidRPr="00AD5289">
        <w:rPr>
          <w:rFonts w:ascii="Book Antiqua" w:eastAsia="Book Antiqua" w:hAnsi="Book Antiqua" w:cs="Book Antiqua"/>
          <w:bCs/>
          <w:color w:val="000000"/>
        </w:rPr>
        <w:t xml:space="preserve">Department of </w:t>
      </w:r>
      <w:r w:rsidRPr="00AD5289">
        <w:rPr>
          <w:rFonts w:ascii="Book Antiqua" w:eastAsia="Book Antiqua" w:hAnsi="Book Antiqua" w:cs="Book Antiqua"/>
          <w:color w:val="000000"/>
        </w:rPr>
        <w:t>Or</w:t>
      </w:r>
      <w:r w:rsidR="00FF5A90" w:rsidRPr="00AD5289">
        <w:rPr>
          <w:rFonts w:ascii="Book Antiqua" w:eastAsia="Book Antiqua" w:hAnsi="Book Antiqua" w:cs="Book Antiqua"/>
          <w:color w:val="000000"/>
        </w:rPr>
        <w:t>thopaedic Surgery, Xpert Clinic</w:t>
      </w:r>
      <w:r w:rsidRPr="00AD5289">
        <w:rPr>
          <w:rFonts w:ascii="Book Antiqua" w:eastAsia="Book Antiqua" w:hAnsi="Book Antiqua" w:cs="Book Antiqua"/>
          <w:color w:val="000000"/>
        </w:rPr>
        <w:t>, Amsterdam 1101EA, Netherlands</w:t>
      </w:r>
    </w:p>
    <w:p w14:paraId="433D7281" w14:textId="77777777" w:rsidR="00A77B3E" w:rsidRPr="00AD5289" w:rsidRDefault="00A77B3E" w:rsidP="00AD5289">
      <w:pPr>
        <w:spacing w:line="360" w:lineRule="auto"/>
        <w:jc w:val="both"/>
        <w:rPr>
          <w:rFonts w:ascii="Book Antiqua" w:hAnsi="Book Antiqua"/>
        </w:rPr>
      </w:pPr>
    </w:p>
    <w:p w14:paraId="275E85D2"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color w:val="000000"/>
        </w:rPr>
        <w:t xml:space="preserve">Sheryl de Waard, </w:t>
      </w:r>
      <w:r w:rsidRPr="00AD5289">
        <w:rPr>
          <w:rFonts w:ascii="Book Antiqua" w:eastAsia="Book Antiqua" w:hAnsi="Book Antiqua" w:cs="Book Antiqua"/>
          <w:color w:val="000000"/>
        </w:rPr>
        <w:t>Department of Orthopedic Surgery, Amsterdam University Medical Center, Amsterdam 1105 AZ, Netherlands</w:t>
      </w:r>
    </w:p>
    <w:p w14:paraId="7040A3A6" w14:textId="77777777" w:rsidR="00A77B3E" w:rsidRPr="00AD5289" w:rsidRDefault="00A77B3E" w:rsidP="00AD5289">
      <w:pPr>
        <w:spacing w:line="360" w:lineRule="auto"/>
        <w:jc w:val="both"/>
        <w:rPr>
          <w:rFonts w:ascii="Book Antiqua" w:hAnsi="Book Antiqua"/>
        </w:rPr>
      </w:pPr>
    </w:p>
    <w:p w14:paraId="7AD319C0" w14:textId="419F7918" w:rsidR="00A77B3E" w:rsidRPr="00AD5289" w:rsidRDefault="005A33E6" w:rsidP="00AD5289">
      <w:pPr>
        <w:spacing w:line="360" w:lineRule="auto"/>
        <w:jc w:val="both"/>
        <w:rPr>
          <w:rFonts w:ascii="Book Antiqua" w:hAnsi="Book Antiqua"/>
        </w:rPr>
      </w:pPr>
      <w:r w:rsidRPr="00AD5289">
        <w:rPr>
          <w:rFonts w:ascii="Book Antiqua" w:eastAsia="Book Antiqua" w:hAnsi="Book Antiqua" w:cs="Book Antiqua"/>
          <w:b/>
          <w:bCs/>
          <w:color w:val="000000"/>
        </w:rPr>
        <w:t>Sjoerd Kaarsemaker, Esther R C</w:t>
      </w:r>
      <w:r w:rsidR="00B13A0C" w:rsidRPr="00AD5289">
        <w:rPr>
          <w:rFonts w:ascii="Book Antiqua" w:eastAsia="Book Antiqua" w:hAnsi="Book Antiqua" w:cs="Book Antiqua"/>
          <w:b/>
          <w:bCs/>
          <w:color w:val="000000"/>
        </w:rPr>
        <w:t xml:space="preserve"> Janssen, </w:t>
      </w:r>
      <w:r w:rsidR="00C11AA0" w:rsidRPr="00AD5289">
        <w:rPr>
          <w:rFonts w:ascii="Book Antiqua" w:eastAsia="Book Antiqua" w:hAnsi="Book Antiqua" w:cs="Book Antiqua"/>
          <w:bCs/>
          <w:color w:val="000000"/>
        </w:rPr>
        <w:t xml:space="preserve">Department of </w:t>
      </w:r>
      <w:r w:rsidR="00B13A0C" w:rsidRPr="00AD5289">
        <w:rPr>
          <w:rFonts w:ascii="Book Antiqua" w:eastAsia="Book Antiqua" w:hAnsi="Book Antiqua" w:cs="Book Antiqua"/>
          <w:color w:val="000000"/>
        </w:rPr>
        <w:t xml:space="preserve">Orthopaedic Surgery, Viecuri </w:t>
      </w:r>
      <w:r w:rsidR="00AD5289">
        <w:rPr>
          <w:rFonts w:ascii="Book Antiqua" w:eastAsia="Book Antiqua" w:hAnsi="Book Antiqua" w:cs="Book Antiqua"/>
          <w:color w:val="000000"/>
        </w:rPr>
        <w:t>M</w:t>
      </w:r>
      <w:r w:rsidR="00B13A0C" w:rsidRPr="00AD5289">
        <w:rPr>
          <w:rFonts w:ascii="Book Antiqua" w:eastAsia="Book Antiqua" w:hAnsi="Book Antiqua" w:cs="Book Antiqua"/>
          <w:color w:val="000000"/>
        </w:rPr>
        <w:t xml:space="preserve">edisch </w:t>
      </w:r>
      <w:r w:rsidR="00AD5289">
        <w:rPr>
          <w:rFonts w:ascii="Book Antiqua" w:eastAsia="Book Antiqua" w:hAnsi="Book Antiqua" w:cs="Book Antiqua"/>
          <w:color w:val="000000"/>
        </w:rPr>
        <w:t>C</w:t>
      </w:r>
      <w:r w:rsidR="00B13A0C" w:rsidRPr="00AD5289">
        <w:rPr>
          <w:rFonts w:ascii="Book Antiqua" w:eastAsia="Book Antiqua" w:hAnsi="Book Antiqua" w:cs="Book Antiqua"/>
          <w:color w:val="000000"/>
        </w:rPr>
        <w:t>entrum, Venlo 5912 BL, Netherlands</w:t>
      </w:r>
    </w:p>
    <w:p w14:paraId="0F8FE419" w14:textId="77777777" w:rsidR="00A77B3E" w:rsidRPr="00AD5289" w:rsidRDefault="00A77B3E" w:rsidP="00AD5289">
      <w:pPr>
        <w:spacing w:line="360" w:lineRule="auto"/>
        <w:jc w:val="both"/>
        <w:rPr>
          <w:rFonts w:ascii="Book Antiqua" w:hAnsi="Book Antiqua"/>
        </w:rPr>
      </w:pPr>
    </w:p>
    <w:p w14:paraId="1E2E449D" w14:textId="77777777" w:rsidR="00A77B3E" w:rsidRPr="00780CD3" w:rsidRDefault="00B13A0C" w:rsidP="00AD5289">
      <w:pPr>
        <w:spacing w:line="360" w:lineRule="auto"/>
        <w:jc w:val="both"/>
        <w:rPr>
          <w:rFonts w:ascii="Book Antiqua" w:hAnsi="Book Antiqua"/>
          <w:lang w:val="nl-NL"/>
        </w:rPr>
      </w:pPr>
      <w:r w:rsidRPr="00780CD3">
        <w:rPr>
          <w:rFonts w:ascii="Book Antiqua" w:eastAsia="Book Antiqua" w:hAnsi="Book Antiqua" w:cs="Book Antiqua"/>
          <w:b/>
          <w:bCs/>
          <w:color w:val="000000"/>
          <w:lang w:val="nl-NL"/>
        </w:rPr>
        <w:t xml:space="preserve">Inger N Sierevelt, </w:t>
      </w:r>
      <w:r w:rsidRPr="00780CD3">
        <w:rPr>
          <w:rFonts w:ascii="Book Antiqua" w:eastAsia="Book Antiqua" w:hAnsi="Book Antiqua" w:cs="Book Antiqua"/>
          <w:color w:val="000000"/>
          <w:lang w:val="nl-NL"/>
        </w:rPr>
        <w:t>Centre for Orthopaedic Research, Spaarne Ziekenhuis, Hoofddorp 2134 TM, Netherlands</w:t>
      </w:r>
    </w:p>
    <w:p w14:paraId="700AF0FB" w14:textId="77777777" w:rsidR="00A77B3E" w:rsidRPr="00780CD3" w:rsidRDefault="00A77B3E" w:rsidP="00AD5289">
      <w:pPr>
        <w:spacing w:line="360" w:lineRule="auto"/>
        <w:jc w:val="both"/>
        <w:rPr>
          <w:rFonts w:ascii="Book Antiqua" w:hAnsi="Book Antiqua"/>
          <w:lang w:val="nl-NL"/>
        </w:rPr>
      </w:pPr>
    </w:p>
    <w:p w14:paraId="6ECBC4FE" w14:textId="687E3958"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color w:val="000000"/>
        </w:rPr>
        <w:t>Gino M</w:t>
      </w:r>
      <w:r w:rsidR="00724EA6" w:rsidRPr="00AD5289">
        <w:rPr>
          <w:rFonts w:ascii="Book Antiqua" w:eastAsia="Book Antiqua" w:hAnsi="Book Antiqua" w:cs="Book Antiqua"/>
          <w:b/>
          <w:bCs/>
          <w:color w:val="000000"/>
        </w:rPr>
        <w:t xml:space="preserve"> </w:t>
      </w:r>
      <w:r w:rsidRPr="00AD5289">
        <w:rPr>
          <w:rFonts w:ascii="Book Antiqua" w:eastAsia="Book Antiqua" w:hAnsi="Book Antiqua" w:cs="Book Antiqua"/>
          <w:b/>
          <w:bCs/>
          <w:color w:val="000000"/>
        </w:rPr>
        <w:t>M</w:t>
      </w:r>
      <w:r w:rsidR="00724EA6" w:rsidRPr="00AD5289">
        <w:rPr>
          <w:rFonts w:ascii="Book Antiqua" w:eastAsia="Book Antiqua" w:hAnsi="Book Antiqua" w:cs="Book Antiqua"/>
          <w:b/>
          <w:bCs/>
          <w:color w:val="000000"/>
        </w:rPr>
        <w:t xml:space="preserve"> </w:t>
      </w:r>
      <w:r w:rsidRPr="00AD5289">
        <w:rPr>
          <w:rFonts w:ascii="Book Antiqua" w:eastAsia="Book Antiqua" w:hAnsi="Book Antiqua" w:cs="Book Antiqua"/>
          <w:b/>
          <w:bCs/>
          <w:color w:val="000000"/>
        </w:rPr>
        <w:t xml:space="preserve">J Kerkhoffs, </w:t>
      </w:r>
      <w:r w:rsidRPr="00AD5289">
        <w:rPr>
          <w:rFonts w:ascii="Book Antiqua" w:eastAsia="Book Antiqua" w:hAnsi="Book Antiqua" w:cs="Book Antiqua"/>
          <w:color w:val="000000"/>
        </w:rPr>
        <w:t>Department of Orthopaedic Surgery and Sports Medicine, Amsterdam UMC-Location AMC, Amsterdam 1105 AZ, Netherlands</w:t>
      </w:r>
    </w:p>
    <w:p w14:paraId="1A512F33" w14:textId="77777777" w:rsidR="00A77B3E" w:rsidRPr="00AD5289" w:rsidRDefault="00A77B3E" w:rsidP="00AD5289">
      <w:pPr>
        <w:spacing w:line="360" w:lineRule="auto"/>
        <w:jc w:val="both"/>
        <w:rPr>
          <w:rFonts w:ascii="Book Antiqua" w:hAnsi="Book Antiqua"/>
        </w:rPr>
      </w:pPr>
    </w:p>
    <w:p w14:paraId="378C72CC"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color w:val="000000"/>
        </w:rPr>
        <w:t xml:space="preserve">Daniël Haverkamp, </w:t>
      </w:r>
      <w:r w:rsidRPr="00AD5289">
        <w:rPr>
          <w:rFonts w:ascii="Book Antiqua" w:eastAsia="Book Antiqua" w:hAnsi="Book Antiqua" w:cs="Book Antiqua"/>
          <w:color w:val="000000"/>
        </w:rPr>
        <w:t>Department of Orthopedic Surgery, Xpert Orthopedic Surgery Clinic, Amsterdam 1101 EA, Netherlands</w:t>
      </w:r>
    </w:p>
    <w:p w14:paraId="221CC996" w14:textId="77777777" w:rsidR="00A77B3E" w:rsidRPr="00AD5289" w:rsidRDefault="00A77B3E" w:rsidP="00AD5289">
      <w:pPr>
        <w:spacing w:line="360" w:lineRule="auto"/>
        <w:jc w:val="both"/>
        <w:rPr>
          <w:rFonts w:ascii="Book Antiqua" w:hAnsi="Book Antiqua"/>
        </w:rPr>
      </w:pPr>
    </w:p>
    <w:p w14:paraId="456E524A" w14:textId="19CD8D6E" w:rsidR="00A77B3E" w:rsidRPr="00AD5289" w:rsidRDefault="00B13A0C" w:rsidP="00AD5289">
      <w:pPr>
        <w:spacing w:line="360" w:lineRule="auto"/>
        <w:jc w:val="both"/>
        <w:rPr>
          <w:rFonts w:ascii="Book Antiqua" w:eastAsia="Book Antiqua" w:hAnsi="Book Antiqua" w:cs="Book Antiqua"/>
          <w:color w:val="000000"/>
        </w:rPr>
      </w:pPr>
      <w:r w:rsidRPr="00AD5289">
        <w:rPr>
          <w:rFonts w:ascii="Book Antiqua" w:eastAsia="Book Antiqua" w:hAnsi="Book Antiqua" w:cs="Book Antiqua"/>
          <w:b/>
          <w:bCs/>
          <w:color w:val="000000"/>
        </w:rPr>
        <w:lastRenderedPageBreak/>
        <w:t xml:space="preserve">Author contributions: </w:t>
      </w:r>
      <w:r w:rsidR="00AE49BC" w:rsidRPr="00AD5289">
        <w:rPr>
          <w:rFonts w:ascii="Book Antiqua" w:eastAsia="Book Antiqua" w:hAnsi="Book Antiqua" w:cs="Book Antiqua"/>
          <w:color w:val="000000"/>
        </w:rPr>
        <w:t>Hamans B and Sierevelt IN analyzed the data; Hamans B, de Waard S, Kaarsemaker S, Janssen ERC, Sierevelt IN, Kerkhoffs GMMJ, and Haverkamp D prepared the manuscript;</w:t>
      </w:r>
      <w:r w:rsidR="00AE49BC" w:rsidRPr="00AD5289">
        <w:rPr>
          <w:rFonts w:ascii="Book Antiqua" w:hAnsi="Book Antiqua" w:cs="Book Antiqua"/>
          <w:color w:val="000000"/>
          <w:lang w:eastAsia="zh-CN"/>
        </w:rPr>
        <w:t xml:space="preserve"> </w:t>
      </w:r>
      <w:r w:rsidR="00AE49BC" w:rsidRPr="00AD5289">
        <w:rPr>
          <w:rFonts w:ascii="Book Antiqua" w:eastAsia="Book Antiqua" w:hAnsi="Book Antiqua" w:cs="Book Antiqua"/>
          <w:color w:val="000000"/>
        </w:rPr>
        <w:t>de Waard S, Kaarsemaker S, and Haverkamp D included patients; de Waard S, Kaarsemaker S, Janssen ERC, Sierevelt IN, and Haverkamp D collected data;</w:t>
      </w:r>
      <w:r w:rsidR="00AE49BC" w:rsidRPr="00AD5289">
        <w:rPr>
          <w:rFonts w:ascii="Book Antiqua" w:hAnsi="Book Antiqua" w:cs="Book Antiqua"/>
          <w:color w:val="000000"/>
          <w:lang w:eastAsia="zh-CN"/>
        </w:rPr>
        <w:t xml:space="preserve"> </w:t>
      </w:r>
      <w:r w:rsidR="00AE49BC" w:rsidRPr="00AD5289">
        <w:rPr>
          <w:rFonts w:ascii="Book Antiqua" w:eastAsia="Book Antiqua" w:hAnsi="Book Antiqua" w:cs="Book Antiqua"/>
          <w:color w:val="000000"/>
        </w:rPr>
        <w:t>Sierevelt IN and</w:t>
      </w:r>
      <w:r w:rsidR="00AE49BC" w:rsidRPr="00AD5289">
        <w:rPr>
          <w:rFonts w:ascii="Book Antiqua" w:hAnsi="Book Antiqua"/>
          <w:lang w:eastAsia="zh-CN"/>
        </w:rPr>
        <w:t xml:space="preserve"> </w:t>
      </w:r>
      <w:r w:rsidR="00AE49BC" w:rsidRPr="00AD5289">
        <w:rPr>
          <w:rFonts w:ascii="Book Antiqua" w:eastAsia="Book Antiqua" w:hAnsi="Book Antiqua" w:cs="Book Antiqua"/>
          <w:color w:val="000000"/>
        </w:rPr>
        <w:t>Haverkamp D designed the research study</w:t>
      </w:r>
      <w:r w:rsidR="00AD5289">
        <w:rPr>
          <w:rFonts w:ascii="Book Antiqua" w:eastAsia="Book Antiqua" w:hAnsi="Book Antiqua" w:cs="Book Antiqua"/>
          <w:color w:val="000000"/>
        </w:rPr>
        <w:t>;</w:t>
      </w:r>
      <w:r w:rsidR="00424A8F" w:rsidRPr="00AD5289">
        <w:rPr>
          <w:rFonts w:ascii="Book Antiqua" w:hAnsi="Book Antiqua" w:cs="Book Antiqua"/>
          <w:color w:val="000000"/>
          <w:lang w:eastAsia="zh-CN"/>
        </w:rPr>
        <w:t xml:space="preserve"> </w:t>
      </w:r>
      <w:r w:rsidRPr="00AD5289">
        <w:rPr>
          <w:rFonts w:ascii="Book Antiqua" w:eastAsia="Book Antiqua" w:hAnsi="Book Antiqua" w:cs="Book Antiqua"/>
          <w:color w:val="000000"/>
        </w:rPr>
        <w:t>All authors read and approved the final manuscript</w:t>
      </w:r>
    </w:p>
    <w:p w14:paraId="3457AFB5" w14:textId="77777777" w:rsidR="00A77B3E" w:rsidRPr="00AD5289" w:rsidRDefault="00A77B3E" w:rsidP="00AD5289">
      <w:pPr>
        <w:spacing w:line="360" w:lineRule="auto"/>
        <w:jc w:val="both"/>
        <w:rPr>
          <w:rFonts w:ascii="Book Antiqua" w:hAnsi="Book Antiqua"/>
        </w:rPr>
      </w:pPr>
    </w:p>
    <w:p w14:paraId="22FC8FE4" w14:textId="4D6AC840"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color w:val="000000"/>
        </w:rPr>
        <w:t xml:space="preserve">Corresponding author: Sheryl de Waard, MD, </w:t>
      </w:r>
      <w:r w:rsidRPr="00AD5289">
        <w:rPr>
          <w:rFonts w:ascii="Book Antiqua" w:eastAsia="Book Antiqua" w:hAnsi="Book Antiqua" w:cs="Book Antiqua"/>
          <w:color w:val="000000"/>
        </w:rPr>
        <w:t>Department of Orthopedic Surgery, Amsterdam University Medical Center, Meibergdreef 9, Amsterdam 1105 AZ, Netherlands. s.dewaard21@gmail.com</w:t>
      </w:r>
    </w:p>
    <w:p w14:paraId="4E28EF33" w14:textId="77777777" w:rsidR="00A77B3E" w:rsidRPr="00AD5289" w:rsidRDefault="00A77B3E" w:rsidP="00AD5289">
      <w:pPr>
        <w:spacing w:line="360" w:lineRule="auto"/>
        <w:jc w:val="both"/>
        <w:rPr>
          <w:rFonts w:ascii="Book Antiqua" w:hAnsi="Book Antiqua"/>
        </w:rPr>
      </w:pPr>
    </w:p>
    <w:p w14:paraId="136D5B69"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rPr>
        <w:t xml:space="preserve">Received: </w:t>
      </w:r>
      <w:r w:rsidRPr="00AD5289">
        <w:rPr>
          <w:rFonts w:ascii="Book Antiqua" w:eastAsia="Book Antiqua" w:hAnsi="Book Antiqua" w:cs="Book Antiqua"/>
        </w:rPr>
        <w:t>November 1, 2023</w:t>
      </w:r>
    </w:p>
    <w:p w14:paraId="6558837D"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rPr>
        <w:t xml:space="preserve">Revised: </w:t>
      </w:r>
      <w:r w:rsidR="00EC00A0" w:rsidRPr="00AD5289">
        <w:rPr>
          <w:rFonts w:ascii="Book Antiqua" w:eastAsia="Book Antiqua" w:hAnsi="Book Antiqua" w:cs="Book Antiqua"/>
          <w:bCs/>
        </w:rPr>
        <w:t>December 13, 2023</w:t>
      </w:r>
    </w:p>
    <w:p w14:paraId="0FB94308" w14:textId="615ED898"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r w:rsidR="00D81477" w:rsidRPr="00AD5289">
        <w:rPr>
          <w:rFonts w:ascii="Book Antiqua" w:hAnsi="Book Antiqua"/>
        </w:rPr>
        <w:t>January 16,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14D3D9B"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rPr>
        <w:t xml:space="preserve">Published online: </w:t>
      </w:r>
    </w:p>
    <w:p w14:paraId="6C4689D2" w14:textId="77777777" w:rsidR="00AD5289" w:rsidRDefault="00AD5289" w:rsidP="00AD5289">
      <w:pPr>
        <w:spacing w:line="360" w:lineRule="auto"/>
        <w:jc w:val="both"/>
        <w:rPr>
          <w:rFonts w:ascii="Book Antiqua" w:eastAsia="Book Antiqua" w:hAnsi="Book Antiqua" w:cs="Book Antiqua"/>
          <w:b/>
          <w:color w:val="000000"/>
        </w:rPr>
      </w:pPr>
    </w:p>
    <w:p w14:paraId="32BC567E" w14:textId="0FAC9E6E"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Abstract</w:t>
      </w:r>
    </w:p>
    <w:p w14:paraId="7E4EEF1E"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BACKGROUND</w:t>
      </w:r>
    </w:p>
    <w:p w14:paraId="35385FD0"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rPr>
        <w:t>In recent years, there has been an increase in the number of total hip arthroplasty procedures in the younger patient population. This active group has higher expectations of their prosthesis in comparison to the older population, and there is a greater physical demand for the prosthesis. Short femoral stems were introduced to retain proximal bone stock and joint biomechanics and became more common to implant in this specific population. Currently, the long-term survival and functional outcomes of various short stems are still being investigated in different clinics.</w:t>
      </w:r>
    </w:p>
    <w:p w14:paraId="4EC0899A" w14:textId="77777777" w:rsidR="00A77B3E" w:rsidRPr="00AD5289" w:rsidRDefault="00A77B3E" w:rsidP="00AD5289">
      <w:pPr>
        <w:spacing w:line="360" w:lineRule="auto"/>
        <w:jc w:val="both"/>
        <w:rPr>
          <w:rFonts w:ascii="Book Antiqua" w:hAnsi="Book Antiqua"/>
        </w:rPr>
      </w:pPr>
    </w:p>
    <w:p w14:paraId="4B6BA705"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AIM</w:t>
      </w:r>
    </w:p>
    <w:p w14:paraId="7BF34EFE"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rPr>
        <w:t>To determine the 5-year survival of the Optimys hip stem</w:t>
      </w:r>
      <w:r w:rsidR="00F6747C" w:rsidRPr="00AD5289">
        <w:rPr>
          <w:rFonts w:ascii="Book Antiqua" w:eastAsia="Book Antiqua" w:hAnsi="Book Antiqua" w:cs="Book Antiqua"/>
        </w:rPr>
        <w:t>.</w:t>
      </w:r>
    </w:p>
    <w:p w14:paraId="402A60DB" w14:textId="77777777" w:rsidR="00A77B3E" w:rsidRPr="00AD5289" w:rsidRDefault="00A77B3E" w:rsidP="00AD5289">
      <w:pPr>
        <w:spacing w:line="360" w:lineRule="auto"/>
        <w:jc w:val="both"/>
        <w:rPr>
          <w:rFonts w:ascii="Book Antiqua" w:hAnsi="Book Antiqua"/>
        </w:rPr>
      </w:pPr>
    </w:p>
    <w:p w14:paraId="34D291B1"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METHODS</w:t>
      </w:r>
    </w:p>
    <w:p w14:paraId="0D2C0EDE" w14:textId="2408CC31"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rPr>
        <w:lastRenderedPageBreak/>
        <w:t xml:space="preserve">This </w:t>
      </w:r>
      <w:r w:rsidR="00AD5289">
        <w:rPr>
          <w:rFonts w:ascii="Book Antiqua" w:eastAsia="Book Antiqua" w:hAnsi="Book Antiqua" w:cs="Book Antiqua"/>
        </w:rPr>
        <w:t>wa</w:t>
      </w:r>
      <w:r w:rsidRPr="00AD5289">
        <w:rPr>
          <w:rFonts w:ascii="Book Antiqua" w:eastAsia="Book Antiqua" w:hAnsi="Book Antiqua" w:cs="Book Antiqua"/>
        </w:rPr>
        <w:t>s a prospective multicenter cohort study of 500 patients conducted in two hospitals in the Netherlands. All patients received the Optimys short stem (Mathys Ltd, Bettlach, Switzerland).</w:t>
      </w:r>
      <w:r w:rsidR="00334770" w:rsidRPr="00AD5289">
        <w:rPr>
          <w:rFonts w:ascii="Book Antiqua" w:eastAsia="Book Antiqua" w:hAnsi="Book Antiqua" w:cs="Book Antiqua"/>
        </w:rPr>
        <w:t xml:space="preserve"> </w:t>
      </w:r>
      <w:r w:rsidRPr="00AD5289">
        <w:rPr>
          <w:rFonts w:ascii="Book Antiqua" w:eastAsia="Book Antiqua" w:hAnsi="Book Antiqua" w:cs="Book Antiqua"/>
        </w:rPr>
        <w:t>The primary outcome measure was survival of the hip stem, with revision as the endpoint. The secondary outcome measurements included patient-reported outcome measures (PROMs). Kaplan</w:t>
      </w:r>
      <w:r w:rsidRPr="00AD5289">
        <w:rPr>
          <w:rFonts w:eastAsia="Book Antiqua"/>
        </w:rPr>
        <w:t>‒</w:t>
      </w:r>
      <w:r w:rsidRPr="00AD5289">
        <w:rPr>
          <w:rFonts w:ascii="Book Antiqua" w:eastAsia="Book Antiqua" w:hAnsi="Book Antiqua" w:cs="Book Antiqua"/>
        </w:rPr>
        <w:t>Meier analysis was used to calculate the 5-year survival rate</w:t>
      </w:r>
      <w:r w:rsidR="005747D2">
        <w:rPr>
          <w:rFonts w:ascii="Book Antiqua" w:eastAsia="Book Antiqua" w:hAnsi="Book Antiqua" w:cs="Book Antiqua"/>
        </w:rPr>
        <w:t>.</w:t>
      </w:r>
      <w:r w:rsidRPr="00AD5289">
        <w:rPr>
          <w:rFonts w:ascii="Book Antiqua" w:eastAsia="Book Antiqua" w:hAnsi="Book Antiqua" w:cs="Book Antiqua"/>
        </w:rPr>
        <w:t xml:space="preserve"> Log-minus-log transformation was performed to calculate the 95% confidence interval (95%CI).</w:t>
      </w:r>
      <w:r w:rsidR="003D3B51" w:rsidRPr="00AD5289">
        <w:rPr>
          <w:rFonts w:ascii="Book Antiqua" w:eastAsia="Book Antiqua" w:hAnsi="Book Antiqua" w:cs="Book Antiqua"/>
        </w:rPr>
        <w:t xml:space="preserve"> Mixed </w:t>
      </w:r>
      <w:r w:rsidRPr="00AD5289">
        <w:rPr>
          <w:rFonts w:ascii="Book Antiqua" w:eastAsia="Book Antiqua" w:hAnsi="Book Antiqua" w:cs="Book Antiqua"/>
        </w:rPr>
        <w:t xml:space="preserve">model analyses were performed to assess the course of the PROMs during the </w:t>
      </w:r>
      <w:r w:rsidR="00525EA6">
        <w:rPr>
          <w:rFonts w:ascii="Book Antiqua" w:eastAsia="Book Antiqua" w:hAnsi="Book Antiqua" w:cs="Book Antiqua"/>
        </w:rPr>
        <w:t>1</w:t>
      </w:r>
      <w:r w:rsidR="00525EA6" w:rsidRPr="00780CD3">
        <w:rPr>
          <w:rFonts w:ascii="Book Antiqua" w:eastAsia="Book Antiqua" w:hAnsi="Book Antiqua" w:cs="Book Antiqua"/>
          <w:vertAlign w:val="superscript"/>
        </w:rPr>
        <w:t>st</w:t>
      </w:r>
      <w:r w:rsidR="00525EA6">
        <w:rPr>
          <w:rFonts w:ascii="Book Antiqua" w:eastAsia="Book Antiqua" w:hAnsi="Book Antiqua" w:cs="Book Antiqua"/>
        </w:rPr>
        <w:t xml:space="preserve"> </w:t>
      </w:r>
      <w:r w:rsidR="00AD5289">
        <w:rPr>
          <w:rFonts w:ascii="Book Antiqua" w:eastAsia="Book Antiqua" w:hAnsi="Book Antiqua" w:cs="Book Antiqua"/>
        </w:rPr>
        <w:t>2</w:t>
      </w:r>
      <w:r w:rsidRPr="00AD5289">
        <w:rPr>
          <w:rFonts w:ascii="Book Antiqua" w:eastAsia="Book Antiqua" w:hAnsi="Book Antiqua" w:cs="Book Antiqua"/>
        </w:rPr>
        <w:t xml:space="preserve"> years after surgery. Analyses were modeled separately for the </w:t>
      </w:r>
      <w:r w:rsidR="00525EA6">
        <w:rPr>
          <w:rFonts w:ascii="Book Antiqua" w:eastAsia="Book Antiqua" w:hAnsi="Book Antiqua" w:cs="Book Antiqua"/>
        </w:rPr>
        <w:t>1</w:t>
      </w:r>
      <w:r w:rsidR="00525EA6" w:rsidRPr="00780CD3">
        <w:rPr>
          <w:rFonts w:ascii="Book Antiqua" w:eastAsia="Book Antiqua" w:hAnsi="Book Antiqua" w:cs="Book Antiqua"/>
          <w:vertAlign w:val="superscript"/>
        </w:rPr>
        <w:t>st</w:t>
      </w:r>
      <w:r w:rsidR="00525EA6">
        <w:rPr>
          <w:rFonts w:ascii="Book Antiqua" w:eastAsia="Book Antiqua" w:hAnsi="Book Antiqua" w:cs="Book Antiqua"/>
        </w:rPr>
        <w:t xml:space="preserve"> </w:t>
      </w:r>
      <w:r w:rsidRPr="00AD5289">
        <w:rPr>
          <w:rFonts w:ascii="Book Antiqua" w:eastAsia="Book Antiqua" w:hAnsi="Book Antiqua" w:cs="Book Antiqua"/>
        </w:rPr>
        <w:t xml:space="preserve">and </w:t>
      </w:r>
      <w:r w:rsidR="00525EA6">
        <w:rPr>
          <w:rFonts w:ascii="Book Antiqua" w:eastAsia="Book Antiqua" w:hAnsi="Book Antiqua" w:cs="Book Antiqua"/>
        </w:rPr>
        <w:t>2</w:t>
      </w:r>
      <w:r w:rsidR="00525EA6" w:rsidRPr="00780CD3">
        <w:rPr>
          <w:rFonts w:ascii="Book Antiqua" w:eastAsia="Book Antiqua" w:hAnsi="Book Antiqua" w:cs="Book Antiqua"/>
          <w:vertAlign w:val="superscript"/>
        </w:rPr>
        <w:t>nd</w:t>
      </w:r>
      <w:r w:rsidR="00525EA6">
        <w:rPr>
          <w:rFonts w:ascii="Book Antiqua" w:eastAsia="Book Antiqua" w:hAnsi="Book Antiqua" w:cs="Book Antiqua"/>
        </w:rPr>
        <w:t xml:space="preserve"> </w:t>
      </w:r>
      <w:r w:rsidRPr="00AD5289">
        <w:rPr>
          <w:rFonts w:ascii="Book Antiqua" w:eastAsia="Book Antiqua" w:hAnsi="Book Antiqua" w:cs="Book Antiqua"/>
        </w:rPr>
        <w:t>years to calculate the yearly change in PROMs during both follow-up periods with accompanying 95%CIs.</w:t>
      </w:r>
    </w:p>
    <w:p w14:paraId="6E430CC6" w14:textId="77777777" w:rsidR="00A77B3E" w:rsidRPr="00AD5289" w:rsidRDefault="00A77B3E" w:rsidP="00AD5289">
      <w:pPr>
        <w:spacing w:line="360" w:lineRule="auto"/>
        <w:jc w:val="both"/>
        <w:rPr>
          <w:rFonts w:ascii="Book Antiqua" w:hAnsi="Book Antiqua"/>
        </w:rPr>
      </w:pPr>
    </w:p>
    <w:p w14:paraId="1D4DF5A1"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RESULTS</w:t>
      </w:r>
    </w:p>
    <w:p w14:paraId="52D4D1F7" w14:textId="16082B7B"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rPr>
        <w:t xml:space="preserve">The mean age </w:t>
      </w:r>
      <w:r w:rsidR="006B211B">
        <w:rPr>
          <w:rFonts w:ascii="Book Antiqua" w:eastAsia="Book Antiqua" w:hAnsi="Book Antiqua" w:cs="Book Antiqua"/>
        </w:rPr>
        <w:t xml:space="preserve">of the total 500 patients </w:t>
      </w:r>
      <w:r w:rsidRPr="00AD5289">
        <w:rPr>
          <w:rFonts w:ascii="Book Antiqua" w:eastAsia="Book Antiqua" w:hAnsi="Book Antiqua" w:cs="Book Antiqua"/>
        </w:rPr>
        <w:t>was 62.3 years (</w:t>
      </w:r>
      <w:r w:rsidR="00AD5289">
        <w:rPr>
          <w:rFonts w:ascii="Book Antiqua" w:eastAsia="Book Antiqua" w:hAnsi="Book Antiqua" w:cs="Book Antiqua"/>
        </w:rPr>
        <w:t>standard deviation:</w:t>
      </w:r>
      <w:r w:rsidRPr="00AD5289">
        <w:rPr>
          <w:rFonts w:ascii="Book Antiqua" w:eastAsia="Book Antiqua" w:hAnsi="Book Antiqua" w:cs="Book Antiqua"/>
        </w:rPr>
        <w:t xml:space="preserve"> 10.6)</w:t>
      </w:r>
      <w:r w:rsidR="005747D2">
        <w:rPr>
          <w:rFonts w:ascii="Book Antiqua" w:eastAsia="Book Antiqua" w:hAnsi="Book Antiqua" w:cs="Book Antiqua"/>
        </w:rPr>
        <w:t xml:space="preserve"> and 202 were male (40%). </w:t>
      </w:r>
      <w:r w:rsidRPr="00AD5289">
        <w:rPr>
          <w:rFonts w:ascii="Book Antiqua" w:eastAsia="Book Antiqua" w:hAnsi="Book Antiqua" w:cs="Book Antiqua"/>
        </w:rPr>
        <w:t>At a median follow-up of 5.5 years (</w:t>
      </w:r>
      <w:r w:rsidR="005D77FE" w:rsidRPr="00AD5289">
        <w:rPr>
          <w:rFonts w:ascii="Book Antiqua" w:eastAsia="Book Antiqua" w:hAnsi="Book Antiqua" w:cs="Book Antiqua"/>
          <w:color w:val="000000"/>
        </w:rPr>
        <w:t>interquartile range</w:t>
      </w:r>
      <w:r w:rsidR="00AD5289">
        <w:rPr>
          <w:rFonts w:ascii="Book Antiqua" w:eastAsia="Book Antiqua" w:hAnsi="Book Antiqua" w:cs="Book Antiqua"/>
          <w:color w:val="000000"/>
        </w:rPr>
        <w:t>:</w:t>
      </w:r>
      <w:r w:rsidRPr="00AD5289">
        <w:rPr>
          <w:rFonts w:ascii="Book Antiqua" w:eastAsia="Book Antiqua" w:hAnsi="Book Antiqua" w:cs="Book Antiqua"/>
        </w:rPr>
        <w:t xml:space="preserve"> 4.5</w:t>
      </w:r>
      <w:r w:rsidR="00AD5289">
        <w:rPr>
          <w:rFonts w:ascii="Book Antiqua" w:eastAsia="Book Antiqua" w:hAnsi="Book Antiqua" w:cs="Book Antiqua"/>
        </w:rPr>
        <w:t>-</w:t>
      </w:r>
      <w:r w:rsidRPr="00AD5289">
        <w:rPr>
          <w:rFonts w:ascii="Book Antiqua" w:eastAsia="Book Antiqua" w:hAnsi="Book Antiqua" w:cs="Book Antiqua"/>
        </w:rPr>
        <w:t>6.7), 7 patients were deceased and 6 revisions were registered</w:t>
      </w:r>
      <w:r w:rsidR="006B211B">
        <w:rPr>
          <w:rFonts w:ascii="Book Antiqua" w:eastAsia="Book Antiqua" w:hAnsi="Book Antiqua" w:cs="Book Antiqua"/>
        </w:rPr>
        <w:t>,</w:t>
      </w:r>
      <w:r w:rsidRPr="00AD5289">
        <w:rPr>
          <w:rFonts w:ascii="Book Antiqua" w:eastAsia="Book Antiqua" w:hAnsi="Book Antiqua" w:cs="Book Antiqua"/>
        </w:rPr>
        <w:t xml:space="preserve"> </w:t>
      </w:r>
      <w:r w:rsidR="006B211B">
        <w:rPr>
          <w:rFonts w:ascii="Book Antiqua" w:eastAsia="Book Antiqua" w:hAnsi="Book Antiqua" w:cs="Book Antiqua"/>
        </w:rPr>
        <w:t>for</w:t>
      </w:r>
      <w:r w:rsidR="005747D2">
        <w:rPr>
          <w:rFonts w:ascii="Book Antiqua" w:eastAsia="Book Antiqua" w:hAnsi="Book Antiqua" w:cs="Book Antiqua"/>
        </w:rPr>
        <w:t xml:space="preserve"> infection (</w:t>
      </w:r>
      <w:r w:rsidR="005747D2" w:rsidRPr="00780CD3">
        <w:rPr>
          <w:rFonts w:ascii="Book Antiqua" w:eastAsia="Book Antiqua" w:hAnsi="Book Antiqua" w:cs="Book Antiqua"/>
          <w:i/>
          <w:iCs/>
        </w:rPr>
        <w:t>n</w:t>
      </w:r>
      <w:r w:rsidR="006B211B">
        <w:rPr>
          <w:rFonts w:ascii="Book Antiqua" w:eastAsia="Book Antiqua" w:hAnsi="Book Antiqua" w:cs="Book Antiqua"/>
        </w:rPr>
        <w:t xml:space="preserve"> </w:t>
      </w:r>
      <w:r w:rsidR="005747D2">
        <w:rPr>
          <w:rFonts w:ascii="Book Antiqua" w:eastAsia="Book Antiqua" w:hAnsi="Book Antiqua" w:cs="Book Antiqua"/>
        </w:rPr>
        <w:t>=</w:t>
      </w:r>
      <w:r w:rsidR="006B211B">
        <w:rPr>
          <w:rFonts w:ascii="Book Antiqua" w:eastAsia="Book Antiqua" w:hAnsi="Book Antiqua" w:cs="Book Antiqua"/>
        </w:rPr>
        <w:t xml:space="preserve"> </w:t>
      </w:r>
      <w:r w:rsidR="005747D2">
        <w:rPr>
          <w:rFonts w:ascii="Book Antiqua" w:eastAsia="Book Antiqua" w:hAnsi="Book Antiqua" w:cs="Book Antiqua"/>
        </w:rPr>
        <w:t>3), subsidence (</w:t>
      </w:r>
      <w:r w:rsidR="005747D2" w:rsidRPr="00780CD3">
        <w:rPr>
          <w:rFonts w:ascii="Book Antiqua" w:eastAsia="Book Antiqua" w:hAnsi="Book Antiqua" w:cs="Book Antiqua"/>
          <w:i/>
          <w:iCs/>
        </w:rPr>
        <w:t>n</w:t>
      </w:r>
      <w:r w:rsidR="006B211B">
        <w:rPr>
          <w:rFonts w:ascii="Book Antiqua" w:eastAsia="Book Antiqua" w:hAnsi="Book Antiqua" w:cs="Book Antiqua"/>
        </w:rPr>
        <w:t xml:space="preserve"> </w:t>
      </w:r>
      <w:r w:rsidR="005747D2">
        <w:rPr>
          <w:rFonts w:ascii="Book Antiqua" w:eastAsia="Book Antiqua" w:hAnsi="Book Antiqua" w:cs="Book Antiqua"/>
        </w:rPr>
        <w:t>=</w:t>
      </w:r>
      <w:r w:rsidR="006B211B">
        <w:rPr>
          <w:rFonts w:ascii="Book Antiqua" w:eastAsia="Book Antiqua" w:hAnsi="Book Antiqua" w:cs="Book Antiqua"/>
        </w:rPr>
        <w:t xml:space="preserve"> </w:t>
      </w:r>
      <w:r w:rsidR="005747D2">
        <w:rPr>
          <w:rFonts w:ascii="Book Antiqua" w:eastAsia="Book Antiqua" w:hAnsi="Book Antiqua" w:cs="Book Antiqua"/>
        </w:rPr>
        <w:t>2) and malposition (</w:t>
      </w:r>
      <w:r w:rsidR="005747D2" w:rsidRPr="00780CD3">
        <w:rPr>
          <w:rFonts w:ascii="Book Antiqua" w:eastAsia="Book Antiqua" w:hAnsi="Book Antiqua" w:cs="Book Antiqua"/>
          <w:i/>
          <w:iCs/>
        </w:rPr>
        <w:t>n</w:t>
      </w:r>
      <w:r w:rsidR="006B211B">
        <w:rPr>
          <w:rFonts w:ascii="Book Antiqua" w:eastAsia="Book Antiqua" w:hAnsi="Book Antiqua" w:cs="Book Antiqua"/>
        </w:rPr>
        <w:t xml:space="preserve"> </w:t>
      </w:r>
      <w:r w:rsidR="005747D2">
        <w:rPr>
          <w:rFonts w:ascii="Book Antiqua" w:eastAsia="Book Antiqua" w:hAnsi="Book Antiqua" w:cs="Book Antiqua"/>
        </w:rPr>
        <w:t>=</w:t>
      </w:r>
      <w:r w:rsidR="006B211B">
        <w:rPr>
          <w:rFonts w:ascii="Book Antiqua" w:eastAsia="Book Antiqua" w:hAnsi="Book Antiqua" w:cs="Book Antiqua"/>
        </w:rPr>
        <w:t xml:space="preserve"> </w:t>
      </w:r>
      <w:r w:rsidR="005747D2">
        <w:rPr>
          <w:rFonts w:ascii="Book Antiqua" w:eastAsia="Book Antiqua" w:hAnsi="Book Antiqua" w:cs="Book Antiqua"/>
        </w:rPr>
        <w:t>1).</w:t>
      </w:r>
      <w:r w:rsidRPr="00AD5289">
        <w:rPr>
          <w:rFonts w:ascii="Book Antiqua" w:eastAsia="Book Antiqua" w:hAnsi="Book Antiqua" w:cs="Book Antiqua"/>
        </w:rPr>
        <w:t xml:space="preserve"> This resulted in an overall 5-year survival of 98.8% (95%CI</w:t>
      </w:r>
      <w:r w:rsidR="00B21D67">
        <w:rPr>
          <w:rFonts w:ascii="Book Antiqua" w:eastAsia="Book Antiqua" w:hAnsi="Book Antiqua" w:cs="Book Antiqua"/>
        </w:rPr>
        <w:t>:</w:t>
      </w:r>
      <w:r w:rsidRPr="00AD5289">
        <w:rPr>
          <w:rFonts w:ascii="Book Antiqua" w:eastAsia="Book Antiqua" w:hAnsi="Book Antiqua" w:cs="Book Antiqua"/>
        </w:rPr>
        <w:t xml:space="preserve"> 97.3</w:t>
      </w:r>
      <w:r w:rsidR="006B211B">
        <w:rPr>
          <w:rFonts w:ascii="Book Antiqua" w:eastAsia="Book Antiqua" w:hAnsi="Book Antiqua" w:cs="Book Antiqua"/>
        </w:rPr>
        <w:t>-</w:t>
      </w:r>
      <w:r w:rsidRPr="00AD5289">
        <w:rPr>
          <w:rFonts w:ascii="Book Antiqua" w:eastAsia="Book Antiqua" w:hAnsi="Book Antiqua" w:cs="Book Antiqua"/>
        </w:rPr>
        <w:t>99.5)</w:t>
      </w:r>
      <w:r w:rsidRPr="00AD5289">
        <w:rPr>
          <w:rFonts w:ascii="Book Antiqua" w:eastAsia="Book Antiqua" w:hAnsi="Book Antiqua" w:cs="Book Antiqua"/>
          <w:i/>
          <w:iCs/>
        </w:rPr>
        <w:t>.</w:t>
      </w:r>
      <w:r w:rsidRPr="00AD5289">
        <w:rPr>
          <w:rFonts w:ascii="Book Antiqua" w:eastAsia="Book Antiqua" w:hAnsi="Book Antiqua" w:cs="Book Antiqua"/>
        </w:rPr>
        <w:t xml:space="preserve"> If infection was left out as reason for revision, a stem survival of 99.4% (95%CI</w:t>
      </w:r>
      <w:r w:rsidR="00B21D67">
        <w:rPr>
          <w:rFonts w:ascii="Book Antiqua" w:eastAsia="Book Antiqua" w:hAnsi="Book Antiqua" w:cs="Book Antiqua"/>
        </w:rPr>
        <w:t>:</w:t>
      </w:r>
      <w:r w:rsidRPr="00AD5289">
        <w:rPr>
          <w:rFonts w:ascii="Book Antiqua" w:eastAsia="Book Antiqua" w:hAnsi="Book Antiqua" w:cs="Book Antiqua"/>
        </w:rPr>
        <w:t xml:space="preserve"> 98.1</w:t>
      </w:r>
      <w:r w:rsidR="006B211B">
        <w:rPr>
          <w:rFonts w:ascii="Book Antiqua" w:eastAsia="Book Antiqua" w:hAnsi="Book Antiqua" w:cs="Book Antiqua"/>
        </w:rPr>
        <w:t>-</w:t>
      </w:r>
      <w:r w:rsidRPr="00AD5289">
        <w:rPr>
          <w:rFonts w:ascii="Book Antiqua" w:eastAsia="Book Antiqua" w:hAnsi="Book Antiqua" w:cs="Book Antiqua"/>
        </w:rPr>
        <w:t>99.8) was seen</w:t>
      </w:r>
      <w:r w:rsidR="005747D2">
        <w:rPr>
          <w:rFonts w:ascii="Book Antiqua" w:eastAsia="Book Antiqua" w:hAnsi="Book Antiqua" w:cs="Book Antiqua"/>
        </w:rPr>
        <w:t>.</w:t>
      </w:r>
      <w:r w:rsidR="00254303" w:rsidRPr="00AD5289">
        <w:rPr>
          <w:rFonts w:ascii="Book Antiqua" w:hAnsi="Book Antiqua"/>
          <w:lang w:eastAsia="zh-CN"/>
        </w:rPr>
        <w:t xml:space="preserve"> </w:t>
      </w:r>
      <w:r w:rsidR="005747D2">
        <w:rPr>
          <w:rFonts w:ascii="Book Antiqua" w:eastAsia="Book Antiqua" w:hAnsi="Book Antiqua" w:cs="Book Antiqua"/>
        </w:rPr>
        <w:t>Baseline questionnaires were complet</w:t>
      </w:r>
      <w:r w:rsidR="006B211B">
        <w:rPr>
          <w:rFonts w:ascii="Book Antiqua" w:eastAsia="Book Antiqua" w:hAnsi="Book Antiqua" w:cs="Book Antiqua"/>
        </w:rPr>
        <w:t>e</w:t>
      </w:r>
      <w:r w:rsidR="005747D2">
        <w:rPr>
          <w:rFonts w:ascii="Book Antiqua" w:eastAsia="Book Antiqua" w:hAnsi="Book Antiqua" w:cs="Book Antiqua"/>
        </w:rPr>
        <w:t>d by</w:t>
      </w:r>
      <w:r w:rsidRPr="00AD5289">
        <w:rPr>
          <w:rFonts w:ascii="Book Antiqua" w:eastAsia="Book Antiqua" w:hAnsi="Book Antiqua" w:cs="Book Antiqua"/>
        </w:rPr>
        <w:t xml:space="preserve"> 471 patients (94%), 317 patients (63%) completed the 1-year follow-up questionnaires</w:t>
      </w:r>
      <w:r w:rsidR="005747D2">
        <w:rPr>
          <w:rFonts w:ascii="Book Antiqua" w:eastAsia="Book Antiqua" w:hAnsi="Book Antiqua" w:cs="Book Antiqua"/>
        </w:rPr>
        <w:t xml:space="preserve"> and </w:t>
      </w:r>
      <w:r w:rsidR="005747D2" w:rsidRPr="00AD5289">
        <w:rPr>
          <w:rFonts w:ascii="Book Antiqua" w:eastAsia="Book Antiqua" w:hAnsi="Book Antiqua" w:cs="Book Antiqua"/>
        </w:rPr>
        <w:t>233 patients (47%)</w:t>
      </w:r>
      <w:r w:rsidRPr="00AD5289">
        <w:rPr>
          <w:rFonts w:ascii="Book Antiqua" w:eastAsia="Book Antiqua" w:hAnsi="Book Antiqua" w:cs="Book Antiqua"/>
        </w:rPr>
        <w:t xml:space="preserve"> </w:t>
      </w:r>
      <w:r w:rsidR="005747D2">
        <w:rPr>
          <w:rFonts w:ascii="Book Antiqua" w:eastAsia="Book Antiqua" w:hAnsi="Book Antiqua" w:cs="Book Antiqua"/>
        </w:rPr>
        <w:t>completed</w:t>
      </w:r>
      <w:r w:rsidRPr="00AD5289">
        <w:rPr>
          <w:rFonts w:ascii="Book Antiqua" w:eastAsia="Book Antiqua" w:hAnsi="Book Antiqua" w:cs="Book Antiqua"/>
        </w:rPr>
        <w:t xml:space="preserve"> the 2-year follow-up</w:t>
      </w:r>
      <w:r w:rsidR="005747D2">
        <w:rPr>
          <w:rFonts w:ascii="Book Antiqua" w:eastAsia="Book Antiqua" w:hAnsi="Book Antiqua" w:cs="Book Antiqua"/>
        </w:rPr>
        <w:t>.</w:t>
      </w:r>
      <w:r w:rsidRPr="00AD5289">
        <w:rPr>
          <w:rFonts w:ascii="Book Antiqua" w:eastAsia="Book Antiqua" w:hAnsi="Book Antiqua" w:cs="Book Antiqua"/>
        </w:rPr>
        <w:t xml:space="preserve"> Both outcome measures significantly improved across all domains in the </w:t>
      </w:r>
      <w:r w:rsidR="00525EA6">
        <w:rPr>
          <w:rFonts w:ascii="Book Antiqua" w:eastAsia="Book Antiqua" w:hAnsi="Book Antiqua" w:cs="Book Antiqua"/>
        </w:rPr>
        <w:t>1</w:t>
      </w:r>
      <w:r w:rsidR="00525EA6" w:rsidRPr="00780CD3">
        <w:rPr>
          <w:rFonts w:ascii="Book Antiqua" w:eastAsia="Book Antiqua" w:hAnsi="Book Antiqua" w:cs="Book Antiqua"/>
          <w:vertAlign w:val="superscript"/>
        </w:rPr>
        <w:t>st</w:t>
      </w:r>
      <w:r w:rsidR="00525EA6">
        <w:rPr>
          <w:rFonts w:ascii="Book Antiqua" w:eastAsia="Book Antiqua" w:hAnsi="Book Antiqua" w:cs="Book Antiqua"/>
        </w:rPr>
        <w:t xml:space="preserve"> </w:t>
      </w:r>
      <w:r w:rsidRPr="00AD5289">
        <w:rPr>
          <w:rFonts w:ascii="Book Antiqua" w:eastAsia="Book Antiqua" w:hAnsi="Book Antiqua" w:cs="Book Antiqua"/>
        </w:rPr>
        <w:t>year after the operation (</w:t>
      </w:r>
      <w:r w:rsidR="0053705D" w:rsidRPr="00AD5289">
        <w:rPr>
          <w:rFonts w:ascii="Book Antiqua" w:eastAsia="Book Antiqua" w:hAnsi="Book Antiqua" w:cs="Book Antiqua"/>
          <w:i/>
        </w:rPr>
        <w:t>P</w:t>
      </w:r>
      <w:r w:rsidR="0053705D" w:rsidRPr="00AD5289">
        <w:rPr>
          <w:rFonts w:ascii="Book Antiqua" w:eastAsia="Book Antiqua" w:hAnsi="Book Antiqua" w:cs="Book Antiqua"/>
        </w:rPr>
        <w:t xml:space="preserve"> </w:t>
      </w:r>
      <w:r w:rsidRPr="00AD5289">
        <w:rPr>
          <w:rFonts w:ascii="Book Antiqua" w:eastAsia="Book Antiqua" w:hAnsi="Book Antiqua" w:cs="Book Antiqua"/>
        </w:rPr>
        <w:t>&lt;</w:t>
      </w:r>
      <w:r w:rsidR="0053705D" w:rsidRPr="00AD5289">
        <w:rPr>
          <w:rFonts w:ascii="Book Antiqua" w:eastAsia="Book Antiqua" w:hAnsi="Book Antiqua" w:cs="Book Antiqua"/>
        </w:rPr>
        <w:t xml:space="preserve"> </w:t>
      </w:r>
      <w:r w:rsidRPr="00AD5289">
        <w:rPr>
          <w:rFonts w:ascii="Book Antiqua" w:eastAsia="Book Antiqua" w:hAnsi="Book Antiqua" w:cs="Book Antiqua"/>
        </w:rPr>
        <w:t xml:space="preserve">0.03 for all domains). In the </w:t>
      </w:r>
      <w:r w:rsidR="00525EA6">
        <w:rPr>
          <w:rFonts w:ascii="Book Antiqua" w:eastAsia="Book Antiqua" w:hAnsi="Book Antiqua" w:cs="Book Antiqua"/>
        </w:rPr>
        <w:t>2</w:t>
      </w:r>
      <w:r w:rsidR="00525EA6" w:rsidRPr="00780CD3">
        <w:rPr>
          <w:rFonts w:ascii="Book Antiqua" w:eastAsia="Book Antiqua" w:hAnsi="Book Antiqua" w:cs="Book Antiqua"/>
          <w:vertAlign w:val="superscript"/>
        </w:rPr>
        <w:t>nd</w:t>
      </w:r>
      <w:r w:rsidR="00525EA6">
        <w:rPr>
          <w:rFonts w:ascii="Book Antiqua" w:eastAsia="Book Antiqua" w:hAnsi="Book Antiqua" w:cs="Book Antiqua"/>
        </w:rPr>
        <w:t xml:space="preserve"> </w:t>
      </w:r>
      <w:r w:rsidRPr="00AD5289">
        <w:rPr>
          <w:rFonts w:ascii="Book Antiqua" w:eastAsia="Book Antiqua" w:hAnsi="Book Antiqua" w:cs="Book Antiqua"/>
        </w:rPr>
        <w:t xml:space="preserve">year after surgery, no significant changes were observed in any domain in comparison to the 1-year follow-up. </w:t>
      </w:r>
    </w:p>
    <w:p w14:paraId="4987DE93" w14:textId="77777777" w:rsidR="00A77B3E" w:rsidRPr="00AD5289" w:rsidRDefault="00A77B3E" w:rsidP="00AD5289">
      <w:pPr>
        <w:spacing w:line="360" w:lineRule="auto"/>
        <w:jc w:val="both"/>
        <w:rPr>
          <w:rFonts w:ascii="Book Antiqua" w:hAnsi="Book Antiqua"/>
        </w:rPr>
      </w:pPr>
    </w:p>
    <w:p w14:paraId="7C72922D"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CONCLUSION</w:t>
      </w:r>
    </w:p>
    <w:p w14:paraId="525ED450" w14:textId="6F6E292E" w:rsidR="00A77B3E" w:rsidRPr="00AD5289" w:rsidRDefault="005747D2" w:rsidP="00AD5289">
      <w:pPr>
        <w:spacing w:line="360" w:lineRule="auto"/>
        <w:jc w:val="both"/>
        <w:rPr>
          <w:rFonts w:ascii="Book Antiqua" w:hAnsi="Book Antiqua"/>
        </w:rPr>
      </w:pPr>
      <w:r>
        <w:rPr>
          <w:rFonts w:ascii="Book Antiqua" w:eastAsia="Book Antiqua" w:hAnsi="Book Antiqua" w:cs="Book Antiqua"/>
        </w:rPr>
        <w:t xml:space="preserve">The Optimys stem has </w:t>
      </w:r>
      <w:r w:rsidR="00B13A0C" w:rsidRPr="00AD5289">
        <w:rPr>
          <w:rFonts w:ascii="Book Antiqua" w:eastAsia="Book Antiqua" w:hAnsi="Book Antiqua" w:cs="Book Antiqua"/>
        </w:rPr>
        <w:t xml:space="preserve">a 5-year survival of 98.8%. </w:t>
      </w:r>
      <w:r>
        <w:rPr>
          <w:rFonts w:ascii="Book Antiqua" w:eastAsia="Book Antiqua" w:hAnsi="Book Antiqua" w:cs="Book Antiqua"/>
        </w:rPr>
        <w:t>Patient</w:t>
      </w:r>
      <w:r w:rsidR="00780CD3">
        <w:rPr>
          <w:rFonts w:ascii="Book Antiqua" w:eastAsia="Book Antiqua" w:hAnsi="Book Antiqua" w:cs="Book Antiqua"/>
        </w:rPr>
        <w:t>-</w:t>
      </w:r>
      <w:r>
        <w:rPr>
          <w:rFonts w:ascii="Book Antiqua" w:eastAsia="Book Antiqua" w:hAnsi="Book Antiqua" w:cs="Book Antiqua"/>
        </w:rPr>
        <w:t>reported outcome measures increased</w:t>
      </w:r>
      <w:r w:rsidR="00B13A0C" w:rsidRPr="00AD5289">
        <w:rPr>
          <w:rFonts w:ascii="Book Antiqua" w:eastAsia="Book Antiqua" w:hAnsi="Book Antiqua" w:cs="Book Antiqua"/>
        </w:rPr>
        <w:t xml:space="preserve"> significantly in the </w:t>
      </w:r>
      <w:r w:rsidR="00525EA6">
        <w:rPr>
          <w:rFonts w:ascii="Book Antiqua" w:eastAsia="Book Antiqua" w:hAnsi="Book Antiqua" w:cs="Book Antiqua"/>
        </w:rPr>
        <w:t>1</w:t>
      </w:r>
      <w:r w:rsidR="00525EA6" w:rsidRPr="00780CD3">
        <w:rPr>
          <w:rFonts w:ascii="Book Antiqua" w:eastAsia="Book Antiqua" w:hAnsi="Book Antiqua" w:cs="Book Antiqua"/>
          <w:vertAlign w:val="superscript"/>
        </w:rPr>
        <w:t>st</w:t>
      </w:r>
      <w:r w:rsidR="00525EA6">
        <w:rPr>
          <w:rFonts w:ascii="Book Antiqua" w:eastAsia="Book Antiqua" w:hAnsi="Book Antiqua" w:cs="Book Antiqua"/>
        </w:rPr>
        <w:t xml:space="preserve"> </w:t>
      </w:r>
      <w:r w:rsidR="00B13A0C" w:rsidRPr="00AD5289">
        <w:rPr>
          <w:rFonts w:ascii="Book Antiqua" w:eastAsia="Book Antiqua" w:hAnsi="Book Antiqua" w:cs="Book Antiqua"/>
        </w:rPr>
        <w:t xml:space="preserve">postoperative </w:t>
      </w:r>
      <w:r w:rsidR="00B21D67">
        <w:rPr>
          <w:rFonts w:ascii="Book Antiqua" w:eastAsia="Book Antiqua" w:hAnsi="Book Antiqua" w:cs="Book Antiqua"/>
        </w:rPr>
        <w:t xml:space="preserve">year </w:t>
      </w:r>
      <w:r w:rsidR="00B13A0C" w:rsidRPr="00AD5289">
        <w:rPr>
          <w:rFonts w:ascii="Book Antiqua" w:eastAsia="Book Antiqua" w:hAnsi="Book Antiqua" w:cs="Book Antiqua"/>
        </w:rPr>
        <w:t xml:space="preserve">with stabilization at </w:t>
      </w:r>
      <w:r w:rsidR="00B21D67">
        <w:rPr>
          <w:rFonts w:ascii="Book Antiqua" w:eastAsia="Book Antiqua" w:hAnsi="Book Antiqua" w:cs="Book Antiqua"/>
        </w:rPr>
        <w:t>the 2</w:t>
      </w:r>
      <w:r w:rsidR="00B13A0C" w:rsidRPr="00AD5289">
        <w:rPr>
          <w:rFonts w:ascii="Book Antiqua" w:eastAsia="Book Antiqua" w:hAnsi="Book Antiqua" w:cs="Book Antiqua"/>
        </w:rPr>
        <w:t>-year</w:t>
      </w:r>
      <w:r w:rsidR="00B21D67">
        <w:rPr>
          <w:rFonts w:ascii="Book Antiqua" w:eastAsia="Book Antiqua" w:hAnsi="Book Antiqua" w:cs="Book Antiqua"/>
        </w:rPr>
        <w:t xml:space="preserve"> follow-up</w:t>
      </w:r>
      <w:r w:rsidR="00B13A0C" w:rsidRPr="00AD5289">
        <w:rPr>
          <w:rFonts w:ascii="Book Antiqua" w:eastAsia="Book Antiqua" w:hAnsi="Book Antiqua" w:cs="Book Antiqua"/>
        </w:rPr>
        <w:t>.</w:t>
      </w:r>
    </w:p>
    <w:p w14:paraId="1B03E698" w14:textId="77777777" w:rsidR="00A77B3E" w:rsidRPr="00AD5289" w:rsidRDefault="00A77B3E" w:rsidP="00AD5289">
      <w:pPr>
        <w:spacing w:line="360" w:lineRule="auto"/>
        <w:jc w:val="both"/>
        <w:rPr>
          <w:rFonts w:ascii="Book Antiqua" w:hAnsi="Book Antiqua"/>
        </w:rPr>
      </w:pPr>
    </w:p>
    <w:p w14:paraId="7FB20D69" w14:textId="70ADF88C"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rPr>
        <w:lastRenderedPageBreak/>
        <w:t xml:space="preserve">Key Words: </w:t>
      </w:r>
      <w:r w:rsidRPr="00AD5289">
        <w:rPr>
          <w:rFonts w:ascii="Book Antiqua" w:eastAsia="Book Antiqua" w:hAnsi="Book Antiqua" w:cs="Book Antiqua"/>
        </w:rPr>
        <w:t xml:space="preserve">Total hip arthroplasty; </w:t>
      </w:r>
      <w:r w:rsidR="00390330" w:rsidRPr="00AD5289">
        <w:rPr>
          <w:rFonts w:ascii="Book Antiqua" w:eastAsia="Book Antiqua" w:hAnsi="Book Antiqua" w:cs="Book Antiqua"/>
        </w:rPr>
        <w:t xml:space="preserve">Femoral </w:t>
      </w:r>
      <w:r w:rsidRPr="00AD5289">
        <w:rPr>
          <w:rFonts w:ascii="Book Antiqua" w:eastAsia="Book Antiqua" w:hAnsi="Book Antiqua" w:cs="Book Antiqua"/>
        </w:rPr>
        <w:t xml:space="preserve">stem; </w:t>
      </w:r>
      <w:r w:rsidR="00390330" w:rsidRPr="00AD5289">
        <w:rPr>
          <w:rFonts w:ascii="Book Antiqua" w:eastAsia="Book Antiqua" w:hAnsi="Book Antiqua" w:cs="Book Antiqua"/>
        </w:rPr>
        <w:t xml:space="preserve">Short </w:t>
      </w:r>
      <w:r w:rsidRPr="00AD5289">
        <w:rPr>
          <w:rFonts w:ascii="Book Antiqua" w:eastAsia="Book Antiqua" w:hAnsi="Book Antiqua" w:cs="Book Antiqua"/>
        </w:rPr>
        <w:t xml:space="preserve">stem; Optimys; </w:t>
      </w:r>
      <w:r w:rsidR="00DD38CA" w:rsidRPr="00AD5289">
        <w:rPr>
          <w:rFonts w:ascii="Book Antiqua" w:eastAsia="Book Antiqua" w:hAnsi="Book Antiqua" w:cs="Book Antiqua"/>
        </w:rPr>
        <w:t>Survival</w:t>
      </w:r>
      <w:r w:rsidRPr="00AD5289">
        <w:rPr>
          <w:rFonts w:ascii="Book Antiqua" w:eastAsia="Book Antiqua" w:hAnsi="Book Antiqua" w:cs="Book Antiqua"/>
        </w:rPr>
        <w:t xml:space="preserve">; 5-year survival; </w:t>
      </w:r>
      <w:r w:rsidR="00743452" w:rsidRPr="00AD5289">
        <w:rPr>
          <w:rFonts w:ascii="Book Antiqua" w:eastAsia="Book Antiqua" w:hAnsi="Book Antiqua" w:cs="Book Antiqua"/>
        </w:rPr>
        <w:t>Revision</w:t>
      </w:r>
      <w:r w:rsidRPr="00AD5289">
        <w:rPr>
          <w:rFonts w:ascii="Book Antiqua" w:eastAsia="Book Antiqua" w:hAnsi="Book Antiqua" w:cs="Book Antiqua"/>
        </w:rPr>
        <w:t>; PROMs</w:t>
      </w:r>
    </w:p>
    <w:p w14:paraId="6CB97E30" w14:textId="77777777" w:rsidR="00A77B3E" w:rsidRPr="00AD5289" w:rsidRDefault="00A77B3E" w:rsidP="00AD5289">
      <w:pPr>
        <w:spacing w:line="360" w:lineRule="auto"/>
        <w:jc w:val="both"/>
        <w:rPr>
          <w:rFonts w:ascii="Book Antiqua" w:hAnsi="Book Antiqua"/>
        </w:rPr>
      </w:pPr>
    </w:p>
    <w:p w14:paraId="232AD9D2" w14:textId="702EBBAD"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rPr>
        <w:t xml:space="preserve">Hamans B, de Waard S, Kaarsemaker S, Janssen ERC, Sierevelt IN, </w:t>
      </w:r>
      <w:r w:rsidR="00B857B0" w:rsidRPr="00AD5289">
        <w:rPr>
          <w:rFonts w:ascii="Book Antiqua" w:eastAsia="Book Antiqua" w:hAnsi="Book Antiqua" w:cs="Book Antiqua"/>
          <w:color w:val="000000"/>
        </w:rPr>
        <w:t>Kerkhoffs GMMJ</w:t>
      </w:r>
      <w:r w:rsidRPr="00AD5289">
        <w:rPr>
          <w:rFonts w:ascii="Book Antiqua" w:eastAsia="Book Antiqua" w:hAnsi="Book Antiqua" w:cs="Book Antiqua"/>
        </w:rPr>
        <w:t>, Haverkamp D. Mid-term survival of the Optimys short stem: a prospective case</w:t>
      </w:r>
      <w:r w:rsidR="005317C1">
        <w:rPr>
          <w:rFonts w:ascii="Book Antiqua" w:eastAsia="Book Antiqua" w:hAnsi="Book Antiqua" w:cs="Book Antiqua"/>
        </w:rPr>
        <w:t xml:space="preserve"> </w:t>
      </w:r>
      <w:r w:rsidRPr="00AD5289">
        <w:rPr>
          <w:rFonts w:ascii="Book Antiqua" w:eastAsia="Book Antiqua" w:hAnsi="Book Antiqua" w:cs="Book Antiqua"/>
        </w:rPr>
        <w:t xml:space="preserve">series of 500 patients. </w:t>
      </w:r>
      <w:r w:rsidRPr="00AD5289">
        <w:rPr>
          <w:rFonts w:ascii="Book Antiqua" w:eastAsia="Book Antiqua" w:hAnsi="Book Antiqua" w:cs="Book Antiqua"/>
          <w:i/>
          <w:iCs/>
        </w:rPr>
        <w:t>World J Orthop</w:t>
      </w:r>
      <w:r w:rsidRPr="00AD5289">
        <w:rPr>
          <w:rFonts w:ascii="Book Antiqua" w:eastAsia="Book Antiqua" w:hAnsi="Book Antiqua" w:cs="Book Antiqua"/>
        </w:rPr>
        <w:t xml:space="preserve"> </w:t>
      </w:r>
      <w:r w:rsidR="00641A7D" w:rsidRPr="00AD5289">
        <w:rPr>
          <w:rFonts w:ascii="Book Antiqua" w:eastAsia="Book Antiqua" w:hAnsi="Book Antiqua" w:cs="Book Antiqua"/>
        </w:rPr>
        <w:t>2024</w:t>
      </w:r>
      <w:r w:rsidRPr="00AD5289">
        <w:rPr>
          <w:rFonts w:ascii="Book Antiqua" w:eastAsia="Book Antiqua" w:hAnsi="Book Antiqua" w:cs="Book Antiqua"/>
        </w:rPr>
        <w:t>; In press</w:t>
      </w:r>
    </w:p>
    <w:p w14:paraId="3DF313CC" w14:textId="77777777" w:rsidR="00A77B3E" w:rsidRPr="00AD5289" w:rsidRDefault="00A77B3E" w:rsidP="00AD5289">
      <w:pPr>
        <w:spacing w:line="360" w:lineRule="auto"/>
        <w:jc w:val="both"/>
        <w:rPr>
          <w:rFonts w:ascii="Book Antiqua" w:hAnsi="Book Antiqua"/>
        </w:rPr>
      </w:pPr>
    </w:p>
    <w:p w14:paraId="314B5007" w14:textId="54F92052"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rPr>
        <w:t xml:space="preserve">Core Tip: </w:t>
      </w:r>
      <w:r w:rsidRPr="00AD5289">
        <w:rPr>
          <w:rFonts w:ascii="Book Antiqua" w:eastAsia="Book Antiqua" w:hAnsi="Book Antiqua" w:cs="Book Antiqua"/>
        </w:rPr>
        <w:t>The Optimys hip stem showed an excellent 5-year survival of 98.9%,</w:t>
      </w:r>
      <w:r w:rsidR="00B21D67">
        <w:rPr>
          <w:rFonts w:ascii="Book Antiqua" w:eastAsia="Book Antiqua" w:hAnsi="Book Antiqua" w:cs="Book Antiqua"/>
        </w:rPr>
        <w:t xml:space="preserve"> and</w:t>
      </w:r>
      <w:r w:rsidRPr="00AD5289">
        <w:rPr>
          <w:rFonts w:ascii="Book Antiqua" w:eastAsia="Book Antiqua" w:hAnsi="Book Antiqua" w:cs="Book Antiqua"/>
        </w:rPr>
        <w:t xml:space="preserve"> when excluding infections this was 99.4%. This is in line with the earlier results of the </w:t>
      </w:r>
      <w:r w:rsidR="00334770" w:rsidRPr="00AD5289">
        <w:rPr>
          <w:rFonts w:ascii="Book Antiqua" w:eastAsia="Book Antiqua" w:hAnsi="Book Antiqua" w:cs="Book Antiqua"/>
        </w:rPr>
        <w:t>Roentgen Stereophotogrammetric analysis</w:t>
      </w:r>
      <w:r w:rsidRPr="00AD5289">
        <w:rPr>
          <w:rFonts w:ascii="Book Antiqua" w:eastAsia="Book Antiqua" w:hAnsi="Book Antiqua" w:cs="Book Antiqua"/>
        </w:rPr>
        <w:t xml:space="preserve"> study </w:t>
      </w:r>
      <w:r w:rsidR="00B21D67">
        <w:rPr>
          <w:rFonts w:ascii="Book Antiqua" w:eastAsia="Book Antiqua" w:hAnsi="Book Antiqua" w:cs="Book Antiqua"/>
        </w:rPr>
        <w:t>completed</w:t>
      </w:r>
      <w:r w:rsidRPr="00AD5289">
        <w:rPr>
          <w:rFonts w:ascii="Book Antiqua" w:eastAsia="Book Antiqua" w:hAnsi="Book Antiqua" w:cs="Book Antiqua"/>
        </w:rPr>
        <w:t xml:space="preserve"> by our group</w:t>
      </w:r>
      <w:r w:rsidR="00B21D67">
        <w:rPr>
          <w:rFonts w:ascii="Book Antiqua" w:eastAsia="Book Antiqua" w:hAnsi="Book Antiqua" w:cs="Book Antiqua"/>
        </w:rPr>
        <w:t>,</w:t>
      </w:r>
      <w:r w:rsidRPr="00AD5289">
        <w:rPr>
          <w:rFonts w:ascii="Book Antiqua" w:eastAsia="Book Antiqua" w:hAnsi="Book Antiqua" w:cs="Book Antiqua"/>
        </w:rPr>
        <w:t xml:space="preserve"> and we expect it to be in line with the </w:t>
      </w:r>
      <w:r w:rsidR="00CB6C78" w:rsidRPr="00AD5289">
        <w:rPr>
          <w:rFonts w:ascii="Book Antiqua" w:eastAsia="Book Antiqua" w:hAnsi="Book Antiqua" w:cs="Book Antiqua"/>
          <w:color w:val="000000"/>
        </w:rPr>
        <w:t>National Institute for Health and Care Excellence</w:t>
      </w:r>
      <w:r w:rsidRPr="00AD5289">
        <w:rPr>
          <w:rFonts w:ascii="Book Antiqua" w:eastAsia="Book Antiqua" w:hAnsi="Book Antiqua" w:cs="Book Antiqua"/>
        </w:rPr>
        <w:t xml:space="preserve"> criteria on total hip arthroplasty for the 10-year follow-up. This study show</w:t>
      </w:r>
      <w:r w:rsidR="00B21D67">
        <w:rPr>
          <w:rFonts w:ascii="Book Antiqua" w:eastAsia="Book Antiqua" w:hAnsi="Book Antiqua" w:cs="Book Antiqua"/>
        </w:rPr>
        <w:t>ed</w:t>
      </w:r>
      <w:r w:rsidRPr="00AD5289">
        <w:rPr>
          <w:rFonts w:ascii="Book Antiqua" w:eastAsia="Book Antiqua" w:hAnsi="Book Antiqua" w:cs="Book Antiqua"/>
        </w:rPr>
        <w:t xml:space="preserve"> that in a large</w:t>
      </w:r>
      <w:r w:rsidR="00B21D67">
        <w:rPr>
          <w:rFonts w:ascii="Book Antiqua" w:eastAsia="Book Antiqua" w:hAnsi="Book Antiqua" w:cs="Book Antiqua"/>
        </w:rPr>
        <w:t>,</w:t>
      </w:r>
      <w:r w:rsidRPr="00AD5289">
        <w:rPr>
          <w:rFonts w:ascii="Book Antiqua" w:eastAsia="Book Antiqua" w:hAnsi="Book Antiqua" w:cs="Book Antiqua"/>
        </w:rPr>
        <w:t xml:space="preserve"> varied</w:t>
      </w:r>
      <w:r w:rsidR="00623FA6" w:rsidRPr="00AD5289">
        <w:rPr>
          <w:rFonts w:ascii="Book Antiqua" w:eastAsia="Book Antiqua" w:hAnsi="Book Antiqua" w:cs="Book Antiqua"/>
        </w:rPr>
        <w:t xml:space="preserve"> </w:t>
      </w:r>
      <w:r w:rsidRPr="00AD5289">
        <w:rPr>
          <w:rFonts w:ascii="Book Antiqua" w:eastAsia="Book Antiqua" w:hAnsi="Book Antiqua" w:cs="Book Antiqua"/>
        </w:rPr>
        <w:t>patient population there is similar survival as other cohorts with short femoral stems.</w:t>
      </w:r>
    </w:p>
    <w:p w14:paraId="3149EAFE" w14:textId="77777777" w:rsidR="00A77B3E" w:rsidRPr="00AD5289" w:rsidRDefault="00A77B3E" w:rsidP="00AD5289">
      <w:pPr>
        <w:spacing w:line="360" w:lineRule="auto"/>
        <w:jc w:val="both"/>
        <w:rPr>
          <w:rFonts w:ascii="Book Antiqua" w:hAnsi="Book Antiqua"/>
        </w:rPr>
      </w:pPr>
    </w:p>
    <w:p w14:paraId="7BC8F2ED"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aps/>
          <w:color w:val="000000"/>
          <w:u w:val="single"/>
        </w:rPr>
        <w:t>INTRODUCTION</w:t>
      </w:r>
    </w:p>
    <w:p w14:paraId="671C7A70" w14:textId="32372EB9"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Osteoarthritis has become more prevalent in recent years due to a growing and aging population</w:t>
      </w:r>
      <w:r w:rsidR="000C3F10" w:rsidRPr="00AD5289">
        <w:rPr>
          <w:rFonts w:ascii="Book Antiqua" w:eastAsia="Book Antiqua" w:hAnsi="Book Antiqua" w:cs="Book Antiqua"/>
          <w:color w:val="000000"/>
          <w:vertAlign w:val="superscript"/>
        </w:rPr>
        <w:t>[1]</w:t>
      </w:r>
      <w:r w:rsidRPr="00AD5289">
        <w:rPr>
          <w:rFonts w:ascii="Book Antiqua" w:eastAsia="Book Antiqua" w:hAnsi="Book Antiqua" w:cs="Book Antiqua"/>
          <w:color w:val="000000"/>
        </w:rPr>
        <w:t>.</w:t>
      </w:r>
      <w:r w:rsidR="00AB0DB0" w:rsidRPr="00AD5289">
        <w:rPr>
          <w:rFonts w:ascii="Book Antiqua" w:eastAsia="Book Antiqua" w:hAnsi="Book Antiqua" w:cs="Book Antiqua"/>
          <w:color w:val="000000"/>
        </w:rPr>
        <w:t xml:space="preserve"> </w:t>
      </w:r>
      <w:r w:rsidRPr="00AD5289">
        <w:rPr>
          <w:rFonts w:ascii="Book Antiqua" w:eastAsia="Book Antiqua" w:hAnsi="Book Antiqua" w:cs="Book Antiqua"/>
          <w:color w:val="000000"/>
        </w:rPr>
        <w:t>According to the Dutch Arthroplasty Registry (LROI), the yearly number of total hip arthroplasties (THA) has increased from approximately 23.000 to 31.500 between 2010 and 2021</w:t>
      </w:r>
      <w:r w:rsidR="00E77230" w:rsidRPr="00AD5289">
        <w:rPr>
          <w:rFonts w:ascii="Book Antiqua" w:eastAsia="Book Antiqua" w:hAnsi="Book Antiqua" w:cs="Book Antiqua"/>
          <w:color w:val="000000"/>
          <w:vertAlign w:val="superscript"/>
        </w:rPr>
        <w:t>[2]</w:t>
      </w:r>
      <w:r w:rsidRPr="00AD5289">
        <w:rPr>
          <w:rFonts w:ascii="Book Antiqua" w:eastAsia="Book Antiqua" w:hAnsi="Book Antiqua" w:cs="Book Antiqua"/>
          <w:color w:val="000000"/>
        </w:rPr>
        <w:t>. As the total number of THAs has increased over the years, the number of younger patients (&lt;</w:t>
      </w:r>
      <w:r w:rsidR="003B6237" w:rsidRPr="00AD5289">
        <w:rPr>
          <w:rFonts w:ascii="Book Antiqua" w:eastAsia="Book Antiqua" w:hAnsi="Book Antiqua" w:cs="Book Antiqua"/>
          <w:color w:val="000000"/>
        </w:rPr>
        <w:t xml:space="preserve"> </w:t>
      </w:r>
      <w:r w:rsidRPr="00AD5289">
        <w:rPr>
          <w:rFonts w:ascii="Book Antiqua" w:eastAsia="Book Antiqua" w:hAnsi="Book Antiqua" w:cs="Book Antiqua"/>
          <w:color w:val="000000"/>
        </w:rPr>
        <w:t>65 years) receiving THA has also increased to 20% of the total</w:t>
      </w:r>
      <w:r w:rsidR="00B21D67">
        <w:rPr>
          <w:rFonts w:ascii="Book Antiqua" w:eastAsia="Book Antiqua" w:hAnsi="Book Antiqua" w:cs="Book Antiqua"/>
          <w:color w:val="000000"/>
          <w:vertAlign w:val="superscript"/>
        </w:rPr>
        <w:t>[</w:t>
      </w:r>
      <w:r w:rsidRPr="00AD5289">
        <w:rPr>
          <w:rFonts w:ascii="Book Antiqua" w:eastAsia="Book Antiqua" w:hAnsi="Book Antiqua" w:cs="Book Antiqua"/>
          <w:color w:val="000000"/>
          <w:vertAlign w:val="superscript"/>
        </w:rPr>
        <w:t>2</w:t>
      </w:r>
      <w:r w:rsidR="00B21D67">
        <w:rPr>
          <w:rFonts w:ascii="Book Antiqua" w:eastAsia="Book Antiqua" w:hAnsi="Book Antiqua" w:cs="Book Antiqua"/>
          <w:color w:val="000000"/>
          <w:vertAlign w:val="superscript"/>
        </w:rPr>
        <w:t>]</w:t>
      </w:r>
      <w:r w:rsidR="004C35CB">
        <w:rPr>
          <w:rFonts w:ascii="Book Antiqua" w:eastAsia="Book Antiqua" w:hAnsi="Book Antiqua" w:cs="Book Antiqua"/>
          <w:color w:val="000000"/>
        </w:rPr>
        <w:t xml:space="preserve">. </w:t>
      </w:r>
      <w:r w:rsidRPr="00AD5289">
        <w:rPr>
          <w:rFonts w:ascii="Book Antiqua" w:eastAsia="Book Antiqua" w:hAnsi="Book Antiqua" w:cs="Book Antiqua"/>
          <w:color w:val="000000"/>
        </w:rPr>
        <w:t>This younger group has a more active lifestyle, which results in a greater demand for hip prostheses. This makes them more susceptible to revision of their total hip, as there is an increase in wear and/or loosening of the components due to increased forces</w:t>
      </w:r>
      <w:r w:rsidR="00E77230" w:rsidRPr="00AD5289">
        <w:rPr>
          <w:rFonts w:ascii="Book Antiqua" w:eastAsia="Book Antiqua" w:hAnsi="Book Antiqua" w:cs="Book Antiqua"/>
          <w:color w:val="000000"/>
          <w:vertAlign w:val="superscript"/>
        </w:rPr>
        <w:t>[3-7]</w:t>
      </w:r>
      <w:r w:rsidRPr="00AD5289">
        <w:rPr>
          <w:rFonts w:ascii="Book Antiqua" w:eastAsia="Book Antiqua" w:hAnsi="Book Antiqua" w:cs="Book Antiqua"/>
          <w:color w:val="000000"/>
        </w:rPr>
        <w:t>.</w:t>
      </w:r>
    </w:p>
    <w:p w14:paraId="19EFB5D8" w14:textId="69350929"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 xml:space="preserve">In recent decades, a short, curved stem as a femoral component in THA has </w:t>
      </w:r>
      <w:r w:rsidR="00B21D67">
        <w:rPr>
          <w:rFonts w:ascii="Book Antiqua" w:eastAsia="Book Antiqua" w:hAnsi="Book Antiqua" w:cs="Book Antiqua"/>
          <w:color w:val="000000"/>
        </w:rPr>
        <w:t>been introduced to</w:t>
      </w:r>
      <w:r w:rsidRPr="00AD5289">
        <w:rPr>
          <w:rFonts w:ascii="Book Antiqua" w:eastAsia="Book Antiqua" w:hAnsi="Book Antiqua" w:cs="Book Antiqua"/>
          <w:color w:val="000000"/>
        </w:rPr>
        <w:t xml:space="preserve"> the market and</w:t>
      </w:r>
      <w:r w:rsidR="00B21D67">
        <w:rPr>
          <w:rFonts w:ascii="Book Antiqua" w:eastAsia="Book Antiqua" w:hAnsi="Book Antiqua" w:cs="Book Antiqua"/>
          <w:color w:val="000000"/>
        </w:rPr>
        <w:t xml:space="preserve"> has</w:t>
      </w:r>
      <w:r w:rsidRPr="00AD5289">
        <w:rPr>
          <w:rFonts w:ascii="Book Antiqua" w:eastAsia="Book Antiqua" w:hAnsi="Book Antiqua" w:cs="Book Antiqua"/>
          <w:color w:val="000000"/>
        </w:rPr>
        <w:t xml:space="preserve"> become more popular for implantation in this younger patient population. The philosophy behind short stems is bone-stock preservation in the proximal femur due to more proximal loading and restoration of the patient’s specific anatomy</w:t>
      </w:r>
      <w:r w:rsidR="00D21793" w:rsidRPr="00AD5289">
        <w:rPr>
          <w:rFonts w:ascii="Book Antiqua" w:eastAsia="Book Antiqua" w:hAnsi="Book Antiqua" w:cs="Book Antiqua"/>
          <w:color w:val="000000"/>
          <w:vertAlign w:val="superscript"/>
        </w:rPr>
        <w:t>[7-10]</w:t>
      </w:r>
      <w:r w:rsidRPr="00AD5289">
        <w:rPr>
          <w:rFonts w:ascii="Book Antiqua" w:eastAsia="Book Antiqua" w:hAnsi="Book Antiqua" w:cs="Book Antiqua"/>
          <w:color w:val="000000"/>
        </w:rPr>
        <w:t xml:space="preserve">. With the introduction of new implants, it is important to monitor survival. The Optimys stem, manufactured by Mathys Ltd. Bettlach, is a meta-diaphyseal </w:t>
      </w:r>
      <w:r w:rsidRPr="00AD5289">
        <w:rPr>
          <w:rFonts w:ascii="Book Antiqua" w:eastAsia="Book Antiqua" w:hAnsi="Book Antiqua" w:cs="Book Antiqua"/>
          <w:color w:val="000000"/>
        </w:rPr>
        <w:lastRenderedPageBreak/>
        <w:t xml:space="preserve">anchoring short stem and has been on the market since 2010. An earlier </w:t>
      </w:r>
      <w:r w:rsidR="00B21D67">
        <w:rPr>
          <w:rFonts w:ascii="Book Antiqua" w:eastAsia="Book Antiqua" w:hAnsi="Book Antiqua" w:cs="Book Antiqua"/>
          <w:color w:val="000000"/>
        </w:rPr>
        <w:t>radiostereometric analysis</w:t>
      </w:r>
      <w:r w:rsidRPr="00AD5289">
        <w:rPr>
          <w:rFonts w:ascii="Book Antiqua" w:eastAsia="Book Antiqua" w:hAnsi="Book Antiqua" w:cs="Book Antiqua"/>
          <w:color w:val="000000"/>
        </w:rPr>
        <w:t xml:space="preserve"> study of the Optimys hip stem showed excellent results in the stabilization of the Optimys short stem at </w:t>
      </w:r>
      <w:r w:rsidR="00B21D67">
        <w:rPr>
          <w:rFonts w:ascii="Book Antiqua" w:eastAsia="Book Antiqua" w:hAnsi="Book Antiqua" w:cs="Book Antiqua"/>
          <w:color w:val="000000"/>
        </w:rPr>
        <w:t>2</w:t>
      </w:r>
      <w:r w:rsidRPr="00AD5289">
        <w:rPr>
          <w:rFonts w:ascii="Book Antiqua" w:eastAsia="Book Antiqua" w:hAnsi="Book Antiqua" w:cs="Book Antiqua"/>
          <w:color w:val="000000"/>
        </w:rPr>
        <w:t xml:space="preserve"> years of follow-up</w:t>
      </w:r>
      <w:r w:rsidR="007522D9" w:rsidRPr="00AD5289">
        <w:rPr>
          <w:rFonts w:ascii="Book Antiqua" w:eastAsia="Book Antiqua" w:hAnsi="Book Antiqua" w:cs="Book Antiqua"/>
          <w:color w:val="000000"/>
          <w:vertAlign w:val="superscript"/>
        </w:rPr>
        <w:t>[11]</w:t>
      </w:r>
      <w:r w:rsidRPr="00AD5289">
        <w:rPr>
          <w:rFonts w:ascii="Book Antiqua" w:eastAsia="Book Antiqua" w:hAnsi="Book Antiqua" w:cs="Book Antiqua"/>
          <w:color w:val="000000"/>
        </w:rPr>
        <w:t xml:space="preserve">. At this time, to the best of the authors’ knowledge, mid-term survival and functional outcomes have been described in only two studies, and the Optimys has an </w:t>
      </w:r>
      <w:r w:rsidR="00B21D67">
        <w:rPr>
          <w:rFonts w:ascii="Book Antiqua" w:eastAsia="Book Antiqua" w:hAnsi="Book Antiqua" w:cs="Book Antiqua"/>
          <w:color w:val="000000"/>
        </w:rPr>
        <w:t>Orthopaedic Data Evaluation Panel (</w:t>
      </w:r>
      <w:r w:rsidRPr="00AD5289">
        <w:rPr>
          <w:rFonts w:ascii="Book Antiqua" w:eastAsia="Book Antiqua" w:hAnsi="Book Antiqua" w:cs="Book Antiqua"/>
          <w:color w:val="000000"/>
        </w:rPr>
        <w:t>ODEP</w:t>
      </w:r>
      <w:r w:rsidR="00B21D67">
        <w:rPr>
          <w:rFonts w:ascii="Book Antiqua" w:eastAsia="Book Antiqua" w:hAnsi="Book Antiqua" w:cs="Book Antiqua"/>
          <w:color w:val="000000"/>
        </w:rPr>
        <w:t>)</w:t>
      </w:r>
      <w:r w:rsidRPr="00AD5289">
        <w:rPr>
          <w:rFonts w:ascii="Book Antiqua" w:eastAsia="Book Antiqua" w:hAnsi="Book Antiqua" w:cs="Book Antiqua"/>
          <w:color w:val="000000"/>
        </w:rPr>
        <w:t xml:space="preserve"> rating of 7A</w:t>
      </w:r>
      <w:r w:rsidR="007522D9" w:rsidRPr="00AD5289">
        <w:rPr>
          <w:rFonts w:ascii="Book Antiqua" w:eastAsia="Book Antiqua" w:hAnsi="Book Antiqua" w:cs="Book Antiqua"/>
          <w:color w:val="000000"/>
          <w:vertAlign w:val="superscript"/>
        </w:rPr>
        <w:t>[12]</w:t>
      </w:r>
      <w:r w:rsidRPr="00AD5289">
        <w:rPr>
          <w:rFonts w:ascii="Book Antiqua" w:eastAsia="Book Antiqua" w:hAnsi="Book Antiqua" w:cs="Book Antiqua"/>
          <w:color w:val="000000"/>
        </w:rPr>
        <w:t>.</w:t>
      </w:r>
    </w:p>
    <w:p w14:paraId="1C1FF08B" w14:textId="0448E371"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Therefore, the aim of this study was to determine the mid-term survival of the Optimys hip stem in a large, varied patient population and to assess functional outcome</w:t>
      </w:r>
      <w:r w:rsidR="00B21D67">
        <w:rPr>
          <w:rFonts w:ascii="Book Antiqua" w:eastAsia="Book Antiqua" w:hAnsi="Book Antiqua" w:cs="Book Antiqua"/>
          <w:color w:val="000000"/>
        </w:rPr>
        <w:t>s</w:t>
      </w:r>
      <w:r w:rsidRPr="00AD5289">
        <w:rPr>
          <w:rFonts w:ascii="Book Antiqua" w:eastAsia="Book Antiqua" w:hAnsi="Book Antiqua" w:cs="Book Antiqua"/>
          <w:color w:val="000000"/>
        </w:rPr>
        <w:t xml:space="preserve"> and quality of life in this patient population.</w:t>
      </w:r>
    </w:p>
    <w:p w14:paraId="105BCC81" w14:textId="77777777" w:rsidR="00A77B3E" w:rsidRPr="00AD5289" w:rsidRDefault="00A77B3E" w:rsidP="00AD5289">
      <w:pPr>
        <w:spacing w:line="360" w:lineRule="auto"/>
        <w:jc w:val="both"/>
        <w:rPr>
          <w:rFonts w:ascii="Book Antiqua" w:hAnsi="Book Antiqua"/>
        </w:rPr>
      </w:pPr>
    </w:p>
    <w:p w14:paraId="2CC139B2"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aps/>
          <w:color w:val="000000"/>
          <w:u w:val="single"/>
        </w:rPr>
        <w:t>MATERIALS AND METHODS</w:t>
      </w:r>
    </w:p>
    <w:p w14:paraId="0BCF2A6C" w14:textId="32AD605B"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 xml:space="preserve">This study was a prospective multicenter cohort study conducted in two centers in the Netherlands, the Xpert </w:t>
      </w:r>
      <w:r w:rsidR="00B21D67">
        <w:rPr>
          <w:rFonts w:ascii="Book Antiqua" w:eastAsia="Book Antiqua" w:hAnsi="Book Antiqua" w:cs="Book Antiqua"/>
          <w:color w:val="000000"/>
        </w:rPr>
        <w:t>C</w:t>
      </w:r>
      <w:r w:rsidRPr="00AD5289">
        <w:rPr>
          <w:rFonts w:ascii="Book Antiqua" w:eastAsia="Book Antiqua" w:hAnsi="Book Antiqua" w:cs="Book Antiqua"/>
          <w:color w:val="000000"/>
        </w:rPr>
        <w:t>linics Orthopedie Amsterdam and VieCuri Medisch Centrum Venlo. This study was submitted and approved by the medical ethics research committee of Amsterdam UMC, location AMC Amsterdam (NL47055.048.13). Patients scheduled for THA between January 2014 and December 2021 were asked to participate. All patients suffered from primary or secondary osteoarthritis, which included coxarthrosis, dysplastic coxarthrosis, rheumatoid arthritis, necrosis of the head of the femur</w:t>
      </w:r>
      <w:r w:rsidR="00B21D67">
        <w:rPr>
          <w:rFonts w:ascii="Book Antiqua" w:eastAsia="Book Antiqua" w:hAnsi="Book Antiqua" w:cs="Book Antiqua"/>
          <w:color w:val="000000"/>
        </w:rPr>
        <w:t>,</w:t>
      </w:r>
      <w:r w:rsidRPr="00AD5289">
        <w:rPr>
          <w:rFonts w:ascii="Book Antiqua" w:eastAsia="Book Antiqua" w:hAnsi="Book Antiqua" w:cs="Book Antiqua"/>
          <w:color w:val="000000"/>
        </w:rPr>
        <w:t xml:space="preserve"> or post</w:t>
      </w:r>
      <w:r w:rsidR="00B21D67">
        <w:rPr>
          <w:rFonts w:ascii="Book Antiqua" w:eastAsia="Book Antiqua" w:hAnsi="Book Antiqua" w:cs="Book Antiqua"/>
          <w:color w:val="000000"/>
        </w:rPr>
        <w:t>-</w:t>
      </w:r>
      <w:r w:rsidRPr="00AD5289">
        <w:rPr>
          <w:rFonts w:ascii="Book Antiqua" w:eastAsia="Book Antiqua" w:hAnsi="Book Antiqua" w:cs="Book Antiqua"/>
          <w:color w:val="000000"/>
        </w:rPr>
        <w:t>traumatic coxarthrosis. Patients were excluded in cases of revision surgery, an American Society of Anesthesiologists score &gt;</w:t>
      </w:r>
      <w:r w:rsidR="00631A3A" w:rsidRPr="00AD5289">
        <w:rPr>
          <w:rFonts w:ascii="Book Antiqua" w:eastAsia="Book Antiqua" w:hAnsi="Book Antiqua" w:cs="Book Antiqua"/>
          <w:color w:val="000000"/>
        </w:rPr>
        <w:t xml:space="preserve"> </w:t>
      </w:r>
      <w:r w:rsidRPr="00AD5289">
        <w:rPr>
          <w:rFonts w:ascii="Book Antiqua" w:eastAsia="Book Antiqua" w:hAnsi="Book Antiqua" w:cs="Book Antiqua"/>
          <w:color w:val="000000"/>
        </w:rPr>
        <w:t>3, sepsis</w:t>
      </w:r>
      <w:r w:rsidR="00B21D67">
        <w:rPr>
          <w:rFonts w:ascii="Book Antiqua" w:eastAsia="Book Antiqua" w:hAnsi="Book Antiqua" w:cs="Book Antiqua"/>
          <w:color w:val="000000"/>
        </w:rPr>
        <w:t>,</w:t>
      </w:r>
      <w:r w:rsidRPr="00AD5289">
        <w:rPr>
          <w:rFonts w:ascii="Book Antiqua" w:eastAsia="Book Antiqua" w:hAnsi="Book Antiqua" w:cs="Book Antiqua"/>
          <w:color w:val="000000"/>
        </w:rPr>
        <w:t xml:space="preserve"> or malignant tumors. After confirmation of participation, all patients gave informed consent before they were included in this study.</w:t>
      </w:r>
    </w:p>
    <w:p w14:paraId="259B3306" w14:textId="4D3689B7"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Patients returned for a clin</w:t>
      </w:r>
      <w:r w:rsidR="00BD74D8" w:rsidRPr="00AD5289">
        <w:rPr>
          <w:rFonts w:ascii="Book Antiqua" w:eastAsia="Book Antiqua" w:hAnsi="Book Antiqua" w:cs="Book Antiqua"/>
          <w:color w:val="000000"/>
        </w:rPr>
        <w:t>ical follow-up at 6 wk, 3 mo</w:t>
      </w:r>
      <w:r w:rsidR="00B21D67">
        <w:rPr>
          <w:rFonts w:ascii="Book Antiqua" w:eastAsia="Book Antiqua" w:hAnsi="Book Antiqua" w:cs="Book Antiqua"/>
          <w:color w:val="000000"/>
        </w:rPr>
        <w:t>,</w:t>
      </w:r>
      <w:r w:rsidRPr="00AD5289">
        <w:rPr>
          <w:rFonts w:ascii="Book Antiqua" w:eastAsia="Book Antiqua" w:hAnsi="Book Antiqua" w:cs="Book Antiqua"/>
          <w:color w:val="000000"/>
        </w:rPr>
        <w:t xml:space="preserve"> and 1 year post surgery. Hereafter, revision status was verified using patient files and the LROI. Prior to the</w:t>
      </w:r>
      <w:r w:rsidR="00EE5318" w:rsidRPr="00AD5289">
        <w:rPr>
          <w:rFonts w:ascii="Book Antiqua" w:eastAsia="Book Antiqua" w:hAnsi="Book Antiqua" w:cs="Book Antiqua"/>
          <w:color w:val="000000"/>
        </w:rPr>
        <w:t xml:space="preserve"> operation, at 6 wk, 3 mo, 6 mo</w:t>
      </w:r>
      <w:r w:rsidRPr="00AD5289">
        <w:rPr>
          <w:rFonts w:ascii="Book Antiqua" w:eastAsia="Book Antiqua" w:hAnsi="Book Antiqua" w:cs="Book Antiqua"/>
          <w:color w:val="000000"/>
        </w:rPr>
        <w:t>, 1 year, and 2 years post</w:t>
      </w:r>
      <w:r w:rsidR="00B21D67">
        <w:rPr>
          <w:rFonts w:ascii="Book Antiqua" w:eastAsia="Book Antiqua" w:hAnsi="Book Antiqua" w:cs="Book Antiqua"/>
          <w:color w:val="000000"/>
        </w:rPr>
        <w:t>-</w:t>
      </w:r>
      <w:r w:rsidRPr="00AD5289">
        <w:rPr>
          <w:rFonts w:ascii="Book Antiqua" w:eastAsia="Book Antiqua" w:hAnsi="Book Antiqua" w:cs="Book Antiqua"/>
          <w:color w:val="000000"/>
        </w:rPr>
        <w:t>surgery, patients were asked to fill out a questionnaire.</w:t>
      </w:r>
    </w:p>
    <w:p w14:paraId="4E013316" w14:textId="77777777" w:rsidR="00A77B3E" w:rsidRPr="00AD5289" w:rsidRDefault="00A77B3E" w:rsidP="00AD5289">
      <w:pPr>
        <w:spacing w:line="360" w:lineRule="auto"/>
        <w:jc w:val="both"/>
        <w:rPr>
          <w:rFonts w:ascii="Book Antiqua" w:hAnsi="Book Antiqua"/>
        </w:rPr>
      </w:pPr>
    </w:p>
    <w:p w14:paraId="1F11BEE4" w14:textId="77777777" w:rsidR="00A77B3E" w:rsidRPr="00AD5289" w:rsidRDefault="00B13A0C" w:rsidP="00AD5289">
      <w:pPr>
        <w:spacing w:line="360" w:lineRule="auto"/>
        <w:jc w:val="both"/>
        <w:rPr>
          <w:rFonts w:ascii="Book Antiqua" w:hAnsi="Book Antiqua"/>
          <w:b/>
        </w:rPr>
      </w:pPr>
      <w:r w:rsidRPr="00AD5289">
        <w:rPr>
          <w:rFonts w:ascii="Book Antiqua" w:eastAsia="Book Antiqua" w:hAnsi="Book Antiqua" w:cs="Book Antiqua"/>
          <w:b/>
          <w:i/>
          <w:iCs/>
          <w:color w:val="000000"/>
        </w:rPr>
        <w:t>Surgery</w:t>
      </w:r>
    </w:p>
    <w:p w14:paraId="338330C3" w14:textId="0F8A9E24"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 xml:space="preserve">All patients received the Optimys short stem (Mathys Ltd, Bettlach, Switzerland). The Optimys stem is a calcar-guided short stem with a curved design. It is made of Ti6Al4V (titanium-aluminum-vanadium), according to ISO 5832-3, with a titan plasma spray and </w:t>
      </w:r>
      <w:r w:rsidRPr="00AD5289">
        <w:rPr>
          <w:rFonts w:ascii="Book Antiqua" w:eastAsia="Book Antiqua" w:hAnsi="Book Antiqua" w:cs="Book Antiqua"/>
          <w:color w:val="000000"/>
        </w:rPr>
        <w:lastRenderedPageBreak/>
        <w:t xml:space="preserve">calcium phosphate coating for better ingrowth of the stem into the bone. The approach during </w:t>
      </w:r>
      <w:r w:rsidR="00B21D67">
        <w:rPr>
          <w:rFonts w:ascii="Book Antiqua" w:eastAsia="Book Antiqua" w:hAnsi="Book Antiqua" w:cs="Book Antiqua"/>
          <w:color w:val="000000"/>
        </w:rPr>
        <w:t>THA</w:t>
      </w:r>
      <w:r w:rsidRPr="00AD5289">
        <w:rPr>
          <w:rFonts w:ascii="Book Antiqua" w:eastAsia="Book Antiqua" w:hAnsi="Book Antiqua" w:cs="Book Antiqua"/>
          <w:color w:val="000000"/>
        </w:rPr>
        <w:t xml:space="preserve"> was left to the surgeon’s preference (anterior, anterolateral, or straight lateral).</w:t>
      </w:r>
      <w:r w:rsidR="00482632" w:rsidRPr="00AD5289">
        <w:rPr>
          <w:rFonts w:ascii="Book Antiqua" w:hAnsi="Book Antiqua"/>
          <w:lang w:eastAsia="zh-CN"/>
        </w:rPr>
        <w:t xml:space="preserve"> </w:t>
      </w:r>
      <w:r w:rsidRPr="00AD5289">
        <w:rPr>
          <w:rFonts w:ascii="Book Antiqua" w:eastAsia="Book Antiqua" w:hAnsi="Book Antiqua" w:cs="Book Antiqua"/>
          <w:color w:val="000000"/>
        </w:rPr>
        <w:t xml:space="preserve">The day of the surgery or </w:t>
      </w:r>
      <w:r w:rsidR="00525EA6">
        <w:rPr>
          <w:rFonts w:ascii="Book Antiqua" w:eastAsia="Book Antiqua" w:hAnsi="Book Antiqua" w:cs="Book Antiqua"/>
          <w:color w:val="000000"/>
        </w:rPr>
        <w:t>1 d</w:t>
      </w:r>
      <w:r w:rsidRPr="00AD5289">
        <w:rPr>
          <w:rFonts w:ascii="Book Antiqua" w:eastAsia="Book Antiqua" w:hAnsi="Book Antiqua" w:cs="Book Antiqua"/>
          <w:color w:val="000000"/>
        </w:rPr>
        <w:t xml:space="preserve"> postoperative, patients were mobilized using two crutches and were allowed full weight bearing</w:t>
      </w:r>
      <w:r w:rsidR="00CC0109" w:rsidRPr="00AD5289">
        <w:rPr>
          <w:rFonts w:ascii="Book Antiqua" w:eastAsia="Book Antiqua" w:hAnsi="Book Antiqua" w:cs="Book Antiqua"/>
          <w:color w:val="000000"/>
        </w:rPr>
        <w:t xml:space="preserve"> (Figure 1)</w:t>
      </w:r>
      <w:r w:rsidRPr="00AD5289">
        <w:rPr>
          <w:rFonts w:ascii="Book Antiqua" w:eastAsia="Book Antiqua" w:hAnsi="Book Antiqua" w:cs="Book Antiqua"/>
          <w:color w:val="000000"/>
        </w:rPr>
        <w:t>.</w:t>
      </w:r>
    </w:p>
    <w:p w14:paraId="4AF284A0" w14:textId="77777777" w:rsidR="00A77B3E" w:rsidRPr="00AD5289" w:rsidRDefault="00A77B3E" w:rsidP="00AD5289">
      <w:pPr>
        <w:spacing w:line="360" w:lineRule="auto"/>
        <w:jc w:val="both"/>
        <w:rPr>
          <w:rFonts w:ascii="Book Antiqua" w:hAnsi="Book Antiqua"/>
        </w:rPr>
      </w:pPr>
    </w:p>
    <w:p w14:paraId="54D6DB85" w14:textId="77777777" w:rsidR="00A77B3E" w:rsidRPr="00AD5289" w:rsidRDefault="00B13A0C" w:rsidP="00AD5289">
      <w:pPr>
        <w:spacing w:line="360" w:lineRule="auto"/>
        <w:jc w:val="both"/>
        <w:rPr>
          <w:rFonts w:ascii="Book Antiqua" w:hAnsi="Book Antiqua"/>
          <w:b/>
        </w:rPr>
      </w:pPr>
      <w:r w:rsidRPr="00AD5289">
        <w:rPr>
          <w:rFonts w:ascii="Book Antiqua" w:eastAsia="Book Antiqua" w:hAnsi="Book Antiqua" w:cs="Book Antiqua"/>
          <w:b/>
          <w:i/>
          <w:iCs/>
          <w:color w:val="000000"/>
        </w:rPr>
        <w:t>Outcome measurements</w:t>
      </w:r>
    </w:p>
    <w:p w14:paraId="51B05EA6" w14:textId="53E19050"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 xml:space="preserve">The primary outcome measure was survival of the hip stem, with revision as the endpoint. Revision was defined as a surgical procedure in which all or part of the previous implanted prosthesis was replaced. Reasons for revision were described. The secondary outcome measurements included patient-reported outcome measures (PROMs), which consisted of the Hip Disability and Osteoarthritis Outcomes Score (HOOS), the 36-item Short Form (SF-36), and a 5-point Likert scale for satisfaction (at </w:t>
      </w:r>
      <w:r w:rsidR="00C768FA">
        <w:rPr>
          <w:rFonts w:ascii="Book Antiqua" w:eastAsia="Book Antiqua" w:hAnsi="Book Antiqua" w:cs="Book Antiqua"/>
          <w:color w:val="000000"/>
        </w:rPr>
        <w:t>2</w:t>
      </w:r>
      <w:r w:rsidRPr="00AD5289">
        <w:rPr>
          <w:rFonts w:ascii="Book Antiqua" w:eastAsia="Book Antiqua" w:hAnsi="Book Antiqua" w:cs="Book Antiqua"/>
          <w:color w:val="000000"/>
        </w:rPr>
        <w:t xml:space="preserve"> years post</w:t>
      </w:r>
      <w:r w:rsidR="00C768FA">
        <w:rPr>
          <w:rFonts w:ascii="Book Antiqua" w:eastAsia="Book Antiqua" w:hAnsi="Book Antiqua" w:cs="Book Antiqua"/>
          <w:color w:val="000000"/>
        </w:rPr>
        <w:t>-</w:t>
      </w:r>
      <w:r w:rsidRPr="00AD5289">
        <w:rPr>
          <w:rFonts w:ascii="Book Antiqua" w:eastAsia="Book Antiqua" w:hAnsi="Book Antiqua" w:cs="Book Antiqua"/>
          <w:color w:val="000000"/>
        </w:rPr>
        <w:t>surgery)</w:t>
      </w:r>
      <w:r w:rsidR="00482632" w:rsidRPr="00AD5289">
        <w:rPr>
          <w:rFonts w:ascii="Book Antiqua" w:eastAsia="Book Antiqua" w:hAnsi="Book Antiqua" w:cs="Book Antiqua"/>
          <w:color w:val="000000"/>
          <w:vertAlign w:val="superscript"/>
        </w:rPr>
        <w:t>[13-16]</w:t>
      </w:r>
      <w:r w:rsidRPr="00AD5289">
        <w:rPr>
          <w:rFonts w:ascii="Book Antiqua" w:eastAsia="Book Antiqua" w:hAnsi="Book Antiqua" w:cs="Book Antiqua"/>
          <w:color w:val="000000"/>
        </w:rPr>
        <w:t>.</w:t>
      </w:r>
    </w:p>
    <w:p w14:paraId="762BDE44" w14:textId="77777777" w:rsidR="00A77B3E" w:rsidRPr="00AD5289" w:rsidRDefault="00A77B3E" w:rsidP="00AD5289">
      <w:pPr>
        <w:spacing w:line="360" w:lineRule="auto"/>
        <w:jc w:val="both"/>
        <w:rPr>
          <w:rFonts w:ascii="Book Antiqua" w:hAnsi="Book Antiqua"/>
        </w:rPr>
      </w:pPr>
    </w:p>
    <w:p w14:paraId="0BFAE05A" w14:textId="77777777" w:rsidR="00A77B3E" w:rsidRPr="00AD5289" w:rsidRDefault="00B13A0C" w:rsidP="00AD5289">
      <w:pPr>
        <w:spacing w:line="360" w:lineRule="auto"/>
        <w:jc w:val="both"/>
        <w:rPr>
          <w:rFonts w:ascii="Book Antiqua" w:hAnsi="Book Antiqua"/>
          <w:b/>
        </w:rPr>
      </w:pPr>
      <w:r w:rsidRPr="00AD5289">
        <w:rPr>
          <w:rFonts w:ascii="Book Antiqua" w:eastAsia="Book Antiqua" w:hAnsi="Book Antiqua" w:cs="Book Antiqua"/>
          <w:b/>
          <w:i/>
          <w:iCs/>
          <w:color w:val="000000"/>
        </w:rPr>
        <w:t>Statistical analysis</w:t>
      </w:r>
    </w:p>
    <w:p w14:paraId="14338F21" w14:textId="7571C873"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IBM SPSS Statistics 26 (IBM Corp., Armonk, NY</w:t>
      </w:r>
      <w:r w:rsidR="004C1E07" w:rsidRPr="00AD5289">
        <w:rPr>
          <w:rFonts w:ascii="Book Antiqua" w:eastAsia="Book Antiqua" w:hAnsi="Book Antiqua" w:cs="Book Antiqua"/>
          <w:color w:val="000000"/>
        </w:rPr>
        <w:t xml:space="preserve">, </w:t>
      </w:r>
      <w:r w:rsidR="00EE0C57" w:rsidRPr="00AD5289">
        <w:rPr>
          <w:rFonts w:ascii="Book Antiqua" w:eastAsia="Book Antiqua" w:hAnsi="Book Antiqua" w:cs="Book Antiqua"/>
          <w:color w:val="000000"/>
        </w:rPr>
        <w:t>United States</w:t>
      </w:r>
      <w:r w:rsidRPr="00AD5289">
        <w:rPr>
          <w:rFonts w:ascii="Book Antiqua" w:eastAsia="Book Antiqua" w:hAnsi="Book Antiqua" w:cs="Book Antiqua"/>
          <w:color w:val="000000"/>
        </w:rPr>
        <w:t>) was used for the statistical analysis.</w:t>
      </w:r>
      <w:r w:rsidR="005B7D4E" w:rsidRPr="00AD5289">
        <w:rPr>
          <w:rFonts w:ascii="Book Antiqua" w:hAnsi="Book Antiqua"/>
          <w:lang w:eastAsia="zh-CN"/>
        </w:rPr>
        <w:t xml:space="preserve"> </w:t>
      </w:r>
      <w:r w:rsidRPr="00AD5289">
        <w:rPr>
          <w:rFonts w:ascii="Book Antiqua" w:eastAsia="Book Antiqua" w:hAnsi="Book Antiqua" w:cs="Book Antiqua"/>
          <w:color w:val="000000"/>
        </w:rPr>
        <w:t xml:space="preserve">In the case of a normal distribution, all continuous outcomes were reported as the means and standard deviation (SD). In the case of a skewed distribution, the outcomes </w:t>
      </w:r>
      <w:r w:rsidR="00C768FA">
        <w:rPr>
          <w:rFonts w:ascii="Book Antiqua" w:eastAsia="Book Antiqua" w:hAnsi="Book Antiqua" w:cs="Book Antiqua"/>
          <w:color w:val="000000"/>
        </w:rPr>
        <w:t>we</w:t>
      </w:r>
      <w:r w:rsidRPr="00AD5289">
        <w:rPr>
          <w:rFonts w:ascii="Book Antiqua" w:eastAsia="Book Antiqua" w:hAnsi="Book Antiqua" w:cs="Book Antiqua"/>
          <w:color w:val="000000"/>
        </w:rPr>
        <w:t>re presented as the median and interquartile range. Categorial outcomes are presented as frequencies with accompanying percentages. Kaplan</w:t>
      </w:r>
      <w:r w:rsidRPr="00AD5289">
        <w:rPr>
          <w:rFonts w:eastAsia="Book Antiqua"/>
          <w:color w:val="000000"/>
        </w:rPr>
        <w:t>‒</w:t>
      </w:r>
      <w:r w:rsidRPr="00AD5289">
        <w:rPr>
          <w:rFonts w:ascii="Book Antiqua" w:eastAsia="Book Antiqua" w:hAnsi="Book Antiqua" w:cs="Book Antiqua"/>
          <w:color w:val="000000"/>
        </w:rPr>
        <w:t>Meier analysis was used to calculate the 5-year survival rate by censoring patients at death or at the end of the observation period before 5 years. Log-minus-log transformation was performed to calculate the 95% confidence interval (95%CI).</w:t>
      </w:r>
    </w:p>
    <w:p w14:paraId="19069193" w14:textId="5BEE129C"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 xml:space="preserve">Second, mixed model analyses were performed to assess the course of the PROMs during the </w:t>
      </w:r>
      <w:r w:rsidR="00525EA6">
        <w:rPr>
          <w:rFonts w:ascii="Book Antiqua" w:eastAsia="Book Antiqua" w:hAnsi="Book Antiqua" w:cs="Book Antiqua"/>
          <w:color w:val="000000"/>
        </w:rPr>
        <w:t>1</w:t>
      </w:r>
      <w:r w:rsidR="00525EA6" w:rsidRPr="00780CD3">
        <w:rPr>
          <w:rFonts w:ascii="Book Antiqua" w:eastAsia="Book Antiqua" w:hAnsi="Book Antiqua" w:cs="Book Antiqua"/>
          <w:color w:val="000000"/>
          <w:vertAlign w:val="superscript"/>
        </w:rPr>
        <w:t>st</w:t>
      </w:r>
      <w:r w:rsidR="00525EA6">
        <w:rPr>
          <w:rFonts w:ascii="Book Antiqua" w:eastAsia="Book Antiqua" w:hAnsi="Book Antiqua" w:cs="Book Antiqua"/>
          <w:color w:val="000000"/>
        </w:rPr>
        <w:t xml:space="preserve"> </w:t>
      </w:r>
      <w:r w:rsidR="00C768FA">
        <w:rPr>
          <w:rFonts w:ascii="Book Antiqua" w:eastAsia="Book Antiqua" w:hAnsi="Book Antiqua" w:cs="Book Antiqua"/>
          <w:color w:val="000000"/>
        </w:rPr>
        <w:t>2</w:t>
      </w:r>
      <w:r w:rsidRPr="00AD5289">
        <w:rPr>
          <w:rFonts w:ascii="Book Antiqua" w:eastAsia="Book Antiqua" w:hAnsi="Book Antiqua" w:cs="Book Antiqua"/>
          <w:color w:val="000000"/>
        </w:rPr>
        <w:t xml:space="preserve"> years after surgery. Analyses were modeled separately for the </w:t>
      </w:r>
      <w:r w:rsidR="00525EA6">
        <w:rPr>
          <w:rFonts w:ascii="Book Antiqua" w:eastAsia="Book Antiqua" w:hAnsi="Book Antiqua" w:cs="Book Antiqua"/>
          <w:color w:val="000000"/>
        </w:rPr>
        <w:t>1</w:t>
      </w:r>
      <w:r w:rsidR="00525EA6" w:rsidRPr="00780CD3">
        <w:rPr>
          <w:rFonts w:ascii="Book Antiqua" w:eastAsia="Book Antiqua" w:hAnsi="Book Antiqua" w:cs="Book Antiqua"/>
          <w:color w:val="000000"/>
          <w:vertAlign w:val="superscript"/>
        </w:rPr>
        <w:t>st</w:t>
      </w:r>
      <w:r w:rsidR="00525EA6">
        <w:rPr>
          <w:rFonts w:ascii="Book Antiqua" w:eastAsia="Book Antiqua" w:hAnsi="Book Antiqua" w:cs="Book Antiqua"/>
          <w:color w:val="000000"/>
        </w:rPr>
        <w:t xml:space="preserve"> </w:t>
      </w:r>
      <w:r w:rsidRPr="00AD5289">
        <w:rPr>
          <w:rFonts w:ascii="Book Antiqua" w:eastAsia="Book Antiqua" w:hAnsi="Book Antiqua" w:cs="Book Antiqua"/>
          <w:color w:val="000000"/>
        </w:rPr>
        <w:t xml:space="preserve">and </w:t>
      </w:r>
      <w:r w:rsidR="00525EA6">
        <w:rPr>
          <w:rFonts w:ascii="Book Antiqua" w:eastAsia="Book Antiqua" w:hAnsi="Book Antiqua" w:cs="Book Antiqua"/>
          <w:color w:val="000000"/>
        </w:rPr>
        <w:t>2</w:t>
      </w:r>
      <w:r w:rsidR="00525EA6" w:rsidRPr="00780CD3">
        <w:rPr>
          <w:rFonts w:ascii="Book Antiqua" w:eastAsia="Book Antiqua" w:hAnsi="Book Antiqua" w:cs="Book Antiqua"/>
          <w:color w:val="000000"/>
          <w:vertAlign w:val="superscript"/>
        </w:rPr>
        <w:t>nd</w:t>
      </w:r>
      <w:r w:rsidR="00525EA6">
        <w:rPr>
          <w:rFonts w:ascii="Book Antiqua" w:eastAsia="Book Antiqua" w:hAnsi="Book Antiqua" w:cs="Book Antiqua"/>
          <w:color w:val="000000"/>
        </w:rPr>
        <w:t xml:space="preserve"> </w:t>
      </w:r>
      <w:r w:rsidRPr="00AD5289">
        <w:rPr>
          <w:rFonts w:ascii="Book Antiqua" w:eastAsia="Book Antiqua" w:hAnsi="Book Antiqua" w:cs="Book Antiqua"/>
          <w:color w:val="000000"/>
        </w:rPr>
        <w:t xml:space="preserve">years to calculate the yearly change in PROMs during both follow-up periods with accompanying 95%CIs. A </w:t>
      </w:r>
      <w:r w:rsidR="00E32062" w:rsidRPr="00AD5289">
        <w:rPr>
          <w:rFonts w:ascii="Book Antiqua" w:eastAsia="Book Antiqua" w:hAnsi="Book Antiqua" w:cs="Book Antiqua"/>
          <w:i/>
          <w:color w:val="000000"/>
        </w:rPr>
        <w:t>P</w:t>
      </w:r>
      <w:r w:rsidRPr="00AD5289">
        <w:rPr>
          <w:rFonts w:ascii="Book Antiqua" w:eastAsia="Book Antiqua" w:hAnsi="Book Antiqua" w:cs="Book Antiqua"/>
          <w:color w:val="000000"/>
        </w:rPr>
        <w:t xml:space="preserve"> value of &lt; 0.05 was considered statistically significant for all analyses. As PROM analyses were secondary, no correction for multiple testing was performed. Due to considerable loss of patients filling out PROMs during follow-up, a </w:t>
      </w:r>
      <w:r w:rsidRPr="00AD5289">
        <w:rPr>
          <w:rFonts w:ascii="Book Antiqua" w:eastAsia="Book Antiqua" w:hAnsi="Book Antiqua" w:cs="Book Antiqua"/>
          <w:color w:val="000000"/>
        </w:rPr>
        <w:lastRenderedPageBreak/>
        <w:t>sensitivity analysis was performed according to a last observation carried forward protocol to avoid overestimation of the effect.</w:t>
      </w:r>
    </w:p>
    <w:p w14:paraId="2C0B6ACD" w14:textId="77777777" w:rsidR="00A77B3E" w:rsidRPr="00AD5289" w:rsidRDefault="00A77B3E" w:rsidP="00AD5289">
      <w:pPr>
        <w:spacing w:line="360" w:lineRule="auto"/>
        <w:jc w:val="both"/>
        <w:rPr>
          <w:rFonts w:ascii="Book Antiqua" w:hAnsi="Book Antiqua"/>
        </w:rPr>
      </w:pPr>
    </w:p>
    <w:p w14:paraId="4D0D0F5E"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aps/>
          <w:color w:val="000000"/>
          <w:u w:val="single"/>
        </w:rPr>
        <w:t>RESULTS</w:t>
      </w:r>
    </w:p>
    <w:p w14:paraId="09135B46" w14:textId="77777777" w:rsidR="00A77B3E" w:rsidRPr="00AD5289" w:rsidRDefault="00B13A0C" w:rsidP="00AD5289">
      <w:pPr>
        <w:spacing w:line="360" w:lineRule="auto"/>
        <w:jc w:val="both"/>
        <w:rPr>
          <w:rFonts w:ascii="Book Antiqua" w:hAnsi="Book Antiqua"/>
          <w:b/>
        </w:rPr>
      </w:pPr>
      <w:r w:rsidRPr="00AD5289">
        <w:rPr>
          <w:rFonts w:ascii="Book Antiqua" w:eastAsia="Book Antiqua" w:hAnsi="Book Antiqua" w:cs="Book Antiqua"/>
          <w:b/>
          <w:i/>
          <w:iCs/>
          <w:color w:val="000000"/>
        </w:rPr>
        <w:t>Patient characteristics</w:t>
      </w:r>
    </w:p>
    <w:p w14:paraId="46A142E7" w14:textId="3E21FAF6"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A total of 500 consecutive patients were included in this study, of whom 202 (40%) were male. The mean age was 62.3 years (SD</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10.6), and the mean </w:t>
      </w:r>
      <w:r w:rsidR="00BA0085" w:rsidRPr="00AD5289">
        <w:rPr>
          <w:rFonts w:ascii="Book Antiqua" w:eastAsia="Book Antiqua" w:hAnsi="Book Antiqua" w:cs="Book Antiqua"/>
        </w:rPr>
        <w:t>body mass index</w:t>
      </w:r>
      <w:r w:rsidRPr="00AD5289">
        <w:rPr>
          <w:rFonts w:ascii="Book Antiqua" w:eastAsia="Book Antiqua" w:hAnsi="Book Antiqua" w:cs="Book Antiqua"/>
          <w:color w:val="000000"/>
        </w:rPr>
        <w:t xml:space="preserve"> was 26.5 kg/m</w:t>
      </w:r>
      <w:r w:rsidRPr="00AD5289">
        <w:rPr>
          <w:rFonts w:ascii="Book Antiqua" w:eastAsia="Book Antiqua" w:hAnsi="Book Antiqua" w:cs="Book Antiqua"/>
          <w:color w:val="000000"/>
          <w:vertAlign w:val="superscript"/>
        </w:rPr>
        <w:t>2</w:t>
      </w:r>
      <w:r w:rsidRPr="00AD5289">
        <w:rPr>
          <w:rFonts w:ascii="Book Antiqua" w:eastAsia="Book Antiqua" w:hAnsi="Book Antiqua" w:cs="Book Antiqua"/>
          <w:color w:val="000000"/>
        </w:rPr>
        <w:t xml:space="preserve"> (SD</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4.1) (</w:t>
      </w:r>
      <w:r w:rsidR="00C82BE1" w:rsidRPr="00AD5289">
        <w:rPr>
          <w:rFonts w:ascii="Book Antiqua" w:eastAsia="Book Antiqua" w:hAnsi="Book Antiqua" w:cs="Book Antiqua"/>
          <w:color w:val="000000"/>
        </w:rPr>
        <w:t xml:space="preserve">Table </w:t>
      </w:r>
      <w:r w:rsidRPr="00AD5289">
        <w:rPr>
          <w:rFonts w:ascii="Book Antiqua" w:eastAsia="Book Antiqua" w:hAnsi="Book Antiqua" w:cs="Book Antiqua"/>
          <w:color w:val="000000"/>
        </w:rPr>
        <w:t>1)</w:t>
      </w:r>
      <w:r w:rsidRPr="00AD5289">
        <w:rPr>
          <w:rFonts w:ascii="Book Antiqua" w:eastAsia="Book Antiqua" w:hAnsi="Book Antiqua" w:cs="Book Antiqua"/>
          <w:i/>
          <w:iCs/>
          <w:color w:val="000000"/>
        </w:rPr>
        <w:t>.</w:t>
      </w:r>
    </w:p>
    <w:p w14:paraId="339073C8" w14:textId="77777777" w:rsidR="00A77B3E" w:rsidRPr="00AD5289" w:rsidRDefault="00A77B3E" w:rsidP="00AD5289">
      <w:pPr>
        <w:spacing w:line="360" w:lineRule="auto"/>
        <w:jc w:val="both"/>
        <w:rPr>
          <w:rFonts w:ascii="Book Antiqua" w:hAnsi="Book Antiqua"/>
        </w:rPr>
      </w:pPr>
    </w:p>
    <w:p w14:paraId="47B68DA8" w14:textId="77777777" w:rsidR="00A77B3E" w:rsidRPr="00AD5289" w:rsidRDefault="00B13A0C" w:rsidP="00AD5289">
      <w:pPr>
        <w:spacing w:line="360" w:lineRule="auto"/>
        <w:jc w:val="both"/>
        <w:rPr>
          <w:rFonts w:ascii="Book Antiqua" w:hAnsi="Book Antiqua"/>
          <w:b/>
        </w:rPr>
      </w:pPr>
      <w:r w:rsidRPr="00AD5289">
        <w:rPr>
          <w:rFonts w:ascii="Book Antiqua" w:eastAsia="Book Antiqua" w:hAnsi="Book Antiqua" w:cs="Book Antiqua"/>
          <w:b/>
          <w:i/>
          <w:iCs/>
          <w:color w:val="000000"/>
        </w:rPr>
        <w:t>Survival</w:t>
      </w:r>
    </w:p>
    <w:p w14:paraId="4165433E" w14:textId="3B8DC8BE"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At a median follow-up of 5.5 years (</w:t>
      </w:r>
      <w:r w:rsidR="00C768FA" w:rsidRPr="00AD5289">
        <w:rPr>
          <w:rFonts w:ascii="Book Antiqua" w:eastAsia="Book Antiqua" w:hAnsi="Book Antiqua" w:cs="Book Antiqua"/>
          <w:color w:val="000000"/>
        </w:rPr>
        <w:t>interquartile range</w:t>
      </w:r>
      <w:r w:rsidR="00C768FA">
        <w:rPr>
          <w:rFonts w:ascii="Book Antiqua" w:eastAsia="Book Antiqua" w:hAnsi="Book Antiqua" w:cs="Book Antiqua"/>
          <w:color w:val="000000"/>
        </w:rPr>
        <w:t>:</w:t>
      </w:r>
      <w:r w:rsidR="00C768FA" w:rsidRPr="00AD5289" w:rsidDel="00C768FA">
        <w:rPr>
          <w:rFonts w:ascii="Book Antiqua" w:eastAsia="Book Antiqua" w:hAnsi="Book Antiqua" w:cs="Book Antiqua"/>
          <w:color w:val="000000"/>
        </w:rPr>
        <w:t xml:space="preserve"> </w:t>
      </w:r>
      <w:r w:rsidRPr="00AD5289">
        <w:rPr>
          <w:rFonts w:ascii="Book Antiqua" w:eastAsia="Book Antiqua" w:hAnsi="Book Antiqua" w:cs="Book Antiqua"/>
          <w:color w:val="000000"/>
        </w:rPr>
        <w:t>4.5</w:t>
      </w:r>
      <w:r w:rsidR="00C768FA">
        <w:rPr>
          <w:rFonts w:ascii="Book Antiqua" w:eastAsia="Book Antiqua" w:hAnsi="Book Antiqua" w:cs="Book Antiqua"/>
          <w:color w:val="000000"/>
        </w:rPr>
        <w:t>-</w:t>
      </w:r>
      <w:r w:rsidRPr="00AD5289">
        <w:rPr>
          <w:rFonts w:ascii="Book Antiqua" w:eastAsia="Book Antiqua" w:hAnsi="Book Antiqua" w:cs="Book Antiqua"/>
          <w:color w:val="000000"/>
        </w:rPr>
        <w:t>6.7), 7 patients were deceased with their prosthesis in situ, and 6 revisions were registered. Infection was the reason for revision in 3 patients, and they were initially treated with debridement, antibiotics</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and implant retention. In 1 patient, the </w:t>
      </w:r>
      <w:r w:rsidR="00AD5289" w:rsidRPr="00AD5289">
        <w:rPr>
          <w:rFonts w:ascii="Book Antiqua" w:eastAsia="Book Antiqua" w:hAnsi="Book Antiqua" w:cs="Book Antiqua"/>
        </w:rPr>
        <w:t>debridement, antibiotics</w:t>
      </w:r>
      <w:r w:rsidR="00AD5289">
        <w:rPr>
          <w:rFonts w:ascii="Book Antiqua" w:eastAsia="Book Antiqua" w:hAnsi="Book Antiqua" w:cs="Book Antiqua"/>
        </w:rPr>
        <w:t>,</w:t>
      </w:r>
      <w:r w:rsidR="00AD5289" w:rsidRPr="00AD5289">
        <w:rPr>
          <w:rFonts w:ascii="Book Antiqua" w:eastAsia="Book Antiqua" w:hAnsi="Book Antiqua" w:cs="Book Antiqua"/>
        </w:rPr>
        <w:t xml:space="preserve"> and implant retention</w:t>
      </w:r>
      <w:r w:rsidRPr="00AD5289">
        <w:rPr>
          <w:rFonts w:ascii="Book Antiqua" w:eastAsia="Book Antiqua" w:hAnsi="Book Antiqua" w:cs="Book Antiqua"/>
          <w:color w:val="000000"/>
        </w:rPr>
        <w:t xml:space="preserve"> failed, and a two-stage revision was needed. Furthermore, 2 patients were revised due to subsidence of the stem (due to an undersized stem but with good fixation), and 1 patient was revised because of malposition of the stem. This resulted in an overall 5-year survival of 98.8% (95%CI</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97.3</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99.5) in the study population (</w:t>
      </w:r>
      <w:r w:rsidR="00FB5456" w:rsidRPr="00AD5289">
        <w:rPr>
          <w:rFonts w:ascii="Book Antiqua" w:eastAsia="Book Antiqua" w:hAnsi="Book Antiqua" w:cs="Book Antiqua"/>
          <w:color w:val="000000"/>
        </w:rPr>
        <w:t xml:space="preserve">Figure </w:t>
      </w:r>
      <w:r w:rsidRPr="00AD5289">
        <w:rPr>
          <w:rFonts w:ascii="Book Antiqua" w:eastAsia="Book Antiqua" w:hAnsi="Book Antiqua" w:cs="Book Antiqua"/>
          <w:color w:val="000000"/>
        </w:rPr>
        <w:t>2)</w:t>
      </w:r>
      <w:r w:rsidRPr="00AD5289">
        <w:rPr>
          <w:rFonts w:ascii="Book Antiqua" w:eastAsia="Book Antiqua" w:hAnsi="Book Antiqua" w:cs="Book Antiqua"/>
          <w:i/>
          <w:iCs/>
          <w:color w:val="000000"/>
        </w:rPr>
        <w:t>.</w:t>
      </w:r>
      <w:r w:rsidRPr="00AD5289">
        <w:rPr>
          <w:rFonts w:ascii="Book Antiqua" w:eastAsia="Book Antiqua" w:hAnsi="Book Antiqua" w:cs="Book Antiqua"/>
          <w:color w:val="000000"/>
        </w:rPr>
        <w:t xml:space="preserve"> If infection was left out as the reason for revision, a stem survival of 99.4% (95%CI</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98.1</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99.8) was seen, with no cases of aseptic loosening.</w:t>
      </w:r>
    </w:p>
    <w:p w14:paraId="64D179DD" w14:textId="77777777" w:rsidR="00A77B3E" w:rsidRPr="00AD5289" w:rsidRDefault="00A77B3E" w:rsidP="00AD5289">
      <w:pPr>
        <w:spacing w:line="360" w:lineRule="auto"/>
        <w:jc w:val="both"/>
        <w:rPr>
          <w:rFonts w:ascii="Book Antiqua" w:hAnsi="Book Antiqua"/>
        </w:rPr>
      </w:pPr>
    </w:p>
    <w:p w14:paraId="533CF30B" w14:textId="77777777" w:rsidR="00A77B3E" w:rsidRPr="00AD5289" w:rsidRDefault="00B13A0C" w:rsidP="00AD5289">
      <w:pPr>
        <w:spacing w:line="360" w:lineRule="auto"/>
        <w:jc w:val="both"/>
        <w:rPr>
          <w:rFonts w:ascii="Book Antiqua" w:hAnsi="Book Antiqua"/>
          <w:b/>
        </w:rPr>
      </w:pPr>
      <w:r w:rsidRPr="00AD5289">
        <w:rPr>
          <w:rFonts w:ascii="Book Antiqua" w:eastAsia="Book Antiqua" w:hAnsi="Book Antiqua" w:cs="Book Antiqua"/>
          <w:b/>
          <w:i/>
          <w:iCs/>
          <w:color w:val="000000"/>
        </w:rPr>
        <w:t>PROMs</w:t>
      </w:r>
    </w:p>
    <w:p w14:paraId="6444CC14" w14:textId="09F25504"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 xml:space="preserve">Of the 500 included patients, 471 patients (94%) completed the baseline questionnaires, and 317 patients (63%) completed the 1-year follow-up questionnaires. At the 2-year follow-up, this number had decreased to 233 patients (47%) </w:t>
      </w:r>
      <w:r w:rsidRPr="00AD5289">
        <w:rPr>
          <w:rFonts w:ascii="Book Antiqua" w:eastAsia="Book Antiqua" w:hAnsi="Book Antiqua" w:cs="Book Antiqua"/>
          <w:i/>
          <w:iCs/>
          <w:color w:val="000000"/>
        </w:rPr>
        <w:t>(</w:t>
      </w:r>
      <w:r w:rsidR="00DD3C90" w:rsidRPr="00AD5289">
        <w:rPr>
          <w:rFonts w:ascii="Book Antiqua" w:eastAsia="Book Antiqua" w:hAnsi="Book Antiqua" w:cs="Book Antiqua"/>
          <w:color w:val="000000"/>
        </w:rPr>
        <w:t xml:space="preserve">Table </w:t>
      </w:r>
      <w:r w:rsidRPr="00AD5289">
        <w:rPr>
          <w:rFonts w:ascii="Book Antiqua" w:eastAsia="Book Antiqua" w:hAnsi="Book Antiqua" w:cs="Book Antiqua"/>
          <w:color w:val="000000"/>
        </w:rPr>
        <w:t xml:space="preserve">2). The HOOS and SF-36 scores at all follow-up time points are presented in </w:t>
      </w:r>
      <w:r w:rsidR="003F4DD2" w:rsidRPr="00AD5289">
        <w:rPr>
          <w:rFonts w:ascii="Book Antiqua" w:eastAsia="Book Antiqua" w:hAnsi="Book Antiqua" w:cs="Book Antiqua"/>
          <w:color w:val="000000"/>
        </w:rPr>
        <w:t xml:space="preserve">Table </w:t>
      </w:r>
      <w:r w:rsidRPr="00AD5289">
        <w:rPr>
          <w:rFonts w:ascii="Book Antiqua" w:eastAsia="Book Antiqua" w:hAnsi="Book Antiqua" w:cs="Book Antiqua"/>
          <w:color w:val="000000"/>
        </w:rPr>
        <w:t xml:space="preserve">2. Both outcome measures significantly improved across all domains in the </w:t>
      </w:r>
      <w:r w:rsidR="00AD1A93">
        <w:rPr>
          <w:rFonts w:ascii="Book Antiqua" w:eastAsia="Book Antiqua" w:hAnsi="Book Antiqua" w:cs="Book Antiqua"/>
          <w:color w:val="000000"/>
        </w:rPr>
        <w:t>1</w:t>
      </w:r>
      <w:r w:rsidR="00AD1A93" w:rsidRPr="00780CD3">
        <w:rPr>
          <w:rFonts w:ascii="Book Antiqua" w:eastAsia="Book Antiqua" w:hAnsi="Book Antiqua" w:cs="Book Antiqua"/>
          <w:color w:val="000000"/>
          <w:vertAlign w:val="superscript"/>
        </w:rPr>
        <w:t>st</w:t>
      </w:r>
      <w:r w:rsidR="00AD1A93">
        <w:rPr>
          <w:rFonts w:ascii="Book Antiqua" w:eastAsia="Book Antiqua" w:hAnsi="Book Antiqua" w:cs="Book Antiqua"/>
          <w:color w:val="000000"/>
        </w:rPr>
        <w:t xml:space="preserve"> </w:t>
      </w:r>
      <w:r w:rsidRPr="00AD5289">
        <w:rPr>
          <w:rFonts w:ascii="Book Antiqua" w:eastAsia="Book Antiqua" w:hAnsi="Book Antiqua" w:cs="Book Antiqua"/>
          <w:color w:val="000000"/>
        </w:rPr>
        <w:t>year after the operation (</w:t>
      </w:r>
      <w:r w:rsidR="00CE51D6" w:rsidRPr="00AD5289">
        <w:rPr>
          <w:rFonts w:ascii="Book Antiqua" w:eastAsia="Book Antiqua" w:hAnsi="Book Antiqua" w:cs="Book Antiqua"/>
          <w:i/>
          <w:color w:val="000000"/>
        </w:rPr>
        <w:t>P</w:t>
      </w:r>
      <w:r w:rsidR="00CE51D6" w:rsidRPr="00AD5289">
        <w:rPr>
          <w:rFonts w:ascii="Book Antiqua" w:eastAsia="Book Antiqua" w:hAnsi="Book Antiqua" w:cs="Book Antiqua"/>
          <w:color w:val="000000"/>
        </w:rPr>
        <w:t xml:space="preserve"> </w:t>
      </w:r>
      <w:r w:rsidRPr="00AD5289">
        <w:rPr>
          <w:rFonts w:ascii="Book Antiqua" w:eastAsia="Book Antiqua" w:hAnsi="Book Antiqua" w:cs="Book Antiqua"/>
          <w:color w:val="000000"/>
        </w:rPr>
        <w:t>&lt;</w:t>
      </w:r>
      <w:r w:rsidR="00CE51D6" w:rsidRPr="00AD5289">
        <w:rPr>
          <w:rFonts w:ascii="Book Antiqua" w:eastAsia="Book Antiqua" w:hAnsi="Book Antiqua" w:cs="Book Antiqua"/>
          <w:color w:val="000000"/>
        </w:rPr>
        <w:t xml:space="preserve"> </w:t>
      </w:r>
      <w:r w:rsidRPr="00AD5289">
        <w:rPr>
          <w:rFonts w:ascii="Book Antiqua" w:eastAsia="Book Antiqua" w:hAnsi="Book Antiqua" w:cs="Book Antiqua"/>
          <w:color w:val="000000"/>
        </w:rPr>
        <w:t xml:space="preserve">0.03 for all domains). In the </w:t>
      </w:r>
      <w:r w:rsidR="00AD1A93">
        <w:rPr>
          <w:rFonts w:ascii="Book Antiqua" w:eastAsia="Book Antiqua" w:hAnsi="Book Antiqua" w:cs="Book Antiqua"/>
          <w:color w:val="000000"/>
        </w:rPr>
        <w:t>2</w:t>
      </w:r>
      <w:r w:rsidR="00AD1A93" w:rsidRPr="00780CD3">
        <w:rPr>
          <w:rFonts w:ascii="Book Antiqua" w:eastAsia="Book Antiqua" w:hAnsi="Book Antiqua" w:cs="Book Antiqua"/>
          <w:color w:val="000000"/>
          <w:vertAlign w:val="superscript"/>
        </w:rPr>
        <w:t>nd</w:t>
      </w:r>
      <w:r w:rsidR="00AD1A93">
        <w:rPr>
          <w:rFonts w:ascii="Book Antiqua" w:eastAsia="Book Antiqua" w:hAnsi="Book Antiqua" w:cs="Book Antiqua"/>
          <w:color w:val="000000"/>
        </w:rPr>
        <w:t xml:space="preserve"> </w:t>
      </w:r>
      <w:r w:rsidRPr="00AD5289">
        <w:rPr>
          <w:rFonts w:ascii="Book Antiqua" w:eastAsia="Book Antiqua" w:hAnsi="Book Antiqua" w:cs="Book Antiqua"/>
          <w:color w:val="000000"/>
        </w:rPr>
        <w:t>year after surgery, no significant changes were observed in any domain in comparison to the 1-year follow-up (</w:t>
      </w:r>
      <w:r w:rsidR="00A707D4" w:rsidRPr="00AD5289">
        <w:rPr>
          <w:rFonts w:ascii="Book Antiqua" w:eastAsia="Book Antiqua" w:hAnsi="Book Antiqua" w:cs="Book Antiqua"/>
          <w:color w:val="000000"/>
        </w:rPr>
        <w:t xml:space="preserve">Table </w:t>
      </w:r>
      <w:r w:rsidRPr="00AD5289">
        <w:rPr>
          <w:rFonts w:ascii="Book Antiqua" w:eastAsia="Book Antiqua" w:hAnsi="Book Antiqua" w:cs="Book Antiqua"/>
          <w:color w:val="000000"/>
        </w:rPr>
        <w:t>3</w:t>
      </w:r>
      <w:r w:rsidR="00D81477" w:rsidRPr="00AD5289">
        <w:rPr>
          <w:rFonts w:ascii="Book Antiqua" w:eastAsia="Book Antiqua" w:hAnsi="Book Antiqua" w:cs="Book Antiqua"/>
          <w:color w:val="000000"/>
        </w:rPr>
        <w:t xml:space="preserve"> and </w:t>
      </w:r>
      <w:r w:rsidR="00A707D4" w:rsidRPr="00AD5289">
        <w:rPr>
          <w:rFonts w:ascii="Book Antiqua" w:eastAsia="Book Antiqua" w:hAnsi="Book Antiqua" w:cs="Book Antiqua"/>
          <w:color w:val="000000"/>
        </w:rPr>
        <w:t xml:space="preserve">Figure </w:t>
      </w:r>
      <w:r w:rsidRPr="00AD5289">
        <w:rPr>
          <w:rFonts w:ascii="Book Antiqua" w:eastAsia="Book Antiqua" w:hAnsi="Book Antiqua" w:cs="Book Antiqua"/>
          <w:color w:val="000000"/>
        </w:rPr>
        <w:t>3</w:t>
      </w:r>
      <w:r w:rsidRPr="00AD5289">
        <w:rPr>
          <w:rFonts w:ascii="Book Antiqua" w:eastAsia="Book Antiqua" w:hAnsi="Book Antiqua" w:cs="Book Antiqua"/>
          <w:i/>
          <w:iCs/>
          <w:color w:val="000000"/>
        </w:rPr>
        <w:t>)</w:t>
      </w:r>
      <w:r w:rsidRPr="00AD5289">
        <w:rPr>
          <w:rFonts w:ascii="Book Antiqua" w:eastAsia="Book Antiqua" w:hAnsi="Book Antiqua" w:cs="Book Antiqua"/>
          <w:color w:val="000000"/>
        </w:rPr>
        <w:t xml:space="preserve">. Although </w:t>
      </w:r>
      <w:r w:rsidRPr="00AD5289">
        <w:rPr>
          <w:rFonts w:ascii="Book Antiqua" w:eastAsia="Book Antiqua" w:hAnsi="Book Antiqua" w:cs="Book Antiqua"/>
          <w:color w:val="000000"/>
        </w:rPr>
        <w:lastRenderedPageBreak/>
        <w:t xml:space="preserve">sensitivity analysis showed smaller effects during the </w:t>
      </w:r>
      <w:r w:rsidR="00AD1A93">
        <w:rPr>
          <w:rFonts w:ascii="Book Antiqua" w:eastAsia="Book Antiqua" w:hAnsi="Book Antiqua" w:cs="Book Antiqua"/>
          <w:color w:val="000000"/>
        </w:rPr>
        <w:t>1</w:t>
      </w:r>
      <w:r w:rsidR="00AD1A93" w:rsidRPr="00780CD3">
        <w:rPr>
          <w:rFonts w:ascii="Book Antiqua" w:eastAsia="Book Antiqua" w:hAnsi="Book Antiqua" w:cs="Book Antiqua"/>
          <w:color w:val="000000"/>
          <w:vertAlign w:val="superscript"/>
        </w:rPr>
        <w:t>st</w:t>
      </w:r>
      <w:r w:rsidR="00AD1A93">
        <w:rPr>
          <w:rFonts w:ascii="Book Antiqua" w:eastAsia="Book Antiqua" w:hAnsi="Book Antiqua" w:cs="Book Antiqua"/>
          <w:color w:val="000000"/>
        </w:rPr>
        <w:t xml:space="preserve"> </w:t>
      </w:r>
      <w:r w:rsidRPr="00AD5289">
        <w:rPr>
          <w:rFonts w:ascii="Book Antiqua" w:eastAsia="Book Antiqua" w:hAnsi="Book Antiqua" w:cs="Book Antiqua"/>
          <w:color w:val="000000"/>
        </w:rPr>
        <w:t>year, the same comparable effect was observed during the 2-year follow-up (</w:t>
      </w:r>
      <w:r w:rsidR="00403D4E" w:rsidRPr="00AD5289">
        <w:rPr>
          <w:rFonts w:ascii="Book Antiqua" w:eastAsia="Book Antiqua" w:hAnsi="Book Antiqua" w:cs="Book Antiqua"/>
          <w:color w:val="000000"/>
        </w:rPr>
        <w:t xml:space="preserve">Supplementary </w:t>
      </w:r>
      <w:r w:rsidR="00295788" w:rsidRPr="00AD5289">
        <w:rPr>
          <w:rFonts w:ascii="Book Antiqua" w:eastAsia="Book Antiqua" w:hAnsi="Book Antiqua" w:cs="Book Antiqua"/>
          <w:color w:val="000000"/>
        </w:rPr>
        <w:t>Table</w:t>
      </w:r>
      <w:r w:rsidR="00645F29" w:rsidRPr="00AD5289">
        <w:rPr>
          <w:rFonts w:ascii="Book Antiqua" w:eastAsia="Book Antiqua" w:hAnsi="Book Antiqua" w:cs="Book Antiqua"/>
          <w:color w:val="000000"/>
        </w:rPr>
        <w:t>s</w:t>
      </w:r>
      <w:r w:rsidR="00295788" w:rsidRPr="00AD5289">
        <w:rPr>
          <w:rFonts w:ascii="Book Antiqua" w:eastAsia="Book Antiqua" w:hAnsi="Book Antiqua" w:cs="Book Antiqua"/>
          <w:color w:val="000000"/>
        </w:rPr>
        <w:t xml:space="preserve"> </w:t>
      </w:r>
      <w:r w:rsidRPr="00AD5289">
        <w:rPr>
          <w:rFonts w:ascii="Book Antiqua" w:eastAsia="Book Antiqua" w:hAnsi="Book Antiqua" w:cs="Book Antiqua"/>
          <w:color w:val="000000"/>
        </w:rPr>
        <w:t>1</w:t>
      </w:r>
      <w:r w:rsidR="0081518B" w:rsidRPr="00AD5289">
        <w:rPr>
          <w:rFonts w:ascii="Book Antiqua" w:eastAsia="Book Antiqua" w:hAnsi="Book Antiqua" w:cs="Book Antiqua"/>
          <w:color w:val="000000"/>
        </w:rPr>
        <w:t xml:space="preserve"> and</w:t>
      </w:r>
      <w:r w:rsidR="00D32536" w:rsidRPr="00AD5289">
        <w:rPr>
          <w:rFonts w:ascii="Book Antiqua" w:eastAsia="Book Antiqua" w:hAnsi="Book Antiqua" w:cs="Book Antiqua"/>
          <w:color w:val="000000"/>
        </w:rPr>
        <w:t xml:space="preserve"> </w:t>
      </w:r>
      <w:r w:rsidRPr="00AD5289">
        <w:rPr>
          <w:rFonts w:ascii="Book Antiqua" w:eastAsia="Book Antiqua" w:hAnsi="Book Antiqua" w:cs="Book Antiqua"/>
          <w:color w:val="000000"/>
        </w:rPr>
        <w:t>2).</w:t>
      </w:r>
    </w:p>
    <w:p w14:paraId="3E56085D" w14:textId="70170D24"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At the 2-year follow-up, 210 (42%) had completed the satisfaction score</w:t>
      </w:r>
      <w:r w:rsidR="00C768FA">
        <w:rPr>
          <w:rFonts w:ascii="Book Antiqua" w:eastAsia="Book Antiqua" w:hAnsi="Book Antiqua" w:cs="Book Antiqua"/>
          <w:color w:val="000000"/>
        </w:rPr>
        <w:t xml:space="preserve"> with results as follows:</w:t>
      </w:r>
      <w:r w:rsidRPr="00AD5289">
        <w:rPr>
          <w:rFonts w:ascii="Book Antiqua" w:eastAsia="Book Antiqua" w:hAnsi="Book Antiqua" w:cs="Book Antiqua"/>
          <w:color w:val="000000"/>
        </w:rPr>
        <w:t xml:space="preserve"> 132 patients (63%) were very satisfied</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60 patients (29%) were satisfied</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9 patients (4%) were neutral</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7 patients (3%) were unsatisfied</w:t>
      </w:r>
      <w:r w:rsidR="00C768FA">
        <w:rPr>
          <w:rFonts w:ascii="Book Antiqua" w:eastAsia="Book Antiqua" w:hAnsi="Book Antiqua" w:cs="Book Antiqua"/>
          <w:color w:val="000000"/>
        </w:rPr>
        <w:t>;</w:t>
      </w:r>
      <w:r w:rsidRPr="00AD5289">
        <w:rPr>
          <w:rFonts w:ascii="Book Antiqua" w:eastAsia="Book Antiqua" w:hAnsi="Book Antiqua" w:cs="Book Antiqua"/>
          <w:color w:val="000000"/>
        </w:rPr>
        <w:t xml:space="preserve"> and 2 patients (1%) were very unsatisfied with their hip prosthesis.</w:t>
      </w:r>
    </w:p>
    <w:p w14:paraId="058B9D3F" w14:textId="77777777" w:rsidR="00A77B3E" w:rsidRPr="00AD5289" w:rsidRDefault="00A77B3E" w:rsidP="00AD5289">
      <w:pPr>
        <w:spacing w:line="360" w:lineRule="auto"/>
        <w:jc w:val="both"/>
        <w:rPr>
          <w:rFonts w:ascii="Book Antiqua" w:hAnsi="Book Antiqua"/>
        </w:rPr>
      </w:pPr>
    </w:p>
    <w:p w14:paraId="581C3BF9"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aps/>
          <w:color w:val="000000"/>
          <w:u w:val="single"/>
        </w:rPr>
        <w:t>DISCUSSION</w:t>
      </w:r>
    </w:p>
    <w:p w14:paraId="4E35A13D" w14:textId="654883F8"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 xml:space="preserve">This study, which included 500 patients, showed a high survival rate of 98.8% at the 5-year follow-up mark with 6 revisions. The reasons for overall revision were an infection (0.6%) in </w:t>
      </w:r>
      <w:r w:rsidR="00244B89">
        <w:rPr>
          <w:rFonts w:ascii="Book Antiqua" w:eastAsia="Book Antiqua" w:hAnsi="Book Antiqua" w:cs="Book Antiqua"/>
          <w:color w:val="000000"/>
        </w:rPr>
        <w:t>three</w:t>
      </w:r>
      <w:r w:rsidRPr="00AD5289">
        <w:rPr>
          <w:rFonts w:ascii="Book Antiqua" w:eastAsia="Book Antiqua" w:hAnsi="Book Antiqua" w:cs="Book Antiqua"/>
          <w:color w:val="000000"/>
        </w:rPr>
        <w:t xml:space="preserve"> cases, subsidence of the stem (0.4%) in </w:t>
      </w:r>
      <w:r w:rsidR="00244B89">
        <w:rPr>
          <w:rFonts w:ascii="Book Antiqua" w:eastAsia="Book Antiqua" w:hAnsi="Book Antiqua" w:cs="Book Antiqua"/>
          <w:color w:val="000000"/>
        </w:rPr>
        <w:t>two</w:t>
      </w:r>
      <w:r w:rsidRPr="00AD5289">
        <w:rPr>
          <w:rFonts w:ascii="Book Antiqua" w:eastAsia="Book Antiqua" w:hAnsi="Book Antiqua" w:cs="Book Antiqua"/>
          <w:color w:val="000000"/>
        </w:rPr>
        <w:t xml:space="preserve"> cases</w:t>
      </w:r>
      <w:r w:rsidR="00244B89">
        <w:rPr>
          <w:rFonts w:ascii="Book Antiqua" w:eastAsia="Book Antiqua" w:hAnsi="Book Antiqua" w:cs="Book Antiqua"/>
          <w:color w:val="000000"/>
        </w:rPr>
        <w:t>,</w:t>
      </w:r>
      <w:r w:rsidRPr="00AD5289">
        <w:rPr>
          <w:rFonts w:ascii="Book Antiqua" w:eastAsia="Book Antiqua" w:hAnsi="Book Antiqua" w:cs="Book Antiqua"/>
          <w:color w:val="000000"/>
        </w:rPr>
        <w:t xml:space="preserve"> and malposition of the stem (0.2%) in one case. During the revision surgery in the two cases with subsidence, it was noted that the femoral stem had good fixation in the femur, confirming that the stem was undersized during the primary placement and was now settled with bone growth around the stem for fixation. If infection as a reason for revision was left out, a survival of 99.4% of the Optimys stem was seen. No aseptic loosening was observed in this cohort.</w:t>
      </w:r>
    </w:p>
    <w:p w14:paraId="54F2DDF4" w14:textId="503AD9C7"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 xml:space="preserve">Furthermore, a significant increase in the PROMs at the </w:t>
      </w:r>
      <w:r w:rsidR="00AD1A93">
        <w:rPr>
          <w:rFonts w:ascii="Book Antiqua" w:eastAsia="Book Antiqua" w:hAnsi="Book Antiqua" w:cs="Book Antiqua"/>
          <w:color w:val="000000"/>
        </w:rPr>
        <w:t>1</w:t>
      </w:r>
      <w:r w:rsidR="00AD1A93" w:rsidRPr="00780CD3">
        <w:rPr>
          <w:rFonts w:ascii="Book Antiqua" w:eastAsia="Book Antiqua" w:hAnsi="Book Antiqua" w:cs="Book Antiqua"/>
          <w:color w:val="000000"/>
          <w:vertAlign w:val="superscript"/>
        </w:rPr>
        <w:t>st</w:t>
      </w:r>
      <w:r w:rsidR="00AD1A93">
        <w:rPr>
          <w:rFonts w:ascii="Book Antiqua" w:eastAsia="Book Antiqua" w:hAnsi="Book Antiqua" w:cs="Book Antiqua"/>
          <w:color w:val="000000"/>
        </w:rPr>
        <w:t xml:space="preserve"> </w:t>
      </w:r>
      <w:r w:rsidRPr="00AD5289">
        <w:rPr>
          <w:rFonts w:ascii="Book Antiqua" w:eastAsia="Book Antiqua" w:hAnsi="Book Antiqua" w:cs="Book Antiqua"/>
          <w:color w:val="000000"/>
        </w:rPr>
        <w:t xml:space="preserve">year of follow-up was observed. The HOOS scores increased by 34.8 to 43.3 points, and the SF-36 scores increased by 2.4 to 54.5 points across all subscales. After the </w:t>
      </w:r>
      <w:r w:rsidR="00AD1A93">
        <w:rPr>
          <w:rFonts w:ascii="Book Antiqua" w:eastAsia="Book Antiqua" w:hAnsi="Book Antiqua" w:cs="Book Antiqua"/>
          <w:color w:val="000000"/>
        </w:rPr>
        <w:t>1</w:t>
      </w:r>
      <w:r w:rsidR="00AD1A93" w:rsidRPr="00780CD3">
        <w:rPr>
          <w:rFonts w:ascii="Book Antiqua" w:eastAsia="Book Antiqua" w:hAnsi="Book Antiqua" w:cs="Book Antiqua"/>
          <w:color w:val="000000"/>
          <w:vertAlign w:val="superscript"/>
        </w:rPr>
        <w:t>st</w:t>
      </w:r>
      <w:r w:rsidR="00AD1A93">
        <w:rPr>
          <w:rFonts w:ascii="Book Antiqua" w:eastAsia="Book Antiqua" w:hAnsi="Book Antiqua" w:cs="Book Antiqua"/>
          <w:color w:val="000000"/>
        </w:rPr>
        <w:t xml:space="preserve"> </w:t>
      </w:r>
      <w:r w:rsidRPr="00AD5289">
        <w:rPr>
          <w:rFonts w:ascii="Book Antiqua" w:eastAsia="Book Antiqua" w:hAnsi="Book Antiqua" w:cs="Book Antiqua"/>
          <w:color w:val="000000"/>
        </w:rPr>
        <w:t xml:space="preserve">year, no significant changes in either score were observed. Almost all patients (91.4%) were very satisfied or satisfied with their </w:t>
      </w:r>
      <w:r w:rsidR="00244B89">
        <w:rPr>
          <w:rFonts w:ascii="Book Antiqua" w:eastAsia="Book Antiqua" w:hAnsi="Book Antiqua" w:cs="Book Antiqua"/>
          <w:color w:val="000000"/>
        </w:rPr>
        <w:t>THA</w:t>
      </w:r>
      <w:r w:rsidRPr="00AD5289">
        <w:rPr>
          <w:rFonts w:ascii="Book Antiqua" w:eastAsia="Book Antiqua" w:hAnsi="Book Antiqua" w:cs="Book Antiqua"/>
          <w:color w:val="000000"/>
        </w:rPr>
        <w:t>.</w:t>
      </w:r>
    </w:p>
    <w:p w14:paraId="38E016BB" w14:textId="7649C017"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The National Institute for Health and Care Excellence (NICE) criteria state that total hip replacements for patients with arthritis have revision rates or projected revision rates of 5% or less after 10 years of follow-up</w:t>
      </w:r>
      <w:r w:rsidR="005B7D4E" w:rsidRPr="00AD5289">
        <w:rPr>
          <w:rFonts w:ascii="Book Antiqua" w:eastAsia="Book Antiqua" w:hAnsi="Book Antiqua" w:cs="Book Antiqua"/>
          <w:color w:val="000000"/>
          <w:vertAlign w:val="superscript"/>
        </w:rPr>
        <w:t>[17]</w:t>
      </w:r>
      <w:r w:rsidRPr="00AD5289">
        <w:rPr>
          <w:rFonts w:ascii="Book Antiqua" w:eastAsia="Book Antiqua" w:hAnsi="Book Antiqua" w:cs="Book Antiqua"/>
          <w:color w:val="000000"/>
        </w:rPr>
        <w:t>. With a revision rate of almost 99% at the 5-year follow-up, our study results are expected to be in line with these NICE criteria.</w:t>
      </w:r>
    </w:p>
    <w:p w14:paraId="07D4CE57" w14:textId="780D964D"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 xml:space="preserve">In 2022, </w:t>
      </w:r>
      <w:r w:rsidR="00886798" w:rsidRPr="00AD5289">
        <w:rPr>
          <w:rFonts w:ascii="Book Antiqua" w:eastAsia="Book Antiqua" w:hAnsi="Book Antiqua" w:cs="Book Antiqua"/>
          <w:color w:val="000000"/>
        </w:rPr>
        <w:t>Kutzner</w:t>
      </w:r>
      <w:r w:rsidRPr="00AD5289">
        <w:rPr>
          <w:rFonts w:ascii="Book Antiqua" w:eastAsia="Book Antiqua" w:hAnsi="Book Antiqua" w:cs="Book Antiqua"/>
          <w:color w:val="000000"/>
        </w:rPr>
        <w:t xml:space="preserve"> </w:t>
      </w:r>
      <w:r w:rsidRPr="00AD5289">
        <w:rPr>
          <w:rFonts w:ascii="Book Antiqua" w:eastAsia="Book Antiqua" w:hAnsi="Book Antiqua" w:cs="Book Antiqua"/>
          <w:i/>
          <w:iCs/>
          <w:color w:val="000000"/>
        </w:rPr>
        <w:t>et al</w:t>
      </w:r>
      <w:r w:rsidR="00E04CE6" w:rsidRPr="00AD5289">
        <w:rPr>
          <w:rFonts w:ascii="Book Antiqua" w:eastAsia="Book Antiqua" w:hAnsi="Book Antiqua" w:cs="Book Antiqua"/>
          <w:color w:val="000000"/>
          <w:vertAlign w:val="superscript"/>
        </w:rPr>
        <w:t>[18]</w:t>
      </w:r>
      <w:r w:rsidRPr="00AD5289">
        <w:rPr>
          <w:rFonts w:ascii="Book Antiqua" w:eastAsia="Book Antiqua" w:hAnsi="Book Antiqua" w:cs="Book Antiqua"/>
          <w:color w:val="000000"/>
        </w:rPr>
        <w:t xml:space="preserve"> published a study on the mid-term results of the Optimys hip stem for 782 patients at 6 years of follow-up. It showed a survival rate of 98.4%, with 26 revisions in total (including infection and acetabular cup</w:t>
      </w:r>
      <w:r w:rsidR="00244B89">
        <w:rPr>
          <w:rFonts w:ascii="Book Antiqua" w:eastAsia="Book Antiqua" w:hAnsi="Book Antiqua" w:cs="Book Antiqua"/>
          <w:color w:val="000000"/>
        </w:rPr>
        <w:t xml:space="preserve"> </w:t>
      </w:r>
      <w:r w:rsidRPr="00AD5289">
        <w:rPr>
          <w:rFonts w:ascii="Book Antiqua" w:eastAsia="Book Antiqua" w:hAnsi="Book Antiqua" w:cs="Book Antiqua"/>
          <w:color w:val="000000"/>
        </w:rPr>
        <w:t>malposition), of which 14 were stem revisions. This is comparable to our study with a survival rate of 98.8% and 6 overall revisions, of which 4 were stem revisions in a population of 500 patients.</w:t>
      </w:r>
    </w:p>
    <w:p w14:paraId="3BC2A5DC" w14:textId="67599F9A"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lastRenderedPageBreak/>
        <w:t xml:space="preserve">Furthermore, both studies had comparable baseline characteristics of the patients. Kutzner </w:t>
      </w:r>
      <w:r w:rsidRPr="00AD5289">
        <w:rPr>
          <w:rFonts w:ascii="Book Antiqua" w:eastAsia="Book Antiqua" w:hAnsi="Book Antiqua" w:cs="Book Antiqua"/>
          <w:i/>
          <w:iCs/>
          <w:color w:val="000000"/>
        </w:rPr>
        <w:t>et al</w:t>
      </w:r>
      <w:r w:rsidR="00886798" w:rsidRPr="00AD5289">
        <w:rPr>
          <w:rFonts w:ascii="Book Antiqua" w:eastAsia="Book Antiqua" w:hAnsi="Book Antiqua" w:cs="Book Antiqua"/>
          <w:color w:val="000000"/>
          <w:vertAlign w:val="superscript"/>
        </w:rPr>
        <w:t>[18]</w:t>
      </w:r>
      <w:r w:rsidRPr="00AD5289">
        <w:rPr>
          <w:rFonts w:ascii="Book Antiqua" w:eastAsia="Book Antiqua" w:hAnsi="Book Antiqua" w:cs="Book Antiqua"/>
          <w:color w:val="000000"/>
        </w:rPr>
        <w:t xml:space="preserve"> used the Harris Hip Score (HHS) as a functional outcome measure. The HHS is used to evaluate the function of the hip before and after surgery for a range of different disabilities</w:t>
      </w:r>
      <w:r w:rsidR="00272D94" w:rsidRPr="00AD5289">
        <w:rPr>
          <w:rFonts w:ascii="Book Antiqua" w:eastAsia="Book Antiqua" w:hAnsi="Book Antiqua" w:cs="Book Antiqua"/>
          <w:color w:val="000000"/>
          <w:vertAlign w:val="superscript"/>
        </w:rPr>
        <w:t>[19]</w:t>
      </w:r>
      <w:r w:rsidRPr="00AD5289">
        <w:rPr>
          <w:rFonts w:ascii="Book Antiqua" w:eastAsia="Book Antiqua" w:hAnsi="Book Antiqua" w:cs="Book Antiqua"/>
          <w:color w:val="000000"/>
        </w:rPr>
        <w:t xml:space="preserve">. The outcome showed a large increase in the first </w:t>
      </w:r>
      <w:r w:rsidR="00244B89">
        <w:rPr>
          <w:rFonts w:ascii="Book Antiqua" w:eastAsia="Book Antiqua" w:hAnsi="Book Antiqua" w:cs="Book Antiqua"/>
          <w:color w:val="000000"/>
        </w:rPr>
        <w:t>6</w:t>
      </w:r>
      <w:r w:rsidRPr="00AD5289">
        <w:rPr>
          <w:rFonts w:ascii="Book Antiqua" w:eastAsia="Book Antiqua" w:hAnsi="Book Antiqua" w:cs="Book Antiqua"/>
          <w:color w:val="000000"/>
        </w:rPr>
        <w:t xml:space="preserve"> mo</w:t>
      </w:r>
      <w:r w:rsidR="005747D2">
        <w:rPr>
          <w:rFonts w:ascii="Book Antiqua" w:eastAsia="Book Antiqua" w:hAnsi="Book Antiqua" w:cs="Book Antiqua"/>
          <w:color w:val="000000"/>
        </w:rPr>
        <w:t>nths</w:t>
      </w:r>
      <w:r w:rsidRPr="00AD5289">
        <w:rPr>
          <w:rFonts w:ascii="Book Antiqua" w:eastAsia="Book Antiqua" w:hAnsi="Book Antiqua" w:cs="Book Antiqua"/>
          <w:color w:val="000000"/>
        </w:rPr>
        <w:t xml:space="preserve"> before flattening out. At the 2-year follow-up, the HHS reached a mean of 98.2, meaning that most patients showed an excellent functional outcome after 2 years. This is similar to our study, which indicate</w:t>
      </w:r>
      <w:r w:rsidR="00244B89">
        <w:rPr>
          <w:rFonts w:ascii="Book Antiqua" w:eastAsia="Book Antiqua" w:hAnsi="Book Antiqua" w:cs="Book Antiqua"/>
          <w:color w:val="000000"/>
        </w:rPr>
        <w:t>d</w:t>
      </w:r>
      <w:r w:rsidRPr="00AD5289">
        <w:rPr>
          <w:rFonts w:ascii="Book Antiqua" w:eastAsia="Book Antiqua" w:hAnsi="Book Antiqua" w:cs="Book Antiqua"/>
          <w:color w:val="000000"/>
        </w:rPr>
        <w:t xml:space="preserve"> consistent excellent survival and functional results among the two different clinics.</w:t>
      </w:r>
    </w:p>
    <w:p w14:paraId="3561B6B3" w14:textId="124F2B53"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 xml:space="preserve">Studies on comparable short stems, such as the Nanos and Fitmore stems, are in line with our results. The NANOS stem, produced by Smith and Nephew, is also a calcar-guided short stem and has an ODEP rating of 7A. A study by Ettinger </w:t>
      </w:r>
      <w:r w:rsidRPr="00AD5289">
        <w:rPr>
          <w:rFonts w:ascii="Book Antiqua" w:eastAsia="Book Antiqua" w:hAnsi="Book Antiqua" w:cs="Book Antiqua"/>
          <w:i/>
          <w:iCs/>
          <w:color w:val="000000"/>
        </w:rPr>
        <w:t>et al</w:t>
      </w:r>
      <w:r w:rsidR="009E72A5" w:rsidRPr="00AD5289">
        <w:rPr>
          <w:rFonts w:ascii="Book Antiqua" w:eastAsia="Book Antiqua" w:hAnsi="Book Antiqua" w:cs="Book Antiqua"/>
          <w:color w:val="000000"/>
          <w:vertAlign w:val="superscript"/>
        </w:rPr>
        <w:t>[20]</w:t>
      </w:r>
      <w:r w:rsidRPr="00AD5289">
        <w:rPr>
          <w:rFonts w:ascii="Book Antiqua" w:eastAsia="Book Antiqua" w:hAnsi="Book Antiqua" w:cs="Book Antiqua"/>
          <w:color w:val="000000"/>
        </w:rPr>
        <w:t xml:space="preserve"> presented mid-term results in 65 patients receiving a NANOS short stem at 5 years of follow-up. In this study, the patient population had similar demographics compared to our study population. At the 5-year follow-up, only two infections were registered. As there were no revisions of the stem itself, a survival of 100% was observed. For functional outcomes, this study also used the HHS. The HHS increased from 47.3 before surgery to 97.6 at the final 5-year follow-up.</w:t>
      </w:r>
    </w:p>
    <w:p w14:paraId="3094D695" w14:textId="2E8B5C70"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 xml:space="preserve">Another widely used short stem is the Fitmore Hip stem, produced by Zimmer Biomet. It has an ODEP rating of 10A. A study by Thalmann </w:t>
      </w:r>
      <w:r w:rsidRPr="00AD5289">
        <w:rPr>
          <w:rFonts w:ascii="Book Antiqua" w:eastAsia="Book Antiqua" w:hAnsi="Book Antiqua" w:cs="Book Antiqua"/>
          <w:i/>
          <w:iCs/>
          <w:color w:val="000000"/>
        </w:rPr>
        <w:t>et al</w:t>
      </w:r>
      <w:r w:rsidR="00293051" w:rsidRPr="00AD5289">
        <w:rPr>
          <w:rFonts w:ascii="Book Antiqua" w:eastAsia="Book Antiqua" w:hAnsi="Book Antiqua" w:cs="Book Antiqua"/>
          <w:color w:val="000000"/>
          <w:vertAlign w:val="superscript"/>
        </w:rPr>
        <w:t>[21]</w:t>
      </w:r>
      <w:r w:rsidRPr="00AD5289">
        <w:rPr>
          <w:rFonts w:ascii="Book Antiqua" w:eastAsia="Book Antiqua" w:hAnsi="Book Antiqua" w:cs="Book Antiqua"/>
          <w:color w:val="000000"/>
        </w:rPr>
        <w:t xml:space="preserve"> presented clinical results in 96 patients at 5 years of follow-up. At the 5-year follow-up, only one revision was seen, resulting in a survival of 99%. The mean HHS increased from 59.3 before the surgery to 93.8 at 5 years of follow-up.</w:t>
      </w:r>
    </w:p>
    <w:p w14:paraId="70D79FB4" w14:textId="437F0F8C" w:rsidR="00A77B3E" w:rsidRPr="00AD5289" w:rsidRDefault="00B13A0C" w:rsidP="00244B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 xml:space="preserve">A systematic review by </w:t>
      </w:r>
      <w:r w:rsidR="004D21B3" w:rsidRPr="00AD5289">
        <w:rPr>
          <w:rFonts w:ascii="Book Antiqua" w:eastAsia="Book Antiqua" w:hAnsi="Book Antiqua" w:cs="Book Antiqua"/>
          <w:color w:val="000000"/>
        </w:rPr>
        <w:t>van Oldenrijk</w:t>
      </w:r>
      <w:r w:rsidRPr="00AD5289">
        <w:rPr>
          <w:rFonts w:ascii="Book Antiqua" w:eastAsia="Book Antiqua" w:hAnsi="Book Antiqua" w:cs="Book Antiqua"/>
          <w:color w:val="000000"/>
        </w:rPr>
        <w:t xml:space="preserve"> </w:t>
      </w:r>
      <w:r w:rsidRPr="00AD5289">
        <w:rPr>
          <w:rFonts w:ascii="Book Antiqua" w:eastAsia="Book Antiqua" w:hAnsi="Book Antiqua" w:cs="Book Antiqua"/>
          <w:i/>
          <w:iCs/>
          <w:color w:val="000000"/>
        </w:rPr>
        <w:t>et al</w:t>
      </w:r>
      <w:r w:rsidR="00CD6570" w:rsidRPr="00AD5289">
        <w:rPr>
          <w:rFonts w:ascii="Book Antiqua" w:eastAsia="Book Antiqua" w:hAnsi="Book Antiqua" w:cs="Book Antiqua"/>
          <w:color w:val="000000"/>
          <w:vertAlign w:val="superscript"/>
        </w:rPr>
        <w:t>[22]</w:t>
      </w:r>
      <w:r w:rsidRPr="00AD5289">
        <w:rPr>
          <w:rFonts w:ascii="Book Antiqua" w:eastAsia="Book Antiqua" w:hAnsi="Book Antiqua" w:cs="Book Antiqua"/>
          <w:color w:val="000000"/>
        </w:rPr>
        <w:t xml:space="preserve"> compared the revision rate of 19 different short stems across 49 studies. These short stems were divided into three groups: </w:t>
      </w:r>
      <w:r w:rsidR="006F78FC" w:rsidRPr="00AD5289">
        <w:rPr>
          <w:rFonts w:ascii="Book Antiqua" w:eastAsia="Book Antiqua" w:hAnsi="Book Antiqua" w:cs="Book Antiqua"/>
          <w:color w:val="000000"/>
        </w:rPr>
        <w:t>Collum</w:t>
      </w:r>
      <w:r w:rsidR="00244B89">
        <w:rPr>
          <w:rFonts w:ascii="Book Antiqua" w:eastAsia="Book Antiqua" w:hAnsi="Book Antiqua" w:cs="Book Antiqua"/>
          <w:color w:val="000000"/>
        </w:rPr>
        <w:t>;</w:t>
      </w:r>
      <w:r w:rsidRPr="00AD5289">
        <w:rPr>
          <w:rFonts w:ascii="Book Antiqua" w:eastAsia="Book Antiqua" w:hAnsi="Book Antiqua" w:cs="Book Antiqua"/>
          <w:color w:val="000000"/>
        </w:rPr>
        <w:t xml:space="preserve"> partial collum</w:t>
      </w:r>
      <w:r w:rsidR="00244B89">
        <w:rPr>
          <w:rFonts w:ascii="Book Antiqua" w:eastAsia="Book Antiqua" w:hAnsi="Book Antiqua" w:cs="Book Antiqua"/>
          <w:color w:val="000000"/>
        </w:rPr>
        <w:t>;</w:t>
      </w:r>
      <w:r w:rsidRPr="00AD5289">
        <w:rPr>
          <w:rFonts w:ascii="Book Antiqua" w:eastAsia="Book Antiqua" w:hAnsi="Book Antiqua" w:cs="Book Antiqua"/>
          <w:color w:val="000000"/>
        </w:rPr>
        <w:t xml:space="preserve"> and trochanter sparing. In this study, the Optimys stem was classified as a partial collum stem. This group contained </w:t>
      </w:r>
      <w:r w:rsidR="00244B89">
        <w:rPr>
          <w:rFonts w:ascii="Book Antiqua" w:eastAsia="Book Antiqua" w:hAnsi="Book Antiqua" w:cs="Book Antiqua"/>
          <w:color w:val="000000"/>
        </w:rPr>
        <w:t>eight</w:t>
      </w:r>
      <w:r w:rsidRPr="00AD5289">
        <w:rPr>
          <w:rFonts w:ascii="Book Antiqua" w:eastAsia="Book Antiqua" w:hAnsi="Book Antiqua" w:cs="Book Antiqua"/>
          <w:color w:val="000000"/>
        </w:rPr>
        <w:t xml:space="preserve"> stem types across 24 studies in 2357 patients. Follow-up ranged from 0.5 </w:t>
      </w:r>
      <w:r w:rsidR="00AD1A93">
        <w:rPr>
          <w:rFonts w:ascii="Book Antiqua" w:eastAsia="Book Antiqua" w:hAnsi="Book Antiqua" w:cs="Book Antiqua"/>
          <w:color w:val="000000"/>
        </w:rPr>
        <w:t xml:space="preserve">years </w:t>
      </w:r>
      <w:r w:rsidRPr="00AD5289">
        <w:rPr>
          <w:rFonts w:ascii="Book Antiqua" w:eastAsia="Book Antiqua" w:hAnsi="Book Antiqua" w:cs="Book Antiqua"/>
          <w:color w:val="000000"/>
        </w:rPr>
        <w:t xml:space="preserve">to 11.2 years, with a mean follow-up of 4.0 years and a mean survival rate of 99.3%. Our results for the Optimys stem </w:t>
      </w:r>
      <w:r w:rsidR="00244B89">
        <w:rPr>
          <w:rFonts w:ascii="Book Antiqua" w:eastAsia="Book Antiqua" w:hAnsi="Book Antiqua" w:cs="Book Antiqua"/>
          <w:color w:val="000000"/>
        </w:rPr>
        <w:t>we</w:t>
      </w:r>
      <w:r w:rsidRPr="00AD5289">
        <w:rPr>
          <w:rFonts w:ascii="Book Antiqua" w:eastAsia="Book Antiqua" w:hAnsi="Book Antiqua" w:cs="Book Antiqua"/>
          <w:color w:val="000000"/>
        </w:rPr>
        <w:t xml:space="preserve">re in line with these results. The results can also be compared with the trochanter-sparing group, which contained </w:t>
      </w:r>
      <w:r w:rsidR="00244B89">
        <w:rPr>
          <w:rFonts w:ascii="Book Antiqua" w:eastAsia="Book Antiqua" w:hAnsi="Book Antiqua" w:cs="Book Antiqua"/>
          <w:color w:val="000000"/>
        </w:rPr>
        <w:t>eight</w:t>
      </w:r>
      <w:r w:rsidRPr="00AD5289">
        <w:rPr>
          <w:rFonts w:ascii="Book Antiqua" w:eastAsia="Book Antiqua" w:hAnsi="Book Antiqua" w:cs="Book Antiqua"/>
          <w:color w:val="000000"/>
        </w:rPr>
        <w:t xml:space="preserve"> stem types across 20 studies in 3628 patients. </w:t>
      </w:r>
      <w:r w:rsidRPr="00AD5289">
        <w:rPr>
          <w:rFonts w:ascii="Book Antiqua" w:eastAsia="Book Antiqua" w:hAnsi="Book Antiqua" w:cs="Book Antiqua"/>
          <w:color w:val="000000"/>
        </w:rPr>
        <w:lastRenderedPageBreak/>
        <w:t xml:space="preserve">Follow-up ranged from 0.3-12.0 years, with a mean of 3.4 years and a mean survival of 99.2%. Our results </w:t>
      </w:r>
      <w:r w:rsidR="00244B89">
        <w:rPr>
          <w:rFonts w:ascii="Book Antiqua" w:eastAsia="Book Antiqua" w:hAnsi="Book Antiqua" w:cs="Book Antiqua"/>
          <w:color w:val="000000"/>
        </w:rPr>
        <w:t>we</w:t>
      </w:r>
      <w:r w:rsidRPr="00AD5289">
        <w:rPr>
          <w:rFonts w:ascii="Book Antiqua" w:eastAsia="Book Antiqua" w:hAnsi="Book Antiqua" w:cs="Book Antiqua"/>
          <w:color w:val="000000"/>
        </w:rPr>
        <w:t>re also in range compared to this group of short stems.</w:t>
      </w:r>
      <w:r w:rsidR="00244B89">
        <w:rPr>
          <w:rFonts w:ascii="Book Antiqua" w:eastAsia="Book Antiqua" w:hAnsi="Book Antiqua" w:cs="Book Antiqua"/>
          <w:color w:val="000000"/>
        </w:rPr>
        <w:t xml:space="preserve"> </w:t>
      </w:r>
      <w:r w:rsidRPr="00AD5289">
        <w:rPr>
          <w:rFonts w:ascii="Book Antiqua" w:eastAsia="Book Antiqua" w:hAnsi="Book Antiqua" w:cs="Book Antiqua"/>
          <w:color w:val="000000"/>
        </w:rPr>
        <w:t>The study, however, still used the old NICE benchmark of revision rates of 10% o</w:t>
      </w:r>
      <w:r w:rsidR="00244B89">
        <w:rPr>
          <w:rFonts w:ascii="Book Antiqua" w:eastAsia="Book Antiqua" w:hAnsi="Book Antiqua" w:cs="Book Antiqua"/>
          <w:color w:val="000000"/>
        </w:rPr>
        <w:t>r</w:t>
      </w:r>
      <w:r w:rsidRPr="00AD5289">
        <w:rPr>
          <w:rFonts w:ascii="Book Antiqua" w:eastAsia="Book Antiqua" w:hAnsi="Book Antiqua" w:cs="Book Antiqua"/>
          <w:color w:val="000000"/>
        </w:rPr>
        <w:t xml:space="preserve"> less at 10 years of follow-up, while the current benchmark as mentioned earlier is 5% or less at 10 years of follow-up.</w:t>
      </w:r>
    </w:p>
    <w:p w14:paraId="35071E86" w14:textId="1387E3E7"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 xml:space="preserve">This study had a few limitations. First, the use of the LROI registry </w:t>
      </w:r>
      <w:r w:rsidR="00244B89">
        <w:rPr>
          <w:rFonts w:ascii="Book Antiqua" w:eastAsia="Book Antiqua" w:hAnsi="Book Antiqua" w:cs="Book Antiqua"/>
          <w:color w:val="000000"/>
        </w:rPr>
        <w:t>ha</w:t>
      </w:r>
      <w:r w:rsidRPr="00AD5289">
        <w:rPr>
          <w:rFonts w:ascii="Book Antiqua" w:eastAsia="Book Antiqua" w:hAnsi="Book Antiqua" w:cs="Book Antiqua"/>
          <w:color w:val="000000"/>
        </w:rPr>
        <w:t xml:space="preserve">s limited information about the reason for revision. As such, the reason for revision for malposition was not clear, and further information could not be obtained, as the data were anonymous. Second, the number of patients who completed the PROM questionnaire was small. This can especially be seen at the 2-year follow-up. This could lead to a bias of the presented results, as the response rate of patients can depend on the results of their prosthesis. However, as the functional outcome scores in our study did not differ between the </w:t>
      </w:r>
      <w:r w:rsidR="00244B89">
        <w:rPr>
          <w:rFonts w:ascii="Book Antiqua" w:eastAsia="Book Antiqua" w:hAnsi="Book Antiqua" w:cs="Book Antiqua"/>
          <w:color w:val="000000"/>
        </w:rPr>
        <w:t>1</w:t>
      </w:r>
      <w:r w:rsidRPr="00AD5289">
        <w:rPr>
          <w:rFonts w:ascii="Book Antiqua" w:eastAsia="Book Antiqua" w:hAnsi="Book Antiqua" w:cs="Book Antiqua"/>
          <w:color w:val="000000"/>
        </w:rPr>
        <w:t>-</w:t>
      </w:r>
      <w:r w:rsidR="00244B89">
        <w:rPr>
          <w:rFonts w:ascii="Book Antiqua" w:eastAsia="Book Antiqua" w:hAnsi="Book Antiqua" w:cs="Book Antiqua"/>
          <w:color w:val="000000"/>
        </w:rPr>
        <w:t>year</w:t>
      </w:r>
      <w:r w:rsidRPr="00AD5289">
        <w:rPr>
          <w:rFonts w:ascii="Book Antiqua" w:eastAsia="Book Antiqua" w:hAnsi="Book Antiqua" w:cs="Book Antiqua"/>
          <w:color w:val="000000"/>
        </w:rPr>
        <w:t xml:space="preserve"> and </w:t>
      </w:r>
      <w:r w:rsidR="00244B89">
        <w:rPr>
          <w:rFonts w:ascii="Book Antiqua" w:eastAsia="Book Antiqua" w:hAnsi="Book Antiqua" w:cs="Book Antiqua"/>
          <w:color w:val="000000"/>
        </w:rPr>
        <w:t>2</w:t>
      </w:r>
      <w:r w:rsidRPr="00AD5289">
        <w:rPr>
          <w:rFonts w:ascii="Book Antiqua" w:eastAsia="Book Antiqua" w:hAnsi="Book Antiqua" w:cs="Book Antiqua"/>
          <w:color w:val="000000"/>
        </w:rPr>
        <w:t xml:space="preserve">-year follow-ups and a sensitivity analysis showed similar results, it is assumed that not only the patients with lasting complaints of their hip filled out the </w:t>
      </w:r>
      <w:r w:rsidR="00244B89">
        <w:rPr>
          <w:rFonts w:ascii="Book Antiqua" w:eastAsia="Book Antiqua" w:hAnsi="Book Antiqua" w:cs="Book Antiqua"/>
          <w:color w:val="000000"/>
        </w:rPr>
        <w:t>2</w:t>
      </w:r>
      <w:r w:rsidRPr="00AD5289">
        <w:rPr>
          <w:rFonts w:ascii="Book Antiqua" w:eastAsia="Book Antiqua" w:hAnsi="Book Antiqua" w:cs="Book Antiqua"/>
          <w:color w:val="000000"/>
        </w:rPr>
        <w:t>-year follow-up questionnaires.</w:t>
      </w:r>
      <w:r w:rsidR="00244B89">
        <w:rPr>
          <w:rFonts w:ascii="Book Antiqua" w:eastAsia="Book Antiqua" w:hAnsi="Book Antiqua" w:cs="Book Antiqua"/>
          <w:color w:val="000000"/>
        </w:rPr>
        <w:t xml:space="preserve"> </w:t>
      </w:r>
      <w:r w:rsidRPr="00AD5289">
        <w:rPr>
          <w:rFonts w:ascii="Book Antiqua" w:eastAsia="Book Antiqua" w:hAnsi="Book Antiqua" w:cs="Book Antiqua"/>
          <w:color w:val="000000"/>
        </w:rPr>
        <w:t>A strong point in this study was the large prospective cohort. A total of 500 patients were followed for a median follow-up of 5.5 years.</w:t>
      </w:r>
    </w:p>
    <w:p w14:paraId="6D2AB9B1" w14:textId="77777777" w:rsidR="00A77B3E" w:rsidRPr="00AD5289" w:rsidRDefault="00B13A0C" w:rsidP="00AD5289">
      <w:pPr>
        <w:spacing w:line="360" w:lineRule="auto"/>
        <w:ind w:firstLineChars="200" w:firstLine="480"/>
        <w:jc w:val="both"/>
        <w:rPr>
          <w:rFonts w:ascii="Book Antiqua" w:hAnsi="Book Antiqua"/>
        </w:rPr>
      </w:pPr>
      <w:r w:rsidRPr="00AD5289">
        <w:rPr>
          <w:rFonts w:ascii="Book Antiqua" w:eastAsia="Book Antiqua" w:hAnsi="Book Antiqua" w:cs="Book Antiqua"/>
          <w:color w:val="000000"/>
        </w:rPr>
        <w:t>Although this study shows a good survival rate at the 5-year follow-up, further research on the Optimys short hip stem is still necessary to include the long-term survival of this hip stem. This cohort will be followed for the long-term survival data.</w:t>
      </w:r>
    </w:p>
    <w:p w14:paraId="1B22B24A" w14:textId="77777777" w:rsidR="00A77B3E" w:rsidRPr="00AD5289" w:rsidRDefault="00A77B3E" w:rsidP="00AD5289">
      <w:pPr>
        <w:spacing w:line="360" w:lineRule="auto"/>
        <w:jc w:val="both"/>
        <w:rPr>
          <w:rFonts w:ascii="Book Antiqua" w:hAnsi="Book Antiqua"/>
        </w:rPr>
      </w:pPr>
    </w:p>
    <w:p w14:paraId="1D1E8572"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aps/>
          <w:color w:val="000000"/>
          <w:u w:val="single"/>
        </w:rPr>
        <w:t>CONCLUSION</w:t>
      </w:r>
    </w:p>
    <w:p w14:paraId="36F2219C" w14:textId="096C1BE8" w:rsidR="00A77B3E" w:rsidRPr="00AD5289" w:rsidRDefault="00B13A0C" w:rsidP="00AD5289">
      <w:pPr>
        <w:spacing w:line="360" w:lineRule="auto"/>
        <w:jc w:val="both"/>
        <w:rPr>
          <w:rFonts w:ascii="Book Antiqua" w:eastAsia="Book Antiqua" w:hAnsi="Book Antiqua" w:cs="Book Antiqua"/>
          <w:color w:val="000000"/>
        </w:rPr>
      </w:pPr>
      <w:r w:rsidRPr="00AD5289">
        <w:rPr>
          <w:rFonts w:ascii="Book Antiqua" w:eastAsia="Book Antiqua" w:hAnsi="Book Antiqua" w:cs="Book Antiqua"/>
          <w:color w:val="000000"/>
        </w:rPr>
        <w:t xml:space="preserve">This study showed a 5-year survival rate of 98.8% for the Optimys hip stem in a population of 500 patients. Functional outcome and quality of life increased significantly in the </w:t>
      </w:r>
      <w:r w:rsidR="00AD1A93">
        <w:rPr>
          <w:rFonts w:ascii="Book Antiqua" w:eastAsia="Book Antiqua" w:hAnsi="Book Antiqua" w:cs="Book Antiqua"/>
          <w:color w:val="000000"/>
        </w:rPr>
        <w:t>1</w:t>
      </w:r>
      <w:r w:rsidR="00AD1A93" w:rsidRPr="00780CD3">
        <w:rPr>
          <w:rFonts w:ascii="Book Antiqua" w:eastAsia="Book Antiqua" w:hAnsi="Book Antiqua" w:cs="Book Antiqua"/>
          <w:color w:val="000000"/>
          <w:vertAlign w:val="superscript"/>
        </w:rPr>
        <w:t>st</w:t>
      </w:r>
      <w:r w:rsidR="00AD1A93">
        <w:rPr>
          <w:rFonts w:ascii="Book Antiqua" w:eastAsia="Book Antiqua" w:hAnsi="Book Antiqua" w:cs="Book Antiqua"/>
          <w:color w:val="000000"/>
        </w:rPr>
        <w:t xml:space="preserve"> </w:t>
      </w:r>
      <w:r w:rsidRPr="00AD5289">
        <w:rPr>
          <w:rFonts w:ascii="Book Antiqua" w:eastAsia="Book Antiqua" w:hAnsi="Book Antiqua" w:cs="Book Antiqua"/>
          <w:color w:val="000000"/>
        </w:rPr>
        <w:t xml:space="preserve">year after implantation with subsequent stabilization at the </w:t>
      </w:r>
      <w:r w:rsidR="00244B89">
        <w:rPr>
          <w:rFonts w:ascii="Book Antiqua" w:eastAsia="Book Antiqua" w:hAnsi="Book Antiqua" w:cs="Book Antiqua"/>
          <w:color w:val="000000"/>
        </w:rPr>
        <w:t>2</w:t>
      </w:r>
      <w:r w:rsidRPr="00AD5289">
        <w:rPr>
          <w:rFonts w:ascii="Book Antiqua" w:eastAsia="Book Antiqua" w:hAnsi="Book Antiqua" w:cs="Book Antiqua"/>
          <w:color w:val="000000"/>
        </w:rPr>
        <w:t>-year follow-up.</w:t>
      </w:r>
    </w:p>
    <w:p w14:paraId="62E102DF" w14:textId="1A61EE76" w:rsidR="00334770" w:rsidRPr="00AD5289" w:rsidRDefault="00334770" w:rsidP="00AD5289">
      <w:pPr>
        <w:spacing w:line="360" w:lineRule="auto"/>
        <w:jc w:val="both"/>
        <w:rPr>
          <w:rFonts w:ascii="Book Antiqua" w:hAnsi="Book Antiqua"/>
        </w:rPr>
      </w:pPr>
    </w:p>
    <w:p w14:paraId="5A78CFA0" w14:textId="410724EA"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aps/>
          <w:color w:val="000000"/>
          <w:u w:val="single"/>
        </w:rPr>
        <w:t>ARTICLE HIGHLIGHTS</w:t>
      </w:r>
    </w:p>
    <w:p w14:paraId="67C221F0"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i/>
          <w:color w:val="000000"/>
        </w:rPr>
        <w:t>Research background</w:t>
      </w:r>
    </w:p>
    <w:p w14:paraId="1D9CEBDA" w14:textId="137747BC"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 xml:space="preserve">Short stems in total hip arthroplasty </w:t>
      </w:r>
      <w:r w:rsidR="00D31A63">
        <w:rPr>
          <w:rFonts w:ascii="Book Antiqua" w:eastAsia="Book Antiqua" w:hAnsi="Book Antiqua" w:cs="Book Antiqua"/>
          <w:color w:val="000000"/>
        </w:rPr>
        <w:t>are</w:t>
      </w:r>
      <w:r w:rsidRPr="00AD5289">
        <w:rPr>
          <w:rFonts w:ascii="Book Antiqua" w:eastAsia="Book Antiqua" w:hAnsi="Book Antiqua" w:cs="Book Antiqua"/>
          <w:color w:val="000000"/>
        </w:rPr>
        <w:t xml:space="preserve"> becoming more popular in the younger patient population. The philosophy behind short stems is bone-stock preservation in the proximal femur due to more proximal loading and restoration of the patient’s specific </w:t>
      </w:r>
      <w:r w:rsidRPr="00AD5289">
        <w:rPr>
          <w:rFonts w:ascii="Book Antiqua" w:eastAsia="Book Antiqua" w:hAnsi="Book Antiqua" w:cs="Book Antiqua"/>
          <w:color w:val="000000"/>
        </w:rPr>
        <w:lastRenderedPageBreak/>
        <w:t>anatomy. As with all new implants on the market, stepwise introduction is needed to avoid a high failure rate in patients. This study contributes to the knowledge of midterm survival data of the Optimys hip stem.</w:t>
      </w:r>
    </w:p>
    <w:p w14:paraId="2810C0BF" w14:textId="77777777" w:rsidR="00A77B3E" w:rsidRPr="00AD5289" w:rsidRDefault="00A77B3E" w:rsidP="00AD5289">
      <w:pPr>
        <w:spacing w:line="360" w:lineRule="auto"/>
        <w:jc w:val="both"/>
        <w:rPr>
          <w:rFonts w:ascii="Book Antiqua" w:hAnsi="Book Antiqua"/>
        </w:rPr>
      </w:pPr>
    </w:p>
    <w:p w14:paraId="25BF1BDB"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i/>
          <w:color w:val="000000"/>
        </w:rPr>
        <w:t>Research motivation</w:t>
      </w:r>
    </w:p>
    <w:p w14:paraId="2F9C6A70" w14:textId="7B8F4006"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Short hip stems have advantages compared to the widely used convention</w:t>
      </w:r>
      <w:r w:rsidR="00D31A63">
        <w:rPr>
          <w:rFonts w:ascii="Book Antiqua" w:eastAsia="Book Antiqua" w:hAnsi="Book Antiqua" w:cs="Book Antiqua"/>
          <w:color w:val="000000"/>
        </w:rPr>
        <w:t>a</w:t>
      </w:r>
      <w:r w:rsidRPr="00AD5289">
        <w:rPr>
          <w:rFonts w:ascii="Book Antiqua" w:eastAsia="Book Antiqua" w:hAnsi="Book Antiqua" w:cs="Book Antiqua"/>
          <w:color w:val="000000"/>
        </w:rPr>
        <w:t xml:space="preserve">l stems, especially in the younger and more active patient population. However, long-term survival of the conventional stems is high, so newly introduced implants must </w:t>
      </w:r>
      <w:r w:rsidR="00D31A63">
        <w:rPr>
          <w:rFonts w:ascii="Book Antiqua" w:eastAsia="Book Antiqua" w:hAnsi="Book Antiqua" w:cs="Book Antiqua"/>
          <w:color w:val="000000"/>
        </w:rPr>
        <w:t xml:space="preserve">have </w:t>
      </w:r>
      <w:r w:rsidRPr="00AD5289">
        <w:rPr>
          <w:rFonts w:ascii="Book Antiqua" w:eastAsia="Book Antiqua" w:hAnsi="Book Antiqua" w:cs="Book Antiqua"/>
          <w:color w:val="000000"/>
        </w:rPr>
        <w:t xml:space="preserve">at least a survival rate of 95% at </w:t>
      </w:r>
      <w:r w:rsidR="00D31A63">
        <w:rPr>
          <w:rFonts w:ascii="Book Antiqua" w:eastAsia="Book Antiqua" w:hAnsi="Book Antiqua" w:cs="Book Antiqua"/>
          <w:color w:val="000000"/>
        </w:rPr>
        <w:t xml:space="preserve">the </w:t>
      </w:r>
      <w:r w:rsidRPr="00AD5289">
        <w:rPr>
          <w:rFonts w:ascii="Book Antiqua" w:eastAsia="Book Antiqua" w:hAnsi="Book Antiqua" w:cs="Book Antiqua"/>
          <w:color w:val="000000"/>
        </w:rPr>
        <w:t xml:space="preserve">10-year follow-up, according to the </w:t>
      </w:r>
      <w:r w:rsidR="001E4272" w:rsidRPr="00AD5289">
        <w:rPr>
          <w:rFonts w:ascii="Book Antiqua" w:eastAsia="Book Antiqua" w:hAnsi="Book Antiqua" w:cs="Book Antiqua"/>
          <w:color w:val="000000"/>
        </w:rPr>
        <w:t xml:space="preserve">National Institute for Health and Care Excellence </w:t>
      </w:r>
      <w:r w:rsidRPr="00AD5289">
        <w:rPr>
          <w:rFonts w:ascii="Book Antiqua" w:eastAsia="Book Antiqua" w:hAnsi="Book Antiqua" w:cs="Book Antiqua"/>
          <w:color w:val="000000"/>
        </w:rPr>
        <w:t>guidelines.</w:t>
      </w:r>
    </w:p>
    <w:p w14:paraId="1EAC2846" w14:textId="77777777" w:rsidR="00A77B3E" w:rsidRPr="00AD5289" w:rsidRDefault="00A77B3E" w:rsidP="00AD5289">
      <w:pPr>
        <w:spacing w:line="360" w:lineRule="auto"/>
        <w:jc w:val="both"/>
        <w:rPr>
          <w:rFonts w:ascii="Book Antiqua" w:hAnsi="Book Antiqua"/>
        </w:rPr>
      </w:pPr>
    </w:p>
    <w:p w14:paraId="4D91DA3F"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i/>
          <w:color w:val="000000"/>
        </w:rPr>
        <w:t>Research objectives</w:t>
      </w:r>
    </w:p>
    <w:p w14:paraId="6F6E9467" w14:textId="06E71846"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The aim of this study was to determine the mid-term survival of the Optimys hip stem in a large, varied patient population and to assess functional outcome</w:t>
      </w:r>
      <w:r w:rsidR="00D31A63">
        <w:rPr>
          <w:rFonts w:ascii="Book Antiqua" w:eastAsia="Book Antiqua" w:hAnsi="Book Antiqua" w:cs="Book Antiqua"/>
          <w:color w:val="000000"/>
        </w:rPr>
        <w:t>s</w:t>
      </w:r>
      <w:r w:rsidRPr="00AD5289">
        <w:rPr>
          <w:rFonts w:ascii="Book Antiqua" w:eastAsia="Book Antiqua" w:hAnsi="Book Antiqua" w:cs="Book Antiqua"/>
          <w:color w:val="000000"/>
        </w:rPr>
        <w:t xml:space="preserve"> and quality of life in this patient population. This can show us if the hip stem is an implant that can be commonly used in the daily practice of an orthopedic surgeon.</w:t>
      </w:r>
      <w:r w:rsidR="00D31A63">
        <w:rPr>
          <w:rFonts w:ascii="Book Antiqua" w:eastAsia="Book Antiqua" w:hAnsi="Book Antiqua" w:cs="Book Antiqua"/>
          <w:color w:val="000000"/>
        </w:rPr>
        <w:t xml:space="preserve"> </w:t>
      </w:r>
      <w:r w:rsidRPr="00AD5289">
        <w:rPr>
          <w:rFonts w:ascii="Book Antiqua" w:eastAsia="Book Antiqua" w:hAnsi="Book Antiqua" w:cs="Book Antiqua"/>
          <w:color w:val="000000"/>
        </w:rPr>
        <w:t>The study can contribute to the fact that this hip stem is safe to implant in a large and varied patient population with an excellent survival rate.</w:t>
      </w:r>
    </w:p>
    <w:p w14:paraId="00401461" w14:textId="77777777" w:rsidR="00A77B3E" w:rsidRPr="00AD5289" w:rsidRDefault="00A77B3E" w:rsidP="00AD5289">
      <w:pPr>
        <w:spacing w:line="360" w:lineRule="auto"/>
        <w:jc w:val="both"/>
        <w:rPr>
          <w:rFonts w:ascii="Book Antiqua" w:hAnsi="Book Antiqua"/>
        </w:rPr>
      </w:pPr>
    </w:p>
    <w:p w14:paraId="355A8283"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i/>
          <w:color w:val="000000"/>
        </w:rPr>
        <w:t>Research methods</w:t>
      </w:r>
    </w:p>
    <w:p w14:paraId="7D0DB351" w14:textId="2FFBB5B0"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This was a prospective multicenter cohort study conducted in two hospitals in the Netherlands (Amsterdam and Venlo). This gave a large and varied patient population.</w:t>
      </w:r>
      <w:r w:rsidR="00D31A63">
        <w:rPr>
          <w:rFonts w:ascii="Book Antiqua" w:eastAsia="Book Antiqua" w:hAnsi="Book Antiqua" w:cs="Book Antiqua"/>
          <w:color w:val="000000"/>
        </w:rPr>
        <w:t xml:space="preserve"> </w:t>
      </w:r>
      <w:r w:rsidRPr="00AD5289">
        <w:rPr>
          <w:rFonts w:ascii="Book Antiqua" w:eastAsia="Book Antiqua" w:hAnsi="Book Antiqua" w:cs="Book Antiqua"/>
          <w:color w:val="000000"/>
        </w:rPr>
        <w:t>The primary outcome measure was survival of the hip stem, with revision as the endpoint. Revision was defined as a surgical procedure in which all or part of the previous implanted prosthesis was replaced. Reasons for revision were described. Kaplan-Meier was used for sur</w:t>
      </w:r>
      <w:r w:rsidR="00D31A63">
        <w:rPr>
          <w:rFonts w:ascii="Book Antiqua" w:eastAsia="Book Antiqua" w:hAnsi="Book Antiqua" w:cs="Book Antiqua"/>
          <w:color w:val="000000"/>
        </w:rPr>
        <w:t>v</w:t>
      </w:r>
      <w:r w:rsidRPr="00AD5289">
        <w:rPr>
          <w:rFonts w:ascii="Book Antiqua" w:eastAsia="Book Antiqua" w:hAnsi="Book Antiqua" w:cs="Book Antiqua"/>
          <w:color w:val="000000"/>
        </w:rPr>
        <w:t xml:space="preserve">ival rate, by censoring patients at death or at the end of the observation period before 5 years. Log-minus-log transformation was performed to calculate the 95% confidence interval. The secondary outcome measurements included patient-reported outcome measures (PROMs), which consisted of the Hip Disability and Osteoarthritis Outcomes Score, the 36-item Short Form, and a 5-point Likert scale for </w:t>
      </w:r>
      <w:r w:rsidRPr="00AD5289">
        <w:rPr>
          <w:rFonts w:ascii="Book Antiqua" w:eastAsia="Book Antiqua" w:hAnsi="Book Antiqua" w:cs="Book Antiqua"/>
          <w:color w:val="000000"/>
        </w:rPr>
        <w:lastRenderedPageBreak/>
        <w:t xml:space="preserve">satisfaction (at </w:t>
      </w:r>
      <w:r w:rsidR="00D31A63">
        <w:rPr>
          <w:rFonts w:ascii="Book Antiqua" w:eastAsia="Book Antiqua" w:hAnsi="Book Antiqua" w:cs="Book Antiqua"/>
          <w:color w:val="000000"/>
        </w:rPr>
        <w:t>2</w:t>
      </w:r>
      <w:r w:rsidRPr="00AD5289">
        <w:rPr>
          <w:rFonts w:ascii="Book Antiqua" w:eastAsia="Book Antiqua" w:hAnsi="Book Antiqua" w:cs="Book Antiqua"/>
          <w:color w:val="000000"/>
        </w:rPr>
        <w:t xml:space="preserve"> years post</w:t>
      </w:r>
      <w:r w:rsidR="00D31A63">
        <w:rPr>
          <w:rFonts w:ascii="Book Antiqua" w:eastAsia="Book Antiqua" w:hAnsi="Book Antiqua" w:cs="Book Antiqua"/>
          <w:color w:val="000000"/>
        </w:rPr>
        <w:t>-</w:t>
      </w:r>
      <w:r w:rsidRPr="00AD5289">
        <w:rPr>
          <w:rFonts w:ascii="Book Antiqua" w:eastAsia="Book Antiqua" w:hAnsi="Book Antiqua" w:cs="Book Antiqua"/>
          <w:color w:val="000000"/>
        </w:rPr>
        <w:t>surgery</w:t>
      </w:r>
      <w:r w:rsidR="00D31A63">
        <w:rPr>
          <w:rFonts w:ascii="Book Antiqua" w:eastAsia="Book Antiqua" w:hAnsi="Book Antiqua" w:cs="Book Antiqua"/>
          <w:color w:val="000000"/>
        </w:rPr>
        <w:t>)</w:t>
      </w:r>
      <w:r w:rsidRPr="00AD5289">
        <w:rPr>
          <w:rFonts w:ascii="Book Antiqua" w:eastAsia="Book Antiqua" w:hAnsi="Book Antiqua" w:cs="Book Antiqua"/>
          <w:color w:val="000000"/>
        </w:rPr>
        <w:t>.</w:t>
      </w:r>
      <w:r w:rsidR="00D31A63">
        <w:rPr>
          <w:rFonts w:ascii="Book Antiqua" w:eastAsia="Book Antiqua" w:hAnsi="Book Antiqua" w:cs="Book Antiqua"/>
          <w:color w:val="000000"/>
        </w:rPr>
        <w:t xml:space="preserve"> M</w:t>
      </w:r>
      <w:r w:rsidRPr="00AD5289">
        <w:rPr>
          <w:rFonts w:ascii="Book Antiqua" w:eastAsia="Book Antiqua" w:hAnsi="Book Antiqua" w:cs="Book Antiqua"/>
          <w:color w:val="000000"/>
        </w:rPr>
        <w:t xml:space="preserve">ixed model analyses were performed to assess the course of the PROMs during the </w:t>
      </w:r>
      <w:r w:rsidR="00AD1A93">
        <w:rPr>
          <w:rFonts w:ascii="Book Antiqua" w:eastAsia="Book Antiqua" w:hAnsi="Book Antiqua" w:cs="Book Antiqua"/>
          <w:color w:val="000000"/>
        </w:rPr>
        <w:t>1</w:t>
      </w:r>
      <w:r w:rsidR="00AD1A93" w:rsidRPr="00780CD3">
        <w:rPr>
          <w:rFonts w:ascii="Book Antiqua" w:eastAsia="Book Antiqua" w:hAnsi="Book Antiqua" w:cs="Book Antiqua"/>
          <w:color w:val="000000"/>
          <w:vertAlign w:val="superscript"/>
        </w:rPr>
        <w:t>st</w:t>
      </w:r>
      <w:r w:rsidR="00AD1A93">
        <w:rPr>
          <w:rFonts w:ascii="Book Antiqua" w:eastAsia="Book Antiqua" w:hAnsi="Book Antiqua" w:cs="Book Antiqua"/>
          <w:color w:val="000000"/>
        </w:rPr>
        <w:t xml:space="preserve"> </w:t>
      </w:r>
      <w:r w:rsidR="00D31A63">
        <w:rPr>
          <w:rFonts w:ascii="Book Antiqua" w:eastAsia="Book Antiqua" w:hAnsi="Book Antiqua" w:cs="Book Antiqua"/>
          <w:color w:val="000000"/>
        </w:rPr>
        <w:t>2</w:t>
      </w:r>
      <w:r w:rsidRPr="00AD5289">
        <w:rPr>
          <w:rFonts w:ascii="Book Antiqua" w:eastAsia="Book Antiqua" w:hAnsi="Book Antiqua" w:cs="Book Antiqua"/>
          <w:color w:val="000000"/>
        </w:rPr>
        <w:t xml:space="preserve"> years after surgery. Analyses were modeled separately for the </w:t>
      </w:r>
      <w:r w:rsidR="00AD1A93">
        <w:rPr>
          <w:rFonts w:ascii="Book Antiqua" w:eastAsia="Book Antiqua" w:hAnsi="Book Antiqua" w:cs="Book Antiqua"/>
          <w:color w:val="000000"/>
        </w:rPr>
        <w:t>1</w:t>
      </w:r>
      <w:r w:rsidR="00AD1A93" w:rsidRPr="00780CD3">
        <w:rPr>
          <w:rFonts w:ascii="Book Antiqua" w:eastAsia="Book Antiqua" w:hAnsi="Book Antiqua" w:cs="Book Antiqua"/>
          <w:color w:val="000000"/>
          <w:vertAlign w:val="superscript"/>
        </w:rPr>
        <w:t>st</w:t>
      </w:r>
      <w:r w:rsidR="00AD1A93">
        <w:rPr>
          <w:rFonts w:ascii="Book Antiqua" w:eastAsia="Book Antiqua" w:hAnsi="Book Antiqua" w:cs="Book Antiqua"/>
          <w:color w:val="000000"/>
        </w:rPr>
        <w:t xml:space="preserve"> </w:t>
      </w:r>
      <w:r w:rsidRPr="00AD5289">
        <w:rPr>
          <w:rFonts w:ascii="Book Antiqua" w:eastAsia="Book Antiqua" w:hAnsi="Book Antiqua" w:cs="Book Antiqua"/>
          <w:color w:val="000000"/>
        </w:rPr>
        <w:t xml:space="preserve">and </w:t>
      </w:r>
      <w:r w:rsidR="00AD1A93">
        <w:rPr>
          <w:rFonts w:ascii="Book Antiqua" w:eastAsia="Book Antiqua" w:hAnsi="Book Antiqua" w:cs="Book Antiqua"/>
          <w:color w:val="000000"/>
        </w:rPr>
        <w:t>2</w:t>
      </w:r>
      <w:r w:rsidR="00AD1A93" w:rsidRPr="00780CD3">
        <w:rPr>
          <w:rFonts w:ascii="Book Antiqua" w:eastAsia="Book Antiqua" w:hAnsi="Book Antiqua" w:cs="Book Antiqua"/>
          <w:color w:val="000000"/>
          <w:vertAlign w:val="superscript"/>
        </w:rPr>
        <w:t>nd</w:t>
      </w:r>
      <w:r w:rsidR="00AD1A93">
        <w:rPr>
          <w:rFonts w:ascii="Book Antiqua" w:eastAsia="Book Antiqua" w:hAnsi="Book Antiqua" w:cs="Book Antiqua"/>
          <w:color w:val="000000"/>
        </w:rPr>
        <w:t xml:space="preserve"> </w:t>
      </w:r>
      <w:r w:rsidRPr="00AD5289">
        <w:rPr>
          <w:rFonts w:ascii="Book Antiqua" w:eastAsia="Book Antiqua" w:hAnsi="Book Antiqua" w:cs="Book Antiqua"/>
          <w:color w:val="000000"/>
        </w:rPr>
        <w:t>years to calculate the yearly change in PROMs during both follow-up periods with accompanying 95%</w:t>
      </w:r>
      <w:r w:rsidR="00D31A63">
        <w:rPr>
          <w:rFonts w:ascii="Book Antiqua" w:eastAsia="Book Antiqua" w:hAnsi="Book Antiqua" w:cs="Book Antiqua"/>
          <w:color w:val="000000"/>
        </w:rPr>
        <w:t xml:space="preserve"> confidence intervals</w:t>
      </w:r>
      <w:r w:rsidRPr="00AD5289">
        <w:rPr>
          <w:rFonts w:ascii="Book Antiqua" w:eastAsia="Book Antiqua" w:hAnsi="Book Antiqua" w:cs="Book Antiqua"/>
          <w:color w:val="000000"/>
        </w:rPr>
        <w:t xml:space="preserve">. A </w:t>
      </w:r>
      <w:r w:rsidR="00972C57" w:rsidRPr="00AD5289">
        <w:rPr>
          <w:rFonts w:ascii="Book Antiqua" w:eastAsia="Book Antiqua" w:hAnsi="Book Antiqua" w:cs="Book Antiqua"/>
          <w:i/>
          <w:color w:val="000000"/>
        </w:rPr>
        <w:t>P</w:t>
      </w:r>
      <w:r w:rsidR="00972C57" w:rsidRPr="00AD5289">
        <w:rPr>
          <w:rFonts w:ascii="Book Antiqua" w:eastAsia="Book Antiqua" w:hAnsi="Book Antiqua" w:cs="Book Antiqua"/>
          <w:color w:val="000000"/>
        </w:rPr>
        <w:t xml:space="preserve"> </w:t>
      </w:r>
      <w:r w:rsidRPr="00AD5289">
        <w:rPr>
          <w:rFonts w:ascii="Book Antiqua" w:eastAsia="Book Antiqua" w:hAnsi="Book Antiqua" w:cs="Book Antiqua"/>
          <w:color w:val="000000"/>
        </w:rPr>
        <w:t>value of &lt; 0.05 was considered statistically significant for all analyses.</w:t>
      </w:r>
    </w:p>
    <w:p w14:paraId="11A5234A" w14:textId="77777777" w:rsidR="00A77B3E" w:rsidRPr="00AD5289" w:rsidRDefault="00A77B3E" w:rsidP="00AD5289">
      <w:pPr>
        <w:spacing w:line="360" w:lineRule="auto"/>
        <w:jc w:val="both"/>
        <w:rPr>
          <w:rFonts w:ascii="Book Antiqua" w:hAnsi="Book Antiqua"/>
        </w:rPr>
      </w:pPr>
    </w:p>
    <w:p w14:paraId="074780EA"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i/>
          <w:color w:val="000000"/>
        </w:rPr>
        <w:t>Research results</w:t>
      </w:r>
    </w:p>
    <w:p w14:paraId="5D2938DE" w14:textId="572835B4"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 xml:space="preserve">The survival rate of the Optimys hip stem at </w:t>
      </w:r>
      <w:r w:rsidR="00D31A63">
        <w:rPr>
          <w:rFonts w:ascii="Book Antiqua" w:eastAsia="Book Antiqua" w:hAnsi="Book Antiqua" w:cs="Book Antiqua"/>
          <w:color w:val="000000"/>
        </w:rPr>
        <w:t xml:space="preserve">the </w:t>
      </w:r>
      <w:r w:rsidRPr="00AD5289">
        <w:rPr>
          <w:rFonts w:ascii="Book Antiqua" w:eastAsia="Book Antiqua" w:hAnsi="Book Antiqua" w:cs="Book Antiqua"/>
          <w:color w:val="000000"/>
        </w:rPr>
        <w:t xml:space="preserve">5-year follow-up was 98.8% in a group of 500 patients </w:t>
      </w:r>
      <w:r w:rsidR="00D31A63">
        <w:rPr>
          <w:rFonts w:ascii="Book Antiqua" w:eastAsia="Book Antiqua" w:hAnsi="Book Antiqua" w:cs="Book Antiqua"/>
          <w:color w:val="000000"/>
        </w:rPr>
        <w:t>i</w:t>
      </w:r>
      <w:r w:rsidRPr="00AD5289">
        <w:rPr>
          <w:rFonts w:ascii="Book Antiqua" w:eastAsia="Book Antiqua" w:hAnsi="Book Antiqua" w:cs="Book Antiqua"/>
          <w:color w:val="000000"/>
        </w:rPr>
        <w:t>f all revisions were included (</w:t>
      </w:r>
      <w:r w:rsidRPr="00AD5289">
        <w:rPr>
          <w:rFonts w:ascii="Book Antiqua" w:eastAsia="Book Antiqua" w:hAnsi="Book Antiqua" w:cs="Book Antiqua"/>
          <w:i/>
          <w:iCs/>
          <w:color w:val="000000"/>
        </w:rPr>
        <w:t>n</w:t>
      </w:r>
      <w:r w:rsidRPr="00AD5289">
        <w:rPr>
          <w:rFonts w:ascii="Book Antiqua" w:eastAsia="Book Antiqua" w:hAnsi="Book Antiqua" w:cs="Book Antiqua"/>
          <w:color w:val="000000"/>
        </w:rPr>
        <w:t xml:space="preserve"> = 6). If infection was left out (</w:t>
      </w:r>
      <w:r w:rsidRPr="00AD5289">
        <w:rPr>
          <w:rFonts w:ascii="Book Antiqua" w:eastAsia="Book Antiqua" w:hAnsi="Book Antiqua" w:cs="Book Antiqua"/>
          <w:i/>
          <w:iCs/>
          <w:color w:val="000000"/>
        </w:rPr>
        <w:t>n</w:t>
      </w:r>
      <w:r w:rsidRPr="00AD5289">
        <w:rPr>
          <w:rFonts w:ascii="Book Antiqua" w:eastAsia="Book Antiqua" w:hAnsi="Book Antiqua" w:cs="Book Antiqua"/>
          <w:color w:val="000000"/>
        </w:rPr>
        <w:t xml:space="preserve"> = 3), a survival of 99.4% was seen. The functional outcome and quality of life was significantly improved at the 1-year follow-up and subsequently stabilized a</w:t>
      </w:r>
      <w:r w:rsidR="00D31A63">
        <w:rPr>
          <w:rFonts w:ascii="Book Antiqua" w:eastAsia="Book Antiqua" w:hAnsi="Book Antiqua" w:cs="Book Antiqua"/>
          <w:color w:val="000000"/>
        </w:rPr>
        <w:t>t</w:t>
      </w:r>
      <w:r w:rsidRPr="00AD5289">
        <w:rPr>
          <w:rFonts w:ascii="Book Antiqua" w:eastAsia="Book Antiqua" w:hAnsi="Book Antiqua" w:cs="Book Antiqua"/>
          <w:color w:val="000000"/>
        </w:rPr>
        <w:t xml:space="preserve"> the 2-year follow-up.</w:t>
      </w:r>
    </w:p>
    <w:p w14:paraId="11778EC4" w14:textId="77777777" w:rsidR="00A77B3E" w:rsidRPr="00AD5289" w:rsidRDefault="00A77B3E" w:rsidP="00AD5289">
      <w:pPr>
        <w:spacing w:line="360" w:lineRule="auto"/>
        <w:jc w:val="both"/>
        <w:rPr>
          <w:rFonts w:ascii="Book Antiqua" w:hAnsi="Book Antiqua"/>
        </w:rPr>
      </w:pPr>
    </w:p>
    <w:p w14:paraId="32ACC12E"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i/>
          <w:color w:val="000000"/>
        </w:rPr>
        <w:t>Research conclusions</w:t>
      </w:r>
    </w:p>
    <w:p w14:paraId="287BE298" w14:textId="302DCAE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 xml:space="preserve">Short curved hip stems </w:t>
      </w:r>
      <w:r w:rsidR="00D31A63">
        <w:rPr>
          <w:rFonts w:ascii="Book Antiqua" w:eastAsia="Book Antiqua" w:hAnsi="Book Antiqua" w:cs="Book Antiqua"/>
          <w:color w:val="000000"/>
        </w:rPr>
        <w:t>had</w:t>
      </w:r>
      <w:r w:rsidRPr="00AD5289">
        <w:rPr>
          <w:rFonts w:ascii="Book Antiqua" w:eastAsia="Book Antiqua" w:hAnsi="Book Antiqua" w:cs="Book Antiqua"/>
          <w:color w:val="000000"/>
        </w:rPr>
        <w:t xml:space="preserve"> a high survival rate at </w:t>
      </w:r>
      <w:r w:rsidR="00D31A63">
        <w:rPr>
          <w:rFonts w:ascii="Book Antiqua" w:eastAsia="Book Antiqua" w:hAnsi="Book Antiqua" w:cs="Book Antiqua"/>
          <w:color w:val="000000"/>
        </w:rPr>
        <w:t>the 5</w:t>
      </w:r>
      <w:r w:rsidRPr="00AD5289">
        <w:rPr>
          <w:rFonts w:ascii="Book Antiqua" w:eastAsia="Book Antiqua" w:hAnsi="Book Antiqua" w:cs="Book Antiqua"/>
          <w:color w:val="000000"/>
        </w:rPr>
        <w:t>-year follow-up, showing that it is a safe and viable stem for common use in total hip arthroplasty.</w:t>
      </w:r>
    </w:p>
    <w:p w14:paraId="33B0B5BD" w14:textId="77777777" w:rsidR="00A77B3E" w:rsidRPr="00AD5289" w:rsidRDefault="00A77B3E" w:rsidP="00AD5289">
      <w:pPr>
        <w:spacing w:line="360" w:lineRule="auto"/>
        <w:jc w:val="both"/>
        <w:rPr>
          <w:rFonts w:ascii="Book Antiqua" w:hAnsi="Book Antiqua"/>
        </w:rPr>
      </w:pPr>
    </w:p>
    <w:p w14:paraId="1D38E94E"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i/>
          <w:color w:val="000000"/>
        </w:rPr>
        <w:t>Research perspectives</w:t>
      </w:r>
    </w:p>
    <w:p w14:paraId="2B5B206A" w14:textId="02A08295"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color w:val="000000"/>
        </w:rPr>
        <w:t xml:space="preserve">Future research includes the long-term follow-up of the Optimys hip stem to </w:t>
      </w:r>
      <w:r w:rsidR="00D31A63">
        <w:rPr>
          <w:rFonts w:ascii="Book Antiqua" w:eastAsia="Book Antiqua" w:hAnsi="Book Antiqua" w:cs="Book Antiqua"/>
          <w:color w:val="000000"/>
        </w:rPr>
        <w:t>determine the</w:t>
      </w:r>
      <w:r w:rsidRPr="00AD5289">
        <w:rPr>
          <w:rFonts w:ascii="Book Antiqua" w:eastAsia="Book Antiqua" w:hAnsi="Book Antiqua" w:cs="Book Antiqua"/>
          <w:color w:val="000000"/>
        </w:rPr>
        <w:t xml:space="preserve"> survival rate at</w:t>
      </w:r>
      <w:r w:rsidR="00D31A63">
        <w:rPr>
          <w:rFonts w:ascii="Book Antiqua" w:eastAsia="Book Antiqua" w:hAnsi="Book Antiqua" w:cs="Book Antiqua"/>
          <w:color w:val="000000"/>
        </w:rPr>
        <w:t xml:space="preserve"> the</w:t>
      </w:r>
      <w:r w:rsidRPr="00AD5289">
        <w:rPr>
          <w:rFonts w:ascii="Book Antiqua" w:eastAsia="Book Antiqua" w:hAnsi="Book Antiqua" w:cs="Book Antiqua"/>
          <w:color w:val="000000"/>
        </w:rPr>
        <w:t xml:space="preserve"> 10-year follow-up.</w:t>
      </w:r>
    </w:p>
    <w:p w14:paraId="61F75C7F" w14:textId="77777777" w:rsidR="00A77B3E" w:rsidRPr="00AD5289" w:rsidRDefault="00A77B3E" w:rsidP="00AD5289">
      <w:pPr>
        <w:spacing w:line="360" w:lineRule="auto"/>
        <w:jc w:val="both"/>
        <w:rPr>
          <w:rFonts w:ascii="Book Antiqua" w:hAnsi="Book Antiqua"/>
        </w:rPr>
      </w:pPr>
    </w:p>
    <w:p w14:paraId="3DFAF220" w14:textId="77777777" w:rsidR="00244B89" w:rsidRPr="00AD5289" w:rsidRDefault="00244B89" w:rsidP="00244B89">
      <w:pPr>
        <w:spacing w:line="360" w:lineRule="auto"/>
        <w:jc w:val="both"/>
        <w:rPr>
          <w:rFonts w:ascii="Book Antiqua" w:hAnsi="Book Antiqua"/>
          <w:b/>
          <w:u w:val="single"/>
        </w:rPr>
      </w:pPr>
      <w:r w:rsidRPr="00AD5289">
        <w:rPr>
          <w:rFonts w:ascii="Book Antiqua" w:hAnsi="Book Antiqua"/>
          <w:b/>
          <w:u w:val="single"/>
        </w:rPr>
        <w:t>ACKNOWLEDGMENTS</w:t>
      </w:r>
    </w:p>
    <w:p w14:paraId="5F277DB4" w14:textId="77777777" w:rsidR="00244B89" w:rsidRPr="00AD5289" w:rsidRDefault="00244B89" w:rsidP="00244B89">
      <w:pPr>
        <w:spacing w:line="360" w:lineRule="auto"/>
        <w:jc w:val="both"/>
        <w:rPr>
          <w:rFonts w:ascii="Book Antiqua" w:hAnsi="Book Antiqua"/>
        </w:rPr>
      </w:pPr>
      <w:r w:rsidRPr="00AD5289">
        <w:rPr>
          <w:rFonts w:ascii="Book Antiqua" w:hAnsi="Book Antiqua"/>
        </w:rPr>
        <w:t>We would like to thank Marjolein Schager for her help in editing the manuscript.</w:t>
      </w:r>
    </w:p>
    <w:p w14:paraId="4F21206F" w14:textId="77777777" w:rsidR="00244B89" w:rsidRDefault="00244B89" w:rsidP="00AD5289">
      <w:pPr>
        <w:spacing w:line="360" w:lineRule="auto"/>
        <w:jc w:val="both"/>
        <w:rPr>
          <w:rFonts w:ascii="Book Antiqua" w:eastAsia="Book Antiqua" w:hAnsi="Book Antiqua" w:cs="Book Antiqua"/>
          <w:b/>
          <w:color w:val="000000"/>
        </w:rPr>
      </w:pPr>
    </w:p>
    <w:p w14:paraId="69A453BE" w14:textId="5BAB2116"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REFERENCES</w:t>
      </w:r>
    </w:p>
    <w:p w14:paraId="285FA37D" w14:textId="77777777" w:rsidR="006F3DB3" w:rsidRPr="00AD5289" w:rsidRDefault="006F3DB3" w:rsidP="00AD5289">
      <w:pPr>
        <w:spacing w:line="360" w:lineRule="auto"/>
        <w:jc w:val="both"/>
        <w:rPr>
          <w:rFonts w:ascii="Book Antiqua" w:hAnsi="Book Antiqua"/>
        </w:rPr>
      </w:pPr>
      <w:bookmarkStart w:id="430" w:name="OLE_LINK7890"/>
      <w:bookmarkStart w:id="431" w:name="OLE_LINK7891"/>
      <w:r w:rsidRPr="00AD5289">
        <w:rPr>
          <w:rFonts w:ascii="Book Antiqua" w:hAnsi="Book Antiqua"/>
        </w:rPr>
        <w:t xml:space="preserve">1 </w:t>
      </w:r>
      <w:r w:rsidRPr="00AD5289">
        <w:rPr>
          <w:rFonts w:ascii="Book Antiqua" w:hAnsi="Book Antiqua"/>
          <w:b/>
          <w:bCs/>
        </w:rPr>
        <w:t>Murphy NJ</w:t>
      </w:r>
      <w:r w:rsidRPr="00AD5289">
        <w:rPr>
          <w:rFonts w:ascii="Book Antiqua" w:hAnsi="Book Antiqua"/>
        </w:rPr>
        <w:t xml:space="preserve">, Eyles JP, Hunter DJ. Hip Osteoarthritis: Etiopathogenesis and Implications for Management. </w:t>
      </w:r>
      <w:r w:rsidRPr="00AD5289">
        <w:rPr>
          <w:rFonts w:ascii="Book Antiqua" w:hAnsi="Book Antiqua"/>
          <w:i/>
          <w:iCs/>
        </w:rPr>
        <w:t>Adv Ther</w:t>
      </w:r>
      <w:r w:rsidRPr="00AD5289">
        <w:rPr>
          <w:rFonts w:ascii="Book Antiqua" w:hAnsi="Book Antiqua"/>
        </w:rPr>
        <w:t xml:space="preserve"> 2016; </w:t>
      </w:r>
      <w:r w:rsidRPr="00AD5289">
        <w:rPr>
          <w:rFonts w:ascii="Book Antiqua" w:hAnsi="Book Antiqua"/>
          <w:b/>
          <w:bCs/>
        </w:rPr>
        <w:t>33</w:t>
      </w:r>
      <w:r w:rsidRPr="00AD5289">
        <w:rPr>
          <w:rFonts w:ascii="Book Antiqua" w:hAnsi="Book Antiqua"/>
        </w:rPr>
        <w:t>: 1921-1946 [PMID: 27671326 DOI: 10.1007/s12325-016-0409-3]</w:t>
      </w:r>
    </w:p>
    <w:p w14:paraId="780FA98E" w14:textId="2052CACB" w:rsidR="006F3DB3" w:rsidRPr="00AD5289" w:rsidRDefault="006F3DB3" w:rsidP="00AD5289">
      <w:pPr>
        <w:spacing w:line="360" w:lineRule="auto"/>
        <w:jc w:val="both"/>
        <w:rPr>
          <w:rFonts w:ascii="Book Antiqua" w:hAnsi="Book Antiqua"/>
        </w:rPr>
      </w:pPr>
      <w:r w:rsidRPr="00AD5289">
        <w:rPr>
          <w:rFonts w:ascii="Book Antiqua" w:hAnsi="Book Antiqua"/>
        </w:rPr>
        <w:t xml:space="preserve">2 </w:t>
      </w:r>
      <w:r w:rsidRPr="00AD5289">
        <w:rPr>
          <w:rFonts w:ascii="Book Antiqua" w:hAnsi="Book Antiqua"/>
          <w:b/>
          <w:bCs/>
        </w:rPr>
        <w:t xml:space="preserve">LROI. </w:t>
      </w:r>
      <w:r w:rsidRPr="00AD5289">
        <w:rPr>
          <w:rFonts w:ascii="Book Antiqua" w:hAnsi="Book Antiqua"/>
          <w:bCs/>
        </w:rPr>
        <w:t>Annual report 2022,</w:t>
      </w:r>
      <w:r w:rsidRPr="00AD5289">
        <w:rPr>
          <w:rFonts w:ascii="Book Antiqua" w:hAnsi="Book Antiqua"/>
        </w:rPr>
        <w:t xml:space="preserve"> </w:t>
      </w:r>
      <w:r w:rsidR="00AE7F41" w:rsidRPr="00AD5289">
        <w:rPr>
          <w:rFonts w:ascii="Book Antiqua" w:hAnsi="Book Antiqua"/>
        </w:rPr>
        <w:t xml:space="preserve">(2022, accessed 06-03 2023). Available from: </w:t>
      </w:r>
      <w:r w:rsidRPr="00AD5289">
        <w:rPr>
          <w:rFonts w:ascii="Book Antiqua" w:hAnsi="Book Antiqua"/>
        </w:rPr>
        <w:t xml:space="preserve">https://www.lroi-report.nl/ </w:t>
      </w:r>
    </w:p>
    <w:p w14:paraId="0BE8A0CE" w14:textId="77777777" w:rsidR="006F3DB3" w:rsidRPr="00AD5289" w:rsidRDefault="006F3DB3" w:rsidP="00AD5289">
      <w:pPr>
        <w:spacing w:line="360" w:lineRule="auto"/>
        <w:jc w:val="both"/>
        <w:rPr>
          <w:rFonts w:ascii="Book Antiqua" w:hAnsi="Book Antiqua"/>
        </w:rPr>
      </w:pPr>
      <w:r w:rsidRPr="00AD5289">
        <w:rPr>
          <w:rFonts w:ascii="Book Antiqua" w:hAnsi="Book Antiqua"/>
        </w:rPr>
        <w:lastRenderedPageBreak/>
        <w:t xml:space="preserve">3 </w:t>
      </w:r>
      <w:r w:rsidRPr="00AD5289">
        <w:rPr>
          <w:rFonts w:ascii="Book Antiqua" w:hAnsi="Book Antiqua"/>
          <w:b/>
          <w:bCs/>
        </w:rPr>
        <w:t>Swarup I</w:t>
      </w:r>
      <w:r w:rsidRPr="00AD5289">
        <w:rPr>
          <w:rFonts w:ascii="Book Antiqua" w:hAnsi="Book Antiqua"/>
        </w:rPr>
        <w:t xml:space="preserve">, Marshall AC, Lee YY, Figgie MP. Implant survival and patient-reported outcomes after total hip arthroplasty in young patients with developmental dysplasia of the hip. </w:t>
      </w:r>
      <w:r w:rsidRPr="00AD5289">
        <w:rPr>
          <w:rFonts w:ascii="Book Antiqua" w:hAnsi="Book Antiqua"/>
          <w:i/>
          <w:iCs/>
        </w:rPr>
        <w:t>Hip Int</w:t>
      </w:r>
      <w:r w:rsidRPr="00AD5289">
        <w:rPr>
          <w:rFonts w:ascii="Book Antiqua" w:hAnsi="Book Antiqua"/>
        </w:rPr>
        <w:t xml:space="preserve"> 2016; </w:t>
      </w:r>
      <w:r w:rsidRPr="00AD5289">
        <w:rPr>
          <w:rFonts w:ascii="Book Antiqua" w:hAnsi="Book Antiqua"/>
          <w:b/>
          <w:bCs/>
        </w:rPr>
        <w:t>26</w:t>
      </w:r>
      <w:r w:rsidRPr="00AD5289">
        <w:rPr>
          <w:rFonts w:ascii="Book Antiqua" w:hAnsi="Book Antiqua"/>
        </w:rPr>
        <w:t>: 367-373 [PMID: 27079285 DOI: 10.5301/hipint.5000354]</w:t>
      </w:r>
    </w:p>
    <w:p w14:paraId="766DA7D2"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4 </w:t>
      </w:r>
      <w:r w:rsidRPr="00AD5289">
        <w:rPr>
          <w:rFonts w:ascii="Book Antiqua" w:hAnsi="Book Antiqua"/>
          <w:b/>
          <w:bCs/>
        </w:rPr>
        <w:t>Swarup I</w:t>
      </w:r>
      <w:r w:rsidRPr="00AD5289">
        <w:rPr>
          <w:rFonts w:ascii="Book Antiqua" w:hAnsi="Book Antiqua"/>
        </w:rPr>
        <w:t xml:space="preserve">, Shields M, Mayer EN, Hendow CJ, Burket JC, Figgie MP. Outcomes after total hip arthroplasty in young patients with osteonecrosis of the hip. </w:t>
      </w:r>
      <w:r w:rsidRPr="00AD5289">
        <w:rPr>
          <w:rFonts w:ascii="Book Antiqua" w:hAnsi="Book Antiqua"/>
          <w:i/>
          <w:iCs/>
        </w:rPr>
        <w:t>Hip Int</w:t>
      </w:r>
      <w:r w:rsidRPr="00AD5289">
        <w:rPr>
          <w:rFonts w:ascii="Book Antiqua" w:hAnsi="Book Antiqua"/>
        </w:rPr>
        <w:t xml:space="preserve"> 2017; </w:t>
      </w:r>
      <w:r w:rsidRPr="00AD5289">
        <w:rPr>
          <w:rFonts w:ascii="Book Antiqua" w:hAnsi="Book Antiqua"/>
          <w:b/>
          <w:bCs/>
        </w:rPr>
        <w:t>27</w:t>
      </w:r>
      <w:r w:rsidRPr="00AD5289">
        <w:rPr>
          <w:rFonts w:ascii="Book Antiqua" w:hAnsi="Book Antiqua"/>
        </w:rPr>
        <w:t>: 286-292 [PMID: 28165595 DOI: 10.5301/hipint.5000457]</w:t>
      </w:r>
    </w:p>
    <w:p w14:paraId="67CC0AD6"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5 </w:t>
      </w:r>
      <w:r w:rsidRPr="00AD5289">
        <w:rPr>
          <w:rFonts w:ascii="Book Antiqua" w:hAnsi="Book Antiqua"/>
          <w:b/>
          <w:bCs/>
        </w:rPr>
        <w:t>Swarup I</w:t>
      </w:r>
      <w:r w:rsidRPr="00AD5289">
        <w:rPr>
          <w:rFonts w:ascii="Book Antiqua" w:hAnsi="Book Antiqua"/>
        </w:rPr>
        <w:t xml:space="preserve">, Sutherland R, Burket JC, Figgie MP. Total hip arthroplasty in young patients with post-traumatic arthritis of the hip. </w:t>
      </w:r>
      <w:r w:rsidRPr="00AD5289">
        <w:rPr>
          <w:rFonts w:ascii="Book Antiqua" w:hAnsi="Book Antiqua"/>
          <w:i/>
          <w:iCs/>
        </w:rPr>
        <w:t>Hip Int</w:t>
      </w:r>
      <w:r w:rsidRPr="00AD5289">
        <w:rPr>
          <w:rFonts w:ascii="Book Antiqua" w:hAnsi="Book Antiqua"/>
        </w:rPr>
        <w:t xml:space="preserve"> 2017; </w:t>
      </w:r>
      <w:r w:rsidRPr="00AD5289">
        <w:rPr>
          <w:rFonts w:ascii="Book Antiqua" w:hAnsi="Book Antiqua"/>
          <w:b/>
          <w:bCs/>
        </w:rPr>
        <w:t>27</w:t>
      </w:r>
      <w:r w:rsidRPr="00AD5289">
        <w:rPr>
          <w:rFonts w:ascii="Book Antiqua" w:hAnsi="Book Antiqua"/>
        </w:rPr>
        <w:t>: 546-550 [PMID: 28574124 DOI: 10.5301/hipint.5000499]</w:t>
      </w:r>
    </w:p>
    <w:p w14:paraId="19C8B525"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6 </w:t>
      </w:r>
      <w:r w:rsidRPr="00AD5289">
        <w:rPr>
          <w:rFonts w:ascii="Book Antiqua" w:hAnsi="Book Antiqua"/>
          <w:b/>
          <w:bCs/>
        </w:rPr>
        <w:t>Santaguida PL</w:t>
      </w:r>
      <w:r w:rsidRPr="00AD5289">
        <w:rPr>
          <w:rFonts w:ascii="Book Antiqua" w:hAnsi="Book Antiqua"/>
        </w:rPr>
        <w:t xml:space="preserve">, Hawker GA, Hudak PL, Glazier R, Mahomed NN, Kreder HJ, Coyte PC, Wright JG. Patient characteristics affecting the prognosis of total hip and knee joint arthroplasty: a systematic review. </w:t>
      </w:r>
      <w:r w:rsidRPr="00AD5289">
        <w:rPr>
          <w:rFonts w:ascii="Book Antiqua" w:hAnsi="Book Antiqua"/>
          <w:i/>
          <w:iCs/>
        </w:rPr>
        <w:t>Can J Surg</w:t>
      </w:r>
      <w:r w:rsidRPr="00AD5289">
        <w:rPr>
          <w:rFonts w:ascii="Book Antiqua" w:hAnsi="Book Antiqua"/>
        </w:rPr>
        <w:t xml:space="preserve"> 2008; </w:t>
      </w:r>
      <w:r w:rsidRPr="00AD5289">
        <w:rPr>
          <w:rFonts w:ascii="Book Antiqua" w:hAnsi="Book Antiqua"/>
          <w:b/>
          <w:bCs/>
        </w:rPr>
        <w:t>51</w:t>
      </w:r>
      <w:r w:rsidRPr="00AD5289">
        <w:rPr>
          <w:rFonts w:ascii="Book Antiqua" w:hAnsi="Book Antiqua"/>
        </w:rPr>
        <w:t>: 428-436 [PMID: 19057730]</w:t>
      </w:r>
    </w:p>
    <w:p w14:paraId="43DA1A84"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7 </w:t>
      </w:r>
      <w:r w:rsidRPr="00AD5289">
        <w:rPr>
          <w:rFonts w:ascii="Book Antiqua" w:hAnsi="Book Antiqua"/>
          <w:b/>
          <w:bCs/>
        </w:rPr>
        <w:t>Evans JT</w:t>
      </w:r>
      <w:r w:rsidRPr="00AD5289">
        <w:rPr>
          <w:rFonts w:ascii="Book Antiqua" w:hAnsi="Book Antiqua"/>
        </w:rPr>
        <w:t xml:space="preserve">, Evans JP, Walker RW, Blom AW, Whitehouse MR, Sayers A. How long does a hip replacement last? A systematic review and meta-analysis of case series and national registry reports with more than 15 years of follow-up. </w:t>
      </w:r>
      <w:r w:rsidRPr="00AD5289">
        <w:rPr>
          <w:rFonts w:ascii="Book Antiqua" w:hAnsi="Book Antiqua"/>
          <w:i/>
          <w:iCs/>
        </w:rPr>
        <w:t>Lancet</w:t>
      </w:r>
      <w:r w:rsidRPr="00AD5289">
        <w:rPr>
          <w:rFonts w:ascii="Book Antiqua" w:hAnsi="Book Antiqua"/>
        </w:rPr>
        <w:t xml:space="preserve"> 2019; </w:t>
      </w:r>
      <w:r w:rsidRPr="00AD5289">
        <w:rPr>
          <w:rFonts w:ascii="Book Antiqua" w:hAnsi="Book Antiqua"/>
          <w:b/>
          <w:bCs/>
        </w:rPr>
        <w:t>393</w:t>
      </w:r>
      <w:r w:rsidRPr="00AD5289">
        <w:rPr>
          <w:rFonts w:ascii="Book Antiqua" w:hAnsi="Book Antiqua"/>
        </w:rPr>
        <w:t>: 647-654 [PMID: 30782340 DOI: 10.1016/S0140-6736(18)31665-9]</w:t>
      </w:r>
    </w:p>
    <w:p w14:paraId="21381E22"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8 </w:t>
      </w:r>
      <w:r w:rsidRPr="00AD5289">
        <w:rPr>
          <w:rFonts w:ascii="Book Antiqua" w:hAnsi="Book Antiqua"/>
          <w:b/>
          <w:bCs/>
        </w:rPr>
        <w:t>de Waard S</w:t>
      </w:r>
      <w:r w:rsidRPr="00AD5289">
        <w:rPr>
          <w:rFonts w:ascii="Book Antiqua" w:hAnsi="Book Antiqua"/>
        </w:rPr>
        <w:t xml:space="preserve">, van der Vis J, Venema PAHT, Sierevelt IN, Kerkhoffs GMMJ, Haverkamp D. Short-term success of proximal bone stock preservation in short hip stems: a systematic review of the literature. </w:t>
      </w:r>
      <w:r w:rsidRPr="00AD5289">
        <w:rPr>
          <w:rFonts w:ascii="Book Antiqua" w:hAnsi="Book Antiqua"/>
          <w:i/>
          <w:iCs/>
        </w:rPr>
        <w:t>EFORT Open Rev</w:t>
      </w:r>
      <w:r w:rsidRPr="00AD5289">
        <w:rPr>
          <w:rFonts w:ascii="Book Antiqua" w:hAnsi="Book Antiqua"/>
        </w:rPr>
        <w:t xml:space="preserve"> 2021; </w:t>
      </w:r>
      <w:r w:rsidRPr="00AD5289">
        <w:rPr>
          <w:rFonts w:ascii="Book Antiqua" w:hAnsi="Book Antiqua"/>
          <w:b/>
          <w:bCs/>
        </w:rPr>
        <w:t>6</w:t>
      </w:r>
      <w:r w:rsidRPr="00AD5289">
        <w:rPr>
          <w:rFonts w:ascii="Book Antiqua" w:hAnsi="Book Antiqua"/>
        </w:rPr>
        <w:t>: 1040-1051 [PMID: 34909223 DOI: 10.1302/2058-5241.6.210030]</w:t>
      </w:r>
    </w:p>
    <w:p w14:paraId="00E8D293"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9 </w:t>
      </w:r>
      <w:r w:rsidRPr="00AD5289">
        <w:rPr>
          <w:rFonts w:ascii="Book Antiqua" w:hAnsi="Book Antiqua"/>
          <w:b/>
          <w:bCs/>
        </w:rPr>
        <w:t>Kutzner KP</w:t>
      </w:r>
      <w:r w:rsidRPr="00AD5289">
        <w:rPr>
          <w:rFonts w:ascii="Book Antiqua" w:hAnsi="Book Antiqua"/>
        </w:rPr>
        <w:t xml:space="preserve">, Kovacevic MP, Roeder C, Rehbein P, Pfeil J. Reconstruction of femoro-acetabular offsets using a short-stem. </w:t>
      </w:r>
      <w:r w:rsidRPr="00AD5289">
        <w:rPr>
          <w:rFonts w:ascii="Book Antiqua" w:hAnsi="Book Antiqua"/>
          <w:i/>
          <w:iCs/>
        </w:rPr>
        <w:t>Int Orthop</w:t>
      </w:r>
      <w:r w:rsidRPr="00AD5289">
        <w:rPr>
          <w:rFonts w:ascii="Book Antiqua" w:hAnsi="Book Antiqua"/>
        </w:rPr>
        <w:t xml:space="preserve"> 2015; </w:t>
      </w:r>
      <w:r w:rsidRPr="00AD5289">
        <w:rPr>
          <w:rFonts w:ascii="Book Antiqua" w:hAnsi="Book Antiqua"/>
          <w:b/>
          <w:bCs/>
        </w:rPr>
        <w:t>39</w:t>
      </w:r>
      <w:r w:rsidRPr="00AD5289">
        <w:rPr>
          <w:rFonts w:ascii="Book Antiqua" w:hAnsi="Book Antiqua"/>
        </w:rPr>
        <w:t>: 1269-1275 [PMID: 25522801 DOI: 10.1007/s00264-014-2632-3]</w:t>
      </w:r>
    </w:p>
    <w:p w14:paraId="7EE30B2B"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10 </w:t>
      </w:r>
      <w:r w:rsidRPr="00AD5289">
        <w:rPr>
          <w:rFonts w:ascii="Book Antiqua" w:hAnsi="Book Antiqua"/>
          <w:b/>
          <w:bCs/>
        </w:rPr>
        <w:t>Kutzner KP</w:t>
      </w:r>
      <w:r w:rsidRPr="00AD5289">
        <w:rPr>
          <w:rFonts w:ascii="Book Antiqua" w:hAnsi="Book Antiqua"/>
        </w:rPr>
        <w:t xml:space="preserve">. Calcar-guided short-stem total hip arthroplasty: Will it be the future standard? Review and perspectives. </w:t>
      </w:r>
      <w:r w:rsidRPr="00AD5289">
        <w:rPr>
          <w:rFonts w:ascii="Book Antiqua" w:hAnsi="Book Antiqua"/>
          <w:i/>
          <w:iCs/>
        </w:rPr>
        <w:t>World J Orthop</w:t>
      </w:r>
      <w:r w:rsidRPr="00AD5289">
        <w:rPr>
          <w:rFonts w:ascii="Book Antiqua" w:hAnsi="Book Antiqua"/>
        </w:rPr>
        <w:t xml:space="preserve"> 2021; </w:t>
      </w:r>
      <w:r w:rsidRPr="00AD5289">
        <w:rPr>
          <w:rFonts w:ascii="Book Antiqua" w:hAnsi="Book Antiqua"/>
          <w:b/>
          <w:bCs/>
        </w:rPr>
        <w:t>12</w:t>
      </w:r>
      <w:r w:rsidRPr="00AD5289">
        <w:rPr>
          <w:rFonts w:ascii="Book Antiqua" w:hAnsi="Book Antiqua"/>
        </w:rPr>
        <w:t>: 534-547 [PMID: 34485100 DOI: 10.5312/wjo.v12.i8.534]</w:t>
      </w:r>
    </w:p>
    <w:p w14:paraId="6730728C"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11 </w:t>
      </w:r>
      <w:r w:rsidRPr="00AD5289">
        <w:rPr>
          <w:rFonts w:ascii="Book Antiqua" w:hAnsi="Book Antiqua"/>
          <w:b/>
          <w:bCs/>
        </w:rPr>
        <w:t>de Waard S</w:t>
      </w:r>
      <w:r w:rsidRPr="00AD5289">
        <w:rPr>
          <w:rFonts w:ascii="Book Antiqua" w:hAnsi="Book Antiqua"/>
        </w:rPr>
        <w:t xml:space="preserve">, Sierevelt IN, Jonker R, Hoornenborg D, van der Vis HM, Kerkhoffs GMMJ, Haverkamp D. The migration pattern and initial stability of the Optimys short stem in total hip arthroplasty: a prospective 2-year follow-up study of 33 patients with RSA. </w:t>
      </w:r>
      <w:r w:rsidRPr="00AD5289">
        <w:rPr>
          <w:rFonts w:ascii="Book Antiqua" w:hAnsi="Book Antiqua"/>
          <w:i/>
          <w:iCs/>
        </w:rPr>
        <w:t>Hip Int</w:t>
      </w:r>
      <w:r w:rsidRPr="00AD5289">
        <w:rPr>
          <w:rFonts w:ascii="Book Antiqua" w:hAnsi="Book Antiqua"/>
        </w:rPr>
        <w:t xml:space="preserve"> 2021; </w:t>
      </w:r>
      <w:r w:rsidRPr="00AD5289">
        <w:rPr>
          <w:rFonts w:ascii="Book Antiqua" w:hAnsi="Book Antiqua"/>
          <w:b/>
          <w:bCs/>
        </w:rPr>
        <w:t>31</w:t>
      </w:r>
      <w:r w:rsidRPr="00AD5289">
        <w:rPr>
          <w:rFonts w:ascii="Book Antiqua" w:hAnsi="Book Antiqua"/>
        </w:rPr>
        <w:t>: 507-515 [PMID: 31971010 DOI: 10.1177/1120700020901844]</w:t>
      </w:r>
    </w:p>
    <w:p w14:paraId="48A748E3" w14:textId="068CFF87" w:rsidR="006F3DB3" w:rsidRPr="00AD5289" w:rsidRDefault="006F3DB3" w:rsidP="00AD5289">
      <w:pPr>
        <w:spacing w:line="360" w:lineRule="auto"/>
        <w:jc w:val="both"/>
        <w:rPr>
          <w:rFonts w:ascii="Book Antiqua" w:hAnsi="Book Antiqua"/>
        </w:rPr>
      </w:pPr>
      <w:r w:rsidRPr="00AD5289">
        <w:rPr>
          <w:rFonts w:ascii="Book Antiqua" w:hAnsi="Book Antiqua"/>
        </w:rPr>
        <w:lastRenderedPageBreak/>
        <w:t xml:space="preserve">12 </w:t>
      </w:r>
      <w:r w:rsidRPr="00AD5289">
        <w:rPr>
          <w:rFonts w:ascii="Book Antiqua" w:hAnsi="Book Antiqua"/>
          <w:b/>
          <w:bCs/>
        </w:rPr>
        <w:t xml:space="preserve">ODEP. </w:t>
      </w:r>
      <w:r w:rsidRPr="00AD5289">
        <w:rPr>
          <w:rFonts w:ascii="Book Antiqua" w:hAnsi="Book Antiqua"/>
          <w:bCs/>
        </w:rPr>
        <w:t>Optimys,</w:t>
      </w:r>
      <w:r w:rsidRPr="00AD5289">
        <w:rPr>
          <w:rFonts w:ascii="Book Antiqua" w:hAnsi="Book Antiqua"/>
        </w:rPr>
        <w:t xml:space="preserve"> </w:t>
      </w:r>
      <w:r w:rsidR="007C1443" w:rsidRPr="00AD5289">
        <w:rPr>
          <w:rFonts w:ascii="Book Antiqua" w:hAnsi="Book Antiqua"/>
        </w:rPr>
        <w:t xml:space="preserve">(2021, accessed 24-03 2023).Available from: </w:t>
      </w:r>
      <w:r w:rsidRPr="00AD5289">
        <w:rPr>
          <w:rFonts w:ascii="Book Antiqua" w:hAnsi="Book Antiqua"/>
        </w:rPr>
        <w:t xml:space="preserve">https://www.odep.org.uk/product/optimys/ </w:t>
      </w:r>
    </w:p>
    <w:p w14:paraId="54A4191C" w14:textId="77777777" w:rsidR="006F3DB3" w:rsidRPr="00AD5289" w:rsidRDefault="006F3DB3" w:rsidP="00AD5289">
      <w:pPr>
        <w:spacing w:line="360" w:lineRule="auto"/>
        <w:jc w:val="both"/>
        <w:rPr>
          <w:rFonts w:ascii="Book Antiqua" w:hAnsi="Book Antiqua"/>
        </w:rPr>
      </w:pPr>
      <w:r w:rsidRPr="00780CD3">
        <w:rPr>
          <w:rFonts w:ascii="Book Antiqua" w:hAnsi="Book Antiqua"/>
          <w:lang w:val="nl-NL"/>
        </w:rPr>
        <w:t xml:space="preserve">13 </w:t>
      </w:r>
      <w:r w:rsidRPr="00780CD3">
        <w:rPr>
          <w:rFonts w:ascii="Book Antiqua" w:hAnsi="Book Antiqua"/>
          <w:b/>
          <w:bCs/>
          <w:lang w:val="nl-NL"/>
        </w:rPr>
        <w:t>de Groot IB</w:t>
      </w:r>
      <w:r w:rsidRPr="00780CD3">
        <w:rPr>
          <w:rFonts w:ascii="Book Antiqua" w:hAnsi="Book Antiqua"/>
          <w:lang w:val="nl-NL"/>
        </w:rPr>
        <w:t xml:space="preserve">, Reijman M, Terwee CB, Bierma-Zeinstra SM, Favejee M, Roos EM, Verhaar JA. </w:t>
      </w:r>
      <w:r w:rsidRPr="00AD5289">
        <w:rPr>
          <w:rFonts w:ascii="Book Antiqua" w:hAnsi="Book Antiqua"/>
        </w:rPr>
        <w:t xml:space="preserve">Validation of the Dutch version of the Hip disability and Osteoarthritis Outcome Score. </w:t>
      </w:r>
      <w:r w:rsidRPr="00AD5289">
        <w:rPr>
          <w:rFonts w:ascii="Book Antiqua" w:hAnsi="Book Antiqua"/>
          <w:i/>
          <w:iCs/>
        </w:rPr>
        <w:t>Osteoarthritis Cartilage</w:t>
      </w:r>
      <w:r w:rsidRPr="00AD5289">
        <w:rPr>
          <w:rFonts w:ascii="Book Antiqua" w:hAnsi="Book Antiqua"/>
        </w:rPr>
        <w:t xml:space="preserve"> 2007; </w:t>
      </w:r>
      <w:r w:rsidRPr="00AD5289">
        <w:rPr>
          <w:rFonts w:ascii="Book Antiqua" w:hAnsi="Book Antiqua"/>
          <w:b/>
          <w:bCs/>
        </w:rPr>
        <w:t>15</w:t>
      </w:r>
      <w:r w:rsidRPr="00AD5289">
        <w:rPr>
          <w:rFonts w:ascii="Book Antiqua" w:hAnsi="Book Antiqua"/>
        </w:rPr>
        <w:t>: 104-109 [PMID: 16890460 DOI: 10.1016/j.joca.2006.06.014]</w:t>
      </w:r>
    </w:p>
    <w:p w14:paraId="36642F8C"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14 </w:t>
      </w:r>
      <w:r w:rsidRPr="00AD5289">
        <w:rPr>
          <w:rFonts w:ascii="Book Antiqua" w:hAnsi="Book Antiqua"/>
          <w:b/>
          <w:bCs/>
        </w:rPr>
        <w:t>Aaronson NK</w:t>
      </w:r>
      <w:r w:rsidRPr="00AD5289">
        <w:rPr>
          <w:rFonts w:ascii="Book Antiqua" w:hAnsi="Book Antiqua"/>
        </w:rPr>
        <w:t xml:space="preserve">, Muller M, Cohen PD, Essink-Bot ML, Fekkes M, Sanderman R, Sprangers MA, te Velde A, Verrips E. Translation, validation, and norming of the Dutch language version of the SF-36 Health Survey in community and chronic disease populations. </w:t>
      </w:r>
      <w:r w:rsidRPr="00AD5289">
        <w:rPr>
          <w:rFonts w:ascii="Book Antiqua" w:hAnsi="Book Antiqua"/>
          <w:i/>
          <w:iCs/>
        </w:rPr>
        <w:t>J Clin Epidemiol</w:t>
      </w:r>
      <w:r w:rsidRPr="00AD5289">
        <w:rPr>
          <w:rFonts w:ascii="Book Antiqua" w:hAnsi="Book Antiqua"/>
        </w:rPr>
        <w:t xml:space="preserve"> 1998; </w:t>
      </w:r>
      <w:r w:rsidRPr="00AD5289">
        <w:rPr>
          <w:rFonts w:ascii="Book Antiqua" w:hAnsi="Book Antiqua"/>
          <w:b/>
          <w:bCs/>
        </w:rPr>
        <w:t>51</w:t>
      </w:r>
      <w:r w:rsidRPr="00AD5289">
        <w:rPr>
          <w:rFonts w:ascii="Book Antiqua" w:hAnsi="Book Antiqua"/>
        </w:rPr>
        <w:t>: 1055-1068 [PMID: 9817123 DOI: 10.1016/S0895-4356(98)00097-3]</w:t>
      </w:r>
    </w:p>
    <w:p w14:paraId="3C80E8AC"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15 </w:t>
      </w:r>
      <w:r w:rsidRPr="00AD5289">
        <w:rPr>
          <w:rFonts w:ascii="Book Antiqua" w:hAnsi="Book Antiqua"/>
          <w:b/>
          <w:bCs/>
        </w:rPr>
        <w:t>Ware JE Jr</w:t>
      </w:r>
      <w:r w:rsidRPr="00AD5289">
        <w:rPr>
          <w:rFonts w:ascii="Book Antiqua" w:hAnsi="Book Antiqua"/>
        </w:rPr>
        <w:t xml:space="preserve">, Sherbourne CD. The MOS 36-item short-form health survey (SF-36). I. Conceptual framework and item selection. </w:t>
      </w:r>
      <w:r w:rsidRPr="00AD5289">
        <w:rPr>
          <w:rFonts w:ascii="Book Antiqua" w:hAnsi="Book Antiqua"/>
          <w:i/>
          <w:iCs/>
        </w:rPr>
        <w:t>Med Care</w:t>
      </w:r>
      <w:r w:rsidRPr="00AD5289">
        <w:rPr>
          <w:rFonts w:ascii="Book Antiqua" w:hAnsi="Book Antiqua"/>
        </w:rPr>
        <w:t xml:space="preserve"> 1992; </w:t>
      </w:r>
      <w:r w:rsidRPr="00AD5289">
        <w:rPr>
          <w:rFonts w:ascii="Book Antiqua" w:hAnsi="Book Antiqua"/>
          <w:b/>
          <w:bCs/>
        </w:rPr>
        <w:t>30</w:t>
      </w:r>
      <w:r w:rsidRPr="00AD5289">
        <w:rPr>
          <w:rFonts w:ascii="Book Antiqua" w:hAnsi="Book Antiqua"/>
        </w:rPr>
        <w:t>: 473-483 [PMID: 1593914 DOI: 10.1097/00005650-199206000-00002]</w:t>
      </w:r>
    </w:p>
    <w:p w14:paraId="386AEE05" w14:textId="77777777" w:rsidR="006F3DB3" w:rsidRPr="00AD5289" w:rsidRDefault="006F3DB3" w:rsidP="00AD5289">
      <w:pPr>
        <w:spacing w:line="360" w:lineRule="auto"/>
        <w:jc w:val="both"/>
        <w:rPr>
          <w:rFonts w:ascii="Book Antiqua" w:hAnsi="Book Antiqua"/>
        </w:rPr>
      </w:pPr>
      <w:r w:rsidRPr="00780CD3">
        <w:rPr>
          <w:rFonts w:ascii="Book Antiqua" w:hAnsi="Book Antiqua"/>
          <w:lang w:val="nl-NL"/>
        </w:rPr>
        <w:t xml:space="preserve">16 </w:t>
      </w:r>
      <w:r w:rsidRPr="00780CD3">
        <w:rPr>
          <w:rFonts w:ascii="Book Antiqua" w:hAnsi="Book Antiqua"/>
          <w:b/>
          <w:bCs/>
          <w:lang w:val="nl-NL"/>
        </w:rPr>
        <w:t>Nilsdotter AK</w:t>
      </w:r>
      <w:r w:rsidRPr="00780CD3">
        <w:rPr>
          <w:rFonts w:ascii="Book Antiqua" w:hAnsi="Book Antiqua"/>
          <w:lang w:val="nl-NL"/>
        </w:rPr>
        <w:t xml:space="preserve">, Lohmander LS, Klässbo M, Roos EM. </w:t>
      </w:r>
      <w:r w:rsidRPr="00AD5289">
        <w:rPr>
          <w:rFonts w:ascii="Book Antiqua" w:hAnsi="Book Antiqua"/>
        </w:rPr>
        <w:t xml:space="preserve">Hip disability and osteoarthritis outcome score (HOOS)--validity and responsiveness in total hip replacement. </w:t>
      </w:r>
      <w:r w:rsidRPr="00AD5289">
        <w:rPr>
          <w:rFonts w:ascii="Book Antiqua" w:hAnsi="Book Antiqua"/>
          <w:i/>
          <w:iCs/>
        </w:rPr>
        <w:t>BMC Musculoskelet Disord</w:t>
      </w:r>
      <w:r w:rsidRPr="00AD5289">
        <w:rPr>
          <w:rFonts w:ascii="Book Antiqua" w:hAnsi="Book Antiqua"/>
        </w:rPr>
        <w:t xml:space="preserve"> 2003; </w:t>
      </w:r>
      <w:r w:rsidRPr="00AD5289">
        <w:rPr>
          <w:rFonts w:ascii="Book Antiqua" w:hAnsi="Book Antiqua"/>
          <w:b/>
          <w:bCs/>
        </w:rPr>
        <w:t>4</w:t>
      </w:r>
      <w:r w:rsidRPr="00AD5289">
        <w:rPr>
          <w:rFonts w:ascii="Book Antiqua" w:hAnsi="Book Antiqua"/>
        </w:rPr>
        <w:t>: 10 [PMID: 12777182 DOI: 10.1186/1471-2474-4-10]</w:t>
      </w:r>
    </w:p>
    <w:p w14:paraId="7939FFFE"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17 </w:t>
      </w:r>
      <w:r w:rsidRPr="00AD5289">
        <w:rPr>
          <w:rFonts w:ascii="Book Antiqua" w:hAnsi="Book Antiqua"/>
          <w:b/>
          <w:bCs/>
        </w:rPr>
        <w:t>Kandala NB</w:t>
      </w:r>
      <w:r w:rsidRPr="00AD5289">
        <w:rPr>
          <w:rFonts w:ascii="Book Antiqua" w:hAnsi="Book Antiqua"/>
        </w:rPr>
        <w:t xml:space="preserve">, Connock M, Pulikottil-Jacob R, Sutcliffe P, Crowther MJ, Grove A, Mistry H, Clarke A. Setting benchmark revision rates for total hip replacement: analysis of registry evidence. </w:t>
      </w:r>
      <w:r w:rsidRPr="00AD5289">
        <w:rPr>
          <w:rFonts w:ascii="Book Antiqua" w:hAnsi="Book Antiqua"/>
          <w:i/>
          <w:iCs/>
        </w:rPr>
        <w:t>BMJ</w:t>
      </w:r>
      <w:r w:rsidRPr="00AD5289">
        <w:rPr>
          <w:rFonts w:ascii="Book Antiqua" w:hAnsi="Book Antiqua"/>
        </w:rPr>
        <w:t xml:space="preserve"> 2015; </w:t>
      </w:r>
      <w:r w:rsidRPr="00AD5289">
        <w:rPr>
          <w:rFonts w:ascii="Book Antiqua" w:hAnsi="Book Antiqua"/>
          <w:b/>
          <w:bCs/>
        </w:rPr>
        <w:t>350</w:t>
      </w:r>
      <w:r w:rsidRPr="00AD5289">
        <w:rPr>
          <w:rFonts w:ascii="Book Antiqua" w:hAnsi="Book Antiqua"/>
        </w:rPr>
        <w:t>: h756 [PMID: 25752749 DOI: 10.1136/bmj.h756]</w:t>
      </w:r>
    </w:p>
    <w:p w14:paraId="411EACBC"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18 </w:t>
      </w:r>
      <w:r w:rsidRPr="00AD5289">
        <w:rPr>
          <w:rFonts w:ascii="Book Antiqua" w:hAnsi="Book Antiqua"/>
          <w:b/>
          <w:bCs/>
        </w:rPr>
        <w:t>Kutzner KP</w:t>
      </w:r>
      <w:r w:rsidRPr="00AD5289">
        <w:rPr>
          <w:rFonts w:ascii="Book Antiqua" w:hAnsi="Book Antiqua"/>
        </w:rPr>
        <w:t xml:space="preserve">, Maurer SM, Meinecke I, Heers G, Bosson D. Survivorship, complications and patient-reported outcomes in calcar-guided short-stem THA: prospective mid-term multicenter data of the first 879 hips. </w:t>
      </w:r>
      <w:r w:rsidRPr="00AD5289">
        <w:rPr>
          <w:rFonts w:ascii="Book Antiqua" w:hAnsi="Book Antiqua"/>
          <w:i/>
          <w:iCs/>
        </w:rPr>
        <w:t>Arch Orthop Trauma Surg</w:t>
      </w:r>
      <w:r w:rsidRPr="00AD5289">
        <w:rPr>
          <w:rFonts w:ascii="Book Antiqua" w:hAnsi="Book Antiqua"/>
        </w:rPr>
        <w:t xml:space="preserve"> 2023; </w:t>
      </w:r>
      <w:r w:rsidRPr="00AD5289">
        <w:rPr>
          <w:rFonts w:ascii="Book Antiqua" w:hAnsi="Book Antiqua"/>
          <w:b/>
          <w:bCs/>
        </w:rPr>
        <w:t>143</w:t>
      </w:r>
      <w:r w:rsidRPr="00AD5289">
        <w:rPr>
          <w:rFonts w:ascii="Book Antiqua" w:hAnsi="Book Antiqua"/>
        </w:rPr>
        <w:t>: 1049-1059 [PMID: 35076767 DOI: 10.1007/s00402-022-04354-z]</w:t>
      </w:r>
    </w:p>
    <w:p w14:paraId="50D56CB5"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19 </w:t>
      </w:r>
      <w:r w:rsidRPr="00AD5289">
        <w:rPr>
          <w:rFonts w:ascii="Book Antiqua" w:hAnsi="Book Antiqua"/>
          <w:b/>
          <w:bCs/>
        </w:rPr>
        <w:t>Harris WH</w:t>
      </w:r>
      <w:r w:rsidRPr="00AD5289">
        <w:rPr>
          <w:rFonts w:ascii="Book Antiqua" w:hAnsi="Book Antiqua"/>
        </w:rPr>
        <w:t xml:space="preserve">. Traumatic arthritis of the hip after dislocation and acetabular fractures: treatment by mold arthroplasty. An end-result study using a new method of result evaluation. </w:t>
      </w:r>
      <w:r w:rsidRPr="00AD5289">
        <w:rPr>
          <w:rFonts w:ascii="Book Antiqua" w:hAnsi="Book Antiqua"/>
          <w:i/>
          <w:iCs/>
        </w:rPr>
        <w:t>J Bone Joint Surg Am</w:t>
      </w:r>
      <w:r w:rsidRPr="00AD5289">
        <w:rPr>
          <w:rFonts w:ascii="Book Antiqua" w:hAnsi="Book Antiqua"/>
        </w:rPr>
        <w:t xml:space="preserve"> 1969; </w:t>
      </w:r>
      <w:r w:rsidRPr="00AD5289">
        <w:rPr>
          <w:rFonts w:ascii="Book Antiqua" w:hAnsi="Book Antiqua"/>
          <w:b/>
          <w:bCs/>
        </w:rPr>
        <w:t>51</w:t>
      </w:r>
      <w:r w:rsidRPr="00AD5289">
        <w:rPr>
          <w:rFonts w:ascii="Book Antiqua" w:hAnsi="Book Antiqua"/>
        </w:rPr>
        <w:t>: 737-755 [PMID: 5783851]</w:t>
      </w:r>
    </w:p>
    <w:p w14:paraId="26B82F60"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20 </w:t>
      </w:r>
      <w:r w:rsidRPr="00AD5289">
        <w:rPr>
          <w:rFonts w:ascii="Book Antiqua" w:hAnsi="Book Antiqua"/>
          <w:b/>
          <w:bCs/>
        </w:rPr>
        <w:t>Ettinger M</w:t>
      </w:r>
      <w:r w:rsidRPr="00AD5289">
        <w:rPr>
          <w:rFonts w:ascii="Book Antiqua" w:hAnsi="Book Antiqua"/>
        </w:rPr>
        <w:t xml:space="preserve">, Ettinger P, Lerch M, Radtke K, Budde S, Ezechieli M, Becher C, Thorey F. The NANOS short stem in total hip arthroplasty: a mid term follow-up. </w:t>
      </w:r>
      <w:r w:rsidRPr="00AD5289">
        <w:rPr>
          <w:rFonts w:ascii="Book Antiqua" w:hAnsi="Book Antiqua"/>
          <w:i/>
          <w:iCs/>
        </w:rPr>
        <w:t>Hip Int</w:t>
      </w:r>
      <w:r w:rsidRPr="00AD5289">
        <w:rPr>
          <w:rFonts w:ascii="Book Antiqua" w:hAnsi="Book Antiqua"/>
        </w:rPr>
        <w:t xml:space="preserve"> 2011; </w:t>
      </w:r>
      <w:r w:rsidRPr="00AD5289">
        <w:rPr>
          <w:rFonts w:ascii="Book Antiqua" w:hAnsi="Book Antiqua"/>
          <w:b/>
          <w:bCs/>
        </w:rPr>
        <w:t>21</w:t>
      </w:r>
      <w:r w:rsidRPr="00AD5289">
        <w:rPr>
          <w:rFonts w:ascii="Book Antiqua" w:hAnsi="Book Antiqua"/>
        </w:rPr>
        <w:t>: 583-586 [PMID: 21948037 DOI: 10.5301/HIP.2011.8658]</w:t>
      </w:r>
    </w:p>
    <w:p w14:paraId="02FE44A1" w14:textId="77777777" w:rsidR="006F3DB3" w:rsidRPr="00AD5289" w:rsidRDefault="006F3DB3" w:rsidP="00AD5289">
      <w:pPr>
        <w:spacing w:line="360" w:lineRule="auto"/>
        <w:jc w:val="both"/>
        <w:rPr>
          <w:rFonts w:ascii="Book Antiqua" w:hAnsi="Book Antiqua"/>
        </w:rPr>
      </w:pPr>
      <w:r w:rsidRPr="00AD5289">
        <w:rPr>
          <w:rFonts w:ascii="Book Antiqua" w:hAnsi="Book Antiqua"/>
        </w:rPr>
        <w:lastRenderedPageBreak/>
        <w:t xml:space="preserve">21 </w:t>
      </w:r>
      <w:r w:rsidRPr="00AD5289">
        <w:rPr>
          <w:rFonts w:ascii="Book Antiqua" w:hAnsi="Book Antiqua"/>
          <w:b/>
          <w:bCs/>
        </w:rPr>
        <w:t>Thalmann C</w:t>
      </w:r>
      <w:r w:rsidRPr="00AD5289">
        <w:rPr>
          <w:rFonts w:ascii="Book Antiqua" w:hAnsi="Book Antiqua"/>
        </w:rPr>
        <w:t xml:space="preserve">, Kempter P, Stoffel K, Ziswiler T, Frigg A. Prospective 5-year study with 96 short curved Fitmore™ hip stems shows a high incidence of cortical hypertrophy with no clinical relevance. </w:t>
      </w:r>
      <w:r w:rsidRPr="00AD5289">
        <w:rPr>
          <w:rFonts w:ascii="Book Antiqua" w:hAnsi="Book Antiqua"/>
          <w:i/>
          <w:iCs/>
        </w:rPr>
        <w:t>J Orthop Surg Res</w:t>
      </w:r>
      <w:r w:rsidRPr="00AD5289">
        <w:rPr>
          <w:rFonts w:ascii="Book Antiqua" w:hAnsi="Book Antiqua"/>
        </w:rPr>
        <w:t xml:space="preserve"> 2019; </w:t>
      </w:r>
      <w:r w:rsidRPr="00AD5289">
        <w:rPr>
          <w:rFonts w:ascii="Book Antiqua" w:hAnsi="Book Antiqua"/>
          <w:b/>
          <w:bCs/>
        </w:rPr>
        <w:t>14</w:t>
      </w:r>
      <w:r w:rsidRPr="00AD5289">
        <w:rPr>
          <w:rFonts w:ascii="Book Antiqua" w:hAnsi="Book Antiqua"/>
        </w:rPr>
        <w:t>: 156 [PMID: 31133027 DOI: 10.1186/s13018-019-1174-1]</w:t>
      </w:r>
    </w:p>
    <w:p w14:paraId="6F9B844A" w14:textId="77777777" w:rsidR="006F3DB3" w:rsidRPr="00AD5289" w:rsidRDefault="006F3DB3" w:rsidP="00AD5289">
      <w:pPr>
        <w:spacing w:line="360" w:lineRule="auto"/>
        <w:jc w:val="both"/>
        <w:rPr>
          <w:rFonts w:ascii="Book Antiqua" w:hAnsi="Book Antiqua"/>
        </w:rPr>
      </w:pPr>
      <w:r w:rsidRPr="00AD5289">
        <w:rPr>
          <w:rFonts w:ascii="Book Antiqua" w:hAnsi="Book Antiqua"/>
        </w:rPr>
        <w:t xml:space="preserve">22 </w:t>
      </w:r>
      <w:r w:rsidRPr="00AD5289">
        <w:rPr>
          <w:rFonts w:ascii="Book Antiqua" w:hAnsi="Book Antiqua"/>
          <w:b/>
          <w:bCs/>
        </w:rPr>
        <w:t>van Oldenrijk J</w:t>
      </w:r>
      <w:r w:rsidRPr="00AD5289">
        <w:rPr>
          <w:rFonts w:ascii="Book Antiqua" w:hAnsi="Book Antiqua"/>
        </w:rPr>
        <w:t xml:space="preserve">, Molleman J, Klaver M, Poolman RW, Haverkamp D. Revision rate after short-stem total hip arthroplasty: a systematic review of 49 studies. </w:t>
      </w:r>
      <w:r w:rsidRPr="00AD5289">
        <w:rPr>
          <w:rFonts w:ascii="Book Antiqua" w:hAnsi="Book Antiqua"/>
          <w:i/>
          <w:iCs/>
        </w:rPr>
        <w:t>Acta Orthop</w:t>
      </w:r>
      <w:r w:rsidRPr="00AD5289">
        <w:rPr>
          <w:rFonts w:ascii="Book Antiqua" w:hAnsi="Book Antiqua"/>
        </w:rPr>
        <w:t xml:space="preserve"> 2014; </w:t>
      </w:r>
      <w:r w:rsidRPr="00AD5289">
        <w:rPr>
          <w:rFonts w:ascii="Book Antiqua" w:hAnsi="Book Antiqua"/>
          <w:b/>
          <w:bCs/>
        </w:rPr>
        <w:t>85</w:t>
      </w:r>
      <w:r w:rsidRPr="00AD5289">
        <w:rPr>
          <w:rFonts w:ascii="Book Antiqua" w:hAnsi="Book Antiqua"/>
        </w:rPr>
        <w:t>: 250-258 [PMID: 24694271 DOI: 10.3109/17453674.2014.908343]</w:t>
      </w:r>
    </w:p>
    <w:bookmarkEnd w:id="430"/>
    <w:bookmarkEnd w:id="431"/>
    <w:p w14:paraId="74018DDA" w14:textId="77777777" w:rsidR="00A77B3E" w:rsidRDefault="00A77B3E" w:rsidP="00AD5289">
      <w:pPr>
        <w:spacing w:line="360" w:lineRule="auto"/>
        <w:jc w:val="both"/>
        <w:rPr>
          <w:rFonts w:ascii="Book Antiqua" w:hAnsi="Book Antiqua"/>
        </w:rPr>
      </w:pPr>
    </w:p>
    <w:p w14:paraId="7AF9079B" w14:textId="77777777" w:rsidR="00A77B3E" w:rsidRPr="00B21D67" w:rsidRDefault="00B13A0C" w:rsidP="00AD5289">
      <w:pPr>
        <w:spacing w:line="360" w:lineRule="auto"/>
        <w:jc w:val="both"/>
        <w:rPr>
          <w:rFonts w:ascii="Book Antiqua" w:hAnsi="Book Antiqua"/>
        </w:rPr>
      </w:pPr>
      <w:r w:rsidRPr="00780CD3">
        <w:rPr>
          <w:rFonts w:ascii="Book Antiqua" w:eastAsia="Book Antiqua" w:hAnsi="Book Antiqua" w:cs="Book Antiqua"/>
          <w:b/>
        </w:rPr>
        <w:t>Footnotes</w:t>
      </w:r>
    </w:p>
    <w:p w14:paraId="3EA5C343" w14:textId="0773B02A" w:rsidR="00A77B3E" w:rsidRPr="00B21D67" w:rsidRDefault="00B13A0C" w:rsidP="00AD5289">
      <w:pPr>
        <w:spacing w:line="360" w:lineRule="auto"/>
        <w:jc w:val="both"/>
        <w:rPr>
          <w:rFonts w:ascii="Book Antiqua" w:hAnsi="Book Antiqua"/>
        </w:rPr>
      </w:pPr>
      <w:r w:rsidRPr="00B21D67">
        <w:rPr>
          <w:rFonts w:ascii="Book Antiqua" w:eastAsia="Book Antiqua" w:hAnsi="Book Antiqua" w:cs="Book Antiqua"/>
          <w:b/>
          <w:bCs/>
        </w:rPr>
        <w:t xml:space="preserve">Institutional review board statement: </w:t>
      </w:r>
      <w:r w:rsidRPr="00B21D67">
        <w:rPr>
          <w:rFonts w:ascii="Book Antiqua" w:eastAsia="Book Antiqua" w:hAnsi="Book Antiqua" w:cs="Book Antiqua"/>
        </w:rPr>
        <w:t>This study was reviewed and approved by the Slotervaarziekenhuis en Reade Institutional Review Board (</w:t>
      </w:r>
      <w:r w:rsidR="00D81477" w:rsidRPr="00B21D67">
        <w:rPr>
          <w:rFonts w:ascii="Book Antiqua" w:eastAsia="Book Antiqua" w:hAnsi="Book Antiqua" w:cs="Book Antiqua"/>
        </w:rPr>
        <w:t>approval</w:t>
      </w:r>
      <w:r w:rsidRPr="00B21D67">
        <w:rPr>
          <w:rFonts w:ascii="Book Antiqua" w:eastAsia="Book Antiqua" w:hAnsi="Book Antiqua" w:cs="Book Antiqua"/>
        </w:rPr>
        <w:t xml:space="preserve"> </w:t>
      </w:r>
      <w:r w:rsidR="00D81477" w:rsidRPr="00B21D67">
        <w:rPr>
          <w:rFonts w:ascii="Book Antiqua" w:eastAsia="Book Antiqua" w:hAnsi="Book Antiqua" w:cs="Book Antiqua"/>
          <w:lang w:eastAsia="zh-CN"/>
        </w:rPr>
        <w:t>N</w:t>
      </w:r>
      <w:r w:rsidRPr="00B21D67">
        <w:rPr>
          <w:rFonts w:ascii="Book Antiqua" w:eastAsia="Book Antiqua" w:hAnsi="Book Antiqua" w:cs="Book Antiqua"/>
        </w:rPr>
        <w:t>o. NL47055.048.13)</w:t>
      </w:r>
      <w:r w:rsidR="00EE02A1" w:rsidRPr="00B21D67">
        <w:rPr>
          <w:rFonts w:ascii="Book Antiqua" w:eastAsia="Book Antiqua" w:hAnsi="Book Antiqua" w:cs="Book Antiqua"/>
        </w:rPr>
        <w:t>.</w:t>
      </w:r>
    </w:p>
    <w:p w14:paraId="7840C837" w14:textId="77777777" w:rsidR="00A77B3E" w:rsidRPr="00B21D67" w:rsidRDefault="00A77B3E" w:rsidP="00AD5289">
      <w:pPr>
        <w:spacing w:line="360" w:lineRule="auto"/>
        <w:jc w:val="both"/>
        <w:rPr>
          <w:rFonts w:ascii="Book Antiqua" w:hAnsi="Book Antiqua"/>
        </w:rPr>
      </w:pPr>
    </w:p>
    <w:p w14:paraId="684DCEE1" w14:textId="77777777" w:rsidR="00A77B3E" w:rsidRPr="00B21D67" w:rsidRDefault="00B13A0C" w:rsidP="00AD5289">
      <w:pPr>
        <w:spacing w:line="360" w:lineRule="auto"/>
        <w:jc w:val="both"/>
        <w:rPr>
          <w:rFonts w:ascii="Book Antiqua" w:hAnsi="Book Antiqua"/>
        </w:rPr>
      </w:pPr>
      <w:r w:rsidRPr="00B21D67">
        <w:rPr>
          <w:rFonts w:ascii="Book Antiqua" w:eastAsia="Book Antiqua" w:hAnsi="Book Antiqua" w:cs="Book Antiqua"/>
          <w:b/>
          <w:bCs/>
        </w:rPr>
        <w:t xml:space="preserve">Informed consent statement: </w:t>
      </w:r>
      <w:r w:rsidRPr="00780CD3">
        <w:rPr>
          <w:rFonts w:ascii="Book Antiqua" w:eastAsia="Book Antiqua" w:hAnsi="Book Antiqua" w:cs="Book Antiqua"/>
        </w:rPr>
        <w:t>All study participants, or their legal guardian, provided informed written consent prior to study enrollment.</w:t>
      </w:r>
    </w:p>
    <w:p w14:paraId="0C0672F8" w14:textId="77777777" w:rsidR="00A77B3E" w:rsidRPr="00B21D67" w:rsidRDefault="00A77B3E" w:rsidP="00AD5289">
      <w:pPr>
        <w:spacing w:line="360" w:lineRule="auto"/>
        <w:jc w:val="both"/>
        <w:rPr>
          <w:rFonts w:ascii="Book Antiqua" w:hAnsi="Book Antiqua"/>
        </w:rPr>
      </w:pPr>
    </w:p>
    <w:p w14:paraId="6E7556C7" w14:textId="55A0D479" w:rsidR="00A77B3E" w:rsidRPr="00B21D67" w:rsidRDefault="00B13A0C" w:rsidP="00AD5289">
      <w:pPr>
        <w:spacing w:line="360" w:lineRule="auto"/>
        <w:jc w:val="both"/>
        <w:rPr>
          <w:rFonts w:ascii="Book Antiqua" w:hAnsi="Book Antiqua"/>
        </w:rPr>
      </w:pPr>
      <w:r w:rsidRPr="00B21D67">
        <w:rPr>
          <w:rFonts w:ascii="Book Antiqua" w:eastAsia="Book Antiqua" w:hAnsi="Book Antiqua" w:cs="Book Antiqua"/>
          <w:b/>
          <w:bCs/>
        </w:rPr>
        <w:t xml:space="preserve">Conflict-of-interest statement: </w:t>
      </w:r>
      <w:r w:rsidR="00AA2A67">
        <w:rPr>
          <w:rFonts w:ascii="Book Antiqua" w:eastAsia="Book Antiqua" w:hAnsi="Book Antiqua" w:cs="Book Antiqua"/>
        </w:rPr>
        <w:t>There are n</w:t>
      </w:r>
      <w:r w:rsidRPr="00B21D67">
        <w:rPr>
          <w:rFonts w:ascii="Book Antiqua" w:eastAsia="Book Antiqua" w:hAnsi="Book Antiqua" w:cs="Book Antiqua"/>
        </w:rPr>
        <w:t>o conflict</w:t>
      </w:r>
      <w:r w:rsidR="00C768FA">
        <w:rPr>
          <w:rFonts w:ascii="Book Antiqua" w:eastAsia="Book Antiqua" w:hAnsi="Book Antiqua" w:cs="Book Antiqua"/>
        </w:rPr>
        <w:t>s</w:t>
      </w:r>
      <w:r w:rsidRPr="00B21D67">
        <w:rPr>
          <w:rFonts w:ascii="Book Antiqua" w:eastAsia="Book Antiqua" w:hAnsi="Book Antiqua" w:cs="Book Antiqua"/>
        </w:rPr>
        <w:t xml:space="preserve"> of interest for </w:t>
      </w:r>
      <w:r w:rsidR="00AA2A67">
        <w:rPr>
          <w:rFonts w:ascii="Book Antiqua" w:eastAsia="Book Antiqua" w:hAnsi="Book Antiqua" w:cs="Book Antiqua"/>
        </w:rPr>
        <w:t>any of the</w:t>
      </w:r>
      <w:r w:rsidR="00AA2A67" w:rsidRPr="00B21D67">
        <w:rPr>
          <w:rFonts w:ascii="Book Antiqua" w:eastAsia="Book Antiqua" w:hAnsi="Book Antiqua" w:cs="Book Antiqua"/>
        </w:rPr>
        <w:t xml:space="preserve"> </w:t>
      </w:r>
      <w:r w:rsidRPr="00B21D67">
        <w:rPr>
          <w:rFonts w:ascii="Book Antiqua" w:eastAsia="Book Antiqua" w:hAnsi="Book Antiqua" w:cs="Book Antiqua"/>
        </w:rPr>
        <w:t>authors regarding this study</w:t>
      </w:r>
      <w:r w:rsidR="00C768FA">
        <w:rPr>
          <w:rFonts w:ascii="Book Antiqua" w:eastAsia="Book Antiqua" w:hAnsi="Book Antiqua" w:cs="Book Antiqua"/>
        </w:rPr>
        <w:t>.</w:t>
      </w:r>
    </w:p>
    <w:p w14:paraId="268F0376" w14:textId="77777777" w:rsidR="00A77B3E" w:rsidRPr="00B21D67" w:rsidRDefault="00A77B3E" w:rsidP="00AD5289">
      <w:pPr>
        <w:spacing w:line="360" w:lineRule="auto"/>
        <w:jc w:val="both"/>
        <w:rPr>
          <w:rFonts w:ascii="Book Antiqua" w:hAnsi="Book Antiqua"/>
        </w:rPr>
      </w:pPr>
    </w:p>
    <w:p w14:paraId="113E2A7D" w14:textId="05CC0C36" w:rsidR="00A77B3E" w:rsidRPr="00B21D67" w:rsidRDefault="00B13A0C" w:rsidP="00AD5289">
      <w:pPr>
        <w:spacing w:line="360" w:lineRule="auto"/>
        <w:jc w:val="both"/>
        <w:rPr>
          <w:rFonts w:ascii="Book Antiqua" w:hAnsi="Book Antiqua"/>
        </w:rPr>
      </w:pPr>
      <w:r w:rsidRPr="00B21D67">
        <w:rPr>
          <w:rFonts w:ascii="Book Antiqua" w:eastAsia="Book Antiqua" w:hAnsi="Book Antiqua" w:cs="Book Antiqua"/>
          <w:b/>
          <w:bCs/>
        </w:rPr>
        <w:t xml:space="preserve">Data sharing statement: </w:t>
      </w:r>
      <w:r w:rsidRPr="00780CD3">
        <w:rPr>
          <w:rFonts w:ascii="Book Antiqua" w:eastAsia="Book Antiqua" w:hAnsi="Book Antiqua" w:cs="Book Antiqua"/>
        </w:rPr>
        <w:t>Dataset is available from the corresponding author at s.dewaard21@gmail.com.</w:t>
      </w:r>
      <w:r w:rsidR="003C2DC5" w:rsidRPr="00B21D67">
        <w:rPr>
          <w:rFonts w:ascii="Book Antiqua" w:hAnsi="Book Antiqua"/>
          <w:lang w:eastAsia="zh-CN"/>
        </w:rPr>
        <w:t xml:space="preserve"> </w:t>
      </w:r>
      <w:r w:rsidRPr="00780CD3">
        <w:rPr>
          <w:rFonts w:ascii="Book Antiqua" w:eastAsia="Book Antiqua" w:hAnsi="Book Antiqua" w:cs="Book Antiqua"/>
        </w:rPr>
        <w:t>Participants gave informed consent for using their data for publication.</w:t>
      </w:r>
    </w:p>
    <w:p w14:paraId="665CDC3A" w14:textId="77777777" w:rsidR="00A77B3E" w:rsidRPr="00AD5289" w:rsidRDefault="00A77B3E" w:rsidP="00AD5289">
      <w:pPr>
        <w:spacing w:line="360" w:lineRule="auto"/>
        <w:jc w:val="both"/>
        <w:rPr>
          <w:rFonts w:ascii="Book Antiqua" w:hAnsi="Book Antiqua"/>
        </w:rPr>
      </w:pPr>
    </w:p>
    <w:p w14:paraId="79180C01" w14:textId="42E46736" w:rsidR="00011566" w:rsidRPr="00AD5289" w:rsidRDefault="00011566" w:rsidP="00AD5289">
      <w:pPr>
        <w:snapToGrid w:val="0"/>
        <w:spacing w:line="360" w:lineRule="auto"/>
        <w:jc w:val="both"/>
        <w:rPr>
          <w:rFonts w:ascii="Book Antiqua" w:hAnsi="Book Antiqua"/>
          <w:b/>
          <w:bCs/>
          <w:color w:val="000000"/>
        </w:rPr>
      </w:pPr>
      <w:r w:rsidRPr="00AD5289">
        <w:rPr>
          <w:rFonts w:ascii="Book Antiqua" w:hAnsi="Book Antiqua"/>
          <w:b/>
          <w:bCs/>
          <w:color w:val="000000"/>
        </w:rPr>
        <w:t>CONSORT 2010 statement:</w:t>
      </w:r>
      <w:r w:rsidR="00424EA4" w:rsidRPr="00AD5289">
        <w:rPr>
          <w:rFonts w:ascii="Book Antiqua" w:hAnsi="Book Antiqua"/>
        </w:rPr>
        <w:t xml:space="preserve"> </w:t>
      </w:r>
      <w:r w:rsidR="00424EA4" w:rsidRPr="00AD5289">
        <w:rPr>
          <w:rFonts w:ascii="Book Antiqua" w:hAnsi="Book Antiqua"/>
          <w:bCs/>
          <w:color w:val="000000"/>
        </w:rPr>
        <w:t>The authors have read the CONSORT 2010 statement, and the manuscript was prepared and revised according to the CONSORT 2010 statement.</w:t>
      </w:r>
    </w:p>
    <w:p w14:paraId="3CA8AAB3" w14:textId="77777777" w:rsidR="00011566" w:rsidRPr="00AD5289" w:rsidRDefault="00011566" w:rsidP="00AD5289">
      <w:pPr>
        <w:spacing w:line="360" w:lineRule="auto"/>
        <w:jc w:val="both"/>
        <w:rPr>
          <w:rFonts w:ascii="Book Antiqua" w:hAnsi="Book Antiqua"/>
        </w:rPr>
      </w:pPr>
    </w:p>
    <w:p w14:paraId="13797CAF"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bCs/>
        </w:rPr>
        <w:t xml:space="preserve">Open-Access: </w:t>
      </w:r>
      <w:r w:rsidRPr="00AD528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AD5289">
        <w:rPr>
          <w:rFonts w:ascii="Book Antiqua" w:eastAsia="Book Antiqua" w:hAnsi="Book Antiqua" w:cs="Book Antiqua"/>
        </w:rPr>
        <w:lastRenderedPageBreak/>
        <w:t>their derivative works on different terms, provided the original work is properly cited and the use is non-commercial. See: https://creativecommons.org/Licenses/by-nc/4.0/</w:t>
      </w:r>
    </w:p>
    <w:p w14:paraId="36B0F05C" w14:textId="77777777" w:rsidR="00A77B3E" w:rsidRPr="00AD5289" w:rsidRDefault="00A77B3E" w:rsidP="00AD5289">
      <w:pPr>
        <w:spacing w:line="360" w:lineRule="auto"/>
        <w:jc w:val="both"/>
        <w:rPr>
          <w:rFonts w:ascii="Book Antiqua" w:hAnsi="Book Antiqua"/>
        </w:rPr>
      </w:pPr>
    </w:p>
    <w:p w14:paraId="3D01C866"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 xml:space="preserve">Provenance and peer review: </w:t>
      </w:r>
      <w:r w:rsidRPr="00AD5289">
        <w:rPr>
          <w:rFonts w:ascii="Book Antiqua" w:eastAsia="Book Antiqua" w:hAnsi="Book Antiqua" w:cs="Book Antiqua"/>
        </w:rPr>
        <w:t>Invited article; Externally peer reviewed.</w:t>
      </w:r>
    </w:p>
    <w:p w14:paraId="0871B5C5"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 xml:space="preserve">Peer-review model: </w:t>
      </w:r>
      <w:r w:rsidRPr="00AD5289">
        <w:rPr>
          <w:rFonts w:ascii="Book Antiqua" w:eastAsia="Book Antiqua" w:hAnsi="Book Antiqua" w:cs="Book Antiqua"/>
        </w:rPr>
        <w:t>Single blind</w:t>
      </w:r>
    </w:p>
    <w:p w14:paraId="0D56E956" w14:textId="77777777" w:rsidR="00A77B3E" w:rsidRPr="00AD5289" w:rsidRDefault="00A77B3E" w:rsidP="00AD5289">
      <w:pPr>
        <w:spacing w:line="360" w:lineRule="auto"/>
        <w:jc w:val="both"/>
        <w:rPr>
          <w:rFonts w:ascii="Book Antiqua" w:hAnsi="Book Antiqua"/>
        </w:rPr>
      </w:pPr>
    </w:p>
    <w:p w14:paraId="5A424682"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 xml:space="preserve">Peer-review started: </w:t>
      </w:r>
      <w:r w:rsidRPr="00AD5289">
        <w:rPr>
          <w:rFonts w:ascii="Book Antiqua" w:eastAsia="Book Antiqua" w:hAnsi="Book Antiqua" w:cs="Book Antiqua"/>
        </w:rPr>
        <w:t>November 1, 2023</w:t>
      </w:r>
    </w:p>
    <w:p w14:paraId="3B97C0E5"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 xml:space="preserve">First decision: </w:t>
      </w:r>
      <w:r w:rsidRPr="00AD5289">
        <w:rPr>
          <w:rFonts w:ascii="Book Antiqua" w:eastAsia="Book Antiqua" w:hAnsi="Book Antiqua" w:cs="Book Antiqua"/>
        </w:rPr>
        <w:t>November 29, 2023</w:t>
      </w:r>
    </w:p>
    <w:p w14:paraId="47CFD899"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 xml:space="preserve">Article in press: </w:t>
      </w:r>
    </w:p>
    <w:p w14:paraId="0BB54365" w14:textId="77777777" w:rsidR="00A77B3E" w:rsidRPr="00AD5289" w:rsidRDefault="00A77B3E" w:rsidP="00AD5289">
      <w:pPr>
        <w:spacing w:line="360" w:lineRule="auto"/>
        <w:jc w:val="both"/>
        <w:rPr>
          <w:rFonts w:ascii="Book Antiqua" w:hAnsi="Book Antiqua"/>
        </w:rPr>
      </w:pPr>
    </w:p>
    <w:p w14:paraId="43E73D0D"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 xml:space="preserve">Specialty type: </w:t>
      </w:r>
      <w:r w:rsidRPr="00AD5289">
        <w:rPr>
          <w:rFonts w:ascii="Book Antiqua" w:eastAsia="Book Antiqua" w:hAnsi="Book Antiqua" w:cs="Book Antiqua"/>
        </w:rPr>
        <w:t>Orthopedics</w:t>
      </w:r>
    </w:p>
    <w:p w14:paraId="191E00E1"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 xml:space="preserve">Country/Territory of origin: </w:t>
      </w:r>
      <w:r w:rsidRPr="00AD5289">
        <w:rPr>
          <w:rFonts w:ascii="Book Antiqua" w:eastAsia="Book Antiqua" w:hAnsi="Book Antiqua" w:cs="Book Antiqua"/>
        </w:rPr>
        <w:t>Netherlands</w:t>
      </w:r>
    </w:p>
    <w:p w14:paraId="2F147375"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b/>
          <w:color w:val="000000"/>
        </w:rPr>
        <w:t>Peer-review report’s scientific quality classification</w:t>
      </w:r>
    </w:p>
    <w:p w14:paraId="3E9E206D"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rPr>
        <w:t>Grade A (Excellent): 0</w:t>
      </w:r>
    </w:p>
    <w:p w14:paraId="534ED608"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rPr>
        <w:t>Grade B (Very good): B</w:t>
      </w:r>
    </w:p>
    <w:p w14:paraId="1275C1FB"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rPr>
        <w:t>Grade C (Good): 0</w:t>
      </w:r>
    </w:p>
    <w:p w14:paraId="4A9F8230"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rPr>
        <w:t>Grade D (Fair): 0</w:t>
      </w:r>
    </w:p>
    <w:p w14:paraId="64525AA1" w14:textId="77777777" w:rsidR="00A77B3E" w:rsidRPr="00AD5289" w:rsidRDefault="00B13A0C" w:rsidP="00AD5289">
      <w:pPr>
        <w:spacing w:line="360" w:lineRule="auto"/>
        <w:jc w:val="both"/>
        <w:rPr>
          <w:rFonts w:ascii="Book Antiqua" w:hAnsi="Book Antiqua"/>
        </w:rPr>
      </w:pPr>
      <w:r w:rsidRPr="00AD5289">
        <w:rPr>
          <w:rFonts w:ascii="Book Antiqua" w:eastAsia="Book Antiqua" w:hAnsi="Book Antiqua" w:cs="Book Antiqua"/>
        </w:rPr>
        <w:t>Grade E (Poor): 0</w:t>
      </w:r>
    </w:p>
    <w:p w14:paraId="466BC19B" w14:textId="77777777" w:rsidR="00A77B3E" w:rsidRPr="00AD5289" w:rsidRDefault="00A77B3E" w:rsidP="00AD5289">
      <w:pPr>
        <w:spacing w:line="360" w:lineRule="auto"/>
        <w:jc w:val="both"/>
        <w:rPr>
          <w:rFonts w:ascii="Book Antiqua" w:hAnsi="Book Antiqua"/>
        </w:rPr>
      </w:pPr>
    </w:p>
    <w:p w14:paraId="2EEF3F76" w14:textId="7C39F34D" w:rsidR="00E758A7" w:rsidRPr="00AD5289" w:rsidRDefault="00B13A0C" w:rsidP="00AD5289">
      <w:pPr>
        <w:spacing w:line="360" w:lineRule="auto"/>
        <w:jc w:val="both"/>
        <w:rPr>
          <w:rFonts w:ascii="Book Antiqua" w:eastAsia="Book Antiqua" w:hAnsi="Book Antiqua" w:cs="Book Antiqua"/>
          <w:b/>
          <w:color w:val="000000"/>
        </w:rPr>
      </w:pPr>
      <w:r w:rsidRPr="00AD5289">
        <w:rPr>
          <w:rFonts w:ascii="Book Antiqua" w:eastAsia="Book Antiqua" w:hAnsi="Book Antiqua" w:cs="Book Antiqua"/>
          <w:b/>
          <w:color w:val="000000"/>
        </w:rPr>
        <w:t xml:space="preserve">P-Reviewer: </w:t>
      </w:r>
      <w:r w:rsidRPr="00AD5289">
        <w:rPr>
          <w:rFonts w:ascii="Book Antiqua" w:eastAsia="Book Antiqua" w:hAnsi="Book Antiqua" w:cs="Book Antiqua"/>
        </w:rPr>
        <w:t>Kutzner KP, Germany</w:t>
      </w:r>
      <w:r w:rsidRPr="00AD5289">
        <w:rPr>
          <w:rFonts w:ascii="Book Antiqua" w:eastAsia="Book Antiqua" w:hAnsi="Book Antiqua" w:cs="Book Antiqua"/>
          <w:b/>
          <w:color w:val="000000"/>
        </w:rPr>
        <w:t xml:space="preserve"> S-Editor: </w:t>
      </w:r>
      <w:r w:rsidR="00084039" w:rsidRPr="00AD5289">
        <w:rPr>
          <w:rFonts w:ascii="Book Antiqua" w:eastAsia="Book Antiqua" w:hAnsi="Book Antiqua" w:cs="Book Antiqua"/>
          <w:color w:val="000000"/>
        </w:rPr>
        <w:t>Liu JH</w:t>
      </w:r>
      <w:r w:rsidRPr="00AD5289">
        <w:rPr>
          <w:rFonts w:ascii="Book Antiqua" w:eastAsia="Book Antiqua" w:hAnsi="Book Antiqua" w:cs="Book Antiqua"/>
          <w:b/>
          <w:color w:val="000000"/>
        </w:rPr>
        <w:t xml:space="preserve"> L-Editor</w:t>
      </w:r>
      <w:r w:rsidRPr="00AD5289">
        <w:rPr>
          <w:rFonts w:ascii="Book Antiqua" w:eastAsia="Book Antiqua" w:hAnsi="Book Antiqua" w:cs="Book Antiqua"/>
          <w:bCs/>
          <w:color w:val="000000"/>
        </w:rPr>
        <w:t>:</w:t>
      </w:r>
      <w:r w:rsidRPr="00AD5289">
        <w:rPr>
          <w:rFonts w:ascii="Book Antiqua" w:eastAsia="Book Antiqua" w:hAnsi="Book Antiqua" w:cs="Book Antiqua"/>
          <w:b/>
          <w:color w:val="000000"/>
        </w:rPr>
        <w:t xml:space="preserve"> </w:t>
      </w:r>
      <w:r w:rsidR="005C6BF0" w:rsidRPr="00AD5289">
        <w:rPr>
          <w:rFonts w:ascii="Book Antiqua" w:eastAsia="Book Antiqua" w:hAnsi="Book Antiqua" w:cs="Book Antiqua"/>
          <w:bCs/>
          <w:color w:val="000000"/>
        </w:rPr>
        <w:t>Filipodia</w:t>
      </w:r>
      <w:r w:rsidRPr="00AD5289">
        <w:rPr>
          <w:rFonts w:ascii="Book Antiqua" w:eastAsia="Book Antiqua" w:hAnsi="Book Antiqua" w:cs="Book Antiqua"/>
          <w:b/>
          <w:color w:val="000000"/>
        </w:rPr>
        <w:t xml:space="preserve"> P-Editor: </w:t>
      </w:r>
    </w:p>
    <w:p w14:paraId="617325AA" w14:textId="77777777" w:rsidR="00C768FA" w:rsidRDefault="00C768FA" w:rsidP="00AD5289">
      <w:pPr>
        <w:spacing w:line="360" w:lineRule="auto"/>
        <w:jc w:val="both"/>
        <w:rPr>
          <w:rFonts w:ascii="Book Antiqua" w:eastAsia="Book Antiqua" w:hAnsi="Book Antiqua" w:cs="Book Antiqua"/>
          <w:b/>
          <w:color w:val="000000"/>
        </w:rPr>
      </w:pPr>
    </w:p>
    <w:p w14:paraId="595315AF" w14:textId="1604020C" w:rsidR="00447E1A" w:rsidRPr="00AD5289" w:rsidRDefault="00434D4F" w:rsidP="00AD5289">
      <w:pPr>
        <w:spacing w:line="360" w:lineRule="auto"/>
        <w:jc w:val="both"/>
        <w:rPr>
          <w:rFonts w:ascii="Book Antiqua" w:eastAsia="Book Antiqua" w:hAnsi="Book Antiqua" w:cs="Book Antiqua"/>
          <w:b/>
          <w:color w:val="000000"/>
        </w:rPr>
      </w:pPr>
      <w:r w:rsidRPr="00AD5289">
        <w:rPr>
          <w:rFonts w:ascii="Book Antiqua" w:eastAsia="Book Antiqua" w:hAnsi="Book Antiqua" w:cs="Book Antiqua"/>
          <w:b/>
          <w:color w:val="000000"/>
        </w:rPr>
        <w:t>Figure Legends</w:t>
      </w:r>
    </w:p>
    <w:p w14:paraId="3BAED9C3" w14:textId="4FE6DF11" w:rsidR="00E758A7" w:rsidRPr="00AD5289" w:rsidRDefault="00447E1A" w:rsidP="00AD5289">
      <w:pPr>
        <w:spacing w:line="360" w:lineRule="auto"/>
        <w:jc w:val="both"/>
        <w:rPr>
          <w:rFonts w:ascii="Book Antiqua" w:eastAsia="Book Antiqua" w:hAnsi="Book Antiqua" w:cs="Book Antiqua"/>
          <w:b/>
          <w:color w:val="000000"/>
        </w:rPr>
      </w:pPr>
      <w:r w:rsidRPr="00AD5289">
        <w:rPr>
          <w:rFonts w:ascii="Book Antiqua" w:eastAsia="Book Antiqua" w:hAnsi="Book Antiqua" w:cs="Book Antiqua"/>
          <w:b/>
          <w:noProof/>
          <w:color w:val="000000"/>
          <w:lang w:eastAsia="zh-CN"/>
        </w:rPr>
        <w:lastRenderedPageBreak/>
        <w:drawing>
          <wp:anchor distT="0" distB="0" distL="114300" distR="114300" simplePos="0" relativeHeight="251658240" behindDoc="1" locked="0" layoutInCell="1" allowOverlap="1" wp14:anchorId="372CFC74" wp14:editId="6A8C1446">
            <wp:simplePos x="0" y="0"/>
            <wp:positionH relativeFrom="column">
              <wp:posOffset>1190625</wp:posOffset>
            </wp:positionH>
            <wp:positionV relativeFrom="paragraph">
              <wp:posOffset>0</wp:posOffset>
            </wp:positionV>
            <wp:extent cx="3057525" cy="4781550"/>
            <wp:effectExtent l="0" t="0" r="952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ys stem figure 1.png"/>
                    <pic:cNvPicPr/>
                  </pic:nvPicPr>
                  <pic:blipFill>
                    <a:blip r:embed="rId6">
                      <a:extLst>
                        <a:ext uri="{28A0092B-C50C-407E-A947-70E740481C1C}">
                          <a14:useLocalDpi xmlns:a14="http://schemas.microsoft.com/office/drawing/2010/main" val="0"/>
                        </a:ext>
                      </a:extLst>
                    </a:blip>
                    <a:stretch>
                      <a:fillRect/>
                    </a:stretch>
                  </pic:blipFill>
                  <pic:spPr>
                    <a:xfrm>
                      <a:off x="0" y="0"/>
                      <a:ext cx="3057525" cy="4781550"/>
                    </a:xfrm>
                    <a:prstGeom prst="rect">
                      <a:avLst/>
                    </a:prstGeom>
                  </pic:spPr>
                </pic:pic>
              </a:graphicData>
            </a:graphic>
          </wp:anchor>
        </w:drawing>
      </w:r>
      <w:r w:rsidR="00F603B2" w:rsidRPr="00AD5289">
        <w:rPr>
          <w:rFonts w:ascii="Book Antiqua" w:eastAsia="Book Antiqua" w:hAnsi="Book Antiqua" w:cs="Book Antiqua"/>
          <w:b/>
          <w:color w:val="000000"/>
        </w:rPr>
        <w:t>Figure 1 Optimys short stem (Mathys Ltd. Bettlach, Switzerland).</w:t>
      </w:r>
    </w:p>
    <w:p w14:paraId="18AA2868" w14:textId="77777777" w:rsidR="00447E1A" w:rsidRPr="00AD5289" w:rsidRDefault="00447E1A" w:rsidP="00AD5289">
      <w:pPr>
        <w:spacing w:line="360" w:lineRule="auto"/>
        <w:jc w:val="both"/>
        <w:rPr>
          <w:rFonts w:ascii="Book Antiqua" w:eastAsia="Book Antiqua" w:hAnsi="Book Antiqua" w:cs="Book Antiqua"/>
          <w:b/>
          <w:color w:val="000000"/>
        </w:rPr>
      </w:pPr>
    </w:p>
    <w:p w14:paraId="1167F216" w14:textId="356962EF" w:rsidR="00E758A7" w:rsidRPr="00AD5289" w:rsidRDefault="009D77F1" w:rsidP="00AD5289">
      <w:pPr>
        <w:spacing w:line="360" w:lineRule="auto"/>
        <w:jc w:val="both"/>
        <w:rPr>
          <w:rFonts w:ascii="Book Antiqua" w:hAnsi="Book Antiqua"/>
        </w:rPr>
      </w:pPr>
      <w:r w:rsidRPr="00AD5289">
        <w:rPr>
          <w:rFonts w:ascii="Book Antiqua" w:hAnsi="Book Antiqua"/>
          <w:noProof/>
          <w:lang w:eastAsia="zh-CN"/>
        </w:rPr>
        <w:lastRenderedPageBreak/>
        <w:drawing>
          <wp:inline distT="0" distB="0" distL="0" distR="0" wp14:anchorId="2705342E" wp14:editId="4248AE4F">
            <wp:extent cx="5943600" cy="3718560"/>
            <wp:effectExtent l="0" t="0" r="0" b="0"/>
            <wp:docPr id="2" name="Tijdelijke aanduiding voor inhoud 3">
              <a:extLst xmlns:a="http://schemas.openxmlformats.org/drawingml/2006/main">
                <a:ext uri="{FF2B5EF4-FFF2-40B4-BE49-F238E27FC236}">
                  <a16:creationId xmlns:a16="http://schemas.microsoft.com/office/drawing/2014/main" id="{F2CF5B29-8182-814C-9AFC-54F14A11FBE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Tijdelijke aanduiding voor inhoud 3">
                      <a:extLst>
                        <a:ext uri="{FF2B5EF4-FFF2-40B4-BE49-F238E27FC236}">
                          <a16:creationId xmlns:a16="http://schemas.microsoft.com/office/drawing/2014/main" id="{F2CF5B29-8182-814C-9AFC-54F14A11FBEE}"/>
                        </a:ext>
                      </a:extLst>
                    </pic:cNvPr>
                    <pic:cNvPicPr>
                      <a:picLocks noGrp="1"/>
                    </pic:cNvPicPr>
                  </pic:nvPicPr>
                  <pic:blipFill>
                    <a:blip r:embed="rId7">
                      <a:extLst>
                        <a:ext uri="{28A0092B-C50C-407E-A947-70E740481C1C}">
                          <a14:useLocalDpi xmlns:a14="http://schemas.microsoft.com/office/drawing/2010/main" val="0"/>
                        </a:ext>
                      </a:extLst>
                    </a:blip>
                    <a:stretch>
                      <a:fillRect/>
                    </a:stretch>
                  </pic:blipFill>
                  <pic:spPr>
                    <a:xfrm>
                      <a:off x="0" y="0"/>
                      <a:ext cx="5943600" cy="3718560"/>
                    </a:xfrm>
                    <a:prstGeom prst="rect">
                      <a:avLst/>
                    </a:prstGeom>
                  </pic:spPr>
                </pic:pic>
              </a:graphicData>
            </a:graphic>
          </wp:inline>
        </w:drawing>
      </w:r>
    </w:p>
    <w:p w14:paraId="1C650B2E" w14:textId="3220CDCC" w:rsidR="009D77F1" w:rsidRPr="00AD5289" w:rsidRDefault="009D77F1" w:rsidP="00AD5289">
      <w:pPr>
        <w:spacing w:line="360" w:lineRule="auto"/>
        <w:jc w:val="both"/>
        <w:rPr>
          <w:rFonts w:ascii="Book Antiqua" w:hAnsi="Book Antiqua"/>
          <w:b/>
        </w:rPr>
      </w:pPr>
      <w:r w:rsidRPr="00AD5289">
        <w:rPr>
          <w:rFonts w:ascii="Book Antiqua" w:hAnsi="Book Antiqua"/>
          <w:b/>
        </w:rPr>
        <w:t>Figure 2 Kaplan</w:t>
      </w:r>
      <w:r w:rsidRPr="00AD5289">
        <w:rPr>
          <w:b/>
        </w:rPr>
        <w:t>‒</w:t>
      </w:r>
      <w:r w:rsidRPr="00AD5289">
        <w:rPr>
          <w:rFonts w:ascii="Book Antiqua" w:hAnsi="Book Antiqua"/>
          <w:b/>
        </w:rPr>
        <w:t>Meier survival curve illustrating 5-year survival, including all reasons for revision.</w:t>
      </w:r>
    </w:p>
    <w:p w14:paraId="63C0EE36" w14:textId="77777777" w:rsidR="009D77F1" w:rsidRPr="00AD5289" w:rsidRDefault="009D77F1" w:rsidP="00AD5289">
      <w:pPr>
        <w:spacing w:line="360" w:lineRule="auto"/>
        <w:jc w:val="both"/>
        <w:rPr>
          <w:rFonts w:ascii="Book Antiqua" w:hAnsi="Book Antiqua"/>
        </w:rPr>
      </w:pPr>
    </w:p>
    <w:p w14:paraId="7B7F75D7" w14:textId="32CF42E7" w:rsidR="009D77F1" w:rsidRPr="00AD5289" w:rsidRDefault="0072614B" w:rsidP="00AD5289">
      <w:pPr>
        <w:spacing w:line="360" w:lineRule="auto"/>
        <w:jc w:val="both"/>
        <w:rPr>
          <w:rFonts w:ascii="Book Antiqua" w:hAnsi="Book Antiqua"/>
        </w:rPr>
      </w:pPr>
      <w:r w:rsidRPr="00AD5289">
        <w:rPr>
          <w:rFonts w:ascii="Book Antiqua" w:hAnsi="Book Antiqua"/>
          <w:noProof/>
          <w:lang w:eastAsia="zh-CN"/>
        </w:rPr>
        <w:drawing>
          <wp:inline distT="0" distB="0" distL="0" distR="0" wp14:anchorId="703DC28E" wp14:editId="0DE05190">
            <wp:extent cx="6743700" cy="3400425"/>
            <wp:effectExtent l="0" t="0" r="0" b="9525"/>
            <wp:docPr id="5" name="Grafiek 5">
              <a:extLst xmlns:a="http://schemas.openxmlformats.org/drawingml/2006/main">
                <a:ext uri="{FF2B5EF4-FFF2-40B4-BE49-F238E27FC236}">
                  <a16:creationId xmlns:a16="http://schemas.microsoft.com/office/drawing/2014/main" id="{669FEB61-9BEA-1346-AAA0-F1B9A9FD65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D8AC58" w14:textId="2C2E00AB" w:rsidR="009D77F1" w:rsidRPr="00AD5289" w:rsidRDefault="00846AE3" w:rsidP="00AD5289">
      <w:pPr>
        <w:spacing w:line="360" w:lineRule="auto"/>
        <w:jc w:val="both"/>
        <w:rPr>
          <w:rFonts w:ascii="Book Antiqua" w:hAnsi="Book Antiqua"/>
        </w:rPr>
      </w:pPr>
      <w:r w:rsidRPr="00AD5289">
        <w:rPr>
          <w:rFonts w:ascii="Book Antiqua" w:hAnsi="Book Antiqua"/>
          <w:b/>
        </w:rPr>
        <w:lastRenderedPageBreak/>
        <w:t>Figure 3</w:t>
      </w:r>
      <w:r w:rsidR="00A84EE1" w:rsidRPr="00AD5289">
        <w:rPr>
          <w:rFonts w:ascii="Book Antiqua" w:hAnsi="Book Antiqua"/>
          <w:b/>
        </w:rPr>
        <w:t xml:space="preserve"> Follow-up graph of the </w:t>
      </w:r>
      <w:r w:rsidR="00421A92" w:rsidRPr="00AD5289">
        <w:rPr>
          <w:rFonts w:ascii="Book Antiqua" w:hAnsi="Book Antiqua"/>
          <w:b/>
        </w:rPr>
        <w:t>Hip Disability and Osteoarthritis Outcomes Score</w:t>
      </w:r>
      <w:r w:rsidR="00A84EE1" w:rsidRPr="00AD5289">
        <w:rPr>
          <w:rFonts w:ascii="Book Antiqua" w:hAnsi="Book Antiqua"/>
          <w:b/>
        </w:rPr>
        <w:t xml:space="preserve"> scores from baseline to the 2</w:t>
      </w:r>
      <w:r w:rsidR="00927404" w:rsidRPr="00AD5289">
        <w:rPr>
          <w:rFonts w:ascii="Book Antiqua" w:hAnsi="Book Antiqua"/>
          <w:b/>
        </w:rPr>
        <w:t>-yr follow-up (means with 95%</w:t>
      </w:r>
      <w:r w:rsidR="00C768FA">
        <w:rPr>
          <w:rFonts w:ascii="Book Antiqua" w:hAnsi="Book Antiqua"/>
          <w:b/>
        </w:rPr>
        <w:t xml:space="preserve"> confidence interval</w:t>
      </w:r>
      <w:r w:rsidR="00A84EE1" w:rsidRPr="00AD5289">
        <w:rPr>
          <w:rFonts w:ascii="Book Antiqua" w:hAnsi="Book Antiqua"/>
          <w:b/>
        </w:rPr>
        <w:t xml:space="preserve">). </w:t>
      </w:r>
      <w:r w:rsidR="00D81477" w:rsidRPr="00AD5289">
        <w:rPr>
          <w:rFonts w:ascii="Book Antiqua" w:hAnsi="Book Antiqua"/>
          <w:iCs/>
        </w:rPr>
        <w:t>HOOS: Hip Disability and Osteoarthritis Outcome Score</w:t>
      </w:r>
      <w:r w:rsidR="00C768FA">
        <w:rPr>
          <w:rFonts w:ascii="Book Antiqua" w:hAnsi="Book Antiqua"/>
          <w:iCs/>
        </w:rPr>
        <w:t>; ADL: Activities of daily living</w:t>
      </w:r>
      <w:r w:rsidR="00D81477" w:rsidRPr="00AD5289">
        <w:rPr>
          <w:rFonts w:ascii="Book Antiqua" w:hAnsi="Book Antiqua"/>
          <w:iCs/>
        </w:rPr>
        <w:t>.</w:t>
      </w:r>
    </w:p>
    <w:p w14:paraId="0A5893E6" w14:textId="77777777" w:rsidR="009D77F1" w:rsidRPr="00AD5289" w:rsidRDefault="009D77F1" w:rsidP="00AD5289">
      <w:pPr>
        <w:spacing w:line="360" w:lineRule="auto"/>
        <w:jc w:val="both"/>
        <w:rPr>
          <w:rFonts w:ascii="Book Antiqua" w:hAnsi="Book Antiqua"/>
        </w:rPr>
      </w:pPr>
    </w:p>
    <w:p w14:paraId="7FBD0C31" w14:textId="447F114A" w:rsidR="00834E90" w:rsidRPr="00AD5289" w:rsidRDefault="00834E90" w:rsidP="00AD5289">
      <w:pPr>
        <w:spacing w:line="360" w:lineRule="auto"/>
        <w:jc w:val="both"/>
        <w:rPr>
          <w:rFonts w:ascii="Book Antiqua" w:hAnsi="Book Antiqua"/>
          <w:b/>
          <w:bCs/>
        </w:rPr>
      </w:pPr>
      <w:r w:rsidRPr="00AD5289">
        <w:rPr>
          <w:rFonts w:ascii="Book Antiqua" w:hAnsi="Book Antiqua"/>
          <w:b/>
          <w:bCs/>
        </w:rPr>
        <w:t>Table 1</w:t>
      </w:r>
      <w:r w:rsidRPr="00AD5289">
        <w:rPr>
          <w:rFonts w:ascii="Book Antiqua" w:hAnsi="Book Antiqua"/>
          <w:b/>
        </w:rPr>
        <w:t xml:space="preserve"> </w:t>
      </w:r>
      <w:r w:rsidRPr="00AD5289">
        <w:rPr>
          <w:rFonts w:ascii="Book Antiqua" w:hAnsi="Book Antiqua"/>
          <w:b/>
          <w:iCs/>
        </w:rPr>
        <w:t>Demographic characteristics</w:t>
      </w:r>
      <w:r w:rsidR="0049764D">
        <w:rPr>
          <w:rFonts w:ascii="Book Antiqua" w:hAnsi="Book Antiqua"/>
          <w:b/>
          <w:iCs/>
        </w:rPr>
        <w:t>,</w:t>
      </w:r>
      <w:r w:rsidRPr="00AD5289">
        <w:rPr>
          <w:rFonts w:ascii="Book Antiqua" w:hAnsi="Book Antiqua"/>
          <w:b/>
          <w:iCs/>
        </w:rPr>
        <w:t xml:space="preserve"> </w:t>
      </w:r>
      <w:r w:rsidRPr="00AD5289">
        <w:rPr>
          <w:rFonts w:ascii="Book Antiqua" w:hAnsi="Book Antiqua"/>
          <w:b/>
          <w:i/>
          <w:iCs/>
        </w:rPr>
        <w:t>n</w:t>
      </w:r>
      <w:r w:rsidR="008F5237" w:rsidRPr="00AD5289">
        <w:rPr>
          <w:rFonts w:ascii="Book Antiqua" w:hAnsi="Book Antiqua"/>
          <w:b/>
          <w:iCs/>
        </w:rPr>
        <w:t xml:space="preserve"> </w:t>
      </w:r>
      <w:r w:rsidRPr="00AD5289">
        <w:rPr>
          <w:rFonts w:ascii="Book Antiqua" w:hAnsi="Book Antiqua"/>
          <w:b/>
          <w:iCs/>
        </w:rPr>
        <w:t>=</w:t>
      </w:r>
      <w:r w:rsidR="008F5237" w:rsidRPr="00AD5289">
        <w:rPr>
          <w:rFonts w:ascii="Book Antiqua" w:hAnsi="Book Antiqua"/>
          <w:b/>
          <w:iCs/>
        </w:rPr>
        <w:t xml:space="preserve"> </w:t>
      </w:r>
      <w:r w:rsidRPr="00AD5289">
        <w:rPr>
          <w:rFonts w:ascii="Book Antiqua" w:hAnsi="Book Antiqua"/>
          <w:b/>
          <w:iCs/>
        </w:rPr>
        <w:t>500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1851"/>
      </w:tblGrid>
      <w:tr w:rsidR="0049764D" w:rsidRPr="00AD5289" w14:paraId="12A55A65" w14:textId="77777777" w:rsidTr="00A60A68">
        <w:tc>
          <w:tcPr>
            <w:tcW w:w="4528" w:type="dxa"/>
            <w:tcBorders>
              <w:top w:val="single" w:sz="4" w:space="0" w:color="auto"/>
            </w:tcBorders>
          </w:tcPr>
          <w:p w14:paraId="22FF2C02" w14:textId="41E9B739" w:rsidR="0049764D" w:rsidRPr="00780CD3" w:rsidRDefault="0049764D" w:rsidP="00AD5289">
            <w:pPr>
              <w:spacing w:line="360" w:lineRule="auto"/>
              <w:jc w:val="both"/>
              <w:rPr>
                <w:rFonts w:ascii="Book Antiqua" w:hAnsi="Book Antiqua"/>
                <w:b/>
                <w:bCs/>
              </w:rPr>
            </w:pPr>
            <w:r w:rsidRPr="00780CD3">
              <w:rPr>
                <w:rFonts w:ascii="Book Antiqua" w:hAnsi="Book Antiqua"/>
                <w:b/>
                <w:bCs/>
              </w:rPr>
              <w:t>Characteristic</w:t>
            </w:r>
          </w:p>
        </w:tc>
        <w:tc>
          <w:tcPr>
            <w:tcW w:w="1851" w:type="dxa"/>
            <w:tcBorders>
              <w:top w:val="single" w:sz="4" w:space="0" w:color="auto"/>
            </w:tcBorders>
          </w:tcPr>
          <w:p w14:paraId="324816F4" w14:textId="6965D1C9" w:rsidR="0049764D" w:rsidRPr="00780CD3" w:rsidRDefault="0049764D" w:rsidP="00AD5289">
            <w:pPr>
              <w:spacing w:line="360" w:lineRule="auto"/>
              <w:jc w:val="both"/>
              <w:rPr>
                <w:rFonts w:ascii="Book Antiqua" w:hAnsi="Book Antiqua"/>
                <w:b/>
                <w:bCs/>
              </w:rPr>
            </w:pPr>
            <w:r w:rsidRPr="00780CD3">
              <w:rPr>
                <w:rFonts w:ascii="Book Antiqua" w:hAnsi="Book Antiqua"/>
                <w:b/>
                <w:bCs/>
              </w:rPr>
              <w:t>Value</w:t>
            </w:r>
          </w:p>
        </w:tc>
      </w:tr>
      <w:tr w:rsidR="00834E90" w:rsidRPr="00AD5289" w14:paraId="513B196B" w14:textId="77777777" w:rsidTr="00A60A68">
        <w:tc>
          <w:tcPr>
            <w:tcW w:w="4528" w:type="dxa"/>
            <w:tcBorders>
              <w:top w:val="single" w:sz="4" w:space="0" w:color="auto"/>
            </w:tcBorders>
          </w:tcPr>
          <w:p w14:paraId="5E08EB36" w14:textId="59C71B79" w:rsidR="00834E90" w:rsidRPr="00AD5289" w:rsidRDefault="00834E90" w:rsidP="00AD5289">
            <w:pPr>
              <w:spacing w:line="360" w:lineRule="auto"/>
              <w:jc w:val="both"/>
              <w:rPr>
                <w:rFonts w:ascii="Book Antiqua" w:hAnsi="Book Antiqua"/>
                <w:iCs/>
                <w:lang w:val="en-US"/>
              </w:rPr>
            </w:pPr>
            <w:r w:rsidRPr="00AD5289">
              <w:rPr>
                <w:rFonts w:ascii="Book Antiqua" w:hAnsi="Book Antiqua"/>
                <w:lang w:val="en-US"/>
              </w:rPr>
              <w:t xml:space="preserve">Male </w:t>
            </w:r>
            <w:r w:rsidR="005317C1">
              <w:rPr>
                <w:rFonts w:ascii="Book Antiqua" w:hAnsi="Book Antiqua"/>
                <w:lang w:val="en-US"/>
              </w:rPr>
              <w:t>sex</w:t>
            </w:r>
            <w:r w:rsidR="0049764D">
              <w:rPr>
                <w:rFonts w:ascii="Book Antiqua" w:hAnsi="Book Antiqua"/>
                <w:lang w:val="en-US"/>
              </w:rPr>
              <w:t>*</w:t>
            </w:r>
          </w:p>
        </w:tc>
        <w:tc>
          <w:tcPr>
            <w:tcW w:w="1851" w:type="dxa"/>
            <w:tcBorders>
              <w:top w:val="single" w:sz="4" w:space="0" w:color="auto"/>
            </w:tcBorders>
          </w:tcPr>
          <w:p w14:paraId="17346CB5" w14:textId="77777777" w:rsidR="00834E90" w:rsidRPr="00AD5289" w:rsidRDefault="00834E90" w:rsidP="00AD5289">
            <w:pPr>
              <w:spacing w:line="360" w:lineRule="auto"/>
              <w:jc w:val="both"/>
              <w:rPr>
                <w:rFonts w:ascii="Book Antiqua" w:hAnsi="Book Antiqua"/>
                <w:lang w:val="en-US"/>
              </w:rPr>
            </w:pPr>
            <w:r w:rsidRPr="00AD5289">
              <w:rPr>
                <w:rFonts w:ascii="Book Antiqua" w:hAnsi="Book Antiqua"/>
                <w:lang w:val="en-US"/>
              </w:rPr>
              <w:t>202 (</w:t>
            </w:r>
            <w:r w:rsidRPr="00AD5289">
              <w:rPr>
                <w:rFonts w:ascii="Book Antiqua" w:hAnsi="Book Antiqua"/>
                <w:iCs/>
                <w:lang w:val="en-US"/>
              </w:rPr>
              <w:t>40</w:t>
            </w:r>
            <w:r w:rsidRPr="00AD5289">
              <w:rPr>
                <w:rFonts w:ascii="Book Antiqua" w:hAnsi="Book Antiqua"/>
                <w:lang w:val="en-US"/>
              </w:rPr>
              <w:t>)</w:t>
            </w:r>
          </w:p>
        </w:tc>
      </w:tr>
      <w:tr w:rsidR="00834E90" w:rsidRPr="00AD5289" w14:paraId="22663B55" w14:textId="77777777" w:rsidTr="00A60A68">
        <w:tc>
          <w:tcPr>
            <w:tcW w:w="4528" w:type="dxa"/>
          </w:tcPr>
          <w:p w14:paraId="634B0A84" w14:textId="31E30F69" w:rsidR="00834E90" w:rsidRPr="00AD5289" w:rsidRDefault="00834E90" w:rsidP="00AD5289">
            <w:pPr>
              <w:spacing w:line="360" w:lineRule="auto"/>
              <w:jc w:val="both"/>
              <w:rPr>
                <w:rFonts w:ascii="Book Antiqua" w:hAnsi="Book Antiqua"/>
                <w:iCs/>
                <w:lang w:val="en-US"/>
              </w:rPr>
            </w:pPr>
            <w:r w:rsidRPr="00AD5289">
              <w:rPr>
                <w:rFonts w:ascii="Book Antiqua" w:hAnsi="Book Antiqua"/>
                <w:lang w:val="en-US"/>
              </w:rPr>
              <w:t>Age</w:t>
            </w:r>
          </w:p>
        </w:tc>
        <w:tc>
          <w:tcPr>
            <w:tcW w:w="1851" w:type="dxa"/>
          </w:tcPr>
          <w:p w14:paraId="50DF5254" w14:textId="77777777" w:rsidR="00834E90" w:rsidRPr="00AD5289" w:rsidRDefault="00834E90" w:rsidP="00AD5289">
            <w:pPr>
              <w:spacing w:line="360" w:lineRule="auto"/>
              <w:jc w:val="both"/>
              <w:rPr>
                <w:rFonts w:ascii="Book Antiqua" w:hAnsi="Book Antiqua"/>
                <w:lang w:val="en-US"/>
              </w:rPr>
            </w:pPr>
            <w:r w:rsidRPr="00AD5289">
              <w:rPr>
                <w:rFonts w:ascii="Book Antiqua" w:hAnsi="Book Antiqua"/>
                <w:lang w:val="en-US"/>
              </w:rPr>
              <w:t>62.3 (10.5)</w:t>
            </w:r>
          </w:p>
        </w:tc>
      </w:tr>
      <w:tr w:rsidR="00834E90" w:rsidRPr="00AD5289" w14:paraId="67A48A03" w14:textId="77777777" w:rsidTr="00A60A68">
        <w:tc>
          <w:tcPr>
            <w:tcW w:w="4528" w:type="dxa"/>
          </w:tcPr>
          <w:p w14:paraId="46FEE50D" w14:textId="538D112A" w:rsidR="00834E90" w:rsidRPr="00AD5289" w:rsidRDefault="00834E90" w:rsidP="00AD5289">
            <w:pPr>
              <w:spacing w:line="360" w:lineRule="auto"/>
              <w:jc w:val="both"/>
              <w:rPr>
                <w:rFonts w:ascii="Book Antiqua" w:hAnsi="Book Antiqua"/>
                <w:iCs/>
                <w:lang w:val="en-US"/>
              </w:rPr>
            </w:pPr>
            <w:r w:rsidRPr="00AD5289">
              <w:rPr>
                <w:rFonts w:ascii="Book Antiqua" w:hAnsi="Book Antiqua"/>
                <w:lang w:val="en-US"/>
              </w:rPr>
              <w:t>Right side</w:t>
            </w:r>
            <w:r w:rsidR="0049764D">
              <w:rPr>
                <w:rFonts w:ascii="Book Antiqua" w:hAnsi="Book Antiqua"/>
                <w:lang w:val="en-US"/>
              </w:rPr>
              <w:t>*</w:t>
            </w:r>
          </w:p>
        </w:tc>
        <w:tc>
          <w:tcPr>
            <w:tcW w:w="1851" w:type="dxa"/>
          </w:tcPr>
          <w:p w14:paraId="3BA5EDE7" w14:textId="390E3F58" w:rsidR="00834E90" w:rsidRPr="00AD5289" w:rsidRDefault="00834E90" w:rsidP="00AD5289">
            <w:pPr>
              <w:spacing w:line="360" w:lineRule="auto"/>
              <w:jc w:val="both"/>
              <w:rPr>
                <w:rFonts w:ascii="Book Antiqua" w:hAnsi="Book Antiqua"/>
                <w:lang w:val="en-US"/>
              </w:rPr>
            </w:pPr>
            <w:r w:rsidRPr="00AD5289">
              <w:rPr>
                <w:rFonts w:ascii="Book Antiqua" w:hAnsi="Book Antiqua"/>
                <w:lang w:val="en-US"/>
              </w:rPr>
              <w:t>286 (57</w:t>
            </w:r>
            <w:r w:rsidR="00C768FA">
              <w:rPr>
                <w:rFonts w:ascii="Book Antiqua" w:hAnsi="Book Antiqua"/>
                <w:lang w:val="en-US"/>
              </w:rPr>
              <w:t>.0</w:t>
            </w:r>
            <w:r w:rsidRPr="00AD5289">
              <w:rPr>
                <w:rFonts w:ascii="Book Antiqua" w:hAnsi="Book Antiqua"/>
                <w:lang w:val="en-US"/>
              </w:rPr>
              <w:t>)</w:t>
            </w:r>
          </w:p>
        </w:tc>
      </w:tr>
      <w:tr w:rsidR="00834E90" w:rsidRPr="00AD5289" w14:paraId="2C8D6D24" w14:textId="77777777" w:rsidTr="00A60A68">
        <w:tc>
          <w:tcPr>
            <w:tcW w:w="4528" w:type="dxa"/>
          </w:tcPr>
          <w:p w14:paraId="2E4F7FCA" w14:textId="65487E27" w:rsidR="00834E90" w:rsidRPr="00AD5289" w:rsidRDefault="00834E90" w:rsidP="00AD5289">
            <w:pPr>
              <w:spacing w:line="360" w:lineRule="auto"/>
              <w:jc w:val="both"/>
              <w:rPr>
                <w:rFonts w:ascii="Book Antiqua" w:hAnsi="Book Antiqua"/>
                <w:iCs/>
                <w:lang w:val="en-US"/>
              </w:rPr>
            </w:pPr>
            <w:r w:rsidRPr="00AD5289">
              <w:rPr>
                <w:rFonts w:ascii="Book Antiqua" w:hAnsi="Book Antiqua"/>
                <w:lang w:val="en-US"/>
              </w:rPr>
              <w:t xml:space="preserve">Height </w:t>
            </w:r>
            <w:r w:rsidR="0049764D">
              <w:rPr>
                <w:rFonts w:ascii="Book Antiqua" w:hAnsi="Book Antiqua"/>
                <w:lang w:val="en-US"/>
              </w:rPr>
              <w:t xml:space="preserve">in </w:t>
            </w:r>
            <w:r w:rsidRPr="00AD5289">
              <w:rPr>
                <w:rFonts w:ascii="Book Antiqua" w:hAnsi="Book Antiqua"/>
                <w:lang w:val="en-US"/>
              </w:rPr>
              <w:t>cm</w:t>
            </w:r>
          </w:p>
        </w:tc>
        <w:tc>
          <w:tcPr>
            <w:tcW w:w="1851" w:type="dxa"/>
          </w:tcPr>
          <w:p w14:paraId="3AE63509" w14:textId="77777777" w:rsidR="00834E90" w:rsidRPr="00AD5289" w:rsidRDefault="00834E90" w:rsidP="00AD5289">
            <w:pPr>
              <w:spacing w:line="360" w:lineRule="auto"/>
              <w:jc w:val="both"/>
              <w:rPr>
                <w:rFonts w:ascii="Book Antiqua" w:hAnsi="Book Antiqua"/>
                <w:lang w:val="en-US"/>
              </w:rPr>
            </w:pPr>
            <w:r w:rsidRPr="00AD5289">
              <w:rPr>
                <w:rFonts w:ascii="Book Antiqua" w:hAnsi="Book Antiqua"/>
                <w:lang w:val="en-US"/>
              </w:rPr>
              <w:t>173.2 (9.2)</w:t>
            </w:r>
          </w:p>
        </w:tc>
      </w:tr>
      <w:tr w:rsidR="00834E90" w:rsidRPr="00AD5289" w14:paraId="08013D4B" w14:textId="77777777" w:rsidTr="00A60A68">
        <w:tc>
          <w:tcPr>
            <w:tcW w:w="4528" w:type="dxa"/>
          </w:tcPr>
          <w:p w14:paraId="48A0D3DF" w14:textId="4A12F00A" w:rsidR="00834E90" w:rsidRPr="00AD5289" w:rsidRDefault="00834E90" w:rsidP="00AD5289">
            <w:pPr>
              <w:spacing w:line="360" w:lineRule="auto"/>
              <w:jc w:val="both"/>
              <w:rPr>
                <w:rFonts w:ascii="Book Antiqua" w:hAnsi="Book Antiqua"/>
                <w:iCs/>
                <w:lang w:val="en-US"/>
              </w:rPr>
            </w:pPr>
            <w:r w:rsidRPr="00AD5289">
              <w:rPr>
                <w:rFonts w:ascii="Book Antiqua" w:hAnsi="Book Antiqua"/>
                <w:lang w:val="en-US"/>
              </w:rPr>
              <w:t xml:space="preserve">Weight </w:t>
            </w:r>
            <w:r w:rsidR="0049764D">
              <w:rPr>
                <w:rFonts w:ascii="Book Antiqua" w:hAnsi="Book Antiqua"/>
                <w:lang w:val="en-US"/>
              </w:rPr>
              <w:t xml:space="preserve">in </w:t>
            </w:r>
            <w:r w:rsidRPr="00AD5289">
              <w:rPr>
                <w:rFonts w:ascii="Book Antiqua" w:hAnsi="Book Antiqua"/>
                <w:lang w:val="en-US"/>
              </w:rPr>
              <w:t>kg</w:t>
            </w:r>
          </w:p>
        </w:tc>
        <w:tc>
          <w:tcPr>
            <w:tcW w:w="1851" w:type="dxa"/>
          </w:tcPr>
          <w:p w14:paraId="5CECEB06" w14:textId="77777777" w:rsidR="00834E90" w:rsidRPr="00AD5289" w:rsidRDefault="00834E90" w:rsidP="00AD5289">
            <w:pPr>
              <w:spacing w:line="360" w:lineRule="auto"/>
              <w:jc w:val="both"/>
              <w:rPr>
                <w:rFonts w:ascii="Book Antiqua" w:hAnsi="Book Antiqua"/>
                <w:lang w:val="en-US"/>
              </w:rPr>
            </w:pPr>
            <w:r w:rsidRPr="00AD5289">
              <w:rPr>
                <w:rFonts w:ascii="Book Antiqua" w:hAnsi="Book Antiqua"/>
                <w:lang w:val="en-US"/>
              </w:rPr>
              <w:t>79.9 (15.8)</w:t>
            </w:r>
          </w:p>
        </w:tc>
      </w:tr>
      <w:tr w:rsidR="00834E90" w:rsidRPr="00AD5289" w14:paraId="5FFC509D" w14:textId="77777777" w:rsidTr="00A60A68">
        <w:tc>
          <w:tcPr>
            <w:tcW w:w="4528" w:type="dxa"/>
            <w:tcBorders>
              <w:bottom w:val="single" w:sz="4" w:space="0" w:color="auto"/>
            </w:tcBorders>
          </w:tcPr>
          <w:p w14:paraId="3299203E" w14:textId="485B02BA" w:rsidR="00834E90" w:rsidRPr="00AD5289" w:rsidRDefault="00834E90" w:rsidP="00AD5289">
            <w:pPr>
              <w:spacing w:line="360" w:lineRule="auto"/>
              <w:jc w:val="both"/>
              <w:rPr>
                <w:rFonts w:ascii="Book Antiqua" w:hAnsi="Book Antiqua"/>
                <w:iCs/>
                <w:lang w:val="en-US"/>
              </w:rPr>
            </w:pPr>
            <w:r w:rsidRPr="00AD5289">
              <w:rPr>
                <w:rFonts w:ascii="Book Antiqua" w:hAnsi="Book Antiqua"/>
                <w:lang w:val="en-US"/>
              </w:rPr>
              <w:t xml:space="preserve">BMI </w:t>
            </w:r>
            <w:r w:rsidR="0049764D">
              <w:rPr>
                <w:rFonts w:ascii="Book Antiqua" w:hAnsi="Book Antiqua"/>
                <w:lang w:val="en-US"/>
              </w:rPr>
              <w:t xml:space="preserve">in </w:t>
            </w:r>
            <w:r w:rsidRPr="00AD5289">
              <w:rPr>
                <w:rFonts w:ascii="Book Antiqua" w:hAnsi="Book Antiqua"/>
                <w:lang w:val="en-US"/>
              </w:rPr>
              <w:t>kg/m</w:t>
            </w:r>
            <w:r w:rsidRPr="00AD5289">
              <w:rPr>
                <w:rFonts w:ascii="Book Antiqua" w:hAnsi="Book Antiqua"/>
                <w:vertAlign w:val="superscript"/>
                <w:lang w:val="en-US"/>
              </w:rPr>
              <w:t>2</w:t>
            </w:r>
          </w:p>
        </w:tc>
        <w:tc>
          <w:tcPr>
            <w:tcW w:w="1851" w:type="dxa"/>
            <w:tcBorders>
              <w:bottom w:val="single" w:sz="4" w:space="0" w:color="auto"/>
            </w:tcBorders>
          </w:tcPr>
          <w:p w14:paraId="3776B4A1" w14:textId="77777777" w:rsidR="00834E90" w:rsidRPr="00AD5289" w:rsidRDefault="00834E90" w:rsidP="00AD5289">
            <w:pPr>
              <w:spacing w:line="360" w:lineRule="auto"/>
              <w:jc w:val="both"/>
              <w:rPr>
                <w:rFonts w:ascii="Book Antiqua" w:hAnsi="Book Antiqua"/>
                <w:lang w:val="en-US"/>
              </w:rPr>
            </w:pPr>
            <w:r w:rsidRPr="00AD5289">
              <w:rPr>
                <w:rFonts w:ascii="Book Antiqua" w:hAnsi="Book Antiqua"/>
                <w:lang w:val="en-US"/>
              </w:rPr>
              <w:t>26.5 (4.1)</w:t>
            </w:r>
          </w:p>
        </w:tc>
      </w:tr>
    </w:tbl>
    <w:p w14:paraId="6DAD85DA" w14:textId="05E1BCFE" w:rsidR="00834E90" w:rsidRPr="00AD5289" w:rsidRDefault="0049764D" w:rsidP="00AD5289">
      <w:pPr>
        <w:spacing w:line="360" w:lineRule="auto"/>
        <w:jc w:val="both"/>
        <w:rPr>
          <w:rFonts w:ascii="Book Antiqua" w:hAnsi="Book Antiqua"/>
          <w:iCs/>
        </w:rPr>
      </w:pPr>
      <w:r>
        <w:rPr>
          <w:rFonts w:ascii="Book Antiqua" w:hAnsi="Book Antiqua"/>
          <w:iCs/>
        </w:rPr>
        <w:t>Data are *</w:t>
      </w:r>
      <w:r w:rsidRPr="00780CD3">
        <w:rPr>
          <w:rFonts w:ascii="Book Antiqua" w:hAnsi="Book Antiqua"/>
          <w:i/>
        </w:rPr>
        <w:t>n</w:t>
      </w:r>
      <w:r>
        <w:rPr>
          <w:rFonts w:ascii="Book Antiqua" w:hAnsi="Book Antiqua"/>
          <w:iCs/>
        </w:rPr>
        <w:t xml:space="preserve"> (%) or mean (standard deviation). </w:t>
      </w:r>
      <w:r w:rsidR="00834E90" w:rsidRPr="00AD5289">
        <w:rPr>
          <w:rFonts w:ascii="Book Antiqua" w:hAnsi="Book Antiqua"/>
          <w:iCs/>
        </w:rPr>
        <w:t>BMI</w:t>
      </w:r>
      <w:r w:rsidR="00B2023E" w:rsidRPr="00AD5289">
        <w:rPr>
          <w:rFonts w:ascii="Book Antiqua" w:hAnsi="Book Antiqua"/>
          <w:iCs/>
        </w:rPr>
        <w:t>:</w:t>
      </w:r>
      <w:r w:rsidR="00834E90" w:rsidRPr="00AD5289">
        <w:rPr>
          <w:rFonts w:ascii="Book Antiqua" w:hAnsi="Book Antiqua"/>
          <w:iCs/>
        </w:rPr>
        <w:t xml:space="preserve"> Body </w:t>
      </w:r>
      <w:r w:rsidR="00001AB0" w:rsidRPr="00AD5289">
        <w:rPr>
          <w:rFonts w:ascii="Book Antiqua" w:hAnsi="Book Antiqua"/>
          <w:iCs/>
        </w:rPr>
        <w:t>mass index</w:t>
      </w:r>
      <w:r w:rsidR="00077212" w:rsidRPr="00AD5289">
        <w:rPr>
          <w:rFonts w:ascii="Book Antiqua" w:hAnsi="Book Antiqua"/>
          <w:iCs/>
        </w:rPr>
        <w:t>.</w:t>
      </w:r>
    </w:p>
    <w:p w14:paraId="21C74D88" w14:textId="27091737" w:rsidR="004A5BAC" w:rsidRPr="00AD5289" w:rsidRDefault="004A5BAC" w:rsidP="00AD5289">
      <w:pPr>
        <w:spacing w:line="360" w:lineRule="auto"/>
        <w:jc w:val="both"/>
        <w:rPr>
          <w:rFonts w:ascii="Book Antiqua" w:hAnsi="Book Antiqua"/>
        </w:rPr>
      </w:pPr>
    </w:p>
    <w:p w14:paraId="2B767A50" w14:textId="77777777" w:rsidR="00834E90" w:rsidRPr="00AD5289" w:rsidRDefault="00834E90" w:rsidP="00AD5289">
      <w:pPr>
        <w:spacing w:line="360" w:lineRule="auto"/>
        <w:jc w:val="both"/>
        <w:rPr>
          <w:rFonts w:ascii="Book Antiqua" w:hAnsi="Book Antiqua"/>
        </w:rPr>
        <w:sectPr w:rsidR="00834E90" w:rsidRPr="00AD5289" w:rsidSect="00FE2EF1">
          <w:footerReference w:type="default" r:id="rId9"/>
          <w:pgSz w:w="12240" w:h="15840"/>
          <w:pgMar w:top="1440" w:right="1440" w:bottom="1440" w:left="1440" w:header="720" w:footer="720" w:gutter="0"/>
          <w:cols w:space="720"/>
          <w:docGrid w:linePitch="360"/>
        </w:sectPr>
      </w:pPr>
    </w:p>
    <w:p w14:paraId="7B3F0C93" w14:textId="270DB293" w:rsidR="00834E90" w:rsidRPr="00AD5289" w:rsidRDefault="00834E90" w:rsidP="00AD5289">
      <w:pPr>
        <w:spacing w:line="360" w:lineRule="auto"/>
        <w:jc w:val="both"/>
        <w:rPr>
          <w:rFonts w:ascii="Book Antiqua" w:hAnsi="Book Antiqua" w:cstheme="minorHAnsi"/>
          <w:b/>
          <w:iCs/>
        </w:rPr>
      </w:pPr>
      <w:r w:rsidRPr="00AD5289">
        <w:rPr>
          <w:rFonts w:ascii="Book Antiqua" w:hAnsi="Book Antiqua" w:cstheme="minorHAnsi"/>
          <w:b/>
          <w:bCs/>
        </w:rPr>
        <w:lastRenderedPageBreak/>
        <w:t>Table 2</w:t>
      </w:r>
      <w:r w:rsidRPr="00AD5289">
        <w:rPr>
          <w:rFonts w:ascii="Book Antiqua" w:hAnsi="Book Antiqua"/>
          <w:b/>
          <w:iCs/>
        </w:rPr>
        <w:t xml:space="preserve"> </w:t>
      </w:r>
      <w:r w:rsidR="0097257A" w:rsidRPr="00AD5289">
        <w:rPr>
          <w:rFonts w:ascii="Book Antiqua" w:hAnsi="Book Antiqua" w:cstheme="minorHAnsi"/>
          <w:b/>
          <w:iCs/>
        </w:rPr>
        <w:t>Hip Disability and Osteoarthritis Outcome Score</w:t>
      </w:r>
      <w:r w:rsidRPr="00AD5289">
        <w:rPr>
          <w:rFonts w:ascii="Book Antiqua" w:hAnsi="Book Antiqua" w:cstheme="minorHAnsi"/>
          <w:b/>
        </w:rPr>
        <w:t xml:space="preserve"> and </w:t>
      </w:r>
      <w:r w:rsidR="008407FF" w:rsidRPr="00AD5289">
        <w:rPr>
          <w:rFonts w:ascii="Book Antiqua" w:hAnsi="Book Antiqua" w:cstheme="minorHAnsi"/>
          <w:b/>
          <w:iCs/>
        </w:rPr>
        <w:t xml:space="preserve">36-item </w:t>
      </w:r>
      <w:r w:rsidR="00AB46CB" w:rsidRPr="00AD5289">
        <w:rPr>
          <w:rFonts w:ascii="Book Antiqua" w:hAnsi="Book Antiqua" w:cstheme="minorHAnsi"/>
          <w:b/>
          <w:iCs/>
        </w:rPr>
        <w:t>short form survey</w:t>
      </w:r>
      <w:r w:rsidRPr="00AD5289">
        <w:rPr>
          <w:rFonts w:ascii="Book Antiqua" w:hAnsi="Book Antiqua" w:cstheme="minorHAnsi"/>
          <w:b/>
          <w:iCs/>
        </w:rPr>
        <w:t xml:space="preserve"> baseline and follow-up scores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2795"/>
        <w:gridCol w:w="1935"/>
        <w:gridCol w:w="1328"/>
        <w:gridCol w:w="1450"/>
        <w:gridCol w:w="1578"/>
        <w:gridCol w:w="1080"/>
        <w:gridCol w:w="1578"/>
      </w:tblGrid>
      <w:tr w:rsidR="00780CD3" w:rsidRPr="00AD5289" w14:paraId="5001E868" w14:textId="77777777" w:rsidTr="00780CD3">
        <w:tc>
          <w:tcPr>
            <w:tcW w:w="95" w:type="pct"/>
            <w:tcBorders>
              <w:top w:val="single" w:sz="4" w:space="0" w:color="auto"/>
              <w:bottom w:val="single" w:sz="4" w:space="0" w:color="auto"/>
            </w:tcBorders>
          </w:tcPr>
          <w:p w14:paraId="5BDE6A92" w14:textId="72E3F84B" w:rsidR="00834E90" w:rsidRPr="00AD5289" w:rsidRDefault="00780CD3" w:rsidP="00AD5289">
            <w:pPr>
              <w:spacing w:line="360" w:lineRule="auto"/>
              <w:jc w:val="both"/>
              <w:rPr>
                <w:rFonts w:ascii="Book Antiqua" w:hAnsi="Book Antiqua" w:cstheme="minorHAnsi"/>
                <w:b/>
                <w:iCs/>
                <w:lang w:val="en-US"/>
              </w:rPr>
            </w:pPr>
            <w:r>
              <w:rPr>
                <w:rFonts w:ascii="Book Antiqua" w:hAnsi="Book Antiqua" w:cstheme="minorHAnsi"/>
                <w:b/>
                <w:iCs/>
                <w:lang w:val="en-US"/>
              </w:rPr>
              <w:t>Outcome</w:t>
            </w:r>
          </w:p>
        </w:tc>
        <w:tc>
          <w:tcPr>
            <w:tcW w:w="1132" w:type="pct"/>
            <w:tcBorders>
              <w:top w:val="single" w:sz="4" w:space="0" w:color="auto"/>
              <w:bottom w:val="single" w:sz="4" w:space="0" w:color="auto"/>
            </w:tcBorders>
          </w:tcPr>
          <w:p w14:paraId="7EAB451E" w14:textId="2EB94FAE" w:rsidR="00834E90" w:rsidRPr="00AD5289" w:rsidRDefault="00834E90" w:rsidP="00AD5289">
            <w:pPr>
              <w:spacing w:line="360" w:lineRule="auto"/>
              <w:jc w:val="both"/>
              <w:rPr>
                <w:rFonts w:ascii="Book Antiqua" w:hAnsi="Book Antiqua" w:cstheme="minorHAnsi"/>
                <w:b/>
                <w:iCs/>
                <w:lang w:val="en-US"/>
              </w:rPr>
            </w:pPr>
          </w:p>
        </w:tc>
        <w:tc>
          <w:tcPr>
            <w:tcW w:w="800" w:type="pct"/>
            <w:tcBorders>
              <w:top w:val="single" w:sz="4" w:space="0" w:color="auto"/>
              <w:bottom w:val="single" w:sz="4" w:space="0" w:color="auto"/>
            </w:tcBorders>
          </w:tcPr>
          <w:p w14:paraId="0B878730" w14:textId="1191D389" w:rsidR="00834E90" w:rsidRPr="00AD5289" w:rsidRDefault="00834E90" w:rsidP="00AD5289">
            <w:pPr>
              <w:spacing w:line="360" w:lineRule="auto"/>
              <w:jc w:val="both"/>
              <w:rPr>
                <w:rFonts w:ascii="Book Antiqua" w:hAnsi="Book Antiqua" w:cstheme="minorHAnsi"/>
                <w:b/>
                <w:bCs/>
                <w:iCs/>
                <w:lang w:val="en-US"/>
              </w:rPr>
            </w:pPr>
            <w:r w:rsidRPr="00AD5289">
              <w:rPr>
                <w:rFonts w:ascii="Book Antiqua" w:hAnsi="Book Antiqua" w:cstheme="minorHAnsi"/>
                <w:b/>
                <w:bCs/>
                <w:iCs/>
                <w:lang w:val="en-US"/>
              </w:rPr>
              <w:t>Baseline</w:t>
            </w:r>
            <w:r w:rsidR="0049764D">
              <w:rPr>
                <w:rFonts w:ascii="Book Antiqua" w:hAnsi="Book Antiqua" w:cstheme="minorHAnsi"/>
                <w:b/>
                <w:bCs/>
                <w:iCs/>
                <w:lang w:val="en-US"/>
              </w:rPr>
              <w:t>,</w:t>
            </w:r>
            <w:r w:rsidRPr="00AD5289">
              <w:rPr>
                <w:rFonts w:ascii="Book Antiqua" w:hAnsi="Book Antiqua" w:cstheme="minorHAnsi"/>
                <w:b/>
                <w:bCs/>
                <w:iCs/>
                <w:lang w:val="en-US"/>
              </w:rPr>
              <w:t xml:space="preserve"> </w:t>
            </w:r>
            <w:r w:rsidRPr="00AD5289">
              <w:rPr>
                <w:rFonts w:ascii="Book Antiqua" w:hAnsi="Book Antiqua" w:cstheme="minorHAnsi"/>
                <w:b/>
                <w:i/>
                <w:iCs/>
                <w:lang w:val="en-US"/>
              </w:rPr>
              <w:t>n</w:t>
            </w:r>
            <w:r w:rsidR="00762970" w:rsidRPr="00AD5289">
              <w:rPr>
                <w:rFonts w:ascii="Book Antiqua" w:hAnsi="Book Antiqua" w:cstheme="minorHAnsi"/>
                <w:b/>
                <w:iCs/>
                <w:lang w:val="en-US"/>
              </w:rPr>
              <w:t xml:space="preserve"> </w:t>
            </w:r>
            <w:r w:rsidRPr="00AD5289">
              <w:rPr>
                <w:rFonts w:ascii="Book Antiqua" w:hAnsi="Book Antiqua" w:cstheme="minorHAnsi"/>
                <w:b/>
                <w:iCs/>
                <w:lang w:val="en-US"/>
              </w:rPr>
              <w:t>=</w:t>
            </w:r>
            <w:r w:rsidR="00762970" w:rsidRPr="00AD5289">
              <w:rPr>
                <w:rFonts w:ascii="Book Antiqua" w:hAnsi="Book Antiqua" w:cstheme="minorHAnsi"/>
                <w:b/>
                <w:iCs/>
                <w:lang w:val="en-US"/>
              </w:rPr>
              <w:t xml:space="preserve"> </w:t>
            </w:r>
            <w:r w:rsidRPr="00AD5289">
              <w:rPr>
                <w:rFonts w:ascii="Book Antiqua" w:hAnsi="Book Antiqua" w:cstheme="minorHAnsi"/>
                <w:b/>
                <w:iCs/>
                <w:lang w:val="en-US"/>
              </w:rPr>
              <w:t>471</w:t>
            </w:r>
          </w:p>
        </w:tc>
        <w:tc>
          <w:tcPr>
            <w:tcW w:w="566" w:type="pct"/>
            <w:tcBorders>
              <w:top w:val="single" w:sz="4" w:space="0" w:color="auto"/>
              <w:bottom w:val="single" w:sz="4" w:space="0" w:color="auto"/>
            </w:tcBorders>
          </w:tcPr>
          <w:p w14:paraId="6959F681" w14:textId="460AFE3D" w:rsidR="00834E90" w:rsidRPr="00AD5289" w:rsidRDefault="00762970" w:rsidP="00AD5289">
            <w:pPr>
              <w:spacing w:line="360" w:lineRule="auto"/>
              <w:jc w:val="both"/>
              <w:rPr>
                <w:rFonts w:ascii="Book Antiqua" w:hAnsi="Book Antiqua" w:cstheme="minorHAnsi"/>
                <w:b/>
                <w:bCs/>
                <w:iCs/>
                <w:lang w:val="en-US"/>
              </w:rPr>
            </w:pPr>
            <w:r w:rsidRPr="00AD5289">
              <w:rPr>
                <w:rFonts w:ascii="Book Antiqua" w:hAnsi="Book Antiqua" w:cstheme="minorHAnsi"/>
                <w:b/>
                <w:bCs/>
                <w:iCs/>
                <w:lang w:val="en-US"/>
              </w:rPr>
              <w:t>6 wk</w:t>
            </w:r>
            <w:r w:rsidR="0049764D">
              <w:rPr>
                <w:rFonts w:ascii="Book Antiqua" w:hAnsi="Book Antiqua" w:cstheme="minorHAnsi"/>
                <w:b/>
                <w:bCs/>
                <w:iCs/>
                <w:lang w:val="en-US"/>
              </w:rPr>
              <w:t>,</w:t>
            </w:r>
            <w:r w:rsidR="00834E90" w:rsidRPr="00AD5289">
              <w:rPr>
                <w:rFonts w:ascii="Book Antiqua" w:hAnsi="Book Antiqua" w:cstheme="minorHAnsi"/>
                <w:b/>
                <w:bCs/>
                <w:iCs/>
                <w:lang w:val="en-US"/>
              </w:rPr>
              <w:t xml:space="preserve"> </w:t>
            </w:r>
            <w:r w:rsidRPr="00AD5289">
              <w:rPr>
                <w:rFonts w:ascii="Book Antiqua" w:hAnsi="Book Antiqua" w:cstheme="minorHAnsi"/>
                <w:b/>
                <w:i/>
                <w:iCs/>
                <w:lang w:val="en-US"/>
              </w:rPr>
              <w:t>n</w:t>
            </w:r>
            <w:r w:rsidRPr="00AD5289">
              <w:rPr>
                <w:rFonts w:ascii="Book Antiqua" w:hAnsi="Book Antiqua" w:cstheme="minorHAnsi"/>
                <w:b/>
                <w:iCs/>
                <w:lang w:val="en-US"/>
              </w:rPr>
              <w:t xml:space="preserve"> </w:t>
            </w:r>
            <w:r w:rsidR="00834E90" w:rsidRPr="00AD5289">
              <w:rPr>
                <w:rFonts w:ascii="Book Antiqua" w:hAnsi="Book Antiqua" w:cstheme="minorHAnsi"/>
                <w:b/>
                <w:iCs/>
                <w:lang w:val="en-US"/>
              </w:rPr>
              <w:t>=</w:t>
            </w:r>
            <w:r w:rsidRPr="00AD5289">
              <w:rPr>
                <w:rFonts w:ascii="Book Antiqua" w:hAnsi="Book Antiqua" w:cstheme="minorHAnsi"/>
                <w:b/>
                <w:iCs/>
                <w:lang w:val="en-US"/>
              </w:rPr>
              <w:t xml:space="preserve"> </w:t>
            </w:r>
            <w:r w:rsidR="00834E90" w:rsidRPr="00AD5289">
              <w:rPr>
                <w:rFonts w:ascii="Book Antiqua" w:hAnsi="Book Antiqua" w:cstheme="minorHAnsi"/>
                <w:b/>
                <w:iCs/>
                <w:lang w:val="en-US"/>
              </w:rPr>
              <w:t>388</w:t>
            </w:r>
          </w:p>
        </w:tc>
        <w:tc>
          <w:tcPr>
            <w:tcW w:w="613" w:type="pct"/>
            <w:tcBorders>
              <w:top w:val="single" w:sz="4" w:space="0" w:color="auto"/>
              <w:bottom w:val="single" w:sz="4" w:space="0" w:color="auto"/>
            </w:tcBorders>
          </w:tcPr>
          <w:p w14:paraId="3B52AA4D" w14:textId="561BCC32" w:rsidR="00834E90" w:rsidRPr="00AD5289" w:rsidRDefault="00834E90" w:rsidP="00AD5289">
            <w:pPr>
              <w:spacing w:line="360" w:lineRule="auto"/>
              <w:jc w:val="both"/>
              <w:rPr>
                <w:rFonts w:ascii="Book Antiqua" w:hAnsi="Book Antiqua" w:cstheme="minorHAnsi"/>
                <w:b/>
                <w:bCs/>
                <w:iCs/>
                <w:lang w:val="en-US"/>
              </w:rPr>
            </w:pPr>
            <w:r w:rsidRPr="00AD5289">
              <w:rPr>
                <w:rFonts w:ascii="Book Antiqua" w:hAnsi="Book Antiqua" w:cstheme="minorHAnsi"/>
                <w:b/>
                <w:bCs/>
                <w:iCs/>
                <w:lang w:val="en-US"/>
              </w:rPr>
              <w:t>3 mo</w:t>
            </w:r>
            <w:r w:rsidR="0049764D">
              <w:rPr>
                <w:rFonts w:ascii="Book Antiqua" w:hAnsi="Book Antiqua" w:cstheme="minorHAnsi"/>
                <w:b/>
                <w:bCs/>
                <w:iCs/>
                <w:lang w:val="en-US"/>
              </w:rPr>
              <w:t>,</w:t>
            </w:r>
            <w:r w:rsidRPr="00AD5289">
              <w:rPr>
                <w:rFonts w:ascii="Book Antiqua" w:hAnsi="Book Antiqua" w:cstheme="minorHAnsi"/>
                <w:b/>
                <w:bCs/>
                <w:iCs/>
                <w:lang w:val="en-US"/>
              </w:rPr>
              <w:t xml:space="preserve"> </w:t>
            </w:r>
            <w:r w:rsidR="00762970" w:rsidRPr="00AD5289">
              <w:rPr>
                <w:rFonts w:ascii="Book Antiqua" w:hAnsi="Book Antiqua" w:cstheme="minorHAnsi"/>
                <w:b/>
                <w:i/>
                <w:iCs/>
                <w:lang w:val="en-US"/>
              </w:rPr>
              <w:t>n</w:t>
            </w:r>
            <w:r w:rsidR="00762970" w:rsidRPr="00AD5289">
              <w:rPr>
                <w:rFonts w:ascii="Book Antiqua" w:hAnsi="Book Antiqua" w:cstheme="minorHAnsi"/>
                <w:b/>
                <w:iCs/>
                <w:lang w:val="en-US"/>
              </w:rPr>
              <w:t xml:space="preserve"> </w:t>
            </w:r>
            <w:r w:rsidRPr="00AD5289">
              <w:rPr>
                <w:rFonts w:ascii="Book Antiqua" w:hAnsi="Book Antiqua" w:cstheme="minorHAnsi"/>
                <w:b/>
                <w:iCs/>
                <w:lang w:val="en-US"/>
              </w:rPr>
              <w:t>=</w:t>
            </w:r>
            <w:r w:rsidR="00762970" w:rsidRPr="00AD5289">
              <w:rPr>
                <w:rFonts w:ascii="Book Antiqua" w:hAnsi="Book Antiqua" w:cstheme="minorHAnsi"/>
                <w:b/>
                <w:iCs/>
                <w:lang w:val="en-US"/>
              </w:rPr>
              <w:t xml:space="preserve"> </w:t>
            </w:r>
            <w:r w:rsidRPr="00AD5289">
              <w:rPr>
                <w:rFonts w:ascii="Book Antiqua" w:hAnsi="Book Antiqua" w:cstheme="minorHAnsi"/>
                <w:b/>
                <w:iCs/>
                <w:lang w:val="en-US"/>
              </w:rPr>
              <w:t>371</w:t>
            </w:r>
          </w:p>
        </w:tc>
        <w:tc>
          <w:tcPr>
            <w:tcW w:w="662" w:type="pct"/>
            <w:tcBorders>
              <w:top w:val="single" w:sz="4" w:space="0" w:color="auto"/>
              <w:bottom w:val="single" w:sz="4" w:space="0" w:color="auto"/>
            </w:tcBorders>
          </w:tcPr>
          <w:p w14:paraId="6D5C13FA" w14:textId="4AF0478B" w:rsidR="00834E90" w:rsidRPr="00AD5289" w:rsidRDefault="00834E90" w:rsidP="00AD5289">
            <w:pPr>
              <w:spacing w:line="360" w:lineRule="auto"/>
              <w:jc w:val="both"/>
              <w:rPr>
                <w:rFonts w:ascii="Book Antiqua" w:hAnsi="Book Antiqua" w:cstheme="minorHAnsi"/>
                <w:b/>
                <w:bCs/>
                <w:iCs/>
                <w:lang w:val="en-US"/>
              </w:rPr>
            </w:pPr>
            <w:r w:rsidRPr="00AD5289">
              <w:rPr>
                <w:rFonts w:ascii="Book Antiqua" w:hAnsi="Book Antiqua" w:cstheme="minorHAnsi"/>
                <w:b/>
                <w:bCs/>
                <w:iCs/>
                <w:lang w:val="en-US"/>
              </w:rPr>
              <w:t>6 mo</w:t>
            </w:r>
            <w:r w:rsidR="0049764D">
              <w:rPr>
                <w:rFonts w:ascii="Book Antiqua" w:hAnsi="Book Antiqua" w:cstheme="minorHAnsi"/>
                <w:b/>
                <w:bCs/>
                <w:iCs/>
                <w:lang w:val="en-US"/>
              </w:rPr>
              <w:t>,</w:t>
            </w:r>
            <w:r w:rsidRPr="00AD5289">
              <w:rPr>
                <w:rFonts w:ascii="Book Antiqua" w:hAnsi="Book Antiqua" w:cstheme="minorHAnsi"/>
                <w:b/>
                <w:bCs/>
                <w:iCs/>
                <w:lang w:val="en-US"/>
              </w:rPr>
              <w:t xml:space="preserve"> </w:t>
            </w:r>
            <w:r w:rsidR="00762970" w:rsidRPr="00AD5289">
              <w:rPr>
                <w:rFonts w:ascii="Book Antiqua" w:hAnsi="Book Antiqua" w:cstheme="minorHAnsi"/>
                <w:b/>
                <w:i/>
                <w:iCs/>
                <w:lang w:val="en-US"/>
              </w:rPr>
              <w:t>n</w:t>
            </w:r>
            <w:r w:rsidR="00762970" w:rsidRPr="00AD5289">
              <w:rPr>
                <w:rFonts w:ascii="Book Antiqua" w:hAnsi="Book Antiqua" w:cstheme="minorHAnsi"/>
                <w:b/>
                <w:iCs/>
                <w:lang w:val="en-US"/>
              </w:rPr>
              <w:t xml:space="preserve"> </w:t>
            </w:r>
            <w:r w:rsidRPr="00AD5289">
              <w:rPr>
                <w:rFonts w:ascii="Book Antiqua" w:hAnsi="Book Antiqua" w:cstheme="minorHAnsi"/>
                <w:b/>
                <w:iCs/>
                <w:lang w:val="en-US"/>
              </w:rPr>
              <w:t>=</w:t>
            </w:r>
            <w:r w:rsidR="00762970" w:rsidRPr="00AD5289">
              <w:rPr>
                <w:rFonts w:ascii="Book Antiqua" w:hAnsi="Book Antiqua" w:cstheme="minorHAnsi"/>
                <w:b/>
                <w:iCs/>
                <w:lang w:val="en-US"/>
              </w:rPr>
              <w:t xml:space="preserve"> </w:t>
            </w:r>
            <w:r w:rsidRPr="00AD5289">
              <w:rPr>
                <w:rFonts w:ascii="Book Antiqua" w:hAnsi="Book Antiqua" w:cstheme="minorHAnsi"/>
                <w:b/>
                <w:iCs/>
                <w:lang w:val="en-US"/>
              </w:rPr>
              <w:t>355</w:t>
            </w:r>
          </w:p>
        </w:tc>
        <w:tc>
          <w:tcPr>
            <w:tcW w:w="470" w:type="pct"/>
            <w:tcBorders>
              <w:top w:val="single" w:sz="4" w:space="0" w:color="auto"/>
              <w:bottom w:val="single" w:sz="4" w:space="0" w:color="auto"/>
            </w:tcBorders>
          </w:tcPr>
          <w:p w14:paraId="00774D05" w14:textId="2D646593" w:rsidR="00834E90" w:rsidRPr="00AD5289" w:rsidRDefault="00762970" w:rsidP="00AD5289">
            <w:pPr>
              <w:spacing w:line="360" w:lineRule="auto"/>
              <w:jc w:val="both"/>
              <w:rPr>
                <w:rFonts w:ascii="Book Antiqua" w:hAnsi="Book Antiqua" w:cstheme="minorHAnsi"/>
                <w:b/>
                <w:bCs/>
                <w:iCs/>
                <w:lang w:val="en-US"/>
              </w:rPr>
            </w:pPr>
            <w:r w:rsidRPr="00AD5289">
              <w:rPr>
                <w:rFonts w:ascii="Book Antiqua" w:hAnsi="Book Antiqua" w:cstheme="minorHAnsi"/>
                <w:b/>
                <w:bCs/>
                <w:iCs/>
                <w:lang w:val="en-US"/>
              </w:rPr>
              <w:t>1 y</w:t>
            </w:r>
            <w:r w:rsidR="00834E90" w:rsidRPr="00AD5289">
              <w:rPr>
                <w:rFonts w:ascii="Book Antiqua" w:hAnsi="Book Antiqua" w:cstheme="minorHAnsi"/>
                <w:b/>
                <w:bCs/>
                <w:iCs/>
                <w:lang w:val="en-US"/>
              </w:rPr>
              <w:t>r</w:t>
            </w:r>
            <w:r w:rsidR="0049764D">
              <w:rPr>
                <w:rFonts w:ascii="Book Antiqua" w:hAnsi="Book Antiqua" w:cstheme="minorHAnsi"/>
                <w:b/>
                <w:bCs/>
                <w:iCs/>
                <w:lang w:val="en-US"/>
              </w:rPr>
              <w:t>,</w:t>
            </w:r>
            <w:r w:rsidR="00834E90" w:rsidRPr="00AD5289">
              <w:rPr>
                <w:rFonts w:ascii="Book Antiqua" w:hAnsi="Book Antiqua" w:cstheme="minorHAnsi"/>
                <w:b/>
                <w:bCs/>
                <w:iCs/>
                <w:lang w:val="en-US"/>
              </w:rPr>
              <w:t xml:space="preserve"> </w:t>
            </w:r>
            <w:r w:rsidRPr="00AD5289">
              <w:rPr>
                <w:rFonts w:ascii="Book Antiqua" w:hAnsi="Book Antiqua" w:cstheme="minorHAnsi"/>
                <w:b/>
                <w:i/>
                <w:iCs/>
                <w:lang w:val="en-US"/>
              </w:rPr>
              <w:t>n</w:t>
            </w:r>
            <w:r w:rsidRPr="00AD5289">
              <w:rPr>
                <w:rFonts w:ascii="Book Antiqua" w:hAnsi="Book Antiqua" w:cstheme="minorHAnsi"/>
                <w:b/>
                <w:iCs/>
                <w:lang w:val="en-US"/>
              </w:rPr>
              <w:t xml:space="preserve"> </w:t>
            </w:r>
            <w:r w:rsidR="00834E90" w:rsidRPr="00AD5289">
              <w:rPr>
                <w:rFonts w:ascii="Book Antiqua" w:hAnsi="Book Antiqua" w:cstheme="minorHAnsi"/>
                <w:b/>
                <w:iCs/>
                <w:lang w:val="en-US"/>
              </w:rPr>
              <w:t>=</w:t>
            </w:r>
            <w:r w:rsidRPr="00AD5289">
              <w:rPr>
                <w:rFonts w:ascii="Book Antiqua" w:hAnsi="Book Antiqua" w:cstheme="minorHAnsi"/>
                <w:b/>
                <w:iCs/>
                <w:lang w:val="en-US"/>
              </w:rPr>
              <w:t xml:space="preserve"> </w:t>
            </w:r>
            <w:r w:rsidR="00834E90" w:rsidRPr="00AD5289">
              <w:rPr>
                <w:rFonts w:ascii="Book Antiqua" w:hAnsi="Book Antiqua" w:cstheme="minorHAnsi"/>
                <w:b/>
                <w:iCs/>
                <w:lang w:val="en-US"/>
              </w:rPr>
              <w:t>317</w:t>
            </w:r>
          </w:p>
        </w:tc>
        <w:tc>
          <w:tcPr>
            <w:tcW w:w="662" w:type="pct"/>
            <w:tcBorders>
              <w:top w:val="single" w:sz="4" w:space="0" w:color="auto"/>
              <w:bottom w:val="single" w:sz="4" w:space="0" w:color="auto"/>
            </w:tcBorders>
          </w:tcPr>
          <w:p w14:paraId="7BD25B35" w14:textId="406CB321" w:rsidR="00834E90" w:rsidRPr="00AD5289" w:rsidRDefault="00762970" w:rsidP="00AD5289">
            <w:pPr>
              <w:spacing w:line="360" w:lineRule="auto"/>
              <w:jc w:val="both"/>
              <w:rPr>
                <w:rFonts w:ascii="Book Antiqua" w:hAnsi="Book Antiqua" w:cstheme="minorHAnsi"/>
                <w:b/>
                <w:bCs/>
                <w:iCs/>
                <w:lang w:val="en-US"/>
              </w:rPr>
            </w:pPr>
            <w:r w:rsidRPr="00AD5289">
              <w:rPr>
                <w:rFonts w:ascii="Book Antiqua" w:hAnsi="Book Antiqua" w:cstheme="minorHAnsi"/>
                <w:b/>
                <w:bCs/>
                <w:iCs/>
                <w:lang w:val="en-US"/>
              </w:rPr>
              <w:t>2 yr</w:t>
            </w:r>
            <w:r w:rsidR="0049764D">
              <w:rPr>
                <w:rFonts w:ascii="Book Antiqua" w:hAnsi="Book Antiqua" w:cstheme="minorHAnsi"/>
                <w:b/>
                <w:bCs/>
                <w:iCs/>
                <w:lang w:val="en-US"/>
              </w:rPr>
              <w:t>,</w:t>
            </w:r>
            <w:r w:rsidR="00834E90" w:rsidRPr="00AD5289">
              <w:rPr>
                <w:rFonts w:ascii="Book Antiqua" w:hAnsi="Book Antiqua" w:cstheme="minorHAnsi"/>
                <w:b/>
                <w:bCs/>
                <w:iCs/>
                <w:lang w:val="en-US"/>
              </w:rPr>
              <w:t xml:space="preserve"> </w:t>
            </w:r>
            <w:r w:rsidRPr="00AD5289">
              <w:rPr>
                <w:rFonts w:ascii="Book Antiqua" w:hAnsi="Book Antiqua" w:cstheme="minorHAnsi"/>
                <w:b/>
                <w:i/>
                <w:iCs/>
                <w:lang w:val="en-US"/>
              </w:rPr>
              <w:t>n</w:t>
            </w:r>
            <w:r w:rsidRPr="00AD5289">
              <w:rPr>
                <w:rFonts w:ascii="Book Antiqua" w:hAnsi="Book Antiqua" w:cstheme="minorHAnsi"/>
                <w:b/>
                <w:iCs/>
                <w:lang w:val="en-US"/>
              </w:rPr>
              <w:t xml:space="preserve"> </w:t>
            </w:r>
            <w:r w:rsidR="00834E90" w:rsidRPr="00AD5289">
              <w:rPr>
                <w:rFonts w:ascii="Book Antiqua" w:hAnsi="Book Antiqua" w:cstheme="minorHAnsi"/>
                <w:b/>
                <w:iCs/>
                <w:lang w:val="en-US"/>
              </w:rPr>
              <w:t>=</w:t>
            </w:r>
            <w:r w:rsidRPr="00AD5289">
              <w:rPr>
                <w:rFonts w:ascii="Book Antiqua" w:hAnsi="Book Antiqua" w:cstheme="minorHAnsi"/>
                <w:b/>
                <w:iCs/>
                <w:lang w:val="en-US"/>
              </w:rPr>
              <w:t xml:space="preserve"> </w:t>
            </w:r>
            <w:r w:rsidR="00834E90" w:rsidRPr="00AD5289">
              <w:rPr>
                <w:rFonts w:ascii="Book Antiqua" w:hAnsi="Book Antiqua" w:cstheme="minorHAnsi"/>
                <w:b/>
                <w:iCs/>
                <w:lang w:val="en-US"/>
              </w:rPr>
              <w:t>233</w:t>
            </w:r>
          </w:p>
        </w:tc>
      </w:tr>
      <w:tr w:rsidR="00834E90" w:rsidRPr="00AD5289" w14:paraId="75BEE41C" w14:textId="77777777" w:rsidTr="00780CD3">
        <w:tc>
          <w:tcPr>
            <w:tcW w:w="1227" w:type="pct"/>
            <w:gridSpan w:val="2"/>
            <w:tcBorders>
              <w:top w:val="single" w:sz="4" w:space="0" w:color="auto"/>
            </w:tcBorders>
          </w:tcPr>
          <w:p w14:paraId="743DAF3A" w14:textId="77777777" w:rsidR="00834E90" w:rsidRPr="00AD5289" w:rsidRDefault="00834E90" w:rsidP="00AD5289">
            <w:pPr>
              <w:spacing w:line="360" w:lineRule="auto"/>
              <w:jc w:val="both"/>
              <w:rPr>
                <w:rFonts w:ascii="Book Antiqua" w:hAnsi="Book Antiqua"/>
                <w:iCs/>
                <w:lang w:val="en-US"/>
              </w:rPr>
            </w:pPr>
            <w:r w:rsidRPr="00AD5289">
              <w:rPr>
                <w:rFonts w:ascii="Book Antiqua" w:hAnsi="Book Antiqua"/>
                <w:iCs/>
                <w:lang w:val="en-US"/>
              </w:rPr>
              <w:t>HOOS</w:t>
            </w:r>
          </w:p>
        </w:tc>
        <w:tc>
          <w:tcPr>
            <w:tcW w:w="800" w:type="pct"/>
            <w:tcBorders>
              <w:top w:val="single" w:sz="4" w:space="0" w:color="auto"/>
            </w:tcBorders>
          </w:tcPr>
          <w:p w14:paraId="7D782EEA" w14:textId="77777777" w:rsidR="00834E90" w:rsidRPr="00AD5289" w:rsidRDefault="00834E90" w:rsidP="00AD5289">
            <w:pPr>
              <w:spacing w:line="360" w:lineRule="auto"/>
              <w:jc w:val="both"/>
              <w:rPr>
                <w:rFonts w:ascii="Book Antiqua" w:hAnsi="Book Antiqua" w:cstheme="minorHAnsi"/>
                <w:lang w:val="en-US"/>
              </w:rPr>
            </w:pPr>
          </w:p>
        </w:tc>
        <w:tc>
          <w:tcPr>
            <w:tcW w:w="566" w:type="pct"/>
            <w:tcBorders>
              <w:top w:val="single" w:sz="4" w:space="0" w:color="auto"/>
            </w:tcBorders>
          </w:tcPr>
          <w:p w14:paraId="06ACC81D" w14:textId="77777777" w:rsidR="00834E90" w:rsidRPr="00AD5289" w:rsidRDefault="00834E90" w:rsidP="00AD5289">
            <w:pPr>
              <w:spacing w:line="360" w:lineRule="auto"/>
              <w:jc w:val="both"/>
              <w:rPr>
                <w:rFonts w:ascii="Book Antiqua" w:hAnsi="Book Antiqua" w:cstheme="minorHAnsi"/>
                <w:lang w:val="en-US"/>
              </w:rPr>
            </w:pPr>
          </w:p>
        </w:tc>
        <w:tc>
          <w:tcPr>
            <w:tcW w:w="613" w:type="pct"/>
            <w:tcBorders>
              <w:top w:val="single" w:sz="4" w:space="0" w:color="auto"/>
            </w:tcBorders>
          </w:tcPr>
          <w:p w14:paraId="2D85B2D0" w14:textId="77777777" w:rsidR="00834E90" w:rsidRPr="00AD5289" w:rsidRDefault="00834E90" w:rsidP="00AD5289">
            <w:pPr>
              <w:spacing w:line="360" w:lineRule="auto"/>
              <w:jc w:val="both"/>
              <w:rPr>
                <w:rFonts w:ascii="Book Antiqua" w:hAnsi="Book Antiqua" w:cstheme="minorHAnsi"/>
                <w:lang w:val="en-US"/>
              </w:rPr>
            </w:pPr>
          </w:p>
        </w:tc>
        <w:tc>
          <w:tcPr>
            <w:tcW w:w="662" w:type="pct"/>
            <w:tcBorders>
              <w:top w:val="single" w:sz="4" w:space="0" w:color="auto"/>
            </w:tcBorders>
          </w:tcPr>
          <w:p w14:paraId="7D29AAD4" w14:textId="77777777" w:rsidR="00834E90" w:rsidRPr="00AD5289" w:rsidRDefault="00834E90" w:rsidP="00AD5289">
            <w:pPr>
              <w:spacing w:line="360" w:lineRule="auto"/>
              <w:jc w:val="both"/>
              <w:rPr>
                <w:rFonts w:ascii="Book Antiqua" w:hAnsi="Book Antiqua" w:cstheme="minorHAnsi"/>
                <w:lang w:val="en-US"/>
              </w:rPr>
            </w:pPr>
          </w:p>
        </w:tc>
        <w:tc>
          <w:tcPr>
            <w:tcW w:w="470" w:type="pct"/>
            <w:tcBorders>
              <w:top w:val="single" w:sz="4" w:space="0" w:color="auto"/>
            </w:tcBorders>
          </w:tcPr>
          <w:p w14:paraId="428B7BFB" w14:textId="77777777" w:rsidR="00834E90" w:rsidRPr="00AD5289" w:rsidRDefault="00834E90" w:rsidP="00AD5289">
            <w:pPr>
              <w:spacing w:line="360" w:lineRule="auto"/>
              <w:jc w:val="both"/>
              <w:rPr>
                <w:rFonts w:ascii="Book Antiqua" w:hAnsi="Book Antiqua" w:cstheme="minorHAnsi"/>
                <w:lang w:val="en-US"/>
              </w:rPr>
            </w:pPr>
          </w:p>
        </w:tc>
        <w:tc>
          <w:tcPr>
            <w:tcW w:w="662" w:type="pct"/>
            <w:tcBorders>
              <w:top w:val="single" w:sz="4" w:space="0" w:color="auto"/>
            </w:tcBorders>
          </w:tcPr>
          <w:p w14:paraId="7C20147C" w14:textId="77777777" w:rsidR="00834E90" w:rsidRPr="00AD5289" w:rsidRDefault="00834E90" w:rsidP="00AD5289">
            <w:pPr>
              <w:spacing w:line="360" w:lineRule="auto"/>
              <w:jc w:val="both"/>
              <w:rPr>
                <w:rFonts w:ascii="Book Antiqua" w:hAnsi="Book Antiqua" w:cstheme="minorHAnsi"/>
                <w:lang w:val="en-US"/>
              </w:rPr>
            </w:pPr>
          </w:p>
        </w:tc>
      </w:tr>
      <w:tr w:rsidR="00780CD3" w:rsidRPr="00AD5289" w14:paraId="6CD86907" w14:textId="77777777" w:rsidTr="00780CD3">
        <w:tc>
          <w:tcPr>
            <w:tcW w:w="95" w:type="pct"/>
          </w:tcPr>
          <w:p w14:paraId="37420B2C" w14:textId="77777777" w:rsidR="00834E90" w:rsidRPr="00AD5289" w:rsidRDefault="00834E90" w:rsidP="00AD5289">
            <w:pPr>
              <w:spacing w:line="360" w:lineRule="auto"/>
              <w:jc w:val="both"/>
              <w:rPr>
                <w:rFonts w:ascii="Book Antiqua" w:hAnsi="Book Antiqua"/>
                <w:i/>
                <w:iCs/>
                <w:lang w:val="en-US"/>
              </w:rPr>
            </w:pPr>
          </w:p>
        </w:tc>
        <w:tc>
          <w:tcPr>
            <w:tcW w:w="1132" w:type="pct"/>
          </w:tcPr>
          <w:p w14:paraId="7BB35A57" w14:textId="75BDF246"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iCs/>
                <w:lang w:val="en-US"/>
              </w:rPr>
              <w:t>Symptoms</w:t>
            </w:r>
          </w:p>
        </w:tc>
        <w:tc>
          <w:tcPr>
            <w:tcW w:w="800" w:type="pct"/>
          </w:tcPr>
          <w:p w14:paraId="2A9DC720"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42.1 (18.1)</w:t>
            </w:r>
          </w:p>
        </w:tc>
        <w:tc>
          <w:tcPr>
            <w:tcW w:w="566" w:type="pct"/>
          </w:tcPr>
          <w:p w14:paraId="01ECD27F"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71.6 (18.2)</w:t>
            </w:r>
          </w:p>
        </w:tc>
        <w:tc>
          <w:tcPr>
            <w:tcW w:w="613" w:type="pct"/>
          </w:tcPr>
          <w:p w14:paraId="75540AA1"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76.3 (17.9)</w:t>
            </w:r>
          </w:p>
        </w:tc>
        <w:tc>
          <w:tcPr>
            <w:tcW w:w="662" w:type="pct"/>
          </w:tcPr>
          <w:p w14:paraId="3428C10C"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81.1 (17.7)</w:t>
            </w:r>
          </w:p>
        </w:tc>
        <w:tc>
          <w:tcPr>
            <w:tcW w:w="470" w:type="pct"/>
          </w:tcPr>
          <w:p w14:paraId="1A82ABD3"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85.9 (16.2)</w:t>
            </w:r>
          </w:p>
        </w:tc>
        <w:tc>
          <w:tcPr>
            <w:tcW w:w="662" w:type="pct"/>
          </w:tcPr>
          <w:p w14:paraId="2206758D"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85.9 (16.7)</w:t>
            </w:r>
          </w:p>
        </w:tc>
      </w:tr>
      <w:tr w:rsidR="00780CD3" w:rsidRPr="00AD5289" w14:paraId="3A1787BC" w14:textId="77777777" w:rsidTr="00780CD3">
        <w:tc>
          <w:tcPr>
            <w:tcW w:w="95" w:type="pct"/>
          </w:tcPr>
          <w:p w14:paraId="45422455" w14:textId="77777777" w:rsidR="00834E90" w:rsidRPr="00AD5289" w:rsidRDefault="00834E90" w:rsidP="00AD5289">
            <w:pPr>
              <w:spacing w:line="360" w:lineRule="auto"/>
              <w:jc w:val="both"/>
              <w:rPr>
                <w:rFonts w:ascii="Book Antiqua" w:hAnsi="Book Antiqua"/>
                <w:i/>
                <w:iCs/>
                <w:lang w:val="en-US"/>
              </w:rPr>
            </w:pPr>
          </w:p>
        </w:tc>
        <w:tc>
          <w:tcPr>
            <w:tcW w:w="1132" w:type="pct"/>
          </w:tcPr>
          <w:p w14:paraId="1578B536" w14:textId="28B85E3E"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iCs/>
                <w:lang w:val="en-US"/>
              </w:rPr>
              <w:t>Pain</w:t>
            </w:r>
          </w:p>
        </w:tc>
        <w:tc>
          <w:tcPr>
            <w:tcW w:w="800" w:type="pct"/>
          </w:tcPr>
          <w:p w14:paraId="52CC9469"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42.5 (16.5)</w:t>
            </w:r>
          </w:p>
        </w:tc>
        <w:tc>
          <w:tcPr>
            <w:tcW w:w="566" w:type="pct"/>
          </w:tcPr>
          <w:p w14:paraId="0D66580A"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77.4 (16.7)</w:t>
            </w:r>
          </w:p>
        </w:tc>
        <w:tc>
          <w:tcPr>
            <w:tcW w:w="613" w:type="pct"/>
          </w:tcPr>
          <w:p w14:paraId="2A4C2D95"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83.7 (16.6)</w:t>
            </w:r>
          </w:p>
        </w:tc>
        <w:tc>
          <w:tcPr>
            <w:tcW w:w="662" w:type="pct"/>
          </w:tcPr>
          <w:p w14:paraId="477D7E93"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87.1 (15.8)</w:t>
            </w:r>
          </w:p>
        </w:tc>
        <w:tc>
          <w:tcPr>
            <w:tcW w:w="470" w:type="pct"/>
          </w:tcPr>
          <w:p w14:paraId="346DB840"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89.6 (15.0)</w:t>
            </w:r>
          </w:p>
        </w:tc>
        <w:tc>
          <w:tcPr>
            <w:tcW w:w="662" w:type="pct"/>
          </w:tcPr>
          <w:p w14:paraId="704249D6"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90.2 (14.7)</w:t>
            </w:r>
          </w:p>
        </w:tc>
      </w:tr>
      <w:tr w:rsidR="00780CD3" w:rsidRPr="00AD5289" w14:paraId="31DD9455" w14:textId="77777777" w:rsidTr="00780CD3">
        <w:tc>
          <w:tcPr>
            <w:tcW w:w="95" w:type="pct"/>
          </w:tcPr>
          <w:p w14:paraId="33BF0DD7" w14:textId="77777777" w:rsidR="00834E90" w:rsidRPr="00AD5289" w:rsidRDefault="00834E90" w:rsidP="00AD5289">
            <w:pPr>
              <w:spacing w:line="360" w:lineRule="auto"/>
              <w:jc w:val="both"/>
              <w:rPr>
                <w:rFonts w:ascii="Book Antiqua" w:hAnsi="Book Antiqua"/>
                <w:i/>
                <w:iCs/>
                <w:lang w:val="en-US"/>
              </w:rPr>
            </w:pPr>
          </w:p>
        </w:tc>
        <w:tc>
          <w:tcPr>
            <w:tcW w:w="1132" w:type="pct"/>
          </w:tcPr>
          <w:p w14:paraId="4382C314" w14:textId="6F9DB1E2"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iCs/>
                <w:lang w:val="en-US"/>
              </w:rPr>
              <w:t>ADL</w:t>
            </w:r>
          </w:p>
        </w:tc>
        <w:tc>
          <w:tcPr>
            <w:tcW w:w="800" w:type="pct"/>
          </w:tcPr>
          <w:p w14:paraId="0A82A52B"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42.6 (17.5)</w:t>
            </w:r>
          </w:p>
        </w:tc>
        <w:tc>
          <w:tcPr>
            <w:tcW w:w="566" w:type="pct"/>
          </w:tcPr>
          <w:p w14:paraId="5107205C"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74.7 (17.8)</w:t>
            </w:r>
          </w:p>
        </w:tc>
        <w:tc>
          <w:tcPr>
            <w:tcW w:w="613" w:type="pct"/>
          </w:tcPr>
          <w:p w14:paraId="19715D0A"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81.0 (17.8)</w:t>
            </w:r>
          </w:p>
        </w:tc>
        <w:tc>
          <w:tcPr>
            <w:tcW w:w="662" w:type="pct"/>
          </w:tcPr>
          <w:p w14:paraId="2D0B0686"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85.4 (16.1)</w:t>
            </w:r>
          </w:p>
        </w:tc>
        <w:tc>
          <w:tcPr>
            <w:tcW w:w="470" w:type="pct"/>
          </w:tcPr>
          <w:p w14:paraId="1B061DDF"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88.6 (16.4)</w:t>
            </w:r>
          </w:p>
        </w:tc>
        <w:tc>
          <w:tcPr>
            <w:tcW w:w="662" w:type="pct"/>
          </w:tcPr>
          <w:p w14:paraId="54B4A9A9"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89.5 (15.4)</w:t>
            </w:r>
          </w:p>
        </w:tc>
      </w:tr>
      <w:tr w:rsidR="00780CD3" w:rsidRPr="00AD5289" w14:paraId="53C0B949" w14:textId="77777777" w:rsidTr="00780CD3">
        <w:tc>
          <w:tcPr>
            <w:tcW w:w="95" w:type="pct"/>
          </w:tcPr>
          <w:p w14:paraId="1C9055DA" w14:textId="77777777" w:rsidR="00834E90" w:rsidRPr="00AD5289" w:rsidRDefault="00834E90" w:rsidP="00AD5289">
            <w:pPr>
              <w:spacing w:line="360" w:lineRule="auto"/>
              <w:jc w:val="both"/>
              <w:rPr>
                <w:rFonts w:ascii="Book Antiqua" w:hAnsi="Book Antiqua"/>
                <w:i/>
                <w:iCs/>
                <w:lang w:val="en-US"/>
              </w:rPr>
            </w:pPr>
          </w:p>
        </w:tc>
        <w:tc>
          <w:tcPr>
            <w:tcW w:w="1132" w:type="pct"/>
          </w:tcPr>
          <w:p w14:paraId="683A3EEB" w14:textId="0AFDDEC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iCs/>
                <w:lang w:val="en-US"/>
              </w:rPr>
              <w:t>Sports and recreation</w:t>
            </w:r>
          </w:p>
        </w:tc>
        <w:tc>
          <w:tcPr>
            <w:tcW w:w="800" w:type="pct"/>
          </w:tcPr>
          <w:p w14:paraId="1D8CBC74"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24.3 (19.6)</w:t>
            </w:r>
          </w:p>
        </w:tc>
        <w:tc>
          <w:tcPr>
            <w:tcW w:w="566" w:type="pct"/>
          </w:tcPr>
          <w:p w14:paraId="3B266404"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51.9 (26.8)</w:t>
            </w:r>
          </w:p>
        </w:tc>
        <w:tc>
          <w:tcPr>
            <w:tcW w:w="613" w:type="pct"/>
          </w:tcPr>
          <w:p w14:paraId="4AD7B7EE"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65.6 (25.1)</w:t>
            </w:r>
          </w:p>
        </w:tc>
        <w:tc>
          <w:tcPr>
            <w:tcW w:w="662" w:type="pct"/>
          </w:tcPr>
          <w:p w14:paraId="50B8146E"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71.2 (24.9)</w:t>
            </w:r>
          </w:p>
        </w:tc>
        <w:tc>
          <w:tcPr>
            <w:tcW w:w="470" w:type="pct"/>
          </w:tcPr>
          <w:p w14:paraId="40F49A2D"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77.1 (24.2)</w:t>
            </w:r>
          </w:p>
        </w:tc>
        <w:tc>
          <w:tcPr>
            <w:tcW w:w="662" w:type="pct"/>
          </w:tcPr>
          <w:p w14:paraId="02CB7E80"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77.0 (24.9)</w:t>
            </w:r>
          </w:p>
        </w:tc>
      </w:tr>
      <w:tr w:rsidR="00780CD3" w:rsidRPr="00AD5289" w14:paraId="334CAAF6" w14:textId="77777777" w:rsidTr="00780CD3">
        <w:tc>
          <w:tcPr>
            <w:tcW w:w="95" w:type="pct"/>
            <w:tcBorders>
              <w:bottom w:val="single" w:sz="4" w:space="0" w:color="auto"/>
            </w:tcBorders>
          </w:tcPr>
          <w:p w14:paraId="2390F59F" w14:textId="77777777" w:rsidR="00834E90" w:rsidRPr="00AD5289" w:rsidRDefault="00834E90" w:rsidP="00AD5289">
            <w:pPr>
              <w:spacing w:line="360" w:lineRule="auto"/>
              <w:jc w:val="both"/>
              <w:rPr>
                <w:rFonts w:ascii="Book Antiqua" w:hAnsi="Book Antiqua"/>
                <w:i/>
                <w:iCs/>
                <w:lang w:val="en-US"/>
              </w:rPr>
            </w:pPr>
          </w:p>
        </w:tc>
        <w:tc>
          <w:tcPr>
            <w:tcW w:w="1132" w:type="pct"/>
            <w:tcBorders>
              <w:bottom w:val="single" w:sz="4" w:space="0" w:color="auto"/>
            </w:tcBorders>
          </w:tcPr>
          <w:p w14:paraId="0B2BA5EA" w14:textId="794C1978"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iCs/>
                <w:lang w:val="en-US"/>
              </w:rPr>
              <w:t>Quality of life</w:t>
            </w:r>
          </w:p>
        </w:tc>
        <w:tc>
          <w:tcPr>
            <w:tcW w:w="800" w:type="pct"/>
            <w:tcBorders>
              <w:bottom w:val="single" w:sz="4" w:space="0" w:color="auto"/>
            </w:tcBorders>
          </w:tcPr>
          <w:p w14:paraId="2488AA9F"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25.9 (15.7)</w:t>
            </w:r>
          </w:p>
        </w:tc>
        <w:tc>
          <w:tcPr>
            <w:tcW w:w="566" w:type="pct"/>
            <w:tcBorders>
              <w:bottom w:val="single" w:sz="4" w:space="0" w:color="auto"/>
            </w:tcBorders>
          </w:tcPr>
          <w:p w14:paraId="2A065A79"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54.6 (20.4)</w:t>
            </w:r>
          </w:p>
        </w:tc>
        <w:tc>
          <w:tcPr>
            <w:tcW w:w="613" w:type="pct"/>
            <w:tcBorders>
              <w:bottom w:val="single" w:sz="4" w:space="0" w:color="auto"/>
            </w:tcBorders>
          </w:tcPr>
          <w:p w14:paraId="50C99D16"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66.9 (22.3)</w:t>
            </w:r>
          </w:p>
        </w:tc>
        <w:tc>
          <w:tcPr>
            <w:tcW w:w="662" w:type="pct"/>
            <w:tcBorders>
              <w:bottom w:val="single" w:sz="4" w:space="0" w:color="auto"/>
            </w:tcBorders>
          </w:tcPr>
          <w:p w14:paraId="619C399F"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72.8 (21.8)</w:t>
            </w:r>
          </w:p>
        </w:tc>
        <w:tc>
          <w:tcPr>
            <w:tcW w:w="470" w:type="pct"/>
            <w:tcBorders>
              <w:bottom w:val="single" w:sz="4" w:space="0" w:color="auto"/>
            </w:tcBorders>
          </w:tcPr>
          <w:p w14:paraId="415B606E"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78.4 (21.6)</w:t>
            </w:r>
          </w:p>
        </w:tc>
        <w:tc>
          <w:tcPr>
            <w:tcW w:w="662" w:type="pct"/>
            <w:tcBorders>
              <w:bottom w:val="single" w:sz="4" w:space="0" w:color="auto"/>
            </w:tcBorders>
          </w:tcPr>
          <w:p w14:paraId="698F235E"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80.0 (21.0)</w:t>
            </w:r>
          </w:p>
        </w:tc>
      </w:tr>
      <w:tr w:rsidR="00834E90" w:rsidRPr="00AD5289" w14:paraId="1A55D4D3" w14:textId="77777777" w:rsidTr="00780CD3">
        <w:tc>
          <w:tcPr>
            <w:tcW w:w="1227" w:type="pct"/>
            <w:gridSpan w:val="2"/>
            <w:tcBorders>
              <w:top w:val="single" w:sz="4" w:space="0" w:color="auto"/>
            </w:tcBorders>
          </w:tcPr>
          <w:p w14:paraId="1F4762BB"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SF 36</w:t>
            </w:r>
          </w:p>
        </w:tc>
        <w:tc>
          <w:tcPr>
            <w:tcW w:w="800" w:type="pct"/>
            <w:tcBorders>
              <w:top w:val="single" w:sz="4" w:space="0" w:color="auto"/>
            </w:tcBorders>
          </w:tcPr>
          <w:p w14:paraId="10A35EBA" w14:textId="77777777" w:rsidR="00834E90" w:rsidRPr="00AD5289" w:rsidRDefault="00834E90" w:rsidP="00AD5289">
            <w:pPr>
              <w:spacing w:line="360" w:lineRule="auto"/>
              <w:jc w:val="both"/>
              <w:rPr>
                <w:rFonts w:ascii="Book Antiqua" w:hAnsi="Book Antiqua" w:cstheme="minorHAnsi"/>
                <w:lang w:val="en-US"/>
              </w:rPr>
            </w:pPr>
          </w:p>
        </w:tc>
        <w:tc>
          <w:tcPr>
            <w:tcW w:w="566" w:type="pct"/>
            <w:tcBorders>
              <w:top w:val="single" w:sz="4" w:space="0" w:color="auto"/>
            </w:tcBorders>
          </w:tcPr>
          <w:p w14:paraId="6675C149" w14:textId="77777777" w:rsidR="00834E90" w:rsidRPr="00AD5289" w:rsidRDefault="00834E90" w:rsidP="00AD5289">
            <w:pPr>
              <w:spacing w:line="360" w:lineRule="auto"/>
              <w:jc w:val="both"/>
              <w:rPr>
                <w:rFonts w:ascii="Book Antiqua" w:hAnsi="Book Antiqua" w:cstheme="minorHAnsi"/>
                <w:lang w:val="en-US"/>
              </w:rPr>
            </w:pPr>
          </w:p>
        </w:tc>
        <w:tc>
          <w:tcPr>
            <w:tcW w:w="613" w:type="pct"/>
            <w:tcBorders>
              <w:top w:val="single" w:sz="4" w:space="0" w:color="auto"/>
            </w:tcBorders>
          </w:tcPr>
          <w:p w14:paraId="4E8504CE" w14:textId="77777777" w:rsidR="00834E90" w:rsidRPr="00AD5289" w:rsidRDefault="00834E90" w:rsidP="00AD5289">
            <w:pPr>
              <w:spacing w:line="360" w:lineRule="auto"/>
              <w:jc w:val="both"/>
              <w:rPr>
                <w:rFonts w:ascii="Book Antiqua" w:hAnsi="Book Antiqua" w:cstheme="minorHAnsi"/>
                <w:lang w:val="en-US"/>
              </w:rPr>
            </w:pPr>
          </w:p>
        </w:tc>
        <w:tc>
          <w:tcPr>
            <w:tcW w:w="662" w:type="pct"/>
            <w:tcBorders>
              <w:top w:val="single" w:sz="4" w:space="0" w:color="auto"/>
            </w:tcBorders>
          </w:tcPr>
          <w:p w14:paraId="60163344" w14:textId="77777777" w:rsidR="00834E90" w:rsidRPr="00AD5289" w:rsidRDefault="00834E90" w:rsidP="00AD5289">
            <w:pPr>
              <w:spacing w:line="360" w:lineRule="auto"/>
              <w:jc w:val="both"/>
              <w:rPr>
                <w:rFonts w:ascii="Book Antiqua" w:hAnsi="Book Antiqua" w:cstheme="minorHAnsi"/>
                <w:lang w:val="en-US"/>
              </w:rPr>
            </w:pPr>
          </w:p>
        </w:tc>
        <w:tc>
          <w:tcPr>
            <w:tcW w:w="470" w:type="pct"/>
            <w:tcBorders>
              <w:top w:val="single" w:sz="4" w:space="0" w:color="auto"/>
            </w:tcBorders>
          </w:tcPr>
          <w:p w14:paraId="4EB9AF23" w14:textId="77777777" w:rsidR="00834E90" w:rsidRPr="00AD5289" w:rsidRDefault="00834E90" w:rsidP="00AD5289">
            <w:pPr>
              <w:spacing w:line="360" w:lineRule="auto"/>
              <w:jc w:val="both"/>
              <w:rPr>
                <w:rFonts w:ascii="Book Antiqua" w:hAnsi="Book Antiqua" w:cstheme="minorHAnsi"/>
                <w:lang w:val="en-US"/>
              </w:rPr>
            </w:pPr>
          </w:p>
        </w:tc>
        <w:tc>
          <w:tcPr>
            <w:tcW w:w="662" w:type="pct"/>
            <w:tcBorders>
              <w:top w:val="single" w:sz="4" w:space="0" w:color="auto"/>
            </w:tcBorders>
          </w:tcPr>
          <w:p w14:paraId="4480C016" w14:textId="77777777" w:rsidR="00834E90" w:rsidRPr="00AD5289" w:rsidRDefault="00834E90" w:rsidP="00AD5289">
            <w:pPr>
              <w:spacing w:line="360" w:lineRule="auto"/>
              <w:jc w:val="both"/>
              <w:rPr>
                <w:rFonts w:ascii="Book Antiqua" w:hAnsi="Book Antiqua" w:cstheme="minorHAnsi"/>
                <w:lang w:val="en-US"/>
              </w:rPr>
            </w:pPr>
          </w:p>
        </w:tc>
      </w:tr>
      <w:tr w:rsidR="00780CD3" w:rsidRPr="00AD5289" w14:paraId="5D197001" w14:textId="77777777" w:rsidTr="00780CD3">
        <w:tc>
          <w:tcPr>
            <w:tcW w:w="95" w:type="pct"/>
          </w:tcPr>
          <w:p w14:paraId="69D26B68" w14:textId="77777777" w:rsidR="00834E90" w:rsidRPr="00AD5289" w:rsidRDefault="00834E90" w:rsidP="00AD5289">
            <w:pPr>
              <w:spacing w:line="360" w:lineRule="auto"/>
              <w:jc w:val="both"/>
              <w:rPr>
                <w:rFonts w:ascii="Book Antiqua" w:hAnsi="Book Antiqua" w:cstheme="minorHAnsi"/>
                <w:lang w:val="en-US"/>
              </w:rPr>
            </w:pPr>
          </w:p>
        </w:tc>
        <w:tc>
          <w:tcPr>
            <w:tcW w:w="1132" w:type="pct"/>
          </w:tcPr>
          <w:p w14:paraId="486F5CEE" w14:textId="1F032962"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Physical functioning</w:t>
            </w:r>
          </w:p>
        </w:tc>
        <w:tc>
          <w:tcPr>
            <w:tcW w:w="800" w:type="pct"/>
          </w:tcPr>
          <w:p w14:paraId="734D02BB"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35.6 (18.6)</w:t>
            </w:r>
          </w:p>
        </w:tc>
        <w:tc>
          <w:tcPr>
            <w:tcW w:w="566" w:type="pct"/>
          </w:tcPr>
          <w:p w14:paraId="6C6EABD4"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57.8 (22.8)</w:t>
            </w:r>
          </w:p>
        </w:tc>
        <w:tc>
          <w:tcPr>
            <w:tcW w:w="613" w:type="pct"/>
          </w:tcPr>
          <w:p w14:paraId="6CC2D36E"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69.6 (22.4)</w:t>
            </w:r>
          </w:p>
        </w:tc>
        <w:tc>
          <w:tcPr>
            <w:tcW w:w="662" w:type="pct"/>
          </w:tcPr>
          <w:p w14:paraId="09362710"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74.5 (22.4)</w:t>
            </w:r>
          </w:p>
        </w:tc>
        <w:tc>
          <w:tcPr>
            <w:tcW w:w="470" w:type="pct"/>
          </w:tcPr>
          <w:p w14:paraId="7D854D47"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78.7 (22.4)</w:t>
            </w:r>
          </w:p>
        </w:tc>
        <w:tc>
          <w:tcPr>
            <w:tcW w:w="662" w:type="pct"/>
          </w:tcPr>
          <w:p w14:paraId="7DF28D08"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81.8 (19.8)</w:t>
            </w:r>
          </w:p>
        </w:tc>
      </w:tr>
      <w:tr w:rsidR="00780CD3" w:rsidRPr="00AD5289" w14:paraId="12EF2CDF" w14:textId="77777777" w:rsidTr="00780CD3">
        <w:tc>
          <w:tcPr>
            <w:tcW w:w="95" w:type="pct"/>
          </w:tcPr>
          <w:p w14:paraId="33EAB932" w14:textId="77777777" w:rsidR="00834E90" w:rsidRPr="00AD5289" w:rsidRDefault="00834E90" w:rsidP="00AD5289">
            <w:pPr>
              <w:spacing w:line="360" w:lineRule="auto"/>
              <w:jc w:val="both"/>
              <w:rPr>
                <w:rFonts w:ascii="Book Antiqua" w:hAnsi="Book Antiqua" w:cstheme="minorHAnsi"/>
                <w:lang w:val="en-US"/>
              </w:rPr>
            </w:pPr>
          </w:p>
        </w:tc>
        <w:tc>
          <w:tcPr>
            <w:tcW w:w="1132" w:type="pct"/>
          </w:tcPr>
          <w:p w14:paraId="4ECF7D0B" w14:textId="4A0D7D98"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Role physical</w:t>
            </w:r>
          </w:p>
        </w:tc>
        <w:tc>
          <w:tcPr>
            <w:tcW w:w="800" w:type="pct"/>
          </w:tcPr>
          <w:p w14:paraId="08FCEC96"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23.3 (35.7)</w:t>
            </w:r>
          </w:p>
        </w:tc>
        <w:tc>
          <w:tcPr>
            <w:tcW w:w="566" w:type="pct"/>
          </w:tcPr>
          <w:p w14:paraId="6A0CE4F2"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29.5 (36.0)</w:t>
            </w:r>
          </w:p>
        </w:tc>
        <w:tc>
          <w:tcPr>
            <w:tcW w:w="613" w:type="pct"/>
          </w:tcPr>
          <w:p w14:paraId="0BB8096F"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57.5 (42.5)</w:t>
            </w:r>
          </w:p>
        </w:tc>
        <w:tc>
          <w:tcPr>
            <w:tcW w:w="662" w:type="pct"/>
          </w:tcPr>
          <w:p w14:paraId="2E4EA1EB"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71.0 (40.4)</w:t>
            </w:r>
          </w:p>
        </w:tc>
        <w:tc>
          <w:tcPr>
            <w:tcW w:w="470" w:type="pct"/>
          </w:tcPr>
          <w:p w14:paraId="19A68FDC"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81.0 (34.9)</w:t>
            </w:r>
          </w:p>
        </w:tc>
        <w:tc>
          <w:tcPr>
            <w:tcW w:w="662" w:type="pct"/>
          </w:tcPr>
          <w:p w14:paraId="25E9BC72"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80.8 (34.4)</w:t>
            </w:r>
          </w:p>
        </w:tc>
      </w:tr>
      <w:tr w:rsidR="00780CD3" w:rsidRPr="00AD5289" w14:paraId="7575FA88" w14:textId="77777777" w:rsidTr="00780CD3">
        <w:tc>
          <w:tcPr>
            <w:tcW w:w="95" w:type="pct"/>
          </w:tcPr>
          <w:p w14:paraId="7C99171D" w14:textId="77777777" w:rsidR="00834E90" w:rsidRPr="00AD5289" w:rsidRDefault="00834E90" w:rsidP="00AD5289">
            <w:pPr>
              <w:spacing w:line="360" w:lineRule="auto"/>
              <w:jc w:val="both"/>
              <w:rPr>
                <w:rFonts w:ascii="Book Antiqua" w:hAnsi="Book Antiqua" w:cstheme="minorHAnsi"/>
                <w:lang w:val="en-US"/>
              </w:rPr>
            </w:pPr>
          </w:p>
        </w:tc>
        <w:tc>
          <w:tcPr>
            <w:tcW w:w="1132" w:type="pct"/>
          </w:tcPr>
          <w:p w14:paraId="1818A4E8" w14:textId="1CF1FCB2"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Bodily pain</w:t>
            </w:r>
          </w:p>
        </w:tc>
        <w:tc>
          <w:tcPr>
            <w:tcW w:w="800" w:type="pct"/>
          </w:tcPr>
          <w:p w14:paraId="047B0504"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35.7 (17.2)</w:t>
            </w:r>
          </w:p>
        </w:tc>
        <w:tc>
          <w:tcPr>
            <w:tcW w:w="566" w:type="pct"/>
          </w:tcPr>
          <w:p w14:paraId="7E7C2EC9"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55.9 (22.1)</w:t>
            </w:r>
          </w:p>
        </w:tc>
        <w:tc>
          <w:tcPr>
            <w:tcW w:w="613" w:type="pct"/>
          </w:tcPr>
          <w:p w14:paraId="7D1BC808"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70.7 (22.1)</w:t>
            </w:r>
          </w:p>
        </w:tc>
        <w:tc>
          <w:tcPr>
            <w:tcW w:w="662" w:type="pct"/>
          </w:tcPr>
          <w:p w14:paraId="2DD5D437"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75.9 (21.2)</w:t>
            </w:r>
          </w:p>
        </w:tc>
        <w:tc>
          <w:tcPr>
            <w:tcW w:w="470" w:type="pct"/>
          </w:tcPr>
          <w:p w14:paraId="7F3B1ED0"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80.6 (22.4)</w:t>
            </w:r>
          </w:p>
        </w:tc>
        <w:tc>
          <w:tcPr>
            <w:tcW w:w="662" w:type="pct"/>
          </w:tcPr>
          <w:p w14:paraId="1A1A13CA"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80.8 (22.8)</w:t>
            </w:r>
          </w:p>
        </w:tc>
      </w:tr>
      <w:tr w:rsidR="00780CD3" w:rsidRPr="00AD5289" w14:paraId="78D2F643" w14:textId="77777777" w:rsidTr="00780CD3">
        <w:tc>
          <w:tcPr>
            <w:tcW w:w="95" w:type="pct"/>
          </w:tcPr>
          <w:p w14:paraId="4A191E8E" w14:textId="77777777" w:rsidR="00834E90" w:rsidRPr="00AD5289" w:rsidRDefault="00834E90" w:rsidP="00AD5289">
            <w:pPr>
              <w:spacing w:line="360" w:lineRule="auto"/>
              <w:jc w:val="both"/>
              <w:rPr>
                <w:rFonts w:ascii="Book Antiqua" w:hAnsi="Book Antiqua" w:cstheme="minorHAnsi"/>
                <w:lang w:val="en-US"/>
              </w:rPr>
            </w:pPr>
          </w:p>
        </w:tc>
        <w:tc>
          <w:tcPr>
            <w:tcW w:w="1132" w:type="pct"/>
          </w:tcPr>
          <w:p w14:paraId="40B5FDD6" w14:textId="354F0DE4"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Social functioning</w:t>
            </w:r>
          </w:p>
        </w:tc>
        <w:tc>
          <w:tcPr>
            <w:tcW w:w="800" w:type="pct"/>
          </w:tcPr>
          <w:p w14:paraId="20D7C2D3"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61.0 (26.0)</w:t>
            </w:r>
          </w:p>
        </w:tc>
        <w:tc>
          <w:tcPr>
            <w:tcW w:w="566" w:type="pct"/>
          </w:tcPr>
          <w:p w14:paraId="1059E874"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68.1 (26.0)</w:t>
            </w:r>
          </w:p>
        </w:tc>
        <w:tc>
          <w:tcPr>
            <w:tcW w:w="613" w:type="pct"/>
          </w:tcPr>
          <w:p w14:paraId="64376EC6"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79.9 (23.8)</w:t>
            </w:r>
          </w:p>
        </w:tc>
        <w:tc>
          <w:tcPr>
            <w:tcW w:w="662" w:type="pct"/>
          </w:tcPr>
          <w:p w14:paraId="3DA18A75"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85.0 (21.0)</w:t>
            </w:r>
          </w:p>
        </w:tc>
        <w:tc>
          <w:tcPr>
            <w:tcW w:w="470" w:type="pct"/>
          </w:tcPr>
          <w:p w14:paraId="79496CE3"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88.5 (19.3)</w:t>
            </w:r>
          </w:p>
        </w:tc>
        <w:tc>
          <w:tcPr>
            <w:tcW w:w="662" w:type="pct"/>
          </w:tcPr>
          <w:p w14:paraId="10E33E1F"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87.7 (20.4)</w:t>
            </w:r>
          </w:p>
        </w:tc>
      </w:tr>
      <w:tr w:rsidR="00780CD3" w:rsidRPr="00AD5289" w14:paraId="186DF3C3" w14:textId="77777777" w:rsidTr="00780CD3">
        <w:tc>
          <w:tcPr>
            <w:tcW w:w="95" w:type="pct"/>
          </w:tcPr>
          <w:p w14:paraId="503E61B9" w14:textId="77777777" w:rsidR="00834E90" w:rsidRPr="00AD5289" w:rsidRDefault="00834E90" w:rsidP="00AD5289">
            <w:pPr>
              <w:spacing w:line="360" w:lineRule="auto"/>
              <w:jc w:val="both"/>
              <w:rPr>
                <w:rFonts w:ascii="Book Antiqua" w:hAnsi="Book Antiqua" w:cstheme="minorHAnsi"/>
                <w:lang w:val="en-US"/>
              </w:rPr>
            </w:pPr>
          </w:p>
        </w:tc>
        <w:tc>
          <w:tcPr>
            <w:tcW w:w="1132" w:type="pct"/>
          </w:tcPr>
          <w:p w14:paraId="0437D9F1" w14:textId="6193EE3F"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Mental health</w:t>
            </w:r>
          </w:p>
        </w:tc>
        <w:tc>
          <w:tcPr>
            <w:tcW w:w="800" w:type="pct"/>
          </w:tcPr>
          <w:p w14:paraId="6DB09CF5"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73.4 (17.8)</w:t>
            </w:r>
          </w:p>
        </w:tc>
        <w:tc>
          <w:tcPr>
            <w:tcW w:w="566" w:type="pct"/>
          </w:tcPr>
          <w:p w14:paraId="2B825BDD"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80.2 (16.2)</w:t>
            </w:r>
          </w:p>
        </w:tc>
        <w:tc>
          <w:tcPr>
            <w:tcW w:w="613" w:type="pct"/>
          </w:tcPr>
          <w:p w14:paraId="430B06AD"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82.0 (16.3)</w:t>
            </w:r>
          </w:p>
        </w:tc>
        <w:tc>
          <w:tcPr>
            <w:tcW w:w="662" w:type="pct"/>
          </w:tcPr>
          <w:p w14:paraId="190BE913"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81.8 (15.7)</w:t>
            </w:r>
          </w:p>
        </w:tc>
        <w:tc>
          <w:tcPr>
            <w:tcW w:w="470" w:type="pct"/>
          </w:tcPr>
          <w:p w14:paraId="78F949A7"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83.1 (15.0)</w:t>
            </w:r>
          </w:p>
        </w:tc>
        <w:tc>
          <w:tcPr>
            <w:tcW w:w="662" w:type="pct"/>
          </w:tcPr>
          <w:p w14:paraId="0E8B7E03"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83.0 (14.3)</w:t>
            </w:r>
          </w:p>
        </w:tc>
      </w:tr>
      <w:tr w:rsidR="00780CD3" w:rsidRPr="00AD5289" w14:paraId="20F1E6F4" w14:textId="77777777" w:rsidTr="00780CD3">
        <w:tc>
          <w:tcPr>
            <w:tcW w:w="95" w:type="pct"/>
          </w:tcPr>
          <w:p w14:paraId="4D2D3BEF" w14:textId="77777777" w:rsidR="00834E90" w:rsidRPr="00AD5289" w:rsidRDefault="00834E90" w:rsidP="00AD5289">
            <w:pPr>
              <w:spacing w:line="360" w:lineRule="auto"/>
              <w:jc w:val="both"/>
              <w:rPr>
                <w:rFonts w:ascii="Book Antiqua" w:hAnsi="Book Antiqua" w:cstheme="minorHAnsi"/>
                <w:lang w:val="en-US"/>
              </w:rPr>
            </w:pPr>
          </w:p>
        </w:tc>
        <w:tc>
          <w:tcPr>
            <w:tcW w:w="1132" w:type="pct"/>
          </w:tcPr>
          <w:p w14:paraId="5B610D39" w14:textId="2A5DEB9C"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Role emotional</w:t>
            </w:r>
          </w:p>
        </w:tc>
        <w:tc>
          <w:tcPr>
            <w:tcW w:w="800" w:type="pct"/>
          </w:tcPr>
          <w:p w14:paraId="354535E6"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63.3 (43.7)</w:t>
            </w:r>
          </w:p>
        </w:tc>
        <w:tc>
          <w:tcPr>
            <w:tcW w:w="566" w:type="pct"/>
          </w:tcPr>
          <w:p w14:paraId="3B318B80"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67.5 (41.5)</w:t>
            </w:r>
          </w:p>
        </w:tc>
        <w:tc>
          <w:tcPr>
            <w:tcW w:w="613" w:type="pct"/>
          </w:tcPr>
          <w:p w14:paraId="76C18A42"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77.2 (38.2)</w:t>
            </w:r>
          </w:p>
        </w:tc>
        <w:tc>
          <w:tcPr>
            <w:tcW w:w="662" w:type="pct"/>
          </w:tcPr>
          <w:p w14:paraId="79E2013B"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84.1 (33.6)</w:t>
            </w:r>
          </w:p>
        </w:tc>
        <w:tc>
          <w:tcPr>
            <w:tcW w:w="470" w:type="pct"/>
          </w:tcPr>
          <w:p w14:paraId="6E562CFE"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89.6 (27.0)</w:t>
            </w:r>
          </w:p>
        </w:tc>
        <w:tc>
          <w:tcPr>
            <w:tcW w:w="662" w:type="pct"/>
          </w:tcPr>
          <w:p w14:paraId="7B08F026"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90.0 (27.2)</w:t>
            </w:r>
          </w:p>
        </w:tc>
      </w:tr>
      <w:tr w:rsidR="00780CD3" w:rsidRPr="00AD5289" w14:paraId="217F3901" w14:textId="77777777" w:rsidTr="00780CD3">
        <w:tc>
          <w:tcPr>
            <w:tcW w:w="95" w:type="pct"/>
          </w:tcPr>
          <w:p w14:paraId="7B35EFEF" w14:textId="77777777" w:rsidR="00834E90" w:rsidRPr="00AD5289" w:rsidRDefault="00834E90" w:rsidP="00AD5289">
            <w:pPr>
              <w:spacing w:line="360" w:lineRule="auto"/>
              <w:jc w:val="both"/>
              <w:rPr>
                <w:rFonts w:ascii="Book Antiqua" w:hAnsi="Book Antiqua" w:cstheme="minorHAnsi"/>
                <w:lang w:val="en-US"/>
              </w:rPr>
            </w:pPr>
          </w:p>
        </w:tc>
        <w:tc>
          <w:tcPr>
            <w:tcW w:w="1132" w:type="pct"/>
          </w:tcPr>
          <w:p w14:paraId="5F42A719" w14:textId="4592913E"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Vitality</w:t>
            </w:r>
          </w:p>
        </w:tc>
        <w:tc>
          <w:tcPr>
            <w:tcW w:w="800" w:type="pct"/>
          </w:tcPr>
          <w:p w14:paraId="1B114CEA"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57.3 (19.9)</w:t>
            </w:r>
          </w:p>
        </w:tc>
        <w:tc>
          <w:tcPr>
            <w:tcW w:w="566" w:type="pct"/>
          </w:tcPr>
          <w:p w14:paraId="01C076E4"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66.0 (18.4)</w:t>
            </w:r>
          </w:p>
        </w:tc>
        <w:tc>
          <w:tcPr>
            <w:tcW w:w="613" w:type="pct"/>
          </w:tcPr>
          <w:p w14:paraId="4F9DC00D"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69.5 (18.4)</w:t>
            </w:r>
          </w:p>
        </w:tc>
        <w:tc>
          <w:tcPr>
            <w:tcW w:w="662" w:type="pct"/>
          </w:tcPr>
          <w:p w14:paraId="71DD878B"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70.8 (18.2)</w:t>
            </w:r>
          </w:p>
        </w:tc>
        <w:tc>
          <w:tcPr>
            <w:tcW w:w="470" w:type="pct"/>
          </w:tcPr>
          <w:p w14:paraId="5AA5C1A7"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72.9 (17.4)</w:t>
            </w:r>
          </w:p>
        </w:tc>
        <w:tc>
          <w:tcPr>
            <w:tcW w:w="662" w:type="pct"/>
          </w:tcPr>
          <w:p w14:paraId="2402FBB6"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73.9 (16.7)</w:t>
            </w:r>
          </w:p>
        </w:tc>
      </w:tr>
      <w:tr w:rsidR="00780CD3" w:rsidRPr="00AD5289" w14:paraId="422BA336" w14:textId="77777777" w:rsidTr="00780CD3">
        <w:tc>
          <w:tcPr>
            <w:tcW w:w="95" w:type="pct"/>
            <w:tcBorders>
              <w:bottom w:val="single" w:sz="4" w:space="0" w:color="auto"/>
            </w:tcBorders>
          </w:tcPr>
          <w:p w14:paraId="28BAA492" w14:textId="77777777" w:rsidR="00834E90" w:rsidRPr="00AD5289" w:rsidRDefault="00834E90" w:rsidP="00AD5289">
            <w:pPr>
              <w:spacing w:line="360" w:lineRule="auto"/>
              <w:jc w:val="both"/>
              <w:rPr>
                <w:rFonts w:ascii="Book Antiqua" w:hAnsi="Book Antiqua" w:cstheme="minorHAnsi"/>
                <w:lang w:val="en-US"/>
              </w:rPr>
            </w:pPr>
          </w:p>
        </w:tc>
        <w:tc>
          <w:tcPr>
            <w:tcW w:w="1132" w:type="pct"/>
            <w:tcBorders>
              <w:bottom w:val="single" w:sz="4" w:space="0" w:color="auto"/>
            </w:tcBorders>
          </w:tcPr>
          <w:p w14:paraId="1B483A46" w14:textId="3DD2C326"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General health perceptions</w:t>
            </w:r>
          </w:p>
        </w:tc>
        <w:tc>
          <w:tcPr>
            <w:tcW w:w="800" w:type="pct"/>
            <w:tcBorders>
              <w:bottom w:val="single" w:sz="4" w:space="0" w:color="auto"/>
            </w:tcBorders>
          </w:tcPr>
          <w:p w14:paraId="3CF062FA"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66.6 (18.5)</w:t>
            </w:r>
          </w:p>
        </w:tc>
        <w:tc>
          <w:tcPr>
            <w:tcW w:w="566" w:type="pct"/>
            <w:tcBorders>
              <w:bottom w:val="single" w:sz="4" w:space="0" w:color="auto"/>
            </w:tcBorders>
          </w:tcPr>
          <w:p w14:paraId="6D11D899"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73.5 (17.9)</w:t>
            </w:r>
          </w:p>
        </w:tc>
        <w:tc>
          <w:tcPr>
            <w:tcW w:w="613" w:type="pct"/>
            <w:tcBorders>
              <w:bottom w:val="single" w:sz="4" w:space="0" w:color="auto"/>
            </w:tcBorders>
          </w:tcPr>
          <w:p w14:paraId="60AF663B"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72.4 (19.0)</w:t>
            </w:r>
          </w:p>
        </w:tc>
        <w:tc>
          <w:tcPr>
            <w:tcW w:w="662" w:type="pct"/>
            <w:tcBorders>
              <w:bottom w:val="single" w:sz="4" w:space="0" w:color="auto"/>
            </w:tcBorders>
          </w:tcPr>
          <w:p w14:paraId="43F1E0FE"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70.4 (19.7)</w:t>
            </w:r>
          </w:p>
        </w:tc>
        <w:tc>
          <w:tcPr>
            <w:tcW w:w="470" w:type="pct"/>
            <w:tcBorders>
              <w:bottom w:val="single" w:sz="4" w:space="0" w:color="auto"/>
            </w:tcBorders>
          </w:tcPr>
          <w:p w14:paraId="315137E8"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72.0 (19.9)</w:t>
            </w:r>
          </w:p>
        </w:tc>
        <w:tc>
          <w:tcPr>
            <w:tcW w:w="662" w:type="pct"/>
            <w:tcBorders>
              <w:bottom w:val="single" w:sz="4" w:space="0" w:color="auto"/>
            </w:tcBorders>
          </w:tcPr>
          <w:p w14:paraId="13DA8BA3" w14:textId="77777777" w:rsidR="00834E90" w:rsidRPr="00AD5289" w:rsidRDefault="00834E90" w:rsidP="00AD5289">
            <w:pPr>
              <w:spacing w:line="360" w:lineRule="auto"/>
              <w:jc w:val="both"/>
              <w:rPr>
                <w:rFonts w:ascii="Book Antiqua" w:hAnsi="Book Antiqua" w:cstheme="minorHAnsi"/>
                <w:lang w:val="en-US"/>
              </w:rPr>
            </w:pPr>
            <w:r w:rsidRPr="00AD5289">
              <w:rPr>
                <w:rFonts w:ascii="Book Antiqua" w:hAnsi="Book Antiqua" w:cstheme="minorHAnsi"/>
                <w:lang w:val="en-US"/>
              </w:rPr>
              <w:t>73.4 (18.5)</w:t>
            </w:r>
          </w:p>
        </w:tc>
      </w:tr>
    </w:tbl>
    <w:p w14:paraId="1F2134E6" w14:textId="59956963" w:rsidR="00834E90" w:rsidRPr="00AD5289" w:rsidRDefault="00D84F63" w:rsidP="00AD5289">
      <w:pPr>
        <w:spacing w:line="360" w:lineRule="auto"/>
        <w:jc w:val="both"/>
        <w:rPr>
          <w:rFonts w:ascii="Book Antiqua" w:hAnsi="Book Antiqua" w:cstheme="minorHAnsi"/>
          <w:iCs/>
        </w:rPr>
      </w:pPr>
      <w:r>
        <w:rPr>
          <w:rFonts w:ascii="Book Antiqua" w:hAnsi="Book Antiqua" w:cstheme="minorHAnsi"/>
          <w:iCs/>
        </w:rPr>
        <w:t xml:space="preserve">Data are mean (standard deviation). </w:t>
      </w:r>
      <w:r>
        <w:rPr>
          <w:rFonts w:ascii="Book Antiqua" w:hAnsi="Book Antiqua"/>
          <w:iCs/>
        </w:rPr>
        <w:t>ADL: Activities of daily living;</w:t>
      </w:r>
      <w:r w:rsidRPr="00AD5289">
        <w:rPr>
          <w:rFonts w:ascii="Book Antiqua" w:hAnsi="Book Antiqua" w:cstheme="minorHAnsi"/>
          <w:iCs/>
        </w:rPr>
        <w:t xml:space="preserve"> </w:t>
      </w:r>
      <w:r w:rsidR="00834E90" w:rsidRPr="00AD5289">
        <w:rPr>
          <w:rFonts w:ascii="Book Antiqua" w:hAnsi="Book Antiqua" w:cstheme="minorHAnsi"/>
          <w:iCs/>
        </w:rPr>
        <w:t>HOOS</w:t>
      </w:r>
      <w:r w:rsidR="0077066E" w:rsidRPr="00AD5289">
        <w:rPr>
          <w:rFonts w:ascii="Book Antiqua" w:hAnsi="Book Antiqua" w:cstheme="minorHAnsi"/>
          <w:iCs/>
        </w:rPr>
        <w:t>:</w:t>
      </w:r>
      <w:r w:rsidR="00834E90" w:rsidRPr="00AD5289">
        <w:rPr>
          <w:rFonts w:ascii="Book Antiqua" w:hAnsi="Book Antiqua" w:cstheme="minorHAnsi"/>
          <w:iCs/>
        </w:rPr>
        <w:t xml:space="preserve"> Hip </w:t>
      </w:r>
      <w:r w:rsidR="00834E90" w:rsidRPr="00AD5289">
        <w:rPr>
          <w:rFonts w:ascii="Book Antiqua" w:hAnsi="Book Antiqua"/>
          <w:iCs/>
        </w:rPr>
        <w:t>Disability</w:t>
      </w:r>
      <w:r w:rsidR="00834E90" w:rsidRPr="00AD5289">
        <w:rPr>
          <w:rFonts w:ascii="Book Antiqua" w:hAnsi="Book Antiqua" w:cstheme="minorHAnsi"/>
          <w:iCs/>
        </w:rPr>
        <w:t xml:space="preserve"> and Osteoarthritis Outcome Score, SF-36</w:t>
      </w:r>
      <w:r w:rsidR="0077066E" w:rsidRPr="00AD5289">
        <w:rPr>
          <w:rFonts w:ascii="Book Antiqua" w:hAnsi="Book Antiqua" w:cstheme="minorHAnsi"/>
          <w:iCs/>
        </w:rPr>
        <w:t>:</w:t>
      </w:r>
      <w:r w:rsidR="00834E90" w:rsidRPr="00AD5289">
        <w:rPr>
          <w:rFonts w:ascii="Book Antiqua" w:hAnsi="Book Antiqua" w:cstheme="minorHAnsi"/>
          <w:iCs/>
        </w:rPr>
        <w:t xml:space="preserve"> 36-item Short Form </w:t>
      </w:r>
      <w:r w:rsidR="00834E90" w:rsidRPr="00AD5289">
        <w:rPr>
          <w:rFonts w:ascii="Book Antiqua" w:hAnsi="Book Antiqua"/>
          <w:iCs/>
        </w:rPr>
        <w:t>Survey</w:t>
      </w:r>
      <w:r w:rsidR="0077066E" w:rsidRPr="00AD5289">
        <w:rPr>
          <w:rFonts w:ascii="Book Antiqua" w:hAnsi="Book Antiqua" w:cstheme="minorHAnsi"/>
          <w:iCs/>
        </w:rPr>
        <w:t>.</w:t>
      </w:r>
    </w:p>
    <w:p w14:paraId="57F70CB5" w14:textId="77777777" w:rsidR="00834E90" w:rsidRPr="00AD5289" w:rsidRDefault="00834E90" w:rsidP="00AD5289">
      <w:pPr>
        <w:spacing w:line="360" w:lineRule="auto"/>
        <w:jc w:val="both"/>
        <w:rPr>
          <w:rFonts w:ascii="Book Antiqua" w:hAnsi="Book Antiqua"/>
        </w:rPr>
      </w:pPr>
    </w:p>
    <w:p w14:paraId="72079D96" w14:textId="77777777" w:rsidR="00685059" w:rsidRPr="00AD5289" w:rsidRDefault="00685059" w:rsidP="00AD5289">
      <w:pPr>
        <w:spacing w:line="360" w:lineRule="auto"/>
        <w:jc w:val="both"/>
        <w:rPr>
          <w:rFonts w:ascii="Book Antiqua" w:hAnsi="Book Antiqua"/>
        </w:rPr>
        <w:sectPr w:rsidR="00685059" w:rsidRPr="00AD5289" w:rsidSect="00FE2EF1">
          <w:pgSz w:w="15840" w:h="12240" w:orient="landscape"/>
          <w:pgMar w:top="1440" w:right="1440" w:bottom="1440" w:left="1440" w:header="720" w:footer="720" w:gutter="0"/>
          <w:cols w:space="720"/>
          <w:docGrid w:linePitch="360"/>
        </w:sectPr>
      </w:pPr>
    </w:p>
    <w:p w14:paraId="3204FEDB" w14:textId="0CCF0B96" w:rsidR="00685059" w:rsidRPr="00AD5289" w:rsidRDefault="004A700D" w:rsidP="00AD5289">
      <w:pPr>
        <w:spacing w:line="360" w:lineRule="auto"/>
        <w:jc w:val="both"/>
        <w:rPr>
          <w:rFonts w:ascii="Book Antiqua" w:hAnsi="Book Antiqua"/>
          <w:b/>
          <w:iCs/>
        </w:rPr>
      </w:pPr>
      <w:r w:rsidRPr="00AD5289">
        <w:rPr>
          <w:rFonts w:ascii="Book Antiqua" w:hAnsi="Book Antiqua"/>
          <w:b/>
          <w:bCs/>
        </w:rPr>
        <w:lastRenderedPageBreak/>
        <w:t>Table 3</w:t>
      </w:r>
      <w:r w:rsidR="00685059" w:rsidRPr="00AD5289">
        <w:rPr>
          <w:rFonts w:ascii="Book Antiqua" w:hAnsi="Book Antiqua"/>
          <w:b/>
        </w:rPr>
        <w:t xml:space="preserve"> </w:t>
      </w:r>
      <w:r w:rsidR="00685059" w:rsidRPr="00AD5289">
        <w:rPr>
          <w:rFonts w:ascii="Book Antiqua" w:hAnsi="Book Antiqua"/>
          <w:b/>
          <w:iCs/>
        </w:rPr>
        <w:t xml:space="preserve">Yearly change in the </w:t>
      </w:r>
      <w:r w:rsidR="00EC5E15" w:rsidRPr="00AD5289">
        <w:rPr>
          <w:rFonts w:ascii="Book Antiqua" w:hAnsi="Book Antiqua"/>
          <w:b/>
          <w:iCs/>
        </w:rPr>
        <w:t>patient-reported outcome measures</w:t>
      </w:r>
      <w:r w:rsidR="00685059" w:rsidRPr="00AD5289">
        <w:rPr>
          <w:rFonts w:ascii="Book Antiqua" w:hAnsi="Book Antiqua"/>
          <w:b/>
          <w:iCs/>
        </w:rPr>
        <w:t xml:space="preserve"> (</w:t>
      </w:r>
      <w:r w:rsidRPr="00AD5289">
        <w:rPr>
          <w:rFonts w:ascii="Book Antiqua" w:hAnsi="Book Antiqua" w:cs="Calibri"/>
          <w:b/>
          <w:iCs/>
        </w:rPr>
        <w:t>β</w:t>
      </w:r>
      <w:r w:rsidR="00685059" w:rsidRPr="00AD5289">
        <w:rPr>
          <w:rFonts w:ascii="Book Antiqua" w:hAnsi="Book Antiqua"/>
          <w:b/>
          <w:iCs/>
        </w:rPr>
        <w:t xml:space="preserve">) during the </w:t>
      </w:r>
      <w:r w:rsidR="00D84F63">
        <w:rPr>
          <w:rFonts w:ascii="Book Antiqua" w:hAnsi="Book Antiqua"/>
          <w:b/>
          <w:iCs/>
        </w:rPr>
        <w:t>1</w:t>
      </w:r>
      <w:r w:rsidR="00D84F63" w:rsidRPr="00780CD3">
        <w:rPr>
          <w:rFonts w:ascii="Book Antiqua" w:hAnsi="Book Antiqua"/>
          <w:b/>
          <w:iCs/>
          <w:vertAlign w:val="superscript"/>
        </w:rPr>
        <w:t>st</w:t>
      </w:r>
      <w:r w:rsidR="00D84F63">
        <w:rPr>
          <w:rFonts w:ascii="Book Antiqua" w:hAnsi="Book Antiqua"/>
          <w:b/>
          <w:iCs/>
        </w:rPr>
        <w:t xml:space="preserve"> </w:t>
      </w:r>
      <w:r w:rsidR="00685059" w:rsidRPr="00AD5289">
        <w:rPr>
          <w:rFonts w:ascii="Book Antiqua" w:hAnsi="Book Antiqua"/>
          <w:b/>
          <w:iCs/>
        </w:rPr>
        <w:t xml:space="preserve">and </w:t>
      </w:r>
      <w:r w:rsidR="00D84F63">
        <w:rPr>
          <w:rFonts w:ascii="Book Antiqua" w:hAnsi="Book Antiqua"/>
          <w:b/>
          <w:iCs/>
        </w:rPr>
        <w:t>2</w:t>
      </w:r>
      <w:r w:rsidR="00D84F63" w:rsidRPr="00780CD3">
        <w:rPr>
          <w:rFonts w:ascii="Book Antiqua" w:hAnsi="Book Antiqua"/>
          <w:b/>
          <w:iCs/>
          <w:vertAlign w:val="superscript"/>
        </w:rPr>
        <w:t>nd</w:t>
      </w:r>
      <w:r w:rsidR="00D84F63">
        <w:rPr>
          <w:rFonts w:ascii="Book Antiqua" w:hAnsi="Book Antiqua"/>
          <w:b/>
          <w:iCs/>
        </w:rPr>
        <w:t xml:space="preserve"> </w:t>
      </w:r>
      <w:r w:rsidR="00685059" w:rsidRPr="00AD5289">
        <w:rPr>
          <w:rFonts w:ascii="Book Antiqua" w:hAnsi="Book Antiqua"/>
          <w:b/>
          <w:iCs/>
        </w:rPr>
        <w:t>postoperative years</w:t>
      </w:r>
    </w:p>
    <w:tbl>
      <w:tblPr>
        <w:tblStyle w:val="TableGrid"/>
        <w:tblW w:w="0" w:type="auto"/>
        <w:tblLook w:val="04A0" w:firstRow="1" w:lastRow="0" w:firstColumn="1" w:lastColumn="0" w:noHBand="0" w:noVBand="1"/>
      </w:tblPr>
      <w:tblGrid>
        <w:gridCol w:w="236"/>
        <w:gridCol w:w="2174"/>
        <w:gridCol w:w="1843"/>
        <w:gridCol w:w="992"/>
        <w:gridCol w:w="1984"/>
        <w:gridCol w:w="1118"/>
      </w:tblGrid>
      <w:tr w:rsidR="00907E77" w:rsidRPr="00AD5289" w14:paraId="772C530B" w14:textId="77777777" w:rsidTr="00C41FDA">
        <w:tc>
          <w:tcPr>
            <w:tcW w:w="2410" w:type="dxa"/>
            <w:gridSpan w:val="2"/>
            <w:tcBorders>
              <w:top w:val="single" w:sz="4" w:space="0" w:color="auto"/>
              <w:left w:val="nil"/>
              <w:bottom w:val="nil"/>
              <w:right w:val="nil"/>
            </w:tcBorders>
          </w:tcPr>
          <w:p w14:paraId="3805790F" w14:textId="73B3CB25" w:rsidR="00907E77" w:rsidRPr="00AD5289" w:rsidRDefault="00780CD3" w:rsidP="00AD5289">
            <w:pPr>
              <w:spacing w:line="360" w:lineRule="auto"/>
              <w:jc w:val="both"/>
              <w:rPr>
                <w:rFonts w:ascii="Book Antiqua" w:hAnsi="Book Antiqua"/>
                <w:lang w:val="en-US"/>
              </w:rPr>
            </w:pPr>
            <w:r>
              <w:rPr>
                <w:rFonts w:ascii="Book Antiqua" w:hAnsi="Book Antiqua" w:cstheme="minorHAnsi"/>
                <w:b/>
                <w:iCs/>
                <w:lang w:val="en-US"/>
              </w:rPr>
              <w:t>Outcome measure</w:t>
            </w:r>
          </w:p>
        </w:tc>
        <w:tc>
          <w:tcPr>
            <w:tcW w:w="2835" w:type="dxa"/>
            <w:gridSpan w:val="2"/>
            <w:tcBorders>
              <w:top w:val="single" w:sz="4" w:space="0" w:color="auto"/>
              <w:left w:val="nil"/>
              <w:bottom w:val="single" w:sz="4" w:space="0" w:color="auto"/>
              <w:right w:val="nil"/>
            </w:tcBorders>
          </w:tcPr>
          <w:p w14:paraId="4501F69C" w14:textId="7DFC4311" w:rsidR="00907E77" w:rsidRPr="00AD5289" w:rsidRDefault="00D84F63" w:rsidP="00AD5289">
            <w:pPr>
              <w:spacing w:line="360" w:lineRule="auto"/>
              <w:jc w:val="both"/>
              <w:rPr>
                <w:rFonts w:ascii="Book Antiqua" w:hAnsi="Book Antiqua"/>
                <w:b/>
                <w:lang w:val="en-US"/>
              </w:rPr>
            </w:pPr>
            <w:r>
              <w:rPr>
                <w:rFonts w:ascii="Book Antiqua" w:hAnsi="Book Antiqua"/>
                <w:b/>
                <w:lang w:val="en-US"/>
              </w:rPr>
              <w:t>1</w:t>
            </w:r>
            <w:r w:rsidRPr="00780CD3">
              <w:rPr>
                <w:rFonts w:ascii="Book Antiqua" w:hAnsi="Book Antiqua"/>
                <w:b/>
                <w:vertAlign w:val="superscript"/>
              </w:rPr>
              <w:t>st</w:t>
            </w:r>
            <w:r>
              <w:rPr>
                <w:rFonts w:ascii="Book Antiqua" w:hAnsi="Book Antiqua"/>
                <w:b/>
                <w:lang w:val="en-US"/>
              </w:rPr>
              <w:t xml:space="preserve"> </w:t>
            </w:r>
            <w:r w:rsidR="00907E77" w:rsidRPr="00AD5289">
              <w:rPr>
                <w:rFonts w:ascii="Book Antiqua" w:hAnsi="Book Antiqua"/>
                <w:b/>
                <w:lang w:val="en-US"/>
              </w:rPr>
              <w:t>yr</w:t>
            </w:r>
          </w:p>
        </w:tc>
        <w:tc>
          <w:tcPr>
            <w:tcW w:w="3102" w:type="dxa"/>
            <w:gridSpan w:val="2"/>
            <w:tcBorders>
              <w:top w:val="single" w:sz="4" w:space="0" w:color="auto"/>
              <w:left w:val="nil"/>
              <w:bottom w:val="single" w:sz="4" w:space="0" w:color="auto"/>
              <w:right w:val="nil"/>
            </w:tcBorders>
          </w:tcPr>
          <w:p w14:paraId="0549B188" w14:textId="51A5F19D" w:rsidR="00907E77" w:rsidRPr="00AD5289" w:rsidRDefault="00D84F63" w:rsidP="00AD5289">
            <w:pPr>
              <w:spacing w:line="360" w:lineRule="auto"/>
              <w:jc w:val="both"/>
              <w:rPr>
                <w:rFonts w:ascii="Book Antiqua" w:hAnsi="Book Antiqua"/>
                <w:b/>
                <w:lang w:val="en-US"/>
              </w:rPr>
            </w:pPr>
            <w:r>
              <w:rPr>
                <w:rFonts w:ascii="Book Antiqua" w:hAnsi="Book Antiqua"/>
                <w:b/>
                <w:lang w:val="en-US"/>
              </w:rPr>
              <w:t>2</w:t>
            </w:r>
            <w:r w:rsidRPr="00780CD3">
              <w:rPr>
                <w:rFonts w:ascii="Book Antiqua" w:hAnsi="Book Antiqua"/>
                <w:b/>
                <w:vertAlign w:val="superscript"/>
              </w:rPr>
              <w:t>nd</w:t>
            </w:r>
            <w:r>
              <w:rPr>
                <w:rFonts w:ascii="Book Antiqua" w:hAnsi="Book Antiqua"/>
                <w:b/>
                <w:lang w:val="en-US"/>
              </w:rPr>
              <w:t xml:space="preserve"> </w:t>
            </w:r>
            <w:r w:rsidR="00907E77" w:rsidRPr="00AD5289">
              <w:rPr>
                <w:rFonts w:ascii="Book Antiqua" w:hAnsi="Book Antiqua"/>
                <w:b/>
                <w:lang w:val="en-US"/>
              </w:rPr>
              <w:t>yr</w:t>
            </w:r>
          </w:p>
        </w:tc>
      </w:tr>
      <w:tr w:rsidR="000D40C1" w:rsidRPr="00AD5289" w14:paraId="6E4A0B89" w14:textId="77777777" w:rsidTr="00F24E0B">
        <w:tc>
          <w:tcPr>
            <w:tcW w:w="2410" w:type="dxa"/>
            <w:gridSpan w:val="2"/>
            <w:tcBorders>
              <w:top w:val="nil"/>
              <w:left w:val="nil"/>
              <w:bottom w:val="single" w:sz="4" w:space="0" w:color="auto"/>
              <w:right w:val="nil"/>
            </w:tcBorders>
          </w:tcPr>
          <w:p w14:paraId="7A7AC660" w14:textId="77777777" w:rsidR="000D40C1" w:rsidRPr="00AD5289" w:rsidRDefault="000D40C1" w:rsidP="00AD5289">
            <w:pPr>
              <w:spacing w:line="360" w:lineRule="auto"/>
              <w:jc w:val="both"/>
              <w:rPr>
                <w:rFonts w:ascii="Book Antiqua" w:hAnsi="Book Antiqua"/>
                <w:lang w:val="en-US"/>
              </w:rPr>
            </w:pPr>
          </w:p>
        </w:tc>
        <w:tc>
          <w:tcPr>
            <w:tcW w:w="1843" w:type="dxa"/>
            <w:tcBorders>
              <w:top w:val="single" w:sz="4" w:space="0" w:color="auto"/>
              <w:left w:val="nil"/>
              <w:bottom w:val="single" w:sz="4" w:space="0" w:color="auto"/>
              <w:right w:val="nil"/>
            </w:tcBorders>
          </w:tcPr>
          <w:p w14:paraId="53195AF8" w14:textId="2B9495B7" w:rsidR="000D40C1" w:rsidRPr="00AD5289" w:rsidRDefault="000D40C1" w:rsidP="00AD5289">
            <w:pPr>
              <w:spacing w:line="360" w:lineRule="auto"/>
              <w:jc w:val="both"/>
              <w:rPr>
                <w:rFonts w:ascii="Book Antiqua" w:hAnsi="Book Antiqua"/>
                <w:b/>
                <w:lang w:val="en-US"/>
              </w:rPr>
            </w:pPr>
            <w:r w:rsidRPr="00AD5289">
              <w:rPr>
                <w:rFonts w:ascii="Book Antiqua" w:hAnsi="Book Antiqua" w:cs="Calibri"/>
                <w:b/>
                <w:iCs/>
                <w:lang w:val="en-US"/>
              </w:rPr>
              <w:t xml:space="preserve">β </w:t>
            </w:r>
            <w:r w:rsidRPr="00AD5289">
              <w:rPr>
                <w:rFonts w:ascii="Book Antiqua" w:hAnsi="Book Antiqua"/>
                <w:b/>
                <w:lang w:val="en-US"/>
              </w:rPr>
              <w:t>(95%CI)</w:t>
            </w:r>
            <w:r w:rsidRPr="00AD5289">
              <w:rPr>
                <w:rFonts w:ascii="Book Antiqua" w:hAnsi="Book Antiqua"/>
                <w:b/>
                <w:vertAlign w:val="superscript"/>
                <w:lang w:val="en-US"/>
              </w:rPr>
              <w:t xml:space="preserve"> 1</w:t>
            </w:r>
          </w:p>
        </w:tc>
        <w:tc>
          <w:tcPr>
            <w:tcW w:w="992" w:type="dxa"/>
            <w:tcBorders>
              <w:top w:val="single" w:sz="4" w:space="0" w:color="auto"/>
              <w:left w:val="nil"/>
              <w:bottom w:val="single" w:sz="4" w:space="0" w:color="auto"/>
              <w:right w:val="nil"/>
            </w:tcBorders>
          </w:tcPr>
          <w:p w14:paraId="0EC3ACF2" w14:textId="44078ABA" w:rsidR="000D40C1" w:rsidRPr="00AD5289" w:rsidRDefault="000D40C1" w:rsidP="00AD5289">
            <w:pPr>
              <w:spacing w:line="360" w:lineRule="auto"/>
              <w:jc w:val="both"/>
              <w:rPr>
                <w:rFonts w:ascii="Book Antiqua" w:hAnsi="Book Antiqua"/>
                <w:b/>
                <w:lang w:val="en-US"/>
              </w:rPr>
            </w:pPr>
            <w:r w:rsidRPr="00AD5289">
              <w:rPr>
                <w:rFonts w:ascii="Book Antiqua" w:hAnsi="Book Antiqua"/>
                <w:b/>
                <w:i/>
                <w:lang w:val="en-US"/>
              </w:rPr>
              <w:t xml:space="preserve">P </w:t>
            </w:r>
            <w:r w:rsidRPr="00AD5289">
              <w:rPr>
                <w:rFonts w:ascii="Book Antiqua" w:hAnsi="Book Antiqua"/>
                <w:b/>
                <w:lang w:val="en-US"/>
              </w:rPr>
              <w:t>value</w:t>
            </w:r>
          </w:p>
        </w:tc>
        <w:tc>
          <w:tcPr>
            <w:tcW w:w="1984" w:type="dxa"/>
            <w:tcBorders>
              <w:top w:val="single" w:sz="4" w:space="0" w:color="auto"/>
              <w:left w:val="nil"/>
              <w:bottom w:val="single" w:sz="4" w:space="0" w:color="auto"/>
              <w:right w:val="nil"/>
            </w:tcBorders>
          </w:tcPr>
          <w:p w14:paraId="221F35A6" w14:textId="23E6E460" w:rsidR="000D40C1" w:rsidRPr="00AD5289" w:rsidRDefault="000D40C1" w:rsidP="00AD5289">
            <w:pPr>
              <w:spacing w:line="360" w:lineRule="auto"/>
              <w:jc w:val="both"/>
              <w:rPr>
                <w:rFonts w:ascii="Book Antiqua" w:hAnsi="Book Antiqua"/>
                <w:b/>
                <w:lang w:val="en-US"/>
              </w:rPr>
            </w:pPr>
            <w:r w:rsidRPr="00AD5289">
              <w:rPr>
                <w:rFonts w:ascii="Book Antiqua" w:hAnsi="Book Antiqua" w:cs="Calibri"/>
                <w:b/>
                <w:iCs/>
                <w:lang w:val="en-US"/>
              </w:rPr>
              <w:t xml:space="preserve">β </w:t>
            </w:r>
            <w:r w:rsidRPr="00AD5289">
              <w:rPr>
                <w:rFonts w:ascii="Book Antiqua" w:hAnsi="Book Antiqua"/>
                <w:b/>
                <w:lang w:val="en-US"/>
              </w:rPr>
              <w:t>(95%CI)</w:t>
            </w:r>
            <w:r w:rsidRPr="00AD5289">
              <w:rPr>
                <w:rFonts w:ascii="Book Antiqua" w:hAnsi="Book Antiqua"/>
                <w:b/>
                <w:vertAlign w:val="superscript"/>
                <w:lang w:val="en-US"/>
              </w:rPr>
              <w:t>1</w:t>
            </w:r>
          </w:p>
        </w:tc>
        <w:tc>
          <w:tcPr>
            <w:tcW w:w="1118" w:type="dxa"/>
            <w:tcBorders>
              <w:top w:val="single" w:sz="4" w:space="0" w:color="auto"/>
              <w:left w:val="nil"/>
              <w:bottom w:val="single" w:sz="4" w:space="0" w:color="auto"/>
              <w:right w:val="nil"/>
            </w:tcBorders>
          </w:tcPr>
          <w:p w14:paraId="2259E8F0" w14:textId="7C585F05" w:rsidR="000D40C1" w:rsidRPr="00AD5289" w:rsidRDefault="000D40C1" w:rsidP="00AD5289">
            <w:pPr>
              <w:spacing w:line="360" w:lineRule="auto"/>
              <w:jc w:val="both"/>
              <w:rPr>
                <w:rFonts w:ascii="Book Antiqua" w:hAnsi="Book Antiqua"/>
                <w:b/>
                <w:lang w:val="en-US"/>
              </w:rPr>
            </w:pPr>
            <w:r w:rsidRPr="00AD5289">
              <w:rPr>
                <w:rFonts w:ascii="Book Antiqua" w:hAnsi="Book Antiqua"/>
                <w:b/>
                <w:i/>
                <w:lang w:val="en-US"/>
              </w:rPr>
              <w:t xml:space="preserve">P </w:t>
            </w:r>
            <w:r w:rsidRPr="00AD5289">
              <w:rPr>
                <w:rFonts w:ascii="Book Antiqua" w:hAnsi="Book Antiqua"/>
                <w:b/>
                <w:lang w:val="en-US"/>
              </w:rPr>
              <w:t>value</w:t>
            </w:r>
          </w:p>
        </w:tc>
      </w:tr>
      <w:tr w:rsidR="000D40C1" w:rsidRPr="00AD5289" w14:paraId="300453A3" w14:textId="77777777" w:rsidTr="00A60A68">
        <w:tc>
          <w:tcPr>
            <w:tcW w:w="2410" w:type="dxa"/>
            <w:gridSpan w:val="2"/>
            <w:tcBorders>
              <w:top w:val="single" w:sz="4" w:space="0" w:color="auto"/>
              <w:left w:val="nil"/>
              <w:bottom w:val="nil"/>
              <w:right w:val="nil"/>
            </w:tcBorders>
          </w:tcPr>
          <w:p w14:paraId="29A98A7F" w14:textId="77777777" w:rsidR="000D40C1" w:rsidRPr="00780CD3" w:rsidRDefault="000D40C1" w:rsidP="00AD5289">
            <w:pPr>
              <w:spacing w:line="360" w:lineRule="auto"/>
              <w:jc w:val="both"/>
              <w:rPr>
                <w:rFonts w:ascii="Book Antiqua" w:hAnsi="Book Antiqua"/>
                <w:lang w:val="en-US"/>
              </w:rPr>
            </w:pPr>
            <w:r w:rsidRPr="00780CD3">
              <w:rPr>
                <w:rFonts w:ascii="Book Antiqua" w:hAnsi="Book Antiqua"/>
              </w:rPr>
              <w:t>HOOS</w:t>
            </w:r>
          </w:p>
        </w:tc>
        <w:tc>
          <w:tcPr>
            <w:tcW w:w="1843" w:type="dxa"/>
            <w:tcBorders>
              <w:top w:val="single" w:sz="4" w:space="0" w:color="auto"/>
              <w:left w:val="nil"/>
              <w:bottom w:val="nil"/>
              <w:right w:val="nil"/>
            </w:tcBorders>
          </w:tcPr>
          <w:p w14:paraId="6832EA33" w14:textId="77777777" w:rsidR="000D40C1" w:rsidRPr="00AD5289" w:rsidRDefault="000D40C1" w:rsidP="00AD5289">
            <w:pPr>
              <w:spacing w:line="360" w:lineRule="auto"/>
              <w:jc w:val="both"/>
              <w:rPr>
                <w:rFonts w:ascii="Book Antiqua" w:hAnsi="Book Antiqua"/>
                <w:lang w:val="en-US"/>
              </w:rPr>
            </w:pPr>
          </w:p>
        </w:tc>
        <w:tc>
          <w:tcPr>
            <w:tcW w:w="992" w:type="dxa"/>
            <w:tcBorders>
              <w:top w:val="single" w:sz="4" w:space="0" w:color="auto"/>
              <w:left w:val="nil"/>
              <w:bottom w:val="nil"/>
              <w:right w:val="nil"/>
            </w:tcBorders>
          </w:tcPr>
          <w:p w14:paraId="044F8BFC" w14:textId="77777777" w:rsidR="000D40C1" w:rsidRPr="00AD5289" w:rsidRDefault="000D40C1" w:rsidP="00AD5289">
            <w:pPr>
              <w:spacing w:line="360" w:lineRule="auto"/>
              <w:jc w:val="both"/>
              <w:rPr>
                <w:rFonts w:ascii="Book Antiqua" w:hAnsi="Book Antiqua"/>
                <w:lang w:val="en-US"/>
              </w:rPr>
            </w:pPr>
          </w:p>
        </w:tc>
        <w:tc>
          <w:tcPr>
            <w:tcW w:w="1984" w:type="dxa"/>
            <w:tcBorders>
              <w:top w:val="single" w:sz="4" w:space="0" w:color="auto"/>
              <w:left w:val="nil"/>
              <w:bottom w:val="nil"/>
              <w:right w:val="nil"/>
            </w:tcBorders>
          </w:tcPr>
          <w:p w14:paraId="4AC9D9BB" w14:textId="77777777" w:rsidR="000D40C1" w:rsidRPr="00AD5289" w:rsidRDefault="000D40C1" w:rsidP="00AD5289">
            <w:pPr>
              <w:spacing w:line="360" w:lineRule="auto"/>
              <w:jc w:val="both"/>
              <w:rPr>
                <w:rFonts w:ascii="Book Antiqua" w:hAnsi="Book Antiqua"/>
                <w:lang w:val="en-US"/>
              </w:rPr>
            </w:pPr>
          </w:p>
        </w:tc>
        <w:tc>
          <w:tcPr>
            <w:tcW w:w="1118" w:type="dxa"/>
            <w:tcBorders>
              <w:top w:val="single" w:sz="4" w:space="0" w:color="auto"/>
              <w:left w:val="nil"/>
              <w:bottom w:val="nil"/>
              <w:right w:val="nil"/>
            </w:tcBorders>
          </w:tcPr>
          <w:p w14:paraId="3CB2BCDE" w14:textId="77777777" w:rsidR="000D40C1" w:rsidRPr="00AD5289" w:rsidRDefault="000D40C1" w:rsidP="00AD5289">
            <w:pPr>
              <w:spacing w:line="360" w:lineRule="auto"/>
              <w:jc w:val="both"/>
              <w:rPr>
                <w:rFonts w:ascii="Book Antiqua" w:hAnsi="Book Antiqua"/>
                <w:lang w:val="en-US"/>
              </w:rPr>
            </w:pPr>
          </w:p>
        </w:tc>
      </w:tr>
      <w:tr w:rsidR="000D40C1" w:rsidRPr="00AD5289" w14:paraId="715456DD" w14:textId="77777777" w:rsidTr="00A60A68">
        <w:tc>
          <w:tcPr>
            <w:tcW w:w="236" w:type="dxa"/>
            <w:tcBorders>
              <w:top w:val="nil"/>
              <w:left w:val="nil"/>
              <w:bottom w:val="nil"/>
              <w:right w:val="nil"/>
            </w:tcBorders>
          </w:tcPr>
          <w:p w14:paraId="31095687" w14:textId="77777777" w:rsidR="000D40C1" w:rsidRPr="00AD5289" w:rsidRDefault="000D40C1" w:rsidP="00AD5289">
            <w:pPr>
              <w:spacing w:line="360" w:lineRule="auto"/>
              <w:jc w:val="both"/>
              <w:rPr>
                <w:rFonts w:ascii="Book Antiqua" w:hAnsi="Book Antiqua"/>
                <w:i/>
                <w:iCs/>
                <w:lang w:val="en-US"/>
              </w:rPr>
            </w:pPr>
          </w:p>
        </w:tc>
        <w:tc>
          <w:tcPr>
            <w:tcW w:w="2174" w:type="dxa"/>
            <w:tcBorders>
              <w:top w:val="nil"/>
              <w:left w:val="nil"/>
              <w:bottom w:val="nil"/>
              <w:right w:val="nil"/>
            </w:tcBorders>
          </w:tcPr>
          <w:p w14:paraId="4E49495E"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Symptoms</w:t>
            </w:r>
          </w:p>
        </w:tc>
        <w:tc>
          <w:tcPr>
            <w:tcW w:w="1843" w:type="dxa"/>
            <w:tcBorders>
              <w:top w:val="nil"/>
              <w:left w:val="nil"/>
              <w:bottom w:val="nil"/>
              <w:right w:val="nil"/>
            </w:tcBorders>
          </w:tcPr>
          <w:p w14:paraId="6C906A32" w14:textId="6632F969"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34.8 (31.9</w:t>
            </w:r>
            <w:r w:rsidR="00244B89">
              <w:rPr>
                <w:rFonts w:ascii="Book Antiqua" w:hAnsi="Book Antiqua"/>
                <w:lang w:val="en-US"/>
              </w:rPr>
              <w:t>,</w:t>
            </w:r>
            <w:r w:rsidRPr="00AD5289">
              <w:rPr>
                <w:rFonts w:ascii="Book Antiqua" w:hAnsi="Book Antiqua"/>
                <w:lang w:val="en-US"/>
              </w:rPr>
              <w:t xml:space="preserve"> 37.6)</w:t>
            </w:r>
          </w:p>
        </w:tc>
        <w:tc>
          <w:tcPr>
            <w:tcW w:w="992" w:type="dxa"/>
            <w:tcBorders>
              <w:top w:val="nil"/>
              <w:left w:val="nil"/>
              <w:bottom w:val="nil"/>
              <w:right w:val="nil"/>
            </w:tcBorders>
          </w:tcPr>
          <w:p w14:paraId="7B46F234" w14:textId="3335394B"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3E04CF29" w14:textId="4C972821"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0.7 (-0.9</w:t>
            </w:r>
            <w:r w:rsidR="00244B89">
              <w:rPr>
                <w:rFonts w:ascii="Book Antiqua" w:hAnsi="Book Antiqua"/>
                <w:lang w:val="en-US"/>
              </w:rPr>
              <w:t>,</w:t>
            </w:r>
            <w:r w:rsidRPr="00AD5289">
              <w:rPr>
                <w:rFonts w:ascii="Book Antiqua" w:hAnsi="Book Antiqua"/>
                <w:lang w:val="en-US"/>
              </w:rPr>
              <w:t xml:space="preserve"> 2.3)</w:t>
            </w:r>
          </w:p>
        </w:tc>
        <w:tc>
          <w:tcPr>
            <w:tcW w:w="1118" w:type="dxa"/>
            <w:tcBorders>
              <w:top w:val="nil"/>
              <w:left w:val="nil"/>
              <w:bottom w:val="nil"/>
              <w:right w:val="nil"/>
            </w:tcBorders>
          </w:tcPr>
          <w:p w14:paraId="598C2AD7"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0.38</w:t>
            </w:r>
          </w:p>
        </w:tc>
      </w:tr>
      <w:tr w:rsidR="000D40C1" w:rsidRPr="00AD5289" w14:paraId="0C91D22C" w14:textId="77777777" w:rsidTr="00A60A68">
        <w:tc>
          <w:tcPr>
            <w:tcW w:w="236" w:type="dxa"/>
            <w:tcBorders>
              <w:top w:val="nil"/>
              <w:left w:val="nil"/>
              <w:bottom w:val="nil"/>
              <w:right w:val="nil"/>
            </w:tcBorders>
          </w:tcPr>
          <w:p w14:paraId="4B95578B" w14:textId="77777777" w:rsidR="000D40C1" w:rsidRPr="00AD5289" w:rsidRDefault="000D40C1" w:rsidP="00AD5289">
            <w:pPr>
              <w:spacing w:line="360" w:lineRule="auto"/>
              <w:jc w:val="both"/>
              <w:rPr>
                <w:rFonts w:ascii="Book Antiqua" w:hAnsi="Book Antiqua"/>
                <w:i/>
                <w:iCs/>
                <w:lang w:val="en-US"/>
              </w:rPr>
            </w:pPr>
          </w:p>
        </w:tc>
        <w:tc>
          <w:tcPr>
            <w:tcW w:w="2174" w:type="dxa"/>
            <w:tcBorders>
              <w:top w:val="nil"/>
              <w:left w:val="nil"/>
              <w:bottom w:val="nil"/>
              <w:right w:val="nil"/>
            </w:tcBorders>
          </w:tcPr>
          <w:p w14:paraId="3B4C41B1"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Pain</w:t>
            </w:r>
          </w:p>
        </w:tc>
        <w:tc>
          <w:tcPr>
            <w:tcW w:w="1843" w:type="dxa"/>
            <w:tcBorders>
              <w:top w:val="nil"/>
              <w:left w:val="nil"/>
              <w:bottom w:val="nil"/>
              <w:right w:val="nil"/>
            </w:tcBorders>
          </w:tcPr>
          <w:p w14:paraId="7781071A" w14:textId="5DEB64E9"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36.8 (34.0</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39.7)</w:t>
            </w:r>
          </w:p>
        </w:tc>
        <w:tc>
          <w:tcPr>
            <w:tcW w:w="992" w:type="dxa"/>
            <w:tcBorders>
              <w:top w:val="nil"/>
              <w:left w:val="nil"/>
              <w:bottom w:val="nil"/>
              <w:right w:val="nil"/>
            </w:tcBorders>
          </w:tcPr>
          <w:p w14:paraId="2BFA6E8D" w14:textId="1BE3BDB4"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7CCAD823" w14:textId="2A8B2034"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0.3 (-1.0</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1.6)</w:t>
            </w:r>
          </w:p>
        </w:tc>
        <w:tc>
          <w:tcPr>
            <w:tcW w:w="1118" w:type="dxa"/>
            <w:tcBorders>
              <w:top w:val="nil"/>
              <w:left w:val="nil"/>
              <w:bottom w:val="nil"/>
              <w:right w:val="nil"/>
            </w:tcBorders>
          </w:tcPr>
          <w:p w14:paraId="0CD2C30F"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0.63</w:t>
            </w:r>
          </w:p>
        </w:tc>
      </w:tr>
      <w:tr w:rsidR="000D40C1" w:rsidRPr="00AD5289" w14:paraId="359F07AB" w14:textId="77777777" w:rsidTr="00A60A68">
        <w:tc>
          <w:tcPr>
            <w:tcW w:w="236" w:type="dxa"/>
            <w:tcBorders>
              <w:top w:val="nil"/>
              <w:left w:val="nil"/>
              <w:bottom w:val="nil"/>
              <w:right w:val="nil"/>
            </w:tcBorders>
          </w:tcPr>
          <w:p w14:paraId="51388C8B" w14:textId="77777777" w:rsidR="000D40C1" w:rsidRPr="00AD5289" w:rsidRDefault="000D40C1" w:rsidP="00AD5289">
            <w:pPr>
              <w:spacing w:line="360" w:lineRule="auto"/>
              <w:jc w:val="both"/>
              <w:rPr>
                <w:rFonts w:ascii="Book Antiqua" w:hAnsi="Book Antiqua"/>
                <w:i/>
                <w:iCs/>
                <w:lang w:val="en-US"/>
              </w:rPr>
            </w:pPr>
          </w:p>
        </w:tc>
        <w:tc>
          <w:tcPr>
            <w:tcW w:w="2174" w:type="dxa"/>
            <w:tcBorders>
              <w:top w:val="nil"/>
              <w:left w:val="nil"/>
              <w:bottom w:val="nil"/>
              <w:right w:val="nil"/>
            </w:tcBorders>
          </w:tcPr>
          <w:p w14:paraId="017490EF"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ADL</w:t>
            </w:r>
          </w:p>
        </w:tc>
        <w:tc>
          <w:tcPr>
            <w:tcW w:w="1843" w:type="dxa"/>
            <w:tcBorders>
              <w:top w:val="nil"/>
              <w:left w:val="nil"/>
              <w:bottom w:val="nil"/>
              <w:right w:val="nil"/>
            </w:tcBorders>
          </w:tcPr>
          <w:p w14:paraId="6FE8CB88" w14:textId="365F3166"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36.2 (33.3</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39.1)</w:t>
            </w:r>
          </w:p>
        </w:tc>
        <w:tc>
          <w:tcPr>
            <w:tcW w:w="992" w:type="dxa"/>
            <w:tcBorders>
              <w:top w:val="nil"/>
              <w:left w:val="nil"/>
              <w:bottom w:val="nil"/>
              <w:right w:val="nil"/>
            </w:tcBorders>
          </w:tcPr>
          <w:p w14:paraId="50D50EC7" w14:textId="0AF15280"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02E96D57" w14:textId="7CF6ECF8"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0.9 (-0.6</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2.5)</w:t>
            </w:r>
          </w:p>
        </w:tc>
        <w:tc>
          <w:tcPr>
            <w:tcW w:w="1118" w:type="dxa"/>
            <w:tcBorders>
              <w:top w:val="nil"/>
              <w:left w:val="nil"/>
              <w:bottom w:val="nil"/>
              <w:right w:val="nil"/>
            </w:tcBorders>
          </w:tcPr>
          <w:p w14:paraId="50144B71"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0.24</w:t>
            </w:r>
          </w:p>
        </w:tc>
      </w:tr>
      <w:tr w:rsidR="000D40C1" w:rsidRPr="00AD5289" w14:paraId="6AB0C8D0" w14:textId="77777777" w:rsidTr="00A60A68">
        <w:tc>
          <w:tcPr>
            <w:tcW w:w="236" w:type="dxa"/>
            <w:tcBorders>
              <w:top w:val="nil"/>
              <w:left w:val="nil"/>
              <w:bottom w:val="nil"/>
              <w:right w:val="nil"/>
            </w:tcBorders>
          </w:tcPr>
          <w:p w14:paraId="30F5FEE4" w14:textId="77777777" w:rsidR="000D40C1" w:rsidRPr="00AD5289" w:rsidRDefault="000D40C1" w:rsidP="00AD5289">
            <w:pPr>
              <w:spacing w:line="360" w:lineRule="auto"/>
              <w:jc w:val="both"/>
              <w:rPr>
                <w:rFonts w:ascii="Book Antiqua" w:hAnsi="Book Antiqua"/>
                <w:i/>
                <w:iCs/>
                <w:lang w:val="en-US"/>
              </w:rPr>
            </w:pPr>
          </w:p>
        </w:tc>
        <w:tc>
          <w:tcPr>
            <w:tcW w:w="2174" w:type="dxa"/>
            <w:tcBorders>
              <w:top w:val="nil"/>
              <w:left w:val="nil"/>
              <w:bottom w:val="nil"/>
              <w:right w:val="nil"/>
            </w:tcBorders>
          </w:tcPr>
          <w:p w14:paraId="68404D83" w14:textId="27EDDAE9"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 xml:space="preserve">Sports and </w:t>
            </w:r>
            <w:r w:rsidR="00244B89">
              <w:rPr>
                <w:rFonts w:ascii="Book Antiqua" w:hAnsi="Book Antiqua"/>
                <w:lang w:val="en-US"/>
              </w:rPr>
              <w:t>r</w:t>
            </w:r>
            <w:r w:rsidRPr="00AD5289">
              <w:rPr>
                <w:rFonts w:ascii="Book Antiqua" w:hAnsi="Book Antiqua"/>
                <w:lang w:val="en-US"/>
              </w:rPr>
              <w:t>ecreation</w:t>
            </w:r>
          </w:p>
        </w:tc>
        <w:tc>
          <w:tcPr>
            <w:tcW w:w="1843" w:type="dxa"/>
            <w:tcBorders>
              <w:top w:val="nil"/>
              <w:left w:val="nil"/>
              <w:bottom w:val="nil"/>
              <w:right w:val="nil"/>
            </w:tcBorders>
          </w:tcPr>
          <w:p w14:paraId="05EA8EE2" w14:textId="6AF3D703"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43.3 (39.7</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46.9)</w:t>
            </w:r>
          </w:p>
        </w:tc>
        <w:tc>
          <w:tcPr>
            <w:tcW w:w="992" w:type="dxa"/>
            <w:tcBorders>
              <w:top w:val="nil"/>
              <w:left w:val="nil"/>
              <w:bottom w:val="nil"/>
              <w:right w:val="nil"/>
            </w:tcBorders>
          </w:tcPr>
          <w:p w14:paraId="127823FC" w14:textId="66F69D23"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499C0953" w14:textId="278C7B0A"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-0.1 (-2.6</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2.4)</w:t>
            </w:r>
          </w:p>
        </w:tc>
        <w:tc>
          <w:tcPr>
            <w:tcW w:w="1118" w:type="dxa"/>
            <w:tcBorders>
              <w:top w:val="nil"/>
              <w:left w:val="nil"/>
              <w:bottom w:val="nil"/>
              <w:right w:val="nil"/>
            </w:tcBorders>
          </w:tcPr>
          <w:p w14:paraId="021E97C3"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0.93</w:t>
            </w:r>
          </w:p>
        </w:tc>
      </w:tr>
      <w:tr w:rsidR="000D40C1" w:rsidRPr="00AD5289" w14:paraId="4AB1D9BE" w14:textId="77777777" w:rsidTr="00A60A68">
        <w:tc>
          <w:tcPr>
            <w:tcW w:w="236" w:type="dxa"/>
            <w:tcBorders>
              <w:top w:val="nil"/>
              <w:left w:val="nil"/>
              <w:bottom w:val="nil"/>
              <w:right w:val="nil"/>
            </w:tcBorders>
          </w:tcPr>
          <w:p w14:paraId="1B14BD84" w14:textId="77777777" w:rsidR="000D40C1" w:rsidRPr="00AD5289" w:rsidRDefault="000D40C1" w:rsidP="00AD5289">
            <w:pPr>
              <w:spacing w:line="360" w:lineRule="auto"/>
              <w:jc w:val="both"/>
              <w:rPr>
                <w:rFonts w:ascii="Book Antiqua" w:hAnsi="Book Antiqua"/>
                <w:i/>
                <w:iCs/>
                <w:lang w:val="en-US"/>
              </w:rPr>
            </w:pPr>
          </w:p>
        </w:tc>
        <w:tc>
          <w:tcPr>
            <w:tcW w:w="2174" w:type="dxa"/>
            <w:tcBorders>
              <w:top w:val="nil"/>
              <w:left w:val="nil"/>
              <w:bottom w:val="nil"/>
              <w:right w:val="nil"/>
            </w:tcBorders>
          </w:tcPr>
          <w:p w14:paraId="05B7354B"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Quality of life</w:t>
            </w:r>
          </w:p>
        </w:tc>
        <w:tc>
          <w:tcPr>
            <w:tcW w:w="1843" w:type="dxa"/>
            <w:tcBorders>
              <w:top w:val="nil"/>
              <w:left w:val="nil"/>
              <w:bottom w:val="nil"/>
              <w:right w:val="nil"/>
            </w:tcBorders>
          </w:tcPr>
          <w:p w14:paraId="60842488" w14:textId="5358E64E"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41.8 (38.7</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45.0)</w:t>
            </w:r>
          </w:p>
        </w:tc>
        <w:tc>
          <w:tcPr>
            <w:tcW w:w="992" w:type="dxa"/>
            <w:tcBorders>
              <w:top w:val="nil"/>
              <w:left w:val="nil"/>
              <w:bottom w:val="nil"/>
              <w:right w:val="nil"/>
            </w:tcBorders>
          </w:tcPr>
          <w:p w14:paraId="487A6EA4" w14:textId="1DF7411A"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629E9886" w14:textId="1488169B"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1.5 (-0.7</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3.8)</w:t>
            </w:r>
          </w:p>
        </w:tc>
        <w:tc>
          <w:tcPr>
            <w:tcW w:w="1118" w:type="dxa"/>
            <w:tcBorders>
              <w:top w:val="nil"/>
              <w:left w:val="nil"/>
              <w:bottom w:val="nil"/>
              <w:right w:val="nil"/>
            </w:tcBorders>
          </w:tcPr>
          <w:p w14:paraId="794E44C9"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0.18</w:t>
            </w:r>
          </w:p>
        </w:tc>
      </w:tr>
      <w:tr w:rsidR="000D40C1" w:rsidRPr="00AD5289" w14:paraId="024516CC" w14:textId="77777777" w:rsidTr="00A60A68">
        <w:tc>
          <w:tcPr>
            <w:tcW w:w="2410" w:type="dxa"/>
            <w:gridSpan w:val="2"/>
            <w:tcBorders>
              <w:top w:val="nil"/>
              <w:left w:val="nil"/>
              <w:bottom w:val="nil"/>
              <w:right w:val="nil"/>
            </w:tcBorders>
          </w:tcPr>
          <w:p w14:paraId="23FB1848" w14:textId="77777777" w:rsidR="000D40C1" w:rsidRPr="00780CD3" w:rsidRDefault="000D40C1" w:rsidP="00AD5289">
            <w:pPr>
              <w:spacing w:line="360" w:lineRule="auto"/>
              <w:jc w:val="both"/>
              <w:rPr>
                <w:rFonts w:ascii="Book Antiqua" w:hAnsi="Book Antiqua"/>
                <w:lang w:val="en-US"/>
              </w:rPr>
            </w:pPr>
            <w:r w:rsidRPr="00780CD3">
              <w:rPr>
                <w:rFonts w:ascii="Book Antiqua" w:hAnsi="Book Antiqua"/>
              </w:rPr>
              <w:t>SF-36</w:t>
            </w:r>
          </w:p>
        </w:tc>
        <w:tc>
          <w:tcPr>
            <w:tcW w:w="1843" w:type="dxa"/>
            <w:tcBorders>
              <w:top w:val="nil"/>
              <w:left w:val="nil"/>
              <w:bottom w:val="nil"/>
              <w:right w:val="nil"/>
            </w:tcBorders>
          </w:tcPr>
          <w:p w14:paraId="72DF35DB" w14:textId="77777777" w:rsidR="000D40C1" w:rsidRPr="00AD5289" w:rsidRDefault="000D40C1" w:rsidP="00AD5289">
            <w:pPr>
              <w:spacing w:line="360" w:lineRule="auto"/>
              <w:jc w:val="both"/>
              <w:rPr>
                <w:rFonts w:ascii="Book Antiqua" w:hAnsi="Book Antiqua"/>
                <w:lang w:val="en-US"/>
              </w:rPr>
            </w:pPr>
          </w:p>
        </w:tc>
        <w:tc>
          <w:tcPr>
            <w:tcW w:w="992" w:type="dxa"/>
            <w:tcBorders>
              <w:top w:val="nil"/>
              <w:left w:val="nil"/>
              <w:bottom w:val="nil"/>
              <w:right w:val="nil"/>
            </w:tcBorders>
          </w:tcPr>
          <w:p w14:paraId="7821F922" w14:textId="77777777" w:rsidR="000D40C1" w:rsidRPr="00AD5289" w:rsidRDefault="000D40C1" w:rsidP="00AD5289">
            <w:pPr>
              <w:spacing w:line="360" w:lineRule="auto"/>
              <w:jc w:val="both"/>
              <w:rPr>
                <w:rFonts w:ascii="Book Antiqua" w:hAnsi="Book Antiqua"/>
                <w:lang w:val="en-US"/>
              </w:rPr>
            </w:pPr>
          </w:p>
        </w:tc>
        <w:tc>
          <w:tcPr>
            <w:tcW w:w="1984" w:type="dxa"/>
            <w:tcBorders>
              <w:top w:val="nil"/>
              <w:left w:val="nil"/>
              <w:bottom w:val="nil"/>
              <w:right w:val="nil"/>
            </w:tcBorders>
          </w:tcPr>
          <w:p w14:paraId="4CDDA851" w14:textId="77777777" w:rsidR="000D40C1" w:rsidRPr="00AD5289" w:rsidRDefault="000D40C1" w:rsidP="00AD5289">
            <w:pPr>
              <w:spacing w:line="360" w:lineRule="auto"/>
              <w:jc w:val="both"/>
              <w:rPr>
                <w:rFonts w:ascii="Book Antiqua" w:hAnsi="Book Antiqua"/>
                <w:lang w:val="en-US"/>
              </w:rPr>
            </w:pPr>
          </w:p>
        </w:tc>
        <w:tc>
          <w:tcPr>
            <w:tcW w:w="1118" w:type="dxa"/>
            <w:tcBorders>
              <w:top w:val="nil"/>
              <w:left w:val="nil"/>
              <w:bottom w:val="nil"/>
              <w:right w:val="nil"/>
            </w:tcBorders>
          </w:tcPr>
          <w:p w14:paraId="6E8F15D2" w14:textId="77777777" w:rsidR="000D40C1" w:rsidRPr="00AD5289" w:rsidRDefault="000D40C1" w:rsidP="00AD5289">
            <w:pPr>
              <w:spacing w:line="360" w:lineRule="auto"/>
              <w:jc w:val="both"/>
              <w:rPr>
                <w:rFonts w:ascii="Book Antiqua" w:hAnsi="Book Antiqua"/>
                <w:lang w:val="en-US"/>
              </w:rPr>
            </w:pPr>
          </w:p>
        </w:tc>
      </w:tr>
      <w:tr w:rsidR="000D40C1" w:rsidRPr="00AD5289" w14:paraId="7871B524" w14:textId="77777777" w:rsidTr="00A60A68">
        <w:tc>
          <w:tcPr>
            <w:tcW w:w="236" w:type="dxa"/>
            <w:tcBorders>
              <w:top w:val="nil"/>
              <w:left w:val="nil"/>
              <w:bottom w:val="nil"/>
              <w:right w:val="nil"/>
            </w:tcBorders>
          </w:tcPr>
          <w:p w14:paraId="2F884D2D" w14:textId="77777777" w:rsidR="000D40C1" w:rsidRPr="00AD5289" w:rsidRDefault="000D40C1" w:rsidP="00AD5289">
            <w:pPr>
              <w:spacing w:line="360" w:lineRule="auto"/>
              <w:jc w:val="both"/>
              <w:rPr>
                <w:rFonts w:ascii="Book Antiqua" w:hAnsi="Book Antiqua"/>
                <w:lang w:val="en-US"/>
              </w:rPr>
            </w:pPr>
          </w:p>
        </w:tc>
        <w:tc>
          <w:tcPr>
            <w:tcW w:w="2174" w:type="dxa"/>
            <w:tcBorders>
              <w:top w:val="nil"/>
              <w:left w:val="nil"/>
              <w:bottom w:val="nil"/>
              <w:right w:val="nil"/>
            </w:tcBorders>
          </w:tcPr>
          <w:p w14:paraId="1B05929E"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Physical functioning</w:t>
            </w:r>
          </w:p>
        </w:tc>
        <w:tc>
          <w:tcPr>
            <w:tcW w:w="1843" w:type="dxa"/>
            <w:tcBorders>
              <w:top w:val="nil"/>
              <w:left w:val="nil"/>
              <w:bottom w:val="nil"/>
              <w:right w:val="nil"/>
            </w:tcBorders>
          </w:tcPr>
          <w:p w14:paraId="3FD664A8" w14:textId="43D7EABC"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34.5 (31.4</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37.7)</w:t>
            </w:r>
          </w:p>
        </w:tc>
        <w:tc>
          <w:tcPr>
            <w:tcW w:w="992" w:type="dxa"/>
            <w:tcBorders>
              <w:top w:val="nil"/>
              <w:left w:val="nil"/>
              <w:bottom w:val="nil"/>
              <w:right w:val="nil"/>
            </w:tcBorders>
          </w:tcPr>
          <w:p w14:paraId="1EE04FC9" w14:textId="31893FD0"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1DBE5126" w14:textId="4D551180"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0.8 (-1.7</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3.4)</w:t>
            </w:r>
          </w:p>
        </w:tc>
        <w:tc>
          <w:tcPr>
            <w:tcW w:w="1118" w:type="dxa"/>
            <w:tcBorders>
              <w:top w:val="nil"/>
              <w:left w:val="nil"/>
              <w:bottom w:val="nil"/>
              <w:right w:val="nil"/>
            </w:tcBorders>
          </w:tcPr>
          <w:p w14:paraId="293BDBF3"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0.56</w:t>
            </w:r>
          </w:p>
        </w:tc>
      </w:tr>
      <w:tr w:rsidR="000D40C1" w:rsidRPr="00AD5289" w14:paraId="24352B57" w14:textId="77777777" w:rsidTr="00A60A68">
        <w:tc>
          <w:tcPr>
            <w:tcW w:w="236" w:type="dxa"/>
            <w:tcBorders>
              <w:top w:val="nil"/>
              <w:left w:val="nil"/>
              <w:bottom w:val="nil"/>
              <w:right w:val="nil"/>
            </w:tcBorders>
          </w:tcPr>
          <w:p w14:paraId="3D3F2B4D" w14:textId="77777777" w:rsidR="000D40C1" w:rsidRPr="00AD5289" w:rsidRDefault="000D40C1" w:rsidP="00AD5289">
            <w:pPr>
              <w:spacing w:line="360" w:lineRule="auto"/>
              <w:jc w:val="both"/>
              <w:rPr>
                <w:rFonts w:ascii="Book Antiqua" w:hAnsi="Book Antiqua"/>
                <w:lang w:val="en-US"/>
              </w:rPr>
            </w:pPr>
          </w:p>
        </w:tc>
        <w:tc>
          <w:tcPr>
            <w:tcW w:w="2174" w:type="dxa"/>
            <w:tcBorders>
              <w:top w:val="nil"/>
              <w:left w:val="nil"/>
              <w:bottom w:val="nil"/>
              <w:right w:val="nil"/>
            </w:tcBorders>
          </w:tcPr>
          <w:p w14:paraId="3B6D0150"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Role physical</w:t>
            </w:r>
          </w:p>
        </w:tc>
        <w:tc>
          <w:tcPr>
            <w:tcW w:w="1843" w:type="dxa"/>
            <w:tcBorders>
              <w:top w:val="nil"/>
              <w:left w:val="nil"/>
              <w:bottom w:val="nil"/>
              <w:right w:val="nil"/>
            </w:tcBorders>
          </w:tcPr>
          <w:p w14:paraId="5FD839D2" w14:textId="538D4838"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54.4 (49.0</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59.7)</w:t>
            </w:r>
          </w:p>
        </w:tc>
        <w:tc>
          <w:tcPr>
            <w:tcW w:w="992" w:type="dxa"/>
            <w:tcBorders>
              <w:top w:val="nil"/>
              <w:left w:val="nil"/>
              <w:bottom w:val="nil"/>
              <w:right w:val="nil"/>
            </w:tcBorders>
          </w:tcPr>
          <w:p w14:paraId="052F0C61" w14:textId="7961DF55"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3DE47722" w14:textId="6E187BAF"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-1.2 (-6.2</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3.8)</w:t>
            </w:r>
          </w:p>
        </w:tc>
        <w:tc>
          <w:tcPr>
            <w:tcW w:w="1118" w:type="dxa"/>
            <w:tcBorders>
              <w:top w:val="nil"/>
              <w:left w:val="nil"/>
              <w:bottom w:val="nil"/>
              <w:right w:val="nil"/>
            </w:tcBorders>
          </w:tcPr>
          <w:p w14:paraId="00BB1584"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0.64</w:t>
            </w:r>
          </w:p>
        </w:tc>
      </w:tr>
      <w:tr w:rsidR="000D40C1" w:rsidRPr="00AD5289" w14:paraId="2BF7841A" w14:textId="77777777" w:rsidTr="00A60A68">
        <w:tc>
          <w:tcPr>
            <w:tcW w:w="236" w:type="dxa"/>
            <w:tcBorders>
              <w:top w:val="nil"/>
              <w:left w:val="nil"/>
              <w:bottom w:val="nil"/>
              <w:right w:val="nil"/>
            </w:tcBorders>
          </w:tcPr>
          <w:p w14:paraId="26CC7FE6" w14:textId="77777777" w:rsidR="000D40C1" w:rsidRPr="00AD5289" w:rsidRDefault="000D40C1" w:rsidP="00AD5289">
            <w:pPr>
              <w:spacing w:line="360" w:lineRule="auto"/>
              <w:jc w:val="both"/>
              <w:rPr>
                <w:rFonts w:ascii="Book Antiqua" w:hAnsi="Book Antiqua"/>
                <w:lang w:val="en-US"/>
              </w:rPr>
            </w:pPr>
          </w:p>
        </w:tc>
        <w:tc>
          <w:tcPr>
            <w:tcW w:w="2174" w:type="dxa"/>
            <w:tcBorders>
              <w:top w:val="nil"/>
              <w:left w:val="nil"/>
              <w:bottom w:val="nil"/>
              <w:right w:val="nil"/>
            </w:tcBorders>
          </w:tcPr>
          <w:p w14:paraId="0E5370FD"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Bodily pain</w:t>
            </w:r>
          </w:p>
        </w:tc>
        <w:tc>
          <w:tcPr>
            <w:tcW w:w="1843" w:type="dxa"/>
            <w:tcBorders>
              <w:top w:val="nil"/>
              <w:left w:val="nil"/>
              <w:bottom w:val="nil"/>
              <w:right w:val="nil"/>
            </w:tcBorders>
          </w:tcPr>
          <w:p w14:paraId="32224E40" w14:textId="3C4DE5A1"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36.5 (33.4</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39.6)</w:t>
            </w:r>
          </w:p>
        </w:tc>
        <w:tc>
          <w:tcPr>
            <w:tcW w:w="992" w:type="dxa"/>
            <w:tcBorders>
              <w:top w:val="nil"/>
              <w:left w:val="nil"/>
              <w:bottom w:val="nil"/>
              <w:right w:val="nil"/>
            </w:tcBorders>
          </w:tcPr>
          <w:p w14:paraId="6920AF26" w14:textId="3AC1B8BD"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6FD4B0E7" w14:textId="136F3179"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-0.4 (-3.3</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2.6)</w:t>
            </w:r>
          </w:p>
        </w:tc>
        <w:tc>
          <w:tcPr>
            <w:tcW w:w="1118" w:type="dxa"/>
            <w:tcBorders>
              <w:top w:val="nil"/>
              <w:left w:val="nil"/>
              <w:bottom w:val="nil"/>
              <w:right w:val="nil"/>
            </w:tcBorders>
          </w:tcPr>
          <w:p w14:paraId="4D936E33"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0.80</w:t>
            </w:r>
          </w:p>
        </w:tc>
      </w:tr>
      <w:tr w:rsidR="000D40C1" w:rsidRPr="00AD5289" w14:paraId="31BCC516" w14:textId="77777777" w:rsidTr="00A60A68">
        <w:tc>
          <w:tcPr>
            <w:tcW w:w="236" w:type="dxa"/>
            <w:tcBorders>
              <w:top w:val="nil"/>
              <w:left w:val="nil"/>
              <w:bottom w:val="nil"/>
              <w:right w:val="nil"/>
            </w:tcBorders>
          </w:tcPr>
          <w:p w14:paraId="5193B0A9" w14:textId="77777777" w:rsidR="000D40C1" w:rsidRPr="00AD5289" w:rsidRDefault="000D40C1" w:rsidP="00AD5289">
            <w:pPr>
              <w:spacing w:line="360" w:lineRule="auto"/>
              <w:jc w:val="both"/>
              <w:rPr>
                <w:rFonts w:ascii="Book Antiqua" w:hAnsi="Book Antiqua"/>
                <w:lang w:val="en-US"/>
              </w:rPr>
            </w:pPr>
          </w:p>
        </w:tc>
        <w:tc>
          <w:tcPr>
            <w:tcW w:w="2174" w:type="dxa"/>
            <w:tcBorders>
              <w:top w:val="nil"/>
              <w:left w:val="nil"/>
              <w:bottom w:val="nil"/>
              <w:right w:val="nil"/>
            </w:tcBorders>
          </w:tcPr>
          <w:p w14:paraId="29ED2DB8"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Social functioning</w:t>
            </w:r>
          </w:p>
        </w:tc>
        <w:tc>
          <w:tcPr>
            <w:tcW w:w="1843" w:type="dxa"/>
            <w:tcBorders>
              <w:top w:val="nil"/>
              <w:left w:val="nil"/>
              <w:bottom w:val="nil"/>
              <w:right w:val="nil"/>
            </w:tcBorders>
          </w:tcPr>
          <w:p w14:paraId="0AFFBC05" w14:textId="2BC9BC96"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22.8 (19.5</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26.0)</w:t>
            </w:r>
          </w:p>
        </w:tc>
        <w:tc>
          <w:tcPr>
            <w:tcW w:w="992" w:type="dxa"/>
            <w:tcBorders>
              <w:top w:val="nil"/>
              <w:left w:val="nil"/>
              <w:bottom w:val="nil"/>
              <w:right w:val="nil"/>
            </w:tcBorders>
          </w:tcPr>
          <w:p w14:paraId="0FDCCCEF" w14:textId="34D9040D"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596565DC" w14:textId="755480DC"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-0.9 (-3.5</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1.7)</w:t>
            </w:r>
          </w:p>
        </w:tc>
        <w:tc>
          <w:tcPr>
            <w:tcW w:w="1118" w:type="dxa"/>
            <w:tcBorders>
              <w:top w:val="nil"/>
              <w:left w:val="nil"/>
              <w:bottom w:val="nil"/>
              <w:right w:val="nil"/>
            </w:tcBorders>
          </w:tcPr>
          <w:p w14:paraId="220194F8"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0.49</w:t>
            </w:r>
          </w:p>
        </w:tc>
      </w:tr>
      <w:tr w:rsidR="000D40C1" w:rsidRPr="00AD5289" w14:paraId="53C30D90" w14:textId="77777777" w:rsidTr="00A60A68">
        <w:tc>
          <w:tcPr>
            <w:tcW w:w="236" w:type="dxa"/>
            <w:tcBorders>
              <w:top w:val="nil"/>
              <w:left w:val="nil"/>
              <w:bottom w:val="nil"/>
              <w:right w:val="nil"/>
            </w:tcBorders>
          </w:tcPr>
          <w:p w14:paraId="31E1B269" w14:textId="77777777" w:rsidR="000D40C1" w:rsidRPr="00AD5289" w:rsidRDefault="000D40C1" w:rsidP="00AD5289">
            <w:pPr>
              <w:spacing w:line="360" w:lineRule="auto"/>
              <w:jc w:val="both"/>
              <w:rPr>
                <w:rFonts w:ascii="Book Antiqua" w:hAnsi="Book Antiqua"/>
                <w:lang w:val="en-US"/>
              </w:rPr>
            </w:pPr>
          </w:p>
        </w:tc>
        <w:tc>
          <w:tcPr>
            <w:tcW w:w="2174" w:type="dxa"/>
            <w:tcBorders>
              <w:top w:val="nil"/>
              <w:left w:val="nil"/>
              <w:bottom w:val="nil"/>
              <w:right w:val="nil"/>
            </w:tcBorders>
          </w:tcPr>
          <w:p w14:paraId="3A8642AE"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Mental health</w:t>
            </w:r>
          </w:p>
        </w:tc>
        <w:tc>
          <w:tcPr>
            <w:tcW w:w="1843" w:type="dxa"/>
            <w:tcBorders>
              <w:top w:val="nil"/>
              <w:left w:val="nil"/>
              <w:bottom w:val="nil"/>
              <w:right w:val="nil"/>
            </w:tcBorders>
          </w:tcPr>
          <w:p w14:paraId="4BB8F390" w14:textId="45E064DE"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6.1 (4.1</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8.1)</w:t>
            </w:r>
          </w:p>
        </w:tc>
        <w:tc>
          <w:tcPr>
            <w:tcW w:w="992" w:type="dxa"/>
            <w:tcBorders>
              <w:top w:val="nil"/>
              <w:left w:val="nil"/>
              <w:bottom w:val="nil"/>
              <w:right w:val="nil"/>
            </w:tcBorders>
          </w:tcPr>
          <w:p w14:paraId="1164B9CD" w14:textId="047D34F4"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77CB38B7" w14:textId="4C8A76AF"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-0.7 (-2.4</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1.1)</w:t>
            </w:r>
          </w:p>
        </w:tc>
        <w:tc>
          <w:tcPr>
            <w:tcW w:w="1118" w:type="dxa"/>
            <w:tcBorders>
              <w:top w:val="nil"/>
              <w:left w:val="nil"/>
              <w:bottom w:val="nil"/>
              <w:right w:val="nil"/>
            </w:tcBorders>
          </w:tcPr>
          <w:p w14:paraId="4A4BA9EF"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0.45</w:t>
            </w:r>
          </w:p>
        </w:tc>
      </w:tr>
      <w:tr w:rsidR="000D40C1" w:rsidRPr="00AD5289" w14:paraId="458F78BE" w14:textId="77777777" w:rsidTr="00A60A68">
        <w:tc>
          <w:tcPr>
            <w:tcW w:w="236" w:type="dxa"/>
            <w:tcBorders>
              <w:top w:val="nil"/>
              <w:left w:val="nil"/>
              <w:bottom w:val="nil"/>
              <w:right w:val="nil"/>
            </w:tcBorders>
          </w:tcPr>
          <w:p w14:paraId="7CEC420C" w14:textId="77777777" w:rsidR="000D40C1" w:rsidRPr="00AD5289" w:rsidRDefault="000D40C1" w:rsidP="00AD5289">
            <w:pPr>
              <w:spacing w:line="360" w:lineRule="auto"/>
              <w:jc w:val="both"/>
              <w:rPr>
                <w:rFonts w:ascii="Book Antiqua" w:hAnsi="Book Antiqua"/>
                <w:lang w:val="en-US"/>
              </w:rPr>
            </w:pPr>
          </w:p>
        </w:tc>
        <w:tc>
          <w:tcPr>
            <w:tcW w:w="2174" w:type="dxa"/>
            <w:tcBorders>
              <w:top w:val="nil"/>
              <w:left w:val="nil"/>
              <w:bottom w:val="nil"/>
              <w:right w:val="nil"/>
            </w:tcBorders>
          </w:tcPr>
          <w:p w14:paraId="0EAEC66A"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Role emotional</w:t>
            </w:r>
          </w:p>
        </w:tc>
        <w:tc>
          <w:tcPr>
            <w:tcW w:w="1843" w:type="dxa"/>
            <w:tcBorders>
              <w:top w:val="nil"/>
              <w:left w:val="nil"/>
              <w:bottom w:val="nil"/>
              <w:right w:val="nil"/>
            </w:tcBorders>
          </w:tcPr>
          <w:p w14:paraId="61FE9451" w14:textId="76F7EFD6"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23.3 (18.1</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28.5)</w:t>
            </w:r>
          </w:p>
        </w:tc>
        <w:tc>
          <w:tcPr>
            <w:tcW w:w="992" w:type="dxa"/>
            <w:tcBorders>
              <w:top w:val="nil"/>
              <w:left w:val="nil"/>
              <w:bottom w:val="nil"/>
              <w:right w:val="nil"/>
            </w:tcBorders>
          </w:tcPr>
          <w:p w14:paraId="7E8CD006" w14:textId="52651A0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7EF2FBCC" w14:textId="20B8E3E6"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0.0 (-4.4</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4.5)</w:t>
            </w:r>
          </w:p>
        </w:tc>
        <w:tc>
          <w:tcPr>
            <w:tcW w:w="1118" w:type="dxa"/>
            <w:tcBorders>
              <w:top w:val="nil"/>
              <w:left w:val="nil"/>
              <w:bottom w:val="nil"/>
              <w:right w:val="nil"/>
            </w:tcBorders>
          </w:tcPr>
          <w:p w14:paraId="4AB2B9D2"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1.00</w:t>
            </w:r>
          </w:p>
        </w:tc>
      </w:tr>
      <w:tr w:rsidR="000D40C1" w:rsidRPr="00AD5289" w14:paraId="7B1F3EFE" w14:textId="77777777" w:rsidTr="00A60A68">
        <w:tc>
          <w:tcPr>
            <w:tcW w:w="236" w:type="dxa"/>
            <w:tcBorders>
              <w:top w:val="nil"/>
              <w:left w:val="nil"/>
              <w:bottom w:val="nil"/>
              <w:right w:val="nil"/>
            </w:tcBorders>
          </w:tcPr>
          <w:p w14:paraId="2C17E77E" w14:textId="77777777" w:rsidR="000D40C1" w:rsidRPr="00AD5289" w:rsidRDefault="000D40C1" w:rsidP="00AD5289">
            <w:pPr>
              <w:spacing w:line="360" w:lineRule="auto"/>
              <w:jc w:val="both"/>
              <w:rPr>
                <w:rFonts w:ascii="Book Antiqua" w:hAnsi="Book Antiqua"/>
                <w:lang w:val="en-US"/>
              </w:rPr>
            </w:pPr>
          </w:p>
        </w:tc>
        <w:tc>
          <w:tcPr>
            <w:tcW w:w="2174" w:type="dxa"/>
            <w:tcBorders>
              <w:top w:val="nil"/>
              <w:left w:val="nil"/>
              <w:bottom w:val="nil"/>
              <w:right w:val="nil"/>
            </w:tcBorders>
          </w:tcPr>
          <w:p w14:paraId="2C1897C7"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Vitality</w:t>
            </w:r>
          </w:p>
        </w:tc>
        <w:tc>
          <w:tcPr>
            <w:tcW w:w="1843" w:type="dxa"/>
            <w:tcBorders>
              <w:top w:val="nil"/>
              <w:left w:val="nil"/>
              <w:bottom w:val="nil"/>
              <w:right w:val="nil"/>
            </w:tcBorders>
          </w:tcPr>
          <w:p w14:paraId="46838050" w14:textId="700BAB78"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10.8 (8.5</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13.1)</w:t>
            </w:r>
          </w:p>
        </w:tc>
        <w:tc>
          <w:tcPr>
            <w:tcW w:w="992" w:type="dxa"/>
            <w:tcBorders>
              <w:top w:val="nil"/>
              <w:left w:val="nil"/>
              <w:bottom w:val="nil"/>
              <w:right w:val="nil"/>
            </w:tcBorders>
          </w:tcPr>
          <w:p w14:paraId="3DDE60CB" w14:textId="0BA470E3"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&lt;</w:t>
            </w:r>
            <w:r w:rsidR="00967A40" w:rsidRPr="00AD5289">
              <w:rPr>
                <w:rFonts w:ascii="Book Antiqua" w:hAnsi="Book Antiqua"/>
                <w:lang w:val="en-US"/>
              </w:rPr>
              <w:t xml:space="preserve"> </w:t>
            </w:r>
            <w:r w:rsidRPr="00AD5289">
              <w:rPr>
                <w:rFonts w:ascii="Book Antiqua" w:hAnsi="Book Antiqua"/>
                <w:lang w:val="en-US"/>
              </w:rPr>
              <w:t>0.001</w:t>
            </w:r>
          </w:p>
        </w:tc>
        <w:tc>
          <w:tcPr>
            <w:tcW w:w="1984" w:type="dxa"/>
            <w:tcBorders>
              <w:top w:val="nil"/>
              <w:left w:val="nil"/>
              <w:bottom w:val="nil"/>
              <w:right w:val="nil"/>
            </w:tcBorders>
          </w:tcPr>
          <w:p w14:paraId="4536ECD0" w14:textId="0ABE0E49"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-0.6 (-2.6</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1.4)</w:t>
            </w:r>
          </w:p>
        </w:tc>
        <w:tc>
          <w:tcPr>
            <w:tcW w:w="1118" w:type="dxa"/>
            <w:tcBorders>
              <w:top w:val="nil"/>
              <w:left w:val="nil"/>
              <w:bottom w:val="nil"/>
              <w:right w:val="nil"/>
            </w:tcBorders>
          </w:tcPr>
          <w:p w14:paraId="6727C0E0"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0.56</w:t>
            </w:r>
          </w:p>
        </w:tc>
      </w:tr>
      <w:tr w:rsidR="000D40C1" w:rsidRPr="00AD5289" w14:paraId="369717DB" w14:textId="77777777" w:rsidTr="00A60A68">
        <w:tc>
          <w:tcPr>
            <w:tcW w:w="236" w:type="dxa"/>
            <w:tcBorders>
              <w:top w:val="nil"/>
              <w:left w:val="nil"/>
              <w:bottom w:val="single" w:sz="4" w:space="0" w:color="auto"/>
              <w:right w:val="nil"/>
            </w:tcBorders>
          </w:tcPr>
          <w:p w14:paraId="78C08C82" w14:textId="77777777" w:rsidR="000D40C1" w:rsidRPr="00AD5289" w:rsidRDefault="000D40C1" w:rsidP="00AD5289">
            <w:pPr>
              <w:spacing w:line="360" w:lineRule="auto"/>
              <w:jc w:val="both"/>
              <w:rPr>
                <w:rFonts w:ascii="Book Antiqua" w:hAnsi="Book Antiqua"/>
                <w:lang w:val="en-US"/>
              </w:rPr>
            </w:pPr>
          </w:p>
        </w:tc>
        <w:tc>
          <w:tcPr>
            <w:tcW w:w="2174" w:type="dxa"/>
            <w:tcBorders>
              <w:top w:val="nil"/>
              <w:left w:val="nil"/>
              <w:bottom w:val="single" w:sz="4" w:space="0" w:color="auto"/>
              <w:right w:val="nil"/>
            </w:tcBorders>
          </w:tcPr>
          <w:p w14:paraId="0DDB4959"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General health perceptions</w:t>
            </w:r>
          </w:p>
        </w:tc>
        <w:tc>
          <w:tcPr>
            <w:tcW w:w="1843" w:type="dxa"/>
            <w:tcBorders>
              <w:top w:val="nil"/>
              <w:left w:val="nil"/>
              <w:bottom w:val="single" w:sz="4" w:space="0" w:color="auto"/>
              <w:right w:val="nil"/>
            </w:tcBorders>
          </w:tcPr>
          <w:p w14:paraId="30998106" w14:textId="3836CB61"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2.4 (0.3</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4.6)</w:t>
            </w:r>
          </w:p>
        </w:tc>
        <w:tc>
          <w:tcPr>
            <w:tcW w:w="992" w:type="dxa"/>
            <w:tcBorders>
              <w:top w:val="nil"/>
              <w:left w:val="nil"/>
              <w:bottom w:val="single" w:sz="4" w:space="0" w:color="auto"/>
              <w:right w:val="nil"/>
            </w:tcBorders>
          </w:tcPr>
          <w:p w14:paraId="0BF784AC"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0.03</w:t>
            </w:r>
          </w:p>
        </w:tc>
        <w:tc>
          <w:tcPr>
            <w:tcW w:w="1984" w:type="dxa"/>
            <w:tcBorders>
              <w:top w:val="nil"/>
              <w:left w:val="nil"/>
              <w:bottom w:val="single" w:sz="4" w:space="0" w:color="auto"/>
              <w:right w:val="nil"/>
            </w:tcBorders>
          </w:tcPr>
          <w:p w14:paraId="4A821855" w14:textId="29251F4F"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0.1 (-1.7</w:t>
            </w:r>
            <w:r w:rsidR="00244B89">
              <w:rPr>
                <w:rFonts w:ascii="Book Antiqua" w:hAnsi="Book Antiqua"/>
                <w:lang w:val="en-US"/>
              </w:rPr>
              <w:t>,</w:t>
            </w:r>
            <w:r w:rsidR="00244B89" w:rsidRPr="00AD5289">
              <w:rPr>
                <w:rFonts w:ascii="Book Antiqua" w:hAnsi="Book Antiqua"/>
                <w:lang w:val="en-US"/>
              </w:rPr>
              <w:t xml:space="preserve"> </w:t>
            </w:r>
            <w:r w:rsidRPr="00AD5289">
              <w:rPr>
                <w:rFonts w:ascii="Book Antiqua" w:hAnsi="Book Antiqua"/>
                <w:lang w:val="en-US"/>
              </w:rPr>
              <w:t>1.8)</w:t>
            </w:r>
          </w:p>
        </w:tc>
        <w:tc>
          <w:tcPr>
            <w:tcW w:w="1118" w:type="dxa"/>
            <w:tcBorders>
              <w:top w:val="nil"/>
              <w:left w:val="nil"/>
              <w:bottom w:val="single" w:sz="4" w:space="0" w:color="auto"/>
              <w:right w:val="nil"/>
            </w:tcBorders>
          </w:tcPr>
          <w:p w14:paraId="7BEC62CC" w14:textId="77777777" w:rsidR="000D40C1" w:rsidRPr="00AD5289" w:rsidRDefault="000D40C1" w:rsidP="00AD5289">
            <w:pPr>
              <w:spacing w:line="360" w:lineRule="auto"/>
              <w:jc w:val="both"/>
              <w:rPr>
                <w:rFonts w:ascii="Book Antiqua" w:hAnsi="Book Antiqua"/>
                <w:lang w:val="en-US"/>
              </w:rPr>
            </w:pPr>
            <w:r w:rsidRPr="00AD5289">
              <w:rPr>
                <w:rFonts w:ascii="Book Antiqua" w:hAnsi="Book Antiqua"/>
                <w:lang w:val="en-US"/>
              </w:rPr>
              <w:t>0.95</w:t>
            </w:r>
          </w:p>
        </w:tc>
      </w:tr>
    </w:tbl>
    <w:p w14:paraId="70B9E813" w14:textId="4B6E6E1A" w:rsidR="004A5BAC" w:rsidRPr="00AD5289" w:rsidRDefault="00C10258" w:rsidP="00C768FA">
      <w:pPr>
        <w:spacing w:line="360" w:lineRule="auto"/>
        <w:jc w:val="both"/>
        <w:rPr>
          <w:rFonts w:ascii="Book Antiqua" w:hAnsi="Book Antiqua"/>
        </w:rPr>
      </w:pPr>
      <w:r w:rsidRPr="00AD5289">
        <w:rPr>
          <w:rFonts w:ascii="Book Antiqua" w:hAnsi="Book Antiqua"/>
          <w:vertAlign w:val="superscript"/>
        </w:rPr>
        <w:t>1</w:t>
      </w:r>
      <w:r w:rsidR="00685059" w:rsidRPr="00AD5289">
        <w:rPr>
          <w:rFonts w:ascii="Book Antiqua" w:hAnsi="Book Antiqua"/>
          <w:iCs/>
        </w:rPr>
        <w:t>Mixed model analysis</w:t>
      </w:r>
      <w:r w:rsidRPr="00AD5289">
        <w:rPr>
          <w:rFonts w:ascii="Book Antiqua" w:hAnsi="Book Antiqua"/>
          <w:iCs/>
        </w:rPr>
        <w:t>.</w:t>
      </w:r>
      <w:r w:rsidR="00121371" w:rsidRPr="00AD5289">
        <w:rPr>
          <w:rFonts w:ascii="Book Antiqua" w:hAnsi="Book Antiqua"/>
          <w:i/>
          <w:iCs/>
          <w:lang w:eastAsia="zh-CN"/>
        </w:rPr>
        <w:t xml:space="preserve"> </w:t>
      </w:r>
      <w:r w:rsidR="00D84F63" w:rsidRPr="00AD5289">
        <w:rPr>
          <w:rFonts w:ascii="Book Antiqua" w:hAnsi="Book Antiqua"/>
          <w:iCs/>
        </w:rPr>
        <w:t>ADL: Activities in daily living</w:t>
      </w:r>
      <w:r w:rsidR="00D84F63">
        <w:rPr>
          <w:rFonts w:ascii="Book Antiqua" w:hAnsi="Book Antiqua"/>
          <w:iCs/>
        </w:rPr>
        <w:t xml:space="preserve">; CI: Confidence interval; </w:t>
      </w:r>
      <w:bookmarkStart w:id="432" w:name="OLE_LINK7892"/>
      <w:bookmarkStart w:id="433" w:name="OLE_LINK7893"/>
      <w:r w:rsidR="00685059" w:rsidRPr="00AD5289">
        <w:rPr>
          <w:rFonts w:ascii="Book Antiqua" w:hAnsi="Book Antiqua"/>
          <w:iCs/>
        </w:rPr>
        <w:t>HOOS</w:t>
      </w:r>
      <w:r w:rsidR="00967A40" w:rsidRPr="00AD5289">
        <w:rPr>
          <w:rFonts w:ascii="Book Antiqua" w:hAnsi="Book Antiqua"/>
          <w:iCs/>
        </w:rPr>
        <w:t>:</w:t>
      </w:r>
      <w:r w:rsidR="00685059" w:rsidRPr="00AD5289">
        <w:rPr>
          <w:rFonts w:ascii="Book Antiqua" w:hAnsi="Book Antiqua"/>
          <w:iCs/>
        </w:rPr>
        <w:t xml:space="preserve"> Hip Disability and Osteoarthritis Outcome Score</w:t>
      </w:r>
      <w:r w:rsidR="00967A40" w:rsidRPr="00AD5289">
        <w:rPr>
          <w:rFonts w:ascii="Book Antiqua" w:hAnsi="Book Antiqua"/>
          <w:iCs/>
        </w:rPr>
        <w:t>;</w:t>
      </w:r>
      <w:bookmarkEnd w:id="432"/>
      <w:bookmarkEnd w:id="433"/>
      <w:r w:rsidR="00685059" w:rsidRPr="00AD5289">
        <w:rPr>
          <w:rFonts w:ascii="Book Antiqua" w:hAnsi="Book Antiqua"/>
          <w:iCs/>
        </w:rPr>
        <w:t xml:space="preserve"> SF-36</w:t>
      </w:r>
      <w:r w:rsidR="00967A40" w:rsidRPr="00AD5289">
        <w:rPr>
          <w:rFonts w:ascii="Book Antiqua" w:hAnsi="Book Antiqua"/>
          <w:iCs/>
        </w:rPr>
        <w:t>:</w:t>
      </w:r>
      <w:r w:rsidR="00685059" w:rsidRPr="00AD5289">
        <w:rPr>
          <w:rFonts w:ascii="Book Antiqua" w:hAnsi="Book Antiqua"/>
          <w:iCs/>
        </w:rPr>
        <w:t xml:space="preserve"> 36-item</w:t>
      </w:r>
      <w:r w:rsidR="00FF4AC1" w:rsidRPr="00AD5289">
        <w:rPr>
          <w:rFonts w:ascii="Book Antiqua" w:hAnsi="Book Antiqua"/>
          <w:iCs/>
        </w:rPr>
        <w:t xml:space="preserve"> short form survey</w:t>
      </w:r>
      <w:r w:rsidR="00967A40" w:rsidRPr="00AD5289">
        <w:rPr>
          <w:rFonts w:ascii="Book Antiqua" w:hAnsi="Book Antiqua"/>
          <w:iCs/>
        </w:rPr>
        <w:t>.</w:t>
      </w:r>
    </w:p>
    <w:sectPr w:rsidR="004A5BAC" w:rsidRPr="00AD5289" w:rsidSect="00FE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79C8" w14:textId="77777777" w:rsidR="0043204C" w:rsidRDefault="0043204C" w:rsidP="00710996">
      <w:r>
        <w:separator/>
      </w:r>
    </w:p>
  </w:endnote>
  <w:endnote w:type="continuationSeparator" w:id="0">
    <w:p w14:paraId="79E02197" w14:textId="77777777" w:rsidR="0043204C" w:rsidRDefault="0043204C" w:rsidP="0071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7515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757548A" w14:textId="1FDF8AAD" w:rsidR="00364DBF" w:rsidRPr="00364DBF" w:rsidRDefault="00364DBF" w:rsidP="00AD5289">
            <w:pPr>
              <w:pStyle w:val="Footer"/>
              <w:jc w:val="right"/>
              <w:rPr>
                <w:rFonts w:ascii="Book Antiqua" w:hAnsi="Book Antiqua"/>
                <w:sz w:val="24"/>
                <w:szCs w:val="24"/>
              </w:rPr>
            </w:pPr>
            <w:r w:rsidRPr="00AD5289">
              <w:rPr>
                <w:rFonts w:ascii="Book Antiqua" w:hAnsi="Book Antiqua"/>
                <w:sz w:val="24"/>
                <w:szCs w:val="24"/>
              </w:rPr>
              <w:fldChar w:fldCharType="begin"/>
            </w:r>
            <w:r w:rsidRPr="00AD5289">
              <w:rPr>
                <w:rFonts w:ascii="Book Antiqua" w:hAnsi="Book Antiqua"/>
                <w:sz w:val="24"/>
                <w:szCs w:val="24"/>
              </w:rPr>
              <w:instrText>PAGE</w:instrText>
            </w:r>
            <w:r w:rsidRPr="00AD5289">
              <w:rPr>
                <w:rFonts w:ascii="Book Antiqua" w:hAnsi="Book Antiqua"/>
                <w:sz w:val="24"/>
                <w:szCs w:val="24"/>
              </w:rPr>
              <w:fldChar w:fldCharType="separate"/>
            </w:r>
            <w:r w:rsidR="00641A7D" w:rsidRPr="00AD5289">
              <w:rPr>
                <w:rFonts w:ascii="Book Antiqua" w:hAnsi="Book Antiqua"/>
                <w:noProof/>
                <w:sz w:val="24"/>
                <w:szCs w:val="24"/>
              </w:rPr>
              <w:t>5</w:t>
            </w:r>
            <w:r w:rsidRPr="00AD5289">
              <w:rPr>
                <w:rFonts w:ascii="Book Antiqua" w:hAnsi="Book Antiqua"/>
                <w:sz w:val="24"/>
                <w:szCs w:val="24"/>
              </w:rPr>
              <w:fldChar w:fldCharType="end"/>
            </w:r>
            <w:r w:rsidRPr="00AD5289">
              <w:rPr>
                <w:rFonts w:ascii="Book Antiqua" w:hAnsi="Book Antiqua"/>
                <w:sz w:val="24"/>
                <w:szCs w:val="24"/>
                <w:lang w:val="zh-CN" w:eastAsia="zh-CN"/>
              </w:rPr>
              <w:t xml:space="preserve"> / </w:t>
            </w:r>
            <w:r w:rsidRPr="00AD5289">
              <w:rPr>
                <w:rFonts w:ascii="Book Antiqua" w:hAnsi="Book Antiqua"/>
                <w:sz w:val="24"/>
                <w:szCs w:val="24"/>
              </w:rPr>
              <w:fldChar w:fldCharType="begin"/>
            </w:r>
            <w:r w:rsidRPr="00AD5289">
              <w:rPr>
                <w:rFonts w:ascii="Book Antiqua" w:hAnsi="Book Antiqua"/>
                <w:sz w:val="24"/>
                <w:szCs w:val="24"/>
              </w:rPr>
              <w:instrText>NUMPAGES</w:instrText>
            </w:r>
            <w:r w:rsidRPr="00AD5289">
              <w:rPr>
                <w:rFonts w:ascii="Book Antiqua" w:hAnsi="Book Antiqua"/>
                <w:sz w:val="24"/>
                <w:szCs w:val="24"/>
              </w:rPr>
              <w:fldChar w:fldCharType="separate"/>
            </w:r>
            <w:r w:rsidR="00641A7D" w:rsidRPr="00AD5289">
              <w:rPr>
                <w:rFonts w:ascii="Book Antiqua" w:hAnsi="Book Antiqua"/>
                <w:noProof/>
                <w:sz w:val="24"/>
                <w:szCs w:val="24"/>
              </w:rPr>
              <w:t>25</w:t>
            </w:r>
            <w:r w:rsidRPr="00AD5289">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8B53" w14:textId="77777777" w:rsidR="0043204C" w:rsidRDefault="0043204C" w:rsidP="00710996">
      <w:r>
        <w:separator/>
      </w:r>
    </w:p>
  </w:footnote>
  <w:footnote w:type="continuationSeparator" w:id="0">
    <w:p w14:paraId="1182C92C" w14:textId="77777777" w:rsidR="0043204C" w:rsidRDefault="0043204C" w:rsidP="0071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activeWritingStyle w:appName="MSWord" w:lang="nl-NL"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nl-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AB0"/>
    <w:rsid w:val="0000756B"/>
    <w:rsid w:val="00011566"/>
    <w:rsid w:val="00042AD8"/>
    <w:rsid w:val="00065383"/>
    <w:rsid w:val="00077212"/>
    <w:rsid w:val="00084039"/>
    <w:rsid w:val="000C3F10"/>
    <w:rsid w:val="000D40C1"/>
    <w:rsid w:val="000D4994"/>
    <w:rsid w:val="000E4CC5"/>
    <w:rsid w:val="000E6BED"/>
    <w:rsid w:val="000F4505"/>
    <w:rsid w:val="00121371"/>
    <w:rsid w:val="00142E1D"/>
    <w:rsid w:val="001477B9"/>
    <w:rsid w:val="00147D2F"/>
    <w:rsid w:val="001A7E75"/>
    <w:rsid w:val="001B541E"/>
    <w:rsid w:val="001C6029"/>
    <w:rsid w:val="001E4272"/>
    <w:rsid w:val="001E5B02"/>
    <w:rsid w:val="0022315A"/>
    <w:rsid w:val="00227634"/>
    <w:rsid w:val="002407FA"/>
    <w:rsid w:val="00244B89"/>
    <w:rsid w:val="00254303"/>
    <w:rsid w:val="00272750"/>
    <w:rsid w:val="00272D94"/>
    <w:rsid w:val="00293051"/>
    <w:rsid w:val="00295788"/>
    <w:rsid w:val="002A1A66"/>
    <w:rsid w:val="002B2E92"/>
    <w:rsid w:val="002B7E5B"/>
    <w:rsid w:val="002D24E0"/>
    <w:rsid w:val="003270BF"/>
    <w:rsid w:val="00334770"/>
    <w:rsid w:val="00363A84"/>
    <w:rsid w:val="00364DBF"/>
    <w:rsid w:val="00371FB8"/>
    <w:rsid w:val="003752DE"/>
    <w:rsid w:val="00375EBD"/>
    <w:rsid w:val="00382960"/>
    <w:rsid w:val="00390330"/>
    <w:rsid w:val="003970A8"/>
    <w:rsid w:val="003B6237"/>
    <w:rsid w:val="003C2DC5"/>
    <w:rsid w:val="003D3B51"/>
    <w:rsid w:val="003D796D"/>
    <w:rsid w:val="003F4DD2"/>
    <w:rsid w:val="00403D4E"/>
    <w:rsid w:val="00411817"/>
    <w:rsid w:val="00421A92"/>
    <w:rsid w:val="00424A8F"/>
    <w:rsid w:val="00424EA4"/>
    <w:rsid w:val="0042603C"/>
    <w:rsid w:val="0043204C"/>
    <w:rsid w:val="00434D4F"/>
    <w:rsid w:val="00447E1A"/>
    <w:rsid w:val="00482632"/>
    <w:rsid w:val="00491DB5"/>
    <w:rsid w:val="0049764D"/>
    <w:rsid w:val="004A5BAC"/>
    <w:rsid w:val="004A700D"/>
    <w:rsid w:val="004B0909"/>
    <w:rsid w:val="004C1E07"/>
    <w:rsid w:val="004C35CB"/>
    <w:rsid w:val="004D21B3"/>
    <w:rsid w:val="004E191E"/>
    <w:rsid w:val="004E341F"/>
    <w:rsid w:val="00512C0B"/>
    <w:rsid w:val="00525EA6"/>
    <w:rsid w:val="00530C2E"/>
    <w:rsid w:val="005317C1"/>
    <w:rsid w:val="0053705D"/>
    <w:rsid w:val="00551EDE"/>
    <w:rsid w:val="0055271F"/>
    <w:rsid w:val="00555D6B"/>
    <w:rsid w:val="005747D2"/>
    <w:rsid w:val="005A33E6"/>
    <w:rsid w:val="005B0BAB"/>
    <w:rsid w:val="005B7D4E"/>
    <w:rsid w:val="005C1625"/>
    <w:rsid w:val="005C6BF0"/>
    <w:rsid w:val="005D525D"/>
    <w:rsid w:val="005D77FE"/>
    <w:rsid w:val="005F1998"/>
    <w:rsid w:val="0060045D"/>
    <w:rsid w:val="006039B3"/>
    <w:rsid w:val="006104FF"/>
    <w:rsid w:val="00623FA6"/>
    <w:rsid w:val="00631A3A"/>
    <w:rsid w:val="00633F55"/>
    <w:rsid w:val="00634C1F"/>
    <w:rsid w:val="00641A7D"/>
    <w:rsid w:val="0064300E"/>
    <w:rsid w:val="00645F29"/>
    <w:rsid w:val="00651A89"/>
    <w:rsid w:val="0066697B"/>
    <w:rsid w:val="00685059"/>
    <w:rsid w:val="0068512C"/>
    <w:rsid w:val="00693702"/>
    <w:rsid w:val="006A5391"/>
    <w:rsid w:val="006B211B"/>
    <w:rsid w:val="006D5CFD"/>
    <w:rsid w:val="006F0B78"/>
    <w:rsid w:val="006F3DB3"/>
    <w:rsid w:val="006F78FC"/>
    <w:rsid w:val="0070347D"/>
    <w:rsid w:val="00710996"/>
    <w:rsid w:val="0071259E"/>
    <w:rsid w:val="007168A3"/>
    <w:rsid w:val="00724EA6"/>
    <w:rsid w:val="0072614B"/>
    <w:rsid w:val="007368A0"/>
    <w:rsid w:val="0073794E"/>
    <w:rsid w:val="007414DB"/>
    <w:rsid w:val="00743452"/>
    <w:rsid w:val="007522D9"/>
    <w:rsid w:val="00752E5E"/>
    <w:rsid w:val="00762970"/>
    <w:rsid w:val="0077066E"/>
    <w:rsid w:val="00780CD3"/>
    <w:rsid w:val="00794383"/>
    <w:rsid w:val="007962EB"/>
    <w:rsid w:val="007A6431"/>
    <w:rsid w:val="007A6AD9"/>
    <w:rsid w:val="007C1443"/>
    <w:rsid w:val="007D523E"/>
    <w:rsid w:val="007E33D0"/>
    <w:rsid w:val="007F2597"/>
    <w:rsid w:val="0080465F"/>
    <w:rsid w:val="0081518B"/>
    <w:rsid w:val="00825627"/>
    <w:rsid w:val="00834E90"/>
    <w:rsid w:val="008407FF"/>
    <w:rsid w:val="00846AE3"/>
    <w:rsid w:val="008470B4"/>
    <w:rsid w:val="00886798"/>
    <w:rsid w:val="008A12F2"/>
    <w:rsid w:val="008C72A1"/>
    <w:rsid w:val="008F5237"/>
    <w:rsid w:val="00907E77"/>
    <w:rsid w:val="00920B89"/>
    <w:rsid w:val="00927404"/>
    <w:rsid w:val="009313A3"/>
    <w:rsid w:val="00946695"/>
    <w:rsid w:val="00967A40"/>
    <w:rsid w:val="0097257A"/>
    <w:rsid w:val="00972C57"/>
    <w:rsid w:val="009A57FF"/>
    <w:rsid w:val="009C2DD8"/>
    <w:rsid w:val="009C5A26"/>
    <w:rsid w:val="009D0682"/>
    <w:rsid w:val="009D77F1"/>
    <w:rsid w:val="009E0CA9"/>
    <w:rsid w:val="009E0ED3"/>
    <w:rsid w:val="009E72A5"/>
    <w:rsid w:val="00A23371"/>
    <w:rsid w:val="00A40A08"/>
    <w:rsid w:val="00A66F7C"/>
    <w:rsid w:val="00A707D4"/>
    <w:rsid w:val="00A77B3E"/>
    <w:rsid w:val="00A80DA2"/>
    <w:rsid w:val="00A82F9E"/>
    <w:rsid w:val="00A84EE1"/>
    <w:rsid w:val="00AA2A67"/>
    <w:rsid w:val="00AB006B"/>
    <w:rsid w:val="00AB0DB0"/>
    <w:rsid w:val="00AB2293"/>
    <w:rsid w:val="00AB3ADE"/>
    <w:rsid w:val="00AB46CB"/>
    <w:rsid w:val="00AD1A93"/>
    <w:rsid w:val="00AD5289"/>
    <w:rsid w:val="00AE49BC"/>
    <w:rsid w:val="00AE59B8"/>
    <w:rsid w:val="00AE7F41"/>
    <w:rsid w:val="00B13A0C"/>
    <w:rsid w:val="00B2023E"/>
    <w:rsid w:val="00B21D67"/>
    <w:rsid w:val="00B22A2D"/>
    <w:rsid w:val="00B81468"/>
    <w:rsid w:val="00B84865"/>
    <w:rsid w:val="00B857B0"/>
    <w:rsid w:val="00B8692F"/>
    <w:rsid w:val="00B87320"/>
    <w:rsid w:val="00BA0085"/>
    <w:rsid w:val="00BB71BC"/>
    <w:rsid w:val="00BC5FBE"/>
    <w:rsid w:val="00BD2C09"/>
    <w:rsid w:val="00BD74D8"/>
    <w:rsid w:val="00BE6522"/>
    <w:rsid w:val="00BF1095"/>
    <w:rsid w:val="00BF40FE"/>
    <w:rsid w:val="00BF7D0C"/>
    <w:rsid w:val="00C10258"/>
    <w:rsid w:val="00C1173E"/>
    <w:rsid w:val="00C11A80"/>
    <w:rsid w:val="00C11AA0"/>
    <w:rsid w:val="00C16CC6"/>
    <w:rsid w:val="00C419C7"/>
    <w:rsid w:val="00C43F96"/>
    <w:rsid w:val="00C6153B"/>
    <w:rsid w:val="00C768FA"/>
    <w:rsid w:val="00C82BE1"/>
    <w:rsid w:val="00CA2A55"/>
    <w:rsid w:val="00CB6C78"/>
    <w:rsid w:val="00CC0109"/>
    <w:rsid w:val="00CD6570"/>
    <w:rsid w:val="00CE51D6"/>
    <w:rsid w:val="00CF03D0"/>
    <w:rsid w:val="00CF11EB"/>
    <w:rsid w:val="00CF16DF"/>
    <w:rsid w:val="00D21793"/>
    <w:rsid w:val="00D24EE5"/>
    <w:rsid w:val="00D31A63"/>
    <w:rsid w:val="00D32536"/>
    <w:rsid w:val="00D81477"/>
    <w:rsid w:val="00D8467C"/>
    <w:rsid w:val="00D84F63"/>
    <w:rsid w:val="00D93E86"/>
    <w:rsid w:val="00DA5EF9"/>
    <w:rsid w:val="00DC45F6"/>
    <w:rsid w:val="00DD0B4F"/>
    <w:rsid w:val="00DD38CA"/>
    <w:rsid w:val="00DD3C90"/>
    <w:rsid w:val="00DE7102"/>
    <w:rsid w:val="00E04CE6"/>
    <w:rsid w:val="00E101B8"/>
    <w:rsid w:val="00E250B4"/>
    <w:rsid w:val="00E32062"/>
    <w:rsid w:val="00E72483"/>
    <w:rsid w:val="00E74EF3"/>
    <w:rsid w:val="00E758A7"/>
    <w:rsid w:val="00E77230"/>
    <w:rsid w:val="00EA5990"/>
    <w:rsid w:val="00EC00A0"/>
    <w:rsid w:val="00EC5E15"/>
    <w:rsid w:val="00ED009B"/>
    <w:rsid w:val="00EE02A1"/>
    <w:rsid w:val="00EE0C57"/>
    <w:rsid w:val="00EE5318"/>
    <w:rsid w:val="00F03E2A"/>
    <w:rsid w:val="00F07A37"/>
    <w:rsid w:val="00F24E0B"/>
    <w:rsid w:val="00F327BA"/>
    <w:rsid w:val="00F46C16"/>
    <w:rsid w:val="00F47D83"/>
    <w:rsid w:val="00F54C1D"/>
    <w:rsid w:val="00F55450"/>
    <w:rsid w:val="00F603B2"/>
    <w:rsid w:val="00F6747C"/>
    <w:rsid w:val="00F67713"/>
    <w:rsid w:val="00F80F8B"/>
    <w:rsid w:val="00F839BA"/>
    <w:rsid w:val="00F8715B"/>
    <w:rsid w:val="00F969C8"/>
    <w:rsid w:val="00FA6762"/>
    <w:rsid w:val="00FA7625"/>
    <w:rsid w:val="00FB5456"/>
    <w:rsid w:val="00FC36F8"/>
    <w:rsid w:val="00FC7E72"/>
    <w:rsid w:val="00FD444C"/>
    <w:rsid w:val="00FE2EF1"/>
    <w:rsid w:val="00FF2C34"/>
    <w:rsid w:val="00FF4AC1"/>
    <w:rsid w:val="00FF5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BF0B5"/>
  <w15:docId w15:val="{E54EA7F0-3F06-4F13-A9DF-75DF625E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09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10996"/>
    <w:rPr>
      <w:sz w:val="18"/>
      <w:szCs w:val="18"/>
    </w:rPr>
  </w:style>
  <w:style w:type="paragraph" w:styleId="Footer">
    <w:name w:val="footer"/>
    <w:basedOn w:val="Normal"/>
    <w:link w:val="FooterChar"/>
    <w:uiPriority w:val="99"/>
    <w:unhideWhenUsed/>
    <w:rsid w:val="007109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10996"/>
    <w:rPr>
      <w:sz w:val="18"/>
      <w:szCs w:val="18"/>
    </w:rPr>
  </w:style>
  <w:style w:type="paragraph" w:styleId="BalloonText">
    <w:name w:val="Balloon Text"/>
    <w:basedOn w:val="Normal"/>
    <w:link w:val="BalloonTextChar"/>
    <w:semiHidden/>
    <w:unhideWhenUsed/>
    <w:rsid w:val="00710996"/>
    <w:rPr>
      <w:sz w:val="18"/>
      <w:szCs w:val="18"/>
    </w:rPr>
  </w:style>
  <w:style w:type="character" w:customStyle="1" w:styleId="BalloonTextChar">
    <w:name w:val="Balloon Text Char"/>
    <w:basedOn w:val="DefaultParagraphFont"/>
    <w:link w:val="BalloonText"/>
    <w:semiHidden/>
    <w:rsid w:val="00710996"/>
    <w:rPr>
      <w:sz w:val="18"/>
      <w:szCs w:val="18"/>
    </w:rPr>
  </w:style>
  <w:style w:type="character" w:styleId="CommentReference">
    <w:name w:val="annotation reference"/>
    <w:basedOn w:val="DefaultParagraphFont"/>
    <w:semiHidden/>
    <w:unhideWhenUsed/>
    <w:rsid w:val="007A6431"/>
    <w:rPr>
      <w:sz w:val="21"/>
      <w:szCs w:val="21"/>
    </w:rPr>
  </w:style>
  <w:style w:type="paragraph" w:styleId="CommentText">
    <w:name w:val="annotation text"/>
    <w:basedOn w:val="Normal"/>
    <w:link w:val="CommentTextChar"/>
    <w:unhideWhenUsed/>
    <w:rsid w:val="007A6431"/>
  </w:style>
  <w:style w:type="character" w:customStyle="1" w:styleId="CommentTextChar">
    <w:name w:val="Comment Text Char"/>
    <w:basedOn w:val="DefaultParagraphFont"/>
    <w:link w:val="CommentText"/>
    <w:rsid w:val="007A6431"/>
    <w:rPr>
      <w:sz w:val="24"/>
      <w:szCs w:val="24"/>
    </w:rPr>
  </w:style>
  <w:style w:type="paragraph" w:styleId="CommentSubject">
    <w:name w:val="annotation subject"/>
    <w:basedOn w:val="CommentText"/>
    <w:next w:val="CommentText"/>
    <w:link w:val="CommentSubjectChar"/>
    <w:semiHidden/>
    <w:unhideWhenUsed/>
    <w:rsid w:val="007A6431"/>
    <w:rPr>
      <w:b/>
      <w:bCs/>
    </w:rPr>
  </w:style>
  <w:style w:type="character" w:customStyle="1" w:styleId="CommentSubjectChar">
    <w:name w:val="Comment Subject Char"/>
    <w:basedOn w:val="CommentTextChar"/>
    <w:link w:val="CommentSubject"/>
    <w:semiHidden/>
    <w:rsid w:val="007A6431"/>
    <w:rPr>
      <w:b/>
      <w:bCs/>
      <w:sz w:val="24"/>
      <w:szCs w:val="24"/>
    </w:rPr>
  </w:style>
  <w:style w:type="character" w:styleId="Hyperlink">
    <w:name w:val="Hyperlink"/>
    <w:basedOn w:val="DefaultParagraphFont"/>
    <w:unhideWhenUsed/>
    <w:rsid w:val="003C2DC5"/>
    <w:rPr>
      <w:color w:val="0000FF" w:themeColor="hyperlink"/>
      <w:u w:val="single"/>
    </w:rPr>
  </w:style>
  <w:style w:type="table" w:styleId="TableGrid">
    <w:name w:val="Table Grid"/>
    <w:basedOn w:val="TableNormal"/>
    <w:uiPriority w:val="39"/>
    <w:rsid w:val="00834E90"/>
    <w:rPr>
      <w:rFonts w:asciiTheme="minorHAnsi" w:hAnsiTheme="minorHAnsi" w:cstheme="minorBidi"/>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1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6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s14\Gebruikers$\WaardS\Downloads\Figuren_HO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nl-NL" sz="14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HOOS domaines</a:t>
            </a:r>
          </a:p>
        </c:rich>
      </c:tx>
      <c:overlay val="0"/>
      <c:spPr>
        <a:noFill/>
        <a:ln>
          <a:noFill/>
        </a:ln>
        <a:effectLst/>
      </c:spPr>
    </c:title>
    <c:autoTitleDeleted val="0"/>
    <c:plotArea>
      <c:layout/>
      <c:scatterChart>
        <c:scatterStyle val="lineMarker"/>
        <c:varyColors val="0"/>
        <c:ser>
          <c:idx val="1"/>
          <c:order val="0"/>
          <c:tx>
            <c:strRef>
              <c:f>Blad1!$L$72</c:f>
              <c:strCache>
                <c:ptCount val="1"/>
                <c:pt idx="0">
                  <c:v>HOOS, Function, sports and recreations</c:v>
                </c:pt>
              </c:strCache>
            </c:strRef>
          </c:tx>
          <c:marker>
            <c:symbol val="none"/>
          </c:marker>
          <c:errBars>
            <c:errDir val="y"/>
            <c:errBarType val="both"/>
            <c:errValType val="cust"/>
            <c:noEndCap val="0"/>
            <c:plus>
              <c:numRef>
                <c:f>Blad1!$E$47:$E$52</c:f>
                <c:numCache>
                  <c:formatCode>General</c:formatCode>
                  <c:ptCount val="6"/>
                  <c:pt idx="0">
                    <c:v>1.7872455999999999</c:v>
                  </c:pt>
                  <c:pt idx="1">
                    <c:v>3.2447603999999997</c:v>
                  </c:pt>
                  <c:pt idx="2">
                    <c:v>2.7181671999999999</c:v>
                  </c:pt>
                  <c:pt idx="3">
                    <c:v>2.6937652000000001</c:v>
                  </c:pt>
                  <c:pt idx="4">
                    <c:v>2.7253604</c:v>
                  </c:pt>
                  <c:pt idx="5">
                    <c:v>3.2368028</c:v>
                  </c:pt>
                </c:numCache>
              </c:numRef>
            </c:plus>
            <c:minus>
              <c:numRef>
                <c:f>Blad1!$E$47:$E$52</c:f>
                <c:numCache>
                  <c:formatCode>General</c:formatCode>
                  <c:ptCount val="6"/>
                  <c:pt idx="0">
                    <c:v>1.7872455999999999</c:v>
                  </c:pt>
                  <c:pt idx="1">
                    <c:v>3.2447603999999997</c:v>
                  </c:pt>
                  <c:pt idx="2">
                    <c:v>2.7181671999999999</c:v>
                  </c:pt>
                  <c:pt idx="3">
                    <c:v>2.6937652000000001</c:v>
                  </c:pt>
                  <c:pt idx="4">
                    <c:v>2.7253604</c:v>
                  </c:pt>
                  <c:pt idx="5">
                    <c:v>3.2368028</c:v>
                  </c:pt>
                </c:numCache>
              </c:numRef>
            </c:minus>
          </c:errBars>
          <c:xVal>
            <c:numRef>
              <c:f>Blad1!$B$47:$B$52</c:f>
              <c:numCache>
                <c:formatCode>General</c:formatCode>
                <c:ptCount val="6"/>
                <c:pt idx="0">
                  <c:v>0</c:v>
                </c:pt>
                <c:pt idx="1">
                  <c:v>1.5</c:v>
                </c:pt>
                <c:pt idx="2">
                  <c:v>3</c:v>
                </c:pt>
                <c:pt idx="3">
                  <c:v>6</c:v>
                </c:pt>
                <c:pt idx="4">
                  <c:v>12</c:v>
                </c:pt>
                <c:pt idx="5">
                  <c:v>24</c:v>
                </c:pt>
              </c:numCache>
            </c:numRef>
          </c:xVal>
          <c:yVal>
            <c:numRef>
              <c:f>Blad1!$A$47:$A$52</c:f>
              <c:numCache>
                <c:formatCode>General</c:formatCode>
                <c:ptCount val="6"/>
                <c:pt idx="0">
                  <c:v>24.3</c:v>
                </c:pt>
                <c:pt idx="1">
                  <c:v>51.9</c:v>
                </c:pt>
                <c:pt idx="2">
                  <c:v>65.599999999999994</c:v>
                </c:pt>
                <c:pt idx="3">
                  <c:v>71.2</c:v>
                </c:pt>
                <c:pt idx="4">
                  <c:v>77.099999999999994</c:v>
                </c:pt>
                <c:pt idx="5">
                  <c:v>77.400000000000006</c:v>
                </c:pt>
              </c:numCache>
            </c:numRef>
          </c:yVal>
          <c:smooth val="0"/>
          <c:extLst>
            <c:ext xmlns:c16="http://schemas.microsoft.com/office/drawing/2014/chart" uri="{C3380CC4-5D6E-409C-BE32-E72D297353CC}">
              <c16:uniqueId val="{00000000-2328-402E-8F4B-DBFA4B3DA9EF}"/>
            </c:ext>
          </c:extLst>
        </c:ser>
        <c:ser>
          <c:idx val="2"/>
          <c:order val="1"/>
          <c:tx>
            <c:v>HOOS, Quality of life</c:v>
          </c:tx>
          <c:spPr>
            <a:ln w="19050" cap="rnd">
              <a:solidFill>
                <a:schemeClr val="accent4"/>
              </a:solidFill>
              <a:round/>
            </a:ln>
            <a:effectLst/>
          </c:spPr>
          <c:marker>
            <c:symbol val="none"/>
          </c:marker>
          <c:errBars>
            <c:errDir val="y"/>
            <c:errBarType val="both"/>
            <c:errValType val="cust"/>
            <c:noEndCap val="0"/>
            <c:plus>
              <c:numRef>
                <c:f>Blad1!$E$62:$E$67</c:f>
                <c:numCache>
                  <c:formatCode>General</c:formatCode>
                  <c:ptCount val="6"/>
                  <c:pt idx="0">
                    <c:v>1.4384048</c:v>
                  </c:pt>
                  <c:pt idx="1">
                    <c:v>2.0531000000000001</c:v>
                  </c:pt>
                  <c:pt idx="2">
                    <c:v>2.2879863999999999</c:v>
                  </c:pt>
                  <c:pt idx="3">
                    <c:v>2.2728552</c:v>
                  </c:pt>
                  <c:pt idx="4">
                    <c:v>2.3882795999999997</c:v>
                  </c:pt>
                  <c:pt idx="5">
                    <c:v>2.5675607999999999</c:v>
                  </c:pt>
                </c:numCache>
              </c:numRef>
            </c:plus>
            <c:minus>
              <c:numRef>
                <c:f>Blad1!$E$62:$E$67</c:f>
                <c:numCache>
                  <c:formatCode>General</c:formatCode>
                  <c:ptCount val="6"/>
                  <c:pt idx="0">
                    <c:v>1.4384048</c:v>
                  </c:pt>
                  <c:pt idx="1">
                    <c:v>2.0531000000000001</c:v>
                  </c:pt>
                  <c:pt idx="2">
                    <c:v>2.2879863999999999</c:v>
                  </c:pt>
                  <c:pt idx="3">
                    <c:v>2.2728552</c:v>
                  </c:pt>
                  <c:pt idx="4">
                    <c:v>2.3882795999999997</c:v>
                  </c:pt>
                  <c:pt idx="5">
                    <c:v>2.5675607999999999</c:v>
                  </c:pt>
                </c:numCache>
              </c:numRef>
            </c:minus>
            <c:spPr>
              <a:noFill/>
              <a:ln w="9525" cap="flat" cmpd="sng" algn="ctr">
                <a:solidFill>
                  <a:schemeClr val="tx1">
                    <a:lumMod val="65000"/>
                    <a:lumOff val="35000"/>
                  </a:schemeClr>
                </a:solidFill>
                <a:round/>
              </a:ln>
              <a:effectLst/>
            </c:spPr>
          </c:errBars>
          <c:xVal>
            <c:numRef>
              <c:f>Blad1!$B$62:$B$67</c:f>
              <c:numCache>
                <c:formatCode>General</c:formatCode>
                <c:ptCount val="6"/>
                <c:pt idx="0">
                  <c:v>0.1</c:v>
                </c:pt>
                <c:pt idx="1">
                  <c:v>1.6</c:v>
                </c:pt>
                <c:pt idx="2">
                  <c:v>3.1</c:v>
                </c:pt>
                <c:pt idx="3">
                  <c:v>6.1</c:v>
                </c:pt>
                <c:pt idx="4">
                  <c:v>12.1</c:v>
                </c:pt>
                <c:pt idx="5">
                  <c:v>24.1</c:v>
                </c:pt>
              </c:numCache>
            </c:numRef>
          </c:xVal>
          <c:yVal>
            <c:numRef>
              <c:f>Blad1!$A$62:$A$67</c:f>
              <c:numCache>
                <c:formatCode>General</c:formatCode>
                <c:ptCount val="6"/>
                <c:pt idx="0">
                  <c:v>25.9</c:v>
                </c:pt>
                <c:pt idx="1">
                  <c:v>54.5</c:v>
                </c:pt>
                <c:pt idx="2">
                  <c:v>66.900000000000006</c:v>
                </c:pt>
                <c:pt idx="3">
                  <c:v>72.8</c:v>
                </c:pt>
                <c:pt idx="4">
                  <c:v>78.400000000000006</c:v>
                </c:pt>
                <c:pt idx="5">
                  <c:v>80.599999999999994</c:v>
                </c:pt>
              </c:numCache>
            </c:numRef>
          </c:yVal>
          <c:smooth val="0"/>
          <c:extLst>
            <c:ext xmlns:c16="http://schemas.microsoft.com/office/drawing/2014/chart" uri="{C3380CC4-5D6E-409C-BE32-E72D297353CC}">
              <c16:uniqueId val="{00000001-2328-402E-8F4B-DBFA4B3DA9EF}"/>
            </c:ext>
          </c:extLst>
        </c:ser>
        <c:ser>
          <c:idx val="3"/>
          <c:order val="2"/>
          <c:tx>
            <c:strRef>
              <c:f>Blad1!$L$71</c:f>
              <c:strCache>
                <c:ptCount val="1"/>
                <c:pt idx="0">
                  <c:v>HOOS, Function, ADL</c:v>
                </c:pt>
              </c:strCache>
            </c:strRef>
          </c:tx>
          <c:spPr>
            <a:ln w="19050" cap="rnd">
              <a:solidFill>
                <a:schemeClr val="accent1"/>
              </a:solidFill>
              <a:round/>
            </a:ln>
            <a:effectLst/>
          </c:spPr>
          <c:marker>
            <c:symbol val="none"/>
          </c:marker>
          <c:errBars>
            <c:errDir val="y"/>
            <c:errBarType val="both"/>
            <c:errValType val="cust"/>
            <c:noEndCap val="0"/>
            <c:plus>
              <c:numRef>
                <c:f>Blad1!$E$32:$E$37</c:f>
                <c:numCache>
                  <c:formatCode>General</c:formatCode>
                  <c:ptCount val="6"/>
                  <c:pt idx="0">
                    <c:v>1.5770944</c:v>
                  </c:pt>
                  <c:pt idx="1">
                    <c:v>1.7694291999999998</c:v>
                  </c:pt>
                  <c:pt idx="2">
                    <c:v>1.8088251999999998</c:v>
                  </c:pt>
                  <c:pt idx="3">
                    <c:v>1.6723112</c:v>
                  </c:pt>
                  <c:pt idx="4">
                    <c:v>1.8042975999999999</c:v>
                  </c:pt>
                  <c:pt idx="5">
                    <c:v>1.9431048</c:v>
                  </c:pt>
                </c:numCache>
              </c:numRef>
            </c:plus>
            <c:minus>
              <c:numRef>
                <c:f>Blad1!$E$32:$E$37</c:f>
                <c:numCache>
                  <c:formatCode>General</c:formatCode>
                  <c:ptCount val="6"/>
                  <c:pt idx="0">
                    <c:v>1.5770944</c:v>
                  </c:pt>
                  <c:pt idx="1">
                    <c:v>1.7694291999999998</c:v>
                  </c:pt>
                  <c:pt idx="2">
                    <c:v>1.8088251999999998</c:v>
                  </c:pt>
                  <c:pt idx="3">
                    <c:v>1.6723112</c:v>
                  </c:pt>
                  <c:pt idx="4">
                    <c:v>1.8042975999999999</c:v>
                  </c:pt>
                  <c:pt idx="5">
                    <c:v>1.9431048</c:v>
                  </c:pt>
                </c:numCache>
              </c:numRef>
            </c:minus>
            <c:spPr>
              <a:noFill/>
              <a:ln w="9525" cap="flat" cmpd="sng" algn="ctr">
                <a:solidFill>
                  <a:schemeClr val="tx1">
                    <a:lumMod val="65000"/>
                    <a:lumOff val="35000"/>
                  </a:schemeClr>
                </a:solidFill>
                <a:round/>
              </a:ln>
              <a:effectLst/>
            </c:spPr>
          </c:errBars>
          <c:xVal>
            <c:numRef>
              <c:f>Blad1!$B$32:$B$37</c:f>
              <c:numCache>
                <c:formatCode>General</c:formatCode>
                <c:ptCount val="6"/>
                <c:pt idx="0">
                  <c:v>0</c:v>
                </c:pt>
                <c:pt idx="1">
                  <c:v>1.5</c:v>
                </c:pt>
                <c:pt idx="2">
                  <c:v>3</c:v>
                </c:pt>
                <c:pt idx="3">
                  <c:v>6</c:v>
                </c:pt>
                <c:pt idx="4">
                  <c:v>12</c:v>
                </c:pt>
                <c:pt idx="5">
                  <c:v>24</c:v>
                </c:pt>
              </c:numCache>
            </c:numRef>
          </c:xVal>
          <c:yVal>
            <c:numRef>
              <c:f>Blad1!$A$32:$A$37</c:f>
              <c:numCache>
                <c:formatCode>General</c:formatCode>
                <c:ptCount val="6"/>
                <c:pt idx="0">
                  <c:v>42.6</c:v>
                </c:pt>
                <c:pt idx="1">
                  <c:v>74.7</c:v>
                </c:pt>
                <c:pt idx="2">
                  <c:v>81</c:v>
                </c:pt>
                <c:pt idx="3">
                  <c:v>85.4</c:v>
                </c:pt>
                <c:pt idx="4">
                  <c:v>88.6</c:v>
                </c:pt>
                <c:pt idx="5">
                  <c:v>90</c:v>
                </c:pt>
              </c:numCache>
            </c:numRef>
          </c:yVal>
          <c:smooth val="0"/>
          <c:extLst>
            <c:ext xmlns:c16="http://schemas.microsoft.com/office/drawing/2014/chart" uri="{C3380CC4-5D6E-409C-BE32-E72D297353CC}">
              <c16:uniqueId val="{00000002-2328-402E-8F4B-DBFA4B3DA9EF}"/>
            </c:ext>
          </c:extLst>
        </c:ser>
        <c:ser>
          <c:idx val="4"/>
          <c:order val="3"/>
          <c:tx>
            <c:v>HOOS, Pain</c:v>
          </c:tx>
          <c:spPr>
            <a:ln w="19050" cap="rnd">
              <a:solidFill>
                <a:srgbClr val="FF0000"/>
              </a:solidFill>
              <a:round/>
            </a:ln>
            <a:effectLst/>
          </c:spPr>
          <c:marker>
            <c:symbol val="none"/>
          </c:marker>
          <c:errBars>
            <c:errDir val="y"/>
            <c:errBarType val="both"/>
            <c:errValType val="cust"/>
            <c:noEndCap val="0"/>
            <c:plus>
              <c:numRef>
                <c:f>Blad1!$E$17:$E$22</c:f>
                <c:numCache>
                  <c:formatCode>General</c:formatCode>
                  <c:ptCount val="6"/>
                  <c:pt idx="0">
                    <c:v>1.486464</c:v>
                  </c:pt>
                  <c:pt idx="1">
                    <c:v>1.6648240000000001</c:v>
                  </c:pt>
                  <c:pt idx="2">
                    <c:v>1.6914407999999999</c:v>
                  </c:pt>
                  <c:pt idx="3">
                    <c:v>1.6410100000000001</c:v>
                  </c:pt>
                  <c:pt idx="4">
                    <c:v>1.6497712</c:v>
                  </c:pt>
                  <c:pt idx="5">
                    <c:v>1.7756620000000001</c:v>
                  </c:pt>
                </c:numCache>
              </c:numRef>
            </c:plus>
            <c:minus>
              <c:numRef>
                <c:f>Blad1!$E$17:$E$22</c:f>
                <c:numCache>
                  <c:formatCode>General</c:formatCode>
                  <c:ptCount val="6"/>
                  <c:pt idx="0">
                    <c:v>1.486464</c:v>
                  </c:pt>
                  <c:pt idx="1">
                    <c:v>1.6648240000000001</c:v>
                  </c:pt>
                  <c:pt idx="2">
                    <c:v>1.6914407999999999</c:v>
                  </c:pt>
                  <c:pt idx="3">
                    <c:v>1.6410100000000001</c:v>
                  </c:pt>
                  <c:pt idx="4">
                    <c:v>1.6497712</c:v>
                  </c:pt>
                  <c:pt idx="5">
                    <c:v>1.7756620000000001</c:v>
                  </c:pt>
                </c:numCache>
              </c:numRef>
            </c:minus>
            <c:spPr>
              <a:noFill/>
              <a:ln w="9525" cap="flat" cmpd="sng" algn="ctr">
                <a:solidFill>
                  <a:schemeClr val="tx1">
                    <a:lumMod val="65000"/>
                    <a:lumOff val="35000"/>
                  </a:schemeClr>
                </a:solidFill>
                <a:round/>
              </a:ln>
              <a:effectLst/>
            </c:spPr>
          </c:errBars>
          <c:xVal>
            <c:numRef>
              <c:f>Blad1!$B$17:$B$22</c:f>
              <c:numCache>
                <c:formatCode>General</c:formatCode>
                <c:ptCount val="6"/>
                <c:pt idx="0">
                  <c:v>0.1</c:v>
                </c:pt>
                <c:pt idx="1">
                  <c:v>1.4</c:v>
                </c:pt>
                <c:pt idx="2">
                  <c:v>2.9</c:v>
                </c:pt>
                <c:pt idx="3">
                  <c:v>5.9</c:v>
                </c:pt>
                <c:pt idx="4">
                  <c:v>11.9</c:v>
                </c:pt>
                <c:pt idx="5">
                  <c:v>23.9</c:v>
                </c:pt>
              </c:numCache>
            </c:numRef>
          </c:xVal>
          <c:yVal>
            <c:numRef>
              <c:f>Blad1!$A$17:$A$22</c:f>
              <c:numCache>
                <c:formatCode>General</c:formatCode>
                <c:ptCount val="6"/>
                <c:pt idx="0">
                  <c:v>42.5</c:v>
                </c:pt>
                <c:pt idx="1">
                  <c:v>77.400000000000006</c:v>
                </c:pt>
                <c:pt idx="2">
                  <c:v>83.7</c:v>
                </c:pt>
                <c:pt idx="3">
                  <c:v>87.1</c:v>
                </c:pt>
                <c:pt idx="4">
                  <c:v>89.9</c:v>
                </c:pt>
                <c:pt idx="5">
                  <c:v>90.8</c:v>
                </c:pt>
              </c:numCache>
            </c:numRef>
          </c:yVal>
          <c:smooth val="0"/>
          <c:extLst>
            <c:ext xmlns:c16="http://schemas.microsoft.com/office/drawing/2014/chart" uri="{C3380CC4-5D6E-409C-BE32-E72D297353CC}">
              <c16:uniqueId val="{00000003-2328-402E-8F4B-DBFA4B3DA9EF}"/>
            </c:ext>
          </c:extLst>
        </c:ser>
        <c:ser>
          <c:idx val="0"/>
          <c:order val="4"/>
          <c:tx>
            <c:v>HOOS, Symptoms</c:v>
          </c:tx>
          <c:spPr>
            <a:ln w="19050" cap="rnd">
              <a:solidFill>
                <a:schemeClr val="accent6"/>
              </a:solidFill>
              <a:round/>
            </a:ln>
            <a:effectLst/>
          </c:spPr>
          <c:marker>
            <c:symbol val="none"/>
          </c:marker>
          <c:errBars>
            <c:errDir val="y"/>
            <c:errBarType val="both"/>
            <c:errValType val="cust"/>
            <c:noEndCap val="0"/>
            <c:plus>
              <c:numRef>
                <c:f>Blad1!$E$2:$E$7</c:f>
                <c:numCache>
                  <c:formatCode>General</c:formatCode>
                  <c:ptCount val="6"/>
                  <c:pt idx="0">
                    <c:v>1.6372076</c:v>
                  </c:pt>
                  <c:pt idx="1">
                    <c:v>1.8129999999999999</c:v>
                  </c:pt>
                  <c:pt idx="2">
                    <c:v>1.8231332</c:v>
                  </c:pt>
                  <c:pt idx="3">
                    <c:v>1.8436151999999999</c:v>
                  </c:pt>
                  <c:pt idx="4">
                    <c:v>1.7855011999999999</c:v>
                  </c:pt>
                  <c:pt idx="5">
                    <c:v>2.0521984</c:v>
                  </c:pt>
                </c:numCache>
              </c:numRef>
            </c:plus>
            <c:minus>
              <c:numRef>
                <c:f>Blad1!$E$2:$E$7</c:f>
                <c:numCache>
                  <c:formatCode>General</c:formatCode>
                  <c:ptCount val="6"/>
                  <c:pt idx="0">
                    <c:v>1.6372076</c:v>
                  </c:pt>
                  <c:pt idx="1">
                    <c:v>1.8129999999999999</c:v>
                  </c:pt>
                  <c:pt idx="2">
                    <c:v>1.8231332</c:v>
                  </c:pt>
                  <c:pt idx="3">
                    <c:v>1.8436151999999999</c:v>
                  </c:pt>
                  <c:pt idx="4">
                    <c:v>1.7855011999999999</c:v>
                  </c:pt>
                  <c:pt idx="5">
                    <c:v>2.0521984</c:v>
                  </c:pt>
                </c:numCache>
              </c:numRef>
            </c:minus>
            <c:spPr>
              <a:noFill/>
              <a:ln w="9525" cap="flat" cmpd="sng" algn="ctr">
                <a:solidFill>
                  <a:schemeClr val="tx1">
                    <a:lumMod val="65000"/>
                    <a:lumOff val="35000"/>
                  </a:schemeClr>
                </a:solidFill>
                <a:round/>
              </a:ln>
              <a:effectLst/>
            </c:spPr>
          </c:errBars>
          <c:xVal>
            <c:numRef>
              <c:f>Blad1!$B$2:$B$7</c:f>
              <c:numCache>
                <c:formatCode>General</c:formatCode>
                <c:ptCount val="6"/>
                <c:pt idx="0">
                  <c:v>0</c:v>
                </c:pt>
                <c:pt idx="1">
                  <c:v>1.5</c:v>
                </c:pt>
                <c:pt idx="2">
                  <c:v>3</c:v>
                </c:pt>
                <c:pt idx="3">
                  <c:v>6</c:v>
                </c:pt>
                <c:pt idx="4">
                  <c:v>12</c:v>
                </c:pt>
                <c:pt idx="5">
                  <c:v>24</c:v>
                </c:pt>
              </c:numCache>
            </c:numRef>
          </c:xVal>
          <c:yVal>
            <c:numRef>
              <c:f>Blad1!$A$2:$A$7</c:f>
              <c:numCache>
                <c:formatCode>General</c:formatCode>
                <c:ptCount val="6"/>
                <c:pt idx="0">
                  <c:v>42.1</c:v>
                </c:pt>
                <c:pt idx="1">
                  <c:v>71.5</c:v>
                </c:pt>
                <c:pt idx="2">
                  <c:v>76.3</c:v>
                </c:pt>
                <c:pt idx="3">
                  <c:v>81.099999999999994</c:v>
                </c:pt>
                <c:pt idx="4">
                  <c:v>85.9</c:v>
                </c:pt>
                <c:pt idx="5">
                  <c:v>86.7</c:v>
                </c:pt>
              </c:numCache>
            </c:numRef>
          </c:yVal>
          <c:smooth val="0"/>
          <c:extLst>
            <c:ext xmlns:c16="http://schemas.microsoft.com/office/drawing/2014/chart" uri="{C3380CC4-5D6E-409C-BE32-E72D297353CC}">
              <c16:uniqueId val="{00000004-2328-402E-8F4B-DBFA4B3DA9EF}"/>
            </c:ext>
          </c:extLst>
        </c:ser>
        <c:dLbls>
          <c:showLegendKey val="0"/>
          <c:showVal val="0"/>
          <c:showCatName val="0"/>
          <c:showSerName val="0"/>
          <c:showPercent val="0"/>
          <c:showBubbleSize val="0"/>
        </c:dLbls>
        <c:axId val="835613568"/>
        <c:axId val="835613960"/>
      </c:scatterChart>
      <c:valAx>
        <c:axId val="835613568"/>
        <c:scaling>
          <c:orientation val="minMax"/>
          <c:max val="25"/>
        </c:scaling>
        <c:delete val="0"/>
        <c:axPos val="b"/>
        <c:title>
          <c:tx>
            <c:rich>
              <a:bodyPr/>
              <a:lstStyle/>
              <a:p>
                <a:pPr>
                  <a:defRPr/>
                </a:pPr>
                <a:r>
                  <a:rPr lang="nl-NL"/>
                  <a:t>Months postsurgery</a:t>
                </a:r>
                <a:r>
                  <a:rPr lang="nl-NL" baseline="0"/>
                  <a:t> </a:t>
                </a:r>
              </a:p>
              <a:p>
                <a:pPr>
                  <a:defRPr/>
                </a:pPr>
                <a:r>
                  <a:rPr lang="nl-NL" sz="800" i="1" baseline="0"/>
                  <a:t>(0=baseline)</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613960"/>
        <c:crosses val="autoZero"/>
        <c:crossBetween val="midCat"/>
      </c:valAx>
      <c:valAx>
        <c:axId val="83561396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nl-NL"/>
                  <a:t> Score</a:t>
                </a:r>
              </a:p>
            </c:rich>
          </c:tx>
          <c:overlay val="0"/>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613568"/>
        <c:crosses val="autoZero"/>
        <c:crossBetween val="midCat"/>
      </c:valAx>
    </c:plotArea>
    <c:legend>
      <c:legendPos val="r"/>
      <c:layout>
        <c:manualLayout>
          <c:xMode val="edge"/>
          <c:yMode val="edge"/>
          <c:x val="0.65554462562154114"/>
          <c:y val="0.32535742496333642"/>
          <c:w val="0.34373533816747481"/>
          <c:h val="0.56361899136847204"/>
        </c:manualLayout>
      </c:layout>
      <c:overlay val="0"/>
    </c:legend>
    <c:plotVisOnly val="1"/>
    <c:dispBlanksAs val="gap"/>
    <c:showDLblsOverMax val="0"/>
    <c:extLst/>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4923</Words>
  <Characters>28065</Characters>
  <Application>Microsoft Office Word</Application>
  <DocSecurity>0</DocSecurity>
  <Lines>233</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Waard, mw. S. de (Aios)</dc:creator>
  <cp:lastModifiedBy>Jennifer van Velkinburgh</cp:lastModifiedBy>
  <cp:revision>2</cp:revision>
  <dcterms:created xsi:type="dcterms:W3CDTF">2024-01-23T02:49:00Z</dcterms:created>
  <dcterms:modified xsi:type="dcterms:W3CDTF">2024-01-23T02:49:00Z</dcterms:modified>
</cp:coreProperties>
</file>