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C6" w:rsidRPr="00130A78" w:rsidRDefault="00ED3CC6" w:rsidP="000B416C">
      <w:pPr>
        <w:snapToGrid w:val="0"/>
        <w:spacing w:line="360" w:lineRule="auto"/>
        <w:jc w:val="both"/>
        <w:rPr>
          <w:rFonts w:ascii="Book Antiqua" w:hAnsi="Book Antiqua" w:cs="Book Antiqua"/>
          <w:i/>
          <w:iCs/>
          <w:color w:val="000000"/>
        </w:rPr>
      </w:pPr>
      <w:r w:rsidRPr="00130A78">
        <w:rPr>
          <w:rFonts w:ascii="Book Antiqua" w:hAnsi="Book Antiqua" w:cs="Book Antiqua"/>
          <w:b/>
          <w:bCs/>
          <w:color w:val="0033CC"/>
        </w:rPr>
        <w:t>Name of journal:</w:t>
      </w:r>
      <w:r w:rsidRPr="00130A78">
        <w:rPr>
          <w:rFonts w:ascii="Book Antiqua" w:hAnsi="Book Antiqua" w:cs="Book Antiqua"/>
          <w:b/>
          <w:bCs/>
          <w:color w:val="000000"/>
        </w:rPr>
        <w:t xml:space="preserve"> </w:t>
      </w:r>
      <w:r w:rsidRPr="00130A78">
        <w:rPr>
          <w:rFonts w:ascii="Book Antiqua" w:hAnsi="Book Antiqua" w:cs="Book Antiqua"/>
          <w:i/>
          <w:iCs/>
          <w:color w:val="000000"/>
        </w:rPr>
        <w:t>World Journal of Gastroenterology</w:t>
      </w:r>
    </w:p>
    <w:p w:rsidR="00ED3CC6" w:rsidRPr="00130A78" w:rsidRDefault="00ED3CC6" w:rsidP="000B416C">
      <w:pPr>
        <w:snapToGrid w:val="0"/>
        <w:spacing w:line="360" w:lineRule="auto"/>
        <w:jc w:val="both"/>
        <w:rPr>
          <w:rFonts w:ascii="Book Antiqua" w:eastAsia="宋体" w:hAnsi="Book Antiqua" w:cs="Times New Roman"/>
          <w:b/>
          <w:bCs/>
          <w:i/>
          <w:iCs/>
          <w:color w:val="000000"/>
          <w:lang w:eastAsia="zh-CN"/>
        </w:rPr>
      </w:pPr>
      <w:r w:rsidRPr="00130A78">
        <w:rPr>
          <w:rFonts w:ascii="Book Antiqua" w:hAnsi="Book Antiqua" w:cs="Book Antiqua"/>
          <w:b/>
          <w:bCs/>
          <w:color w:val="0033CC"/>
        </w:rPr>
        <w:t>ESPS Manuscript NO:</w:t>
      </w:r>
      <w:r w:rsidRPr="00130A78">
        <w:rPr>
          <w:rFonts w:ascii="Book Antiqua" w:hAnsi="Book Antiqua" w:cs="Book Antiqua"/>
          <w:b/>
          <w:bCs/>
          <w:color w:val="222222"/>
        </w:rPr>
        <w:t xml:space="preserve"> </w:t>
      </w:r>
      <w:r w:rsidRPr="00130A78">
        <w:rPr>
          <w:rFonts w:ascii="Book Antiqua" w:eastAsia="宋体" w:hAnsi="Book Antiqua" w:cs="Book Antiqua"/>
          <w:b/>
          <w:bCs/>
          <w:color w:val="222222"/>
          <w:lang w:eastAsia="zh-CN"/>
        </w:rPr>
        <w:t>896</w:t>
      </w:r>
    </w:p>
    <w:p w:rsidR="00ED3CC6" w:rsidRPr="00130A78" w:rsidRDefault="00ED3CC6" w:rsidP="000B416C">
      <w:pPr>
        <w:suppressAutoHyphens/>
        <w:autoSpaceDE w:val="0"/>
        <w:autoSpaceDN w:val="0"/>
        <w:adjustRightInd w:val="0"/>
        <w:snapToGrid w:val="0"/>
        <w:spacing w:line="360" w:lineRule="auto"/>
        <w:jc w:val="both"/>
        <w:rPr>
          <w:rFonts w:ascii="Book Antiqua" w:eastAsia="宋体" w:hAnsi="Book Antiqua" w:cs="Book Antiqua"/>
          <w:b/>
          <w:bCs/>
          <w:color w:val="000000"/>
          <w:kern w:val="0"/>
          <w:lang w:eastAsia="zh-CN"/>
        </w:rPr>
      </w:pPr>
      <w:r w:rsidRPr="00130A78">
        <w:rPr>
          <w:rFonts w:ascii="Book Antiqua" w:hAnsi="Book Antiqua" w:cs="Book Antiqua"/>
          <w:b/>
          <w:bCs/>
          <w:color w:val="0033CC"/>
          <w:kern w:val="0"/>
        </w:rPr>
        <w:t>Columns:</w:t>
      </w:r>
      <w:r w:rsidRPr="00130A78">
        <w:rPr>
          <w:rFonts w:ascii="Book Antiqua" w:hAnsi="Book Antiqua" w:cs="Book Antiqua"/>
          <w:b/>
          <w:bCs/>
          <w:color w:val="000000"/>
          <w:kern w:val="0"/>
        </w:rPr>
        <w:t xml:space="preserve"> </w:t>
      </w:r>
      <w:r w:rsidRPr="00130A78">
        <w:rPr>
          <w:rFonts w:ascii="Book Antiqua" w:eastAsia="宋体" w:hAnsi="Book Antiqua" w:cs="Book Antiqua"/>
          <w:b/>
          <w:bCs/>
          <w:color w:val="000000"/>
          <w:kern w:val="0"/>
          <w:lang w:eastAsia="zh-CN"/>
        </w:rPr>
        <w:t>BRIEF ARTICLE</w:t>
      </w:r>
    </w:p>
    <w:p w:rsidR="00ED3CC6" w:rsidRPr="00130A78" w:rsidRDefault="00ED3CC6" w:rsidP="000B416C">
      <w:pPr>
        <w:snapToGrid w:val="0"/>
        <w:spacing w:line="360" w:lineRule="auto"/>
        <w:jc w:val="both"/>
        <w:rPr>
          <w:rFonts w:ascii="Book Antiqua" w:eastAsia="宋体" w:hAnsi="Book Antiqua" w:cs="Times New Roman"/>
          <w:b/>
          <w:bCs/>
          <w:lang w:eastAsia="zh-CN"/>
        </w:rPr>
      </w:pPr>
    </w:p>
    <w:p w:rsidR="00ED3CC6" w:rsidRPr="00130A78" w:rsidRDefault="00ED3CC6" w:rsidP="000B416C">
      <w:pPr>
        <w:snapToGrid w:val="0"/>
        <w:spacing w:line="360" w:lineRule="auto"/>
        <w:jc w:val="both"/>
        <w:rPr>
          <w:rFonts w:ascii="Book Antiqua" w:hAnsi="Book Antiqua" w:cs="Book Antiqua"/>
          <w:b/>
          <w:bCs/>
        </w:rPr>
      </w:pPr>
      <w:r w:rsidRPr="00130A78">
        <w:rPr>
          <w:rFonts w:ascii="Book Antiqua" w:hAnsi="Book Antiqua" w:cs="Book Antiqua"/>
          <w:b/>
          <w:bCs/>
        </w:rPr>
        <w:t>Esophagogastroduodenoscopy with conscious sedation does not interfere with catheter-based 24-h pH monitoring</w:t>
      </w:r>
    </w:p>
    <w:p w:rsidR="00ED3CC6" w:rsidRPr="00130A78" w:rsidRDefault="00ED3CC6" w:rsidP="000B416C">
      <w:pPr>
        <w:snapToGrid w:val="0"/>
        <w:spacing w:line="360" w:lineRule="auto"/>
        <w:jc w:val="both"/>
        <w:rPr>
          <w:rFonts w:ascii="Book Antiqua" w:hAnsi="Book Antiqua" w:cs="Book Antiqua"/>
          <w:b/>
          <w:bCs/>
        </w:rPr>
      </w:pPr>
    </w:p>
    <w:p w:rsidR="00ED3CC6" w:rsidRPr="00130A78" w:rsidRDefault="00ED3CC6" w:rsidP="000B416C">
      <w:pPr>
        <w:snapToGrid w:val="0"/>
        <w:spacing w:line="360" w:lineRule="auto"/>
        <w:jc w:val="both"/>
        <w:rPr>
          <w:rFonts w:ascii="Book Antiqua" w:hAnsi="Book Antiqua" w:cs="Book Antiqua"/>
        </w:rPr>
      </w:pPr>
      <w:r w:rsidRPr="00130A78">
        <w:rPr>
          <w:rFonts w:ascii="Book Antiqua" w:hAnsi="Book Antiqua" w:cs="Book Antiqua"/>
          <w:b/>
          <w:bCs/>
        </w:rPr>
        <w:t xml:space="preserve">Tsou </w:t>
      </w:r>
      <w:r w:rsidRPr="00130A78">
        <w:rPr>
          <w:rFonts w:ascii="Book Antiqua" w:eastAsia="宋体" w:hAnsi="Book Antiqua" w:cs="Book Antiqua"/>
          <w:b/>
          <w:bCs/>
          <w:lang w:eastAsia="zh-CN"/>
        </w:rPr>
        <w:t xml:space="preserve">YK </w:t>
      </w:r>
      <w:r w:rsidRPr="00130A78">
        <w:rPr>
          <w:rFonts w:ascii="Book Antiqua" w:eastAsia="宋体" w:hAnsi="Book Antiqua" w:cs="Book Antiqua"/>
          <w:b/>
          <w:bCs/>
          <w:i/>
          <w:iCs/>
          <w:lang w:eastAsia="zh-CN"/>
        </w:rPr>
        <w:t>et al</w:t>
      </w:r>
      <w:r w:rsidRPr="00130A78">
        <w:rPr>
          <w:rFonts w:ascii="Book Antiqua" w:eastAsia="宋体" w:hAnsi="Book Antiqua" w:cs="Book Antiqua"/>
          <w:b/>
          <w:bCs/>
          <w:lang w:eastAsia="zh-CN"/>
        </w:rPr>
        <w:t>.</w:t>
      </w:r>
      <w:r w:rsidRPr="00130A78">
        <w:rPr>
          <w:rFonts w:ascii="Book Antiqua" w:eastAsia="宋体" w:hAnsi="Book Antiqua" w:cs="Book Antiqua"/>
          <w:lang w:eastAsia="zh-CN"/>
        </w:rPr>
        <w:t xml:space="preserve"> </w:t>
      </w:r>
      <w:r w:rsidRPr="00130A78">
        <w:rPr>
          <w:rFonts w:ascii="Book Antiqua" w:hAnsi="Book Antiqua" w:cs="Book Antiqua"/>
        </w:rPr>
        <w:t>Conscious sedated EGD and pH-monitoring</w:t>
      </w:r>
    </w:p>
    <w:p w:rsidR="00ED3CC6" w:rsidRPr="00130A78" w:rsidRDefault="00ED3CC6" w:rsidP="000B416C">
      <w:pPr>
        <w:snapToGrid w:val="0"/>
        <w:spacing w:line="360" w:lineRule="auto"/>
        <w:jc w:val="both"/>
        <w:rPr>
          <w:rFonts w:ascii="Book Antiqua" w:hAnsi="Book Antiqua" w:cs="Book Antiqua"/>
        </w:rPr>
      </w:pPr>
    </w:p>
    <w:p w:rsidR="00ED3CC6" w:rsidRPr="00130A78" w:rsidRDefault="00ED3CC6" w:rsidP="000B416C">
      <w:pPr>
        <w:snapToGrid w:val="0"/>
        <w:spacing w:line="360" w:lineRule="auto"/>
        <w:jc w:val="both"/>
        <w:rPr>
          <w:rFonts w:ascii="Book Antiqua" w:hAnsi="Book Antiqua" w:cs="Book Antiqua"/>
        </w:rPr>
      </w:pPr>
      <w:r w:rsidRPr="00130A78">
        <w:rPr>
          <w:rFonts w:ascii="Book Antiqua" w:hAnsi="Book Antiqua" w:cs="Book Antiqua"/>
        </w:rPr>
        <w:t xml:space="preserve">Yung-Kuan Tsou, </w:t>
      </w:r>
      <w:r w:rsidRPr="00130A78">
        <w:rPr>
          <w:rFonts w:ascii="Book Antiqua" w:eastAsia="DFKai-SB" w:hAnsi="Book Antiqua" w:cs="Book Antiqua"/>
        </w:rPr>
        <w:t xml:space="preserve">Jau-Min Lien, Chin-Kuo Chen, </w:t>
      </w:r>
      <w:r w:rsidRPr="00130A78">
        <w:rPr>
          <w:rFonts w:ascii="Book Antiqua" w:hAnsi="Book Antiqua" w:cs="Book Antiqua"/>
        </w:rPr>
        <w:t>Cheng-Hui Lin, Hsing-Yu Chen, Mu-Shien Lee</w:t>
      </w:r>
    </w:p>
    <w:p w:rsidR="00ED3CC6" w:rsidRPr="00130A78" w:rsidRDefault="00ED3CC6" w:rsidP="000B416C">
      <w:pPr>
        <w:snapToGrid w:val="0"/>
        <w:spacing w:line="360" w:lineRule="auto"/>
        <w:jc w:val="both"/>
        <w:rPr>
          <w:rFonts w:ascii="Book Antiqua" w:hAnsi="Book Antiqua" w:cs="Book Antiqua"/>
        </w:rPr>
      </w:pPr>
    </w:p>
    <w:p w:rsidR="00ED3CC6" w:rsidRDefault="00ED3CC6" w:rsidP="000B416C">
      <w:pPr>
        <w:snapToGrid w:val="0"/>
        <w:spacing w:line="360" w:lineRule="auto"/>
        <w:jc w:val="both"/>
        <w:rPr>
          <w:rFonts w:ascii="Book Antiqua" w:eastAsia="宋体" w:hAnsi="Book Antiqua" w:cs="Times New Roman"/>
          <w:lang w:eastAsia="zh-CN"/>
        </w:rPr>
      </w:pPr>
      <w:r w:rsidRPr="00130A78">
        <w:rPr>
          <w:rFonts w:ascii="Book Antiqua" w:hAnsi="Book Antiqua" w:cs="Book Antiqua"/>
          <w:b/>
          <w:bCs/>
        </w:rPr>
        <w:t xml:space="preserve">Yung-Kuan Tsou, </w:t>
      </w:r>
      <w:r w:rsidRPr="00130A78">
        <w:rPr>
          <w:rFonts w:ascii="Book Antiqua" w:eastAsia="DFKai-SB" w:hAnsi="Book Antiqua" w:cs="Book Antiqua"/>
          <w:b/>
          <w:bCs/>
        </w:rPr>
        <w:t>Jau-Min Lien,</w:t>
      </w:r>
      <w:r w:rsidRPr="00130A78">
        <w:rPr>
          <w:rFonts w:ascii="Book Antiqua" w:hAnsi="Book Antiqua" w:cs="Book Antiqua"/>
          <w:b/>
          <w:bCs/>
        </w:rPr>
        <w:t xml:space="preserve"> Cheng-Hui Lin, Mu-Shien Lee,</w:t>
      </w:r>
      <w:r w:rsidRPr="00130A78">
        <w:rPr>
          <w:rFonts w:ascii="Book Antiqua" w:eastAsia="宋体" w:hAnsi="Book Antiqua" w:cs="Book Antiqua"/>
          <w:b/>
          <w:bCs/>
          <w:lang w:eastAsia="zh-CN"/>
        </w:rPr>
        <w:t xml:space="preserve"> </w:t>
      </w:r>
      <w:r w:rsidRPr="00130A78">
        <w:rPr>
          <w:rFonts w:ascii="Book Antiqua" w:hAnsi="Book Antiqua" w:cs="Book Antiqua"/>
        </w:rPr>
        <w:t>Department of Gastroenterology and Hepatology, Chang Gung Memorial Hospital</w:t>
      </w:r>
      <w:r w:rsidRPr="00130A78">
        <w:rPr>
          <w:rFonts w:ascii="Book Antiqua" w:eastAsia="宋体" w:hAnsi="Book Antiqua" w:cs="Book Antiqua"/>
          <w:lang w:eastAsia="zh-CN"/>
        </w:rPr>
        <w:t>,</w:t>
      </w:r>
      <w:r w:rsidRPr="00130A78">
        <w:rPr>
          <w:rFonts w:ascii="Book Antiqua" w:hAnsi="Book Antiqua" w:cs="Book Antiqua"/>
        </w:rPr>
        <w:t xml:space="preserve"> Chang Gung University College of Medicine, Taoyuan 333, Taiwan</w:t>
      </w:r>
    </w:p>
    <w:p w:rsidR="00ED3CC6" w:rsidRPr="00032C92" w:rsidRDefault="00ED3CC6" w:rsidP="000B416C">
      <w:pPr>
        <w:snapToGrid w:val="0"/>
        <w:spacing w:line="360" w:lineRule="auto"/>
        <w:jc w:val="both"/>
        <w:rPr>
          <w:rFonts w:ascii="Book Antiqua" w:eastAsia="宋体" w:hAnsi="Book Antiqua" w:cs="Times New Roman"/>
          <w:lang w:eastAsia="zh-CN"/>
        </w:rPr>
      </w:pPr>
    </w:p>
    <w:p w:rsidR="00ED3CC6" w:rsidRDefault="00ED3CC6" w:rsidP="000B416C">
      <w:pPr>
        <w:snapToGrid w:val="0"/>
        <w:spacing w:line="360" w:lineRule="auto"/>
        <w:jc w:val="both"/>
        <w:rPr>
          <w:rFonts w:ascii="Book Antiqua" w:eastAsia="宋体" w:hAnsi="Book Antiqua" w:cs="Times New Roman"/>
          <w:lang w:eastAsia="zh-CN"/>
        </w:rPr>
      </w:pPr>
      <w:r w:rsidRPr="00130A78">
        <w:rPr>
          <w:rFonts w:ascii="Book Antiqua" w:eastAsia="DFKai-SB" w:hAnsi="Book Antiqua" w:cs="Book Antiqua"/>
          <w:b/>
          <w:bCs/>
        </w:rPr>
        <w:t>Chin-Kuo Chen,</w:t>
      </w:r>
      <w:r w:rsidRPr="00130A78">
        <w:rPr>
          <w:rFonts w:ascii="Book Antiqua" w:eastAsia="宋体" w:hAnsi="Book Antiqua" w:cs="Book Antiqua"/>
          <w:b/>
          <w:bCs/>
          <w:lang w:eastAsia="zh-CN"/>
        </w:rPr>
        <w:t xml:space="preserve"> </w:t>
      </w:r>
      <w:r w:rsidRPr="00130A78">
        <w:rPr>
          <w:rFonts w:ascii="Book Antiqua" w:hAnsi="Book Antiqua" w:cs="Book Antiqua"/>
        </w:rPr>
        <w:t>Department of Otolaryngology, Chang Gung Memorial Hospital</w:t>
      </w:r>
      <w:r w:rsidRPr="00130A78">
        <w:rPr>
          <w:rFonts w:ascii="Book Antiqua" w:eastAsia="宋体" w:hAnsi="Book Antiqua" w:cs="Book Antiqua"/>
          <w:lang w:eastAsia="zh-CN"/>
        </w:rPr>
        <w:t>,</w:t>
      </w:r>
      <w:r w:rsidRPr="00130A78">
        <w:rPr>
          <w:rFonts w:ascii="Book Antiqua" w:hAnsi="Book Antiqua" w:cs="Book Antiqua"/>
        </w:rPr>
        <w:t xml:space="preserve"> Chang Gung University College of Medicine, Taoyuan 333, Taiwan</w:t>
      </w:r>
    </w:p>
    <w:p w:rsidR="00ED3CC6" w:rsidRPr="00032C92" w:rsidRDefault="00ED3CC6" w:rsidP="000B416C">
      <w:pPr>
        <w:snapToGrid w:val="0"/>
        <w:spacing w:line="360" w:lineRule="auto"/>
        <w:jc w:val="both"/>
        <w:rPr>
          <w:rFonts w:ascii="Book Antiqua" w:eastAsia="宋体" w:hAnsi="Book Antiqua" w:cs="Times New Roman"/>
          <w:lang w:eastAsia="zh-CN"/>
        </w:rPr>
      </w:pPr>
    </w:p>
    <w:p w:rsidR="00ED3CC6" w:rsidRPr="00130A78" w:rsidRDefault="00ED3CC6" w:rsidP="000B416C">
      <w:pPr>
        <w:snapToGrid w:val="0"/>
        <w:spacing w:line="360" w:lineRule="auto"/>
        <w:jc w:val="both"/>
        <w:rPr>
          <w:rFonts w:ascii="Book Antiqua" w:eastAsia="宋体" w:hAnsi="Book Antiqua" w:cs="Times New Roman"/>
          <w:lang w:eastAsia="zh-CN"/>
        </w:rPr>
      </w:pPr>
      <w:r w:rsidRPr="00130A78">
        <w:rPr>
          <w:rFonts w:ascii="Book Antiqua" w:hAnsi="Book Antiqua" w:cs="Book Antiqua"/>
          <w:b/>
          <w:bCs/>
        </w:rPr>
        <w:t>Hsing-Yu Chen,</w:t>
      </w:r>
      <w:r w:rsidRPr="00130A78">
        <w:rPr>
          <w:rFonts w:ascii="Book Antiqua" w:eastAsia="宋体" w:hAnsi="Book Antiqua" w:cs="Book Antiqua"/>
          <w:b/>
          <w:bCs/>
          <w:lang w:eastAsia="zh-CN"/>
        </w:rPr>
        <w:t xml:space="preserve"> </w:t>
      </w:r>
      <w:r w:rsidRPr="00130A78">
        <w:rPr>
          <w:rFonts w:ascii="Book Antiqua" w:hAnsi="Book Antiqua" w:cs="Book Antiqua"/>
        </w:rPr>
        <w:t>Center for Traditional Chinese Medicine, Chang Gung Memorial Hospital</w:t>
      </w:r>
      <w:r w:rsidRPr="00130A78">
        <w:rPr>
          <w:rFonts w:ascii="Book Antiqua" w:eastAsia="宋体" w:hAnsi="Book Antiqua" w:cs="Book Antiqua"/>
          <w:lang w:eastAsia="zh-CN"/>
        </w:rPr>
        <w:t>,</w:t>
      </w:r>
      <w:r w:rsidRPr="00130A78">
        <w:rPr>
          <w:rFonts w:ascii="Book Antiqua" w:hAnsi="Book Antiqua" w:cs="Book Antiqua"/>
        </w:rPr>
        <w:t xml:space="preserve"> Chang Gung University College of Medicine, Taoyuan 333, Taiwan</w:t>
      </w:r>
    </w:p>
    <w:p w:rsidR="00ED3CC6" w:rsidRPr="00130A78" w:rsidRDefault="00ED3CC6" w:rsidP="000B416C">
      <w:pPr>
        <w:snapToGrid w:val="0"/>
        <w:spacing w:line="360" w:lineRule="auto"/>
        <w:jc w:val="both"/>
        <w:rPr>
          <w:rFonts w:ascii="Book Antiqua" w:hAnsi="Book Antiqua" w:cs="Book Antiqua"/>
        </w:rPr>
      </w:pPr>
    </w:p>
    <w:p w:rsidR="00ED3CC6" w:rsidRPr="00130A78" w:rsidRDefault="00ED3CC6" w:rsidP="000B416C">
      <w:pPr>
        <w:snapToGrid w:val="0"/>
        <w:spacing w:line="360" w:lineRule="auto"/>
        <w:jc w:val="both"/>
        <w:rPr>
          <w:rFonts w:ascii="Book Antiqua" w:hAnsi="Book Antiqua" w:cs="Book Antiqua"/>
          <w:b/>
          <w:bCs/>
        </w:rPr>
      </w:pPr>
      <w:r w:rsidRPr="00130A78">
        <w:rPr>
          <w:rFonts w:ascii="Book Antiqua" w:hAnsi="Book Antiqua" w:cs="Book Antiqua"/>
          <w:b/>
          <w:bCs/>
        </w:rPr>
        <w:t>Author contributions</w:t>
      </w:r>
      <w:r w:rsidRPr="00130A78">
        <w:rPr>
          <w:rFonts w:ascii="Book Antiqua" w:eastAsia="宋体" w:hAnsi="Book Antiqua" w:cs="Book Antiqua"/>
          <w:b/>
          <w:bCs/>
          <w:lang w:eastAsia="zh-CN"/>
        </w:rPr>
        <w:t xml:space="preserve">: </w:t>
      </w:r>
      <w:r w:rsidRPr="00130A78">
        <w:rPr>
          <w:rFonts w:ascii="Book Antiqua" w:hAnsi="Book Antiqua" w:cs="Book Antiqua"/>
        </w:rPr>
        <w:t>Tsou YK conceptualized and designed the study, performed 24-h</w:t>
      </w:r>
      <w:r w:rsidRPr="00130A78">
        <w:rPr>
          <w:rFonts w:ascii="Book Antiqua" w:eastAsia="宋体" w:hAnsi="Book Antiqua" w:cs="Book Antiqua"/>
          <w:lang w:eastAsia="zh-CN"/>
        </w:rPr>
        <w:t xml:space="preserve"> </w:t>
      </w:r>
      <w:r w:rsidRPr="00130A78">
        <w:rPr>
          <w:rFonts w:ascii="Book Antiqua" w:hAnsi="Book Antiqua" w:cs="Book Antiqua"/>
        </w:rPr>
        <w:t>pH monitoring, analyzed and interpreted the data, and wrote the manuscript; Lien JM revised the manuscript and gave final approval of the version to be published; Chen CK, Lin CH, and Lee MS collected data; Chen HY performed the statistical analyses.</w:t>
      </w:r>
    </w:p>
    <w:p w:rsidR="00ED3CC6" w:rsidRPr="00130A78" w:rsidRDefault="00ED3CC6" w:rsidP="000B416C">
      <w:pPr>
        <w:snapToGrid w:val="0"/>
        <w:spacing w:line="360" w:lineRule="auto"/>
        <w:jc w:val="both"/>
        <w:rPr>
          <w:rFonts w:ascii="Book Antiqua" w:hAnsi="Book Antiqua" w:cs="Book Antiqua"/>
        </w:rPr>
      </w:pPr>
    </w:p>
    <w:p w:rsidR="00ED3CC6" w:rsidRPr="00130A78" w:rsidRDefault="00ED3CC6" w:rsidP="000B416C">
      <w:pPr>
        <w:snapToGrid w:val="0"/>
        <w:spacing w:line="360" w:lineRule="auto"/>
        <w:jc w:val="both"/>
        <w:rPr>
          <w:rFonts w:ascii="Book Antiqua" w:eastAsia="宋体" w:hAnsi="Book Antiqua" w:cs="Times New Roman"/>
          <w:lang w:eastAsia="zh-CN"/>
        </w:rPr>
      </w:pPr>
      <w:r w:rsidRPr="00130A78">
        <w:rPr>
          <w:rFonts w:ascii="Book Antiqua" w:eastAsia="宋体" w:hAnsi="Book Antiqua" w:cs="Book Antiqua"/>
          <w:b/>
          <w:bCs/>
          <w:lang w:eastAsia="zh-CN"/>
        </w:rPr>
        <w:t>S</w:t>
      </w:r>
      <w:r w:rsidRPr="00130A78">
        <w:rPr>
          <w:rFonts w:ascii="Book Antiqua" w:hAnsi="Book Antiqua" w:cs="Book Antiqua"/>
          <w:b/>
          <w:bCs/>
        </w:rPr>
        <w:t>upported by</w:t>
      </w:r>
      <w:r w:rsidRPr="00130A78">
        <w:rPr>
          <w:rFonts w:ascii="Book Antiqua" w:hAnsi="Book Antiqua" w:cs="Book Antiqua"/>
        </w:rPr>
        <w:t xml:space="preserve"> A Grant from Chang Gung Memorial Hospital</w:t>
      </w:r>
      <w:r w:rsidRPr="00130A78">
        <w:rPr>
          <w:rFonts w:ascii="Book Antiqua" w:eastAsia="宋体" w:hAnsi="Book Antiqua" w:cs="Book Antiqua"/>
          <w:lang w:eastAsia="zh-CN"/>
        </w:rPr>
        <w:t>,</w:t>
      </w:r>
      <w:r w:rsidRPr="00130A78">
        <w:rPr>
          <w:rFonts w:ascii="Book Antiqua" w:hAnsi="Book Antiqua" w:cs="Book Antiqua"/>
        </w:rPr>
        <w:t xml:space="preserve"> CMRPG300011</w:t>
      </w:r>
    </w:p>
    <w:p w:rsidR="00ED3CC6" w:rsidRPr="00130A78" w:rsidRDefault="00ED3CC6" w:rsidP="000B416C">
      <w:pPr>
        <w:snapToGrid w:val="0"/>
        <w:spacing w:line="360" w:lineRule="auto"/>
        <w:jc w:val="both"/>
        <w:rPr>
          <w:rFonts w:ascii="Book Antiqua" w:hAnsi="Book Antiqua" w:cs="Book Antiqua"/>
        </w:rPr>
      </w:pPr>
    </w:p>
    <w:p w:rsidR="00ED3CC6" w:rsidRPr="00130A78" w:rsidRDefault="00ED3CC6" w:rsidP="000B416C">
      <w:pPr>
        <w:snapToGrid w:val="0"/>
        <w:spacing w:line="360" w:lineRule="auto"/>
        <w:jc w:val="both"/>
        <w:rPr>
          <w:rFonts w:ascii="Book Antiqua" w:eastAsia="宋体" w:hAnsi="Book Antiqua" w:cs="Times New Roman"/>
          <w:lang w:eastAsia="zh-CN"/>
        </w:rPr>
      </w:pPr>
      <w:r w:rsidRPr="00130A78">
        <w:rPr>
          <w:rFonts w:ascii="Book Antiqua" w:hAnsi="Book Antiqua" w:cs="Book Antiqua"/>
          <w:b/>
          <w:bCs/>
        </w:rPr>
        <w:lastRenderedPageBreak/>
        <w:t xml:space="preserve">Correspondence to: Yung-Kuan Tsou, MD, </w:t>
      </w:r>
      <w:r w:rsidRPr="00130A78">
        <w:rPr>
          <w:rFonts w:ascii="Book Antiqua" w:hAnsi="Book Antiqua" w:cs="Book Antiqua"/>
        </w:rPr>
        <w:t>Department of Gastroenterology and Hepatology, Chang Gung Memorial Hospital</w:t>
      </w:r>
      <w:r w:rsidRPr="00130A78">
        <w:rPr>
          <w:rFonts w:ascii="Book Antiqua" w:eastAsia="宋体" w:hAnsi="Book Antiqua" w:cs="Book Antiqua"/>
          <w:lang w:eastAsia="zh-CN"/>
        </w:rPr>
        <w:t>,</w:t>
      </w:r>
      <w:r w:rsidRPr="00130A78">
        <w:rPr>
          <w:rFonts w:ascii="Book Antiqua" w:hAnsi="Book Antiqua" w:cs="Book Antiqua"/>
        </w:rPr>
        <w:t xml:space="preserve"> Chang Gung University College of Medicine, 5, Fu-Shin Street, Kweishan, Taoyuan 333, Taiwan</w:t>
      </w:r>
      <w:r w:rsidRPr="00130A78">
        <w:rPr>
          <w:rFonts w:ascii="Book Antiqua" w:eastAsia="宋体" w:hAnsi="Book Antiqua" w:cs="Book Antiqua"/>
          <w:lang w:eastAsia="zh-CN"/>
        </w:rPr>
        <w:t xml:space="preserve">. </w:t>
      </w:r>
      <w:hyperlink r:id="rId8" w:history="1">
        <w:r w:rsidRPr="00130A78">
          <w:rPr>
            <w:rStyle w:val="a6"/>
            <w:rFonts w:ascii="Book Antiqua" w:hAnsi="Book Antiqua" w:cs="Book Antiqua"/>
          </w:rPr>
          <w:t>flying3454@xuite.net</w:t>
        </w:r>
      </w:hyperlink>
    </w:p>
    <w:p w:rsidR="00ED3CC6" w:rsidRPr="00130A78" w:rsidRDefault="00ED3CC6" w:rsidP="000B416C">
      <w:pPr>
        <w:snapToGrid w:val="0"/>
        <w:spacing w:line="360" w:lineRule="auto"/>
        <w:jc w:val="both"/>
        <w:rPr>
          <w:rFonts w:ascii="Book Antiqua" w:eastAsia="宋体" w:hAnsi="Book Antiqua" w:cs="Times New Roman"/>
          <w:lang w:eastAsia="zh-CN"/>
        </w:rPr>
      </w:pPr>
    </w:p>
    <w:p w:rsidR="00ED3CC6" w:rsidRPr="00130A78" w:rsidRDefault="00ED3CC6" w:rsidP="000B416C">
      <w:pPr>
        <w:snapToGrid w:val="0"/>
        <w:spacing w:line="360" w:lineRule="auto"/>
        <w:jc w:val="both"/>
        <w:rPr>
          <w:rFonts w:ascii="Book Antiqua" w:hAnsi="Book Antiqua" w:cs="Book Antiqua"/>
        </w:rPr>
      </w:pPr>
      <w:r w:rsidRPr="00130A78">
        <w:rPr>
          <w:rFonts w:ascii="Book Antiqua" w:hAnsi="Book Antiqua" w:cs="Book Antiqua"/>
          <w:b/>
          <w:bCs/>
        </w:rPr>
        <w:t>Telephone:</w:t>
      </w:r>
      <w:r w:rsidRPr="00130A78">
        <w:rPr>
          <w:rFonts w:ascii="Book Antiqua" w:hAnsi="Book Antiqua" w:cs="Book Antiqua"/>
        </w:rPr>
        <w:t xml:space="preserve"> +886-3-3281200 </w:t>
      </w:r>
      <w:r w:rsidRPr="00130A78">
        <w:rPr>
          <w:rFonts w:ascii="Book Antiqua" w:eastAsia="宋体" w:hAnsi="Book Antiqua" w:cs="Book Antiqua"/>
          <w:lang w:eastAsia="zh-CN"/>
        </w:rPr>
        <w:t xml:space="preserve">    </w:t>
      </w:r>
      <w:r w:rsidRPr="00130A78">
        <w:rPr>
          <w:rFonts w:ascii="Book Antiqua" w:hAnsi="Book Antiqua" w:cs="Book Antiqua"/>
          <w:b/>
          <w:bCs/>
        </w:rPr>
        <w:t>Fax:</w:t>
      </w:r>
      <w:r w:rsidRPr="00130A78">
        <w:rPr>
          <w:rFonts w:ascii="Book Antiqua" w:hAnsi="Book Antiqua" w:cs="Book Antiqua"/>
        </w:rPr>
        <w:t xml:space="preserve"> +886-3-3272236 </w:t>
      </w:r>
    </w:p>
    <w:p w:rsidR="00ED3CC6" w:rsidRPr="00130A78" w:rsidRDefault="00ED3CC6" w:rsidP="000B416C">
      <w:pPr>
        <w:snapToGrid w:val="0"/>
        <w:spacing w:line="360" w:lineRule="auto"/>
        <w:jc w:val="both"/>
        <w:rPr>
          <w:rFonts w:ascii="Book Antiqua" w:hAnsi="Book Antiqua" w:cs="Book Antiqua"/>
          <w:b/>
          <w:bCs/>
        </w:rPr>
      </w:pPr>
      <w:bookmarkStart w:id="0" w:name="OLE_LINK25"/>
      <w:bookmarkStart w:id="1" w:name="OLE_LINK26"/>
      <w:bookmarkStart w:id="2" w:name="OLE_LINK145"/>
      <w:bookmarkStart w:id="3" w:name="OLE_LINK215"/>
      <w:bookmarkStart w:id="4" w:name="OLE_LINK352"/>
      <w:bookmarkStart w:id="5" w:name="OLE_LINK364"/>
      <w:r w:rsidRPr="00130A78">
        <w:rPr>
          <w:rFonts w:ascii="Book Antiqua" w:hAnsi="Book Antiqua" w:cs="Book Antiqua"/>
          <w:b/>
          <w:bCs/>
        </w:rPr>
        <w:t>Received:</w:t>
      </w:r>
      <w:r w:rsidRPr="00130A78">
        <w:rPr>
          <w:rFonts w:ascii="Book Antiqua" w:eastAsia="宋体" w:hAnsi="Book Antiqua" w:cs="Book Antiqua"/>
          <w:lang w:eastAsia="zh-CN"/>
        </w:rPr>
        <w:t xml:space="preserve"> October 25, 2012</w:t>
      </w:r>
      <w:r w:rsidRPr="00130A78">
        <w:rPr>
          <w:rFonts w:ascii="Book Antiqua" w:hAnsi="Book Antiqua" w:cs="Book Antiqua"/>
        </w:rPr>
        <w:t xml:space="preserve"> </w:t>
      </w:r>
      <w:r w:rsidRPr="00130A78">
        <w:rPr>
          <w:rFonts w:ascii="Book Antiqua" w:hAnsi="Book Antiqua" w:cs="Book Antiqua"/>
          <w:b/>
          <w:bCs/>
        </w:rPr>
        <w:t xml:space="preserve">  Revised:</w:t>
      </w:r>
      <w:r w:rsidRPr="00130A78">
        <w:rPr>
          <w:rFonts w:ascii="Book Antiqua" w:eastAsia="宋体" w:hAnsi="Book Antiqua" w:cs="Book Antiqua"/>
          <w:b/>
          <w:bCs/>
          <w:lang w:eastAsia="zh-CN"/>
        </w:rPr>
        <w:t xml:space="preserve"> </w:t>
      </w:r>
      <w:r w:rsidRPr="00130A78">
        <w:rPr>
          <w:rFonts w:ascii="Book Antiqua" w:eastAsia="宋体" w:hAnsi="Book Antiqua" w:cs="Book Antiqua"/>
          <w:lang w:eastAsia="zh-CN"/>
        </w:rPr>
        <w:t>December 17, 2012</w:t>
      </w:r>
      <w:r w:rsidRPr="00130A78">
        <w:rPr>
          <w:rFonts w:ascii="Book Antiqua" w:hAnsi="Book Antiqua" w:cs="Book Antiqua"/>
        </w:rPr>
        <w:t xml:space="preserve"> </w:t>
      </w:r>
      <w:bookmarkEnd w:id="0"/>
      <w:bookmarkEnd w:id="1"/>
      <w:r w:rsidRPr="00130A78">
        <w:rPr>
          <w:rFonts w:ascii="Book Antiqua" w:hAnsi="Book Antiqua" w:cs="Book Antiqua"/>
        </w:rPr>
        <w:t xml:space="preserve"> </w:t>
      </w:r>
      <w:bookmarkStart w:id="6" w:name="OLE_LINK103"/>
      <w:bookmarkStart w:id="7" w:name="OLE_LINK104"/>
      <w:bookmarkStart w:id="8" w:name="OLE_LINK69"/>
      <w:bookmarkStart w:id="9" w:name="OLE_LINK70"/>
    </w:p>
    <w:p w:rsidR="009425D4" w:rsidRDefault="00ED3CC6" w:rsidP="009425D4">
      <w:bookmarkStart w:id="10" w:name="OLE_LINK303"/>
      <w:bookmarkStart w:id="11" w:name="OLE_LINK304"/>
      <w:r w:rsidRPr="00130A78">
        <w:rPr>
          <w:rFonts w:ascii="Book Antiqua" w:hAnsi="Book Antiqua" w:cs="Book Antiqua"/>
          <w:b/>
          <w:bCs/>
        </w:rPr>
        <w:t xml:space="preserve">Accepted: </w:t>
      </w:r>
      <w:r w:rsidR="009425D4">
        <w:t>December 25, 2012</w:t>
      </w:r>
    </w:p>
    <w:p w:rsidR="00ED3CC6" w:rsidRPr="00130A78" w:rsidRDefault="00ED3CC6" w:rsidP="000B416C">
      <w:pPr>
        <w:snapToGrid w:val="0"/>
        <w:spacing w:line="360" w:lineRule="auto"/>
        <w:jc w:val="both"/>
        <w:rPr>
          <w:rFonts w:ascii="Book Antiqua" w:hAnsi="Book Antiqua" w:cs="Book Antiqua"/>
          <w:b/>
          <w:bCs/>
        </w:rPr>
      </w:pPr>
      <w:bookmarkStart w:id="12" w:name="_GoBack"/>
      <w:bookmarkEnd w:id="12"/>
      <w:r w:rsidRPr="00130A78">
        <w:rPr>
          <w:rFonts w:ascii="Book Antiqua" w:hAnsi="Book Antiqua" w:cs="Book Antiqua"/>
          <w:b/>
          <w:bCs/>
        </w:rPr>
        <w:t xml:space="preserve"> Published online: </w:t>
      </w:r>
      <w:bookmarkEnd w:id="6"/>
      <w:bookmarkEnd w:id="7"/>
    </w:p>
    <w:bookmarkEnd w:id="2"/>
    <w:bookmarkEnd w:id="3"/>
    <w:bookmarkEnd w:id="4"/>
    <w:bookmarkEnd w:id="5"/>
    <w:bookmarkEnd w:id="8"/>
    <w:bookmarkEnd w:id="9"/>
    <w:bookmarkEnd w:id="10"/>
    <w:bookmarkEnd w:id="11"/>
    <w:p w:rsidR="00ED3CC6" w:rsidRPr="00130A78" w:rsidRDefault="00ED3CC6" w:rsidP="000B416C">
      <w:pPr>
        <w:snapToGrid w:val="0"/>
        <w:spacing w:line="360" w:lineRule="auto"/>
        <w:jc w:val="both"/>
        <w:rPr>
          <w:rFonts w:ascii="Book Antiqua" w:hAnsi="Book Antiqua" w:cs="Book Antiqua"/>
        </w:rPr>
      </w:pPr>
    </w:p>
    <w:p w:rsidR="00ED3CC6" w:rsidRPr="00130A78" w:rsidRDefault="00ED3CC6" w:rsidP="000B416C">
      <w:pPr>
        <w:snapToGrid w:val="0"/>
        <w:spacing w:line="360" w:lineRule="auto"/>
        <w:jc w:val="both"/>
        <w:rPr>
          <w:rFonts w:ascii="Book Antiqua" w:hAnsi="Book Antiqua" w:cs="Book Antiqua"/>
          <w:b/>
          <w:bCs/>
        </w:rPr>
      </w:pPr>
    </w:p>
    <w:p w:rsidR="00ED3CC6" w:rsidRPr="00130A78" w:rsidRDefault="00ED3CC6" w:rsidP="000B416C">
      <w:pPr>
        <w:snapToGrid w:val="0"/>
        <w:spacing w:line="360" w:lineRule="auto"/>
        <w:jc w:val="both"/>
        <w:rPr>
          <w:rFonts w:ascii="Book Antiqua" w:hAnsi="Book Antiqua" w:cs="Book Antiqua"/>
          <w:b/>
          <w:bCs/>
        </w:rPr>
      </w:pPr>
    </w:p>
    <w:p w:rsidR="00ED3CC6" w:rsidRPr="00130A78" w:rsidRDefault="00ED3CC6" w:rsidP="000B416C">
      <w:pPr>
        <w:snapToGrid w:val="0"/>
        <w:spacing w:line="360" w:lineRule="auto"/>
        <w:jc w:val="both"/>
        <w:rPr>
          <w:rFonts w:ascii="Book Antiqua" w:hAnsi="Book Antiqua" w:cs="Book Antiqua"/>
          <w:b/>
          <w:bCs/>
        </w:rPr>
      </w:pPr>
    </w:p>
    <w:p w:rsidR="00ED3CC6" w:rsidRPr="00130A78" w:rsidRDefault="00ED3CC6" w:rsidP="000B416C">
      <w:pPr>
        <w:snapToGrid w:val="0"/>
        <w:spacing w:line="360" w:lineRule="auto"/>
        <w:jc w:val="both"/>
        <w:rPr>
          <w:rFonts w:ascii="Book Antiqua" w:hAnsi="Book Antiqua" w:cs="Book Antiqua"/>
          <w:b/>
          <w:bCs/>
        </w:rPr>
      </w:pPr>
    </w:p>
    <w:p w:rsidR="00ED3CC6" w:rsidRPr="00130A78" w:rsidRDefault="00ED3CC6" w:rsidP="000B416C">
      <w:pPr>
        <w:snapToGrid w:val="0"/>
        <w:spacing w:line="360" w:lineRule="auto"/>
        <w:jc w:val="both"/>
        <w:rPr>
          <w:rFonts w:ascii="Book Antiqua" w:hAnsi="Book Antiqua" w:cs="Book Antiqua"/>
          <w:b/>
          <w:bCs/>
        </w:rPr>
      </w:pPr>
    </w:p>
    <w:p w:rsidR="00ED3CC6" w:rsidRPr="00130A78" w:rsidRDefault="00ED3CC6" w:rsidP="000B416C">
      <w:pPr>
        <w:snapToGrid w:val="0"/>
        <w:spacing w:line="360" w:lineRule="auto"/>
        <w:jc w:val="both"/>
        <w:rPr>
          <w:rFonts w:ascii="Book Antiqua" w:hAnsi="Book Antiqua" w:cs="Book Antiqua"/>
          <w:b/>
          <w:bCs/>
        </w:rPr>
      </w:pPr>
    </w:p>
    <w:p w:rsidR="00ED3CC6" w:rsidRPr="00130A78" w:rsidRDefault="00ED3CC6" w:rsidP="000B416C">
      <w:pPr>
        <w:snapToGrid w:val="0"/>
        <w:spacing w:line="360" w:lineRule="auto"/>
        <w:jc w:val="both"/>
        <w:rPr>
          <w:rFonts w:ascii="Book Antiqua" w:hAnsi="Book Antiqua" w:cs="Book Antiqua"/>
          <w:b/>
          <w:bCs/>
        </w:rPr>
      </w:pPr>
    </w:p>
    <w:p w:rsidR="00ED3CC6" w:rsidRPr="00130A78" w:rsidRDefault="00ED3CC6" w:rsidP="000B416C">
      <w:pPr>
        <w:snapToGrid w:val="0"/>
        <w:spacing w:line="360" w:lineRule="auto"/>
        <w:jc w:val="both"/>
        <w:rPr>
          <w:rFonts w:ascii="Book Antiqua" w:hAnsi="Book Antiqua" w:cs="Book Antiqua"/>
          <w:b/>
          <w:bCs/>
        </w:rPr>
      </w:pPr>
      <w:r w:rsidRPr="00130A78">
        <w:rPr>
          <w:rFonts w:ascii="Book Antiqua" w:hAnsi="Book Antiqua" w:cs="Book Antiqua"/>
          <w:b/>
          <w:bCs/>
        </w:rPr>
        <w:t>Abstract</w:t>
      </w:r>
    </w:p>
    <w:p w:rsidR="00ED3CC6" w:rsidRPr="00130A78" w:rsidRDefault="00ED3CC6" w:rsidP="000B416C">
      <w:pPr>
        <w:snapToGrid w:val="0"/>
        <w:spacing w:line="360" w:lineRule="auto"/>
        <w:jc w:val="both"/>
        <w:rPr>
          <w:rFonts w:ascii="Book Antiqua" w:hAnsi="Book Antiqua" w:cs="Book Antiqua"/>
        </w:rPr>
      </w:pPr>
      <w:r w:rsidRPr="00130A78">
        <w:rPr>
          <w:rFonts w:ascii="Book Antiqua" w:hAnsi="Book Antiqua" w:cs="Book Antiqua"/>
          <w:b/>
          <w:bCs/>
        </w:rPr>
        <w:t xml:space="preserve">AIM: </w:t>
      </w:r>
      <w:r w:rsidRPr="00130A78">
        <w:rPr>
          <w:rFonts w:ascii="Book Antiqua" w:hAnsi="Book Antiqua" w:cs="Book Antiqua"/>
        </w:rPr>
        <w:t>To investigate the impact of esophagogastroduodenoscopy with conscious sedation on the subsequent 24-h catheter-based pH monitoring.</w:t>
      </w:r>
    </w:p>
    <w:p w:rsidR="00ED3CC6" w:rsidRPr="00130A78" w:rsidRDefault="00ED3CC6" w:rsidP="000B416C">
      <w:pPr>
        <w:snapToGrid w:val="0"/>
        <w:spacing w:line="360" w:lineRule="auto"/>
        <w:jc w:val="both"/>
        <w:rPr>
          <w:rFonts w:ascii="Book Antiqua" w:hAnsi="Book Antiqua" w:cs="Book Antiqua"/>
          <w:b/>
          <w:bCs/>
        </w:rPr>
      </w:pPr>
    </w:p>
    <w:p w:rsidR="00ED3CC6" w:rsidRPr="00130A78" w:rsidRDefault="00ED3CC6" w:rsidP="000B416C">
      <w:pPr>
        <w:snapToGrid w:val="0"/>
        <w:spacing w:line="360" w:lineRule="auto"/>
        <w:jc w:val="both"/>
        <w:rPr>
          <w:rFonts w:ascii="Book Antiqua" w:hAnsi="Book Antiqua" w:cs="Book Antiqua"/>
          <w:color w:val="000000"/>
        </w:rPr>
      </w:pPr>
      <w:r w:rsidRPr="00130A78">
        <w:rPr>
          <w:rFonts w:ascii="Book Antiqua" w:hAnsi="Book Antiqua" w:cs="Book Antiqua"/>
          <w:b/>
          <w:bCs/>
        </w:rPr>
        <w:t xml:space="preserve">METHODS: </w:t>
      </w:r>
      <w:r w:rsidRPr="00130A78">
        <w:rPr>
          <w:rFonts w:ascii="Book Antiqua" w:hAnsi="Book Antiqua" w:cs="Book Antiqua"/>
        </w:rPr>
        <w:t>Fifty patients with extra-esophageal symptoms of gastroesophageal reflux disease undergoing ambulatory dual-probe 24-h pH monitoring were enrolle</w:t>
      </w:r>
      <w:r w:rsidRPr="00130A78">
        <w:rPr>
          <w:rFonts w:ascii="Book Antiqua" w:hAnsi="Book Antiqua" w:cs="Book Antiqua"/>
          <w:color w:val="000000"/>
        </w:rPr>
        <w:t xml:space="preserve">d from March 2010 to August 2011. All of the data were collected prospectively and analyzed retrospectively. Thirty-six patients (72%, Group A) underwent pH monitoring shortly after </w:t>
      </w:r>
      <w:r w:rsidRPr="00130A78">
        <w:rPr>
          <w:rFonts w:ascii="Book Antiqua" w:hAnsi="Book Antiqua" w:cs="Book Antiqua"/>
        </w:rPr>
        <w:t>esophagogastroduodenoscopy</w:t>
      </w:r>
      <w:r w:rsidRPr="00130A78">
        <w:rPr>
          <w:rFonts w:ascii="Book Antiqua" w:hAnsi="Book Antiqua" w:cs="Book Antiqua"/>
          <w:color w:val="000000"/>
        </w:rPr>
        <w:t xml:space="preserve"> (EGD) with conscious sedation, and 14 patients (28%, Group B) underwent pH monitoring without conscious sedation. The 24-h pH data from two time periods were analyzed: the first 4 h (Period I) and the remaining time of the study (Period II). </w:t>
      </w:r>
    </w:p>
    <w:p w:rsidR="00ED3CC6" w:rsidRPr="00130A78" w:rsidRDefault="00ED3CC6" w:rsidP="000B416C">
      <w:pPr>
        <w:snapToGrid w:val="0"/>
        <w:spacing w:line="360" w:lineRule="auto"/>
        <w:jc w:val="both"/>
        <w:rPr>
          <w:rFonts w:ascii="Book Antiqua" w:hAnsi="Book Antiqua" w:cs="Book Antiqua"/>
          <w:b/>
          <w:bCs/>
        </w:rPr>
      </w:pPr>
    </w:p>
    <w:p w:rsidR="00ED3CC6" w:rsidRPr="00130A78" w:rsidRDefault="00ED3CC6" w:rsidP="000B416C">
      <w:pPr>
        <w:snapToGrid w:val="0"/>
        <w:spacing w:line="360" w:lineRule="auto"/>
        <w:jc w:val="both"/>
        <w:rPr>
          <w:rFonts w:ascii="Book Antiqua" w:hAnsi="Book Antiqua" w:cs="Book Antiqua"/>
          <w:color w:val="000000"/>
        </w:rPr>
      </w:pPr>
      <w:r w:rsidRPr="00130A78">
        <w:rPr>
          <w:rFonts w:ascii="Book Antiqua" w:hAnsi="Book Antiqua" w:cs="Book Antiqua"/>
          <w:b/>
          <w:bCs/>
        </w:rPr>
        <w:lastRenderedPageBreak/>
        <w:t xml:space="preserve">RESULTS: </w:t>
      </w:r>
      <w:r w:rsidRPr="00130A78">
        <w:rPr>
          <w:rFonts w:ascii="Book Antiqua" w:hAnsi="Book Antiqua" w:cs="Book Antiqua"/>
        </w:rPr>
        <w:t>The mean age of the patients was 49.6 ± 12.5 years; 20 patients (40%) were men. The baseli</w:t>
      </w:r>
      <w:r w:rsidRPr="00130A78">
        <w:rPr>
          <w:rFonts w:ascii="Book Antiqua" w:hAnsi="Book Antiqua" w:cs="Book Antiqua"/>
          <w:color w:val="000000"/>
        </w:rPr>
        <w:t xml:space="preserve">ne data, including age, sex, body mass index, reflux esophagitis, the Reflux Symptom Index, and the Reflux Findings Score, were comparable between the two groups. The percentage of total time with a pH &lt; 4 and the frequency of acid reflux during Period I were not significantly different between the two groups, as measured using both pharyngeal (0.03% ± 0.10% </w:t>
      </w:r>
      <w:r w:rsidRPr="00130A78">
        <w:rPr>
          <w:rFonts w:ascii="Book Antiqua" w:hAnsi="Book Antiqua" w:cs="Book Antiqua"/>
          <w:i/>
          <w:iCs/>
          <w:color w:val="000000"/>
        </w:rPr>
        <w:t>vs</w:t>
      </w:r>
      <w:r w:rsidRPr="00130A78">
        <w:rPr>
          <w:rFonts w:ascii="Book Antiqua" w:hAnsi="Book Antiqua" w:cs="Book Antiqua"/>
          <w:color w:val="000000"/>
        </w:rPr>
        <w:t xml:space="preserve"> 0.07% ± 0.16%, </w:t>
      </w:r>
      <w:r w:rsidRPr="00130A78">
        <w:rPr>
          <w:rFonts w:ascii="Book Antiqua" w:hAnsi="Book Antiqua" w:cs="Book Antiqua"/>
          <w:i/>
          <w:iCs/>
          <w:color w:val="000000"/>
        </w:rPr>
        <w:t>P</w:t>
      </w:r>
      <w:r w:rsidRPr="00130A78">
        <w:rPr>
          <w:rFonts w:ascii="Book Antiqua" w:hAnsi="Book Antiqua" w:cs="Book Antiqua"/>
          <w:color w:val="000000"/>
        </w:rPr>
        <w:t xml:space="preserve"> = 0.32; and 0.07 ± 0.23 episodes/h </w:t>
      </w:r>
      <w:r w:rsidRPr="00130A78">
        <w:rPr>
          <w:rFonts w:ascii="Book Antiqua" w:hAnsi="Book Antiqua" w:cs="Book Antiqua"/>
          <w:i/>
          <w:iCs/>
          <w:color w:val="000000"/>
        </w:rPr>
        <w:t>vs</w:t>
      </w:r>
      <w:r w:rsidRPr="00130A78">
        <w:rPr>
          <w:rFonts w:ascii="Book Antiqua" w:hAnsi="Book Antiqua" w:cs="Book Antiqua"/>
          <w:color w:val="000000"/>
        </w:rPr>
        <w:t xml:space="preserve"> 0.18 ± 0.47 episodes/h, </w:t>
      </w:r>
      <w:r w:rsidRPr="00130A78">
        <w:rPr>
          <w:rFonts w:ascii="Book Antiqua" w:hAnsi="Book Antiqua" w:cs="Book Antiqua"/>
          <w:i/>
          <w:iCs/>
          <w:color w:val="000000"/>
        </w:rPr>
        <w:t>P</w:t>
      </w:r>
      <w:r w:rsidRPr="00130A78">
        <w:rPr>
          <w:rFonts w:ascii="Book Antiqua" w:hAnsi="Book Antiqua" w:cs="Book Antiqua"/>
          <w:color w:val="000000"/>
        </w:rPr>
        <w:t xml:space="preserve"> = 0.33, respectively) and esophageal probes (0.96% ± 1.89% </w:t>
      </w:r>
      <w:r w:rsidRPr="00130A78">
        <w:rPr>
          <w:rFonts w:ascii="Book Antiqua" w:hAnsi="Book Antiqua" w:cs="Book Antiqua"/>
          <w:i/>
          <w:iCs/>
          <w:color w:val="000000"/>
        </w:rPr>
        <w:t>vs</w:t>
      </w:r>
      <w:r w:rsidRPr="00130A78">
        <w:rPr>
          <w:rFonts w:ascii="Book Antiqua" w:hAnsi="Book Antiqua" w:cs="Book Antiqua"/>
          <w:color w:val="000000"/>
        </w:rPr>
        <w:t xml:space="preserve"> 0.42% ± 0.81%, </w:t>
      </w:r>
      <w:r w:rsidRPr="00130A78">
        <w:rPr>
          <w:rFonts w:ascii="Book Antiqua" w:hAnsi="Book Antiqua" w:cs="Book Antiqua"/>
          <w:i/>
          <w:iCs/>
          <w:color w:val="000000"/>
        </w:rPr>
        <w:t>P</w:t>
      </w:r>
      <w:r w:rsidRPr="00130A78">
        <w:rPr>
          <w:rFonts w:ascii="Book Antiqua" w:hAnsi="Book Antiqua" w:cs="Book Antiqua"/>
          <w:color w:val="000000"/>
        </w:rPr>
        <w:t xml:space="preserve"> = 0.59; and 0.74 ± 1.51 episodes/h</w:t>
      </w:r>
      <w:r w:rsidRPr="00130A78">
        <w:rPr>
          <w:rFonts w:ascii="Book Antiqua" w:hAnsi="Book Antiqua" w:cs="Book Antiqua"/>
          <w:i/>
          <w:iCs/>
          <w:color w:val="000000"/>
        </w:rPr>
        <w:t xml:space="preserve"> vs</w:t>
      </w:r>
      <w:r w:rsidRPr="00130A78">
        <w:rPr>
          <w:rFonts w:ascii="Book Antiqua" w:hAnsi="Book Antiqua" w:cs="Book Antiqua"/>
          <w:color w:val="000000"/>
        </w:rPr>
        <w:t xml:space="preserve"> 0.63 ± 0.97 episodes/h, </w:t>
      </w:r>
      <w:r w:rsidRPr="00130A78">
        <w:rPr>
          <w:rFonts w:ascii="Book Antiqua" w:hAnsi="Book Antiqua" w:cs="Book Antiqua"/>
          <w:i/>
          <w:iCs/>
          <w:color w:val="000000"/>
        </w:rPr>
        <w:t>P</w:t>
      </w:r>
      <w:r w:rsidRPr="00130A78">
        <w:rPr>
          <w:rFonts w:ascii="Book Antiqua" w:hAnsi="Book Antiqua" w:cs="Book Antiqua"/>
          <w:color w:val="000000"/>
        </w:rPr>
        <w:t xml:space="preserve"> = 0.49, respectively). The percentage of total time with a pH &lt;</w:t>
      </w:r>
      <w:r w:rsidRPr="00130A78">
        <w:rPr>
          <w:rFonts w:ascii="Book Antiqua" w:eastAsia="宋体" w:hAnsi="Book Antiqua" w:cs="Book Antiqua"/>
          <w:color w:val="000000"/>
          <w:lang w:eastAsia="zh-CN"/>
        </w:rPr>
        <w:t xml:space="preserve"> </w:t>
      </w:r>
      <w:r w:rsidRPr="00130A78">
        <w:rPr>
          <w:rFonts w:ascii="Book Antiqua" w:hAnsi="Book Antiqua" w:cs="Book Antiqua"/>
          <w:color w:val="000000"/>
        </w:rPr>
        <w:t xml:space="preserve">4 and the frequency of acid reflux were also not significantly different between Periods I and II in Group A patients, as measured using both pharyngeal (0.03% ± 0.10% </w:t>
      </w:r>
      <w:r w:rsidRPr="00130A78">
        <w:rPr>
          <w:rFonts w:ascii="Book Antiqua" w:hAnsi="Book Antiqua" w:cs="Book Antiqua"/>
          <w:i/>
          <w:iCs/>
          <w:color w:val="000000"/>
        </w:rPr>
        <w:t>vs</w:t>
      </w:r>
      <w:r w:rsidRPr="00130A78">
        <w:rPr>
          <w:rFonts w:ascii="Book Antiqua" w:hAnsi="Book Antiqua" w:cs="Book Antiqua"/>
          <w:color w:val="000000"/>
        </w:rPr>
        <w:t xml:space="preserve"> 0.23% ± 0.85%, </w:t>
      </w:r>
      <w:r w:rsidRPr="00130A78">
        <w:rPr>
          <w:rFonts w:ascii="Book Antiqua" w:hAnsi="Book Antiqua" w:cs="Book Antiqua"/>
          <w:i/>
          <w:iCs/>
          <w:color w:val="000000"/>
        </w:rPr>
        <w:t>P</w:t>
      </w:r>
      <w:r w:rsidRPr="00130A78">
        <w:rPr>
          <w:rFonts w:ascii="Book Antiqua" w:hAnsi="Book Antiqua" w:cs="Book Antiqua"/>
          <w:color w:val="000000"/>
        </w:rPr>
        <w:t xml:space="preserve"> = 0.21; and 0.07 ± 0.23 episodes/h </w:t>
      </w:r>
      <w:r w:rsidRPr="00130A78">
        <w:rPr>
          <w:rFonts w:ascii="Book Antiqua" w:hAnsi="Book Antiqua" w:cs="Book Antiqua"/>
          <w:i/>
          <w:iCs/>
          <w:color w:val="000000"/>
        </w:rPr>
        <w:t>vs</w:t>
      </w:r>
      <w:r w:rsidRPr="00130A78">
        <w:rPr>
          <w:rFonts w:ascii="Book Antiqua" w:hAnsi="Book Antiqua" w:cs="Book Antiqua"/>
          <w:color w:val="000000"/>
        </w:rPr>
        <w:t xml:space="preserve"> 0.29 ± 0.98 episodes/h, </w:t>
      </w:r>
      <w:r w:rsidRPr="00130A78">
        <w:rPr>
          <w:rFonts w:ascii="Book Antiqua" w:hAnsi="Book Antiqua" w:cs="Book Antiqua"/>
          <w:i/>
          <w:iCs/>
          <w:color w:val="000000"/>
        </w:rPr>
        <w:t>P</w:t>
      </w:r>
      <w:r w:rsidRPr="00130A78">
        <w:rPr>
          <w:rFonts w:ascii="Book Antiqua" w:hAnsi="Book Antiqua" w:cs="Book Antiqua"/>
          <w:color w:val="000000"/>
        </w:rPr>
        <w:t xml:space="preserve"> = 0.22, respectively) and esophageal probes (0.96% ± 1.89% </w:t>
      </w:r>
      <w:r w:rsidRPr="00130A78">
        <w:rPr>
          <w:rFonts w:ascii="Book Antiqua" w:hAnsi="Book Antiqua" w:cs="Book Antiqua"/>
          <w:i/>
          <w:iCs/>
          <w:color w:val="000000"/>
        </w:rPr>
        <w:t>vs</w:t>
      </w:r>
      <w:r w:rsidRPr="00130A78">
        <w:rPr>
          <w:rFonts w:ascii="Book Antiqua" w:hAnsi="Book Antiqua" w:cs="Book Antiqua"/>
          <w:color w:val="000000"/>
        </w:rPr>
        <w:t xml:space="preserve"> 1.11% ± 2.57%, </w:t>
      </w:r>
      <w:r w:rsidRPr="00130A78">
        <w:rPr>
          <w:rFonts w:ascii="Book Antiqua" w:hAnsi="Book Antiqua" w:cs="Book Antiqua"/>
          <w:i/>
          <w:iCs/>
          <w:color w:val="000000"/>
        </w:rPr>
        <w:t>P</w:t>
      </w:r>
      <w:r w:rsidRPr="00130A78">
        <w:rPr>
          <w:rFonts w:ascii="Book Antiqua" w:hAnsi="Book Antiqua" w:cs="Book Antiqua"/>
          <w:color w:val="000000"/>
        </w:rPr>
        <w:t xml:space="preserve"> = 0.55; and 0.74 ± 1.51 episodes/h </w:t>
      </w:r>
      <w:r w:rsidRPr="00130A78">
        <w:rPr>
          <w:rFonts w:ascii="Book Antiqua" w:hAnsi="Book Antiqua" w:cs="Book Antiqua"/>
          <w:i/>
          <w:iCs/>
          <w:color w:val="000000"/>
        </w:rPr>
        <w:t>vs</w:t>
      </w:r>
      <w:r w:rsidRPr="00130A78">
        <w:rPr>
          <w:rFonts w:ascii="Book Antiqua" w:hAnsi="Book Antiqua" w:cs="Book Antiqua"/>
          <w:color w:val="000000"/>
        </w:rPr>
        <w:t xml:space="preserve"> 0.81 ± 1.76 episodes/h, </w:t>
      </w:r>
      <w:r w:rsidRPr="00130A78">
        <w:rPr>
          <w:rFonts w:ascii="Book Antiqua" w:hAnsi="Book Antiqua" w:cs="Book Antiqua"/>
          <w:i/>
          <w:iCs/>
          <w:color w:val="000000"/>
        </w:rPr>
        <w:t>P</w:t>
      </w:r>
      <w:r w:rsidRPr="00130A78">
        <w:rPr>
          <w:rFonts w:ascii="Book Antiqua" w:hAnsi="Book Antiqua" w:cs="Book Antiqua"/>
          <w:color w:val="000000"/>
        </w:rPr>
        <w:t xml:space="preserve"> = 0.55, respectively).</w:t>
      </w:r>
    </w:p>
    <w:p w:rsidR="00ED3CC6" w:rsidRPr="00130A78" w:rsidRDefault="00ED3CC6" w:rsidP="000B416C">
      <w:pPr>
        <w:snapToGrid w:val="0"/>
        <w:spacing w:line="360" w:lineRule="auto"/>
        <w:jc w:val="both"/>
        <w:rPr>
          <w:rFonts w:ascii="Book Antiqua" w:hAnsi="Book Antiqua" w:cs="Book Antiqua"/>
          <w:b/>
          <w:bCs/>
        </w:rPr>
      </w:pPr>
    </w:p>
    <w:p w:rsidR="00ED3CC6" w:rsidRPr="00130A78" w:rsidRDefault="00ED3CC6" w:rsidP="000B416C">
      <w:pPr>
        <w:snapToGrid w:val="0"/>
        <w:spacing w:line="360" w:lineRule="auto"/>
        <w:jc w:val="both"/>
        <w:rPr>
          <w:rFonts w:ascii="Book Antiqua" w:hAnsi="Book Antiqua" w:cs="Book Antiqua"/>
        </w:rPr>
      </w:pPr>
      <w:r w:rsidRPr="00130A78">
        <w:rPr>
          <w:rFonts w:ascii="Book Antiqua" w:hAnsi="Book Antiqua" w:cs="Book Antiqua"/>
          <w:b/>
          <w:bCs/>
        </w:rPr>
        <w:t xml:space="preserve">CONCLUSIONS: </w:t>
      </w:r>
      <w:r w:rsidRPr="00130A78">
        <w:rPr>
          <w:rFonts w:ascii="Book Antiqua" w:hAnsi="Book Antiqua" w:cs="Book Antiqua"/>
        </w:rPr>
        <w:t>EGD with conscious sedation does not interfere with the results of subsequent 24-h pH monitoring in patients with extra-esophageal symptoms of gastroesophageal reflux disease.</w:t>
      </w:r>
    </w:p>
    <w:p w:rsidR="00ED3CC6" w:rsidRPr="00130A78" w:rsidRDefault="00ED3CC6" w:rsidP="000B416C">
      <w:pPr>
        <w:snapToGrid w:val="0"/>
        <w:spacing w:line="360" w:lineRule="auto"/>
        <w:jc w:val="both"/>
        <w:rPr>
          <w:rFonts w:ascii="Book Antiqua" w:eastAsia="宋体" w:hAnsi="Book Antiqua" w:cs="Times New Roman"/>
          <w:lang w:eastAsia="zh-CN"/>
        </w:rPr>
      </w:pPr>
    </w:p>
    <w:p w:rsidR="00ED3CC6" w:rsidRPr="00130A78" w:rsidRDefault="00ED3CC6" w:rsidP="000B416C">
      <w:pPr>
        <w:snapToGrid w:val="0"/>
        <w:spacing w:line="360" w:lineRule="auto"/>
        <w:jc w:val="both"/>
        <w:rPr>
          <w:rFonts w:ascii="Book Antiqua" w:hAnsi="Book Antiqua" w:cs="Book Antiqua"/>
        </w:rPr>
      </w:pPr>
      <w:bookmarkStart w:id="13" w:name="OLE_LINK98"/>
      <w:bookmarkStart w:id="14" w:name="OLE_LINK156"/>
      <w:bookmarkStart w:id="15" w:name="OLE_LINK196"/>
      <w:bookmarkStart w:id="16" w:name="OLE_LINK217"/>
      <w:bookmarkStart w:id="17" w:name="OLE_LINK242"/>
      <w:bookmarkStart w:id="18" w:name="OLE_LINK247"/>
      <w:bookmarkStart w:id="19" w:name="OLE_LINK311"/>
      <w:bookmarkStart w:id="20" w:name="OLE_LINK312"/>
      <w:bookmarkStart w:id="21" w:name="OLE_LINK325"/>
      <w:bookmarkStart w:id="22" w:name="OLE_LINK330"/>
      <w:r w:rsidRPr="00130A78">
        <w:rPr>
          <w:rFonts w:ascii="Book Antiqua" w:hAnsi="Book Antiqua" w:cs="Book Antiqua"/>
        </w:rPr>
        <w:t xml:space="preserve">© 2012 Baishideng. All rights reserved.  </w:t>
      </w:r>
    </w:p>
    <w:bookmarkEnd w:id="13"/>
    <w:bookmarkEnd w:id="14"/>
    <w:bookmarkEnd w:id="15"/>
    <w:bookmarkEnd w:id="16"/>
    <w:bookmarkEnd w:id="17"/>
    <w:bookmarkEnd w:id="18"/>
    <w:bookmarkEnd w:id="19"/>
    <w:bookmarkEnd w:id="20"/>
    <w:bookmarkEnd w:id="21"/>
    <w:bookmarkEnd w:id="22"/>
    <w:p w:rsidR="00ED3CC6" w:rsidRPr="00130A78" w:rsidRDefault="00ED3CC6" w:rsidP="000B416C">
      <w:pPr>
        <w:snapToGrid w:val="0"/>
        <w:spacing w:line="360" w:lineRule="auto"/>
        <w:jc w:val="both"/>
        <w:rPr>
          <w:rFonts w:ascii="Book Antiqua" w:eastAsia="宋体" w:hAnsi="Book Antiqua" w:cs="Times New Roman"/>
          <w:lang w:eastAsia="zh-CN"/>
        </w:rPr>
      </w:pPr>
    </w:p>
    <w:p w:rsidR="00ED3CC6" w:rsidRPr="00130A78" w:rsidRDefault="00ED3CC6" w:rsidP="000B416C">
      <w:pPr>
        <w:snapToGrid w:val="0"/>
        <w:spacing w:line="360" w:lineRule="auto"/>
        <w:jc w:val="both"/>
        <w:rPr>
          <w:rFonts w:ascii="Book Antiqua" w:hAnsi="Book Antiqua" w:cs="Book Antiqua"/>
        </w:rPr>
      </w:pPr>
      <w:r w:rsidRPr="00130A78">
        <w:rPr>
          <w:rFonts w:ascii="Book Antiqua" w:hAnsi="Book Antiqua" w:cs="Book Antiqua"/>
          <w:b/>
          <w:bCs/>
        </w:rPr>
        <w:t>Key words</w:t>
      </w:r>
      <w:r w:rsidRPr="00130A78">
        <w:rPr>
          <w:rFonts w:ascii="Book Antiqua" w:hAnsi="Book Antiqua" w:cs="Book Antiqua"/>
        </w:rPr>
        <w:t>: Esophagogastroduodenoscopy</w:t>
      </w:r>
      <w:r w:rsidRPr="00130A78">
        <w:rPr>
          <w:rFonts w:ascii="Book Antiqua" w:eastAsia="宋体" w:hAnsi="Book Antiqua" w:cs="Book Antiqua"/>
          <w:lang w:eastAsia="zh-CN"/>
        </w:rPr>
        <w:t>;</w:t>
      </w:r>
      <w:r w:rsidRPr="00130A78">
        <w:rPr>
          <w:rFonts w:ascii="Book Antiqua" w:hAnsi="Book Antiqua" w:cs="Book Antiqua"/>
        </w:rPr>
        <w:t xml:space="preserve"> Conscious sedation</w:t>
      </w:r>
      <w:r w:rsidRPr="00130A78">
        <w:rPr>
          <w:rFonts w:ascii="Book Antiqua" w:eastAsia="宋体" w:hAnsi="Book Antiqua" w:cs="Book Antiqua"/>
          <w:lang w:eastAsia="zh-CN"/>
        </w:rPr>
        <w:t>;</w:t>
      </w:r>
      <w:r w:rsidRPr="00130A78">
        <w:rPr>
          <w:rFonts w:ascii="Book Antiqua" w:hAnsi="Book Antiqua" w:cs="Book Antiqua"/>
        </w:rPr>
        <w:t xml:space="preserve"> pH monitoring</w:t>
      </w:r>
      <w:r>
        <w:rPr>
          <w:rFonts w:ascii="Book Antiqua" w:eastAsia="宋体" w:hAnsi="Book Antiqua" w:cs="Book Antiqua"/>
          <w:lang w:eastAsia="zh-CN"/>
        </w:rPr>
        <w:t>;</w:t>
      </w:r>
      <w:r w:rsidRPr="00130A78">
        <w:rPr>
          <w:rFonts w:ascii="Book Antiqua" w:hAnsi="Book Antiqua" w:cs="Book Antiqua"/>
        </w:rPr>
        <w:t xml:space="preserve"> gastroesophageal reflux disease</w:t>
      </w:r>
      <w:r w:rsidRPr="00130A78">
        <w:rPr>
          <w:rFonts w:ascii="Book Antiqua" w:eastAsia="宋体" w:hAnsi="Book Antiqua" w:cs="Book Antiqua"/>
          <w:lang w:eastAsia="zh-CN"/>
        </w:rPr>
        <w:t>;</w:t>
      </w:r>
      <w:r w:rsidRPr="00130A78">
        <w:rPr>
          <w:rFonts w:ascii="Book Antiqua" w:hAnsi="Book Antiqua" w:cs="Book Antiqua"/>
        </w:rPr>
        <w:t xml:space="preserve"> Extraesophageal symptoms</w:t>
      </w:r>
    </w:p>
    <w:p w:rsidR="00ED3CC6" w:rsidRPr="00130A78" w:rsidRDefault="00ED3CC6" w:rsidP="000B416C">
      <w:pPr>
        <w:snapToGrid w:val="0"/>
        <w:spacing w:line="360" w:lineRule="auto"/>
        <w:jc w:val="both"/>
        <w:rPr>
          <w:rFonts w:ascii="Book Antiqua" w:hAnsi="Book Antiqua" w:cs="Book Antiqua"/>
          <w:b/>
          <w:bCs/>
        </w:rPr>
      </w:pPr>
    </w:p>
    <w:p w:rsidR="00ED3CC6" w:rsidRPr="00130A78" w:rsidRDefault="00ED3CC6" w:rsidP="000B416C">
      <w:pPr>
        <w:snapToGrid w:val="0"/>
        <w:spacing w:line="360" w:lineRule="auto"/>
        <w:jc w:val="both"/>
        <w:rPr>
          <w:rFonts w:ascii="Book Antiqua" w:eastAsia="宋体" w:hAnsi="Book Antiqua" w:cs="Book Antiqua"/>
          <w:lang w:eastAsia="zh-CN"/>
        </w:rPr>
      </w:pPr>
      <w:r w:rsidRPr="00130A78">
        <w:rPr>
          <w:rFonts w:ascii="Book Antiqua" w:hAnsi="Book Antiqua" w:cs="Book Antiqua"/>
        </w:rPr>
        <w:t xml:space="preserve">Tsou YK, </w:t>
      </w:r>
      <w:r w:rsidRPr="00130A78">
        <w:rPr>
          <w:rFonts w:ascii="Book Antiqua" w:eastAsia="DFKai-SB" w:hAnsi="Book Antiqua" w:cs="Book Antiqua"/>
        </w:rPr>
        <w:t xml:space="preserve">Lien JM, Chen CK, </w:t>
      </w:r>
      <w:r w:rsidRPr="00130A78">
        <w:rPr>
          <w:rFonts w:ascii="Book Antiqua" w:hAnsi="Book Antiqua" w:cs="Book Antiqua"/>
        </w:rPr>
        <w:t>Lin CH, Chen HY, Lee MS</w:t>
      </w:r>
      <w:r w:rsidRPr="00130A78">
        <w:rPr>
          <w:rFonts w:ascii="Book Antiqua" w:eastAsia="宋体" w:hAnsi="Book Antiqua" w:cs="Book Antiqua"/>
          <w:lang w:eastAsia="zh-CN"/>
        </w:rPr>
        <w:t xml:space="preserve">. </w:t>
      </w:r>
      <w:r w:rsidRPr="00130A78">
        <w:rPr>
          <w:rFonts w:ascii="Book Antiqua" w:hAnsi="Book Antiqua" w:cs="Book Antiqua"/>
        </w:rPr>
        <w:t>Esophagogastroduodenoscopy with conscious sedation does not interfere with catheter-based 24-h pH monitoring</w:t>
      </w:r>
      <w:r w:rsidRPr="00130A78">
        <w:rPr>
          <w:rFonts w:ascii="Book Antiqua" w:eastAsia="宋体" w:hAnsi="Book Antiqua" w:cs="Book Antiqua"/>
          <w:lang w:eastAsia="zh-CN"/>
        </w:rPr>
        <w:t>.</w:t>
      </w:r>
    </w:p>
    <w:p w:rsidR="00ED3CC6" w:rsidRPr="00130A78" w:rsidRDefault="00ED3CC6" w:rsidP="009425D4">
      <w:pPr>
        <w:snapToGrid w:val="0"/>
        <w:spacing w:line="360" w:lineRule="auto"/>
        <w:ind w:rightChars="-506" w:right="-1214"/>
        <w:jc w:val="both"/>
        <w:rPr>
          <w:rFonts w:ascii="Book Antiqua" w:hAnsi="Book Antiqua" w:cs="Book Antiqua"/>
        </w:rPr>
      </w:pPr>
      <w:r w:rsidRPr="00130A78">
        <w:rPr>
          <w:rFonts w:ascii="Book Antiqua" w:hAnsi="Book Antiqua" w:cs="Book Antiqua"/>
          <w:i/>
          <w:iCs/>
        </w:rPr>
        <w:t>World J Gastroenterol</w:t>
      </w:r>
      <w:r w:rsidRPr="00130A78">
        <w:rPr>
          <w:rFonts w:ascii="Book Antiqua" w:hAnsi="Book Antiqua" w:cs="Book Antiqua"/>
        </w:rPr>
        <w:t xml:space="preserve"> 2012;  </w:t>
      </w:r>
    </w:p>
    <w:p w:rsidR="00ED3CC6" w:rsidRPr="00130A78" w:rsidRDefault="00ED3CC6" w:rsidP="000B416C">
      <w:pPr>
        <w:pStyle w:val="p0"/>
        <w:snapToGrid w:val="0"/>
        <w:spacing w:line="360" w:lineRule="auto"/>
        <w:jc w:val="both"/>
        <w:rPr>
          <w:rFonts w:ascii="Book Antiqua" w:hAnsi="Book Antiqua" w:cs="Book Antiqua"/>
          <w:sz w:val="24"/>
          <w:szCs w:val="24"/>
        </w:rPr>
      </w:pPr>
      <w:r w:rsidRPr="00130A78">
        <w:rPr>
          <w:rFonts w:ascii="Book Antiqua" w:hAnsi="Book Antiqua" w:cs="Book Antiqua"/>
          <w:b/>
          <w:bCs/>
          <w:sz w:val="24"/>
          <w:szCs w:val="24"/>
        </w:rPr>
        <w:t>Available from:</w:t>
      </w:r>
      <w:r w:rsidRPr="00130A78">
        <w:rPr>
          <w:rFonts w:ascii="Book Antiqua" w:hAnsi="Book Antiqua" w:cs="Book Antiqua"/>
          <w:sz w:val="24"/>
          <w:szCs w:val="24"/>
        </w:rPr>
        <w:t xml:space="preserve"> </w:t>
      </w:r>
      <w:r w:rsidRPr="00130A78">
        <w:rPr>
          <w:rFonts w:ascii="Book Antiqua" w:hAnsi="Book Antiqua" w:cs="Book Antiqua"/>
          <w:color w:val="000000"/>
          <w:sz w:val="24"/>
          <w:szCs w:val="24"/>
        </w:rPr>
        <w:t xml:space="preserve">URL: http://www.wjgnet.com/esps/  </w:t>
      </w:r>
    </w:p>
    <w:p w:rsidR="00ED3CC6" w:rsidRPr="00130A78" w:rsidRDefault="00ED3CC6" w:rsidP="000B416C">
      <w:pPr>
        <w:snapToGrid w:val="0"/>
        <w:spacing w:line="360" w:lineRule="auto"/>
        <w:jc w:val="both"/>
        <w:rPr>
          <w:rFonts w:ascii="Book Antiqua" w:hAnsi="Book Antiqua" w:cs="Book Antiqua"/>
          <w:color w:val="000000"/>
        </w:rPr>
      </w:pPr>
      <w:r w:rsidRPr="00130A78">
        <w:rPr>
          <w:rFonts w:ascii="Book Antiqua" w:hAnsi="Book Antiqua" w:cs="Book Antiqua"/>
          <w:b/>
          <w:bCs/>
        </w:rPr>
        <w:lastRenderedPageBreak/>
        <w:t xml:space="preserve">DOI: </w:t>
      </w:r>
      <w:r w:rsidRPr="00130A78">
        <w:rPr>
          <w:rFonts w:ascii="Book Antiqua" w:hAnsi="Book Antiqua" w:cs="Book Antiqua"/>
          <w:color w:val="000000"/>
        </w:rPr>
        <w:t>DOI:10.3748/wjg.18.0000</w:t>
      </w:r>
    </w:p>
    <w:p w:rsidR="00ED3CC6" w:rsidRPr="00130A78" w:rsidRDefault="00ED3CC6" w:rsidP="000B416C">
      <w:pPr>
        <w:snapToGrid w:val="0"/>
        <w:spacing w:line="360" w:lineRule="auto"/>
        <w:jc w:val="both"/>
        <w:rPr>
          <w:rFonts w:ascii="Book Antiqua" w:hAnsi="Book Antiqua" w:cs="Book Antiqua"/>
          <w:b/>
          <w:bCs/>
        </w:rPr>
      </w:pPr>
      <w:r w:rsidRPr="00130A78">
        <w:rPr>
          <w:rFonts w:ascii="Book Antiqua" w:hAnsi="Book Antiqua" w:cs="Book Antiqua"/>
          <w:b/>
          <w:bCs/>
        </w:rPr>
        <w:t>INTRODUCTION</w:t>
      </w:r>
    </w:p>
    <w:p w:rsidR="00ED3CC6" w:rsidRPr="00130A78" w:rsidRDefault="00ED3CC6" w:rsidP="000B416C">
      <w:pPr>
        <w:snapToGrid w:val="0"/>
        <w:spacing w:line="360" w:lineRule="auto"/>
        <w:jc w:val="both"/>
        <w:rPr>
          <w:rFonts w:ascii="Book Antiqua" w:hAnsi="Book Antiqua" w:cs="Book Antiqua"/>
        </w:rPr>
      </w:pPr>
      <w:r w:rsidRPr="00130A78">
        <w:rPr>
          <w:rFonts w:ascii="Book Antiqua" w:hAnsi="Book Antiqua" w:cs="Book Antiqua"/>
        </w:rPr>
        <w:t>The manifestation of gastroesophageal reflux disease (GERD) can be either esophageal or extra-esophageal</w:t>
      </w:r>
      <w:r w:rsidRPr="00130A78">
        <w:rPr>
          <w:rFonts w:ascii="Book Antiqua" w:hAnsi="Book Antiqua" w:cs="Book Antiqua"/>
          <w:vertAlign w:val="superscript"/>
        </w:rPr>
        <w:t>[1]</w:t>
      </w:r>
      <w:r w:rsidRPr="00130A78">
        <w:rPr>
          <w:rFonts w:ascii="Book Antiqua" w:hAnsi="Book Antiqua" w:cs="Book Antiqua"/>
        </w:rPr>
        <w:t>. Extra-esophageal reflux, or laryngopharyngeal reflux (LPR), refers to the backflow of gastric contents into the larynx and pharynx</w:t>
      </w:r>
      <w:r w:rsidRPr="00130A78">
        <w:rPr>
          <w:rFonts w:ascii="Book Antiqua" w:hAnsi="Book Antiqua" w:cs="Book Antiqua"/>
          <w:vertAlign w:val="superscript"/>
        </w:rPr>
        <w:t>[1,2]</w:t>
      </w:r>
      <w:r w:rsidRPr="00130A78">
        <w:rPr>
          <w:rFonts w:ascii="Book Antiqua" w:hAnsi="Book Antiqua" w:cs="Book Antiqua"/>
        </w:rPr>
        <w:t>.</w:t>
      </w:r>
      <w:r w:rsidRPr="00130A78">
        <w:rPr>
          <w:rFonts w:ascii="Book Antiqua" w:hAnsi="Book Antiqua" w:cs="Book Antiqua"/>
          <w:color w:val="00B0F0"/>
          <w:vertAlign w:val="superscript"/>
        </w:rPr>
        <w:t xml:space="preserve"> </w:t>
      </w:r>
      <w:r w:rsidRPr="00130A78">
        <w:rPr>
          <w:rFonts w:ascii="Book Antiqua" w:hAnsi="Book Antiqua" w:cs="Book Antiqua"/>
        </w:rPr>
        <w:t>Ambulatory dual-probe 24-h pH monitoring is currently considered the gold-standard diagnostic modality for the evaluation of patients with LPR</w:t>
      </w:r>
      <w:r w:rsidRPr="00130A78">
        <w:rPr>
          <w:rFonts w:ascii="Book Antiqua" w:hAnsi="Book Antiqua" w:cs="Book Antiqua"/>
          <w:vertAlign w:val="superscript"/>
        </w:rPr>
        <w:t>[2-4]</w:t>
      </w:r>
      <w:r w:rsidRPr="00130A78">
        <w:rPr>
          <w:rFonts w:ascii="Book Antiqua" w:hAnsi="Book Antiqua" w:cs="Book Antiqua"/>
        </w:rPr>
        <w:t>. This catheter-based pH measurement is performed with a pH sensor located within 2 cm above the proximal border of the upper esophageal sphincter (UES)</w:t>
      </w:r>
      <w:r w:rsidRPr="00130A78">
        <w:rPr>
          <w:rFonts w:ascii="Book Antiqua" w:hAnsi="Book Antiqua" w:cs="Book Antiqua"/>
          <w:vertAlign w:val="superscript"/>
        </w:rPr>
        <w:t>[5]</w:t>
      </w:r>
      <w:r w:rsidRPr="00130A78">
        <w:rPr>
          <w:rFonts w:ascii="Book Antiqua" w:hAnsi="Book Antiqua" w:cs="Book Antiqua"/>
        </w:rPr>
        <w:t>.</w:t>
      </w:r>
      <w:r w:rsidRPr="00130A78">
        <w:rPr>
          <w:rFonts w:ascii="Book Antiqua" w:hAnsi="Book Antiqua" w:cs="Book Antiqua"/>
          <w:b/>
          <w:bCs/>
        </w:rPr>
        <w:t xml:space="preserve"> </w:t>
      </w:r>
      <w:r w:rsidRPr="00130A78">
        <w:rPr>
          <w:rFonts w:ascii="Book Antiqua" w:hAnsi="Book Antiqua" w:cs="Book Antiqua"/>
        </w:rPr>
        <w:t>Prior manometry-guided localization is required to determine UES positioning relative to the nostril. The two trans-nasal procedures are usually performed without intravenous sedation. Therefore, they are unpleasant and uncomfortable tests for patients</w:t>
      </w:r>
      <w:r w:rsidRPr="00130A78">
        <w:rPr>
          <w:rFonts w:ascii="Book Antiqua" w:hAnsi="Book Antiqua" w:cs="Book Antiqua"/>
          <w:vertAlign w:val="superscript"/>
        </w:rPr>
        <w:t>[6,7]</w:t>
      </w:r>
      <w:r w:rsidRPr="00130A78">
        <w:rPr>
          <w:rFonts w:ascii="Book Antiqua" w:hAnsi="Book Antiqua" w:cs="Book Antiqua"/>
        </w:rPr>
        <w:t>.</w:t>
      </w:r>
    </w:p>
    <w:p w:rsidR="00ED3CC6" w:rsidRPr="00130A78" w:rsidRDefault="00ED3CC6" w:rsidP="009425D4">
      <w:pPr>
        <w:snapToGrid w:val="0"/>
        <w:spacing w:line="360" w:lineRule="auto"/>
        <w:ind w:firstLineChars="100" w:firstLine="240"/>
        <w:jc w:val="both"/>
        <w:rPr>
          <w:rFonts w:ascii="Book Antiqua" w:hAnsi="Book Antiqua" w:cs="Book Antiqua"/>
        </w:rPr>
      </w:pPr>
      <w:r w:rsidRPr="00130A78">
        <w:rPr>
          <w:rFonts w:ascii="Book Antiqua" w:hAnsi="Book Antiqua" w:cs="Book Antiqua"/>
        </w:rPr>
        <w:t>Conscious sedation improves the quality of the test and increases the patient’s willingness to undergo a gastrointestinal examination</w:t>
      </w:r>
      <w:r w:rsidRPr="00130A78">
        <w:rPr>
          <w:rFonts w:ascii="Book Antiqua" w:hAnsi="Book Antiqua" w:cs="Book Antiqua"/>
          <w:vertAlign w:val="superscript"/>
        </w:rPr>
        <w:t>[8]</w:t>
      </w:r>
      <w:r w:rsidRPr="00130A78">
        <w:rPr>
          <w:rFonts w:ascii="Book Antiqua" w:hAnsi="Book Antiqua" w:cs="Book Antiqua"/>
        </w:rPr>
        <w:t>. Benzodiazepine administration and opiate-based sedation are the most common practices for conscious sedation</w:t>
      </w:r>
      <w:r w:rsidRPr="00130A78">
        <w:rPr>
          <w:rFonts w:ascii="Book Antiqua" w:hAnsi="Book Antiqua" w:cs="Book Antiqua"/>
          <w:vertAlign w:val="superscript"/>
        </w:rPr>
        <w:t>[9]</w:t>
      </w:r>
      <w:r w:rsidRPr="00130A78">
        <w:rPr>
          <w:rFonts w:ascii="Book Antiqua" w:hAnsi="Book Antiqua" w:cs="Book Antiqua"/>
        </w:rPr>
        <w:t xml:space="preserve">. </w:t>
      </w:r>
      <w:r w:rsidRPr="00130A78">
        <w:rPr>
          <w:rFonts w:ascii="Book Antiqua" w:hAnsi="Book Antiqua" w:cs="Book Antiqua"/>
          <w:color w:val="00B0F0"/>
          <w:vertAlign w:val="superscript"/>
        </w:rPr>
        <w:t xml:space="preserve"> </w:t>
      </w:r>
      <w:r w:rsidRPr="00130A78">
        <w:rPr>
          <w:rFonts w:ascii="Book Antiqua" w:hAnsi="Book Antiqua" w:cs="Book Antiqua"/>
          <w:color w:val="000000"/>
        </w:rPr>
        <w:t>M</w:t>
      </w:r>
      <w:r w:rsidRPr="00130A78">
        <w:rPr>
          <w:rFonts w:ascii="Book Antiqua" w:hAnsi="Book Antiqua" w:cs="Book Antiqua"/>
        </w:rPr>
        <w:t>eperidine causes a reduction in the LES pressure in animal and human studies</w:t>
      </w:r>
      <w:r w:rsidRPr="00130A78">
        <w:rPr>
          <w:rFonts w:ascii="Book Antiqua" w:hAnsi="Book Antiqua" w:cs="Book Antiqua"/>
          <w:vertAlign w:val="superscript"/>
        </w:rPr>
        <w:t>[10,11]</w:t>
      </w:r>
      <w:r w:rsidRPr="00130A78">
        <w:rPr>
          <w:rFonts w:ascii="Book Antiqua" w:hAnsi="Book Antiqua" w:cs="Book Antiqua"/>
        </w:rPr>
        <w:t>. It may induce or exacerbate gastroesophageal reflux (GER), causing interference with pH studies</w:t>
      </w:r>
      <w:r w:rsidRPr="00130A78">
        <w:rPr>
          <w:rFonts w:ascii="Book Antiqua" w:hAnsi="Book Antiqua" w:cs="Book Antiqua"/>
          <w:vertAlign w:val="superscript"/>
        </w:rPr>
        <w:t>[11]</w:t>
      </w:r>
      <w:r w:rsidRPr="00130A78">
        <w:rPr>
          <w:rFonts w:ascii="Book Antiqua" w:hAnsi="Book Antiqua" w:cs="Book Antiqua"/>
        </w:rPr>
        <w:t xml:space="preserve">. However, capsule-based (Bravo) wireless pH measuring system is </w:t>
      </w:r>
      <w:r w:rsidRPr="00130A78">
        <w:rPr>
          <w:rFonts w:ascii="Book Antiqua" w:hAnsi="Book Antiqua" w:cs="Book Antiqua"/>
          <w:color w:val="000000"/>
        </w:rPr>
        <w:t xml:space="preserve">usually performed during or shortly after an </w:t>
      </w:r>
      <w:r w:rsidRPr="00130A78">
        <w:rPr>
          <w:rFonts w:ascii="Book Antiqua" w:hAnsi="Book Antiqua" w:cs="Book Antiqua"/>
        </w:rPr>
        <w:t>esophagogastroduodenoscopy</w:t>
      </w:r>
      <w:r w:rsidRPr="00130A78">
        <w:rPr>
          <w:rFonts w:ascii="Book Antiqua" w:hAnsi="Book Antiqua" w:cs="Book Antiqua"/>
          <w:color w:val="000000"/>
        </w:rPr>
        <w:t xml:space="preserve"> (EGD) with conscious sedation</w:t>
      </w:r>
      <w:r w:rsidRPr="00130A78">
        <w:rPr>
          <w:rFonts w:ascii="Book Antiqua" w:hAnsi="Book Antiqua" w:cs="Book Antiqua"/>
          <w:color w:val="000000"/>
          <w:vertAlign w:val="superscript"/>
        </w:rPr>
        <w:t>[12]</w:t>
      </w:r>
      <w:r w:rsidRPr="00130A78">
        <w:rPr>
          <w:rFonts w:ascii="Book Antiqua" w:hAnsi="Book Antiqua" w:cs="Book Antiqua"/>
          <w:color w:val="000000"/>
        </w:rPr>
        <w:t>.</w:t>
      </w:r>
      <w:r w:rsidRPr="00130A78">
        <w:rPr>
          <w:rFonts w:ascii="Book Antiqua" w:hAnsi="Book Antiqua" w:cs="Book Antiqua"/>
          <w:color w:val="00B0F0"/>
        </w:rPr>
        <w:t xml:space="preserve"> </w:t>
      </w:r>
      <w:r w:rsidRPr="00130A78">
        <w:rPr>
          <w:rFonts w:ascii="Book Antiqua" w:hAnsi="Book Antiqua" w:cs="Book Antiqua"/>
        </w:rPr>
        <w:t>Therefore, it is unclear whether conscious sedation during EGD has an impact on the results of the subsequent esophageal pH test. To increase patient willingness to undergo 24-h pH monitoring, we attempted to perform a catheter-based pH study in a manner similar to the Bravo system in our patients. The aim of this study was to investigate whether EGD with conscious sedation interfered with subsequent catheter-based 24-h pH monitoring in patients with extra-esophageal symptoms of GERD.</w:t>
      </w:r>
    </w:p>
    <w:p w:rsidR="00ED3CC6" w:rsidRPr="00130A78" w:rsidRDefault="00ED3CC6" w:rsidP="000B416C">
      <w:pPr>
        <w:snapToGrid w:val="0"/>
        <w:spacing w:line="360" w:lineRule="auto"/>
        <w:jc w:val="both"/>
        <w:rPr>
          <w:rFonts w:ascii="Book Antiqua" w:eastAsia="宋体" w:hAnsi="Book Antiqua" w:cs="Times New Roman"/>
          <w:b/>
          <w:bCs/>
          <w:lang w:eastAsia="zh-CN"/>
        </w:rPr>
      </w:pPr>
      <w:r w:rsidRPr="00130A78">
        <w:rPr>
          <w:rFonts w:ascii="Book Antiqua" w:hAnsi="Book Antiqua" w:cs="Book Antiqua"/>
        </w:rPr>
        <w:t xml:space="preserve"> </w:t>
      </w:r>
    </w:p>
    <w:p w:rsidR="00ED3CC6" w:rsidRPr="00130A78" w:rsidRDefault="00ED3CC6" w:rsidP="000B416C">
      <w:pPr>
        <w:snapToGrid w:val="0"/>
        <w:spacing w:line="360" w:lineRule="auto"/>
        <w:jc w:val="both"/>
        <w:rPr>
          <w:rFonts w:ascii="Book Antiqua" w:hAnsi="Book Antiqua" w:cs="Book Antiqua"/>
          <w:b/>
          <w:bCs/>
        </w:rPr>
      </w:pPr>
      <w:r w:rsidRPr="00130A78">
        <w:rPr>
          <w:rFonts w:ascii="Book Antiqua" w:hAnsi="Book Antiqua" w:cs="Book Antiqua"/>
          <w:b/>
          <w:bCs/>
        </w:rPr>
        <w:t>MATERIALS AND METHODS</w:t>
      </w:r>
    </w:p>
    <w:p w:rsidR="00ED3CC6" w:rsidRPr="00130A78" w:rsidRDefault="00ED3CC6" w:rsidP="000B416C">
      <w:pPr>
        <w:snapToGrid w:val="0"/>
        <w:spacing w:line="360" w:lineRule="auto"/>
        <w:jc w:val="both"/>
        <w:rPr>
          <w:rFonts w:ascii="Book Antiqua" w:hAnsi="Book Antiqua" w:cs="Book Antiqua"/>
          <w:color w:val="000000"/>
        </w:rPr>
      </w:pPr>
      <w:r w:rsidRPr="00130A78">
        <w:rPr>
          <w:rFonts w:ascii="Book Antiqua" w:hAnsi="Book Antiqua" w:cs="Book Antiqua"/>
        </w:rPr>
        <w:lastRenderedPageBreak/>
        <w:t>From March 2010 to August 2011, 53 patients with LPR-like complaints underwent ambulatory 24-h pH monitoring at the Chang Gung Memorial Hospital. These complaints included globus (</w:t>
      </w:r>
      <w:r w:rsidRPr="00130A78">
        <w:rPr>
          <w:rFonts w:ascii="Book Antiqua" w:hAnsi="Book Antiqua" w:cs="Book Antiqua"/>
          <w:i/>
          <w:iCs/>
        </w:rPr>
        <w:t>n</w:t>
      </w:r>
      <w:r w:rsidRPr="00130A78">
        <w:rPr>
          <w:rFonts w:ascii="Book Antiqua" w:hAnsi="Book Antiqua" w:cs="Book Antiqua"/>
        </w:rPr>
        <w:t xml:space="preserve"> = 27), sore throat (</w:t>
      </w:r>
      <w:r w:rsidRPr="00130A78">
        <w:rPr>
          <w:rFonts w:ascii="Book Antiqua" w:hAnsi="Book Antiqua" w:cs="Book Antiqua"/>
          <w:i/>
          <w:iCs/>
        </w:rPr>
        <w:t>n</w:t>
      </w:r>
      <w:r w:rsidRPr="00130A78">
        <w:rPr>
          <w:rFonts w:ascii="Book Antiqua" w:hAnsi="Book Antiqua" w:cs="Book Antiqua"/>
        </w:rPr>
        <w:t xml:space="preserve"> = 13), chronic cough (</w:t>
      </w:r>
      <w:r w:rsidRPr="00130A78">
        <w:rPr>
          <w:rFonts w:ascii="Book Antiqua" w:hAnsi="Book Antiqua" w:cs="Book Antiqua"/>
          <w:i/>
          <w:iCs/>
        </w:rPr>
        <w:t>n</w:t>
      </w:r>
      <w:r w:rsidRPr="00130A78">
        <w:rPr>
          <w:rFonts w:ascii="Book Antiqua" w:hAnsi="Book Antiqua" w:cs="Book Antiqua"/>
        </w:rPr>
        <w:t xml:space="preserve"> = 9), hoarseness (</w:t>
      </w:r>
      <w:r w:rsidRPr="00130A78">
        <w:rPr>
          <w:rFonts w:ascii="Book Antiqua" w:hAnsi="Book Antiqua" w:cs="Book Antiqua"/>
          <w:i/>
          <w:iCs/>
        </w:rPr>
        <w:t>n</w:t>
      </w:r>
      <w:r w:rsidRPr="00130A78">
        <w:rPr>
          <w:rFonts w:ascii="Book Antiqua" w:hAnsi="Book Antiqua" w:cs="Book Antiqua"/>
        </w:rPr>
        <w:t xml:space="preserve"> = 3), and dysphagia (</w:t>
      </w:r>
      <w:r w:rsidRPr="00130A78">
        <w:rPr>
          <w:rFonts w:ascii="Book Antiqua" w:hAnsi="Book Antiqua" w:cs="Book Antiqua"/>
          <w:i/>
          <w:iCs/>
        </w:rPr>
        <w:t>n</w:t>
      </w:r>
      <w:r w:rsidRPr="00130A78">
        <w:rPr>
          <w:rFonts w:ascii="Book Antiqua" w:hAnsi="Book Antiqua" w:cs="Book Antiqua"/>
        </w:rPr>
        <w:t xml:space="preserve"> = 1). Three patients were excluded from the analysis because of numerous artifacts (pH out of range) on their pH records (</w:t>
      </w:r>
      <w:r w:rsidRPr="00130A78">
        <w:rPr>
          <w:rFonts w:ascii="Book Antiqua" w:hAnsi="Book Antiqua" w:cs="Book Antiqua"/>
          <w:i/>
          <w:iCs/>
        </w:rPr>
        <w:t>n</w:t>
      </w:r>
      <w:r w:rsidRPr="00130A78">
        <w:rPr>
          <w:rFonts w:ascii="Book Antiqua" w:hAnsi="Book Antiqua" w:cs="Book Antiqua"/>
        </w:rPr>
        <w:t xml:space="preserve"> = 2) and intolerance of the procedure (</w:t>
      </w:r>
      <w:r w:rsidRPr="00130A78">
        <w:rPr>
          <w:rFonts w:ascii="Book Antiqua" w:hAnsi="Book Antiqua" w:cs="Book Antiqua"/>
          <w:i/>
          <w:iCs/>
        </w:rPr>
        <w:t>n</w:t>
      </w:r>
      <w:r w:rsidRPr="00130A78">
        <w:rPr>
          <w:rFonts w:ascii="Book Antiqua" w:hAnsi="Book Antiqua" w:cs="Book Antiqua"/>
        </w:rPr>
        <w:t xml:space="preserve"> = 1). All of the patients were instructed to discontinue any medications that affect gastric acid secretion and esophageal motility at least 7 d prior to the 24-h pH monitoring.</w:t>
      </w:r>
      <w:r w:rsidRPr="00130A78">
        <w:rPr>
          <w:rFonts w:ascii="Book Antiqua" w:hAnsi="Book Antiqua" w:cs="Book Antiqua"/>
          <w:color w:val="000000"/>
        </w:rPr>
        <w:t xml:space="preserve"> This cohort study was incorporated into a prospective study (CMRPG390591) that was originally designed to evaluate the effects of different doses of proton pump inhibitors on the treatment of LPR. All of the data were collected prospectively and analyzed retrospectively. The study protocol was approved by the ethics committee at Chang Gung Memorial Hospital (IRB No: 99-3494C).</w:t>
      </w:r>
    </w:p>
    <w:p w:rsidR="00ED3CC6" w:rsidRPr="00130A78" w:rsidRDefault="00ED3CC6" w:rsidP="009425D4">
      <w:pPr>
        <w:snapToGrid w:val="0"/>
        <w:spacing w:line="360" w:lineRule="auto"/>
        <w:ind w:firstLineChars="100" w:firstLine="240"/>
        <w:jc w:val="both"/>
        <w:rPr>
          <w:rFonts w:ascii="Book Antiqua" w:hAnsi="Book Antiqua" w:cs="Book Antiqua"/>
          <w:color w:val="000000"/>
        </w:rPr>
      </w:pPr>
      <w:r w:rsidRPr="00130A78">
        <w:rPr>
          <w:rFonts w:ascii="Book Antiqua" w:hAnsi="Book Antiqua" w:cs="Book Antiqua"/>
        </w:rPr>
        <w:t xml:space="preserve">A total of 50 patients were </w:t>
      </w:r>
      <w:r w:rsidRPr="00130A78">
        <w:rPr>
          <w:rFonts w:ascii="Book Antiqua" w:hAnsi="Book Antiqua" w:cs="Book Antiqua"/>
          <w:color w:val="000000"/>
        </w:rPr>
        <w:t>enrolled in the current study. The mean</w:t>
      </w:r>
      <w:r w:rsidRPr="00130A78">
        <w:rPr>
          <w:rFonts w:ascii="Book Antiqua" w:hAnsi="Book Antiqua" w:cs="Book Antiqua"/>
        </w:rPr>
        <w:t xml:space="preserve"> patient age was 49.6 ± 12.5 years (range, 20–76 years). There were 20 (40%) men and 30 (60%) women. The mean body mass index (BMI) was 23.0 ± 3.2</w:t>
      </w:r>
      <w:r w:rsidRPr="00130A78">
        <w:rPr>
          <w:rFonts w:ascii="Book Antiqua" w:eastAsia="宋体" w:hAnsi="Book Antiqua" w:cs="Book Antiqua"/>
          <w:lang w:eastAsia="zh-CN"/>
        </w:rPr>
        <w:t xml:space="preserve"> kg/m</w:t>
      </w:r>
      <w:r w:rsidRPr="00130A78">
        <w:rPr>
          <w:rFonts w:ascii="Book Antiqua" w:eastAsia="宋体" w:hAnsi="Book Antiqua" w:cs="Book Antiqua"/>
          <w:vertAlign w:val="superscript"/>
          <w:lang w:eastAsia="zh-CN"/>
        </w:rPr>
        <w:t>2</w:t>
      </w:r>
      <w:r w:rsidRPr="00130A78">
        <w:rPr>
          <w:rFonts w:ascii="Book Antiqua" w:hAnsi="Book Antiqua" w:cs="Book Antiqua"/>
        </w:rPr>
        <w:t xml:space="preserve"> (range, 18.1–30.0</w:t>
      </w:r>
      <w:r w:rsidRPr="00130A78">
        <w:rPr>
          <w:rFonts w:ascii="Book Antiqua" w:eastAsia="宋体" w:hAnsi="Book Antiqua" w:cs="Book Antiqua"/>
          <w:lang w:eastAsia="zh-CN"/>
        </w:rPr>
        <w:t xml:space="preserve"> kg/m</w:t>
      </w:r>
      <w:r w:rsidRPr="00130A78">
        <w:rPr>
          <w:rFonts w:ascii="Book Antiqua" w:eastAsia="宋体" w:hAnsi="Book Antiqua" w:cs="Book Antiqua"/>
          <w:vertAlign w:val="superscript"/>
          <w:lang w:eastAsia="zh-CN"/>
        </w:rPr>
        <w:t>2</w:t>
      </w:r>
      <w:r w:rsidRPr="00130A78">
        <w:rPr>
          <w:rFonts w:ascii="Book Antiqua" w:hAnsi="Book Antiqua" w:cs="Book Antiqua"/>
        </w:rPr>
        <w:t>). Group A included 36 patients (72%)</w:t>
      </w:r>
      <w:r w:rsidRPr="00130A78">
        <w:rPr>
          <w:rFonts w:ascii="Book Antiqua" w:hAnsi="Book Antiqua" w:cs="Book Antiqua"/>
          <w:color w:val="FF0000"/>
        </w:rPr>
        <w:t xml:space="preserve"> </w:t>
      </w:r>
      <w:r w:rsidRPr="00130A78">
        <w:rPr>
          <w:rFonts w:ascii="Book Antiqua" w:hAnsi="Book Antiqua" w:cs="Book Antiqua"/>
        </w:rPr>
        <w:t xml:space="preserve">who underwent EGD with conscious sedation 30 min prior to pH monitoring. Group B included the remaining </w:t>
      </w:r>
      <w:r w:rsidRPr="00130A78">
        <w:rPr>
          <w:rFonts w:ascii="Book Antiqua" w:hAnsi="Book Antiqua" w:cs="Book Antiqua"/>
          <w:kern w:val="0"/>
        </w:rPr>
        <w:t xml:space="preserve">14 patients (28%) who did not undergo </w:t>
      </w:r>
      <w:r w:rsidRPr="00130A78">
        <w:rPr>
          <w:rFonts w:ascii="Book Antiqua" w:hAnsi="Book Antiqua" w:cs="Book Antiqua"/>
          <w:color w:val="000000"/>
          <w:kern w:val="0"/>
        </w:rPr>
        <w:t>EGD or conscious sedation on the same day.</w:t>
      </w:r>
    </w:p>
    <w:p w:rsidR="00ED3CC6" w:rsidRPr="00130A78" w:rsidRDefault="00ED3CC6" w:rsidP="000B416C">
      <w:pPr>
        <w:snapToGrid w:val="0"/>
        <w:spacing w:line="360" w:lineRule="auto"/>
        <w:jc w:val="both"/>
        <w:rPr>
          <w:rFonts w:ascii="Book Antiqua" w:hAnsi="Book Antiqua" w:cs="Book Antiqua"/>
        </w:rPr>
      </w:pPr>
    </w:p>
    <w:p w:rsidR="00ED3CC6" w:rsidRPr="00130A78" w:rsidRDefault="00ED3CC6" w:rsidP="000B416C">
      <w:pPr>
        <w:snapToGrid w:val="0"/>
        <w:spacing w:line="360" w:lineRule="auto"/>
        <w:jc w:val="both"/>
        <w:rPr>
          <w:rFonts w:ascii="Book Antiqua" w:hAnsi="Book Antiqua" w:cs="Book Antiqua"/>
          <w:b/>
          <w:bCs/>
          <w:i/>
          <w:iCs/>
        </w:rPr>
      </w:pPr>
      <w:r w:rsidRPr="00130A78">
        <w:rPr>
          <w:rFonts w:ascii="Book Antiqua" w:hAnsi="Book Antiqua" w:cs="Book Antiqua"/>
          <w:b/>
          <w:bCs/>
          <w:i/>
          <w:iCs/>
        </w:rPr>
        <w:t>EGD with conscious sedation</w:t>
      </w:r>
    </w:p>
    <w:p w:rsidR="00ED3CC6" w:rsidRPr="00130A78" w:rsidRDefault="00ED3CC6" w:rsidP="000B416C">
      <w:pPr>
        <w:snapToGrid w:val="0"/>
        <w:spacing w:line="360" w:lineRule="auto"/>
        <w:jc w:val="both"/>
        <w:rPr>
          <w:rFonts w:ascii="Book Antiqua" w:hAnsi="Book Antiqua" w:cs="Book Antiqua"/>
        </w:rPr>
      </w:pPr>
      <w:r w:rsidRPr="00130A78">
        <w:rPr>
          <w:rFonts w:ascii="Book Antiqua" w:hAnsi="Book Antiqua" w:cs="Book Antiqua"/>
        </w:rPr>
        <w:t xml:space="preserve">All of the patients in Group A underwent EGD with intravenous sedation using meperidine and midazolam on the same day prior to their 24-hour pH monitoring study. The dosage of meperidine was </w:t>
      </w:r>
      <w:r w:rsidRPr="00130A78">
        <w:rPr>
          <w:rFonts w:ascii="Book Antiqua" w:hAnsi="Book Antiqua" w:cs="Book Antiqua"/>
          <w:kern w:val="0"/>
        </w:rPr>
        <w:t>0.52</w:t>
      </w:r>
      <w:r w:rsidRPr="00130A78">
        <w:rPr>
          <w:rFonts w:ascii="Book Antiqua" w:hAnsi="Book Antiqua" w:cs="Book Antiqua"/>
        </w:rPr>
        <w:t xml:space="preserve"> ± </w:t>
      </w:r>
      <w:r w:rsidRPr="00130A78">
        <w:rPr>
          <w:rFonts w:ascii="Book Antiqua" w:hAnsi="Book Antiqua" w:cs="Book Antiqua"/>
          <w:kern w:val="0"/>
        </w:rPr>
        <w:t xml:space="preserve">0.10 </w:t>
      </w:r>
      <w:r w:rsidRPr="00130A78">
        <w:rPr>
          <w:rFonts w:ascii="Book Antiqua" w:hAnsi="Book Antiqua" w:cs="Book Antiqua"/>
        </w:rPr>
        <w:t>mg/kg (range</w:t>
      </w:r>
      <w:r w:rsidRPr="00130A78">
        <w:rPr>
          <w:rFonts w:ascii="Book Antiqua" w:eastAsia="宋体" w:hAnsi="Book Antiqua" w:cs="Book Antiqua"/>
          <w:lang w:eastAsia="zh-CN"/>
        </w:rPr>
        <w:t>,</w:t>
      </w:r>
      <w:r w:rsidRPr="00130A78">
        <w:rPr>
          <w:rFonts w:ascii="Book Antiqua" w:hAnsi="Book Antiqua" w:cs="Book Antiqua"/>
        </w:rPr>
        <w:t xml:space="preserve"> 0.32</w:t>
      </w:r>
      <w:r w:rsidRPr="00130A78">
        <w:rPr>
          <w:rFonts w:ascii="Book Antiqua" w:eastAsia="宋体" w:hAnsi="Book Antiqua" w:cs="Book Antiqua"/>
          <w:lang w:eastAsia="zh-CN"/>
        </w:rPr>
        <w:t>-</w:t>
      </w:r>
      <w:r w:rsidRPr="00130A78">
        <w:rPr>
          <w:rFonts w:ascii="Book Antiqua" w:hAnsi="Book Antiqua" w:cs="Book Antiqua"/>
        </w:rPr>
        <w:t>0.81 mg/kg), and the dosage of midazolam was 33.1 ± 7.1 g/kg (range</w:t>
      </w:r>
      <w:r w:rsidRPr="00130A78">
        <w:rPr>
          <w:rFonts w:ascii="Book Antiqua" w:eastAsia="宋体" w:hAnsi="Book Antiqua" w:cs="Book Antiqua"/>
          <w:lang w:eastAsia="zh-CN"/>
        </w:rPr>
        <w:t>,</w:t>
      </w:r>
      <w:r w:rsidRPr="00130A78">
        <w:rPr>
          <w:rFonts w:ascii="Book Antiqua" w:hAnsi="Book Antiqua" w:cs="Book Antiqua"/>
        </w:rPr>
        <w:t xml:space="preserve"> </w:t>
      </w:r>
      <w:r w:rsidRPr="00130A78">
        <w:rPr>
          <w:rFonts w:ascii="Book Antiqua" w:hAnsi="Book Antiqua" w:cs="Book Antiqua"/>
          <w:kern w:val="0"/>
        </w:rPr>
        <w:t>16.1</w:t>
      </w:r>
      <w:r w:rsidRPr="00130A78">
        <w:rPr>
          <w:rFonts w:ascii="Book Antiqua" w:eastAsia="宋体" w:hAnsi="Book Antiqua" w:cs="Book Antiqua"/>
          <w:lang w:eastAsia="zh-CN"/>
        </w:rPr>
        <w:t>-</w:t>
      </w:r>
      <w:r w:rsidRPr="00130A78">
        <w:rPr>
          <w:rFonts w:ascii="Book Antiqua" w:hAnsi="Book Antiqua" w:cs="Book Antiqua"/>
          <w:kern w:val="0"/>
        </w:rPr>
        <w:t xml:space="preserve">53.6 </w:t>
      </w:r>
      <w:r w:rsidRPr="00130A78">
        <w:rPr>
          <w:rFonts w:ascii="Book Antiqua" w:hAnsi="Book Antiqua" w:cs="Book Antiqua"/>
        </w:rPr>
        <w:t>g/kg</w:t>
      </w:r>
      <w:r w:rsidRPr="00130A78">
        <w:rPr>
          <w:rFonts w:ascii="Book Antiqua" w:hAnsi="Book Antiqua" w:cs="Book Antiqua"/>
          <w:kern w:val="0"/>
        </w:rPr>
        <w:t xml:space="preserve">). Hyoscine butylbromide was not given before or during the endoscopy in any of the participants. </w:t>
      </w:r>
    </w:p>
    <w:p w:rsidR="00ED3CC6" w:rsidRPr="00130A78" w:rsidRDefault="00ED3CC6" w:rsidP="000B416C">
      <w:pPr>
        <w:snapToGrid w:val="0"/>
        <w:spacing w:line="360" w:lineRule="auto"/>
        <w:jc w:val="both"/>
        <w:rPr>
          <w:rFonts w:ascii="Book Antiqua" w:hAnsi="Book Antiqua" w:cs="Book Antiqua"/>
        </w:rPr>
      </w:pPr>
    </w:p>
    <w:p w:rsidR="00ED3CC6" w:rsidRPr="00130A78" w:rsidRDefault="00ED3CC6" w:rsidP="000B416C">
      <w:pPr>
        <w:snapToGrid w:val="0"/>
        <w:spacing w:line="360" w:lineRule="auto"/>
        <w:jc w:val="both"/>
        <w:rPr>
          <w:rFonts w:ascii="Book Antiqua" w:hAnsi="Book Antiqua" w:cs="Book Antiqua"/>
          <w:b/>
          <w:bCs/>
          <w:i/>
          <w:iCs/>
        </w:rPr>
      </w:pPr>
      <w:r w:rsidRPr="00130A78">
        <w:rPr>
          <w:rFonts w:ascii="Book Antiqua" w:hAnsi="Book Antiqua" w:cs="Book Antiqua"/>
          <w:b/>
          <w:bCs/>
          <w:i/>
          <w:iCs/>
        </w:rPr>
        <w:t>Esophageal manometry and 24-h pH monitoring</w:t>
      </w:r>
    </w:p>
    <w:p w:rsidR="00ED3CC6" w:rsidRPr="00130A78" w:rsidRDefault="00ED3CC6" w:rsidP="000B416C">
      <w:pPr>
        <w:snapToGrid w:val="0"/>
        <w:spacing w:line="360" w:lineRule="auto"/>
        <w:jc w:val="both"/>
        <w:rPr>
          <w:rFonts w:ascii="Book Antiqua" w:hAnsi="Book Antiqua" w:cs="Book Antiqua"/>
        </w:rPr>
      </w:pPr>
      <w:r w:rsidRPr="00130A78">
        <w:rPr>
          <w:rFonts w:ascii="Book Antiqua" w:hAnsi="Book Antiqua" w:cs="Book Antiqua"/>
        </w:rPr>
        <w:lastRenderedPageBreak/>
        <w:t>All of the patients underwent esophageal manometry using a station pull-through technique to locate the UES in reference to the nostril. Subsequently, 24-h pH monitoring was performed using antimony electrodes and fitting recorders</w:t>
      </w:r>
      <w:r w:rsidRPr="00130A78">
        <w:rPr>
          <w:rFonts w:ascii="Book Antiqua" w:hAnsi="Book Antiqua" w:cs="Book Antiqua"/>
          <w:vertAlign w:val="superscript"/>
        </w:rPr>
        <w:t xml:space="preserve"> </w:t>
      </w:r>
      <w:r w:rsidRPr="00130A78">
        <w:rPr>
          <w:rFonts w:ascii="Book Antiqua" w:hAnsi="Book Antiqua" w:cs="Book Antiqua"/>
        </w:rPr>
        <w:t>(Orion II, Medical Measurement Systems, Netherlands). The pH catheter had two or four sensors that were 15 cm or 5 cm apart. The pH electrodes were calibrated before and after the test using reference buffer solutions with a</w:t>
      </w:r>
      <w:r w:rsidRPr="00130A78">
        <w:rPr>
          <w:rFonts w:ascii="Book Antiqua" w:hAnsi="Book Antiqua" w:cs="Book Antiqua"/>
          <w:color w:val="FF0000"/>
        </w:rPr>
        <w:t xml:space="preserve"> </w:t>
      </w:r>
      <w:r w:rsidRPr="00130A78">
        <w:rPr>
          <w:rFonts w:ascii="Book Antiqua" w:hAnsi="Book Antiqua" w:cs="Book Antiqua"/>
        </w:rPr>
        <w:t xml:space="preserve">pH of 4 or 7. The most proximal electrode (pharyngeal probe) was placed in the hypopharynx 2 cm above the manometry-defined proximal border of the UES. Each patient wore a data-logger with a sampling frequency of 1 Hz during the test period. Symptom occurrence, meal times and body positions (supine or upright) were written down in a diary and recorded in a data log. The patients were advised to eat their usual meals and engage in their usual activities on the day of the test. After a period of 24 h, they returned the data log, and the data were downloaded onto a computer using software provided by the manufacturer. The data from the diaries were extracted for interpretation. </w:t>
      </w:r>
    </w:p>
    <w:p w:rsidR="00ED3CC6" w:rsidRPr="00130A78" w:rsidRDefault="00ED3CC6" w:rsidP="009425D4">
      <w:pPr>
        <w:snapToGrid w:val="0"/>
        <w:spacing w:line="360" w:lineRule="auto"/>
        <w:ind w:firstLineChars="100" w:firstLine="240"/>
        <w:jc w:val="both"/>
        <w:rPr>
          <w:rFonts w:ascii="Book Antiqua" w:hAnsi="Book Antiqua" w:cs="Book Antiqua"/>
        </w:rPr>
      </w:pPr>
      <w:r w:rsidRPr="00130A78">
        <w:rPr>
          <w:rFonts w:ascii="Book Antiqua" w:hAnsi="Book Antiqua" w:cs="Book Antiqua"/>
        </w:rPr>
        <w:t>A single pharyngeal event (pH &lt;</w:t>
      </w:r>
      <w:r w:rsidRPr="00130A78">
        <w:rPr>
          <w:rFonts w:ascii="Book Antiqua" w:eastAsia="宋体" w:hAnsi="Book Antiqua" w:cs="Book Antiqua"/>
          <w:lang w:eastAsia="zh-CN"/>
        </w:rPr>
        <w:t xml:space="preserve"> </w:t>
      </w:r>
      <w:r w:rsidRPr="00130A78">
        <w:rPr>
          <w:rFonts w:ascii="Book Antiqua" w:hAnsi="Book Antiqua" w:cs="Book Antiqua"/>
        </w:rPr>
        <w:t>4) preceded by a precipitous pH drop of the same magnitude in the esophageal probe was defined as a positive result for LPR. The most distal pH sensor in the esophagus (esophageal probe) was 15 cm away from the pharyngeal probe. Pathologic GER was defined as a percentage of total time with a pH &lt; 4 greater than 4.2% as measured by the esophageal probe</w:t>
      </w:r>
      <w:r w:rsidRPr="00130A78">
        <w:rPr>
          <w:rFonts w:ascii="Book Antiqua" w:hAnsi="Book Antiqua" w:cs="Book Antiqua"/>
          <w:vertAlign w:val="superscript"/>
        </w:rPr>
        <w:t>[13]</w:t>
      </w:r>
      <w:r w:rsidRPr="00130A78">
        <w:rPr>
          <w:rFonts w:ascii="Book Antiqua" w:hAnsi="Book Antiqua" w:cs="Book Antiqua"/>
        </w:rPr>
        <w:t>.</w:t>
      </w:r>
    </w:p>
    <w:p w:rsidR="00ED3CC6" w:rsidRPr="00130A78" w:rsidRDefault="00ED3CC6" w:rsidP="000B416C">
      <w:pPr>
        <w:snapToGrid w:val="0"/>
        <w:spacing w:line="360" w:lineRule="auto"/>
        <w:jc w:val="both"/>
        <w:rPr>
          <w:rFonts w:ascii="Book Antiqua" w:hAnsi="Book Antiqua" w:cs="Book Antiqua"/>
        </w:rPr>
      </w:pPr>
    </w:p>
    <w:p w:rsidR="00ED3CC6" w:rsidRPr="00130A78" w:rsidRDefault="00ED3CC6" w:rsidP="000B416C">
      <w:pPr>
        <w:snapToGrid w:val="0"/>
        <w:spacing w:line="360" w:lineRule="auto"/>
        <w:jc w:val="both"/>
        <w:rPr>
          <w:rFonts w:ascii="Book Antiqua" w:hAnsi="Book Antiqua" w:cs="Book Antiqua"/>
          <w:b/>
          <w:bCs/>
          <w:i/>
          <w:iCs/>
        </w:rPr>
      </w:pPr>
      <w:r w:rsidRPr="00130A78">
        <w:rPr>
          <w:rFonts w:ascii="Book Antiqua" w:hAnsi="Book Antiqua" w:cs="Book Antiqua"/>
          <w:b/>
          <w:bCs/>
          <w:i/>
          <w:iCs/>
        </w:rPr>
        <w:t>Analysis of the pH data</w:t>
      </w:r>
    </w:p>
    <w:p w:rsidR="00ED3CC6" w:rsidRPr="00130A78" w:rsidRDefault="00ED3CC6" w:rsidP="000B416C">
      <w:pPr>
        <w:snapToGrid w:val="0"/>
        <w:spacing w:line="360" w:lineRule="auto"/>
        <w:jc w:val="both"/>
        <w:rPr>
          <w:rFonts w:ascii="Book Antiqua" w:hAnsi="Book Antiqua" w:cs="Book Antiqua"/>
        </w:rPr>
      </w:pPr>
      <w:r w:rsidRPr="00130A78">
        <w:rPr>
          <w:rFonts w:ascii="Book Antiqua" w:hAnsi="Book Antiqua" w:cs="Book Antiqua"/>
        </w:rPr>
        <w:t>The elimination half-life of meperidine is 3.2–3.7 h, and the half-life of midazolam is approximately 3 h</w:t>
      </w:r>
      <w:r w:rsidRPr="00130A78">
        <w:rPr>
          <w:rFonts w:ascii="Book Antiqua" w:hAnsi="Book Antiqua" w:cs="Book Antiqua"/>
          <w:vertAlign w:val="superscript"/>
        </w:rPr>
        <w:t xml:space="preserve"> [14,15]</w:t>
      </w:r>
      <w:r w:rsidRPr="00130A78">
        <w:rPr>
          <w:rFonts w:ascii="Book Antiqua" w:hAnsi="Book Antiqua" w:cs="Book Antiqua"/>
        </w:rPr>
        <w:t xml:space="preserve">. To analyze the effect of conscious sedation on 24-h pH monitoring, computer software provided by MMS was used to analyze the 24-h pH data of each patient during two periods: the first 4 h (Period I) and the remaining time of the study (Period II). Meal times and sleep h were excluded from the analysis. Thus, only data recorded when the patients assumed an upright position were used for the comparisons. The </w:t>
      </w:r>
      <w:r w:rsidRPr="00130A78">
        <w:rPr>
          <w:rFonts w:ascii="Book Antiqua" w:hAnsi="Book Antiqua" w:cs="Book Antiqua"/>
        </w:rPr>
        <w:lastRenderedPageBreak/>
        <w:t>mean duration of each period was 3.5 ± 0.5 h for Period I and 10.1 ± 2.1 h for Period II.</w:t>
      </w:r>
    </w:p>
    <w:p w:rsidR="00ED3CC6" w:rsidRPr="00130A78" w:rsidRDefault="00ED3CC6" w:rsidP="009425D4">
      <w:pPr>
        <w:snapToGrid w:val="0"/>
        <w:spacing w:line="360" w:lineRule="auto"/>
        <w:ind w:firstLineChars="100" w:firstLine="240"/>
        <w:jc w:val="both"/>
        <w:rPr>
          <w:rFonts w:ascii="Book Antiqua" w:hAnsi="Book Antiqua" w:cs="Book Antiqua"/>
        </w:rPr>
      </w:pPr>
      <w:r w:rsidRPr="00130A78">
        <w:rPr>
          <w:rFonts w:ascii="Book Antiqua" w:hAnsi="Book Antiqua" w:cs="Book Antiqua"/>
        </w:rPr>
        <w:t>An acid reflux event was defined as an episode of pH &lt; 4 detected on the pharyngeal or esophageal probe. Long reflux was defined as a reflux event lasting more than 5 min. The variables used for the comparisons were percentage of total time with a pH &lt; 4, frequency of acid reflux events (episodes/h), and presence of long reflux.</w:t>
      </w:r>
    </w:p>
    <w:p w:rsidR="00ED3CC6" w:rsidRPr="00130A78" w:rsidRDefault="00ED3CC6" w:rsidP="009425D4">
      <w:pPr>
        <w:snapToGrid w:val="0"/>
        <w:spacing w:line="360" w:lineRule="auto"/>
        <w:ind w:firstLineChars="100" w:firstLine="240"/>
        <w:jc w:val="both"/>
        <w:rPr>
          <w:rFonts w:ascii="Book Antiqua" w:hAnsi="Book Antiqua" w:cs="Book Antiqua"/>
        </w:rPr>
      </w:pPr>
    </w:p>
    <w:p w:rsidR="00ED3CC6" w:rsidRPr="00130A78" w:rsidRDefault="00ED3CC6" w:rsidP="000B416C">
      <w:pPr>
        <w:snapToGrid w:val="0"/>
        <w:spacing w:line="360" w:lineRule="auto"/>
        <w:jc w:val="both"/>
        <w:rPr>
          <w:rFonts w:ascii="Book Antiqua" w:hAnsi="Book Antiqua" w:cs="Book Antiqua"/>
          <w:b/>
          <w:bCs/>
          <w:i/>
          <w:iCs/>
        </w:rPr>
      </w:pPr>
      <w:r w:rsidRPr="00130A78">
        <w:rPr>
          <w:rFonts w:ascii="Book Antiqua" w:hAnsi="Book Antiqua" w:cs="Book Antiqua"/>
          <w:b/>
          <w:bCs/>
          <w:i/>
          <w:iCs/>
        </w:rPr>
        <w:t>Statistical analysis</w:t>
      </w:r>
    </w:p>
    <w:p w:rsidR="00ED3CC6" w:rsidRPr="00130A78" w:rsidRDefault="00ED3CC6" w:rsidP="000B416C">
      <w:pPr>
        <w:snapToGrid w:val="0"/>
        <w:spacing w:line="360" w:lineRule="auto"/>
        <w:jc w:val="both"/>
        <w:rPr>
          <w:rFonts w:ascii="Book Antiqua" w:hAnsi="Book Antiqua" w:cs="Book Antiqua"/>
        </w:rPr>
      </w:pPr>
      <w:r w:rsidRPr="00130A78">
        <w:rPr>
          <w:rFonts w:ascii="Book Antiqua" w:hAnsi="Book Antiqua" w:cs="Book Antiqua"/>
        </w:rPr>
        <w:t xml:space="preserve">Continuous variables are expressed as the mean ± standard deviation in the text and tables. The differences in the variables between patients in Group A and B were compared using a </w:t>
      </w:r>
      <w:r w:rsidRPr="00130A78">
        <w:rPr>
          <w:rFonts w:ascii="Book Antiqua" w:hAnsi="Book Antiqua" w:cs="Book Antiqua"/>
          <w:i/>
          <w:iCs/>
        </w:rPr>
        <w:t>t</w:t>
      </w:r>
      <w:r w:rsidRPr="00130A78">
        <w:rPr>
          <w:rFonts w:ascii="Book Antiqua" w:hAnsi="Book Antiqua" w:cs="Book Antiqua"/>
        </w:rPr>
        <w:t xml:space="preserve"> test for age and a Mann-Whitney </w:t>
      </w:r>
      <w:r w:rsidRPr="00130A78">
        <w:rPr>
          <w:rFonts w:ascii="Book Antiqua" w:hAnsi="Book Antiqua" w:cs="Book Antiqua"/>
          <w:i/>
          <w:iCs/>
        </w:rPr>
        <w:t>U</w:t>
      </w:r>
      <w:r w:rsidRPr="00130A78">
        <w:rPr>
          <w:rFonts w:ascii="Book Antiqua" w:hAnsi="Book Antiqua" w:cs="Book Antiqua"/>
        </w:rPr>
        <w:t xml:space="preserve"> test for BMI, Reflux Symptom Index (RSI), Reflux Finding Score (RFS), percentage of total time with a pH &lt; 4, and frequency of acid reflux. Either a </w:t>
      </w:r>
      <w:r w:rsidRPr="00130A78">
        <w:rPr>
          <w:rFonts w:ascii="Book Antiqua" w:eastAsia="MingLiU" w:hAnsi="Book Antiqua" w:cs="Times New Roman"/>
        </w:rPr>
        <w:sym w:font="Symbol" w:char="F063"/>
      </w:r>
      <w:r w:rsidRPr="00130A78">
        <w:rPr>
          <w:rFonts w:ascii="Book Antiqua" w:hAnsi="Book Antiqua" w:cs="Book Antiqua"/>
          <w:vertAlign w:val="superscript"/>
        </w:rPr>
        <w:t>2</w:t>
      </w:r>
      <w:r w:rsidRPr="00130A78">
        <w:rPr>
          <w:rFonts w:ascii="Book Antiqua" w:hAnsi="Book Antiqua" w:cs="Book Antiqua"/>
        </w:rPr>
        <w:t xml:space="preserve"> or Fisher’s exact test (when </w:t>
      </w:r>
      <w:r w:rsidRPr="00130A78">
        <w:rPr>
          <w:rFonts w:ascii="Book Antiqua" w:eastAsia="MingLiU" w:hAnsi="Book Antiqua" w:cs="Times New Roman"/>
        </w:rPr>
        <w:sym w:font="Symbol" w:char="F063"/>
      </w:r>
      <w:r w:rsidRPr="00130A78">
        <w:rPr>
          <w:rFonts w:ascii="Book Antiqua" w:hAnsi="Book Antiqua" w:cs="Book Antiqua"/>
          <w:vertAlign w:val="superscript"/>
        </w:rPr>
        <w:t xml:space="preserve">2 </w:t>
      </w:r>
      <w:r w:rsidRPr="00130A78">
        <w:rPr>
          <w:rFonts w:ascii="Book Antiqua" w:hAnsi="Book Antiqua" w:cs="Book Antiqua"/>
        </w:rPr>
        <w:t>test was inappropriate)</w:t>
      </w:r>
      <w:r w:rsidRPr="00130A78">
        <w:rPr>
          <w:rFonts w:ascii="Book Antiqua" w:hAnsi="Book Antiqua" w:cs="Book Antiqua"/>
          <w:color w:val="000000"/>
        </w:rPr>
        <w:t xml:space="preserve"> was used to analyze differences in sex, presence of heartburn and regurgitation, erosive esophagitis, LPR, pathologic GER, and long reflux. The differences in the variables between Period I and Period II in Group A patients were compared using a W</w:t>
      </w:r>
      <w:r w:rsidRPr="00130A78">
        <w:rPr>
          <w:rFonts w:ascii="Book Antiqua" w:hAnsi="Book Antiqua" w:cs="Book Antiqua"/>
        </w:rPr>
        <w:t xml:space="preserve">ilcoxon Signed Rank test for the percentage of total time with a pH &lt; 4, frequency of symptoms, and the presence of acid reflux. A McNemar’s test was used to analyze differences in the presence of long reflux. Statistical significance was defined as </w:t>
      </w:r>
      <w:r w:rsidRPr="00130A78">
        <w:rPr>
          <w:rFonts w:ascii="Book Antiqua" w:hAnsi="Book Antiqua" w:cs="Book Antiqua"/>
          <w:i/>
          <w:iCs/>
        </w:rPr>
        <w:t>P</w:t>
      </w:r>
      <w:r w:rsidRPr="00130A78">
        <w:rPr>
          <w:rFonts w:ascii="Book Antiqua" w:hAnsi="Book Antiqua" w:cs="Book Antiqua"/>
        </w:rPr>
        <w:t xml:space="preserve"> &lt;</w:t>
      </w:r>
      <w:r w:rsidRPr="00130A78">
        <w:rPr>
          <w:rFonts w:ascii="Book Antiqua" w:eastAsia="宋体" w:hAnsi="Book Antiqua" w:cs="Book Antiqua"/>
          <w:lang w:eastAsia="zh-CN"/>
        </w:rPr>
        <w:t xml:space="preserve"> </w:t>
      </w:r>
      <w:r w:rsidRPr="00130A78">
        <w:rPr>
          <w:rFonts w:ascii="Book Antiqua" w:hAnsi="Book Antiqua" w:cs="Book Antiqua"/>
        </w:rPr>
        <w:t xml:space="preserve">0.05. The statistical analyses were performed using the SPSS version 17.0 for Windows. </w:t>
      </w:r>
    </w:p>
    <w:p w:rsidR="00ED3CC6" w:rsidRPr="00130A78" w:rsidRDefault="00ED3CC6" w:rsidP="000B416C">
      <w:pPr>
        <w:snapToGrid w:val="0"/>
        <w:spacing w:line="360" w:lineRule="auto"/>
        <w:jc w:val="both"/>
        <w:rPr>
          <w:rFonts w:ascii="Book Antiqua" w:hAnsi="Book Antiqua" w:cs="Book Antiqua"/>
          <w:b/>
          <w:bCs/>
        </w:rPr>
      </w:pPr>
    </w:p>
    <w:p w:rsidR="00ED3CC6" w:rsidRPr="00130A78" w:rsidRDefault="00ED3CC6" w:rsidP="000B416C">
      <w:pPr>
        <w:snapToGrid w:val="0"/>
        <w:spacing w:line="360" w:lineRule="auto"/>
        <w:jc w:val="both"/>
        <w:rPr>
          <w:rFonts w:ascii="Book Antiqua" w:hAnsi="Book Antiqua" w:cs="Book Antiqua"/>
          <w:b/>
          <w:bCs/>
        </w:rPr>
      </w:pPr>
      <w:r w:rsidRPr="00130A78">
        <w:rPr>
          <w:rFonts w:ascii="Book Antiqua" w:hAnsi="Book Antiqua" w:cs="Book Antiqua"/>
          <w:b/>
          <w:bCs/>
        </w:rPr>
        <w:t>RESULTS</w:t>
      </w:r>
    </w:p>
    <w:p w:rsidR="00ED3CC6" w:rsidRPr="00130A78" w:rsidRDefault="00ED3CC6" w:rsidP="000B416C">
      <w:pPr>
        <w:snapToGrid w:val="0"/>
        <w:spacing w:line="360" w:lineRule="auto"/>
        <w:jc w:val="both"/>
        <w:rPr>
          <w:rFonts w:ascii="Book Antiqua" w:hAnsi="Book Antiqua" w:cs="Book Antiqua"/>
          <w:b/>
          <w:bCs/>
          <w:i/>
          <w:iCs/>
        </w:rPr>
      </w:pPr>
      <w:r w:rsidRPr="00130A78">
        <w:rPr>
          <w:rFonts w:ascii="Book Antiqua" w:hAnsi="Book Antiqua" w:cs="Book Antiqua"/>
          <w:b/>
          <w:bCs/>
          <w:i/>
          <w:iCs/>
        </w:rPr>
        <w:t xml:space="preserve">Comparisons between patients with and without sedated EGD </w:t>
      </w:r>
    </w:p>
    <w:p w:rsidR="00ED3CC6" w:rsidRPr="00130A78" w:rsidRDefault="00ED3CC6" w:rsidP="000B416C">
      <w:pPr>
        <w:snapToGrid w:val="0"/>
        <w:spacing w:line="360" w:lineRule="auto"/>
        <w:jc w:val="both"/>
        <w:rPr>
          <w:rFonts w:ascii="Book Antiqua" w:hAnsi="Book Antiqua" w:cs="Book Antiqua"/>
        </w:rPr>
      </w:pPr>
      <w:r w:rsidRPr="00130A78">
        <w:rPr>
          <w:rFonts w:ascii="Book Antiqua" w:hAnsi="Book Antiqua" w:cs="Book Antiqua"/>
        </w:rPr>
        <w:t xml:space="preserve">The demographic, </w:t>
      </w:r>
      <w:r w:rsidRPr="00130A78">
        <w:rPr>
          <w:rFonts w:ascii="Book Antiqua" w:hAnsi="Book Antiqua" w:cs="Book Antiqua"/>
          <w:color w:val="000000"/>
        </w:rPr>
        <w:t xml:space="preserve">clinical, and endoscopic data from the patients in Groups A and B were compared (Table 1). There were no significant differences between the two groups. Characteristic symptoms of GERD, heartburn and acid regurgitation were present in both groups (13/36 </w:t>
      </w:r>
      <w:r w:rsidRPr="00130A78">
        <w:rPr>
          <w:rFonts w:ascii="Book Antiqua" w:hAnsi="Book Antiqua" w:cs="Book Antiqua"/>
          <w:i/>
          <w:iCs/>
          <w:color w:val="000000"/>
        </w:rPr>
        <w:t>vs</w:t>
      </w:r>
      <w:r w:rsidRPr="00130A78">
        <w:rPr>
          <w:rFonts w:ascii="Book Antiqua" w:hAnsi="Book Antiqua" w:cs="Book Antiqua"/>
          <w:color w:val="000000"/>
        </w:rPr>
        <w:t xml:space="preserve"> 7/14, </w:t>
      </w:r>
      <w:r w:rsidRPr="00130A78">
        <w:rPr>
          <w:rFonts w:ascii="Book Antiqua" w:hAnsi="Book Antiqua" w:cs="Book Antiqua"/>
          <w:i/>
          <w:iCs/>
          <w:color w:val="000000"/>
        </w:rPr>
        <w:t>P</w:t>
      </w:r>
      <w:r w:rsidRPr="00130A78">
        <w:rPr>
          <w:rFonts w:ascii="Book Antiqua" w:hAnsi="Book Antiqua" w:cs="Book Antiqua"/>
          <w:color w:val="000000"/>
        </w:rPr>
        <w:t xml:space="preserve"> = 0.37). Six patients (16.7%) in Group A and 2 (14.3%) in Group B had erosive esophagitis </w:t>
      </w:r>
      <w:r w:rsidRPr="00130A78">
        <w:rPr>
          <w:rFonts w:ascii="Book Antiqua" w:hAnsi="Book Antiqua" w:cs="Book Antiqua"/>
          <w:color w:val="000000"/>
        </w:rPr>
        <w:lastRenderedPageBreak/>
        <w:t>(all were grade A, except one patient in Group A who was grade B based on the Los Angeles classification) on the EGD (</w:t>
      </w:r>
      <w:r w:rsidRPr="00130A78">
        <w:rPr>
          <w:rFonts w:ascii="Book Antiqua" w:hAnsi="Book Antiqua" w:cs="Book Antiqua"/>
          <w:i/>
          <w:iCs/>
          <w:color w:val="000000"/>
        </w:rPr>
        <w:t>P</w:t>
      </w:r>
      <w:r w:rsidRPr="00130A78">
        <w:rPr>
          <w:rFonts w:ascii="Book Antiqua" w:hAnsi="Book Antiqua" w:cs="Book Antiqua"/>
          <w:color w:val="000000"/>
        </w:rPr>
        <w:t xml:space="preserve"> = 1). The RSI is a </w:t>
      </w:r>
      <w:r w:rsidRPr="00130A78">
        <w:rPr>
          <w:rFonts w:ascii="Book Antiqua" w:hAnsi="Book Antiqua" w:cs="Book Antiqua"/>
        </w:rPr>
        <w:t>validated patient-administered questionnaire for the diagnosis of LPR</w:t>
      </w:r>
      <w:r w:rsidRPr="00130A78">
        <w:rPr>
          <w:rFonts w:ascii="Book Antiqua" w:hAnsi="Book Antiqua" w:cs="Book Antiqua"/>
          <w:vertAlign w:val="superscript"/>
        </w:rPr>
        <w:t>[16]</w:t>
      </w:r>
      <w:r w:rsidRPr="00130A78">
        <w:rPr>
          <w:rFonts w:ascii="Book Antiqua" w:hAnsi="Book Antiqua" w:cs="Book Antiqua"/>
        </w:rPr>
        <w:t>. A total score greater than 13 is regarded as a positive result. The patients in Group A scored 15.9 ± 7.5, and the patients in Group B score 16.8 ± 9.2 (</w:t>
      </w:r>
      <w:r w:rsidRPr="00130A78">
        <w:rPr>
          <w:rFonts w:ascii="Book Antiqua" w:hAnsi="Book Antiqua" w:cs="Book Antiqua"/>
          <w:i/>
          <w:iCs/>
        </w:rPr>
        <w:t>P</w:t>
      </w:r>
      <w:r w:rsidRPr="00130A78">
        <w:rPr>
          <w:rFonts w:ascii="Book Antiqua" w:hAnsi="Book Antiqua" w:cs="Book Antiqua"/>
        </w:rPr>
        <w:t xml:space="preserve"> = 0.62). The RFS is an 8-item scale listing common physical findings in LPR patients</w:t>
      </w:r>
      <w:r w:rsidRPr="00130A78">
        <w:rPr>
          <w:rFonts w:ascii="Book Antiqua" w:hAnsi="Book Antiqua" w:cs="Book Antiqua"/>
          <w:vertAlign w:val="superscript"/>
        </w:rPr>
        <w:t>[17]</w:t>
      </w:r>
      <w:r w:rsidRPr="00130A78">
        <w:rPr>
          <w:rFonts w:ascii="Book Antiqua" w:hAnsi="Book Antiqua" w:cs="Book Antiqua"/>
        </w:rPr>
        <w:t>.</w:t>
      </w:r>
      <w:r w:rsidRPr="00130A78">
        <w:rPr>
          <w:rFonts w:ascii="Book Antiqua" w:hAnsi="Book Antiqua" w:cs="Book Antiqua"/>
          <w:color w:val="7030A0"/>
        </w:rPr>
        <w:t xml:space="preserve"> </w:t>
      </w:r>
      <w:r w:rsidRPr="00130A78">
        <w:rPr>
          <w:rFonts w:ascii="Book Antiqua" w:hAnsi="Book Antiqua" w:cs="Book Antiqua"/>
        </w:rPr>
        <w:t>A total score of greater than 7 is regarded as a positive result. The RFS was 8.1 ± 3.7 in Group A and 6.4 ± 2.4 in Group B (</w:t>
      </w:r>
      <w:r w:rsidRPr="00130A78">
        <w:rPr>
          <w:rFonts w:ascii="Book Antiqua" w:hAnsi="Book Antiqua" w:cs="Book Antiqua"/>
          <w:i/>
          <w:iCs/>
        </w:rPr>
        <w:t>P</w:t>
      </w:r>
      <w:r w:rsidRPr="00130A78">
        <w:rPr>
          <w:rFonts w:ascii="Book Antiqua" w:hAnsi="Book Antiqua" w:cs="Book Antiqua"/>
        </w:rPr>
        <w:t xml:space="preserve"> = 0.19). Twelve patients (33.3%) in Group A and 5 (35.7%) in Group B met the pH criteria for LPR (</w:t>
      </w:r>
      <w:r w:rsidRPr="00130A78">
        <w:rPr>
          <w:rFonts w:ascii="Book Antiqua" w:hAnsi="Book Antiqua" w:cs="Book Antiqua"/>
          <w:i/>
          <w:iCs/>
        </w:rPr>
        <w:t>P</w:t>
      </w:r>
      <w:r w:rsidRPr="00130A78">
        <w:rPr>
          <w:rFonts w:ascii="Book Antiqua" w:hAnsi="Book Antiqua" w:cs="Book Antiqua"/>
        </w:rPr>
        <w:t xml:space="preserve"> = 0.87). There were three (8.3%) patients in Group A and one (7.1%) in Group B who had pathologic GER (</w:t>
      </w:r>
      <w:r w:rsidRPr="00130A78">
        <w:rPr>
          <w:rFonts w:ascii="Book Antiqua" w:hAnsi="Book Antiqua" w:cs="Book Antiqua"/>
          <w:i/>
          <w:iCs/>
        </w:rPr>
        <w:t>P</w:t>
      </w:r>
      <w:r w:rsidRPr="00130A78">
        <w:rPr>
          <w:rFonts w:ascii="Book Antiqua" w:hAnsi="Book Antiqua" w:cs="Book Antiqua"/>
        </w:rPr>
        <w:t xml:space="preserve"> = 1.00).</w:t>
      </w:r>
    </w:p>
    <w:p w:rsidR="00ED3CC6" w:rsidRPr="00130A78" w:rsidRDefault="00ED3CC6" w:rsidP="009425D4">
      <w:pPr>
        <w:snapToGrid w:val="0"/>
        <w:spacing w:line="360" w:lineRule="auto"/>
        <w:ind w:firstLineChars="100" w:firstLine="240"/>
        <w:jc w:val="both"/>
        <w:rPr>
          <w:rFonts w:ascii="Book Antiqua" w:hAnsi="Book Antiqua" w:cs="Book Antiqua"/>
        </w:rPr>
      </w:pPr>
      <w:r w:rsidRPr="00130A78">
        <w:rPr>
          <w:rFonts w:ascii="Book Antiqua" w:hAnsi="Book Antiqua" w:cs="Book Antiqua"/>
        </w:rPr>
        <w:t xml:space="preserve">The pH data obtained from Period I were compared between the two groups </w:t>
      </w:r>
      <w:r w:rsidRPr="00130A78">
        <w:rPr>
          <w:rFonts w:ascii="Book Antiqua" w:hAnsi="Book Antiqua" w:cs="Book Antiqua"/>
          <w:color w:val="000000"/>
        </w:rPr>
        <w:t xml:space="preserve">(Table </w:t>
      </w:r>
      <w:r>
        <w:rPr>
          <w:rFonts w:ascii="Book Antiqua" w:eastAsia="宋体" w:hAnsi="Book Antiqua" w:cs="Book Antiqua"/>
          <w:color w:val="000000"/>
          <w:lang w:eastAsia="zh-CN"/>
        </w:rPr>
        <w:t>1</w:t>
      </w:r>
      <w:r w:rsidRPr="00130A78">
        <w:rPr>
          <w:rFonts w:ascii="Book Antiqua" w:hAnsi="Book Antiqua" w:cs="Book Antiqua"/>
          <w:color w:val="000000"/>
        </w:rPr>
        <w:t>). Using the pharyngeal probe, the percentage of total time with a pH &lt; 4 was 0.03% ± 0.10% (range, 0%–0.4%) in Group A and 0.07% ± 0.16% (range, 0%–0.5%) in Group B (</w:t>
      </w:r>
      <w:r w:rsidRPr="00130A78">
        <w:rPr>
          <w:rFonts w:ascii="Book Antiqua" w:hAnsi="Book Antiqua" w:cs="Book Antiqua"/>
          <w:i/>
          <w:iCs/>
          <w:color w:val="000000"/>
        </w:rPr>
        <w:t>P</w:t>
      </w:r>
      <w:r w:rsidRPr="00130A78">
        <w:rPr>
          <w:rFonts w:ascii="Book Antiqua" w:hAnsi="Book Antiqua" w:cs="Book Antiqua"/>
          <w:color w:val="000000"/>
        </w:rPr>
        <w:t xml:space="preserve"> = 0.32). The frequency of acid reflux events was 0.07 ± 0.23 episodes</w:t>
      </w:r>
      <w:r w:rsidRPr="00130A78">
        <w:rPr>
          <w:rFonts w:ascii="Book Antiqua" w:eastAsia="宋体" w:hAnsi="Book Antiqua" w:cs="Book Antiqua"/>
          <w:color w:val="000000"/>
          <w:lang w:eastAsia="zh-CN"/>
        </w:rPr>
        <w:t>/</w:t>
      </w:r>
      <w:r w:rsidRPr="00130A78">
        <w:rPr>
          <w:rFonts w:ascii="Book Antiqua" w:hAnsi="Book Antiqua" w:cs="Book Antiqua"/>
          <w:color w:val="000000"/>
        </w:rPr>
        <w:t>h (range, 0–1.1 episodes</w:t>
      </w:r>
      <w:r w:rsidRPr="00130A78">
        <w:rPr>
          <w:rFonts w:ascii="Book Antiqua" w:eastAsia="宋体" w:hAnsi="Book Antiqua" w:cs="Book Antiqua"/>
          <w:color w:val="000000"/>
          <w:lang w:eastAsia="zh-CN"/>
        </w:rPr>
        <w:t>/</w:t>
      </w:r>
      <w:r w:rsidRPr="00130A78">
        <w:rPr>
          <w:rFonts w:ascii="Book Antiqua" w:hAnsi="Book Antiqua" w:cs="Book Antiqua"/>
          <w:color w:val="000000"/>
        </w:rPr>
        <w:t>h) in Group A and 0.18 ± 0.47 episodes</w:t>
      </w:r>
      <w:r w:rsidRPr="00130A78">
        <w:rPr>
          <w:rFonts w:ascii="Book Antiqua" w:eastAsia="宋体" w:hAnsi="Book Antiqua" w:cs="Book Antiqua"/>
          <w:color w:val="000000"/>
          <w:lang w:eastAsia="zh-CN"/>
        </w:rPr>
        <w:t>/</w:t>
      </w:r>
      <w:r w:rsidRPr="00130A78">
        <w:rPr>
          <w:rFonts w:ascii="Book Antiqua" w:hAnsi="Book Antiqua" w:cs="Book Antiqua"/>
          <w:color w:val="000000"/>
        </w:rPr>
        <w:t>h (range, 0–1.7 episodes</w:t>
      </w:r>
      <w:r w:rsidRPr="00130A78">
        <w:rPr>
          <w:rFonts w:ascii="Book Antiqua" w:eastAsia="宋体" w:hAnsi="Book Antiqua" w:cs="Book Antiqua"/>
          <w:color w:val="000000"/>
          <w:lang w:eastAsia="zh-CN"/>
        </w:rPr>
        <w:t>/</w:t>
      </w:r>
      <w:r w:rsidRPr="00130A78">
        <w:rPr>
          <w:rFonts w:ascii="Book Antiqua" w:hAnsi="Book Antiqua" w:cs="Book Antiqua"/>
          <w:color w:val="000000"/>
        </w:rPr>
        <w:t>h) in Group B (</w:t>
      </w:r>
      <w:r w:rsidRPr="00130A78">
        <w:rPr>
          <w:rFonts w:ascii="Book Antiqua" w:hAnsi="Book Antiqua" w:cs="Book Antiqua"/>
          <w:i/>
          <w:iCs/>
          <w:color w:val="000000"/>
        </w:rPr>
        <w:t>P</w:t>
      </w:r>
      <w:r w:rsidRPr="00130A78">
        <w:rPr>
          <w:rFonts w:ascii="Book Antiqua" w:hAnsi="Book Antiqua" w:cs="Book Antiqua"/>
          <w:color w:val="000000"/>
        </w:rPr>
        <w:t xml:space="preserve"> = 0.33). None of the patients in either group had long reflux events. Using the esophageal probe, the mean percentage of total time with a pH &lt; 4 was 0.96% ± 1.89% (range, 0%–7%)</w:t>
      </w:r>
      <w:r w:rsidRPr="00130A78">
        <w:rPr>
          <w:rFonts w:ascii="Book Antiqua" w:hAnsi="Book Antiqua" w:cs="Book Antiqua"/>
        </w:rPr>
        <w:t xml:space="preserve"> in Group A and 0.42</w:t>
      </w:r>
      <w:r w:rsidRPr="00130A78">
        <w:rPr>
          <w:rFonts w:ascii="Book Antiqua" w:hAnsi="Book Antiqua" w:cs="Book Antiqua"/>
          <w:color w:val="000000"/>
        </w:rPr>
        <w:t>%</w:t>
      </w:r>
      <w:r w:rsidRPr="00130A78">
        <w:rPr>
          <w:rFonts w:ascii="Book Antiqua" w:hAnsi="Book Antiqua" w:cs="Book Antiqua"/>
        </w:rPr>
        <w:t xml:space="preserve"> ± 0.81% (range, 0</w:t>
      </w:r>
      <w:r w:rsidRPr="00130A78">
        <w:rPr>
          <w:rFonts w:ascii="Book Antiqua" w:hAnsi="Book Antiqua" w:cs="Book Antiqua"/>
          <w:color w:val="000000"/>
        </w:rPr>
        <w:t>%</w:t>
      </w:r>
      <w:r w:rsidRPr="00130A78">
        <w:rPr>
          <w:rFonts w:ascii="Book Antiqua" w:hAnsi="Book Antiqua" w:cs="Book Antiqua"/>
        </w:rPr>
        <w:t>–2.9%) in Group B (</w:t>
      </w:r>
      <w:r w:rsidRPr="00130A78">
        <w:rPr>
          <w:rFonts w:ascii="Book Antiqua" w:hAnsi="Book Antiqua" w:cs="Book Antiqua"/>
          <w:i/>
          <w:iCs/>
        </w:rPr>
        <w:t>P</w:t>
      </w:r>
      <w:r w:rsidRPr="00130A78">
        <w:rPr>
          <w:rFonts w:ascii="Book Antiqua" w:hAnsi="Book Antiqua" w:cs="Book Antiqua"/>
        </w:rPr>
        <w:t xml:space="preserve"> = 0.59). The frequency of acid reflux events was 0.74 ± 1.51 </w:t>
      </w:r>
      <w:r w:rsidRPr="00130A78">
        <w:rPr>
          <w:rFonts w:ascii="Book Antiqua" w:hAnsi="Book Antiqua" w:cs="Book Antiqua"/>
          <w:color w:val="000000"/>
        </w:rPr>
        <w:t>episodes</w:t>
      </w:r>
      <w:r w:rsidRPr="00130A78">
        <w:rPr>
          <w:rFonts w:ascii="Book Antiqua" w:eastAsia="宋体" w:hAnsi="Book Antiqua" w:cs="Book Antiqua"/>
          <w:color w:val="000000"/>
          <w:lang w:eastAsia="zh-CN"/>
        </w:rPr>
        <w:t>/</w:t>
      </w:r>
      <w:r w:rsidRPr="00130A78">
        <w:rPr>
          <w:rFonts w:ascii="Book Antiqua" w:hAnsi="Book Antiqua" w:cs="Book Antiqua"/>
          <w:color w:val="000000"/>
        </w:rPr>
        <w:t>h</w:t>
      </w:r>
      <w:r w:rsidRPr="00130A78">
        <w:rPr>
          <w:rFonts w:ascii="Book Antiqua" w:hAnsi="Book Antiqua" w:cs="Book Antiqua"/>
        </w:rPr>
        <w:t xml:space="preserve"> (range, 0–6.3</w:t>
      </w:r>
      <w:r w:rsidRPr="00130A78">
        <w:rPr>
          <w:rFonts w:ascii="Book Antiqua" w:hAnsi="Book Antiqua" w:cs="Book Antiqua"/>
          <w:color w:val="000000"/>
        </w:rPr>
        <w:t xml:space="preserve"> episodes</w:t>
      </w:r>
      <w:r w:rsidRPr="00130A78">
        <w:rPr>
          <w:rFonts w:ascii="Book Antiqua" w:eastAsia="宋体" w:hAnsi="Book Antiqua" w:cs="Book Antiqua"/>
          <w:color w:val="000000"/>
          <w:lang w:eastAsia="zh-CN"/>
        </w:rPr>
        <w:t>/</w:t>
      </w:r>
      <w:r w:rsidRPr="00130A78">
        <w:rPr>
          <w:rFonts w:ascii="Book Antiqua" w:hAnsi="Book Antiqua" w:cs="Book Antiqua"/>
          <w:color w:val="000000"/>
        </w:rPr>
        <w:t>h</w:t>
      </w:r>
      <w:r w:rsidRPr="00130A78">
        <w:rPr>
          <w:rFonts w:ascii="Book Antiqua" w:hAnsi="Book Antiqua" w:cs="Book Antiqua"/>
        </w:rPr>
        <w:t xml:space="preserve">) in Group A and 0.63 ± 0.97 </w:t>
      </w:r>
      <w:r w:rsidRPr="00130A78">
        <w:rPr>
          <w:rFonts w:ascii="Book Antiqua" w:hAnsi="Book Antiqua" w:cs="Book Antiqua"/>
          <w:color w:val="000000"/>
        </w:rPr>
        <w:t>episodes</w:t>
      </w:r>
      <w:r w:rsidRPr="00130A78">
        <w:rPr>
          <w:rFonts w:ascii="Book Antiqua" w:eastAsia="宋体" w:hAnsi="Book Antiqua" w:cs="Book Antiqua"/>
          <w:color w:val="000000"/>
          <w:lang w:eastAsia="zh-CN"/>
        </w:rPr>
        <w:t>/</w:t>
      </w:r>
      <w:r w:rsidRPr="00130A78">
        <w:rPr>
          <w:rFonts w:ascii="Book Antiqua" w:hAnsi="Book Antiqua" w:cs="Book Antiqua"/>
          <w:color w:val="000000"/>
        </w:rPr>
        <w:t>h</w:t>
      </w:r>
      <w:r w:rsidRPr="00130A78">
        <w:rPr>
          <w:rFonts w:ascii="Book Antiqua" w:hAnsi="Book Antiqua" w:cs="Book Antiqua"/>
        </w:rPr>
        <w:t xml:space="preserve"> (range, 0–3.1</w:t>
      </w:r>
      <w:r w:rsidRPr="00130A78">
        <w:rPr>
          <w:rFonts w:ascii="Book Antiqua" w:hAnsi="Book Antiqua" w:cs="Book Antiqua"/>
          <w:color w:val="000000"/>
        </w:rPr>
        <w:t xml:space="preserve"> episodes</w:t>
      </w:r>
      <w:r w:rsidRPr="00130A78">
        <w:rPr>
          <w:rFonts w:ascii="Book Antiqua" w:eastAsia="宋体" w:hAnsi="Book Antiqua" w:cs="Book Antiqua"/>
          <w:color w:val="000000"/>
          <w:lang w:eastAsia="zh-CN"/>
        </w:rPr>
        <w:t>/</w:t>
      </w:r>
      <w:r w:rsidRPr="00130A78">
        <w:rPr>
          <w:rFonts w:ascii="Book Antiqua" w:hAnsi="Book Antiqua" w:cs="Book Antiqua"/>
          <w:color w:val="000000"/>
        </w:rPr>
        <w:t>h</w:t>
      </w:r>
      <w:r w:rsidRPr="00130A78">
        <w:rPr>
          <w:rFonts w:ascii="Book Antiqua" w:hAnsi="Book Antiqua" w:cs="Book Antiqua"/>
        </w:rPr>
        <w:t>) in Group B (</w:t>
      </w:r>
      <w:r w:rsidRPr="00130A78">
        <w:rPr>
          <w:rFonts w:ascii="Book Antiqua" w:hAnsi="Book Antiqua" w:cs="Book Antiqua"/>
          <w:i/>
          <w:iCs/>
        </w:rPr>
        <w:t>P</w:t>
      </w:r>
      <w:r w:rsidRPr="00130A78">
        <w:rPr>
          <w:rFonts w:ascii="Book Antiqua" w:hAnsi="Book Antiqua" w:cs="Book Antiqua"/>
        </w:rPr>
        <w:t xml:space="preserve"> = 0.49). One patient in Group A and no patients in Group B had long reflux (</w:t>
      </w:r>
      <w:r w:rsidRPr="00130A78">
        <w:rPr>
          <w:rFonts w:ascii="Book Antiqua" w:hAnsi="Book Antiqua" w:cs="Book Antiqua"/>
          <w:i/>
          <w:iCs/>
        </w:rPr>
        <w:t>P</w:t>
      </w:r>
      <w:r w:rsidRPr="00130A78">
        <w:rPr>
          <w:rFonts w:ascii="Book Antiqua" w:hAnsi="Book Antiqua" w:cs="Book Antiqua"/>
        </w:rPr>
        <w:t xml:space="preserve"> = 1). </w:t>
      </w:r>
    </w:p>
    <w:p w:rsidR="00ED3CC6" w:rsidRPr="00130A78" w:rsidRDefault="00ED3CC6" w:rsidP="000B416C">
      <w:pPr>
        <w:snapToGrid w:val="0"/>
        <w:spacing w:line="360" w:lineRule="auto"/>
        <w:jc w:val="both"/>
        <w:rPr>
          <w:rFonts w:ascii="Book Antiqua" w:hAnsi="Book Antiqua" w:cs="Book Antiqua"/>
        </w:rPr>
      </w:pPr>
    </w:p>
    <w:p w:rsidR="00ED3CC6" w:rsidRPr="00130A78" w:rsidRDefault="00ED3CC6" w:rsidP="000B416C">
      <w:pPr>
        <w:snapToGrid w:val="0"/>
        <w:spacing w:line="360" w:lineRule="auto"/>
        <w:jc w:val="both"/>
        <w:rPr>
          <w:rFonts w:ascii="Book Antiqua" w:hAnsi="Book Antiqua" w:cs="Book Antiqua"/>
          <w:b/>
          <w:bCs/>
          <w:i/>
          <w:iCs/>
        </w:rPr>
      </w:pPr>
      <w:r w:rsidRPr="00130A78">
        <w:rPr>
          <w:rFonts w:ascii="Book Antiqua" w:hAnsi="Book Antiqua" w:cs="Book Antiqua"/>
          <w:b/>
          <w:bCs/>
          <w:i/>
          <w:iCs/>
        </w:rPr>
        <w:t>Comparisons between different periods in patients who underwent EGD with conscious sedation</w:t>
      </w:r>
    </w:p>
    <w:p w:rsidR="00ED3CC6" w:rsidRPr="00130A78" w:rsidRDefault="00ED3CC6" w:rsidP="000B416C">
      <w:pPr>
        <w:snapToGrid w:val="0"/>
        <w:spacing w:line="360" w:lineRule="auto"/>
        <w:jc w:val="both"/>
        <w:rPr>
          <w:rFonts w:ascii="Book Antiqua" w:hAnsi="Book Antiqua" w:cs="Book Antiqua"/>
        </w:rPr>
      </w:pPr>
      <w:r w:rsidRPr="00130A78">
        <w:rPr>
          <w:rFonts w:ascii="Book Antiqua" w:hAnsi="Book Antiqua" w:cs="Book Antiqua"/>
        </w:rPr>
        <w:t xml:space="preserve">The pH data for Period I and Period II from the Group A patients are shown </w:t>
      </w:r>
      <w:r w:rsidRPr="00130A78">
        <w:rPr>
          <w:rFonts w:ascii="Book Antiqua" w:hAnsi="Book Antiqua" w:cs="Book Antiqua"/>
          <w:color w:val="000000"/>
        </w:rPr>
        <w:t xml:space="preserve">in Table </w:t>
      </w:r>
      <w:r>
        <w:rPr>
          <w:rFonts w:ascii="Book Antiqua" w:eastAsia="宋体" w:hAnsi="Book Antiqua" w:cs="Book Antiqua"/>
          <w:color w:val="000000"/>
          <w:lang w:eastAsia="zh-CN"/>
        </w:rPr>
        <w:t>2</w:t>
      </w:r>
      <w:r w:rsidRPr="00130A78">
        <w:rPr>
          <w:rFonts w:ascii="Book Antiqua" w:hAnsi="Book Antiqua" w:cs="Book Antiqua"/>
          <w:color w:val="000000"/>
        </w:rPr>
        <w:t>. The frequency of symptom occurrence was 0.04 ± 0.10 episodes</w:t>
      </w:r>
      <w:r w:rsidRPr="00130A78">
        <w:rPr>
          <w:rFonts w:ascii="Book Antiqua" w:eastAsia="宋体" w:hAnsi="Book Antiqua" w:cs="Book Antiqua"/>
          <w:color w:val="000000"/>
          <w:lang w:eastAsia="zh-CN"/>
        </w:rPr>
        <w:t>/</w:t>
      </w:r>
      <w:r w:rsidRPr="00130A78">
        <w:rPr>
          <w:rFonts w:ascii="Book Antiqua" w:hAnsi="Book Antiqua" w:cs="Book Antiqua"/>
          <w:color w:val="000000"/>
        </w:rPr>
        <w:t>h (range, 0–0.3 episodes</w:t>
      </w:r>
      <w:r w:rsidRPr="00130A78">
        <w:rPr>
          <w:rFonts w:ascii="Book Antiqua" w:eastAsia="宋体" w:hAnsi="Book Antiqua" w:cs="Book Antiqua"/>
          <w:color w:val="000000"/>
          <w:lang w:eastAsia="zh-CN"/>
        </w:rPr>
        <w:t>/</w:t>
      </w:r>
      <w:r w:rsidRPr="00130A78">
        <w:rPr>
          <w:rFonts w:ascii="Book Antiqua" w:hAnsi="Book Antiqua" w:cs="Book Antiqua"/>
          <w:color w:val="000000"/>
        </w:rPr>
        <w:t>h)</w:t>
      </w:r>
      <w:r w:rsidRPr="00130A78">
        <w:rPr>
          <w:rFonts w:ascii="Book Antiqua" w:hAnsi="Book Antiqua" w:cs="Book Antiqua"/>
        </w:rPr>
        <w:t xml:space="preserve"> during Period I and 0.03 ± 0.06 </w:t>
      </w:r>
      <w:r w:rsidRPr="00130A78">
        <w:rPr>
          <w:rFonts w:ascii="Book Antiqua" w:hAnsi="Book Antiqua" w:cs="Book Antiqua"/>
          <w:color w:val="000000"/>
        </w:rPr>
        <w:t>episodes</w:t>
      </w:r>
      <w:r w:rsidRPr="00130A78">
        <w:rPr>
          <w:rFonts w:ascii="Book Antiqua" w:eastAsia="宋体" w:hAnsi="Book Antiqua" w:cs="Book Antiqua"/>
          <w:color w:val="000000"/>
          <w:lang w:eastAsia="zh-CN"/>
        </w:rPr>
        <w:t>/</w:t>
      </w:r>
      <w:r w:rsidRPr="00130A78">
        <w:rPr>
          <w:rFonts w:ascii="Book Antiqua" w:hAnsi="Book Antiqua" w:cs="Book Antiqua"/>
          <w:color w:val="000000"/>
        </w:rPr>
        <w:t>h</w:t>
      </w:r>
      <w:r w:rsidRPr="00130A78">
        <w:rPr>
          <w:rFonts w:ascii="Book Antiqua" w:hAnsi="Book Antiqua" w:cs="Book Antiqua"/>
        </w:rPr>
        <w:t xml:space="preserve"> (range, 0–0.3) during Period II (</w:t>
      </w:r>
      <w:r w:rsidRPr="00130A78">
        <w:rPr>
          <w:rFonts w:ascii="Book Antiqua" w:hAnsi="Book Antiqua" w:cs="Book Antiqua"/>
          <w:i/>
          <w:iCs/>
        </w:rPr>
        <w:t>P</w:t>
      </w:r>
      <w:r w:rsidRPr="00130A78">
        <w:rPr>
          <w:rFonts w:ascii="Book Antiqua" w:hAnsi="Book Antiqua" w:cs="Book Antiqua"/>
        </w:rPr>
        <w:t xml:space="preserve"> = 0.29). Based on the pharyngeal probe </w:t>
      </w:r>
      <w:r w:rsidRPr="00130A78">
        <w:rPr>
          <w:rFonts w:ascii="Book Antiqua" w:hAnsi="Book Antiqua" w:cs="Book Antiqua"/>
        </w:rPr>
        <w:lastRenderedPageBreak/>
        <w:t>measurements, the percentage of total time with a pH &lt; 4 was 0.03% ± 0.10% (range, 0%–0.4%) in Period I and 0.23% ± 0.85% (range, 0%–5%) in Period II (</w:t>
      </w:r>
      <w:r w:rsidRPr="00130A78">
        <w:rPr>
          <w:rFonts w:ascii="Book Antiqua" w:hAnsi="Book Antiqua" w:cs="Book Antiqua"/>
          <w:i/>
          <w:iCs/>
        </w:rPr>
        <w:t>P</w:t>
      </w:r>
      <w:r w:rsidRPr="00130A78">
        <w:rPr>
          <w:rFonts w:ascii="Book Antiqua" w:hAnsi="Book Antiqua" w:cs="Book Antiqua"/>
        </w:rPr>
        <w:t xml:space="preserve"> = 0.21, Figure 1A). The frequency of acid reflux was 0.07 ± 0.23 episodes</w:t>
      </w:r>
      <w:r w:rsidRPr="00130A78">
        <w:rPr>
          <w:rFonts w:ascii="Book Antiqua" w:eastAsia="宋体" w:hAnsi="Book Antiqua" w:cs="Book Antiqua"/>
          <w:lang w:eastAsia="zh-CN"/>
        </w:rPr>
        <w:t>/</w:t>
      </w:r>
      <w:r w:rsidRPr="00130A78">
        <w:rPr>
          <w:rFonts w:ascii="Book Antiqua" w:hAnsi="Book Antiqua" w:cs="Book Antiqua"/>
        </w:rPr>
        <w:t>h (range, 0–1.1 episodes</w:t>
      </w:r>
      <w:r w:rsidRPr="00130A78">
        <w:rPr>
          <w:rFonts w:ascii="Book Antiqua" w:eastAsia="宋体" w:hAnsi="Book Antiqua" w:cs="Book Antiqua"/>
          <w:lang w:eastAsia="zh-CN"/>
        </w:rPr>
        <w:t>/</w:t>
      </w:r>
      <w:r w:rsidRPr="00130A78">
        <w:rPr>
          <w:rFonts w:ascii="Book Antiqua" w:hAnsi="Book Antiqua" w:cs="Book Antiqua"/>
        </w:rPr>
        <w:t>h) in Period I and 0.29 ± 0.98 episodes/h (range, 0–5.7 episodes/h) in Period II (</w:t>
      </w:r>
      <w:r w:rsidRPr="00130A78">
        <w:rPr>
          <w:rFonts w:ascii="Book Antiqua" w:hAnsi="Book Antiqua" w:cs="Book Antiqua"/>
          <w:i/>
          <w:iCs/>
        </w:rPr>
        <w:t>P</w:t>
      </w:r>
      <w:r w:rsidRPr="00130A78">
        <w:rPr>
          <w:rFonts w:ascii="Book Antiqua" w:hAnsi="Book Antiqua" w:cs="Book Antiqua"/>
        </w:rPr>
        <w:t xml:space="preserve"> = 0.22). None of the patients had a long reflux event. Based on the esophageal probe measurements, the percentage of total time with a pH &lt; 4 was 0.96% ± 1.89% (range, 0%–7%) in Period I and 1.11% ± 2.57% (range, 0%–13.6%) in Period II (</w:t>
      </w:r>
      <w:r w:rsidRPr="00130A78">
        <w:rPr>
          <w:rFonts w:ascii="Book Antiqua" w:hAnsi="Book Antiqua" w:cs="Book Antiqua"/>
          <w:i/>
          <w:iCs/>
        </w:rPr>
        <w:t>P</w:t>
      </w:r>
      <w:r w:rsidRPr="00130A78">
        <w:rPr>
          <w:rFonts w:ascii="Book Antiqua" w:hAnsi="Book Antiqua" w:cs="Book Antiqua"/>
        </w:rPr>
        <w:t xml:space="preserve"> = 0.55, Figure 1B). The frequency of acid reflux was 0.74 ± 1.51 episodes/h (range, 0–6.29 episodes/h) in Period I and 0.81 ± 1.76 episodes/h (range, 0–9.78 episodes/h) in Period II (</w:t>
      </w:r>
      <w:r w:rsidRPr="00130A78">
        <w:rPr>
          <w:rFonts w:ascii="Book Antiqua" w:hAnsi="Book Antiqua" w:cs="Book Antiqua"/>
          <w:i/>
          <w:iCs/>
        </w:rPr>
        <w:t>P</w:t>
      </w:r>
      <w:r w:rsidRPr="00130A78">
        <w:rPr>
          <w:rFonts w:ascii="Book Antiqua" w:hAnsi="Book Antiqua" w:cs="Book Antiqua"/>
        </w:rPr>
        <w:t xml:space="preserve"> = 0.55). One patient had a long reflux event during Period I and five had a long reflux event during Period II (</w:t>
      </w:r>
      <w:r w:rsidRPr="00130A78">
        <w:rPr>
          <w:rFonts w:ascii="Book Antiqua" w:hAnsi="Book Antiqua" w:cs="Book Antiqua"/>
          <w:i/>
          <w:iCs/>
        </w:rPr>
        <w:t>P</w:t>
      </w:r>
      <w:r w:rsidRPr="00130A78">
        <w:rPr>
          <w:rFonts w:ascii="Book Antiqua" w:hAnsi="Book Antiqua" w:cs="Book Antiqua"/>
        </w:rPr>
        <w:t xml:space="preserve"> = 0.22).</w:t>
      </w:r>
    </w:p>
    <w:p w:rsidR="00ED3CC6" w:rsidRPr="00130A78" w:rsidRDefault="00ED3CC6" w:rsidP="000B416C">
      <w:pPr>
        <w:snapToGrid w:val="0"/>
        <w:spacing w:line="360" w:lineRule="auto"/>
        <w:jc w:val="both"/>
        <w:rPr>
          <w:rFonts w:ascii="Book Antiqua" w:eastAsia="宋体" w:hAnsi="Book Antiqua" w:cs="Times New Roman"/>
          <w:b/>
          <w:bCs/>
          <w:lang w:eastAsia="zh-CN"/>
        </w:rPr>
      </w:pPr>
    </w:p>
    <w:p w:rsidR="00ED3CC6" w:rsidRPr="00130A78" w:rsidRDefault="00ED3CC6" w:rsidP="000B416C">
      <w:pPr>
        <w:snapToGrid w:val="0"/>
        <w:spacing w:line="360" w:lineRule="auto"/>
        <w:jc w:val="both"/>
        <w:rPr>
          <w:rFonts w:ascii="Book Antiqua" w:hAnsi="Book Antiqua" w:cs="Book Antiqua"/>
          <w:b/>
          <w:bCs/>
        </w:rPr>
      </w:pPr>
      <w:r w:rsidRPr="00130A78">
        <w:rPr>
          <w:rFonts w:ascii="Book Antiqua" w:hAnsi="Book Antiqua" w:cs="Book Antiqua"/>
          <w:b/>
          <w:bCs/>
        </w:rPr>
        <w:t>DISCUSSION</w:t>
      </w:r>
    </w:p>
    <w:p w:rsidR="00ED3CC6" w:rsidRPr="00130A78" w:rsidRDefault="00ED3CC6" w:rsidP="000B416C">
      <w:pPr>
        <w:snapToGrid w:val="0"/>
        <w:spacing w:line="360" w:lineRule="auto"/>
        <w:jc w:val="both"/>
        <w:rPr>
          <w:rFonts w:ascii="Book Antiqua" w:hAnsi="Book Antiqua" w:cs="Book Antiqua"/>
        </w:rPr>
      </w:pPr>
      <w:r w:rsidRPr="00130A78">
        <w:rPr>
          <w:rFonts w:ascii="Book Antiqua" w:hAnsi="Book Antiqua" w:cs="Book Antiqua"/>
        </w:rPr>
        <w:t>EGD is usually performed without conscious sedation in Taiwan. Some of our patients reported that nasally passed procedures for esophageal manometry and 24-hour pH monitoring were less tolerable than EGD without conscious sedation. Because moderate conscious sedation may be helpful to facilitate gastrointestinal procedures, we performed a catheter-based pH study in a manner similar to the Bravo system in our patients</w:t>
      </w:r>
      <w:r w:rsidRPr="00130A78">
        <w:rPr>
          <w:rFonts w:ascii="Book Antiqua" w:hAnsi="Book Antiqua" w:cs="Book Antiqua"/>
          <w:vertAlign w:val="superscript"/>
        </w:rPr>
        <w:t>[8,12]</w:t>
      </w:r>
      <w:r w:rsidRPr="00130A78">
        <w:rPr>
          <w:rFonts w:ascii="Book Antiqua" w:hAnsi="Book Antiqua" w:cs="Book Antiqua"/>
        </w:rPr>
        <w:t xml:space="preserve">. Our study results showed that EGD with conscious sedation does not have an immediate </w:t>
      </w:r>
      <w:r w:rsidRPr="00130A78">
        <w:rPr>
          <w:rFonts w:ascii="Book Antiqua" w:hAnsi="Book Antiqua" w:cs="Book Antiqua"/>
          <w:color w:val="000000"/>
        </w:rPr>
        <w:t xml:space="preserve">effect on subsequent </w:t>
      </w:r>
      <w:r w:rsidRPr="00130A78">
        <w:rPr>
          <w:rFonts w:ascii="Book Antiqua" w:hAnsi="Book Antiqua" w:cs="Book Antiqua"/>
        </w:rPr>
        <w:t>catheter-based</w:t>
      </w:r>
      <w:r w:rsidRPr="00130A78">
        <w:rPr>
          <w:rFonts w:ascii="Book Antiqua" w:hAnsi="Book Antiqua" w:cs="Book Antiqua"/>
          <w:color w:val="000000"/>
        </w:rPr>
        <w:t xml:space="preserve"> pH monitoring with regard to the</w:t>
      </w:r>
      <w:r w:rsidRPr="00130A78">
        <w:rPr>
          <w:rFonts w:ascii="Book Antiqua" w:hAnsi="Book Antiqua" w:cs="Book Antiqua"/>
        </w:rPr>
        <w:t xml:space="preserve"> relevant parameters assessed with pH monitoring techniques</w:t>
      </w:r>
      <w:r w:rsidRPr="00130A78">
        <w:rPr>
          <w:rFonts w:ascii="Book Antiqua" w:hAnsi="Book Antiqua" w:cs="Book Antiqua"/>
          <w:vertAlign w:val="superscript"/>
        </w:rPr>
        <w:t>[6,18]</w:t>
      </w:r>
      <w:r w:rsidRPr="00130A78">
        <w:rPr>
          <w:rFonts w:ascii="Book Antiqua" w:hAnsi="Book Antiqua" w:cs="Book Antiqua"/>
        </w:rPr>
        <w:t>.</w:t>
      </w:r>
    </w:p>
    <w:p w:rsidR="00ED3CC6" w:rsidRPr="00130A78" w:rsidRDefault="00ED3CC6" w:rsidP="009425D4">
      <w:pPr>
        <w:snapToGrid w:val="0"/>
        <w:spacing w:line="360" w:lineRule="auto"/>
        <w:ind w:firstLineChars="100" w:firstLine="240"/>
        <w:jc w:val="both"/>
        <w:rPr>
          <w:rFonts w:ascii="Book Antiqua" w:hAnsi="Book Antiqua" w:cs="Book Antiqua"/>
        </w:rPr>
      </w:pPr>
      <w:r w:rsidRPr="00130A78">
        <w:rPr>
          <w:rFonts w:ascii="Book Antiqua" w:hAnsi="Book Antiqua" w:cs="Book Antiqua"/>
        </w:rPr>
        <w:t xml:space="preserve">The Bravo capsule is </w:t>
      </w:r>
      <w:r w:rsidRPr="00130A78">
        <w:rPr>
          <w:rFonts w:ascii="Book Antiqua" w:hAnsi="Book Antiqua" w:cs="Book Antiqua"/>
          <w:color w:val="000000"/>
        </w:rPr>
        <w:t>usually placed during an EGD with conscious sedation</w:t>
      </w:r>
      <w:r w:rsidRPr="00130A78">
        <w:rPr>
          <w:rFonts w:ascii="Book Antiqua" w:hAnsi="Book Antiqua" w:cs="Book Antiqua"/>
          <w:vertAlign w:val="superscript"/>
        </w:rPr>
        <w:t>[19-23]</w:t>
      </w:r>
      <w:r w:rsidRPr="00130A78">
        <w:rPr>
          <w:rFonts w:ascii="Book Antiqua" w:hAnsi="Book Antiqua" w:cs="Book Antiqua"/>
          <w:color w:val="000000"/>
        </w:rPr>
        <w:t>. The Bravo pH system allows for the measurement of esophageal acid exposure over a 48-h period. Therefore, many studies have investigated whether there is day-to-day discrepancy during Bravo pH monitoring</w:t>
      </w:r>
      <w:r w:rsidRPr="00130A78">
        <w:rPr>
          <w:rFonts w:ascii="Book Antiqua" w:hAnsi="Book Antiqua" w:cs="Book Antiqua"/>
          <w:vertAlign w:val="superscript"/>
        </w:rPr>
        <w:t>[19-23]</w:t>
      </w:r>
      <w:r w:rsidRPr="00130A78">
        <w:rPr>
          <w:rFonts w:ascii="Book Antiqua" w:hAnsi="Book Antiqua" w:cs="Book Antiqua"/>
          <w:color w:val="000000"/>
        </w:rPr>
        <w:t>. The results are conflicting. Bechtold</w:t>
      </w:r>
      <w:r w:rsidRPr="00130A78">
        <w:rPr>
          <w:rFonts w:ascii="Book Antiqua" w:hAnsi="Book Antiqua" w:cs="Book Antiqua"/>
          <w:i/>
          <w:iCs/>
          <w:color w:val="000000"/>
        </w:rPr>
        <w:t xml:space="preserve"> et al</w:t>
      </w:r>
      <w:r w:rsidRPr="00130A78">
        <w:rPr>
          <w:rFonts w:ascii="Book Antiqua" w:hAnsi="Book Antiqua" w:cs="Book Antiqua"/>
          <w:color w:val="000000"/>
          <w:vertAlign w:val="superscript"/>
        </w:rPr>
        <w:t>[19]</w:t>
      </w:r>
      <w:r w:rsidRPr="00130A78">
        <w:rPr>
          <w:rFonts w:ascii="Book Antiqua" w:hAnsi="Book Antiqua" w:cs="Book Antiqua"/>
          <w:color w:val="000000"/>
        </w:rPr>
        <w:t xml:space="preserve"> and Bhat </w:t>
      </w:r>
      <w:r w:rsidRPr="00130A78">
        <w:rPr>
          <w:rFonts w:ascii="Book Antiqua" w:hAnsi="Book Antiqua" w:cs="Book Antiqua"/>
          <w:i/>
          <w:iCs/>
          <w:color w:val="000000"/>
        </w:rPr>
        <w:t>et al</w:t>
      </w:r>
      <w:r w:rsidRPr="00130A78">
        <w:rPr>
          <w:rFonts w:ascii="Book Antiqua" w:hAnsi="Book Antiqua" w:cs="Book Antiqua"/>
          <w:color w:val="000000"/>
          <w:vertAlign w:val="superscript"/>
        </w:rPr>
        <w:t>[20]</w:t>
      </w:r>
      <w:r w:rsidRPr="00130A78">
        <w:rPr>
          <w:rFonts w:ascii="Book Antiqua" w:hAnsi="Book Antiqua" w:cs="Book Antiqua"/>
          <w:color w:val="000000"/>
        </w:rPr>
        <w:t xml:space="preserve"> reported more acid reflux events on day 1 than on day 2 using the Bravo system, suggesting that endoscopy and the associated sedatives may be responsible for the day-to-day discrepancy.</w:t>
      </w:r>
      <w:r w:rsidRPr="00130A78">
        <w:rPr>
          <w:rFonts w:ascii="Book Antiqua" w:hAnsi="Book Antiqua" w:cs="Book Antiqua"/>
          <w:color w:val="000000"/>
          <w:vertAlign w:val="superscript"/>
        </w:rPr>
        <w:t xml:space="preserve"> </w:t>
      </w:r>
      <w:r w:rsidRPr="00130A78">
        <w:rPr>
          <w:rFonts w:ascii="Book Antiqua" w:hAnsi="Book Antiqua" w:cs="Book Antiqua"/>
          <w:color w:val="000000"/>
        </w:rPr>
        <w:t xml:space="preserve">Other studies showed that </w:t>
      </w:r>
      <w:r w:rsidRPr="00130A78">
        <w:rPr>
          <w:rFonts w:ascii="Book Antiqua" w:hAnsi="Book Antiqua" w:cs="Book Antiqua"/>
          <w:color w:val="000000"/>
        </w:rPr>
        <w:lastRenderedPageBreak/>
        <w:t>patients who underwent same-day EGD with intravenous sedation did not demonstrate any significant differences in reflux variables between day 1 and day 2 using Bravo pH monitoring</w:t>
      </w:r>
      <w:r w:rsidRPr="00130A78">
        <w:rPr>
          <w:rFonts w:ascii="Book Antiqua" w:hAnsi="Book Antiqua" w:cs="Book Antiqua"/>
          <w:vertAlign w:val="superscript"/>
        </w:rPr>
        <w:t>[21-23]</w:t>
      </w:r>
      <w:r w:rsidRPr="00130A78">
        <w:rPr>
          <w:rFonts w:ascii="Book Antiqua" w:hAnsi="Book Antiqua" w:cs="Book Antiqua"/>
          <w:color w:val="000000"/>
        </w:rPr>
        <w:t>.</w:t>
      </w:r>
    </w:p>
    <w:p w:rsidR="00ED3CC6" w:rsidRPr="00130A78" w:rsidRDefault="00ED3CC6" w:rsidP="009425D4">
      <w:pPr>
        <w:snapToGrid w:val="0"/>
        <w:spacing w:line="360" w:lineRule="auto"/>
        <w:ind w:firstLineChars="100" w:firstLine="240"/>
        <w:jc w:val="both"/>
        <w:rPr>
          <w:rFonts w:ascii="Book Antiqua" w:hAnsi="Book Antiqua" w:cs="Book Antiqua"/>
        </w:rPr>
      </w:pPr>
      <w:r w:rsidRPr="00130A78">
        <w:rPr>
          <w:rFonts w:ascii="Book Antiqua" w:hAnsi="Book Antiqua" w:cs="Book Antiqua"/>
          <w:color w:val="000000"/>
        </w:rPr>
        <w:t xml:space="preserve">Bhat </w:t>
      </w:r>
      <w:r w:rsidRPr="00130A78">
        <w:rPr>
          <w:rFonts w:ascii="Book Antiqua" w:hAnsi="Book Antiqua" w:cs="Book Antiqua"/>
          <w:i/>
          <w:iCs/>
          <w:color w:val="000000"/>
        </w:rPr>
        <w:t>et al</w:t>
      </w:r>
      <w:r w:rsidRPr="00130A78">
        <w:rPr>
          <w:rFonts w:ascii="Book Antiqua" w:hAnsi="Book Antiqua" w:cs="Book Antiqua"/>
          <w:color w:val="000000"/>
          <w:vertAlign w:val="superscript"/>
        </w:rPr>
        <w:t>[20]</w:t>
      </w:r>
      <w:r w:rsidRPr="00130A78">
        <w:rPr>
          <w:rFonts w:ascii="Book Antiqua" w:hAnsi="Book Antiqua" w:cs="Book Antiqua"/>
          <w:color w:val="000000"/>
        </w:rPr>
        <w:t xml:space="preserve"> further analyzed their pH data by dividing the study period into the first 6 h and the remaining 18 h on both day 1 and day 2. They found an increase in esophageal acid exposure during the first 6 h after capsule insertion on day 1 compared to the corresponding period on day 2. There was no such difference during the remaining 18 h on day 1 and day 2. They concluded that EGD with conscious sedation interferes with subsequent capsule-based Bravo pH measurements. In this study, we divided the study period into the first 4 h and the remaining 20 h because </w:t>
      </w:r>
      <w:r w:rsidRPr="00130A78">
        <w:rPr>
          <w:rFonts w:ascii="Book Antiqua" w:hAnsi="Book Antiqua" w:cs="Book Antiqua"/>
        </w:rPr>
        <w:t>the elimination half-life is nearly 4 h for meperidine and approximately 3 h for midazolam</w:t>
      </w:r>
      <w:r w:rsidRPr="00130A78">
        <w:rPr>
          <w:rFonts w:ascii="Book Antiqua" w:hAnsi="Book Antiqua" w:cs="Book Antiqua"/>
          <w:vertAlign w:val="superscript"/>
        </w:rPr>
        <w:t>[14,15]</w:t>
      </w:r>
      <w:r w:rsidRPr="00130A78">
        <w:rPr>
          <w:rFonts w:ascii="Book Antiqua" w:hAnsi="Book Antiqua" w:cs="Book Antiqua"/>
          <w:color w:val="000000"/>
        </w:rPr>
        <w:t>. Our results showed no interference in patients who underwent EGD with sedation. Our data further revealed that three pH variables were not significantly different between the patients with and without prior sedation (using both the pharyngeal and laryngeal probes). Ayazi et al. observed a similar day-to-day discrepancy in patients receiving capsule-based Bravo pH monitoring without prior EGD and conscious sedation</w:t>
      </w:r>
      <w:r w:rsidRPr="00130A78">
        <w:rPr>
          <w:rFonts w:ascii="Book Antiqua" w:hAnsi="Book Antiqua" w:cs="Book Antiqua"/>
          <w:color w:val="000000"/>
          <w:vertAlign w:val="superscript"/>
        </w:rPr>
        <w:t>[24]</w:t>
      </w:r>
      <w:r w:rsidRPr="00130A78">
        <w:rPr>
          <w:rFonts w:ascii="Book Antiqua" w:hAnsi="Book Antiqua" w:cs="Book Antiqua"/>
          <w:color w:val="000000"/>
        </w:rPr>
        <w:t>. Their results argue for an iatrogenic effect of sedated EGD on the pH monitoring.</w:t>
      </w:r>
      <w:r w:rsidRPr="00130A78">
        <w:rPr>
          <w:rFonts w:ascii="Book Antiqua" w:hAnsi="Book Antiqua" w:cs="Book Antiqua"/>
        </w:rPr>
        <w:t xml:space="preserve">  </w:t>
      </w:r>
    </w:p>
    <w:p w:rsidR="00ED3CC6" w:rsidRPr="00130A78" w:rsidRDefault="00ED3CC6" w:rsidP="009425D4">
      <w:pPr>
        <w:snapToGrid w:val="0"/>
        <w:spacing w:line="360" w:lineRule="auto"/>
        <w:ind w:firstLineChars="100" w:firstLine="240"/>
        <w:jc w:val="both"/>
        <w:rPr>
          <w:rFonts w:ascii="Book Antiqua" w:hAnsi="Book Antiqua" w:cs="Book Antiqua"/>
        </w:rPr>
      </w:pPr>
      <w:r w:rsidRPr="00130A78">
        <w:rPr>
          <w:rFonts w:ascii="Book Antiqua" w:hAnsi="Book Antiqua" w:cs="Book Antiqua"/>
        </w:rPr>
        <w:t>There are some limitations in the present study. First, the study cohort had extra-esophageal symptoms (LPR) but not esophageal symptoms (classical GERD). The mechanism of LPR may be different from that of classical GERD</w:t>
      </w:r>
      <w:r w:rsidRPr="00130A78">
        <w:rPr>
          <w:rFonts w:ascii="Book Antiqua" w:hAnsi="Book Antiqua" w:cs="Book Antiqua"/>
          <w:vertAlign w:val="superscript"/>
        </w:rPr>
        <w:t>[2,25]</w:t>
      </w:r>
      <w:r w:rsidRPr="00130A78">
        <w:rPr>
          <w:rFonts w:ascii="Book Antiqua" w:hAnsi="Book Antiqua" w:cs="Book Antiqua"/>
        </w:rPr>
        <w:t>. Therefore, whether the study results can be applied to pH monitoring in patients with characteristic symptoms of GERD needs further investigation. Second, the esophageal probe was placed at a variable distance above the proximal border of the LES of participants. The results of the pH parameters obtained from the esophageal probe may be suboptimal.</w:t>
      </w:r>
    </w:p>
    <w:p w:rsidR="00ED3CC6" w:rsidRPr="00130A78" w:rsidRDefault="00ED3CC6" w:rsidP="009425D4">
      <w:pPr>
        <w:snapToGrid w:val="0"/>
        <w:spacing w:line="360" w:lineRule="auto"/>
        <w:ind w:firstLineChars="100" w:firstLine="240"/>
        <w:jc w:val="both"/>
        <w:rPr>
          <w:rFonts w:ascii="Book Antiqua" w:eastAsia="宋体" w:hAnsi="Book Antiqua" w:cs="Times New Roman"/>
          <w:lang w:eastAsia="zh-CN"/>
        </w:rPr>
      </w:pPr>
      <w:r w:rsidRPr="00130A78">
        <w:rPr>
          <w:rFonts w:ascii="Book Antiqua" w:hAnsi="Book Antiqua" w:cs="Book Antiqua"/>
        </w:rPr>
        <w:t xml:space="preserve">In conclusion, our results suggest that EGD with conscious sedation does not interfere with the results of subsequent catheter-based pH monitoring in patients with extra-esophageal manifestations of GERD. Catheter-based 24-h </w:t>
      </w:r>
      <w:r w:rsidRPr="00130A78">
        <w:rPr>
          <w:rFonts w:ascii="Book Antiqua" w:hAnsi="Book Antiqua" w:cs="Book Antiqua"/>
        </w:rPr>
        <w:lastRenderedPageBreak/>
        <w:t>pH monitoring can be performed shortly after EGD with conscious sedation, especially for those patients who are intolerable to the procedures.</w:t>
      </w:r>
    </w:p>
    <w:p w:rsidR="00ED3CC6" w:rsidRPr="00130A78" w:rsidRDefault="00ED3CC6" w:rsidP="009425D4">
      <w:pPr>
        <w:snapToGrid w:val="0"/>
        <w:spacing w:line="360" w:lineRule="auto"/>
        <w:ind w:firstLineChars="100" w:firstLine="240"/>
        <w:jc w:val="both"/>
        <w:rPr>
          <w:rFonts w:ascii="Book Antiqua" w:eastAsia="宋体" w:hAnsi="Book Antiqua" w:cs="Times New Roman"/>
          <w:lang w:eastAsia="zh-CN"/>
        </w:rPr>
      </w:pPr>
    </w:p>
    <w:p w:rsidR="00ED3CC6" w:rsidRPr="00130A78" w:rsidRDefault="00ED3CC6" w:rsidP="000B416C">
      <w:pPr>
        <w:widowControl/>
        <w:snapToGrid w:val="0"/>
        <w:spacing w:line="360" w:lineRule="auto"/>
        <w:jc w:val="both"/>
        <w:rPr>
          <w:rFonts w:ascii="Book Antiqua" w:eastAsia="宋体" w:hAnsi="Book Antiqua" w:cs="Book Antiqua"/>
          <w:b/>
          <w:bCs/>
          <w:kern w:val="0"/>
          <w:lang w:eastAsia="zh-CN"/>
        </w:rPr>
      </w:pPr>
      <w:r w:rsidRPr="00130A78">
        <w:rPr>
          <w:rFonts w:ascii="Book Antiqua" w:eastAsia="宋体" w:hAnsi="Book Antiqua" w:cs="Book Antiqua"/>
          <w:b/>
          <w:bCs/>
          <w:kern w:val="0"/>
          <w:lang w:eastAsia="zh-CN"/>
        </w:rPr>
        <w:t>COMMENTS</w:t>
      </w:r>
    </w:p>
    <w:p w:rsidR="00ED3CC6" w:rsidRPr="00130A78" w:rsidRDefault="00ED3CC6" w:rsidP="000B416C">
      <w:pPr>
        <w:widowControl/>
        <w:snapToGrid w:val="0"/>
        <w:spacing w:line="360" w:lineRule="auto"/>
        <w:jc w:val="both"/>
        <w:rPr>
          <w:rFonts w:ascii="Book Antiqua" w:eastAsia="宋体" w:hAnsi="Book Antiqua" w:cs="Book Antiqua"/>
          <w:b/>
          <w:bCs/>
          <w:i/>
          <w:iCs/>
          <w:kern w:val="0"/>
          <w:lang w:eastAsia="zh-CN"/>
        </w:rPr>
      </w:pPr>
      <w:r w:rsidRPr="00130A78">
        <w:rPr>
          <w:rFonts w:ascii="Book Antiqua" w:eastAsia="宋体" w:hAnsi="Book Antiqua" w:cs="Book Antiqua"/>
          <w:b/>
          <w:bCs/>
          <w:i/>
          <w:iCs/>
          <w:kern w:val="0"/>
          <w:lang w:eastAsia="zh-CN"/>
        </w:rPr>
        <w:t>Background</w:t>
      </w:r>
    </w:p>
    <w:p w:rsidR="00ED3CC6" w:rsidRPr="00130A78" w:rsidRDefault="00ED3CC6" w:rsidP="000B416C">
      <w:pPr>
        <w:widowControl/>
        <w:snapToGrid w:val="0"/>
        <w:spacing w:line="360" w:lineRule="auto"/>
        <w:jc w:val="both"/>
        <w:rPr>
          <w:rFonts w:ascii="Book Antiqua" w:eastAsia="宋体" w:hAnsi="Book Antiqua" w:cs="Book Antiqua"/>
          <w:kern w:val="0"/>
          <w:lang w:eastAsia="zh-CN"/>
        </w:rPr>
      </w:pPr>
      <w:r w:rsidRPr="00130A78">
        <w:rPr>
          <w:rFonts w:ascii="Book Antiqua" w:eastAsia="宋体" w:hAnsi="Book Antiqua" w:cs="Book Antiqua"/>
          <w:kern w:val="0"/>
          <w:lang w:eastAsia="zh-CN"/>
        </w:rPr>
        <w:t>One of the limitations of catheter-based pH monitoring is discomfort. Whether it can be performed shortly after esophagogastroduodenoscopy (EGD) with conscious sedation like the performance of Bravo pH system is unknown. Authors aimed to investigate the impact of sedated EGD on the subsequent 24-h catheter-based pH monitoring.</w:t>
      </w:r>
    </w:p>
    <w:p w:rsidR="00ED3CC6" w:rsidRPr="00130A78" w:rsidRDefault="00ED3CC6" w:rsidP="000B416C">
      <w:pPr>
        <w:widowControl/>
        <w:snapToGrid w:val="0"/>
        <w:spacing w:line="360" w:lineRule="auto"/>
        <w:jc w:val="both"/>
        <w:rPr>
          <w:rFonts w:ascii="Book Antiqua" w:eastAsia="宋体" w:hAnsi="Book Antiqua" w:cs="Times New Roman"/>
          <w:b/>
          <w:bCs/>
          <w:kern w:val="0"/>
          <w:lang w:eastAsia="zh-CN"/>
        </w:rPr>
      </w:pPr>
    </w:p>
    <w:p w:rsidR="00ED3CC6" w:rsidRPr="00130A78" w:rsidRDefault="00ED3CC6" w:rsidP="000B416C">
      <w:pPr>
        <w:widowControl/>
        <w:snapToGrid w:val="0"/>
        <w:spacing w:line="360" w:lineRule="auto"/>
        <w:jc w:val="both"/>
        <w:rPr>
          <w:rFonts w:ascii="Book Antiqua" w:eastAsia="宋体" w:hAnsi="Book Antiqua" w:cs="Book Antiqua"/>
          <w:kern w:val="0"/>
          <w:lang w:eastAsia="zh-CN"/>
        </w:rPr>
      </w:pPr>
      <w:r w:rsidRPr="00130A78">
        <w:rPr>
          <w:rFonts w:ascii="Book Antiqua" w:eastAsia="宋体" w:hAnsi="Book Antiqua" w:cs="Book Antiqua"/>
          <w:b/>
          <w:bCs/>
          <w:i/>
          <w:iCs/>
          <w:kern w:val="0"/>
          <w:lang w:eastAsia="zh-CN"/>
        </w:rPr>
        <w:t>Research frontiers</w:t>
      </w:r>
      <w:r w:rsidRPr="00130A78">
        <w:rPr>
          <w:rFonts w:ascii="Book Antiqua" w:eastAsia="宋体" w:hAnsi="Book Antiqua" w:cs="Times New Roman"/>
          <w:i/>
          <w:iCs/>
          <w:kern w:val="0"/>
          <w:lang w:eastAsia="zh-CN"/>
        </w:rPr>
        <w:br/>
      </w:r>
      <w:r w:rsidRPr="00130A78">
        <w:rPr>
          <w:rFonts w:ascii="Book Antiqua" w:eastAsia="宋体" w:hAnsi="Book Antiqua" w:cs="Book Antiqua"/>
          <w:kern w:val="0"/>
          <w:lang w:eastAsia="zh-CN"/>
        </w:rPr>
        <w:t>In order to increase patients’ willingness to receive 24-h pH monitoring, authors have attempted to perform the catheter-based pH study in a similar way to Bravo system in our patients.</w:t>
      </w:r>
    </w:p>
    <w:p w:rsidR="00ED3CC6" w:rsidRPr="00130A78" w:rsidRDefault="00ED3CC6" w:rsidP="000B416C">
      <w:pPr>
        <w:widowControl/>
        <w:snapToGrid w:val="0"/>
        <w:spacing w:line="360" w:lineRule="auto"/>
        <w:jc w:val="both"/>
        <w:rPr>
          <w:rFonts w:ascii="Book Antiqua" w:eastAsia="宋体" w:hAnsi="Book Antiqua" w:cs="Book Antiqua"/>
          <w:kern w:val="0"/>
          <w:lang w:eastAsia="zh-CN"/>
        </w:rPr>
      </w:pPr>
    </w:p>
    <w:p w:rsidR="00ED3CC6" w:rsidRPr="00130A78" w:rsidRDefault="00ED3CC6" w:rsidP="000B416C">
      <w:pPr>
        <w:widowControl/>
        <w:snapToGrid w:val="0"/>
        <w:spacing w:line="360" w:lineRule="auto"/>
        <w:jc w:val="both"/>
        <w:rPr>
          <w:rFonts w:ascii="Book Antiqua" w:eastAsia="宋体" w:hAnsi="Book Antiqua" w:cs="Book Antiqua"/>
          <w:kern w:val="0"/>
          <w:lang w:eastAsia="zh-CN"/>
        </w:rPr>
      </w:pPr>
      <w:r w:rsidRPr="00130A78">
        <w:rPr>
          <w:rFonts w:ascii="Book Antiqua" w:eastAsia="宋体" w:hAnsi="Book Antiqua" w:cs="Book Antiqua"/>
          <w:b/>
          <w:bCs/>
          <w:i/>
          <w:iCs/>
          <w:kern w:val="0"/>
          <w:lang w:eastAsia="zh-CN"/>
        </w:rPr>
        <w:t>Innovations and breakthroughs</w:t>
      </w:r>
      <w:r w:rsidRPr="00130A78">
        <w:rPr>
          <w:rFonts w:ascii="Book Antiqua" w:eastAsia="宋体" w:hAnsi="Book Antiqua" w:cs="Times New Roman"/>
          <w:i/>
          <w:iCs/>
          <w:kern w:val="0"/>
          <w:lang w:eastAsia="zh-CN"/>
        </w:rPr>
        <w:br/>
      </w:r>
      <w:r w:rsidRPr="00130A78">
        <w:rPr>
          <w:rFonts w:ascii="Book Antiqua" w:eastAsia="宋体" w:hAnsi="Book Antiqua" w:cs="Book Antiqua"/>
          <w:kern w:val="0"/>
          <w:lang w:eastAsia="zh-CN"/>
        </w:rPr>
        <w:t>EGD with conscious sedation does not interfere with the results of the subsequent 24-h pH monitoring in patients with extraesophageal symptoms of gastroesophageal reflux disease</w:t>
      </w:r>
    </w:p>
    <w:p w:rsidR="00ED3CC6" w:rsidRPr="00130A78" w:rsidRDefault="00ED3CC6" w:rsidP="000B416C">
      <w:pPr>
        <w:widowControl/>
        <w:snapToGrid w:val="0"/>
        <w:spacing w:line="360" w:lineRule="auto"/>
        <w:jc w:val="both"/>
        <w:rPr>
          <w:rFonts w:ascii="Book Antiqua" w:eastAsia="宋体" w:hAnsi="Book Antiqua" w:cs="Book Antiqua"/>
          <w:kern w:val="0"/>
          <w:lang w:eastAsia="zh-CN"/>
        </w:rPr>
      </w:pPr>
    </w:p>
    <w:p w:rsidR="00ED3CC6" w:rsidRPr="00130A78" w:rsidRDefault="00ED3CC6" w:rsidP="000B416C">
      <w:pPr>
        <w:widowControl/>
        <w:snapToGrid w:val="0"/>
        <w:spacing w:line="360" w:lineRule="auto"/>
        <w:jc w:val="both"/>
        <w:rPr>
          <w:rFonts w:ascii="Book Antiqua" w:eastAsia="宋体" w:hAnsi="Book Antiqua" w:cs="Book Antiqua"/>
          <w:kern w:val="0"/>
          <w:lang w:eastAsia="zh-CN"/>
        </w:rPr>
      </w:pPr>
      <w:r w:rsidRPr="00130A78">
        <w:rPr>
          <w:rFonts w:ascii="Book Antiqua" w:eastAsia="宋体" w:hAnsi="Book Antiqua" w:cs="Book Antiqua"/>
          <w:b/>
          <w:bCs/>
          <w:i/>
          <w:iCs/>
          <w:kern w:val="0"/>
          <w:lang w:eastAsia="zh-CN"/>
        </w:rPr>
        <w:t>Applications</w:t>
      </w:r>
      <w:r w:rsidRPr="00130A78">
        <w:rPr>
          <w:rFonts w:ascii="Book Antiqua" w:eastAsia="宋体" w:hAnsi="Book Antiqua" w:cs="Times New Roman"/>
          <w:i/>
          <w:iCs/>
          <w:kern w:val="0"/>
          <w:lang w:eastAsia="zh-CN"/>
        </w:rPr>
        <w:br/>
      </w:r>
      <w:r w:rsidRPr="00130A78">
        <w:rPr>
          <w:rFonts w:ascii="Book Antiqua" w:eastAsia="宋体" w:hAnsi="Book Antiqua" w:cs="Book Antiqua"/>
          <w:kern w:val="0"/>
          <w:lang w:eastAsia="zh-CN"/>
        </w:rPr>
        <w:t>Catheter-based 24-h pH monitoring can be performed shortly after sedated EGD especially for those patients who are intolerable to the procedures.</w:t>
      </w:r>
    </w:p>
    <w:p w:rsidR="00ED3CC6" w:rsidRPr="00130A78" w:rsidRDefault="00ED3CC6" w:rsidP="000B416C">
      <w:pPr>
        <w:widowControl/>
        <w:snapToGrid w:val="0"/>
        <w:spacing w:line="360" w:lineRule="auto"/>
        <w:jc w:val="both"/>
        <w:rPr>
          <w:rFonts w:ascii="Book Antiqua" w:eastAsia="宋体" w:hAnsi="Book Antiqua" w:cs="Book Antiqua"/>
          <w:kern w:val="0"/>
          <w:lang w:eastAsia="zh-CN"/>
        </w:rPr>
      </w:pPr>
    </w:p>
    <w:p w:rsidR="00ED3CC6" w:rsidRPr="00130A78" w:rsidRDefault="00ED3CC6" w:rsidP="000B416C">
      <w:pPr>
        <w:widowControl/>
        <w:snapToGrid w:val="0"/>
        <w:spacing w:line="360" w:lineRule="auto"/>
        <w:jc w:val="both"/>
        <w:rPr>
          <w:rFonts w:ascii="Book Antiqua" w:eastAsia="宋体" w:hAnsi="Book Antiqua" w:cs="Book Antiqua"/>
          <w:kern w:val="0"/>
          <w:lang w:eastAsia="zh-CN"/>
        </w:rPr>
      </w:pPr>
      <w:r w:rsidRPr="00130A78">
        <w:rPr>
          <w:rFonts w:ascii="Book Antiqua" w:eastAsia="宋体" w:hAnsi="Book Antiqua" w:cs="Book Antiqua"/>
          <w:b/>
          <w:bCs/>
          <w:i/>
          <w:iCs/>
          <w:kern w:val="0"/>
          <w:lang w:eastAsia="zh-CN"/>
        </w:rPr>
        <w:t>Terminology</w:t>
      </w:r>
      <w:r w:rsidRPr="00130A78">
        <w:rPr>
          <w:rFonts w:ascii="Book Antiqua" w:eastAsia="宋体" w:hAnsi="Book Antiqua" w:cs="Times New Roman"/>
          <w:i/>
          <w:iCs/>
          <w:kern w:val="0"/>
          <w:lang w:eastAsia="zh-CN"/>
        </w:rPr>
        <w:br/>
      </w:r>
      <w:r w:rsidRPr="00130A78">
        <w:rPr>
          <w:rFonts w:ascii="Book Antiqua" w:eastAsia="宋体" w:hAnsi="Book Antiqua" w:cs="Book Antiqua"/>
          <w:kern w:val="0"/>
          <w:lang w:eastAsia="zh-CN"/>
        </w:rPr>
        <w:t xml:space="preserve">Laryngopharyngeal reflux is backflow of gastric content into larynx and pharynx which has been widely used by otolaryngologists, while extraesophageal reflux is commonly used by gastroenterologist. </w:t>
      </w:r>
    </w:p>
    <w:p w:rsidR="00ED3CC6" w:rsidRPr="00130A78" w:rsidRDefault="00ED3CC6" w:rsidP="000B416C">
      <w:pPr>
        <w:widowControl/>
        <w:snapToGrid w:val="0"/>
        <w:spacing w:line="360" w:lineRule="auto"/>
        <w:jc w:val="both"/>
        <w:rPr>
          <w:rFonts w:ascii="Book Antiqua" w:eastAsia="宋体" w:hAnsi="Book Antiqua" w:cs="Book Antiqua"/>
          <w:kern w:val="0"/>
          <w:lang w:eastAsia="zh-CN"/>
        </w:rPr>
      </w:pPr>
    </w:p>
    <w:p w:rsidR="00ED3CC6" w:rsidRPr="00130A78" w:rsidRDefault="00ED3CC6" w:rsidP="00130A78">
      <w:pPr>
        <w:snapToGrid w:val="0"/>
        <w:spacing w:line="360" w:lineRule="auto"/>
        <w:jc w:val="both"/>
        <w:rPr>
          <w:rFonts w:ascii="Book Antiqua" w:hAnsi="Book Antiqua" w:cs="Book Antiqua"/>
        </w:rPr>
      </w:pPr>
      <w:r w:rsidRPr="00130A78">
        <w:rPr>
          <w:rFonts w:ascii="Book Antiqua" w:eastAsia="宋体" w:hAnsi="Book Antiqua" w:cs="Book Antiqua"/>
          <w:b/>
          <w:bCs/>
          <w:i/>
          <w:iCs/>
          <w:kern w:val="0"/>
          <w:lang w:eastAsia="zh-CN"/>
        </w:rPr>
        <w:t>Peer review</w:t>
      </w:r>
      <w:r w:rsidRPr="00130A78">
        <w:rPr>
          <w:rFonts w:ascii="Book Antiqua" w:eastAsia="宋体" w:hAnsi="Book Antiqua" w:cs="Times New Roman"/>
          <w:i/>
          <w:iCs/>
          <w:kern w:val="0"/>
          <w:lang w:eastAsia="zh-CN"/>
        </w:rPr>
        <w:br/>
      </w:r>
      <w:r w:rsidRPr="00130A78">
        <w:rPr>
          <w:rFonts w:ascii="Book Antiqua" w:eastAsia="宋体" w:hAnsi="Book Antiqua" w:cs="Book Antiqua"/>
          <w:kern w:val="0"/>
          <w:lang w:eastAsia="zh-CN"/>
        </w:rPr>
        <w:lastRenderedPageBreak/>
        <w:t xml:space="preserve">The paper is well composed, documented. </w:t>
      </w:r>
      <w:r w:rsidRPr="00130A78">
        <w:rPr>
          <w:rFonts w:ascii="Book Antiqua" w:hAnsi="Book Antiqua" w:cs="Book Antiqua"/>
          <w:color w:val="000000"/>
        </w:rPr>
        <w:t>The results are interesting and suggest that</w:t>
      </w:r>
      <w:r w:rsidRPr="00130A78">
        <w:rPr>
          <w:rFonts w:ascii="Book Antiqua" w:eastAsia="宋体" w:hAnsi="Book Antiqua" w:cs="Book Antiqua"/>
          <w:kern w:val="0"/>
          <w:lang w:eastAsia="zh-CN"/>
        </w:rPr>
        <w:t xml:space="preserve"> </w:t>
      </w:r>
      <w:r w:rsidRPr="00130A78">
        <w:rPr>
          <w:rFonts w:ascii="Book Antiqua" w:hAnsi="Book Antiqua" w:cs="Book Antiqua"/>
        </w:rPr>
        <w:t>EGD with conscious sedation does not interfere with the results of subsequent 24-h pH monitoring in patients with extra-esophageal symptoms of gastroesophageal reflux disease.</w:t>
      </w:r>
    </w:p>
    <w:p w:rsidR="00ED3CC6" w:rsidRPr="00130A78" w:rsidRDefault="00ED3CC6" w:rsidP="000B416C">
      <w:pPr>
        <w:snapToGrid w:val="0"/>
        <w:spacing w:line="360" w:lineRule="auto"/>
        <w:jc w:val="both"/>
        <w:rPr>
          <w:rFonts w:ascii="Book Antiqua" w:eastAsia="宋体" w:hAnsi="Book Antiqua" w:cs="Times New Roman"/>
          <w:b/>
          <w:bCs/>
          <w:lang w:eastAsia="zh-CN"/>
        </w:rPr>
      </w:pPr>
    </w:p>
    <w:p w:rsidR="00ED3CC6" w:rsidRPr="00130A78" w:rsidRDefault="00ED3CC6" w:rsidP="000B416C">
      <w:pPr>
        <w:snapToGrid w:val="0"/>
        <w:spacing w:line="360" w:lineRule="auto"/>
        <w:jc w:val="both"/>
        <w:rPr>
          <w:rFonts w:ascii="Book Antiqua" w:hAnsi="Book Antiqua" w:cs="Book Antiqua"/>
          <w:b/>
          <w:bCs/>
        </w:rPr>
      </w:pPr>
      <w:r w:rsidRPr="00130A78">
        <w:rPr>
          <w:rFonts w:ascii="Book Antiqua" w:hAnsi="Book Antiqua" w:cs="Book Antiqua"/>
          <w:b/>
          <w:bCs/>
        </w:rPr>
        <w:t>REFERENCES</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1 </w:t>
      </w:r>
      <w:r w:rsidRPr="00130A78">
        <w:rPr>
          <w:rFonts w:ascii="Book Antiqua" w:eastAsia="宋体" w:hAnsi="Book Antiqua" w:cs="Book Antiqua"/>
          <w:b/>
          <w:bCs/>
          <w:kern w:val="0"/>
          <w:lang w:eastAsia="zh-CN"/>
        </w:rPr>
        <w:t>Vakil N</w:t>
      </w:r>
      <w:r w:rsidRPr="00130A78">
        <w:rPr>
          <w:rFonts w:ascii="Book Antiqua" w:eastAsia="宋体" w:hAnsi="Book Antiqua" w:cs="Book Antiqua"/>
          <w:kern w:val="0"/>
          <w:lang w:eastAsia="zh-CN"/>
        </w:rPr>
        <w:t xml:space="preserve">, van Zanten SV, Kahrilas P, Dent J, Jones R. The Montreal definition and classification of gastroesophageal reflux disease: a global evidence-based consensus. </w:t>
      </w:r>
      <w:r w:rsidRPr="00130A78">
        <w:rPr>
          <w:rFonts w:ascii="Book Antiqua" w:eastAsia="宋体" w:hAnsi="Book Antiqua" w:cs="Book Antiqua"/>
          <w:i/>
          <w:iCs/>
          <w:kern w:val="0"/>
          <w:lang w:eastAsia="zh-CN"/>
        </w:rPr>
        <w:t>Am J Gastroenterol</w:t>
      </w:r>
      <w:r w:rsidRPr="00130A78">
        <w:rPr>
          <w:rFonts w:ascii="Book Antiqua" w:eastAsia="宋体" w:hAnsi="Book Antiqua" w:cs="Book Antiqua"/>
          <w:kern w:val="0"/>
          <w:lang w:eastAsia="zh-CN"/>
        </w:rPr>
        <w:t xml:space="preserve"> 2006; </w:t>
      </w:r>
      <w:r w:rsidRPr="00130A78">
        <w:rPr>
          <w:rFonts w:ascii="Book Antiqua" w:eastAsia="宋体" w:hAnsi="Book Antiqua" w:cs="Book Antiqua"/>
          <w:b/>
          <w:bCs/>
          <w:kern w:val="0"/>
          <w:lang w:eastAsia="zh-CN"/>
        </w:rPr>
        <w:t>101</w:t>
      </w:r>
      <w:r w:rsidRPr="00130A78">
        <w:rPr>
          <w:rFonts w:ascii="Book Antiqua" w:eastAsia="宋体" w:hAnsi="Book Antiqua" w:cs="Book Antiqua"/>
          <w:kern w:val="0"/>
          <w:lang w:eastAsia="zh-CN"/>
        </w:rPr>
        <w:t>: 1900-120; quiz 1943 [PMID: 16928254 DOI: 10.1111/j.1572-0241.2006.00630.x]</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2 </w:t>
      </w:r>
      <w:r w:rsidRPr="00130A78">
        <w:rPr>
          <w:rFonts w:ascii="Book Antiqua" w:eastAsia="宋体" w:hAnsi="Book Antiqua" w:cs="Book Antiqua"/>
          <w:b/>
          <w:bCs/>
          <w:kern w:val="0"/>
          <w:lang w:eastAsia="zh-CN"/>
        </w:rPr>
        <w:t>Rees CJ</w:t>
      </w:r>
      <w:r w:rsidRPr="00130A78">
        <w:rPr>
          <w:rFonts w:ascii="Book Antiqua" w:eastAsia="宋体" w:hAnsi="Book Antiqua" w:cs="Book Antiqua"/>
          <w:kern w:val="0"/>
          <w:lang w:eastAsia="zh-CN"/>
        </w:rPr>
        <w:t xml:space="preserve">, Belafsky PC. Laryngopharyngeal reflux: Current concepts in pathophysiology, diagnosis, and treatment. </w:t>
      </w:r>
      <w:r w:rsidRPr="00130A78">
        <w:rPr>
          <w:rFonts w:ascii="Book Antiqua" w:eastAsia="宋体" w:hAnsi="Book Antiqua" w:cs="Book Antiqua"/>
          <w:i/>
          <w:iCs/>
          <w:kern w:val="0"/>
          <w:lang w:eastAsia="zh-CN"/>
        </w:rPr>
        <w:t>Int J Speech Lang Pathol</w:t>
      </w:r>
      <w:r w:rsidRPr="00130A78">
        <w:rPr>
          <w:rFonts w:ascii="Book Antiqua" w:eastAsia="宋体" w:hAnsi="Book Antiqua" w:cs="Book Antiqua"/>
          <w:kern w:val="0"/>
          <w:lang w:eastAsia="zh-CN"/>
        </w:rPr>
        <w:t xml:space="preserve"> 2008; </w:t>
      </w:r>
      <w:r w:rsidRPr="00130A78">
        <w:rPr>
          <w:rFonts w:ascii="Book Antiqua" w:eastAsia="宋体" w:hAnsi="Book Antiqua" w:cs="Book Antiqua"/>
          <w:b/>
          <w:bCs/>
          <w:kern w:val="0"/>
          <w:lang w:eastAsia="zh-CN"/>
        </w:rPr>
        <w:t>10</w:t>
      </w:r>
      <w:r w:rsidRPr="00130A78">
        <w:rPr>
          <w:rFonts w:ascii="Book Antiqua" w:eastAsia="宋体" w:hAnsi="Book Antiqua" w:cs="Book Antiqua"/>
          <w:kern w:val="0"/>
          <w:lang w:eastAsia="zh-CN"/>
        </w:rPr>
        <w:t>: 245-253 [PMID: 20840040 DOI: 10.1080/17549500701862287]</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3 </w:t>
      </w:r>
      <w:r w:rsidRPr="00130A78">
        <w:rPr>
          <w:rFonts w:ascii="Book Antiqua" w:eastAsia="宋体" w:hAnsi="Book Antiqua" w:cs="Book Antiqua"/>
          <w:b/>
          <w:bCs/>
          <w:kern w:val="0"/>
          <w:lang w:eastAsia="zh-CN"/>
        </w:rPr>
        <w:t>Koufman JA</w:t>
      </w:r>
      <w:r w:rsidRPr="00130A78">
        <w:rPr>
          <w:rFonts w:ascii="Book Antiqua" w:eastAsia="宋体" w:hAnsi="Book Antiqua" w:cs="Book Antiqua"/>
          <w:kern w:val="0"/>
          <w:lang w:eastAsia="zh-CN"/>
        </w:rPr>
        <w:t xml:space="preserve">, Aviv JE, Casiano RR, Shaw GY. Laryngopharyngeal reflux: position statement of the committee on speech, voice, and swallowing disorders of the American Academy of Otolaryngology-Head and Neck Surgery. </w:t>
      </w:r>
      <w:r w:rsidRPr="00130A78">
        <w:rPr>
          <w:rFonts w:ascii="Book Antiqua" w:eastAsia="宋体" w:hAnsi="Book Antiqua" w:cs="Book Antiqua"/>
          <w:i/>
          <w:iCs/>
          <w:kern w:val="0"/>
          <w:lang w:eastAsia="zh-CN"/>
        </w:rPr>
        <w:t>Otolaryngol Head Neck Surg</w:t>
      </w:r>
      <w:r w:rsidRPr="00130A78">
        <w:rPr>
          <w:rFonts w:ascii="Book Antiqua" w:eastAsia="宋体" w:hAnsi="Book Antiqua" w:cs="Book Antiqua"/>
          <w:kern w:val="0"/>
          <w:lang w:eastAsia="zh-CN"/>
        </w:rPr>
        <w:t xml:space="preserve"> 2002; </w:t>
      </w:r>
      <w:r w:rsidRPr="00130A78">
        <w:rPr>
          <w:rFonts w:ascii="Book Antiqua" w:eastAsia="宋体" w:hAnsi="Book Antiqua" w:cs="Book Antiqua"/>
          <w:b/>
          <w:bCs/>
          <w:kern w:val="0"/>
          <w:lang w:eastAsia="zh-CN"/>
        </w:rPr>
        <w:t>127</w:t>
      </w:r>
      <w:r w:rsidRPr="00130A78">
        <w:rPr>
          <w:rFonts w:ascii="Book Antiqua" w:eastAsia="宋体" w:hAnsi="Book Antiqua" w:cs="Book Antiqua"/>
          <w:kern w:val="0"/>
          <w:lang w:eastAsia="zh-CN"/>
        </w:rPr>
        <w:t>: 32-35 [PMID: 12161727 DOI: 10.1067/mhn.2002.125760]</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4 </w:t>
      </w:r>
      <w:r w:rsidRPr="00130A78">
        <w:rPr>
          <w:rFonts w:ascii="Book Antiqua" w:eastAsia="宋体" w:hAnsi="Book Antiqua" w:cs="Book Antiqua"/>
          <w:b/>
          <w:bCs/>
          <w:kern w:val="0"/>
          <w:lang w:eastAsia="zh-CN"/>
        </w:rPr>
        <w:t>Gupta R</w:t>
      </w:r>
      <w:r w:rsidRPr="00130A78">
        <w:rPr>
          <w:rFonts w:ascii="Book Antiqua" w:eastAsia="宋体" w:hAnsi="Book Antiqua" w:cs="Book Antiqua"/>
          <w:kern w:val="0"/>
          <w:lang w:eastAsia="zh-CN"/>
        </w:rPr>
        <w:t xml:space="preserve">, Sataloff RT. Laryngopharyngeal reflux: current concepts and questions. </w:t>
      </w:r>
      <w:r w:rsidRPr="00130A78">
        <w:rPr>
          <w:rFonts w:ascii="Book Antiqua" w:eastAsia="宋体" w:hAnsi="Book Antiqua" w:cs="Book Antiqua"/>
          <w:i/>
          <w:iCs/>
          <w:kern w:val="0"/>
          <w:lang w:eastAsia="zh-CN"/>
        </w:rPr>
        <w:t>Curr Opin Otolaryngol Head Neck Surg</w:t>
      </w:r>
      <w:r w:rsidRPr="00130A78">
        <w:rPr>
          <w:rFonts w:ascii="Book Antiqua" w:eastAsia="宋体" w:hAnsi="Book Antiqua" w:cs="Book Antiqua"/>
          <w:kern w:val="0"/>
          <w:lang w:eastAsia="zh-CN"/>
        </w:rPr>
        <w:t xml:space="preserve"> 2009; </w:t>
      </w:r>
      <w:r w:rsidRPr="00130A78">
        <w:rPr>
          <w:rFonts w:ascii="Book Antiqua" w:eastAsia="宋体" w:hAnsi="Book Antiqua" w:cs="Book Antiqua"/>
          <w:b/>
          <w:bCs/>
          <w:kern w:val="0"/>
          <w:lang w:eastAsia="zh-CN"/>
        </w:rPr>
        <w:t>17</w:t>
      </w:r>
      <w:r w:rsidRPr="00130A78">
        <w:rPr>
          <w:rFonts w:ascii="Book Antiqua" w:eastAsia="宋体" w:hAnsi="Book Antiqua" w:cs="Book Antiqua"/>
          <w:kern w:val="0"/>
          <w:lang w:eastAsia="zh-CN"/>
        </w:rPr>
        <w:t>: 143-148 [PMID: 19395970 DOI: 10.1097/MOO.0b013e32832b2581]</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5 </w:t>
      </w:r>
      <w:r w:rsidRPr="00130A78">
        <w:rPr>
          <w:rFonts w:ascii="Book Antiqua" w:eastAsia="宋体" w:hAnsi="Book Antiqua" w:cs="Book Antiqua"/>
          <w:b/>
          <w:bCs/>
          <w:kern w:val="0"/>
          <w:lang w:eastAsia="zh-CN"/>
        </w:rPr>
        <w:t>Merati AL</w:t>
      </w:r>
      <w:r w:rsidRPr="00130A78">
        <w:rPr>
          <w:rFonts w:ascii="Book Antiqua" w:eastAsia="宋体" w:hAnsi="Book Antiqua" w:cs="Book Antiqua"/>
          <w:kern w:val="0"/>
          <w:lang w:eastAsia="zh-CN"/>
        </w:rPr>
        <w:t xml:space="preserve">, Lim HJ, Ulualp SO, Toohill RJ. Meta-analysis of upper probe measurements in normal subjects and patients with laryngopharyngeal reflux. </w:t>
      </w:r>
      <w:r w:rsidRPr="00130A78">
        <w:rPr>
          <w:rFonts w:ascii="Book Antiqua" w:eastAsia="宋体" w:hAnsi="Book Antiqua" w:cs="Book Antiqua"/>
          <w:i/>
          <w:iCs/>
          <w:kern w:val="0"/>
          <w:lang w:eastAsia="zh-CN"/>
        </w:rPr>
        <w:t>Ann Otol Rhinol Laryngol</w:t>
      </w:r>
      <w:r w:rsidRPr="00130A78">
        <w:rPr>
          <w:rFonts w:ascii="Book Antiqua" w:eastAsia="宋体" w:hAnsi="Book Antiqua" w:cs="Book Antiqua"/>
          <w:kern w:val="0"/>
          <w:lang w:eastAsia="zh-CN"/>
        </w:rPr>
        <w:t xml:space="preserve"> 2005; </w:t>
      </w:r>
      <w:r w:rsidRPr="00130A78">
        <w:rPr>
          <w:rFonts w:ascii="Book Antiqua" w:eastAsia="宋体" w:hAnsi="Book Antiqua" w:cs="Book Antiqua"/>
          <w:b/>
          <w:bCs/>
          <w:kern w:val="0"/>
          <w:lang w:eastAsia="zh-CN"/>
        </w:rPr>
        <w:t>114</w:t>
      </w:r>
      <w:r w:rsidRPr="00130A78">
        <w:rPr>
          <w:rFonts w:ascii="Book Antiqua" w:eastAsia="宋体" w:hAnsi="Book Antiqua" w:cs="Book Antiqua"/>
          <w:kern w:val="0"/>
          <w:lang w:eastAsia="zh-CN"/>
        </w:rPr>
        <w:t>: 177-182 [PMID: 15825565]</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6 </w:t>
      </w:r>
      <w:r w:rsidRPr="00130A78">
        <w:rPr>
          <w:rFonts w:ascii="Book Antiqua" w:eastAsia="宋体" w:hAnsi="Book Antiqua" w:cs="Book Antiqua"/>
          <w:b/>
          <w:bCs/>
          <w:kern w:val="0"/>
          <w:lang w:eastAsia="zh-CN"/>
        </w:rPr>
        <w:t>Hirano I</w:t>
      </w:r>
      <w:r w:rsidRPr="00130A78">
        <w:rPr>
          <w:rFonts w:ascii="Book Antiqua" w:eastAsia="宋体" w:hAnsi="Book Antiqua" w:cs="Book Antiqua"/>
          <w:kern w:val="0"/>
          <w:lang w:eastAsia="zh-CN"/>
        </w:rPr>
        <w:t xml:space="preserve">, Richter JE. ACG practice guidelines: esophageal reflux testing. </w:t>
      </w:r>
      <w:r w:rsidRPr="00130A78">
        <w:rPr>
          <w:rFonts w:ascii="Book Antiqua" w:eastAsia="宋体" w:hAnsi="Book Antiqua" w:cs="Book Antiqua"/>
          <w:i/>
          <w:iCs/>
          <w:kern w:val="0"/>
          <w:lang w:eastAsia="zh-CN"/>
        </w:rPr>
        <w:t>Am J Gastroenterol</w:t>
      </w:r>
      <w:r w:rsidRPr="00130A78">
        <w:rPr>
          <w:rFonts w:ascii="Book Antiqua" w:eastAsia="宋体" w:hAnsi="Book Antiqua" w:cs="Book Antiqua"/>
          <w:kern w:val="0"/>
          <w:lang w:eastAsia="zh-CN"/>
        </w:rPr>
        <w:t xml:space="preserve"> 2007; </w:t>
      </w:r>
      <w:r w:rsidRPr="00130A78">
        <w:rPr>
          <w:rFonts w:ascii="Book Antiqua" w:eastAsia="宋体" w:hAnsi="Book Antiqua" w:cs="Book Antiqua"/>
          <w:b/>
          <w:bCs/>
          <w:kern w:val="0"/>
          <w:lang w:eastAsia="zh-CN"/>
        </w:rPr>
        <w:t>102</w:t>
      </w:r>
      <w:r w:rsidRPr="00130A78">
        <w:rPr>
          <w:rFonts w:ascii="Book Antiqua" w:eastAsia="宋体" w:hAnsi="Book Antiqua" w:cs="Book Antiqua"/>
          <w:kern w:val="0"/>
          <w:lang w:eastAsia="zh-CN"/>
        </w:rPr>
        <w:t>: 668-685 [PMID: 17335450 DOI: 10.1111/j.1572-0241.2006.00936.x]</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7 </w:t>
      </w:r>
      <w:r w:rsidRPr="00130A78">
        <w:rPr>
          <w:rFonts w:ascii="Book Antiqua" w:eastAsia="宋体" w:hAnsi="Book Antiqua" w:cs="Book Antiqua"/>
          <w:b/>
          <w:bCs/>
          <w:kern w:val="0"/>
          <w:lang w:eastAsia="zh-CN"/>
        </w:rPr>
        <w:t>Ward EM</w:t>
      </w:r>
      <w:r w:rsidRPr="00130A78">
        <w:rPr>
          <w:rFonts w:ascii="Book Antiqua" w:eastAsia="宋体" w:hAnsi="Book Antiqua" w:cs="Book Antiqua"/>
          <w:kern w:val="0"/>
          <w:lang w:eastAsia="zh-CN"/>
        </w:rPr>
        <w:t xml:space="preserve">, Devault KR, Bouras EP, Stark ME, Wolfsen HC, Davis DM, Nedrow SI, Achem SR. Successful oesophageal pH monitoring with a catheter-free system. </w:t>
      </w:r>
      <w:r w:rsidRPr="00130A78">
        <w:rPr>
          <w:rFonts w:ascii="Book Antiqua" w:eastAsia="宋体" w:hAnsi="Book Antiqua" w:cs="Book Antiqua"/>
          <w:i/>
          <w:iCs/>
          <w:kern w:val="0"/>
          <w:lang w:eastAsia="zh-CN"/>
        </w:rPr>
        <w:t>Aliment Pharmacol Ther</w:t>
      </w:r>
      <w:r w:rsidRPr="00130A78">
        <w:rPr>
          <w:rFonts w:ascii="Book Antiqua" w:eastAsia="宋体" w:hAnsi="Book Antiqua" w:cs="Book Antiqua"/>
          <w:kern w:val="0"/>
          <w:lang w:eastAsia="zh-CN"/>
        </w:rPr>
        <w:t xml:space="preserve"> 2004; </w:t>
      </w:r>
      <w:r w:rsidRPr="00130A78">
        <w:rPr>
          <w:rFonts w:ascii="Book Antiqua" w:eastAsia="宋体" w:hAnsi="Book Antiqua" w:cs="Book Antiqua"/>
          <w:b/>
          <w:bCs/>
          <w:kern w:val="0"/>
          <w:lang w:eastAsia="zh-CN"/>
        </w:rPr>
        <w:t>19</w:t>
      </w:r>
      <w:r w:rsidRPr="00130A78">
        <w:rPr>
          <w:rFonts w:ascii="Book Antiqua" w:eastAsia="宋体" w:hAnsi="Book Antiqua" w:cs="Book Antiqua"/>
          <w:kern w:val="0"/>
          <w:lang w:eastAsia="zh-CN"/>
        </w:rPr>
        <w:t>: 449-454 [PMID: 14871285 DOI: 10.1111/j.1365-2036.2004.01868.x]</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8 </w:t>
      </w:r>
      <w:r w:rsidRPr="00130A78">
        <w:rPr>
          <w:rFonts w:ascii="Book Antiqua" w:eastAsia="宋体" w:hAnsi="Book Antiqua" w:cs="Book Antiqua"/>
          <w:b/>
          <w:bCs/>
          <w:kern w:val="0"/>
          <w:lang w:eastAsia="zh-CN"/>
        </w:rPr>
        <w:t>Cohen LB</w:t>
      </w:r>
      <w:r w:rsidRPr="00130A78">
        <w:rPr>
          <w:rFonts w:ascii="Book Antiqua" w:eastAsia="宋体" w:hAnsi="Book Antiqua" w:cs="Book Antiqua"/>
          <w:kern w:val="0"/>
          <w:lang w:eastAsia="zh-CN"/>
        </w:rPr>
        <w:t xml:space="preserve">, Ladas SD, Vargo JJ, Paspatis GA, Bjorkman DJ, Van der Linden P, Axon AT, Axon AE, Bamias G, Despott E, Dinis-Ribeiro M, Fassoulaki A, Hofmann N, Karagiannis JA, Karamanolis D, Maurer W, O'Connor A, Paraskeva K, Schreiber F, Triantafyllou K, Viazis N, Vlachogiannakos J. Sedation in digestive endoscopy: the Athens international position statements. </w:t>
      </w:r>
      <w:r w:rsidRPr="00130A78">
        <w:rPr>
          <w:rFonts w:ascii="Book Antiqua" w:eastAsia="宋体" w:hAnsi="Book Antiqua" w:cs="Book Antiqua"/>
          <w:i/>
          <w:iCs/>
          <w:kern w:val="0"/>
          <w:lang w:eastAsia="zh-CN"/>
        </w:rPr>
        <w:lastRenderedPageBreak/>
        <w:t>Aliment Pharmacol Ther</w:t>
      </w:r>
      <w:r w:rsidRPr="00130A78">
        <w:rPr>
          <w:rFonts w:ascii="Book Antiqua" w:eastAsia="宋体" w:hAnsi="Book Antiqua" w:cs="Book Antiqua"/>
          <w:kern w:val="0"/>
          <w:lang w:eastAsia="zh-CN"/>
        </w:rPr>
        <w:t xml:space="preserve"> 2010; </w:t>
      </w:r>
      <w:r w:rsidRPr="00130A78">
        <w:rPr>
          <w:rFonts w:ascii="Book Antiqua" w:eastAsia="宋体" w:hAnsi="Book Antiqua" w:cs="Book Antiqua"/>
          <w:b/>
          <w:bCs/>
          <w:kern w:val="0"/>
          <w:lang w:eastAsia="zh-CN"/>
        </w:rPr>
        <w:t>32</w:t>
      </w:r>
      <w:r w:rsidRPr="00130A78">
        <w:rPr>
          <w:rFonts w:ascii="Book Antiqua" w:eastAsia="宋体" w:hAnsi="Book Antiqua" w:cs="Book Antiqua"/>
          <w:kern w:val="0"/>
          <w:lang w:eastAsia="zh-CN"/>
        </w:rPr>
        <w:t>: 425-442 [PMID: 20456310 DOI: 10.1111/j.1365-2036.2010.04352.x]</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9 </w:t>
      </w:r>
      <w:r w:rsidRPr="00130A78">
        <w:rPr>
          <w:rFonts w:ascii="Book Antiqua" w:eastAsia="宋体" w:hAnsi="Book Antiqua" w:cs="Book Antiqua"/>
          <w:b/>
          <w:bCs/>
          <w:kern w:val="0"/>
          <w:lang w:eastAsia="zh-CN"/>
        </w:rPr>
        <w:t>Hazeldine S</w:t>
      </w:r>
      <w:r w:rsidRPr="00130A78">
        <w:rPr>
          <w:rFonts w:ascii="Book Antiqua" w:eastAsia="宋体" w:hAnsi="Book Antiqua" w:cs="Book Antiqua"/>
          <w:kern w:val="0"/>
          <w:lang w:eastAsia="zh-CN"/>
        </w:rPr>
        <w:t xml:space="preserve">, Fritschi L, Forbes G. Predicting patient tolerance of endoscopy with conscious sedation. </w:t>
      </w:r>
      <w:r w:rsidRPr="00130A78">
        <w:rPr>
          <w:rFonts w:ascii="Book Antiqua" w:eastAsia="宋体" w:hAnsi="Book Antiqua" w:cs="Book Antiqua"/>
          <w:i/>
          <w:iCs/>
          <w:kern w:val="0"/>
          <w:lang w:eastAsia="zh-CN"/>
        </w:rPr>
        <w:t>Scand J Gastroenterol</w:t>
      </w:r>
      <w:r w:rsidRPr="00130A78">
        <w:rPr>
          <w:rFonts w:ascii="Book Antiqua" w:eastAsia="宋体" w:hAnsi="Book Antiqua" w:cs="Book Antiqua"/>
          <w:kern w:val="0"/>
          <w:lang w:eastAsia="zh-CN"/>
        </w:rPr>
        <w:t xml:space="preserve"> 2010; </w:t>
      </w:r>
      <w:r w:rsidRPr="00130A78">
        <w:rPr>
          <w:rFonts w:ascii="Book Antiqua" w:eastAsia="宋体" w:hAnsi="Book Antiqua" w:cs="Book Antiqua"/>
          <w:b/>
          <w:bCs/>
          <w:kern w:val="0"/>
          <w:lang w:eastAsia="zh-CN"/>
        </w:rPr>
        <w:t>45</w:t>
      </w:r>
      <w:r w:rsidRPr="00130A78">
        <w:rPr>
          <w:rFonts w:ascii="Book Antiqua" w:eastAsia="宋体" w:hAnsi="Book Antiqua" w:cs="Book Antiqua"/>
          <w:kern w:val="0"/>
          <w:lang w:eastAsia="zh-CN"/>
        </w:rPr>
        <w:t>: 1248-1254 [PMID: 20560818 DOI: 10.3109/00365521.2010.497939]</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10 </w:t>
      </w:r>
      <w:r w:rsidRPr="00130A78">
        <w:rPr>
          <w:rFonts w:ascii="Book Antiqua" w:eastAsia="宋体" w:hAnsi="Book Antiqua" w:cs="Book Antiqua"/>
          <w:b/>
          <w:bCs/>
          <w:kern w:val="0"/>
          <w:lang w:eastAsia="zh-CN"/>
        </w:rPr>
        <w:t>Rattan S</w:t>
      </w:r>
      <w:r w:rsidRPr="00130A78">
        <w:rPr>
          <w:rFonts w:ascii="Book Antiqua" w:eastAsia="宋体" w:hAnsi="Book Antiqua" w:cs="Book Antiqua"/>
          <w:kern w:val="0"/>
          <w:lang w:eastAsia="zh-CN"/>
        </w:rPr>
        <w:t xml:space="preserve">, Goyal RK. Identification and localization of opioid receptors in the opossum lower esophageal sphincter. </w:t>
      </w:r>
      <w:r w:rsidRPr="00130A78">
        <w:rPr>
          <w:rFonts w:ascii="Book Antiqua" w:eastAsia="宋体" w:hAnsi="Book Antiqua" w:cs="Book Antiqua"/>
          <w:i/>
          <w:iCs/>
          <w:kern w:val="0"/>
          <w:lang w:eastAsia="zh-CN"/>
        </w:rPr>
        <w:t>J Pharmacol Exp Ther</w:t>
      </w:r>
      <w:r w:rsidRPr="00130A78">
        <w:rPr>
          <w:rFonts w:ascii="Book Antiqua" w:eastAsia="宋体" w:hAnsi="Book Antiqua" w:cs="Book Antiqua"/>
          <w:kern w:val="0"/>
          <w:lang w:eastAsia="zh-CN"/>
        </w:rPr>
        <w:t xml:space="preserve"> 1983; </w:t>
      </w:r>
      <w:r w:rsidRPr="00130A78">
        <w:rPr>
          <w:rFonts w:ascii="Book Antiqua" w:eastAsia="宋体" w:hAnsi="Book Antiqua" w:cs="Book Antiqua"/>
          <w:b/>
          <w:bCs/>
          <w:kern w:val="0"/>
          <w:lang w:eastAsia="zh-CN"/>
        </w:rPr>
        <w:t>224</w:t>
      </w:r>
      <w:r w:rsidRPr="00130A78">
        <w:rPr>
          <w:rFonts w:ascii="Book Antiqua" w:eastAsia="宋体" w:hAnsi="Book Antiqua" w:cs="Book Antiqua"/>
          <w:kern w:val="0"/>
          <w:lang w:eastAsia="zh-CN"/>
        </w:rPr>
        <w:t>: 391-397 [PMID: 6296359]</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11 </w:t>
      </w:r>
      <w:r w:rsidRPr="00130A78">
        <w:rPr>
          <w:rFonts w:ascii="Book Antiqua" w:eastAsia="宋体" w:hAnsi="Book Antiqua" w:cs="Book Antiqua"/>
          <w:b/>
          <w:bCs/>
          <w:kern w:val="0"/>
          <w:lang w:eastAsia="zh-CN"/>
        </w:rPr>
        <w:t>Hall AW</w:t>
      </w:r>
      <w:r w:rsidRPr="00130A78">
        <w:rPr>
          <w:rFonts w:ascii="Book Antiqua" w:eastAsia="宋体" w:hAnsi="Book Antiqua" w:cs="Book Antiqua"/>
          <w:kern w:val="0"/>
          <w:lang w:eastAsia="zh-CN"/>
        </w:rPr>
        <w:t xml:space="preserve">, Moossa AR, Clark J, Cooley GR, Skinner DB. The effects of premedication drugs on the lower oesophageal high pressure zone and reflux status of rhesus monkeys and man. </w:t>
      </w:r>
      <w:r w:rsidRPr="00130A78">
        <w:rPr>
          <w:rFonts w:ascii="Book Antiqua" w:eastAsia="宋体" w:hAnsi="Book Antiqua" w:cs="Book Antiqua"/>
          <w:i/>
          <w:iCs/>
          <w:kern w:val="0"/>
          <w:lang w:eastAsia="zh-CN"/>
        </w:rPr>
        <w:t>Gut</w:t>
      </w:r>
      <w:r w:rsidRPr="00130A78">
        <w:rPr>
          <w:rFonts w:ascii="Book Antiqua" w:eastAsia="宋体" w:hAnsi="Book Antiqua" w:cs="Book Antiqua"/>
          <w:kern w:val="0"/>
          <w:lang w:eastAsia="zh-CN"/>
        </w:rPr>
        <w:t xml:space="preserve"> 1975; </w:t>
      </w:r>
      <w:r w:rsidRPr="00130A78">
        <w:rPr>
          <w:rFonts w:ascii="Book Antiqua" w:eastAsia="宋体" w:hAnsi="Book Antiqua" w:cs="Book Antiqua"/>
          <w:b/>
          <w:bCs/>
          <w:kern w:val="0"/>
          <w:lang w:eastAsia="zh-CN"/>
        </w:rPr>
        <w:t>16</w:t>
      </w:r>
      <w:r w:rsidRPr="00130A78">
        <w:rPr>
          <w:rFonts w:ascii="Book Antiqua" w:eastAsia="宋体" w:hAnsi="Book Antiqua" w:cs="Book Antiqua"/>
          <w:kern w:val="0"/>
          <w:lang w:eastAsia="zh-CN"/>
        </w:rPr>
        <w:t>: 347-352 [PMID: 237803 DOI: 10.1136/gut.16.5.347]</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12 </w:t>
      </w:r>
      <w:r w:rsidRPr="00130A78">
        <w:rPr>
          <w:rFonts w:ascii="Book Antiqua" w:eastAsia="宋体" w:hAnsi="Book Antiqua" w:cs="Book Antiqua"/>
          <w:b/>
          <w:bCs/>
          <w:kern w:val="0"/>
          <w:lang w:eastAsia="zh-CN"/>
        </w:rPr>
        <w:t>Pandolfino JE</w:t>
      </w:r>
      <w:r w:rsidRPr="00130A78">
        <w:rPr>
          <w:rFonts w:ascii="Book Antiqua" w:eastAsia="宋体" w:hAnsi="Book Antiqua" w:cs="Book Antiqua"/>
          <w:kern w:val="0"/>
          <w:lang w:eastAsia="zh-CN"/>
        </w:rPr>
        <w:t xml:space="preserve">. Bravo capsule pH monitoring. </w:t>
      </w:r>
      <w:r w:rsidRPr="00130A78">
        <w:rPr>
          <w:rFonts w:ascii="Book Antiqua" w:eastAsia="宋体" w:hAnsi="Book Antiqua" w:cs="Book Antiqua"/>
          <w:i/>
          <w:iCs/>
          <w:kern w:val="0"/>
          <w:lang w:eastAsia="zh-CN"/>
        </w:rPr>
        <w:t>Am J Gastroenterol</w:t>
      </w:r>
      <w:r w:rsidRPr="00130A78">
        <w:rPr>
          <w:rFonts w:ascii="Book Antiqua" w:eastAsia="宋体" w:hAnsi="Book Antiqua" w:cs="Book Antiqua"/>
          <w:kern w:val="0"/>
          <w:lang w:eastAsia="zh-CN"/>
        </w:rPr>
        <w:t xml:space="preserve"> 2005; </w:t>
      </w:r>
      <w:r w:rsidRPr="00130A78">
        <w:rPr>
          <w:rFonts w:ascii="Book Antiqua" w:eastAsia="宋体" w:hAnsi="Book Antiqua" w:cs="Book Antiqua"/>
          <w:b/>
          <w:bCs/>
          <w:kern w:val="0"/>
          <w:lang w:eastAsia="zh-CN"/>
        </w:rPr>
        <w:t>100</w:t>
      </w:r>
      <w:r w:rsidRPr="00130A78">
        <w:rPr>
          <w:rFonts w:ascii="Book Antiqua" w:eastAsia="宋体" w:hAnsi="Book Antiqua" w:cs="Book Antiqua"/>
          <w:kern w:val="0"/>
          <w:lang w:eastAsia="zh-CN"/>
        </w:rPr>
        <w:t>: 8-10 [PMID: 15654773 DOI: 10.1111/j.1572-0241.2005.41183.x]</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13 </w:t>
      </w:r>
      <w:r w:rsidRPr="00130A78">
        <w:rPr>
          <w:rFonts w:ascii="Book Antiqua" w:eastAsia="宋体" w:hAnsi="Book Antiqua" w:cs="Book Antiqua"/>
          <w:b/>
          <w:bCs/>
          <w:kern w:val="0"/>
          <w:lang w:eastAsia="zh-CN"/>
        </w:rPr>
        <w:t>Xiao YL</w:t>
      </w:r>
      <w:r w:rsidRPr="00130A78">
        <w:rPr>
          <w:rFonts w:ascii="Book Antiqua" w:eastAsia="宋体" w:hAnsi="Book Antiqua" w:cs="Book Antiqua"/>
          <w:kern w:val="0"/>
          <w:lang w:eastAsia="zh-CN"/>
        </w:rPr>
        <w:t xml:space="preserve">, Lin JK, Cheung TK, Wong NY, Hung IF, Wong BC, Peng S, Wang AJ, Chen MH. Reflux profile of Chinese gastroesophageal reflux disease patients with combined multichannel intraluminal impedance-pH monitoring. </w:t>
      </w:r>
      <w:r w:rsidRPr="00130A78">
        <w:rPr>
          <w:rFonts w:ascii="Book Antiqua" w:eastAsia="宋体" w:hAnsi="Book Antiqua" w:cs="Book Antiqua"/>
          <w:i/>
          <w:iCs/>
          <w:kern w:val="0"/>
          <w:lang w:eastAsia="zh-CN"/>
        </w:rPr>
        <w:t>J Gastroenterol Hepatol</w:t>
      </w:r>
      <w:r w:rsidRPr="00130A78">
        <w:rPr>
          <w:rFonts w:ascii="Book Antiqua" w:eastAsia="宋体" w:hAnsi="Book Antiqua" w:cs="Book Antiqua"/>
          <w:kern w:val="0"/>
          <w:lang w:eastAsia="zh-CN"/>
        </w:rPr>
        <w:t xml:space="preserve"> 2009; </w:t>
      </w:r>
      <w:r w:rsidRPr="00130A78">
        <w:rPr>
          <w:rFonts w:ascii="Book Antiqua" w:eastAsia="宋体" w:hAnsi="Book Antiqua" w:cs="Book Antiqua"/>
          <w:b/>
          <w:bCs/>
          <w:kern w:val="0"/>
          <w:lang w:eastAsia="zh-CN"/>
        </w:rPr>
        <w:t>24</w:t>
      </w:r>
      <w:r w:rsidRPr="00130A78">
        <w:rPr>
          <w:rFonts w:ascii="Book Antiqua" w:eastAsia="宋体" w:hAnsi="Book Antiqua" w:cs="Book Antiqua"/>
          <w:kern w:val="0"/>
          <w:lang w:eastAsia="zh-CN"/>
        </w:rPr>
        <w:t>: 1113-1118 [PMID: 19638089 DOI: 10.1111/j.1440-1746.2009.05861.x]</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14 MIROMEDEX○R2.0. </w:t>
      </w:r>
      <w:r w:rsidRPr="00130A78">
        <w:rPr>
          <w:rFonts w:ascii="Book Antiqua" w:hAnsi="Book Antiqua" w:cs="Book Antiqua"/>
          <w:b/>
          <w:bCs/>
        </w:rPr>
        <w:t>Available from:</w:t>
      </w:r>
      <w:r w:rsidRPr="00130A78">
        <w:rPr>
          <w:rFonts w:ascii="Book Antiqua" w:hAnsi="Book Antiqua" w:cs="Book Antiqua"/>
        </w:rPr>
        <w:t xml:space="preserve"> </w:t>
      </w:r>
      <w:r w:rsidRPr="00130A78">
        <w:rPr>
          <w:rFonts w:ascii="Book Antiqua" w:hAnsi="Book Antiqua" w:cs="Book Antiqua"/>
          <w:color w:val="000000"/>
        </w:rPr>
        <w:t xml:space="preserve">URL: </w:t>
      </w:r>
      <w:r w:rsidRPr="00130A78">
        <w:rPr>
          <w:rFonts w:ascii="Book Antiqua" w:eastAsia="宋体" w:hAnsi="Book Antiqua" w:cs="Book Antiqua"/>
          <w:kern w:val="0"/>
          <w:lang w:eastAsia="zh-CN"/>
        </w:rPr>
        <w:t>http: //www.thomsonhc.com/micromedex2/librarian/ND_T/evidencexpert/ND_PR/evidencexpert/CS/98B0A2/ND_AppProduct/evidencexpert/DUPLICATIONSHIELDSYNC/08073B/ND_PG/evidencexpert/ND_B/evidencexpert/ND_P/evidencexpert/PFActionId/evidencexpert.DisplayDrugdexDocument?docId=0512&amp;contentSetId=31&amp;title=Meperidine Hydrochloride&amp;servicesTitle=Meperidine Hydrochloride&amp;topicId= pharmacokineticsSection</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15 MIROMEDEX○R2.0. </w:t>
      </w:r>
      <w:r w:rsidRPr="00130A78">
        <w:rPr>
          <w:rFonts w:ascii="Book Antiqua" w:hAnsi="Book Antiqua" w:cs="Book Antiqua"/>
          <w:b/>
          <w:bCs/>
        </w:rPr>
        <w:t>Available from:</w:t>
      </w:r>
      <w:r w:rsidRPr="00130A78">
        <w:rPr>
          <w:rFonts w:ascii="Book Antiqua" w:hAnsi="Book Antiqua" w:cs="Book Antiqua"/>
        </w:rPr>
        <w:t xml:space="preserve"> </w:t>
      </w:r>
      <w:r w:rsidRPr="00130A78">
        <w:rPr>
          <w:rFonts w:ascii="Book Antiqua" w:hAnsi="Book Antiqua" w:cs="Book Antiqua"/>
          <w:color w:val="000000"/>
        </w:rPr>
        <w:t>URL:</w:t>
      </w:r>
      <w:r w:rsidRPr="00130A78">
        <w:rPr>
          <w:rFonts w:ascii="Book Antiqua" w:eastAsia="宋体" w:hAnsi="Book Antiqua" w:cs="Book Antiqua"/>
          <w:kern w:val="0"/>
          <w:lang w:eastAsia="zh-CN"/>
        </w:rPr>
        <w:t xml:space="preserve"> http: //www.thomsonhc.com/micromedex2/librarian/ND_T/evidencexpert/ND_PR/evidencexpert/CS/22E1DA/ND_AppProduct/evidencexpert/DUPLICATIONSHIELDSYNC/FBA1FD/ND_PG/evidencexpert/ND_B/evidencexpert/ND_P/evidencexpert/PFActionId/evidencexpert.DisplayDrugpointDocument?docId=375025&amp;contentSetId=100&amp;title=Midazolam Hydrochloride&amp;servicesTitle=Midazolam Hydrochloride&amp;topicId= mechanismOfActionPharmacokineticsSection&amp;subtopicId=null</w:t>
      </w:r>
    </w:p>
    <w:p w:rsidR="00ED3CC6" w:rsidRPr="00130A78" w:rsidRDefault="00ED3CC6" w:rsidP="00130A78">
      <w:pPr>
        <w:widowControl/>
        <w:rPr>
          <w:rFonts w:ascii="Book Antiqua" w:eastAsia="宋体" w:hAnsi="Book Antiqua" w:cs="Times New Roman"/>
          <w:kern w:val="0"/>
          <w:lang w:eastAsia="zh-CN"/>
        </w:rPr>
      </w:pPr>
      <w:r w:rsidRPr="00032C92">
        <w:rPr>
          <w:rFonts w:ascii="Book Antiqua" w:eastAsia="宋体" w:hAnsi="Book Antiqua" w:cs="Book Antiqua"/>
          <w:kern w:val="0"/>
          <w:lang w:val="nb-NO" w:eastAsia="zh-CN"/>
        </w:rPr>
        <w:t>16</w:t>
      </w:r>
      <w:r w:rsidRPr="00032C92">
        <w:rPr>
          <w:b/>
          <w:bCs/>
          <w:lang w:val="nb-NO"/>
        </w:rPr>
        <w:t xml:space="preserve"> </w:t>
      </w:r>
      <w:r w:rsidRPr="00032C92">
        <w:rPr>
          <w:rFonts w:ascii="Book Antiqua" w:hAnsi="Book Antiqua" w:cs="Book Antiqua"/>
          <w:b/>
          <w:bCs/>
          <w:lang w:val="nb-NO"/>
        </w:rPr>
        <w:t>Belafsky PC</w:t>
      </w:r>
      <w:r w:rsidRPr="00032C92">
        <w:rPr>
          <w:rFonts w:ascii="Book Antiqua" w:hAnsi="Book Antiqua" w:cs="Book Antiqua"/>
          <w:lang w:val="nb-NO"/>
        </w:rPr>
        <w:t xml:space="preserve">, Postma GN, Koufman JA. </w:t>
      </w:r>
      <w:r w:rsidRPr="00130A78">
        <w:rPr>
          <w:rFonts w:ascii="Book Antiqua" w:hAnsi="Book Antiqua" w:cs="Book Antiqua"/>
        </w:rPr>
        <w:t xml:space="preserve">Validity and reliability of the reflux symptom index (RSI). </w:t>
      </w:r>
      <w:r w:rsidRPr="00130A78">
        <w:rPr>
          <w:rFonts w:ascii="Book Antiqua" w:hAnsi="Book Antiqua" w:cs="Book Antiqua"/>
          <w:i/>
          <w:iCs/>
        </w:rPr>
        <w:t>J Voice</w:t>
      </w:r>
      <w:r w:rsidRPr="00130A78">
        <w:rPr>
          <w:rFonts w:ascii="Book Antiqua" w:hAnsi="Book Antiqua" w:cs="Book Antiqua"/>
        </w:rPr>
        <w:t xml:space="preserve"> 2002; </w:t>
      </w:r>
      <w:r w:rsidRPr="00130A78">
        <w:rPr>
          <w:rFonts w:ascii="Book Antiqua" w:hAnsi="Book Antiqua" w:cs="Book Antiqua"/>
          <w:b/>
          <w:bCs/>
        </w:rPr>
        <w:t>16</w:t>
      </w:r>
      <w:r w:rsidRPr="00130A78">
        <w:rPr>
          <w:rFonts w:ascii="Book Antiqua" w:hAnsi="Book Antiqua" w:cs="Book Antiqua"/>
        </w:rPr>
        <w:t>: 274-277 [PMID: 12150380 DOI: 10.1016/S0892-1997(02)00097-8]</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lastRenderedPageBreak/>
        <w:t xml:space="preserve">17 </w:t>
      </w:r>
      <w:r w:rsidRPr="00130A78">
        <w:rPr>
          <w:rFonts w:ascii="Book Antiqua" w:eastAsia="宋体" w:hAnsi="Book Antiqua" w:cs="Book Antiqua"/>
          <w:b/>
          <w:bCs/>
          <w:kern w:val="0"/>
          <w:lang w:eastAsia="zh-CN"/>
        </w:rPr>
        <w:t>Belafsky PC</w:t>
      </w:r>
      <w:r w:rsidRPr="00130A78">
        <w:rPr>
          <w:rFonts w:ascii="Book Antiqua" w:eastAsia="宋体" w:hAnsi="Book Antiqua" w:cs="Book Antiqua"/>
          <w:kern w:val="0"/>
          <w:lang w:eastAsia="zh-CN"/>
        </w:rPr>
        <w:t xml:space="preserve">, Postma GN, Koufman JA. The validity and reliability of the reflux finding score (RFS). </w:t>
      </w:r>
      <w:r w:rsidRPr="00130A78">
        <w:rPr>
          <w:rFonts w:ascii="Book Antiqua" w:eastAsia="宋体" w:hAnsi="Book Antiqua" w:cs="Book Antiqua"/>
          <w:i/>
          <w:iCs/>
          <w:kern w:val="0"/>
          <w:lang w:eastAsia="zh-CN"/>
        </w:rPr>
        <w:t>Laryngoscope</w:t>
      </w:r>
      <w:r w:rsidRPr="00130A78">
        <w:rPr>
          <w:rFonts w:ascii="Book Antiqua" w:eastAsia="宋体" w:hAnsi="Book Antiqua" w:cs="Book Antiqua"/>
          <w:kern w:val="0"/>
          <w:lang w:eastAsia="zh-CN"/>
        </w:rPr>
        <w:t xml:space="preserve"> 2001; </w:t>
      </w:r>
      <w:r w:rsidRPr="00130A78">
        <w:rPr>
          <w:rFonts w:ascii="Book Antiqua" w:eastAsia="宋体" w:hAnsi="Book Antiqua" w:cs="Book Antiqua"/>
          <w:b/>
          <w:bCs/>
          <w:kern w:val="0"/>
          <w:lang w:eastAsia="zh-CN"/>
        </w:rPr>
        <w:t>111</w:t>
      </w:r>
      <w:r w:rsidRPr="00130A78">
        <w:rPr>
          <w:rFonts w:ascii="Book Antiqua" w:eastAsia="宋体" w:hAnsi="Book Antiqua" w:cs="Book Antiqua"/>
          <w:kern w:val="0"/>
          <w:lang w:eastAsia="zh-CN"/>
        </w:rPr>
        <w:t>: 1313-1317 [PMID: 11568561 DOI: 10.1097/00005537-200108000-00001]</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18 </w:t>
      </w:r>
      <w:r w:rsidRPr="00130A78">
        <w:rPr>
          <w:rFonts w:ascii="Book Antiqua" w:eastAsia="宋体" w:hAnsi="Book Antiqua" w:cs="Book Antiqua"/>
          <w:b/>
          <w:bCs/>
          <w:kern w:val="0"/>
          <w:lang w:eastAsia="zh-CN"/>
        </w:rPr>
        <w:t>Lazarescu A</w:t>
      </w:r>
      <w:r w:rsidRPr="00130A78">
        <w:rPr>
          <w:rFonts w:ascii="Book Antiqua" w:eastAsia="宋体" w:hAnsi="Book Antiqua" w:cs="Book Antiqua"/>
          <w:kern w:val="0"/>
          <w:lang w:eastAsia="zh-CN"/>
        </w:rPr>
        <w:t xml:space="preserve">, Sifrim D. Ambulatory monitoring of GERD: current technology. </w:t>
      </w:r>
      <w:r w:rsidRPr="00130A78">
        <w:rPr>
          <w:rFonts w:ascii="Book Antiqua" w:eastAsia="宋体" w:hAnsi="Book Antiqua" w:cs="Book Antiqua"/>
          <w:i/>
          <w:iCs/>
          <w:kern w:val="0"/>
          <w:lang w:eastAsia="zh-CN"/>
        </w:rPr>
        <w:t>Gastroenterol Clin North Am</w:t>
      </w:r>
      <w:r w:rsidRPr="00130A78">
        <w:rPr>
          <w:rFonts w:ascii="Book Antiqua" w:eastAsia="宋体" w:hAnsi="Book Antiqua" w:cs="Book Antiqua"/>
          <w:kern w:val="0"/>
          <w:lang w:eastAsia="zh-CN"/>
        </w:rPr>
        <w:t xml:space="preserve"> 2008; </w:t>
      </w:r>
      <w:r w:rsidRPr="00130A78">
        <w:rPr>
          <w:rFonts w:ascii="Book Antiqua" w:eastAsia="宋体" w:hAnsi="Book Antiqua" w:cs="Book Antiqua"/>
          <w:b/>
          <w:bCs/>
          <w:kern w:val="0"/>
          <w:lang w:eastAsia="zh-CN"/>
        </w:rPr>
        <w:t>37</w:t>
      </w:r>
      <w:r w:rsidRPr="00130A78">
        <w:rPr>
          <w:rFonts w:ascii="Book Antiqua" w:eastAsia="宋体" w:hAnsi="Book Antiqua" w:cs="Book Antiqua"/>
          <w:kern w:val="0"/>
          <w:lang w:eastAsia="zh-CN"/>
        </w:rPr>
        <w:t>: 793-805, viii [PMID: 19028318 DOI: 10.1016/j.gtc.2008.09.006]</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19 </w:t>
      </w:r>
      <w:r w:rsidRPr="00130A78">
        <w:rPr>
          <w:rFonts w:ascii="Book Antiqua" w:eastAsia="宋体" w:hAnsi="Book Antiqua" w:cs="Book Antiqua"/>
          <w:b/>
          <w:bCs/>
          <w:kern w:val="0"/>
          <w:lang w:eastAsia="zh-CN"/>
        </w:rPr>
        <w:t>Bechtold ML</w:t>
      </w:r>
      <w:r w:rsidRPr="00130A78">
        <w:rPr>
          <w:rFonts w:ascii="Book Antiqua" w:eastAsia="宋体" w:hAnsi="Book Antiqua" w:cs="Book Antiqua"/>
          <w:kern w:val="0"/>
          <w:lang w:eastAsia="zh-CN"/>
        </w:rPr>
        <w:t xml:space="preserve">, Holly JS, Thaler K, Marshall JB. Bravo (wireless) ambulatory esophageal pH monitoring: how do day 1 and day 2 results compare? </w:t>
      </w:r>
      <w:r w:rsidRPr="00130A78">
        <w:rPr>
          <w:rFonts w:ascii="Book Antiqua" w:eastAsia="宋体" w:hAnsi="Book Antiqua" w:cs="Book Antiqua"/>
          <w:i/>
          <w:iCs/>
          <w:kern w:val="0"/>
          <w:lang w:eastAsia="zh-CN"/>
        </w:rPr>
        <w:t>World J Gastroenterol</w:t>
      </w:r>
      <w:r w:rsidRPr="00130A78">
        <w:rPr>
          <w:rFonts w:ascii="Book Antiqua" w:eastAsia="宋体" w:hAnsi="Book Antiqua" w:cs="Book Antiqua"/>
          <w:kern w:val="0"/>
          <w:lang w:eastAsia="zh-CN"/>
        </w:rPr>
        <w:t xml:space="preserve"> 2007; </w:t>
      </w:r>
      <w:r w:rsidRPr="00130A78">
        <w:rPr>
          <w:rFonts w:ascii="Book Antiqua" w:eastAsia="宋体" w:hAnsi="Book Antiqua" w:cs="Book Antiqua"/>
          <w:b/>
          <w:bCs/>
          <w:kern w:val="0"/>
          <w:lang w:eastAsia="zh-CN"/>
        </w:rPr>
        <w:t>13</w:t>
      </w:r>
      <w:r w:rsidRPr="00130A78">
        <w:rPr>
          <w:rFonts w:ascii="Book Antiqua" w:eastAsia="宋体" w:hAnsi="Book Antiqua" w:cs="Book Antiqua"/>
          <w:kern w:val="0"/>
          <w:lang w:eastAsia="zh-CN"/>
        </w:rPr>
        <w:t>: 4091-4095 [PMID: 17696227]</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20 </w:t>
      </w:r>
      <w:r w:rsidRPr="00130A78">
        <w:rPr>
          <w:rFonts w:ascii="Book Antiqua" w:eastAsia="宋体" w:hAnsi="Book Antiqua" w:cs="Book Antiqua"/>
          <w:b/>
          <w:bCs/>
          <w:kern w:val="0"/>
          <w:lang w:eastAsia="zh-CN"/>
        </w:rPr>
        <w:t>Bhat YM</w:t>
      </w:r>
      <w:r w:rsidRPr="00130A78">
        <w:rPr>
          <w:rFonts w:ascii="Book Antiqua" w:eastAsia="宋体" w:hAnsi="Book Antiqua" w:cs="Book Antiqua"/>
          <w:kern w:val="0"/>
          <w:lang w:eastAsia="zh-CN"/>
        </w:rPr>
        <w:t xml:space="preserve">, McGrath KM, Bielefeldt K. Wireless esophageal pH monitoring: new technique means new questions. </w:t>
      </w:r>
      <w:r w:rsidRPr="00130A78">
        <w:rPr>
          <w:rFonts w:ascii="Book Antiqua" w:eastAsia="宋体" w:hAnsi="Book Antiqua" w:cs="Book Antiqua"/>
          <w:i/>
          <w:iCs/>
          <w:kern w:val="0"/>
          <w:lang w:eastAsia="zh-CN"/>
        </w:rPr>
        <w:t>J Clin Gastroenterol</w:t>
      </w:r>
      <w:r w:rsidRPr="00130A78">
        <w:rPr>
          <w:rFonts w:ascii="Book Antiqua" w:eastAsia="宋体" w:hAnsi="Book Antiqua" w:cs="Book Antiqua"/>
          <w:kern w:val="0"/>
          <w:lang w:eastAsia="zh-CN"/>
        </w:rPr>
        <w:t xml:space="preserve"> 2006; </w:t>
      </w:r>
      <w:r w:rsidRPr="00130A78">
        <w:rPr>
          <w:rFonts w:ascii="Book Antiqua" w:eastAsia="宋体" w:hAnsi="Book Antiqua" w:cs="Book Antiqua"/>
          <w:b/>
          <w:bCs/>
          <w:kern w:val="0"/>
          <w:lang w:eastAsia="zh-CN"/>
        </w:rPr>
        <w:t>40</w:t>
      </w:r>
      <w:r w:rsidRPr="00130A78">
        <w:rPr>
          <w:rFonts w:ascii="Book Antiqua" w:eastAsia="宋体" w:hAnsi="Book Antiqua" w:cs="Book Antiqua"/>
          <w:kern w:val="0"/>
          <w:lang w:eastAsia="zh-CN"/>
        </w:rPr>
        <w:t>: 116-121 [PMID: 16394871 DOI: 10.1097/01.mcg.0000196188.57543.75]</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21 </w:t>
      </w:r>
      <w:r w:rsidRPr="00130A78">
        <w:rPr>
          <w:rFonts w:ascii="Book Antiqua" w:eastAsia="宋体" w:hAnsi="Book Antiqua" w:cs="Book Antiqua"/>
          <w:b/>
          <w:bCs/>
          <w:kern w:val="0"/>
          <w:lang w:eastAsia="zh-CN"/>
        </w:rPr>
        <w:t>Korrapati V</w:t>
      </w:r>
      <w:r w:rsidRPr="00130A78">
        <w:rPr>
          <w:rFonts w:ascii="Book Antiqua" w:eastAsia="宋体" w:hAnsi="Book Antiqua" w:cs="Book Antiqua"/>
          <w:kern w:val="0"/>
          <w:lang w:eastAsia="zh-CN"/>
        </w:rPr>
        <w:t xml:space="preserve">, Babich JP, Balani A, Grendell JH, Kongara KR. Does deep sedation impact the results of 48 hours catheterless pH testing? </w:t>
      </w:r>
      <w:r w:rsidRPr="00130A78">
        <w:rPr>
          <w:rFonts w:ascii="Book Antiqua" w:eastAsia="宋体" w:hAnsi="Book Antiqua" w:cs="Book Antiqua"/>
          <w:i/>
          <w:iCs/>
          <w:kern w:val="0"/>
          <w:lang w:eastAsia="zh-CN"/>
        </w:rPr>
        <w:t>World J Gastroenterol</w:t>
      </w:r>
      <w:r w:rsidRPr="00130A78">
        <w:rPr>
          <w:rFonts w:ascii="Book Antiqua" w:eastAsia="宋体" w:hAnsi="Book Antiqua" w:cs="Book Antiqua"/>
          <w:kern w:val="0"/>
          <w:lang w:eastAsia="zh-CN"/>
        </w:rPr>
        <w:t xml:space="preserve"> 2011; </w:t>
      </w:r>
      <w:r w:rsidRPr="00130A78">
        <w:rPr>
          <w:rFonts w:ascii="Book Antiqua" w:eastAsia="宋体" w:hAnsi="Book Antiqua" w:cs="Book Antiqua"/>
          <w:b/>
          <w:bCs/>
          <w:kern w:val="0"/>
          <w:lang w:eastAsia="zh-CN"/>
        </w:rPr>
        <w:t>17</w:t>
      </w:r>
      <w:r w:rsidRPr="00130A78">
        <w:rPr>
          <w:rFonts w:ascii="Book Antiqua" w:eastAsia="宋体" w:hAnsi="Book Antiqua" w:cs="Book Antiqua"/>
          <w:kern w:val="0"/>
          <w:lang w:eastAsia="zh-CN"/>
        </w:rPr>
        <w:t>: 1304-1307 [PMID: 21455329 DOI: 10.3748/wjg.v17.i10.1304]</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22 </w:t>
      </w:r>
      <w:r w:rsidRPr="00130A78">
        <w:rPr>
          <w:rFonts w:ascii="Book Antiqua" w:eastAsia="宋体" w:hAnsi="Book Antiqua" w:cs="Book Antiqua"/>
          <w:b/>
          <w:bCs/>
          <w:kern w:val="0"/>
          <w:lang w:eastAsia="zh-CN"/>
        </w:rPr>
        <w:t>Pandolfino JE</w:t>
      </w:r>
      <w:r w:rsidRPr="00130A78">
        <w:rPr>
          <w:rFonts w:ascii="Book Antiqua" w:eastAsia="宋体" w:hAnsi="Book Antiqua" w:cs="Book Antiqua"/>
          <w:kern w:val="0"/>
          <w:lang w:eastAsia="zh-CN"/>
        </w:rPr>
        <w:t xml:space="preserve">, Richter JE, Ours T, Guardino JM, Chapman J, Kahrilas PJ. Ambulatory esophageal pH monitoring using a wireless system. </w:t>
      </w:r>
      <w:r w:rsidRPr="00130A78">
        <w:rPr>
          <w:rFonts w:ascii="Book Antiqua" w:eastAsia="宋体" w:hAnsi="Book Antiqua" w:cs="Book Antiqua"/>
          <w:i/>
          <w:iCs/>
          <w:kern w:val="0"/>
          <w:lang w:eastAsia="zh-CN"/>
        </w:rPr>
        <w:t>Am J Gastroenterol</w:t>
      </w:r>
      <w:r w:rsidRPr="00130A78">
        <w:rPr>
          <w:rFonts w:ascii="Book Antiqua" w:eastAsia="宋体" w:hAnsi="Book Antiqua" w:cs="Book Antiqua"/>
          <w:kern w:val="0"/>
          <w:lang w:eastAsia="zh-CN"/>
        </w:rPr>
        <w:t xml:space="preserve"> 2003; </w:t>
      </w:r>
      <w:r w:rsidRPr="00130A78">
        <w:rPr>
          <w:rFonts w:ascii="Book Antiqua" w:eastAsia="宋体" w:hAnsi="Book Antiqua" w:cs="Book Antiqua"/>
          <w:b/>
          <w:bCs/>
          <w:kern w:val="0"/>
          <w:lang w:eastAsia="zh-CN"/>
        </w:rPr>
        <w:t>98</w:t>
      </w:r>
      <w:r w:rsidRPr="00130A78">
        <w:rPr>
          <w:rFonts w:ascii="Book Antiqua" w:eastAsia="宋体" w:hAnsi="Book Antiqua" w:cs="Book Antiqua"/>
          <w:kern w:val="0"/>
          <w:lang w:eastAsia="zh-CN"/>
        </w:rPr>
        <w:t>: 740-749 [PMID: 12738450 DOI: 10.1111/j.1572-0241.2003.07398.x]</w:t>
      </w:r>
    </w:p>
    <w:p w:rsidR="00ED3CC6" w:rsidRPr="00130A78" w:rsidRDefault="00ED3CC6" w:rsidP="00130A78">
      <w:pPr>
        <w:widowControl/>
        <w:rPr>
          <w:rFonts w:ascii="Book Antiqua" w:eastAsia="宋体" w:hAnsi="Book Antiqua" w:cs="Times New Roman"/>
          <w:lang w:eastAsia="zh-CN"/>
        </w:rPr>
      </w:pPr>
      <w:r w:rsidRPr="00130A78">
        <w:rPr>
          <w:rFonts w:ascii="Book Antiqua" w:eastAsia="宋体" w:hAnsi="Book Antiqua" w:cs="Book Antiqua"/>
          <w:kern w:val="0"/>
          <w:lang w:eastAsia="zh-CN"/>
        </w:rPr>
        <w:t xml:space="preserve">23 </w:t>
      </w:r>
      <w:r w:rsidRPr="00130A78">
        <w:rPr>
          <w:rFonts w:ascii="Book Antiqua" w:hAnsi="Book Antiqua" w:cs="Book Antiqua"/>
          <w:b/>
          <w:bCs/>
        </w:rPr>
        <w:t>Prakash C</w:t>
      </w:r>
      <w:r w:rsidRPr="00130A78">
        <w:rPr>
          <w:rFonts w:ascii="Book Antiqua" w:hAnsi="Book Antiqua" w:cs="Book Antiqua"/>
        </w:rPr>
        <w:t xml:space="preserve">, Clouse RE. Value of extended recording time with wireless pH monitoring in evaluating gastroesophageal reflux disease. </w:t>
      </w:r>
      <w:r w:rsidRPr="00130A78">
        <w:rPr>
          <w:rFonts w:ascii="Book Antiqua" w:hAnsi="Book Antiqua" w:cs="Book Antiqua"/>
          <w:i/>
          <w:iCs/>
        </w:rPr>
        <w:t>Clin Gastroenterol Hepatol</w:t>
      </w:r>
      <w:r w:rsidRPr="00130A78">
        <w:rPr>
          <w:rFonts w:ascii="Book Antiqua" w:hAnsi="Book Antiqua" w:cs="Book Antiqua"/>
        </w:rPr>
        <w:t xml:space="preserve"> 2005; </w:t>
      </w:r>
      <w:r w:rsidRPr="00130A78">
        <w:rPr>
          <w:rFonts w:ascii="Book Antiqua" w:hAnsi="Book Antiqua" w:cs="Book Antiqua"/>
          <w:b/>
          <w:bCs/>
        </w:rPr>
        <w:t>3</w:t>
      </w:r>
      <w:r w:rsidRPr="00130A78">
        <w:rPr>
          <w:rFonts w:ascii="Book Antiqua" w:hAnsi="Book Antiqua" w:cs="Book Antiqua"/>
        </w:rPr>
        <w:t>: 329-334 [PMID: 15822037 DOI: 10.1016/S1542-3565(05)00021-2]</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24 </w:t>
      </w:r>
      <w:r w:rsidRPr="00130A78">
        <w:rPr>
          <w:rFonts w:ascii="Book Antiqua" w:eastAsia="宋体" w:hAnsi="Book Antiqua" w:cs="Book Antiqua"/>
          <w:b/>
          <w:bCs/>
          <w:kern w:val="0"/>
          <w:lang w:eastAsia="zh-CN"/>
        </w:rPr>
        <w:t>Ayazi S</w:t>
      </w:r>
      <w:r w:rsidRPr="00130A78">
        <w:rPr>
          <w:rFonts w:ascii="Book Antiqua" w:eastAsia="宋体" w:hAnsi="Book Antiqua" w:cs="Book Antiqua"/>
          <w:kern w:val="0"/>
          <w:lang w:eastAsia="zh-CN"/>
        </w:rPr>
        <w:t xml:space="preserve">, Hagen JA, Zehetner J, Banki F, Augustin F, Ayazi A, DeMeester SR, Oh DS, Sohn HJ, Lipham JC, DeMeester TR. Day-to-day discrepancy in Bravo pH monitoring is related to the degree of deterioration of the lower esophageal sphincter and severity of reflux disease. </w:t>
      </w:r>
      <w:r w:rsidRPr="00130A78">
        <w:rPr>
          <w:rFonts w:ascii="Book Antiqua" w:eastAsia="宋体" w:hAnsi="Book Antiqua" w:cs="Book Antiqua"/>
          <w:i/>
          <w:iCs/>
          <w:kern w:val="0"/>
          <w:lang w:eastAsia="zh-CN"/>
        </w:rPr>
        <w:t>Surg Endosc</w:t>
      </w:r>
      <w:r w:rsidRPr="00130A78">
        <w:rPr>
          <w:rFonts w:ascii="Book Antiqua" w:eastAsia="宋体" w:hAnsi="Book Antiqua" w:cs="Book Antiqua"/>
          <w:kern w:val="0"/>
          <w:lang w:eastAsia="zh-CN"/>
        </w:rPr>
        <w:t xml:space="preserve"> 2011; </w:t>
      </w:r>
      <w:r w:rsidRPr="00130A78">
        <w:rPr>
          <w:rFonts w:ascii="Book Antiqua" w:eastAsia="宋体" w:hAnsi="Book Antiqua" w:cs="Book Antiqua"/>
          <w:b/>
          <w:bCs/>
          <w:kern w:val="0"/>
          <w:lang w:eastAsia="zh-CN"/>
        </w:rPr>
        <w:t>25</w:t>
      </w:r>
      <w:r w:rsidRPr="00130A78">
        <w:rPr>
          <w:rFonts w:ascii="Book Antiqua" w:eastAsia="宋体" w:hAnsi="Book Antiqua" w:cs="Book Antiqua"/>
          <w:kern w:val="0"/>
          <w:lang w:eastAsia="zh-CN"/>
        </w:rPr>
        <w:t>: 2219-2223 [PMID: 21359906 DOI: 10.1007/s00464-010-1529-5]</w:t>
      </w:r>
    </w:p>
    <w:p w:rsidR="00ED3CC6" w:rsidRPr="00130A78" w:rsidRDefault="00ED3CC6" w:rsidP="00130A78">
      <w:pPr>
        <w:widowControl/>
        <w:rPr>
          <w:rFonts w:ascii="Book Antiqua" w:eastAsia="宋体" w:hAnsi="Book Antiqua" w:cs="Book Antiqua"/>
          <w:kern w:val="0"/>
          <w:lang w:eastAsia="zh-CN"/>
        </w:rPr>
      </w:pPr>
      <w:r w:rsidRPr="00130A78">
        <w:rPr>
          <w:rFonts w:ascii="Book Antiqua" w:eastAsia="宋体" w:hAnsi="Book Antiqua" w:cs="Book Antiqua"/>
          <w:kern w:val="0"/>
          <w:lang w:eastAsia="zh-CN"/>
        </w:rPr>
        <w:t xml:space="preserve">25 </w:t>
      </w:r>
      <w:r w:rsidRPr="00130A78">
        <w:rPr>
          <w:rFonts w:ascii="Book Antiqua" w:eastAsia="宋体" w:hAnsi="Book Antiqua" w:cs="Book Antiqua"/>
          <w:b/>
          <w:bCs/>
          <w:kern w:val="0"/>
          <w:lang w:eastAsia="zh-CN"/>
        </w:rPr>
        <w:t>Koufman JA</w:t>
      </w:r>
      <w:r w:rsidRPr="00130A78">
        <w:rPr>
          <w:rFonts w:ascii="Book Antiqua" w:eastAsia="宋体" w:hAnsi="Book Antiqua" w:cs="Book Antiqua"/>
          <w:kern w:val="0"/>
          <w:lang w:eastAsia="zh-CN"/>
        </w:rPr>
        <w:t xml:space="preserve">. Laryngopharyngeal reflux is different from classic gastroesophageal reflux disease. </w:t>
      </w:r>
      <w:r w:rsidRPr="00130A78">
        <w:rPr>
          <w:rFonts w:ascii="Book Antiqua" w:eastAsia="宋体" w:hAnsi="Book Antiqua" w:cs="Book Antiqua"/>
          <w:i/>
          <w:iCs/>
          <w:kern w:val="0"/>
          <w:lang w:eastAsia="zh-CN"/>
        </w:rPr>
        <w:t>Ear Nose Throat J</w:t>
      </w:r>
      <w:r w:rsidRPr="00130A78">
        <w:rPr>
          <w:rFonts w:ascii="Book Antiqua" w:eastAsia="宋体" w:hAnsi="Book Antiqua" w:cs="Book Antiqua"/>
          <w:kern w:val="0"/>
          <w:lang w:eastAsia="zh-CN"/>
        </w:rPr>
        <w:t xml:space="preserve"> 2002; </w:t>
      </w:r>
      <w:r w:rsidRPr="00130A78">
        <w:rPr>
          <w:rFonts w:ascii="Book Antiqua" w:eastAsia="宋体" w:hAnsi="Book Antiqua" w:cs="Book Antiqua"/>
          <w:b/>
          <w:bCs/>
          <w:kern w:val="0"/>
          <w:lang w:eastAsia="zh-CN"/>
        </w:rPr>
        <w:t>81</w:t>
      </w:r>
      <w:r w:rsidRPr="00130A78">
        <w:rPr>
          <w:rFonts w:ascii="Book Antiqua" w:eastAsia="宋体" w:hAnsi="Book Antiqua" w:cs="Book Antiqua"/>
          <w:kern w:val="0"/>
          <w:lang w:eastAsia="zh-CN"/>
        </w:rPr>
        <w:t>: 7-9 [PMID: 12353431]</w:t>
      </w:r>
    </w:p>
    <w:p w:rsidR="00ED3CC6" w:rsidRPr="00130A78" w:rsidRDefault="00ED3CC6" w:rsidP="000B416C">
      <w:pPr>
        <w:snapToGrid w:val="0"/>
        <w:spacing w:line="360" w:lineRule="auto"/>
        <w:jc w:val="both"/>
        <w:rPr>
          <w:rFonts w:ascii="Book Antiqua" w:hAnsi="Book Antiqua" w:cs="Book Antiqua"/>
        </w:rPr>
      </w:pPr>
    </w:p>
    <w:p w:rsidR="00ED3CC6" w:rsidRPr="00130A78" w:rsidRDefault="00ED3CC6" w:rsidP="00130A78">
      <w:pPr>
        <w:tabs>
          <w:tab w:val="left" w:pos="180"/>
          <w:tab w:val="left" w:pos="360"/>
        </w:tabs>
        <w:wordWrap w:val="0"/>
        <w:spacing w:line="360" w:lineRule="auto"/>
        <w:jc w:val="right"/>
        <w:rPr>
          <w:rFonts w:ascii="Book Antiqua" w:hAnsi="Book Antiqua" w:cs="Book Antiqua"/>
          <w:b/>
          <w:bCs/>
          <w:color w:val="000000"/>
        </w:rPr>
      </w:pPr>
      <w:bookmarkStart w:id="23" w:name="OLE_LINK141"/>
      <w:bookmarkStart w:id="24" w:name="OLE_LINK164"/>
      <w:bookmarkStart w:id="25" w:name="OLE_LINK177"/>
      <w:bookmarkStart w:id="26" w:name="OLE_LINK180"/>
      <w:bookmarkStart w:id="27" w:name="OLE_LINK172"/>
      <w:bookmarkStart w:id="28" w:name="OLE_LINK187"/>
      <w:bookmarkStart w:id="29" w:name="OLE_LINK192"/>
      <w:bookmarkStart w:id="30" w:name="OLE_LINK193"/>
      <w:bookmarkStart w:id="31" w:name="OLE_LINK214"/>
      <w:bookmarkStart w:id="32" w:name="OLE_LINK213"/>
      <w:bookmarkStart w:id="33" w:name="OLE_LINK239"/>
      <w:bookmarkStart w:id="34" w:name="OLE_LINK249"/>
      <w:bookmarkStart w:id="35" w:name="OLE_LINK281"/>
      <w:bookmarkStart w:id="36" w:name="OLE_LINK268"/>
      <w:bookmarkStart w:id="37" w:name="OLE_LINK314"/>
      <w:bookmarkStart w:id="38" w:name="OLE_LINK320"/>
      <w:bookmarkStart w:id="39" w:name="OLE_LINK322"/>
      <w:bookmarkStart w:id="40" w:name="OLE_LINK340"/>
      <w:bookmarkStart w:id="41" w:name="OLE_LINK323"/>
      <w:bookmarkStart w:id="42" w:name="OLE_LINK387"/>
      <w:bookmarkStart w:id="43" w:name="OLE_LINK416"/>
      <w:bookmarkStart w:id="44" w:name="OLE_LINK332"/>
      <w:bookmarkStart w:id="45" w:name="OLE_LINK344"/>
      <w:bookmarkStart w:id="46" w:name="OLE_LINK345"/>
      <w:bookmarkStart w:id="47" w:name="OLE_LINK354"/>
      <w:bookmarkStart w:id="48" w:name="OLE_LINK356"/>
      <w:bookmarkStart w:id="49" w:name="OLE_LINK360"/>
      <w:bookmarkStart w:id="50" w:name="OLE_LINK385"/>
      <w:bookmarkStart w:id="51" w:name="OLE_LINK396"/>
      <w:bookmarkStart w:id="52" w:name="OLE_LINK357"/>
      <w:bookmarkStart w:id="53" w:name="OLE_LINK379"/>
      <w:bookmarkStart w:id="54" w:name="OLE_LINK390"/>
      <w:bookmarkStart w:id="55" w:name="OLE_LINK367"/>
      <w:bookmarkStart w:id="56" w:name="OLE_LINK368"/>
      <w:bookmarkStart w:id="57" w:name="OLE_LINK371"/>
      <w:bookmarkStart w:id="58" w:name="OLE_LINK393"/>
      <w:bookmarkStart w:id="59" w:name="OLE_LINK417"/>
      <w:r w:rsidRPr="00130A78">
        <w:rPr>
          <w:rFonts w:ascii="Book Antiqua" w:hAnsi="Book Antiqua" w:cs="Book Antiqua"/>
          <w:b/>
          <w:bCs/>
          <w:color w:val="000000"/>
        </w:rPr>
        <w:t>P-Reviewer</w:t>
      </w:r>
      <w:r w:rsidRPr="00130A78">
        <w:rPr>
          <w:rFonts w:ascii="Book Antiqua" w:eastAsia="宋体" w:hAnsi="Book Antiqua" w:cs="Book Antiqua"/>
          <w:kern w:val="0"/>
          <w:lang w:eastAsia="zh-CN"/>
        </w:rPr>
        <w:t xml:space="preserve"> Sivandzadeh GR </w:t>
      </w:r>
      <w:r w:rsidRPr="00130A78">
        <w:rPr>
          <w:rFonts w:ascii="Book Antiqua" w:hAnsi="Book Antiqua" w:cs="Book Antiqua"/>
          <w:b/>
          <w:bCs/>
          <w:color w:val="000000"/>
        </w:rPr>
        <w:t xml:space="preserve">S-Editor </w:t>
      </w:r>
      <w:r w:rsidRPr="00130A78">
        <w:rPr>
          <w:rFonts w:ascii="Book Antiqua" w:hAnsi="Book Antiqua" w:cs="Book Antiqua"/>
          <w:color w:val="000000"/>
        </w:rPr>
        <w:t xml:space="preserve">Gou SX </w:t>
      </w:r>
      <w:r w:rsidRPr="00130A78">
        <w:rPr>
          <w:rFonts w:ascii="Book Antiqua" w:hAnsi="Book Antiqua" w:cs="Book Antiqua"/>
          <w:b/>
          <w:bCs/>
          <w:color w:val="000000"/>
        </w:rPr>
        <w:t xml:space="preserve">  L-Editor    E-Editor</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ED3CC6" w:rsidRPr="00130A78" w:rsidRDefault="00ED3CC6" w:rsidP="000B416C">
      <w:pPr>
        <w:snapToGrid w:val="0"/>
        <w:spacing w:line="360" w:lineRule="auto"/>
        <w:jc w:val="both"/>
        <w:rPr>
          <w:rFonts w:ascii="Book Antiqua" w:hAnsi="Book Antiqua" w:cs="Book Antiqua"/>
        </w:rPr>
      </w:pPr>
    </w:p>
    <w:p w:rsidR="00ED3CC6" w:rsidRPr="00130A78" w:rsidRDefault="00ED3CC6" w:rsidP="000B416C">
      <w:pPr>
        <w:snapToGrid w:val="0"/>
        <w:spacing w:line="360" w:lineRule="auto"/>
        <w:jc w:val="both"/>
        <w:rPr>
          <w:rFonts w:ascii="Book Antiqua" w:hAnsi="Book Antiqua" w:cs="Book Antiqua"/>
        </w:rPr>
      </w:pPr>
    </w:p>
    <w:p w:rsidR="00ED3CC6" w:rsidRDefault="00ED3CC6" w:rsidP="00874613">
      <w:pPr>
        <w:snapToGrid w:val="0"/>
        <w:spacing w:line="360" w:lineRule="auto"/>
        <w:jc w:val="both"/>
        <w:rPr>
          <w:rFonts w:ascii="Book Antiqua" w:eastAsia="宋体" w:hAnsi="Book Antiqua" w:cs="Times New Roman"/>
          <w:b/>
          <w:bCs/>
          <w:lang w:eastAsia="zh-CN"/>
        </w:rPr>
      </w:pPr>
    </w:p>
    <w:p w:rsidR="00ED3CC6" w:rsidRPr="00130A78" w:rsidRDefault="00ED3CC6" w:rsidP="00874613">
      <w:pPr>
        <w:snapToGrid w:val="0"/>
        <w:spacing w:line="360" w:lineRule="auto"/>
        <w:jc w:val="both"/>
        <w:rPr>
          <w:rFonts w:ascii="Book Antiqua" w:hAnsi="Book Antiqua" w:cs="Book Antiqua"/>
        </w:rPr>
      </w:pPr>
      <w:r w:rsidRPr="00874613">
        <w:rPr>
          <w:rFonts w:ascii="Book Antiqua" w:hAnsi="Book Antiqua" w:cs="Book Antiqua"/>
          <w:b/>
          <w:bCs/>
        </w:rPr>
        <w:lastRenderedPageBreak/>
        <w:t>Figure 1 Individual comparison of the fraction of total time with a pH &lt; 4 between Period I and Period II in Group A patients</w:t>
      </w:r>
      <w:r>
        <w:rPr>
          <w:rFonts w:ascii="Book Antiqua" w:eastAsia="宋体" w:hAnsi="Book Antiqua" w:cs="Book Antiqua"/>
          <w:b/>
          <w:bCs/>
          <w:lang w:eastAsia="zh-CN"/>
        </w:rPr>
        <w:t>.</w:t>
      </w:r>
      <w:r w:rsidRPr="00130A78">
        <w:rPr>
          <w:rFonts w:ascii="Book Antiqua" w:hAnsi="Book Antiqua" w:cs="Book Antiqua"/>
        </w:rPr>
        <w:t xml:space="preserve"> </w:t>
      </w:r>
      <w:r>
        <w:rPr>
          <w:rFonts w:ascii="Book Antiqua" w:eastAsia="宋体" w:hAnsi="Book Antiqua" w:cs="Book Antiqua"/>
          <w:lang w:eastAsia="zh-CN"/>
        </w:rPr>
        <w:t>A: Using p</w:t>
      </w:r>
      <w:r w:rsidRPr="00130A78">
        <w:rPr>
          <w:rFonts w:ascii="Book Antiqua" w:hAnsi="Book Antiqua" w:cs="Book Antiqua"/>
        </w:rPr>
        <w:t>haryngeal probe</w:t>
      </w:r>
      <w:r w:rsidRPr="00874613">
        <w:rPr>
          <w:rFonts w:ascii="Book Antiqua" w:hAnsi="Book Antiqua" w:cs="Book Antiqua"/>
        </w:rPr>
        <w:t xml:space="preserve"> </w:t>
      </w:r>
      <w:r w:rsidRPr="00130A78">
        <w:rPr>
          <w:rFonts w:ascii="Book Antiqua" w:hAnsi="Book Antiqua" w:cs="Book Antiqua"/>
        </w:rPr>
        <w:t>measurements</w:t>
      </w:r>
      <w:r>
        <w:rPr>
          <w:rFonts w:ascii="Book Antiqua" w:eastAsia="宋体" w:hAnsi="Book Antiqua" w:cs="Book Antiqua"/>
          <w:lang w:eastAsia="zh-CN"/>
        </w:rPr>
        <w:t>;</w:t>
      </w:r>
      <w:r w:rsidRPr="00130A78">
        <w:rPr>
          <w:rFonts w:ascii="Book Antiqua" w:hAnsi="Book Antiqua" w:cs="Book Antiqua"/>
        </w:rPr>
        <w:t xml:space="preserve"> </w:t>
      </w:r>
      <w:r>
        <w:rPr>
          <w:rFonts w:ascii="Book Antiqua" w:eastAsia="宋体" w:hAnsi="Book Antiqua" w:cs="Book Antiqua"/>
          <w:lang w:eastAsia="zh-CN"/>
        </w:rPr>
        <w:t>B:</w:t>
      </w:r>
      <w:r w:rsidRPr="00874613">
        <w:rPr>
          <w:rFonts w:ascii="Book Antiqua" w:eastAsia="宋体" w:hAnsi="Book Antiqua" w:cs="Book Antiqua"/>
          <w:lang w:eastAsia="zh-CN"/>
        </w:rPr>
        <w:t xml:space="preserve"> </w:t>
      </w:r>
      <w:r>
        <w:rPr>
          <w:rFonts w:ascii="Book Antiqua" w:eastAsia="宋体" w:hAnsi="Book Antiqua" w:cs="Book Antiqua"/>
          <w:lang w:eastAsia="zh-CN"/>
        </w:rPr>
        <w:t>Using</w:t>
      </w:r>
      <w:r w:rsidRPr="00130A78">
        <w:rPr>
          <w:rFonts w:ascii="Book Antiqua" w:hAnsi="Book Antiqua" w:cs="Book Antiqua"/>
        </w:rPr>
        <w:t xml:space="preserve"> esophageal probe measurements.</w:t>
      </w:r>
    </w:p>
    <w:p w:rsidR="00ED3CC6" w:rsidRDefault="00ED3CC6" w:rsidP="000B416C">
      <w:pPr>
        <w:snapToGrid w:val="0"/>
        <w:spacing w:line="360" w:lineRule="auto"/>
        <w:jc w:val="both"/>
        <w:rPr>
          <w:rFonts w:ascii="Book Antiqua" w:eastAsia="宋体" w:hAnsi="Book Antiqua" w:cs="Times New Roman"/>
          <w:b/>
          <w:bCs/>
          <w:lang w:eastAsia="zh-CN"/>
        </w:rPr>
      </w:pPr>
    </w:p>
    <w:p w:rsidR="00ED3CC6" w:rsidRPr="00874613" w:rsidRDefault="00ED3CC6" w:rsidP="000B416C">
      <w:pPr>
        <w:snapToGrid w:val="0"/>
        <w:spacing w:line="360" w:lineRule="auto"/>
        <w:jc w:val="both"/>
        <w:rPr>
          <w:rFonts w:ascii="Book Antiqua" w:eastAsia="宋体" w:hAnsi="Book Antiqua" w:cs="Times New Roman"/>
          <w:b/>
          <w:bCs/>
          <w:lang w:eastAsia="zh-CN"/>
        </w:rPr>
      </w:pPr>
    </w:p>
    <w:p w:rsidR="00ED3CC6" w:rsidRPr="00130A78" w:rsidRDefault="00ED3CC6" w:rsidP="000B416C">
      <w:pPr>
        <w:tabs>
          <w:tab w:val="left" w:pos="2766"/>
        </w:tabs>
        <w:snapToGrid w:val="0"/>
        <w:spacing w:line="360" w:lineRule="auto"/>
        <w:jc w:val="both"/>
        <w:rPr>
          <w:rFonts w:ascii="Book Antiqua" w:hAnsi="Book Antiqua" w:cs="Book Antiqua"/>
          <w:b/>
          <w:bCs/>
          <w:color w:val="000000"/>
        </w:rPr>
      </w:pPr>
      <w:r w:rsidRPr="00130A78">
        <w:rPr>
          <w:rFonts w:ascii="Book Antiqua" w:hAnsi="Book Antiqua" w:cs="Book Antiqua"/>
          <w:b/>
          <w:bCs/>
          <w:color w:val="000000"/>
        </w:rPr>
        <w:t>Table 1 Comparisons of baseline data</w:t>
      </w:r>
      <w:r>
        <w:rPr>
          <w:rFonts w:ascii="Book Antiqua" w:eastAsia="宋体" w:hAnsi="Book Antiqua" w:cs="Book Antiqua"/>
          <w:b/>
          <w:bCs/>
          <w:color w:val="000000"/>
          <w:lang w:eastAsia="zh-CN"/>
        </w:rPr>
        <w:t xml:space="preserve"> and </w:t>
      </w:r>
      <w:r w:rsidRPr="00874613">
        <w:rPr>
          <w:rFonts w:ascii="Book Antiqua" w:hAnsi="Book Antiqua" w:cs="Book Antiqua"/>
          <w:b/>
          <w:bCs/>
          <w:color w:val="000000"/>
        </w:rPr>
        <w:t>data obtained during the first 4 h</w:t>
      </w:r>
      <w:r w:rsidRPr="00130A78">
        <w:rPr>
          <w:rFonts w:ascii="Book Antiqua" w:hAnsi="Book Antiqua" w:cs="Book Antiqua"/>
          <w:b/>
          <w:bCs/>
          <w:color w:val="000000"/>
        </w:rPr>
        <w:t xml:space="preserve"> between patients in Group A and Group B </w:t>
      </w:r>
    </w:p>
    <w:tbl>
      <w:tblPr>
        <w:tblW w:w="8755" w:type="dxa"/>
        <w:tblInd w:w="2" w:type="dxa"/>
        <w:tblLayout w:type="fixed"/>
        <w:tblLook w:val="00A0" w:firstRow="1" w:lastRow="0" w:firstColumn="1" w:lastColumn="0" w:noHBand="0" w:noVBand="0"/>
      </w:tblPr>
      <w:tblGrid>
        <w:gridCol w:w="4077"/>
        <w:gridCol w:w="1701"/>
        <w:gridCol w:w="1701"/>
        <w:gridCol w:w="1276"/>
      </w:tblGrid>
      <w:tr w:rsidR="00ED3CC6" w:rsidRPr="00130A78">
        <w:tc>
          <w:tcPr>
            <w:tcW w:w="4077" w:type="dxa"/>
            <w:tcBorders>
              <w:top w:val="single" w:sz="4" w:space="0" w:color="auto"/>
              <w:bottom w:val="single" w:sz="4" w:space="0" w:color="auto"/>
            </w:tcBorders>
          </w:tcPr>
          <w:p w:rsidR="00ED3CC6" w:rsidRPr="00130A78" w:rsidRDefault="00ED3CC6" w:rsidP="00130A78">
            <w:pPr>
              <w:snapToGrid w:val="0"/>
              <w:spacing w:line="360" w:lineRule="auto"/>
              <w:jc w:val="center"/>
              <w:rPr>
                <w:rFonts w:ascii="Book Antiqua" w:hAnsi="Book Antiqua" w:cs="Book Antiqua"/>
                <w:b/>
                <w:bCs/>
                <w:color w:val="000000"/>
              </w:rPr>
            </w:pPr>
            <w:r w:rsidRPr="00130A78">
              <w:rPr>
                <w:rFonts w:ascii="Book Antiqua" w:hAnsi="Book Antiqua" w:cs="Book Antiqua"/>
                <w:b/>
                <w:bCs/>
                <w:color w:val="000000"/>
              </w:rPr>
              <w:t>Variables</w:t>
            </w:r>
          </w:p>
        </w:tc>
        <w:tc>
          <w:tcPr>
            <w:tcW w:w="1701" w:type="dxa"/>
            <w:tcBorders>
              <w:top w:val="single" w:sz="4" w:space="0" w:color="auto"/>
              <w:bottom w:val="single" w:sz="4" w:space="0" w:color="auto"/>
            </w:tcBorders>
          </w:tcPr>
          <w:p w:rsidR="00ED3CC6" w:rsidRPr="00130A78" w:rsidRDefault="00ED3CC6" w:rsidP="00130A78">
            <w:pPr>
              <w:snapToGrid w:val="0"/>
              <w:spacing w:line="360" w:lineRule="auto"/>
              <w:jc w:val="center"/>
              <w:rPr>
                <w:rFonts w:ascii="Book Antiqua" w:eastAsia="宋体" w:hAnsi="Book Antiqua" w:cs="Times New Roman"/>
                <w:b/>
                <w:bCs/>
                <w:color w:val="000000"/>
                <w:lang w:eastAsia="zh-CN"/>
              </w:rPr>
            </w:pPr>
            <w:r w:rsidRPr="00130A78">
              <w:rPr>
                <w:rFonts w:ascii="Book Antiqua" w:hAnsi="Book Antiqua" w:cs="Book Antiqua"/>
                <w:b/>
                <w:bCs/>
                <w:color w:val="000000"/>
              </w:rPr>
              <w:t xml:space="preserve">Group A </w:t>
            </w:r>
          </w:p>
          <w:p w:rsidR="00ED3CC6" w:rsidRPr="00130A78" w:rsidRDefault="00ED3CC6" w:rsidP="00130A78">
            <w:pPr>
              <w:snapToGrid w:val="0"/>
              <w:spacing w:line="360" w:lineRule="auto"/>
              <w:jc w:val="center"/>
              <w:rPr>
                <w:rFonts w:ascii="Book Antiqua" w:hAnsi="Book Antiqua" w:cs="Book Antiqua"/>
                <w:b/>
                <w:bCs/>
                <w:color w:val="000000"/>
              </w:rPr>
            </w:pPr>
            <w:r w:rsidRPr="00130A78">
              <w:rPr>
                <w:rFonts w:ascii="Book Antiqua" w:hAnsi="Book Antiqua" w:cs="Book Antiqua"/>
                <w:b/>
                <w:bCs/>
                <w:color w:val="000000"/>
              </w:rPr>
              <w:t>(</w:t>
            </w:r>
            <w:r w:rsidRPr="00130A78">
              <w:rPr>
                <w:rFonts w:ascii="Book Antiqua" w:hAnsi="Book Antiqua" w:cs="Book Antiqua"/>
                <w:b/>
                <w:bCs/>
                <w:i/>
                <w:iCs/>
                <w:color w:val="000000"/>
              </w:rPr>
              <w:t>n</w:t>
            </w:r>
            <w:r w:rsidRPr="00130A78">
              <w:rPr>
                <w:rFonts w:ascii="Book Antiqua" w:hAnsi="Book Antiqua" w:cs="Book Antiqua"/>
                <w:b/>
                <w:bCs/>
                <w:color w:val="000000"/>
              </w:rPr>
              <w:t xml:space="preserve"> = 36)</w:t>
            </w:r>
          </w:p>
        </w:tc>
        <w:tc>
          <w:tcPr>
            <w:tcW w:w="1701" w:type="dxa"/>
            <w:tcBorders>
              <w:top w:val="single" w:sz="4" w:space="0" w:color="auto"/>
              <w:bottom w:val="single" w:sz="4" w:space="0" w:color="auto"/>
            </w:tcBorders>
          </w:tcPr>
          <w:p w:rsidR="00ED3CC6" w:rsidRPr="00130A78" w:rsidRDefault="00ED3CC6" w:rsidP="00130A78">
            <w:pPr>
              <w:snapToGrid w:val="0"/>
              <w:spacing w:line="360" w:lineRule="auto"/>
              <w:jc w:val="center"/>
              <w:rPr>
                <w:rFonts w:ascii="Book Antiqua" w:eastAsia="宋体" w:hAnsi="Book Antiqua" w:cs="Times New Roman"/>
                <w:b/>
                <w:bCs/>
                <w:color w:val="000000"/>
                <w:lang w:eastAsia="zh-CN"/>
              </w:rPr>
            </w:pPr>
            <w:r w:rsidRPr="00130A78">
              <w:rPr>
                <w:rFonts w:ascii="Book Antiqua" w:hAnsi="Book Antiqua" w:cs="Book Antiqua"/>
                <w:b/>
                <w:bCs/>
                <w:color w:val="000000"/>
              </w:rPr>
              <w:t xml:space="preserve">Group B </w:t>
            </w:r>
          </w:p>
          <w:p w:rsidR="00ED3CC6" w:rsidRPr="00130A78" w:rsidRDefault="00ED3CC6" w:rsidP="00130A78">
            <w:pPr>
              <w:snapToGrid w:val="0"/>
              <w:spacing w:line="360" w:lineRule="auto"/>
              <w:jc w:val="center"/>
              <w:rPr>
                <w:rFonts w:ascii="Book Antiqua" w:hAnsi="Book Antiqua" w:cs="Book Antiqua"/>
                <w:b/>
                <w:bCs/>
                <w:color w:val="000000"/>
              </w:rPr>
            </w:pPr>
            <w:r w:rsidRPr="00130A78">
              <w:rPr>
                <w:rFonts w:ascii="Book Antiqua" w:hAnsi="Book Antiqua" w:cs="Book Antiqua"/>
                <w:b/>
                <w:bCs/>
                <w:color w:val="000000"/>
              </w:rPr>
              <w:t>(</w:t>
            </w:r>
            <w:r w:rsidRPr="00130A78">
              <w:rPr>
                <w:rFonts w:ascii="Book Antiqua" w:hAnsi="Book Antiqua" w:cs="Book Antiqua"/>
                <w:b/>
                <w:bCs/>
                <w:i/>
                <w:iCs/>
                <w:color w:val="000000"/>
              </w:rPr>
              <w:t>n</w:t>
            </w:r>
            <w:r w:rsidRPr="00130A78">
              <w:rPr>
                <w:rFonts w:ascii="Book Antiqua" w:hAnsi="Book Antiqua" w:cs="Book Antiqua"/>
                <w:b/>
                <w:bCs/>
                <w:color w:val="000000"/>
              </w:rPr>
              <w:t xml:space="preserve"> = 14)</w:t>
            </w:r>
          </w:p>
        </w:tc>
        <w:tc>
          <w:tcPr>
            <w:tcW w:w="1276" w:type="dxa"/>
            <w:tcBorders>
              <w:top w:val="single" w:sz="4" w:space="0" w:color="auto"/>
              <w:bottom w:val="single" w:sz="4" w:space="0" w:color="auto"/>
            </w:tcBorders>
          </w:tcPr>
          <w:p w:rsidR="00ED3CC6" w:rsidRPr="00874613" w:rsidRDefault="00ED3CC6" w:rsidP="00874613">
            <w:pPr>
              <w:snapToGrid w:val="0"/>
              <w:spacing w:line="360" w:lineRule="auto"/>
              <w:jc w:val="center"/>
              <w:rPr>
                <w:rFonts w:ascii="Book Antiqua" w:eastAsia="宋体" w:hAnsi="Book Antiqua" w:cs="Times New Roman"/>
                <w:b/>
                <w:bCs/>
                <w:color w:val="000000"/>
                <w:lang w:eastAsia="zh-CN"/>
              </w:rPr>
            </w:pPr>
            <w:r w:rsidRPr="00130A78">
              <w:rPr>
                <w:rFonts w:ascii="Book Antiqua" w:hAnsi="Book Antiqua" w:cs="Book Antiqua"/>
                <w:b/>
                <w:bCs/>
                <w:i/>
                <w:iCs/>
                <w:color w:val="000000"/>
              </w:rPr>
              <w:t>P</w:t>
            </w:r>
            <w:r w:rsidRPr="00130A78">
              <w:rPr>
                <w:rFonts w:ascii="Book Antiqua" w:hAnsi="Book Antiqua" w:cs="Book Antiqua"/>
                <w:b/>
                <w:bCs/>
                <w:color w:val="000000"/>
              </w:rPr>
              <w:t>-value</w:t>
            </w:r>
            <w:r w:rsidRPr="00874613">
              <w:rPr>
                <w:rFonts w:ascii="Book Antiqua" w:eastAsia="宋体" w:hAnsi="Book Antiqua" w:cs="Book Antiqua"/>
                <w:b/>
                <w:bCs/>
                <w:color w:val="000000"/>
                <w:vertAlign w:val="superscript"/>
                <w:lang w:eastAsia="zh-CN"/>
              </w:rPr>
              <w:t>1</w:t>
            </w:r>
          </w:p>
        </w:tc>
      </w:tr>
      <w:tr w:rsidR="00ED3CC6" w:rsidRPr="00874613">
        <w:tc>
          <w:tcPr>
            <w:tcW w:w="4077" w:type="dxa"/>
            <w:tcBorders>
              <w:top w:val="single" w:sz="4" w:space="0" w:color="auto"/>
            </w:tcBorders>
          </w:tcPr>
          <w:p w:rsidR="00ED3CC6" w:rsidRPr="00874613" w:rsidRDefault="00ED3CC6" w:rsidP="00130A78">
            <w:pPr>
              <w:snapToGrid w:val="0"/>
              <w:spacing w:line="360" w:lineRule="auto"/>
              <w:jc w:val="center"/>
              <w:rPr>
                <w:rFonts w:ascii="Book Antiqua" w:hAnsi="Book Antiqua" w:cs="Book Antiqua"/>
                <w:color w:val="000000"/>
              </w:rPr>
            </w:pPr>
            <w:r w:rsidRPr="00874613">
              <w:rPr>
                <w:rFonts w:ascii="Book Antiqua" w:eastAsia="宋体" w:hAnsi="Book Antiqua" w:cs="Book Antiqua"/>
                <w:color w:val="000000"/>
                <w:lang w:eastAsia="zh-CN"/>
              </w:rPr>
              <w:t>B</w:t>
            </w:r>
            <w:r w:rsidRPr="00874613">
              <w:rPr>
                <w:rFonts w:ascii="Book Antiqua" w:hAnsi="Book Antiqua" w:cs="Book Antiqua"/>
                <w:color w:val="000000"/>
              </w:rPr>
              <w:t>aseline data</w:t>
            </w:r>
          </w:p>
        </w:tc>
        <w:tc>
          <w:tcPr>
            <w:tcW w:w="1701" w:type="dxa"/>
            <w:tcBorders>
              <w:top w:val="single" w:sz="4" w:space="0" w:color="auto"/>
            </w:tcBorders>
          </w:tcPr>
          <w:p w:rsidR="00ED3CC6" w:rsidRPr="00874613" w:rsidRDefault="00ED3CC6" w:rsidP="00130A78">
            <w:pPr>
              <w:snapToGrid w:val="0"/>
              <w:spacing w:line="360" w:lineRule="auto"/>
              <w:jc w:val="center"/>
              <w:rPr>
                <w:rFonts w:ascii="Book Antiqua" w:hAnsi="Book Antiqua" w:cs="Book Antiqua"/>
                <w:color w:val="000000"/>
              </w:rPr>
            </w:pPr>
          </w:p>
        </w:tc>
        <w:tc>
          <w:tcPr>
            <w:tcW w:w="1701" w:type="dxa"/>
            <w:tcBorders>
              <w:top w:val="single" w:sz="4" w:space="0" w:color="auto"/>
            </w:tcBorders>
          </w:tcPr>
          <w:p w:rsidR="00ED3CC6" w:rsidRPr="00874613" w:rsidRDefault="00ED3CC6" w:rsidP="00130A78">
            <w:pPr>
              <w:snapToGrid w:val="0"/>
              <w:spacing w:line="360" w:lineRule="auto"/>
              <w:jc w:val="center"/>
              <w:rPr>
                <w:rFonts w:ascii="Book Antiqua" w:hAnsi="Book Antiqua" w:cs="Book Antiqua"/>
                <w:color w:val="000000"/>
              </w:rPr>
            </w:pPr>
          </w:p>
        </w:tc>
        <w:tc>
          <w:tcPr>
            <w:tcW w:w="1276" w:type="dxa"/>
            <w:tcBorders>
              <w:top w:val="single" w:sz="4" w:space="0" w:color="auto"/>
            </w:tcBorders>
          </w:tcPr>
          <w:p w:rsidR="00ED3CC6" w:rsidRPr="00874613" w:rsidRDefault="00ED3CC6" w:rsidP="00130A78">
            <w:pPr>
              <w:snapToGrid w:val="0"/>
              <w:spacing w:line="360" w:lineRule="auto"/>
              <w:jc w:val="center"/>
              <w:rPr>
                <w:rFonts w:ascii="Book Antiqua" w:hAnsi="Book Antiqua" w:cs="Book Antiqua"/>
                <w:color w:val="000000"/>
              </w:rPr>
            </w:pPr>
          </w:p>
        </w:tc>
      </w:tr>
      <w:tr w:rsidR="00ED3CC6" w:rsidRPr="00130A78">
        <w:tc>
          <w:tcPr>
            <w:tcW w:w="4077" w:type="dxa"/>
          </w:tcPr>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Age (yr)</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Sex (</w:t>
            </w:r>
            <w:r>
              <w:rPr>
                <w:rFonts w:ascii="Book Antiqua" w:eastAsia="宋体" w:hAnsi="Book Antiqua" w:cs="Book Antiqua"/>
                <w:color w:val="000000"/>
                <w:lang w:eastAsia="zh-CN"/>
              </w:rPr>
              <w:t>F</w:t>
            </w:r>
            <w:r w:rsidRPr="00130A78">
              <w:rPr>
                <w:rFonts w:ascii="Book Antiqua" w:hAnsi="Book Antiqua" w:cs="Book Antiqua"/>
                <w:color w:val="000000"/>
              </w:rPr>
              <w:t>)</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Body mass index</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Presence of heartburn or regurgitation</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Erosive esophagitis on EGD</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Reflux symptom index</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Reflux findings score</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Positive for LPR</w:t>
            </w:r>
          </w:p>
          <w:p w:rsidR="00ED3CC6" w:rsidRPr="00130A78" w:rsidRDefault="00ED3CC6" w:rsidP="00130A78">
            <w:pPr>
              <w:snapToGrid w:val="0"/>
              <w:spacing w:line="360" w:lineRule="auto"/>
              <w:jc w:val="center"/>
              <w:rPr>
                <w:rFonts w:ascii="Book Antiqua" w:hAnsi="Book Antiqua" w:cs="Book Antiqua"/>
                <w:b/>
                <w:bCs/>
                <w:i/>
                <w:iCs/>
                <w:color w:val="000000"/>
              </w:rPr>
            </w:pPr>
            <w:r w:rsidRPr="00130A78">
              <w:rPr>
                <w:rFonts w:ascii="Book Antiqua" w:hAnsi="Book Antiqua" w:cs="Book Antiqua"/>
                <w:color w:val="000000"/>
              </w:rPr>
              <w:t>Positive for pathologic GER</w:t>
            </w:r>
          </w:p>
        </w:tc>
        <w:tc>
          <w:tcPr>
            <w:tcW w:w="1701" w:type="dxa"/>
          </w:tcPr>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49.5 ± 13.2</w:t>
            </w:r>
          </w:p>
          <w:p w:rsidR="00ED3CC6" w:rsidRPr="00130A78" w:rsidRDefault="00ED3CC6" w:rsidP="00130A78">
            <w:pPr>
              <w:snapToGrid w:val="0"/>
              <w:spacing w:line="360" w:lineRule="auto"/>
              <w:jc w:val="center"/>
              <w:rPr>
                <w:rFonts w:ascii="Book Antiqua" w:hAnsi="Book Antiqua" w:cs="Book Antiqua"/>
                <w:color w:val="000000"/>
              </w:rPr>
            </w:pPr>
            <w:r>
              <w:rPr>
                <w:rFonts w:ascii="Book Antiqua" w:hAnsi="Book Antiqua" w:cs="Book Antiqua"/>
                <w:color w:val="000000"/>
              </w:rPr>
              <w:t>15 (41.7</w:t>
            </w:r>
            <w:r w:rsidRPr="00130A78">
              <w:rPr>
                <w:rFonts w:ascii="Book Antiqua" w:hAnsi="Book Antiqua" w:cs="Book Antiqua"/>
                <w:color w:val="000000"/>
              </w:rPr>
              <w:t>)</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22.8 ± 3.2</w:t>
            </w:r>
          </w:p>
          <w:p w:rsidR="00ED3CC6" w:rsidRPr="00130A78" w:rsidRDefault="00ED3CC6" w:rsidP="00130A78">
            <w:pPr>
              <w:snapToGrid w:val="0"/>
              <w:spacing w:line="360" w:lineRule="auto"/>
              <w:jc w:val="center"/>
              <w:rPr>
                <w:rFonts w:ascii="Book Antiqua" w:hAnsi="Book Antiqua" w:cs="Book Antiqua"/>
                <w:color w:val="000000"/>
              </w:rPr>
            </w:pPr>
            <w:r>
              <w:rPr>
                <w:rFonts w:ascii="Book Antiqua" w:hAnsi="Book Antiqua" w:cs="Book Antiqua"/>
                <w:color w:val="000000"/>
              </w:rPr>
              <w:t>13 (36.1</w:t>
            </w:r>
            <w:r w:rsidRPr="00130A78">
              <w:rPr>
                <w:rFonts w:ascii="Book Antiqua" w:hAnsi="Book Antiqua" w:cs="Book Antiqua"/>
                <w:color w:val="000000"/>
              </w:rPr>
              <w:t>)</w:t>
            </w:r>
          </w:p>
          <w:p w:rsidR="00ED3CC6" w:rsidRPr="00130A78" w:rsidRDefault="00ED3CC6" w:rsidP="00130A78">
            <w:pPr>
              <w:snapToGrid w:val="0"/>
              <w:spacing w:line="360" w:lineRule="auto"/>
              <w:jc w:val="center"/>
              <w:rPr>
                <w:rFonts w:ascii="Book Antiqua" w:hAnsi="Book Antiqua" w:cs="Book Antiqua"/>
                <w:color w:val="000000"/>
              </w:rPr>
            </w:pPr>
            <w:r>
              <w:rPr>
                <w:rFonts w:ascii="Book Antiqua" w:hAnsi="Book Antiqua" w:cs="Book Antiqua"/>
                <w:color w:val="000000"/>
              </w:rPr>
              <w:t>6 (16.7</w:t>
            </w:r>
            <w:r w:rsidRPr="00130A78">
              <w:rPr>
                <w:rFonts w:ascii="Book Antiqua" w:hAnsi="Book Antiqua" w:cs="Book Antiqua"/>
                <w:color w:val="000000"/>
              </w:rPr>
              <w:t>)</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15.9 ± 7.5</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8.1 ± 3.7</w:t>
            </w:r>
          </w:p>
          <w:p w:rsidR="00ED3CC6" w:rsidRPr="00130A78" w:rsidRDefault="00ED3CC6" w:rsidP="00130A78">
            <w:pPr>
              <w:snapToGrid w:val="0"/>
              <w:spacing w:line="360" w:lineRule="auto"/>
              <w:jc w:val="center"/>
              <w:rPr>
                <w:rFonts w:ascii="Book Antiqua" w:hAnsi="Book Antiqua" w:cs="Book Antiqua"/>
                <w:color w:val="000000"/>
              </w:rPr>
            </w:pPr>
            <w:r>
              <w:rPr>
                <w:rFonts w:ascii="Book Antiqua" w:hAnsi="Book Antiqua" w:cs="Book Antiqua"/>
                <w:color w:val="000000"/>
              </w:rPr>
              <w:t>12 (33.3</w:t>
            </w:r>
            <w:r w:rsidRPr="00130A78">
              <w:rPr>
                <w:rFonts w:ascii="Book Antiqua" w:hAnsi="Book Antiqua" w:cs="Book Antiqua"/>
                <w:color w:val="000000"/>
              </w:rPr>
              <w:t>)</w:t>
            </w:r>
          </w:p>
          <w:p w:rsidR="00ED3CC6" w:rsidRPr="00130A78" w:rsidRDefault="00ED3CC6" w:rsidP="00130A78">
            <w:pPr>
              <w:snapToGrid w:val="0"/>
              <w:spacing w:line="360" w:lineRule="auto"/>
              <w:jc w:val="center"/>
              <w:rPr>
                <w:rFonts w:ascii="Book Antiqua" w:hAnsi="Book Antiqua" w:cs="Book Antiqua"/>
                <w:color w:val="000000"/>
              </w:rPr>
            </w:pPr>
            <w:r>
              <w:rPr>
                <w:rFonts w:ascii="Book Antiqua" w:hAnsi="Book Antiqua" w:cs="Book Antiqua"/>
                <w:color w:val="000000"/>
              </w:rPr>
              <w:t>3 (8.3</w:t>
            </w:r>
            <w:r w:rsidRPr="00130A78">
              <w:rPr>
                <w:rFonts w:ascii="Book Antiqua" w:hAnsi="Book Antiqua" w:cs="Book Antiqua"/>
                <w:color w:val="000000"/>
              </w:rPr>
              <w:t>)</w:t>
            </w:r>
          </w:p>
        </w:tc>
        <w:tc>
          <w:tcPr>
            <w:tcW w:w="1701" w:type="dxa"/>
          </w:tcPr>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49.9 ± 11.0</w:t>
            </w:r>
          </w:p>
          <w:p w:rsidR="00ED3CC6" w:rsidRPr="00130A78" w:rsidRDefault="00ED3CC6" w:rsidP="00130A78">
            <w:pPr>
              <w:snapToGrid w:val="0"/>
              <w:spacing w:line="360" w:lineRule="auto"/>
              <w:jc w:val="center"/>
              <w:rPr>
                <w:rFonts w:ascii="Book Antiqua" w:hAnsi="Book Antiqua" w:cs="Book Antiqua"/>
                <w:color w:val="000000"/>
              </w:rPr>
            </w:pPr>
            <w:r>
              <w:rPr>
                <w:rFonts w:ascii="Book Antiqua" w:hAnsi="Book Antiqua" w:cs="Book Antiqua"/>
                <w:color w:val="000000"/>
              </w:rPr>
              <w:t>5 (35.7</w:t>
            </w:r>
            <w:r w:rsidRPr="00130A78">
              <w:rPr>
                <w:rFonts w:ascii="Book Antiqua" w:hAnsi="Book Antiqua" w:cs="Book Antiqua"/>
                <w:color w:val="000000"/>
              </w:rPr>
              <w:t>)</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23.3 ± 3.4</w:t>
            </w:r>
          </w:p>
          <w:p w:rsidR="00ED3CC6" w:rsidRPr="00130A78" w:rsidRDefault="00ED3CC6" w:rsidP="00130A78">
            <w:pPr>
              <w:snapToGrid w:val="0"/>
              <w:spacing w:line="360" w:lineRule="auto"/>
              <w:jc w:val="center"/>
              <w:rPr>
                <w:rFonts w:ascii="Book Antiqua" w:hAnsi="Book Antiqua" w:cs="Book Antiqua"/>
                <w:color w:val="000000"/>
              </w:rPr>
            </w:pPr>
            <w:r>
              <w:rPr>
                <w:rFonts w:ascii="Book Antiqua" w:hAnsi="Book Antiqua" w:cs="Book Antiqua"/>
                <w:color w:val="000000"/>
              </w:rPr>
              <w:t>7 (50</w:t>
            </w:r>
            <w:r w:rsidRPr="00130A78">
              <w:rPr>
                <w:rFonts w:ascii="Book Antiqua" w:hAnsi="Book Antiqua" w:cs="Book Antiqua"/>
                <w:color w:val="000000"/>
              </w:rPr>
              <w:t>)</w:t>
            </w:r>
          </w:p>
          <w:p w:rsidR="00ED3CC6" w:rsidRPr="00130A78" w:rsidRDefault="00ED3CC6" w:rsidP="00130A78">
            <w:pPr>
              <w:snapToGrid w:val="0"/>
              <w:spacing w:line="360" w:lineRule="auto"/>
              <w:jc w:val="center"/>
              <w:rPr>
                <w:rFonts w:ascii="Book Antiqua" w:hAnsi="Book Antiqua" w:cs="Book Antiqua"/>
                <w:color w:val="000000"/>
              </w:rPr>
            </w:pPr>
            <w:r>
              <w:rPr>
                <w:rFonts w:ascii="Book Antiqua" w:hAnsi="Book Antiqua" w:cs="Book Antiqua"/>
                <w:color w:val="000000"/>
              </w:rPr>
              <w:t>2 (14.3</w:t>
            </w:r>
            <w:r w:rsidRPr="00130A78">
              <w:rPr>
                <w:rFonts w:ascii="Book Antiqua" w:hAnsi="Book Antiqua" w:cs="Book Antiqua"/>
                <w:color w:val="000000"/>
              </w:rPr>
              <w:t>)</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16.8 ± 9.2</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6.4 ± 2.4</w:t>
            </w:r>
          </w:p>
          <w:p w:rsidR="00ED3CC6" w:rsidRPr="00130A78" w:rsidRDefault="00ED3CC6" w:rsidP="00130A78">
            <w:pPr>
              <w:snapToGrid w:val="0"/>
              <w:spacing w:line="360" w:lineRule="auto"/>
              <w:jc w:val="center"/>
              <w:rPr>
                <w:rFonts w:ascii="Book Antiqua" w:hAnsi="Book Antiqua" w:cs="Book Antiqua"/>
                <w:color w:val="000000"/>
              </w:rPr>
            </w:pPr>
            <w:r>
              <w:rPr>
                <w:rFonts w:ascii="Book Antiqua" w:hAnsi="Book Antiqua" w:cs="Book Antiqua"/>
                <w:color w:val="000000"/>
              </w:rPr>
              <w:t>5 (35.7</w:t>
            </w:r>
            <w:r w:rsidRPr="00130A78">
              <w:rPr>
                <w:rFonts w:ascii="Book Antiqua" w:hAnsi="Book Antiqua" w:cs="Book Antiqua"/>
                <w:color w:val="000000"/>
              </w:rPr>
              <w:t>)</w:t>
            </w:r>
          </w:p>
          <w:p w:rsidR="00ED3CC6" w:rsidRPr="00130A78" w:rsidRDefault="00ED3CC6" w:rsidP="00130A78">
            <w:pPr>
              <w:snapToGrid w:val="0"/>
              <w:spacing w:line="360" w:lineRule="auto"/>
              <w:jc w:val="center"/>
              <w:rPr>
                <w:rFonts w:ascii="Book Antiqua" w:hAnsi="Book Antiqua" w:cs="Book Antiqua"/>
                <w:color w:val="000000"/>
              </w:rPr>
            </w:pPr>
            <w:r>
              <w:rPr>
                <w:rFonts w:ascii="Book Antiqua" w:hAnsi="Book Antiqua" w:cs="Book Antiqua"/>
                <w:color w:val="000000"/>
              </w:rPr>
              <w:t>1 (7.1</w:t>
            </w:r>
            <w:r w:rsidRPr="00130A78">
              <w:rPr>
                <w:rFonts w:ascii="Book Antiqua" w:hAnsi="Book Antiqua" w:cs="Book Antiqua"/>
                <w:color w:val="000000"/>
              </w:rPr>
              <w:t>)</w:t>
            </w:r>
          </w:p>
        </w:tc>
        <w:tc>
          <w:tcPr>
            <w:tcW w:w="1276" w:type="dxa"/>
          </w:tcPr>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0.91</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0.70</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0.75</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0.37</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1</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0.62</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0.19</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0.87</w:t>
            </w:r>
          </w:p>
          <w:p w:rsidR="00ED3CC6" w:rsidRPr="00130A78" w:rsidRDefault="00ED3CC6" w:rsidP="00130A78">
            <w:pPr>
              <w:snapToGrid w:val="0"/>
              <w:spacing w:line="360" w:lineRule="auto"/>
              <w:jc w:val="center"/>
              <w:rPr>
                <w:rFonts w:ascii="Book Antiqua" w:hAnsi="Book Antiqua" w:cs="Book Antiqua"/>
                <w:color w:val="000000"/>
              </w:rPr>
            </w:pPr>
            <w:r w:rsidRPr="00130A78">
              <w:rPr>
                <w:rFonts w:ascii="Book Antiqua" w:hAnsi="Book Antiqua" w:cs="Book Antiqua"/>
                <w:color w:val="000000"/>
              </w:rPr>
              <w:t>1</w:t>
            </w:r>
          </w:p>
        </w:tc>
      </w:tr>
      <w:tr w:rsidR="00ED3CC6" w:rsidRPr="00874613">
        <w:tc>
          <w:tcPr>
            <w:tcW w:w="4077" w:type="dxa"/>
          </w:tcPr>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b/>
                <w:bCs/>
                <w:color w:val="000000"/>
              </w:rPr>
              <w:t>Data obtained during the first 4 h</w:t>
            </w:r>
          </w:p>
        </w:tc>
        <w:tc>
          <w:tcPr>
            <w:tcW w:w="1701" w:type="dxa"/>
          </w:tcPr>
          <w:p w:rsidR="00ED3CC6" w:rsidRPr="00874613" w:rsidRDefault="00ED3CC6" w:rsidP="008A453D">
            <w:pPr>
              <w:snapToGrid w:val="0"/>
              <w:spacing w:line="360" w:lineRule="auto"/>
              <w:jc w:val="center"/>
              <w:rPr>
                <w:rFonts w:ascii="Book Antiqua" w:hAnsi="Book Antiqua" w:cs="Book Antiqua"/>
                <w:color w:val="000000"/>
              </w:rPr>
            </w:pPr>
          </w:p>
        </w:tc>
        <w:tc>
          <w:tcPr>
            <w:tcW w:w="1701" w:type="dxa"/>
          </w:tcPr>
          <w:p w:rsidR="00ED3CC6" w:rsidRPr="00874613" w:rsidRDefault="00ED3CC6" w:rsidP="008A453D">
            <w:pPr>
              <w:snapToGrid w:val="0"/>
              <w:spacing w:line="360" w:lineRule="auto"/>
              <w:jc w:val="center"/>
              <w:rPr>
                <w:rFonts w:ascii="Book Antiqua" w:hAnsi="Book Antiqua" w:cs="Book Antiqua"/>
                <w:color w:val="000000"/>
              </w:rPr>
            </w:pPr>
          </w:p>
        </w:tc>
        <w:tc>
          <w:tcPr>
            <w:tcW w:w="1276" w:type="dxa"/>
          </w:tcPr>
          <w:p w:rsidR="00ED3CC6" w:rsidRPr="00874613" w:rsidRDefault="00ED3CC6" w:rsidP="008A453D">
            <w:pPr>
              <w:snapToGrid w:val="0"/>
              <w:spacing w:line="360" w:lineRule="auto"/>
              <w:jc w:val="center"/>
              <w:rPr>
                <w:rFonts w:ascii="Book Antiqua" w:hAnsi="Book Antiqua" w:cs="Book Antiqua"/>
                <w:color w:val="000000"/>
              </w:rPr>
            </w:pPr>
          </w:p>
        </w:tc>
      </w:tr>
      <w:tr w:rsidR="00ED3CC6" w:rsidRPr="00874613">
        <w:tc>
          <w:tcPr>
            <w:tcW w:w="4077" w:type="dxa"/>
            <w:tcBorders>
              <w:bottom w:val="single" w:sz="4" w:space="0" w:color="auto"/>
            </w:tcBorders>
          </w:tcPr>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Frequency of symptoms onset (episodes/h)</w:t>
            </w: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Pharyngeal probe</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Total time of pH &lt;</w:t>
            </w:r>
            <w:r>
              <w:rPr>
                <w:rFonts w:ascii="Book Antiqua" w:eastAsia="宋体" w:hAnsi="Book Antiqua" w:cs="Book Antiqua"/>
                <w:color w:val="000000"/>
                <w:lang w:eastAsia="zh-CN"/>
              </w:rPr>
              <w:t xml:space="preserve"> </w:t>
            </w:r>
            <w:r w:rsidRPr="00874613">
              <w:rPr>
                <w:rFonts w:ascii="Book Antiqua" w:hAnsi="Book Antiqua" w:cs="Book Antiqua"/>
                <w:color w:val="000000"/>
              </w:rPr>
              <w:t>4</w:t>
            </w:r>
            <w:r>
              <w:rPr>
                <w:rFonts w:ascii="Book Antiqua" w:eastAsia="宋体" w:hAnsi="Book Antiqua" w:cs="Book Antiqua"/>
                <w:color w:val="000000"/>
                <w:lang w:eastAsia="zh-CN"/>
              </w:rPr>
              <w:t xml:space="preserve"> </w:t>
            </w:r>
            <w:r w:rsidRPr="00874613">
              <w:rPr>
                <w:rFonts w:ascii="Book Antiqua" w:hAnsi="Book Antiqua" w:cs="Book Antiqua"/>
                <w:color w:val="000000"/>
              </w:rPr>
              <w:t>(%)</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Mean frequency of reflux (episodes/h)</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Patients with long reflux</w:t>
            </w: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Esophageal probe</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Total time of pH &lt;</w:t>
            </w:r>
            <w:r>
              <w:rPr>
                <w:rFonts w:ascii="Book Antiqua" w:eastAsia="宋体" w:hAnsi="Book Antiqua" w:cs="Book Antiqua"/>
                <w:color w:val="000000"/>
                <w:lang w:eastAsia="zh-CN"/>
              </w:rPr>
              <w:t xml:space="preserve"> </w:t>
            </w:r>
            <w:r w:rsidRPr="00874613">
              <w:rPr>
                <w:rFonts w:ascii="Book Antiqua" w:hAnsi="Book Antiqua" w:cs="Book Antiqua"/>
                <w:color w:val="000000"/>
              </w:rPr>
              <w:t>4</w:t>
            </w:r>
            <w:r>
              <w:rPr>
                <w:rFonts w:ascii="Book Antiqua" w:eastAsia="宋体" w:hAnsi="Book Antiqua" w:cs="Book Antiqua"/>
                <w:color w:val="000000"/>
                <w:lang w:eastAsia="zh-CN"/>
              </w:rPr>
              <w:t xml:space="preserve"> </w:t>
            </w:r>
            <w:r w:rsidRPr="00874613">
              <w:rPr>
                <w:rFonts w:ascii="Book Antiqua" w:hAnsi="Book Antiqua" w:cs="Book Antiqua"/>
                <w:color w:val="000000"/>
              </w:rPr>
              <w:t>(%)</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 xml:space="preserve">Mean frequency of reflux </w:t>
            </w:r>
            <w:r w:rsidRPr="00874613">
              <w:rPr>
                <w:rFonts w:ascii="Book Antiqua" w:hAnsi="Book Antiqua" w:cs="Book Antiqua"/>
                <w:color w:val="000000"/>
              </w:rPr>
              <w:lastRenderedPageBreak/>
              <w:t>(episodes/h)</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Patients with long reflux</w:t>
            </w:r>
          </w:p>
        </w:tc>
        <w:tc>
          <w:tcPr>
            <w:tcW w:w="1701" w:type="dxa"/>
            <w:tcBorders>
              <w:bottom w:val="single" w:sz="4" w:space="0" w:color="auto"/>
            </w:tcBorders>
          </w:tcPr>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lastRenderedPageBreak/>
              <w:t>0.04 ± 0.1</w:t>
            </w:r>
          </w:p>
          <w:p w:rsidR="00ED3CC6" w:rsidRPr="00874613" w:rsidRDefault="00ED3CC6" w:rsidP="008A453D">
            <w:pPr>
              <w:snapToGrid w:val="0"/>
              <w:spacing w:line="360" w:lineRule="auto"/>
              <w:jc w:val="center"/>
              <w:rPr>
                <w:rFonts w:ascii="Book Antiqua" w:hAnsi="Book Antiqua" w:cs="Book Antiqua"/>
                <w:color w:val="000000"/>
              </w:rPr>
            </w:pP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0.03 ± 0.10</w:t>
            </w: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0.07 ± 0.23</w:t>
            </w: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w:t>
            </w:r>
          </w:p>
          <w:p w:rsidR="00ED3CC6" w:rsidRPr="00874613" w:rsidRDefault="00ED3CC6" w:rsidP="008A453D">
            <w:pPr>
              <w:snapToGrid w:val="0"/>
              <w:spacing w:line="360" w:lineRule="auto"/>
              <w:jc w:val="center"/>
              <w:rPr>
                <w:rFonts w:ascii="Book Antiqua" w:hAnsi="Book Antiqua" w:cs="Book Antiqua"/>
                <w:color w:val="000000"/>
              </w:rPr>
            </w:pP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0.96 ± 1.89</w:t>
            </w: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0.74 ± 1.51</w:t>
            </w:r>
          </w:p>
          <w:p w:rsidR="00ED3CC6" w:rsidRPr="00874613" w:rsidRDefault="00ED3CC6" w:rsidP="008A453D">
            <w:pPr>
              <w:snapToGrid w:val="0"/>
              <w:spacing w:line="360" w:lineRule="auto"/>
              <w:jc w:val="center"/>
              <w:rPr>
                <w:rFonts w:ascii="Book Antiqua" w:hAnsi="Book Antiqua" w:cs="Book Antiqua"/>
                <w:color w:val="000000"/>
              </w:rPr>
            </w:pPr>
            <w:r>
              <w:rPr>
                <w:rFonts w:ascii="Book Antiqua" w:hAnsi="Book Antiqua" w:cs="Book Antiqua"/>
                <w:color w:val="000000"/>
              </w:rPr>
              <w:t>1 (2.8</w:t>
            </w:r>
            <w:r w:rsidRPr="00874613">
              <w:rPr>
                <w:rFonts w:ascii="Book Antiqua" w:hAnsi="Book Antiqua" w:cs="Book Antiqua"/>
                <w:color w:val="000000"/>
              </w:rPr>
              <w:t>)</w:t>
            </w:r>
          </w:p>
        </w:tc>
        <w:tc>
          <w:tcPr>
            <w:tcW w:w="1701" w:type="dxa"/>
            <w:tcBorders>
              <w:bottom w:val="single" w:sz="4" w:space="0" w:color="auto"/>
            </w:tcBorders>
          </w:tcPr>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0.14 ± 0.22</w:t>
            </w:r>
          </w:p>
          <w:p w:rsidR="00ED3CC6" w:rsidRPr="00874613" w:rsidRDefault="00ED3CC6" w:rsidP="008A453D">
            <w:pPr>
              <w:snapToGrid w:val="0"/>
              <w:spacing w:line="360" w:lineRule="auto"/>
              <w:jc w:val="center"/>
              <w:rPr>
                <w:rFonts w:ascii="Book Antiqua" w:hAnsi="Book Antiqua" w:cs="Book Antiqua"/>
                <w:color w:val="000000"/>
              </w:rPr>
            </w:pP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0.07 ± 0.16</w:t>
            </w: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0.18 ± 0.47</w:t>
            </w: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w:t>
            </w:r>
          </w:p>
          <w:p w:rsidR="00ED3CC6" w:rsidRPr="00874613" w:rsidRDefault="00ED3CC6" w:rsidP="008A453D">
            <w:pPr>
              <w:snapToGrid w:val="0"/>
              <w:spacing w:line="360" w:lineRule="auto"/>
              <w:jc w:val="center"/>
              <w:rPr>
                <w:rFonts w:ascii="Book Antiqua" w:hAnsi="Book Antiqua" w:cs="Book Antiqua"/>
                <w:color w:val="000000"/>
              </w:rPr>
            </w:pP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0.42 ± 0.81</w:t>
            </w: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0.63 ± 0.97</w:t>
            </w: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w:t>
            </w:r>
          </w:p>
        </w:tc>
        <w:tc>
          <w:tcPr>
            <w:tcW w:w="1276" w:type="dxa"/>
            <w:tcBorders>
              <w:bottom w:val="single" w:sz="4" w:space="0" w:color="auto"/>
            </w:tcBorders>
          </w:tcPr>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0.08</w:t>
            </w:r>
          </w:p>
          <w:p w:rsidR="00ED3CC6" w:rsidRPr="00874613" w:rsidRDefault="00ED3CC6" w:rsidP="008A453D">
            <w:pPr>
              <w:snapToGrid w:val="0"/>
              <w:spacing w:line="360" w:lineRule="auto"/>
              <w:jc w:val="center"/>
              <w:rPr>
                <w:rFonts w:ascii="Book Antiqua" w:hAnsi="Book Antiqua" w:cs="Book Antiqua"/>
                <w:color w:val="000000"/>
              </w:rPr>
            </w:pP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0.32</w:t>
            </w: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0.33</w:t>
            </w: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1</w:t>
            </w:r>
          </w:p>
          <w:p w:rsidR="00ED3CC6" w:rsidRPr="00874613" w:rsidRDefault="00ED3CC6" w:rsidP="008A453D">
            <w:pPr>
              <w:snapToGrid w:val="0"/>
              <w:spacing w:line="360" w:lineRule="auto"/>
              <w:jc w:val="center"/>
              <w:rPr>
                <w:rFonts w:ascii="Book Antiqua" w:hAnsi="Book Antiqua" w:cs="Book Antiqua"/>
                <w:color w:val="000000"/>
              </w:rPr>
            </w:pP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0.59</w:t>
            </w: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0.49</w:t>
            </w:r>
          </w:p>
          <w:p w:rsidR="00ED3CC6" w:rsidRPr="00874613" w:rsidRDefault="00ED3CC6" w:rsidP="008A453D">
            <w:pPr>
              <w:snapToGrid w:val="0"/>
              <w:spacing w:line="360" w:lineRule="auto"/>
              <w:jc w:val="center"/>
              <w:rPr>
                <w:rFonts w:ascii="Book Antiqua" w:hAnsi="Book Antiqua" w:cs="Book Antiqua"/>
                <w:color w:val="000000"/>
              </w:rPr>
            </w:pPr>
            <w:r w:rsidRPr="00874613">
              <w:rPr>
                <w:rFonts w:ascii="Book Antiqua" w:hAnsi="Book Antiqua" w:cs="Book Antiqua"/>
                <w:color w:val="000000"/>
              </w:rPr>
              <w:t>1</w:t>
            </w:r>
          </w:p>
        </w:tc>
      </w:tr>
    </w:tbl>
    <w:p w:rsidR="00ED3CC6" w:rsidRPr="00874613" w:rsidRDefault="00ED3CC6" w:rsidP="00874613">
      <w:pPr>
        <w:spacing w:line="360" w:lineRule="auto"/>
        <w:rPr>
          <w:rFonts w:ascii="Book Antiqua" w:hAnsi="Book Antiqua" w:cs="Book Antiqua"/>
        </w:rPr>
      </w:pPr>
      <w:r w:rsidRPr="003635E2">
        <w:rPr>
          <w:rFonts w:ascii="Book Antiqua" w:hAnsi="Book Antiqua" w:cs="Book Antiqua"/>
        </w:rPr>
        <w:lastRenderedPageBreak/>
        <w:t>Data are expressed as absolute numbers (percentage) or me</w:t>
      </w:r>
      <w:r>
        <w:rPr>
          <w:rFonts w:ascii="Book Antiqua" w:eastAsia="宋体" w:hAnsi="Book Antiqua" w:cs="Book Antiqua"/>
          <w:lang w:eastAsia="zh-CN"/>
        </w:rPr>
        <w:t>an ± SD</w:t>
      </w:r>
      <w:r w:rsidRPr="003635E2">
        <w:rPr>
          <w:rFonts w:ascii="Book Antiqua" w:hAnsi="Book Antiqua" w:cs="Book Antiqua"/>
        </w:rPr>
        <w:t>.</w:t>
      </w:r>
      <w:r>
        <w:rPr>
          <w:rFonts w:ascii="Book Antiqua" w:eastAsia="宋体" w:hAnsi="Book Antiqua" w:cs="Book Antiqua"/>
          <w:color w:val="000000"/>
          <w:vertAlign w:val="superscript"/>
          <w:lang w:eastAsia="zh-CN"/>
        </w:rPr>
        <w:t>1</w:t>
      </w:r>
      <w:r w:rsidRPr="00130A78">
        <w:rPr>
          <w:rFonts w:ascii="Book Antiqua" w:hAnsi="Book Antiqua" w:cs="Book Antiqua"/>
          <w:color w:val="000000"/>
        </w:rPr>
        <w:t xml:space="preserve">Statistical significance was defined as a </w:t>
      </w:r>
      <w:r w:rsidRPr="00130A78">
        <w:rPr>
          <w:rFonts w:ascii="Book Antiqua" w:hAnsi="Book Antiqua" w:cs="Book Antiqua"/>
          <w:i/>
          <w:iCs/>
          <w:color w:val="000000"/>
        </w:rPr>
        <w:t>P</w:t>
      </w:r>
      <w:r w:rsidRPr="00130A78">
        <w:rPr>
          <w:rFonts w:ascii="Book Antiqua" w:hAnsi="Book Antiqua" w:cs="Book Antiqua"/>
          <w:color w:val="000000"/>
        </w:rPr>
        <w:t xml:space="preserve"> &lt;</w:t>
      </w:r>
      <w:r>
        <w:rPr>
          <w:rFonts w:ascii="Book Antiqua" w:eastAsia="宋体" w:hAnsi="Book Antiqua" w:cs="Book Antiqua"/>
          <w:color w:val="000000"/>
          <w:lang w:eastAsia="zh-CN"/>
        </w:rPr>
        <w:t xml:space="preserve"> </w:t>
      </w:r>
      <w:r w:rsidRPr="00130A78">
        <w:rPr>
          <w:rFonts w:ascii="Book Antiqua" w:hAnsi="Book Antiqua" w:cs="Book Antiqua"/>
          <w:color w:val="000000"/>
        </w:rPr>
        <w:t>0.05.</w:t>
      </w:r>
      <w:r>
        <w:rPr>
          <w:rFonts w:ascii="Book Antiqua" w:eastAsia="宋体" w:hAnsi="Book Antiqua" w:cs="Book Antiqua"/>
          <w:lang w:eastAsia="zh-CN"/>
        </w:rPr>
        <w:t xml:space="preserve"> </w:t>
      </w:r>
      <w:r w:rsidRPr="00130A78">
        <w:rPr>
          <w:rFonts w:ascii="Book Antiqua" w:hAnsi="Book Antiqua" w:cs="Book Antiqua"/>
          <w:color w:val="000000"/>
        </w:rPr>
        <w:t>EGD: Esophagogastroduodenoscopy; LPR: Laryngopharyngeal reflux; GER: Gastroesophageal reflux</w:t>
      </w:r>
      <w:r>
        <w:rPr>
          <w:rFonts w:ascii="Book Antiqua" w:eastAsia="宋体" w:hAnsi="Book Antiqua" w:cs="Book Antiqua"/>
          <w:color w:val="000000"/>
          <w:lang w:eastAsia="zh-CN"/>
        </w:rPr>
        <w:t>.</w:t>
      </w:r>
    </w:p>
    <w:p w:rsidR="00ED3CC6" w:rsidRPr="00130A78" w:rsidRDefault="00ED3CC6" w:rsidP="000B416C">
      <w:pPr>
        <w:snapToGrid w:val="0"/>
        <w:spacing w:line="360" w:lineRule="auto"/>
        <w:jc w:val="both"/>
        <w:rPr>
          <w:rFonts w:ascii="Book Antiqua" w:hAnsi="Book Antiqua" w:cs="Book Antiqua"/>
        </w:rPr>
      </w:pPr>
    </w:p>
    <w:p w:rsidR="00ED3CC6" w:rsidRPr="00874613" w:rsidRDefault="00ED3CC6" w:rsidP="000B416C">
      <w:pPr>
        <w:snapToGrid w:val="0"/>
        <w:spacing w:line="360" w:lineRule="auto"/>
        <w:jc w:val="both"/>
        <w:rPr>
          <w:rFonts w:ascii="Book Antiqua" w:eastAsia="宋体" w:hAnsi="Book Antiqua" w:cs="Times New Roman"/>
          <w:lang w:eastAsia="zh-CN"/>
        </w:rPr>
      </w:pPr>
    </w:p>
    <w:p w:rsidR="00ED3CC6" w:rsidRPr="00874613" w:rsidRDefault="00ED3CC6" w:rsidP="000B416C">
      <w:pPr>
        <w:snapToGrid w:val="0"/>
        <w:spacing w:line="360" w:lineRule="auto"/>
        <w:jc w:val="both"/>
        <w:rPr>
          <w:rFonts w:ascii="Book Antiqua" w:hAnsi="Book Antiqua" w:cs="Book Antiqua"/>
          <w:b/>
          <w:bCs/>
          <w:color w:val="000000"/>
        </w:rPr>
      </w:pPr>
      <w:r w:rsidRPr="00874613">
        <w:rPr>
          <w:rFonts w:ascii="Book Antiqua" w:hAnsi="Book Antiqua" w:cs="Book Antiqua"/>
          <w:b/>
          <w:bCs/>
          <w:color w:val="000000"/>
        </w:rPr>
        <w:t xml:space="preserve">Table </w:t>
      </w:r>
      <w:r w:rsidRPr="00874613">
        <w:rPr>
          <w:rFonts w:ascii="Book Antiqua" w:eastAsia="宋体" w:hAnsi="Book Antiqua" w:cs="Book Antiqua"/>
          <w:b/>
          <w:bCs/>
          <w:color w:val="000000"/>
          <w:lang w:eastAsia="zh-CN"/>
        </w:rPr>
        <w:t xml:space="preserve">2 </w:t>
      </w:r>
      <w:r w:rsidRPr="00874613">
        <w:rPr>
          <w:rFonts w:ascii="Book Antiqua" w:hAnsi="Book Antiqua" w:cs="Book Antiqua"/>
          <w:b/>
          <w:bCs/>
          <w:color w:val="000000"/>
        </w:rPr>
        <w:t xml:space="preserve">Comparisons between period I and period II in Group A patients </w:t>
      </w:r>
    </w:p>
    <w:tbl>
      <w:tblPr>
        <w:tblW w:w="9214" w:type="dxa"/>
        <w:tblInd w:w="2" w:type="dxa"/>
        <w:tblLayout w:type="fixed"/>
        <w:tblLook w:val="00A0" w:firstRow="1" w:lastRow="0" w:firstColumn="1" w:lastColumn="0" w:noHBand="0" w:noVBand="0"/>
      </w:tblPr>
      <w:tblGrid>
        <w:gridCol w:w="4111"/>
        <w:gridCol w:w="1843"/>
        <w:gridCol w:w="1701"/>
        <w:gridCol w:w="1559"/>
      </w:tblGrid>
      <w:tr w:rsidR="00ED3CC6" w:rsidRPr="00874613">
        <w:tc>
          <w:tcPr>
            <w:tcW w:w="4111" w:type="dxa"/>
            <w:tcBorders>
              <w:top w:val="single" w:sz="4" w:space="0" w:color="auto"/>
              <w:bottom w:val="single" w:sz="4" w:space="0" w:color="auto"/>
            </w:tcBorders>
          </w:tcPr>
          <w:p w:rsidR="00ED3CC6" w:rsidRPr="00874613" w:rsidRDefault="00ED3CC6" w:rsidP="00874613">
            <w:pPr>
              <w:snapToGrid w:val="0"/>
              <w:spacing w:line="360" w:lineRule="auto"/>
              <w:jc w:val="center"/>
              <w:rPr>
                <w:rFonts w:ascii="Book Antiqua" w:hAnsi="Book Antiqua" w:cs="Book Antiqua"/>
                <w:b/>
                <w:bCs/>
                <w:color w:val="000000"/>
              </w:rPr>
            </w:pPr>
            <w:r w:rsidRPr="00874613">
              <w:rPr>
                <w:rFonts w:ascii="Book Antiqua" w:hAnsi="Book Antiqua" w:cs="Book Antiqua"/>
                <w:b/>
                <w:bCs/>
                <w:color w:val="000000"/>
              </w:rPr>
              <w:t>Variables</w:t>
            </w:r>
          </w:p>
        </w:tc>
        <w:tc>
          <w:tcPr>
            <w:tcW w:w="1843" w:type="dxa"/>
            <w:tcBorders>
              <w:top w:val="single" w:sz="4" w:space="0" w:color="auto"/>
              <w:bottom w:val="single" w:sz="4" w:space="0" w:color="auto"/>
            </w:tcBorders>
          </w:tcPr>
          <w:p w:rsidR="00ED3CC6" w:rsidRPr="00874613" w:rsidRDefault="00ED3CC6" w:rsidP="00874613">
            <w:pPr>
              <w:snapToGrid w:val="0"/>
              <w:spacing w:line="360" w:lineRule="auto"/>
              <w:jc w:val="center"/>
              <w:rPr>
                <w:rFonts w:ascii="Book Antiqua" w:hAnsi="Book Antiqua" w:cs="Book Antiqua"/>
                <w:b/>
                <w:bCs/>
                <w:color w:val="000000"/>
              </w:rPr>
            </w:pPr>
            <w:r w:rsidRPr="00874613">
              <w:rPr>
                <w:rFonts w:ascii="Book Antiqua" w:hAnsi="Book Antiqua" w:cs="Book Antiqua"/>
                <w:b/>
                <w:bCs/>
                <w:color w:val="000000"/>
              </w:rPr>
              <w:t>Period I</w:t>
            </w:r>
          </w:p>
        </w:tc>
        <w:tc>
          <w:tcPr>
            <w:tcW w:w="1701" w:type="dxa"/>
            <w:tcBorders>
              <w:top w:val="single" w:sz="4" w:space="0" w:color="auto"/>
              <w:bottom w:val="single" w:sz="4" w:space="0" w:color="auto"/>
            </w:tcBorders>
          </w:tcPr>
          <w:p w:rsidR="00ED3CC6" w:rsidRPr="00874613" w:rsidRDefault="00ED3CC6" w:rsidP="00874613">
            <w:pPr>
              <w:snapToGrid w:val="0"/>
              <w:spacing w:line="360" w:lineRule="auto"/>
              <w:jc w:val="center"/>
              <w:rPr>
                <w:rFonts w:ascii="Book Antiqua" w:hAnsi="Book Antiqua" w:cs="Book Antiqua"/>
                <w:b/>
                <w:bCs/>
                <w:color w:val="000000"/>
              </w:rPr>
            </w:pPr>
            <w:r w:rsidRPr="00874613">
              <w:rPr>
                <w:rFonts w:ascii="Book Antiqua" w:hAnsi="Book Antiqua" w:cs="Book Antiqua"/>
                <w:b/>
                <w:bCs/>
                <w:color w:val="000000"/>
              </w:rPr>
              <w:t>Period II</w:t>
            </w:r>
          </w:p>
        </w:tc>
        <w:tc>
          <w:tcPr>
            <w:tcW w:w="1559" w:type="dxa"/>
            <w:tcBorders>
              <w:top w:val="single" w:sz="4" w:space="0" w:color="auto"/>
              <w:bottom w:val="single" w:sz="4" w:space="0" w:color="auto"/>
            </w:tcBorders>
          </w:tcPr>
          <w:p w:rsidR="00ED3CC6" w:rsidRPr="00874613" w:rsidRDefault="00ED3CC6" w:rsidP="00874613">
            <w:pPr>
              <w:snapToGrid w:val="0"/>
              <w:spacing w:line="360" w:lineRule="auto"/>
              <w:jc w:val="center"/>
              <w:rPr>
                <w:rFonts w:ascii="Book Antiqua" w:eastAsia="宋体" w:hAnsi="Book Antiqua" w:cs="Times New Roman"/>
                <w:b/>
                <w:bCs/>
                <w:color w:val="000000"/>
                <w:lang w:eastAsia="zh-CN"/>
              </w:rPr>
            </w:pPr>
            <w:r w:rsidRPr="00874613">
              <w:rPr>
                <w:rFonts w:ascii="Book Antiqua" w:hAnsi="Book Antiqua" w:cs="Book Antiqua"/>
                <w:b/>
                <w:bCs/>
                <w:i/>
                <w:iCs/>
                <w:color w:val="000000"/>
              </w:rPr>
              <w:t>P</w:t>
            </w:r>
            <w:r w:rsidRPr="00874613">
              <w:rPr>
                <w:rFonts w:ascii="Book Antiqua" w:hAnsi="Book Antiqua" w:cs="Book Antiqua"/>
                <w:b/>
                <w:bCs/>
                <w:color w:val="000000"/>
              </w:rPr>
              <w:t>-value</w:t>
            </w:r>
            <w:r>
              <w:rPr>
                <w:rFonts w:ascii="Book Antiqua" w:eastAsia="宋体" w:hAnsi="Book Antiqua" w:cs="Book Antiqua"/>
                <w:b/>
                <w:bCs/>
                <w:color w:val="000000"/>
                <w:vertAlign w:val="superscript"/>
                <w:lang w:eastAsia="zh-CN"/>
              </w:rPr>
              <w:t>1</w:t>
            </w:r>
          </w:p>
        </w:tc>
      </w:tr>
      <w:tr w:rsidR="00ED3CC6" w:rsidRPr="00874613">
        <w:trPr>
          <w:trHeight w:val="378"/>
        </w:trPr>
        <w:tc>
          <w:tcPr>
            <w:tcW w:w="4111" w:type="dxa"/>
            <w:tcBorders>
              <w:top w:val="single" w:sz="4" w:space="0" w:color="auto"/>
            </w:tcBorders>
          </w:tcPr>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Frequency of symptom (episodes/h)</w:t>
            </w:r>
          </w:p>
        </w:tc>
        <w:tc>
          <w:tcPr>
            <w:tcW w:w="1843" w:type="dxa"/>
            <w:tcBorders>
              <w:top w:val="single" w:sz="4" w:space="0" w:color="auto"/>
            </w:tcBorders>
          </w:tcPr>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0.04 ± 0.10</w:t>
            </w:r>
          </w:p>
        </w:tc>
        <w:tc>
          <w:tcPr>
            <w:tcW w:w="1701" w:type="dxa"/>
            <w:tcBorders>
              <w:top w:val="single" w:sz="4" w:space="0" w:color="auto"/>
            </w:tcBorders>
          </w:tcPr>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0.03 ± 0.06</w:t>
            </w:r>
          </w:p>
        </w:tc>
        <w:tc>
          <w:tcPr>
            <w:tcW w:w="1559" w:type="dxa"/>
            <w:tcBorders>
              <w:top w:val="single" w:sz="4" w:space="0" w:color="auto"/>
            </w:tcBorders>
          </w:tcPr>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0.29</w:t>
            </w:r>
          </w:p>
        </w:tc>
      </w:tr>
      <w:tr w:rsidR="00ED3CC6" w:rsidRPr="00874613">
        <w:trPr>
          <w:trHeight w:val="1426"/>
        </w:trPr>
        <w:tc>
          <w:tcPr>
            <w:tcW w:w="4111" w:type="dxa"/>
          </w:tcPr>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Pharyngeal probe</w:t>
            </w:r>
          </w:p>
          <w:p w:rsidR="00ED3CC6" w:rsidRPr="00874613" w:rsidRDefault="00ED3CC6" w:rsidP="009425D4">
            <w:pPr>
              <w:snapToGrid w:val="0"/>
              <w:spacing w:line="360" w:lineRule="auto"/>
              <w:ind w:firstLineChars="100" w:firstLine="240"/>
              <w:jc w:val="center"/>
              <w:rPr>
                <w:rFonts w:ascii="Book Antiqua" w:hAnsi="Book Antiqua" w:cs="Book Antiqua"/>
                <w:color w:val="000000"/>
              </w:rPr>
            </w:pPr>
            <w:r w:rsidRPr="00874613">
              <w:rPr>
                <w:rFonts w:ascii="Book Antiqua" w:hAnsi="Book Antiqua" w:cs="Book Antiqua"/>
                <w:color w:val="000000"/>
              </w:rPr>
              <w:t>Total time of</w:t>
            </w:r>
            <w:r w:rsidRPr="00874613">
              <w:rPr>
                <w:rFonts w:ascii="Book Antiqua" w:hAnsi="Book Antiqua" w:cs="Book Antiqua"/>
                <w:b/>
                <w:bCs/>
                <w:i/>
                <w:iCs/>
                <w:color w:val="000000"/>
              </w:rPr>
              <w:t xml:space="preserve"> </w:t>
            </w:r>
            <w:r w:rsidRPr="00874613">
              <w:rPr>
                <w:rFonts w:ascii="Book Antiqua" w:hAnsi="Book Antiqua" w:cs="Book Antiqua"/>
                <w:color w:val="000000"/>
              </w:rPr>
              <w:t>pH &lt;</w:t>
            </w:r>
            <w:r>
              <w:rPr>
                <w:rFonts w:ascii="Book Antiqua" w:eastAsia="宋体" w:hAnsi="Book Antiqua" w:cs="Book Antiqua"/>
                <w:color w:val="000000"/>
                <w:lang w:eastAsia="zh-CN"/>
              </w:rPr>
              <w:t xml:space="preserve"> </w:t>
            </w:r>
            <w:r w:rsidRPr="00874613">
              <w:rPr>
                <w:rFonts w:ascii="Book Antiqua" w:hAnsi="Book Antiqua" w:cs="Book Antiqua"/>
                <w:color w:val="000000"/>
              </w:rPr>
              <w:t>4 (%)</w:t>
            </w:r>
          </w:p>
          <w:p w:rsidR="00ED3CC6" w:rsidRPr="00874613" w:rsidRDefault="00ED3CC6" w:rsidP="009425D4">
            <w:pPr>
              <w:snapToGrid w:val="0"/>
              <w:spacing w:line="360" w:lineRule="auto"/>
              <w:ind w:firstLineChars="100" w:firstLine="240"/>
              <w:jc w:val="center"/>
              <w:rPr>
                <w:rFonts w:ascii="Book Antiqua" w:hAnsi="Book Antiqua" w:cs="Book Antiqua"/>
                <w:color w:val="000000"/>
              </w:rPr>
            </w:pPr>
            <w:r w:rsidRPr="00874613">
              <w:rPr>
                <w:rFonts w:ascii="Book Antiqua" w:hAnsi="Book Antiqua" w:cs="Book Antiqua"/>
                <w:color w:val="000000"/>
              </w:rPr>
              <w:t>Mean frequency of reflux (episodes/h)</w:t>
            </w:r>
          </w:p>
          <w:p w:rsidR="00ED3CC6" w:rsidRPr="00874613" w:rsidRDefault="00ED3CC6" w:rsidP="009425D4">
            <w:pPr>
              <w:snapToGrid w:val="0"/>
              <w:spacing w:line="360" w:lineRule="auto"/>
              <w:ind w:firstLineChars="100" w:firstLine="240"/>
              <w:jc w:val="center"/>
              <w:rPr>
                <w:rFonts w:ascii="Book Antiqua" w:hAnsi="Book Antiqua" w:cs="Book Antiqua"/>
                <w:color w:val="000000"/>
              </w:rPr>
            </w:pPr>
            <w:r w:rsidRPr="00874613">
              <w:rPr>
                <w:rFonts w:ascii="Book Antiqua" w:hAnsi="Book Antiqua" w:cs="Book Antiqua"/>
                <w:color w:val="000000"/>
              </w:rPr>
              <w:t>Patients with long reflux</w:t>
            </w:r>
          </w:p>
        </w:tc>
        <w:tc>
          <w:tcPr>
            <w:tcW w:w="1843" w:type="dxa"/>
          </w:tcPr>
          <w:p w:rsidR="00ED3CC6" w:rsidRPr="00874613" w:rsidRDefault="00ED3CC6" w:rsidP="00874613">
            <w:pPr>
              <w:snapToGrid w:val="0"/>
              <w:spacing w:line="360" w:lineRule="auto"/>
              <w:jc w:val="center"/>
              <w:rPr>
                <w:rFonts w:ascii="Book Antiqua" w:hAnsi="Book Antiqua" w:cs="Book Antiqua"/>
                <w:color w:val="000000"/>
              </w:rPr>
            </w:pP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0.03 ± 0.10</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0.07 ± 0.23</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w:t>
            </w:r>
          </w:p>
        </w:tc>
        <w:tc>
          <w:tcPr>
            <w:tcW w:w="1701" w:type="dxa"/>
          </w:tcPr>
          <w:p w:rsidR="00ED3CC6" w:rsidRPr="00874613" w:rsidRDefault="00ED3CC6" w:rsidP="00874613">
            <w:pPr>
              <w:snapToGrid w:val="0"/>
              <w:spacing w:line="360" w:lineRule="auto"/>
              <w:jc w:val="center"/>
              <w:rPr>
                <w:rFonts w:ascii="Book Antiqua" w:hAnsi="Book Antiqua" w:cs="Book Antiqua"/>
                <w:color w:val="000000"/>
              </w:rPr>
            </w:pP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0.23 ± 0.85</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0.29 ± 0.98</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w:t>
            </w:r>
          </w:p>
        </w:tc>
        <w:tc>
          <w:tcPr>
            <w:tcW w:w="1559" w:type="dxa"/>
          </w:tcPr>
          <w:p w:rsidR="00ED3CC6" w:rsidRPr="00874613" w:rsidRDefault="00ED3CC6" w:rsidP="00874613">
            <w:pPr>
              <w:snapToGrid w:val="0"/>
              <w:spacing w:line="360" w:lineRule="auto"/>
              <w:jc w:val="center"/>
              <w:rPr>
                <w:rFonts w:ascii="Book Antiqua" w:hAnsi="Book Antiqua" w:cs="Book Antiqua"/>
                <w:color w:val="000000"/>
              </w:rPr>
            </w:pP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0.21</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0.22</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1</w:t>
            </w:r>
          </w:p>
        </w:tc>
      </w:tr>
      <w:tr w:rsidR="00ED3CC6" w:rsidRPr="00874613">
        <w:tc>
          <w:tcPr>
            <w:tcW w:w="4111" w:type="dxa"/>
            <w:tcBorders>
              <w:bottom w:val="single" w:sz="4" w:space="0" w:color="auto"/>
            </w:tcBorders>
          </w:tcPr>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Esophageal probe</w:t>
            </w:r>
          </w:p>
          <w:p w:rsidR="00ED3CC6" w:rsidRPr="00874613" w:rsidRDefault="00ED3CC6" w:rsidP="009425D4">
            <w:pPr>
              <w:snapToGrid w:val="0"/>
              <w:spacing w:line="360" w:lineRule="auto"/>
              <w:ind w:firstLineChars="100" w:firstLine="240"/>
              <w:jc w:val="center"/>
              <w:rPr>
                <w:rFonts w:ascii="Book Antiqua" w:hAnsi="Book Antiqua" w:cs="Book Antiqua"/>
                <w:color w:val="000000"/>
              </w:rPr>
            </w:pPr>
            <w:r w:rsidRPr="00874613">
              <w:rPr>
                <w:rFonts w:ascii="Book Antiqua" w:hAnsi="Book Antiqua" w:cs="Book Antiqua"/>
                <w:color w:val="000000"/>
              </w:rPr>
              <w:t>Total time of pH &lt;</w:t>
            </w:r>
            <w:r>
              <w:rPr>
                <w:rFonts w:ascii="Book Antiqua" w:eastAsia="宋体" w:hAnsi="Book Antiqua" w:cs="Book Antiqua"/>
                <w:color w:val="000000"/>
                <w:lang w:eastAsia="zh-CN"/>
              </w:rPr>
              <w:t xml:space="preserve"> </w:t>
            </w:r>
            <w:r w:rsidRPr="00874613">
              <w:rPr>
                <w:rFonts w:ascii="Book Antiqua" w:hAnsi="Book Antiqua" w:cs="Book Antiqua"/>
                <w:color w:val="000000"/>
              </w:rPr>
              <w:t>4 (%)</w:t>
            </w:r>
          </w:p>
          <w:p w:rsidR="00ED3CC6" w:rsidRPr="00874613" w:rsidRDefault="00ED3CC6" w:rsidP="009425D4">
            <w:pPr>
              <w:snapToGrid w:val="0"/>
              <w:spacing w:line="360" w:lineRule="auto"/>
              <w:ind w:firstLineChars="100" w:firstLine="240"/>
              <w:jc w:val="center"/>
              <w:rPr>
                <w:rFonts w:ascii="Book Antiqua" w:hAnsi="Book Antiqua" w:cs="Book Antiqua"/>
                <w:color w:val="000000"/>
              </w:rPr>
            </w:pPr>
            <w:r w:rsidRPr="00874613">
              <w:rPr>
                <w:rFonts w:ascii="Book Antiqua" w:hAnsi="Book Antiqua" w:cs="Book Antiqua"/>
                <w:color w:val="000000"/>
              </w:rPr>
              <w:t>Mean frequency of reflux (episodes/h)</w:t>
            </w:r>
          </w:p>
          <w:p w:rsidR="00ED3CC6" w:rsidRPr="00874613" w:rsidRDefault="00ED3CC6" w:rsidP="009425D4">
            <w:pPr>
              <w:snapToGrid w:val="0"/>
              <w:spacing w:line="360" w:lineRule="auto"/>
              <w:ind w:firstLineChars="100" w:firstLine="240"/>
              <w:jc w:val="center"/>
              <w:rPr>
                <w:rFonts w:ascii="Book Antiqua" w:hAnsi="Book Antiqua" w:cs="Book Antiqua"/>
                <w:color w:val="000000"/>
              </w:rPr>
            </w:pPr>
            <w:r w:rsidRPr="00874613">
              <w:rPr>
                <w:rFonts w:ascii="Book Antiqua" w:hAnsi="Book Antiqua" w:cs="Book Antiqua"/>
                <w:color w:val="000000"/>
              </w:rPr>
              <w:t>Patients with long reflux</w:t>
            </w:r>
          </w:p>
        </w:tc>
        <w:tc>
          <w:tcPr>
            <w:tcW w:w="1843" w:type="dxa"/>
            <w:tcBorders>
              <w:bottom w:val="single" w:sz="4" w:space="0" w:color="auto"/>
            </w:tcBorders>
          </w:tcPr>
          <w:p w:rsidR="00ED3CC6" w:rsidRPr="00874613" w:rsidRDefault="00ED3CC6" w:rsidP="00874613">
            <w:pPr>
              <w:snapToGrid w:val="0"/>
              <w:spacing w:line="360" w:lineRule="auto"/>
              <w:jc w:val="center"/>
              <w:rPr>
                <w:rFonts w:ascii="Book Antiqua" w:hAnsi="Book Antiqua" w:cs="Book Antiqua"/>
                <w:color w:val="000000"/>
              </w:rPr>
            </w:pP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0.96 ± 1.89</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0.74 ± 1.51</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1 (2.8%)</w:t>
            </w:r>
          </w:p>
        </w:tc>
        <w:tc>
          <w:tcPr>
            <w:tcW w:w="1701" w:type="dxa"/>
            <w:tcBorders>
              <w:bottom w:val="single" w:sz="4" w:space="0" w:color="auto"/>
            </w:tcBorders>
          </w:tcPr>
          <w:p w:rsidR="00ED3CC6" w:rsidRPr="00874613" w:rsidRDefault="00ED3CC6" w:rsidP="00874613">
            <w:pPr>
              <w:snapToGrid w:val="0"/>
              <w:spacing w:line="360" w:lineRule="auto"/>
              <w:jc w:val="center"/>
              <w:rPr>
                <w:rFonts w:ascii="Book Antiqua" w:hAnsi="Book Antiqua" w:cs="Book Antiqua"/>
                <w:color w:val="000000"/>
              </w:rPr>
            </w:pP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1.11 ± 2.57</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0.81 ± 1.76</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5 (13.9%)</w:t>
            </w:r>
          </w:p>
        </w:tc>
        <w:tc>
          <w:tcPr>
            <w:tcW w:w="1559" w:type="dxa"/>
            <w:tcBorders>
              <w:bottom w:val="single" w:sz="4" w:space="0" w:color="auto"/>
            </w:tcBorders>
          </w:tcPr>
          <w:p w:rsidR="00ED3CC6" w:rsidRPr="00874613" w:rsidRDefault="00ED3CC6" w:rsidP="00874613">
            <w:pPr>
              <w:snapToGrid w:val="0"/>
              <w:spacing w:line="360" w:lineRule="auto"/>
              <w:jc w:val="center"/>
              <w:rPr>
                <w:rFonts w:ascii="Book Antiqua" w:hAnsi="Book Antiqua" w:cs="Book Antiqua"/>
                <w:color w:val="000000"/>
              </w:rPr>
            </w:pP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0.55</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0.55</w:t>
            </w:r>
          </w:p>
          <w:p w:rsidR="00ED3CC6" w:rsidRPr="00874613" w:rsidRDefault="00ED3CC6" w:rsidP="00874613">
            <w:pPr>
              <w:snapToGrid w:val="0"/>
              <w:spacing w:line="360" w:lineRule="auto"/>
              <w:jc w:val="center"/>
              <w:rPr>
                <w:rFonts w:ascii="Book Antiqua" w:hAnsi="Book Antiqua" w:cs="Book Antiqua"/>
                <w:color w:val="000000"/>
              </w:rPr>
            </w:pPr>
            <w:r w:rsidRPr="00874613">
              <w:rPr>
                <w:rFonts w:ascii="Book Antiqua" w:hAnsi="Book Antiqua" w:cs="Book Antiqua"/>
                <w:color w:val="000000"/>
              </w:rPr>
              <w:t>0.22</w:t>
            </w:r>
          </w:p>
        </w:tc>
      </w:tr>
    </w:tbl>
    <w:p w:rsidR="00ED3CC6" w:rsidRPr="00874613" w:rsidRDefault="00ED3CC6" w:rsidP="000B416C">
      <w:pPr>
        <w:snapToGrid w:val="0"/>
        <w:spacing w:line="360" w:lineRule="auto"/>
        <w:jc w:val="both"/>
        <w:rPr>
          <w:rFonts w:ascii="Book Antiqua" w:hAnsi="Book Antiqua" w:cs="Book Antiqua"/>
          <w:b/>
          <w:bCs/>
          <w:color w:val="000000"/>
        </w:rPr>
      </w:pPr>
      <w:r>
        <w:rPr>
          <w:rFonts w:ascii="Book Antiqua" w:eastAsia="宋体" w:hAnsi="Book Antiqua" w:cs="Book Antiqua"/>
          <w:color w:val="000000"/>
          <w:vertAlign w:val="superscript"/>
          <w:lang w:eastAsia="zh-CN"/>
        </w:rPr>
        <w:t>1</w:t>
      </w:r>
      <w:r w:rsidRPr="00130A78">
        <w:rPr>
          <w:rFonts w:ascii="Book Antiqua" w:hAnsi="Book Antiqua" w:cs="Book Antiqua"/>
          <w:color w:val="000000"/>
        </w:rPr>
        <w:t xml:space="preserve">Statistical significance was defined as a </w:t>
      </w:r>
      <w:r w:rsidRPr="00130A78">
        <w:rPr>
          <w:rFonts w:ascii="Book Antiqua" w:hAnsi="Book Antiqua" w:cs="Book Antiqua"/>
          <w:i/>
          <w:iCs/>
          <w:color w:val="000000"/>
        </w:rPr>
        <w:t>P</w:t>
      </w:r>
      <w:r w:rsidRPr="00130A78">
        <w:rPr>
          <w:rFonts w:ascii="Book Antiqua" w:hAnsi="Book Antiqua" w:cs="Book Antiqua"/>
          <w:color w:val="000000"/>
        </w:rPr>
        <w:t xml:space="preserve"> &lt;</w:t>
      </w:r>
      <w:r>
        <w:rPr>
          <w:rFonts w:ascii="Book Antiqua" w:eastAsia="宋体" w:hAnsi="Book Antiqua" w:cs="Book Antiqua"/>
          <w:color w:val="000000"/>
          <w:lang w:eastAsia="zh-CN"/>
        </w:rPr>
        <w:t xml:space="preserve"> </w:t>
      </w:r>
      <w:r w:rsidRPr="00130A78">
        <w:rPr>
          <w:rFonts w:ascii="Book Antiqua" w:hAnsi="Book Antiqua" w:cs="Book Antiqua"/>
          <w:color w:val="000000"/>
        </w:rPr>
        <w:t>0.05.</w:t>
      </w:r>
    </w:p>
    <w:p w:rsidR="00ED3CC6" w:rsidRPr="00874613" w:rsidRDefault="00ED3CC6" w:rsidP="000B416C">
      <w:pPr>
        <w:snapToGrid w:val="0"/>
        <w:spacing w:line="360" w:lineRule="auto"/>
        <w:jc w:val="both"/>
        <w:rPr>
          <w:rFonts w:ascii="Book Antiqua" w:hAnsi="Book Antiqua" w:cs="Book Antiqua"/>
          <w:b/>
          <w:bCs/>
          <w:color w:val="000000"/>
        </w:rPr>
      </w:pPr>
    </w:p>
    <w:p w:rsidR="00ED3CC6" w:rsidRPr="00874613" w:rsidRDefault="00ED3CC6" w:rsidP="000B416C">
      <w:pPr>
        <w:snapToGrid w:val="0"/>
        <w:spacing w:line="360" w:lineRule="auto"/>
        <w:jc w:val="both"/>
        <w:rPr>
          <w:rFonts w:ascii="Book Antiqua" w:eastAsia="宋体" w:hAnsi="Book Antiqua" w:cs="Times New Roman"/>
          <w:b/>
          <w:bCs/>
          <w:lang w:eastAsia="zh-CN"/>
        </w:rPr>
      </w:pPr>
    </w:p>
    <w:sectPr w:rsidR="00ED3CC6" w:rsidRPr="00874613" w:rsidSect="00E7143F">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68" w:rsidRDefault="00F83268" w:rsidP="004E5080">
      <w:pPr>
        <w:rPr>
          <w:rFonts w:cs="Times New Roman"/>
        </w:rPr>
      </w:pPr>
      <w:r>
        <w:rPr>
          <w:rFonts w:cs="Times New Roman"/>
        </w:rPr>
        <w:separator/>
      </w:r>
    </w:p>
  </w:endnote>
  <w:endnote w:type="continuationSeparator" w:id="0">
    <w:p w:rsidR="00F83268" w:rsidRDefault="00F83268" w:rsidP="004E50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C6" w:rsidRDefault="00F83268">
    <w:pPr>
      <w:pStyle w:val="a4"/>
      <w:jc w:val="center"/>
      <w:rPr>
        <w:rFonts w:cs="Times New Roman"/>
      </w:rPr>
    </w:pPr>
    <w:r>
      <w:fldChar w:fldCharType="begin"/>
    </w:r>
    <w:r>
      <w:instrText xml:space="preserve"> PAGE   \* MERGEFORMAT </w:instrText>
    </w:r>
    <w:r>
      <w:fldChar w:fldCharType="separate"/>
    </w:r>
    <w:r w:rsidR="0032453B" w:rsidRPr="0032453B">
      <w:rPr>
        <w:noProof/>
        <w:lang w:val="zh-TW"/>
      </w:rPr>
      <w:t>14</w:t>
    </w:r>
    <w:r>
      <w:rPr>
        <w:noProof/>
        <w:lang w:val="zh-TW"/>
      </w:rPr>
      <w:fldChar w:fldCharType="end"/>
    </w:r>
  </w:p>
  <w:p w:rsidR="00ED3CC6" w:rsidRDefault="00ED3CC6">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68" w:rsidRDefault="00F83268" w:rsidP="004E5080">
      <w:pPr>
        <w:rPr>
          <w:rFonts w:cs="Times New Roman"/>
        </w:rPr>
      </w:pPr>
      <w:r>
        <w:rPr>
          <w:rFonts w:cs="Times New Roman"/>
        </w:rPr>
        <w:separator/>
      </w:r>
    </w:p>
  </w:footnote>
  <w:footnote w:type="continuationSeparator" w:id="0">
    <w:p w:rsidR="00F83268" w:rsidRDefault="00F83268" w:rsidP="004E508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6051CA"/>
    <w:lvl w:ilvl="0">
      <w:start w:val="1"/>
      <w:numFmt w:val="decimal"/>
      <w:lvlText w:val="%1."/>
      <w:lvlJc w:val="left"/>
      <w:pPr>
        <w:tabs>
          <w:tab w:val="num" w:pos="2281"/>
        </w:tabs>
        <w:ind w:left="2281" w:hanging="360"/>
      </w:pPr>
    </w:lvl>
  </w:abstractNum>
  <w:abstractNum w:abstractNumId="1">
    <w:nsid w:val="FFFFFF7D"/>
    <w:multiLevelType w:val="singleLevel"/>
    <w:tmpl w:val="F014C3C8"/>
    <w:lvl w:ilvl="0">
      <w:start w:val="1"/>
      <w:numFmt w:val="decimal"/>
      <w:lvlText w:val="%1."/>
      <w:lvlJc w:val="left"/>
      <w:pPr>
        <w:tabs>
          <w:tab w:val="num" w:pos="1801"/>
        </w:tabs>
        <w:ind w:left="1801" w:hanging="360"/>
      </w:pPr>
    </w:lvl>
  </w:abstractNum>
  <w:abstractNum w:abstractNumId="2">
    <w:nsid w:val="FFFFFF7E"/>
    <w:multiLevelType w:val="singleLevel"/>
    <w:tmpl w:val="C6006C6E"/>
    <w:lvl w:ilvl="0">
      <w:start w:val="1"/>
      <w:numFmt w:val="decimal"/>
      <w:lvlText w:val="%1."/>
      <w:lvlJc w:val="left"/>
      <w:pPr>
        <w:tabs>
          <w:tab w:val="num" w:pos="1321"/>
        </w:tabs>
        <w:ind w:left="1321" w:hanging="360"/>
      </w:pPr>
    </w:lvl>
  </w:abstractNum>
  <w:abstractNum w:abstractNumId="3">
    <w:nsid w:val="FFFFFF7F"/>
    <w:multiLevelType w:val="singleLevel"/>
    <w:tmpl w:val="FEFE238E"/>
    <w:lvl w:ilvl="0">
      <w:start w:val="1"/>
      <w:numFmt w:val="decimal"/>
      <w:lvlText w:val="%1."/>
      <w:lvlJc w:val="left"/>
      <w:pPr>
        <w:tabs>
          <w:tab w:val="num" w:pos="841"/>
        </w:tabs>
        <w:ind w:left="841" w:hanging="360"/>
      </w:pPr>
    </w:lvl>
  </w:abstractNum>
  <w:abstractNum w:abstractNumId="4">
    <w:nsid w:val="FFFFFF80"/>
    <w:multiLevelType w:val="singleLevel"/>
    <w:tmpl w:val="55EA7066"/>
    <w:lvl w:ilvl="0">
      <w:start w:val="1"/>
      <w:numFmt w:val="bullet"/>
      <w:lvlText w:val=""/>
      <w:lvlJc w:val="left"/>
      <w:pPr>
        <w:tabs>
          <w:tab w:val="num" w:pos="2281"/>
        </w:tabs>
        <w:ind w:left="2281" w:hanging="360"/>
      </w:pPr>
      <w:rPr>
        <w:rFonts w:ascii="Wingdings" w:hAnsi="Wingdings" w:cs="Wingdings" w:hint="default"/>
      </w:rPr>
    </w:lvl>
  </w:abstractNum>
  <w:abstractNum w:abstractNumId="5">
    <w:nsid w:val="FFFFFF81"/>
    <w:multiLevelType w:val="singleLevel"/>
    <w:tmpl w:val="D5A2522E"/>
    <w:lvl w:ilvl="0">
      <w:start w:val="1"/>
      <w:numFmt w:val="bullet"/>
      <w:lvlText w:val=""/>
      <w:lvlJc w:val="left"/>
      <w:pPr>
        <w:tabs>
          <w:tab w:val="num" w:pos="1801"/>
        </w:tabs>
        <w:ind w:left="1801" w:hanging="360"/>
      </w:pPr>
      <w:rPr>
        <w:rFonts w:ascii="Wingdings" w:hAnsi="Wingdings" w:cs="Wingdings" w:hint="default"/>
      </w:rPr>
    </w:lvl>
  </w:abstractNum>
  <w:abstractNum w:abstractNumId="6">
    <w:nsid w:val="FFFFFF82"/>
    <w:multiLevelType w:val="singleLevel"/>
    <w:tmpl w:val="052A737A"/>
    <w:lvl w:ilvl="0">
      <w:start w:val="1"/>
      <w:numFmt w:val="bullet"/>
      <w:lvlText w:val=""/>
      <w:lvlJc w:val="left"/>
      <w:pPr>
        <w:tabs>
          <w:tab w:val="num" w:pos="1321"/>
        </w:tabs>
        <w:ind w:left="1321" w:hanging="360"/>
      </w:pPr>
      <w:rPr>
        <w:rFonts w:ascii="Wingdings" w:hAnsi="Wingdings" w:cs="Wingdings" w:hint="default"/>
      </w:rPr>
    </w:lvl>
  </w:abstractNum>
  <w:abstractNum w:abstractNumId="7">
    <w:nsid w:val="FFFFFF83"/>
    <w:multiLevelType w:val="singleLevel"/>
    <w:tmpl w:val="1E90F1A6"/>
    <w:lvl w:ilvl="0">
      <w:start w:val="1"/>
      <w:numFmt w:val="bullet"/>
      <w:lvlText w:val=""/>
      <w:lvlJc w:val="left"/>
      <w:pPr>
        <w:tabs>
          <w:tab w:val="num" w:pos="841"/>
        </w:tabs>
        <w:ind w:left="841" w:hanging="360"/>
      </w:pPr>
      <w:rPr>
        <w:rFonts w:ascii="Wingdings" w:hAnsi="Wingdings" w:cs="Wingdings" w:hint="default"/>
      </w:rPr>
    </w:lvl>
  </w:abstractNum>
  <w:abstractNum w:abstractNumId="8">
    <w:nsid w:val="FFFFFF88"/>
    <w:multiLevelType w:val="singleLevel"/>
    <w:tmpl w:val="4AB68CFC"/>
    <w:lvl w:ilvl="0">
      <w:start w:val="1"/>
      <w:numFmt w:val="decimal"/>
      <w:lvlText w:val="%1."/>
      <w:lvlJc w:val="left"/>
      <w:pPr>
        <w:tabs>
          <w:tab w:val="num" w:pos="361"/>
        </w:tabs>
        <w:ind w:left="361" w:hanging="360"/>
      </w:pPr>
    </w:lvl>
  </w:abstractNum>
  <w:abstractNum w:abstractNumId="9">
    <w:nsid w:val="FFFFFF89"/>
    <w:multiLevelType w:val="singleLevel"/>
    <w:tmpl w:val="617E9C66"/>
    <w:lvl w:ilvl="0">
      <w:start w:val="1"/>
      <w:numFmt w:val="bullet"/>
      <w:lvlText w:val=""/>
      <w:lvlJc w:val="left"/>
      <w:pPr>
        <w:tabs>
          <w:tab w:val="num" w:pos="361"/>
        </w:tabs>
        <w:ind w:left="361" w:hanging="360"/>
      </w:pPr>
      <w:rPr>
        <w:rFonts w:ascii="Wingdings" w:hAnsi="Wingdings" w:cs="Wingdings" w:hint="default"/>
      </w:rPr>
    </w:lvl>
  </w:abstractNum>
  <w:abstractNum w:abstractNumId="10">
    <w:nsid w:val="0E4233B9"/>
    <w:multiLevelType w:val="hybridMultilevel"/>
    <w:tmpl w:val="B2D051E0"/>
    <w:lvl w:ilvl="0" w:tplc="9960A33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A542D5F"/>
    <w:multiLevelType w:val="hybridMultilevel"/>
    <w:tmpl w:val="86887154"/>
    <w:lvl w:ilvl="0" w:tplc="13E2102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3053A85"/>
    <w:multiLevelType w:val="hybridMultilevel"/>
    <w:tmpl w:val="4D366948"/>
    <w:lvl w:ilvl="0" w:tplc="912E0DA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24DC3D8A"/>
    <w:multiLevelType w:val="hybridMultilevel"/>
    <w:tmpl w:val="410E2086"/>
    <w:lvl w:ilvl="0" w:tplc="880A5FD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4D092459"/>
    <w:multiLevelType w:val="hybridMultilevel"/>
    <w:tmpl w:val="646842DA"/>
    <w:lvl w:ilvl="0" w:tplc="A91621A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1"/>
  </w:num>
  <w:num w:numId="2">
    <w:abstractNumId w:val="13"/>
  </w:num>
  <w:num w:numId="3">
    <w:abstractNumId w:val="14"/>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78"/>
    <w:rsid w:val="00000258"/>
    <w:rsid w:val="00000C5B"/>
    <w:rsid w:val="00003F93"/>
    <w:rsid w:val="0000473A"/>
    <w:rsid w:val="00010744"/>
    <w:rsid w:val="00023317"/>
    <w:rsid w:val="00023A0D"/>
    <w:rsid w:val="000248F7"/>
    <w:rsid w:val="00025CA9"/>
    <w:rsid w:val="000262A0"/>
    <w:rsid w:val="00031A90"/>
    <w:rsid w:val="00032C92"/>
    <w:rsid w:val="000333F2"/>
    <w:rsid w:val="000339A4"/>
    <w:rsid w:val="00034501"/>
    <w:rsid w:val="0003718D"/>
    <w:rsid w:val="00041E35"/>
    <w:rsid w:val="00044B37"/>
    <w:rsid w:val="00050B3D"/>
    <w:rsid w:val="00053227"/>
    <w:rsid w:val="000571F7"/>
    <w:rsid w:val="00057E99"/>
    <w:rsid w:val="000626C0"/>
    <w:rsid w:val="0006375C"/>
    <w:rsid w:val="00065DCE"/>
    <w:rsid w:val="0007032A"/>
    <w:rsid w:val="00072F23"/>
    <w:rsid w:val="00073436"/>
    <w:rsid w:val="00073613"/>
    <w:rsid w:val="00073680"/>
    <w:rsid w:val="00073710"/>
    <w:rsid w:val="000754D6"/>
    <w:rsid w:val="0007641E"/>
    <w:rsid w:val="000806BF"/>
    <w:rsid w:val="000851D3"/>
    <w:rsid w:val="00085778"/>
    <w:rsid w:val="000861A0"/>
    <w:rsid w:val="00086552"/>
    <w:rsid w:val="000931CA"/>
    <w:rsid w:val="00093DEF"/>
    <w:rsid w:val="0009546D"/>
    <w:rsid w:val="00097114"/>
    <w:rsid w:val="000973E4"/>
    <w:rsid w:val="00097B3D"/>
    <w:rsid w:val="000A5D24"/>
    <w:rsid w:val="000A6719"/>
    <w:rsid w:val="000A7762"/>
    <w:rsid w:val="000A7CDC"/>
    <w:rsid w:val="000B32E5"/>
    <w:rsid w:val="000B416C"/>
    <w:rsid w:val="000B51DB"/>
    <w:rsid w:val="000B6FF8"/>
    <w:rsid w:val="000B745D"/>
    <w:rsid w:val="000C0E4A"/>
    <w:rsid w:val="000D20EC"/>
    <w:rsid w:val="000D56D3"/>
    <w:rsid w:val="000D6A37"/>
    <w:rsid w:val="000E1580"/>
    <w:rsid w:val="000E23BA"/>
    <w:rsid w:val="000E5AAF"/>
    <w:rsid w:val="000E5AF7"/>
    <w:rsid w:val="000E643A"/>
    <w:rsid w:val="000F319C"/>
    <w:rsid w:val="000F33A9"/>
    <w:rsid w:val="000F7074"/>
    <w:rsid w:val="000F7907"/>
    <w:rsid w:val="00100116"/>
    <w:rsid w:val="0010243A"/>
    <w:rsid w:val="00105ADA"/>
    <w:rsid w:val="0010623A"/>
    <w:rsid w:val="0011187A"/>
    <w:rsid w:val="00116315"/>
    <w:rsid w:val="001208AA"/>
    <w:rsid w:val="00123057"/>
    <w:rsid w:val="001270F3"/>
    <w:rsid w:val="00130A78"/>
    <w:rsid w:val="00133127"/>
    <w:rsid w:val="001347F1"/>
    <w:rsid w:val="00134EEB"/>
    <w:rsid w:val="00135D19"/>
    <w:rsid w:val="001361FB"/>
    <w:rsid w:val="001377CD"/>
    <w:rsid w:val="00142164"/>
    <w:rsid w:val="0014644D"/>
    <w:rsid w:val="0015345C"/>
    <w:rsid w:val="0015435A"/>
    <w:rsid w:val="00154748"/>
    <w:rsid w:val="0015619F"/>
    <w:rsid w:val="00164080"/>
    <w:rsid w:val="00166D0D"/>
    <w:rsid w:val="00170242"/>
    <w:rsid w:val="0017548A"/>
    <w:rsid w:val="00182EE3"/>
    <w:rsid w:val="0018528C"/>
    <w:rsid w:val="00192A6A"/>
    <w:rsid w:val="00192F3C"/>
    <w:rsid w:val="00193530"/>
    <w:rsid w:val="0019364C"/>
    <w:rsid w:val="00194599"/>
    <w:rsid w:val="00195286"/>
    <w:rsid w:val="001959AD"/>
    <w:rsid w:val="001A0B0E"/>
    <w:rsid w:val="001A158D"/>
    <w:rsid w:val="001A67C3"/>
    <w:rsid w:val="001A74B2"/>
    <w:rsid w:val="001A7A9E"/>
    <w:rsid w:val="001B43C6"/>
    <w:rsid w:val="001B6123"/>
    <w:rsid w:val="001C0B0F"/>
    <w:rsid w:val="001C23DE"/>
    <w:rsid w:val="001C265D"/>
    <w:rsid w:val="001C41C5"/>
    <w:rsid w:val="001C47B4"/>
    <w:rsid w:val="001D31E7"/>
    <w:rsid w:val="001D7366"/>
    <w:rsid w:val="001E2B4C"/>
    <w:rsid w:val="001E51BE"/>
    <w:rsid w:val="001E75BE"/>
    <w:rsid w:val="001E77CA"/>
    <w:rsid w:val="001E7936"/>
    <w:rsid w:val="001F3005"/>
    <w:rsid w:val="001F361A"/>
    <w:rsid w:val="001F3A62"/>
    <w:rsid w:val="001F5258"/>
    <w:rsid w:val="00202E05"/>
    <w:rsid w:val="002030A8"/>
    <w:rsid w:val="002041F4"/>
    <w:rsid w:val="00206FC4"/>
    <w:rsid w:val="00207361"/>
    <w:rsid w:val="00215780"/>
    <w:rsid w:val="002234FE"/>
    <w:rsid w:val="00223DA2"/>
    <w:rsid w:val="00224FBC"/>
    <w:rsid w:val="002272AD"/>
    <w:rsid w:val="002301BD"/>
    <w:rsid w:val="002347CF"/>
    <w:rsid w:val="00236CA3"/>
    <w:rsid w:val="00236CA8"/>
    <w:rsid w:val="00236D13"/>
    <w:rsid w:val="002462E2"/>
    <w:rsid w:val="0025164A"/>
    <w:rsid w:val="00251FF6"/>
    <w:rsid w:val="00254326"/>
    <w:rsid w:val="00257DF3"/>
    <w:rsid w:val="00261B66"/>
    <w:rsid w:val="00261D60"/>
    <w:rsid w:val="0026244F"/>
    <w:rsid w:val="002759A8"/>
    <w:rsid w:val="00275A0E"/>
    <w:rsid w:val="0027746C"/>
    <w:rsid w:val="00284101"/>
    <w:rsid w:val="0028449E"/>
    <w:rsid w:val="00286777"/>
    <w:rsid w:val="00290ED5"/>
    <w:rsid w:val="002913BA"/>
    <w:rsid w:val="00296A35"/>
    <w:rsid w:val="0029795F"/>
    <w:rsid w:val="002A102C"/>
    <w:rsid w:val="002A1B82"/>
    <w:rsid w:val="002A3DA2"/>
    <w:rsid w:val="002A6B58"/>
    <w:rsid w:val="002A6DC2"/>
    <w:rsid w:val="002A70F3"/>
    <w:rsid w:val="002B21E5"/>
    <w:rsid w:val="002B426D"/>
    <w:rsid w:val="002B7ECE"/>
    <w:rsid w:val="002C493A"/>
    <w:rsid w:val="002C5912"/>
    <w:rsid w:val="002C617F"/>
    <w:rsid w:val="002D112F"/>
    <w:rsid w:val="002D2FD0"/>
    <w:rsid w:val="002D5B4D"/>
    <w:rsid w:val="002E1406"/>
    <w:rsid w:val="002E3672"/>
    <w:rsid w:val="002E506E"/>
    <w:rsid w:val="002F0A0B"/>
    <w:rsid w:val="002F42F9"/>
    <w:rsid w:val="002F47BD"/>
    <w:rsid w:val="002F7C30"/>
    <w:rsid w:val="002F7FE3"/>
    <w:rsid w:val="00302B94"/>
    <w:rsid w:val="003069B6"/>
    <w:rsid w:val="00306D76"/>
    <w:rsid w:val="00307B69"/>
    <w:rsid w:val="003165FE"/>
    <w:rsid w:val="00317D7F"/>
    <w:rsid w:val="0032453B"/>
    <w:rsid w:val="00325136"/>
    <w:rsid w:val="003256E4"/>
    <w:rsid w:val="003259F7"/>
    <w:rsid w:val="0032612E"/>
    <w:rsid w:val="00327616"/>
    <w:rsid w:val="00327668"/>
    <w:rsid w:val="00331CC0"/>
    <w:rsid w:val="0033435E"/>
    <w:rsid w:val="00340B5C"/>
    <w:rsid w:val="00345AEE"/>
    <w:rsid w:val="00347D13"/>
    <w:rsid w:val="003548FE"/>
    <w:rsid w:val="00360334"/>
    <w:rsid w:val="003603B9"/>
    <w:rsid w:val="003609B6"/>
    <w:rsid w:val="003635E2"/>
    <w:rsid w:val="00364C43"/>
    <w:rsid w:val="00373377"/>
    <w:rsid w:val="00380849"/>
    <w:rsid w:val="00385287"/>
    <w:rsid w:val="00386357"/>
    <w:rsid w:val="00391A50"/>
    <w:rsid w:val="00391E52"/>
    <w:rsid w:val="00396D92"/>
    <w:rsid w:val="0039786C"/>
    <w:rsid w:val="00397CB9"/>
    <w:rsid w:val="003A7C00"/>
    <w:rsid w:val="003A7CD4"/>
    <w:rsid w:val="003B46C8"/>
    <w:rsid w:val="003B4D93"/>
    <w:rsid w:val="003B5419"/>
    <w:rsid w:val="003B78AD"/>
    <w:rsid w:val="003C13F6"/>
    <w:rsid w:val="003C1FC0"/>
    <w:rsid w:val="003C2352"/>
    <w:rsid w:val="003C55EC"/>
    <w:rsid w:val="003C5BA3"/>
    <w:rsid w:val="003C6947"/>
    <w:rsid w:val="003C7FC2"/>
    <w:rsid w:val="003D142A"/>
    <w:rsid w:val="003D1DE3"/>
    <w:rsid w:val="003D2141"/>
    <w:rsid w:val="003E11C0"/>
    <w:rsid w:val="003E22C6"/>
    <w:rsid w:val="003E298B"/>
    <w:rsid w:val="003F0FBC"/>
    <w:rsid w:val="003F10C5"/>
    <w:rsid w:val="003F13C9"/>
    <w:rsid w:val="003F1C4F"/>
    <w:rsid w:val="003F4A67"/>
    <w:rsid w:val="003F6F42"/>
    <w:rsid w:val="003F7880"/>
    <w:rsid w:val="00401F78"/>
    <w:rsid w:val="00412DCD"/>
    <w:rsid w:val="004144F9"/>
    <w:rsid w:val="004165B8"/>
    <w:rsid w:val="00422E94"/>
    <w:rsid w:val="00423DB6"/>
    <w:rsid w:val="00425990"/>
    <w:rsid w:val="004277D2"/>
    <w:rsid w:val="00427F09"/>
    <w:rsid w:val="004319F1"/>
    <w:rsid w:val="00431ADA"/>
    <w:rsid w:val="00431E9A"/>
    <w:rsid w:val="00433F7F"/>
    <w:rsid w:val="00434F0A"/>
    <w:rsid w:val="00437508"/>
    <w:rsid w:val="00440F54"/>
    <w:rsid w:val="00441FFB"/>
    <w:rsid w:val="00442C46"/>
    <w:rsid w:val="00452A06"/>
    <w:rsid w:val="00461034"/>
    <w:rsid w:val="004703FE"/>
    <w:rsid w:val="00473D77"/>
    <w:rsid w:val="004742F5"/>
    <w:rsid w:val="004744E9"/>
    <w:rsid w:val="0047641D"/>
    <w:rsid w:val="0047712A"/>
    <w:rsid w:val="00481BEA"/>
    <w:rsid w:val="00482A31"/>
    <w:rsid w:val="0048444B"/>
    <w:rsid w:val="004850A0"/>
    <w:rsid w:val="00485D97"/>
    <w:rsid w:val="004903C1"/>
    <w:rsid w:val="004912C1"/>
    <w:rsid w:val="00491E05"/>
    <w:rsid w:val="00492523"/>
    <w:rsid w:val="00492D1B"/>
    <w:rsid w:val="0049391A"/>
    <w:rsid w:val="00494843"/>
    <w:rsid w:val="00495693"/>
    <w:rsid w:val="0049587E"/>
    <w:rsid w:val="004978B2"/>
    <w:rsid w:val="004B11ED"/>
    <w:rsid w:val="004B271B"/>
    <w:rsid w:val="004C0C0A"/>
    <w:rsid w:val="004C2429"/>
    <w:rsid w:val="004C3843"/>
    <w:rsid w:val="004D035A"/>
    <w:rsid w:val="004D278F"/>
    <w:rsid w:val="004D31B0"/>
    <w:rsid w:val="004D40B1"/>
    <w:rsid w:val="004D4349"/>
    <w:rsid w:val="004D653D"/>
    <w:rsid w:val="004E064B"/>
    <w:rsid w:val="004E0B1D"/>
    <w:rsid w:val="004E2181"/>
    <w:rsid w:val="004E272A"/>
    <w:rsid w:val="004E4E61"/>
    <w:rsid w:val="004E4ED7"/>
    <w:rsid w:val="004E5080"/>
    <w:rsid w:val="004E6341"/>
    <w:rsid w:val="004F5837"/>
    <w:rsid w:val="004F790E"/>
    <w:rsid w:val="005062E5"/>
    <w:rsid w:val="0051125D"/>
    <w:rsid w:val="00511BC8"/>
    <w:rsid w:val="00512B52"/>
    <w:rsid w:val="00514FF6"/>
    <w:rsid w:val="00516A81"/>
    <w:rsid w:val="005176D3"/>
    <w:rsid w:val="005201FC"/>
    <w:rsid w:val="00520CA2"/>
    <w:rsid w:val="00526BE0"/>
    <w:rsid w:val="005275C9"/>
    <w:rsid w:val="00530EF6"/>
    <w:rsid w:val="0053399C"/>
    <w:rsid w:val="0053416D"/>
    <w:rsid w:val="005341FE"/>
    <w:rsid w:val="00534BA7"/>
    <w:rsid w:val="005350EE"/>
    <w:rsid w:val="00535F58"/>
    <w:rsid w:val="005368D4"/>
    <w:rsid w:val="00542FF1"/>
    <w:rsid w:val="00545961"/>
    <w:rsid w:val="00547B76"/>
    <w:rsid w:val="00555A70"/>
    <w:rsid w:val="005563E2"/>
    <w:rsid w:val="00557281"/>
    <w:rsid w:val="00561985"/>
    <w:rsid w:val="0056283C"/>
    <w:rsid w:val="00564E19"/>
    <w:rsid w:val="0056573C"/>
    <w:rsid w:val="00565BBF"/>
    <w:rsid w:val="005717C8"/>
    <w:rsid w:val="00576095"/>
    <w:rsid w:val="00576DF3"/>
    <w:rsid w:val="0058743E"/>
    <w:rsid w:val="005875C8"/>
    <w:rsid w:val="00591AD6"/>
    <w:rsid w:val="00594077"/>
    <w:rsid w:val="00594DA0"/>
    <w:rsid w:val="005955CC"/>
    <w:rsid w:val="00596C95"/>
    <w:rsid w:val="005A3BD2"/>
    <w:rsid w:val="005A697E"/>
    <w:rsid w:val="005B1BEE"/>
    <w:rsid w:val="005B7A3E"/>
    <w:rsid w:val="005C0B66"/>
    <w:rsid w:val="005C24DB"/>
    <w:rsid w:val="005C2AD2"/>
    <w:rsid w:val="005C7A78"/>
    <w:rsid w:val="005D155D"/>
    <w:rsid w:val="005D2218"/>
    <w:rsid w:val="005D3EB8"/>
    <w:rsid w:val="005E257A"/>
    <w:rsid w:val="005E3B33"/>
    <w:rsid w:val="005F07AF"/>
    <w:rsid w:val="005F3125"/>
    <w:rsid w:val="005F66A3"/>
    <w:rsid w:val="00603012"/>
    <w:rsid w:val="00604DF5"/>
    <w:rsid w:val="006055E3"/>
    <w:rsid w:val="006072DA"/>
    <w:rsid w:val="006169B9"/>
    <w:rsid w:val="0062441E"/>
    <w:rsid w:val="0063218E"/>
    <w:rsid w:val="0063384A"/>
    <w:rsid w:val="00643178"/>
    <w:rsid w:val="00643662"/>
    <w:rsid w:val="00647672"/>
    <w:rsid w:val="006504AD"/>
    <w:rsid w:val="00651853"/>
    <w:rsid w:val="00654777"/>
    <w:rsid w:val="00654EF2"/>
    <w:rsid w:val="0065504A"/>
    <w:rsid w:val="00655A36"/>
    <w:rsid w:val="00655AE9"/>
    <w:rsid w:val="00662215"/>
    <w:rsid w:val="006623E6"/>
    <w:rsid w:val="00663DF6"/>
    <w:rsid w:val="00664001"/>
    <w:rsid w:val="00666F5C"/>
    <w:rsid w:val="006679EE"/>
    <w:rsid w:val="00670012"/>
    <w:rsid w:val="0067011F"/>
    <w:rsid w:val="006701A1"/>
    <w:rsid w:val="006716DF"/>
    <w:rsid w:val="006756C1"/>
    <w:rsid w:val="0067680B"/>
    <w:rsid w:val="00677ABD"/>
    <w:rsid w:val="00677E4A"/>
    <w:rsid w:val="006811E5"/>
    <w:rsid w:val="006822D5"/>
    <w:rsid w:val="00684A16"/>
    <w:rsid w:val="00690418"/>
    <w:rsid w:val="00693121"/>
    <w:rsid w:val="00693FB8"/>
    <w:rsid w:val="006A1887"/>
    <w:rsid w:val="006A7019"/>
    <w:rsid w:val="006B0E74"/>
    <w:rsid w:val="006B1888"/>
    <w:rsid w:val="006B2A7A"/>
    <w:rsid w:val="006B6D7F"/>
    <w:rsid w:val="006B7256"/>
    <w:rsid w:val="006B7FE3"/>
    <w:rsid w:val="006C0F34"/>
    <w:rsid w:val="006C2072"/>
    <w:rsid w:val="006C29F7"/>
    <w:rsid w:val="006C7E90"/>
    <w:rsid w:val="006D0709"/>
    <w:rsid w:val="006D0C8B"/>
    <w:rsid w:val="006D1586"/>
    <w:rsid w:val="006D5BE3"/>
    <w:rsid w:val="006D698F"/>
    <w:rsid w:val="006E155B"/>
    <w:rsid w:val="006E1B75"/>
    <w:rsid w:val="006E2703"/>
    <w:rsid w:val="006F1C54"/>
    <w:rsid w:val="006F45AF"/>
    <w:rsid w:val="006F559A"/>
    <w:rsid w:val="006F735C"/>
    <w:rsid w:val="006F7710"/>
    <w:rsid w:val="00704F90"/>
    <w:rsid w:val="0070650E"/>
    <w:rsid w:val="00706D56"/>
    <w:rsid w:val="00707C1B"/>
    <w:rsid w:val="00710167"/>
    <w:rsid w:val="007107A4"/>
    <w:rsid w:val="007134A2"/>
    <w:rsid w:val="00714CA1"/>
    <w:rsid w:val="00715F05"/>
    <w:rsid w:val="00720FB9"/>
    <w:rsid w:val="00721DCC"/>
    <w:rsid w:val="00724710"/>
    <w:rsid w:val="00724BD6"/>
    <w:rsid w:val="00726124"/>
    <w:rsid w:val="00726D73"/>
    <w:rsid w:val="0073277C"/>
    <w:rsid w:val="00741B1A"/>
    <w:rsid w:val="00743732"/>
    <w:rsid w:val="00747CBA"/>
    <w:rsid w:val="007512E4"/>
    <w:rsid w:val="00753B0A"/>
    <w:rsid w:val="00756B32"/>
    <w:rsid w:val="00762EFE"/>
    <w:rsid w:val="00763072"/>
    <w:rsid w:val="00765C0A"/>
    <w:rsid w:val="00766222"/>
    <w:rsid w:val="00773CFD"/>
    <w:rsid w:val="00774343"/>
    <w:rsid w:val="007848E3"/>
    <w:rsid w:val="007859AC"/>
    <w:rsid w:val="007935DF"/>
    <w:rsid w:val="0079731B"/>
    <w:rsid w:val="007973B6"/>
    <w:rsid w:val="007A04D9"/>
    <w:rsid w:val="007A0F72"/>
    <w:rsid w:val="007A1F4F"/>
    <w:rsid w:val="007A1F9F"/>
    <w:rsid w:val="007A3642"/>
    <w:rsid w:val="007A41B8"/>
    <w:rsid w:val="007B5785"/>
    <w:rsid w:val="007B73E6"/>
    <w:rsid w:val="007C035E"/>
    <w:rsid w:val="007C4EA1"/>
    <w:rsid w:val="007C6048"/>
    <w:rsid w:val="007D057E"/>
    <w:rsid w:val="007D147A"/>
    <w:rsid w:val="007D287E"/>
    <w:rsid w:val="007D70B4"/>
    <w:rsid w:val="007D780B"/>
    <w:rsid w:val="007E057D"/>
    <w:rsid w:val="007E065C"/>
    <w:rsid w:val="007E3C90"/>
    <w:rsid w:val="007F0727"/>
    <w:rsid w:val="007F1A01"/>
    <w:rsid w:val="007F39A4"/>
    <w:rsid w:val="007F7921"/>
    <w:rsid w:val="00802C81"/>
    <w:rsid w:val="00803E45"/>
    <w:rsid w:val="00803E6B"/>
    <w:rsid w:val="00804DAE"/>
    <w:rsid w:val="0080580B"/>
    <w:rsid w:val="00805F2B"/>
    <w:rsid w:val="00812FD6"/>
    <w:rsid w:val="00815D8F"/>
    <w:rsid w:val="008215BC"/>
    <w:rsid w:val="0082242A"/>
    <w:rsid w:val="00824F62"/>
    <w:rsid w:val="00832050"/>
    <w:rsid w:val="00832ECA"/>
    <w:rsid w:val="00833830"/>
    <w:rsid w:val="008405E0"/>
    <w:rsid w:val="00840A6E"/>
    <w:rsid w:val="00840C79"/>
    <w:rsid w:val="00841635"/>
    <w:rsid w:val="00844743"/>
    <w:rsid w:val="0084652C"/>
    <w:rsid w:val="008523F2"/>
    <w:rsid w:val="008531C9"/>
    <w:rsid w:val="008545A4"/>
    <w:rsid w:val="008574AD"/>
    <w:rsid w:val="008604E4"/>
    <w:rsid w:val="00874613"/>
    <w:rsid w:val="0087758C"/>
    <w:rsid w:val="0088032D"/>
    <w:rsid w:val="0088158E"/>
    <w:rsid w:val="0088175F"/>
    <w:rsid w:val="00883505"/>
    <w:rsid w:val="00883AAD"/>
    <w:rsid w:val="00884F1F"/>
    <w:rsid w:val="00885EC1"/>
    <w:rsid w:val="00887A3E"/>
    <w:rsid w:val="008915D8"/>
    <w:rsid w:val="00892098"/>
    <w:rsid w:val="008934E0"/>
    <w:rsid w:val="008948EE"/>
    <w:rsid w:val="00894948"/>
    <w:rsid w:val="00897911"/>
    <w:rsid w:val="008A0030"/>
    <w:rsid w:val="008A453D"/>
    <w:rsid w:val="008A59E8"/>
    <w:rsid w:val="008A7697"/>
    <w:rsid w:val="008B055C"/>
    <w:rsid w:val="008B2180"/>
    <w:rsid w:val="008C0AD9"/>
    <w:rsid w:val="008C3A7A"/>
    <w:rsid w:val="008C649B"/>
    <w:rsid w:val="008D15A1"/>
    <w:rsid w:val="008D4F8B"/>
    <w:rsid w:val="008D51D2"/>
    <w:rsid w:val="008D7FDB"/>
    <w:rsid w:val="008F0343"/>
    <w:rsid w:val="008F0408"/>
    <w:rsid w:val="008F3EC0"/>
    <w:rsid w:val="008F462F"/>
    <w:rsid w:val="008F63ED"/>
    <w:rsid w:val="0090035D"/>
    <w:rsid w:val="00902D9A"/>
    <w:rsid w:val="00910465"/>
    <w:rsid w:val="00911933"/>
    <w:rsid w:val="00913408"/>
    <w:rsid w:val="00913B2C"/>
    <w:rsid w:val="00916DAD"/>
    <w:rsid w:val="00923219"/>
    <w:rsid w:val="00923534"/>
    <w:rsid w:val="00923A34"/>
    <w:rsid w:val="009251AC"/>
    <w:rsid w:val="00927405"/>
    <w:rsid w:val="009300A9"/>
    <w:rsid w:val="00935ADF"/>
    <w:rsid w:val="009361FF"/>
    <w:rsid w:val="009425D4"/>
    <w:rsid w:val="00942CDC"/>
    <w:rsid w:val="00944A69"/>
    <w:rsid w:val="009468FD"/>
    <w:rsid w:val="009529A5"/>
    <w:rsid w:val="0096049C"/>
    <w:rsid w:val="00962C27"/>
    <w:rsid w:val="00970C6C"/>
    <w:rsid w:val="00970E35"/>
    <w:rsid w:val="00971A24"/>
    <w:rsid w:val="009738EF"/>
    <w:rsid w:val="00974587"/>
    <w:rsid w:val="00977716"/>
    <w:rsid w:val="00985ADA"/>
    <w:rsid w:val="00986685"/>
    <w:rsid w:val="00990C04"/>
    <w:rsid w:val="00990D71"/>
    <w:rsid w:val="00992DC6"/>
    <w:rsid w:val="00992E1A"/>
    <w:rsid w:val="009A3558"/>
    <w:rsid w:val="009A6AF4"/>
    <w:rsid w:val="009B013A"/>
    <w:rsid w:val="009B06E8"/>
    <w:rsid w:val="009B3C46"/>
    <w:rsid w:val="009B6500"/>
    <w:rsid w:val="009B7218"/>
    <w:rsid w:val="009B78BB"/>
    <w:rsid w:val="009C025E"/>
    <w:rsid w:val="009C5C53"/>
    <w:rsid w:val="009D11F2"/>
    <w:rsid w:val="009D2860"/>
    <w:rsid w:val="009E4403"/>
    <w:rsid w:val="009E7308"/>
    <w:rsid w:val="009F11EA"/>
    <w:rsid w:val="009F47F5"/>
    <w:rsid w:val="009F75CF"/>
    <w:rsid w:val="00A05013"/>
    <w:rsid w:val="00A0755B"/>
    <w:rsid w:val="00A125E2"/>
    <w:rsid w:val="00A150A9"/>
    <w:rsid w:val="00A15FB1"/>
    <w:rsid w:val="00A17433"/>
    <w:rsid w:val="00A17D2B"/>
    <w:rsid w:val="00A228DA"/>
    <w:rsid w:val="00A22A91"/>
    <w:rsid w:val="00A237DC"/>
    <w:rsid w:val="00A23C5E"/>
    <w:rsid w:val="00A26BAE"/>
    <w:rsid w:val="00A32017"/>
    <w:rsid w:val="00A324CE"/>
    <w:rsid w:val="00A3280C"/>
    <w:rsid w:val="00A32C2D"/>
    <w:rsid w:val="00A34B56"/>
    <w:rsid w:val="00A415DE"/>
    <w:rsid w:val="00A42081"/>
    <w:rsid w:val="00A43BB4"/>
    <w:rsid w:val="00A4585C"/>
    <w:rsid w:val="00A470E6"/>
    <w:rsid w:val="00A52F00"/>
    <w:rsid w:val="00A60E1B"/>
    <w:rsid w:val="00A619C4"/>
    <w:rsid w:val="00A62E74"/>
    <w:rsid w:val="00A705EB"/>
    <w:rsid w:val="00A70862"/>
    <w:rsid w:val="00A74383"/>
    <w:rsid w:val="00A743FE"/>
    <w:rsid w:val="00A7759D"/>
    <w:rsid w:val="00A802AE"/>
    <w:rsid w:val="00A81299"/>
    <w:rsid w:val="00A8339A"/>
    <w:rsid w:val="00A937C7"/>
    <w:rsid w:val="00A9651C"/>
    <w:rsid w:val="00AA42BE"/>
    <w:rsid w:val="00AA45C0"/>
    <w:rsid w:val="00AB18B4"/>
    <w:rsid w:val="00AB6C0C"/>
    <w:rsid w:val="00AC0DBD"/>
    <w:rsid w:val="00AC37ED"/>
    <w:rsid w:val="00AC388B"/>
    <w:rsid w:val="00AD1D1A"/>
    <w:rsid w:val="00AD4874"/>
    <w:rsid w:val="00AD5A61"/>
    <w:rsid w:val="00AE329F"/>
    <w:rsid w:val="00AE5F64"/>
    <w:rsid w:val="00AE73ED"/>
    <w:rsid w:val="00AE7E66"/>
    <w:rsid w:val="00AF199C"/>
    <w:rsid w:val="00AF25D3"/>
    <w:rsid w:val="00AF31CA"/>
    <w:rsid w:val="00AF4966"/>
    <w:rsid w:val="00AF6FB7"/>
    <w:rsid w:val="00AF7764"/>
    <w:rsid w:val="00B01597"/>
    <w:rsid w:val="00B04D87"/>
    <w:rsid w:val="00B04D89"/>
    <w:rsid w:val="00B04DF5"/>
    <w:rsid w:val="00B05FC7"/>
    <w:rsid w:val="00B070C4"/>
    <w:rsid w:val="00B12231"/>
    <w:rsid w:val="00B126D1"/>
    <w:rsid w:val="00B13C8D"/>
    <w:rsid w:val="00B15296"/>
    <w:rsid w:val="00B155FF"/>
    <w:rsid w:val="00B1570F"/>
    <w:rsid w:val="00B15BB9"/>
    <w:rsid w:val="00B247B9"/>
    <w:rsid w:val="00B275B5"/>
    <w:rsid w:val="00B30E46"/>
    <w:rsid w:val="00B31DD7"/>
    <w:rsid w:val="00B35670"/>
    <w:rsid w:val="00B37FE8"/>
    <w:rsid w:val="00B40F1E"/>
    <w:rsid w:val="00B438A4"/>
    <w:rsid w:val="00B44C38"/>
    <w:rsid w:val="00B4577B"/>
    <w:rsid w:val="00B51132"/>
    <w:rsid w:val="00B5186D"/>
    <w:rsid w:val="00B523C8"/>
    <w:rsid w:val="00B55EDA"/>
    <w:rsid w:val="00B57E80"/>
    <w:rsid w:val="00B6323A"/>
    <w:rsid w:val="00B6451B"/>
    <w:rsid w:val="00B748EF"/>
    <w:rsid w:val="00B7707E"/>
    <w:rsid w:val="00B82A02"/>
    <w:rsid w:val="00B85A14"/>
    <w:rsid w:val="00B85B3A"/>
    <w:rsid w:val="00B85E52"/>
    <w:rsid w:val="00B87225"/>
    <w:rsid w:val="00B87F80"/>
    <w:rsid w:val="00B9204D"/>
    <w:rsid w:val="00BA413F"/>
    <w:rsid w:val="00BA4273"/>
    <w:rsid w:val="00BA7692"/>
    <w:rsid w:val="00BB2ACD"/>
    <w:rsid w:val="00BC0160"/>
    <w:rsid w:val="00BC47C3"/>
    <w:rsid w:val="00BD05F9"/>
    <w:rsid w:val="00BD4E31"/>
    <w:rsid w:val="00BD5169"/>
    <w:rsid w:val="00BE7C54"/>
    <w:rsid w:val="00BF3A25"/>
    <w:rsid w:val="00BF4038"/>
    <w:rsid w:val="00BF617A"/>
    <w:rsid w:val="00BF6485"/>
    <w:rsid w:val="00C041A0"/>
    <w:rsid w:val="00C064BE"/>
    <w:rsid w:val="00C07BB5"/>
    <w:rsid w:val="00C143E9"/>
    <w:rsid w:val="00C15A91"/>
    <w:rsid w:val="00C2107A"/>
    <w:rsid w:val="00C22804"/>
    <w:rsid w:val="00C22BC4"/>
    <w:rsid w:val="00C22EC5"/>
    <w:rsid w:val="00C2305F"/>
    <w:rsid w:val="00C2793E"/>
    <w:rsid w:val="00C30C86"/>
    <w:rsid w:val="00C31443"/>
    <w:rsid w:val="00C315F4"/>
    <w:rsid w:val="00C3171E"/>
    <w:rsid w:val="00C349AB"/>
    <w:rsid w:val="00C34E9B"/>
    <w:rsid w:val="00C35752"/>
    <w:rsid w:val="00C42742"/>
    <w:rsid w:val="00C42FC3"/>
    <w:rsid w:val="00C45CAA"/>
    <w:rsid w:val="00C45DA5"/>
    <w:rsid w:val="00C50927"/>
    <w:rsid w:val="00C52BAF"/>
    <w:rsid w:val="00C535CB"/>
    <w:rsid w:val="00C53E8D"/>
    <w:rsid w:val="00C550C0"/>
    <w:rsid w:val="00C56B03"/>
    <w:rsid w:val="00C57B42"/>
    <w:rsid w:val="00C6034D"/>
    <w:rsid w:val="00C707DE"/>
    <w:rsid w:val="00C7272C"/>
    <w:rsid w:val="00C77126"/>
    <w:rsid w:val="00C83D0C"/>
    <w:rsid w:val="00C843A7"/>
    <w:rsid w:val="00C84890"/>
    <w:rsid w:val="00C849A7"/>
    <w:rsid w:val="00C92163"/>
    <w:rsid w:val="00CA05E5"/>
    <w:rsid w:val="00CA1B34"/>
    <w:rsid w:val="00CA5BE3"/>
    <w:rsid w:val="00CB2592"/>
    <w:rsid w:val="00CB475B"/>
    <w:rsid w:val="00CB7844"/>
    <w:rsid w:val="00CB7D10"/>
    <w:rsid w:val="00CC111C"/>
    <w:rsid w:val="00CC1DEA"/>
    <w:rsid w:val="00CC3E93"/>
    <w:rsid w:val="00CC4383"/>
    <w:rsid w:val="00CC543C"/>
    <w:rsid w:val="00CC6FAA"/>
    <w:rsid w:val="00CD1138"/>
    <w:rsid w:val="00CD19D1"/>
    <w:rsid w:val="00CD289D"/>
    <w:rsid w:val="00CD3267"/>
    <w:rsid w:val="00CD3972"/>
    <w:rsid w:val="00CD51E5"/>
    <w:rsid w:val="00CD6BF5"/>
    <w:rsid w:val="00CE024C"/>
    <w:rsid w:val="00CE05A8"/>
    <w:rsid w:val="00CE0984"/>
    <w:rsid w:val="00CE0A65"/>
    <w:rsid w:val="00CE1562"/>
    <w:rsid w:val="00CE4818"/>
    <w:rsid w:val="00CE5BCD"/>
    <w:rsid w:val="00CE63EE"/>
    <w:rsid w:val="00CE7795"/>
    <w:rsid w:val="00CF269F"/>
    <w:rsid w:val="00CF28EC"/>
    <w:rsid w:val="00CF462E"/>
    <w:rsid w:val="00CF4A05"/>
    <w:rsid w:val="00CF6069"/>
    <w:rsid w:val="00D0109A"/>
    <w:rsid w:val="00D021FD"/>
    <w:rsid w:val="00D03D12"/>
    <w:rsid w:val="00D06DF7"/>
    <w:rsid w:val="00D074EF"/>
    <w:rsid w:val="00D07816"/>
    <w:rsid w:val="00D15E66"/>
    <w:rsid w:val="00D17639"/>
    <w:rsid w:val="00D22275"/>
    <w:rsid w:val="00D24FB4"/>
    <w:rsid w:val="00D252EB"/>
    <w:rsid w:val="00D25C2D"/>
    <w:rsid w:val="00D27623"/>
    <w:rsid w:val="00D30C6D"/>
    <w:rsid w:val="00D349FF"/>
    <w:rsid w:val="00D35B46"/>
    <w:rsid w:val="00D360D8"/>
    <w:rsid w:val="00D42296"/>
    <w:rsid w:val="00D45D24"/>
    <w:rsid w:val="00D4600E"/>
    <w:rsid w:val="00D50F1B"/>
    <w:rsid w:val="00D53A17"/>
    <w:rsid w:val="00D55026"/>
    <w:rsid w:val="00D558C1"/>
    <w:rsid w:val="00D6016C"/>
    <w:rsid w:val="00D62636"/>
    <w:rsid w:val="00D63029"/>
    <w:rsid w:val="00D67448"/>
    <w:rsid w:val="00D71D8F"/>
    <w:rsid w:val="00D7258F"/>
    <w:rsid w:val="00D729FC"/>
    <w:rsid w:val="00D762FF"/>
    <w:rsid w:val="00D812E2"/>
    <w:rsid w:val="00D87278"/>
    <w:rsid w:val="00D944C7"/>
    <w:rsid w:val="00D950B0"/>
    <w:rsid w:val="00D9524D"/>
    <w:rsid w:val="00DA1C41"/>
    <w:rsid w:val="00DA6058"/>
    <w:rsid w:val="00DB0DC2"/>
    <w:rsid w:val="00DB1B4B"/>
    <w:rsid w:val="00DB1BB4"/>
    <w:rsid w:val="00DB27FE"/>
    <w:rsid w:val="00DB6036"/>
    <w:rsid w:val="00DB6A28"/>
    <w:rsid w:val="00DB6D92"/>
    <w:rsid w:val="00DB708B"/>
    <w:rsid w:val="00DC119C"/>
    <w:rsid w:val="00DC1D10"/>
    <w:rsid w:val="00DC5307"/>
    <w:rsid w:val="00DC6D6B"/>
    <w:rsid w:val="00DD1CB6"/>
    <w:rsid w:val="00DD3890"/>
    <w:rsid w:val="00DD3A69"/>
    <w:rsid w:val="00DE4AA1"/>
    <w:rsid w:val="00DE5FC4"/>
    <w:rsid w:val="00DE6CB3"/>
    <w:rsid w:val="00DE75FA"/>
    <w:rsid w:val="00DF0B21"/>
    <w:rsid w:val="00DF1132"/>
    <w:rsid w:val="00DF2202"/>
    <w:rsid w:val="00DF5A1A"/>
    <w:rsid w:val="00E00492"/>
    <w:rsid w:val="00E04CBB"/>
    <w:rsid w:val="00E06D99"/>
    <w:rsid w:val="00E11747"/>
    <w:rsid w:val="00E17421"/>
    <w:rsid w:val="00E175FB"/>
    <w:rsid w:val="00E23C06"/>
    <w:rsid w:val="00E32580"/>
    <w:rsid w:val="00E356FC"/>
    <w:rsid w:val="00E42015"/>
    <w:rsid w:val="00E4275F"/>
    <w:rsid w:val="00E42C80"/>
    <w:rsid w:val="00E45F8D"/>
    <w:rsid w:val="00E50E30"/>
    <w:rsid w:val="00E54137"/>
    <w:rsid w:val="00E55396"/>
    <w:rsid w:val="00E578D0"/>
    <w:rsid w:val="00E57E32"/>
    <w:rsid w:val="00E615C9"/>
    <w:rsid w:val="00E7143F"/>
    <w:rsid w:val="00E73332"/>
    <w:rsid w:val="00E75D75"/>
    <w:rsid w:val="00E76149"/>
    <w:rsid w:val="00E7626E"/>
    <w:rsid w:val="00E76768"/>
    <w:rsid w:val="00E76EC2"/>
    <w:rsid w:val="00E81A8B"/>
    <w:rsid w:val="00E81B1C"/>
    <w:rsid w:val="00E85EB5"/>
    <w:rsid w:val="00E86052"/>
    <w:rsid w:val="00E95156"/>
    <w:rsid w:val="00EA2644"/>
    <w:rsid w:val="00EB0AE4"/>
    <w:rsid w:val="00EB371A"/>
    <w:rsid w:val="00EB4525"/>
    <w:rsid w:val="00EB4B01"/>
    <w:rsid w:val="00EB5FE5"/>
    <w:rsid w:val="00EC6776"/>
    <w:rsid w:val="00ED02B5"/>
    <w:rsid w:val="00ED0A17"/>
    <w:rsid w:val="00ED0DBE"/>
    <w:rsid w:val="00ED219F"/>
    <w:rsid w:val="00ED2EEF"/>
    <w:rsid w:val="00ED3CC6"/>
    <w:rsid w:val="00ED6810"/>
    <w:rsid w:val="00ED726E"/>
    <w:rsid w:val="00EE22E0"/>
    <w:rsid w:val="00EE2CB0"/>
    <w:rsid w:val="00EE53CA"/>
    <w:rsid w:val="00EE5D5E"/>
    <w:rsid w:val="00EE66ED"/>
    <w:rsid w:val="00EE6A6B"/>
    <w:rsid w:val="00EE793C"/>
    <w:rsid w:val="00EF233A"/>
    <w:rsid w:val="00EF33E6"/>
    <w:rsid w:val="00EF44A5"/>
    <w:rsid w:val="00EF47AC"/>
    <w:rsid w:val="00EF7240"/>
    <w:rsid w:val="00F00121"/>
    <w:rsid w:val="00F0072C"/>
    <w:rsid w:val="00F11A3A"/>
    <w:rsid w:val="00F11E58"/>
    <w:rsid w:val="00F12EC5"/>
    <w:rsid w:val="00F16D5B"/>
    <w:rsid w:val="00F17897"/>
    <w:rsid w:val="00F22096"/>
    <w:rsid w:val="00F24796"/>
    <w:rsid w:val="00F25E2B"/>
    <w:rsid w:val="00F31053"/>
    <w:rsid w:val="00F3411F"/>
    <w:rsid w:val="00F3493D"/>
    <w:rsid w:val="00F366DD"/>
    <w:rsid w:val="00F4146E"/>
    <w:rsid w:val="00F416EA"/>
    <w:rsid w:val="00F46FA9"/>
    <w:rsid w:val="00F51010"/>
    <w:rsid w:val="00F5406F"/>
    <w:rsid w:val="00F55A2C"/>
    <w:rsid w:val="00F56A2D"/>
    <w:rsid w:val="00F60FFA"/>
    <w:rsid w:val="00F63CCB"/>
    <w:rsid w:val="00F6501C"/>
    <w:rsid w:val="00F66403"/>
    <w:rsid w:val="00F70B40"/>
    <w:rsid w:val="00F73D18"/>
    <w:rsid w:val="00F753D8"/>
    <w:rsid w:val="00F83268"/>
    <w:rsid w:val="00F83CEE"/>
    <w:rsid w:val="00F8419B"/>
    <w:rsid w:val="00F903C7"/>
    <w:rsid w:val="00F92747"/>
    <w:rsid w:val="00F96351"/>
    <w:rsid w:val="00FA34DF"/>
    <w:rsid w:val="00FA5415"/>
    <w:rsid w:val="00FA6865"/>
    <w:rsid w:val="00FB0BA4"/>
    <w:rsid w:val="00FB2606"/>
    <w:rsid w:val="00FB43AE"/>
    <w:rsid w:val="00FB5BD4"/>
    <w:rsid w:val="00FC12FB"/>
    <w:rsid w:val="00FC342B"/>
    <w:rsid w:val="00FC3661"/>
    <w:rsid w:val="00FC3AB4"/>
    <w:rsid w:val="00FC66D5"/>
    <w:rsid w:val="00FD1544"/>
    <w:rsid w:val="00FD38B2"/>
    <w:rsid w:val="00FD5B79"/>
    <w:rsid w:val="00FD605C"/>
    <w:rsid w:val="00FE201F"/>
    <w:rsid w:val="00FE4E32"/>
    <w:rsid w:val="00FF37A6"/>
    <w:rsid w:val="00FF5B75"/>
    <w:rsid w:val="00FF753D"/>
    <w:rsid w:val="00FF7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3F"/>
    <w:pPr>
      <w:widowControl w:val="0"/>
    </w:pPr>
    <w:rPr>
      <w:rFonts w:cs="Calibri"/>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E5080"/>
    <w:pPr>
      <w:tabs>
        <w:tab w:val="center" w:pos="4153"/>
        <w:tab w:val="right" w:pos="8306"/>
      </w:tabs>
      <w:snapToGrid w:val="0"/>
    </w:pPr>
    <w:rPr>
      <w:sz w:val="20"/>
      <w:szCs w:val="20"/>
    </w:rPr>
  </w:style>
  <w:style w:type="character" w:customStyle="1" w:styleId="Char">
    <w:name w:val="页眉 Char"/>
    <w:basedOn w:val="a0"/>
    <w:link w:val="a3"/>
    <w:uiPriority w:val="99"/>
    <w:semiHidden/>
    <w:locked/>
    <w:rsid w:val="004E5080"/>
    <w:rPr>
      <w:sz w:val="20"/>
      <w:szCs w:val="20"/>
    </w:rPr>
  </w:style>
  <w:style w:type="paragraph" w:styleId="a4">
    <w:name w:val="footer"/>
    <w:basedOn w:val="a"/>
    <w:link w:val="Char0"/>
    <w:uiPriority w:val="99"/>
    <w:rsid w:val="004E5080"/>
    <w:pPr>
      <w:tabs>
        <w:tab w:val="center" w:pos="4153"/>
        <w:tab w:val="right" w:pos="8306"/>
      </w:tabs>
      <w:snapToGrid w:val="0"/>
    </w:pPr>
    <w:rPr>
      <w:sz w:val="20"/>
      <w:szCs w:val="20"/>
    </w:rPr>
  </w:style>
  <w:style w:type="character" w:customStyle="1" w:styleId="Char0">
    <w:name w:val="页脚 Char"/>
    <w:basedOn w:val="a0"/>
    <w:link w:val="a4"/>
    <w:uiPriority w:val="99"/>
    <w:locked/>
    <w:rsid w:val="004E5080"/>
    <w:rPr>
      <w:sz w:val="20"/>
      <w:szCs w:val="20"/>
    </w:rPr>
  </w:style>
  <w:style w:type="table" w:styleId="a5">
    <w:name w:val="Table Grid"/>
    <w:basedOn w:val="a1"/>
    <w:uiPriority w:val="99"/>
    <w:rsid w:val="0067680B"/>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8A0030"/>
    <w:rPr>
      <w:color w:val="0000FF"/>
      <w:u w:val="single"/>
    </w:rPr>
  </w:style>
  <w:style w:type="character" w:customStyle="1" w:styleId="blockemailwithname2">
    <w:name w:val="blockemailwithname2"/>
    <w:basedOn w:val="a0"/>
    <w:uiPriority w:val="99"/>
    <w:rsid w:val="00555A70"/>
    <w:rPr>
      <w:color w:val="auto"/>
    </w:rPr>
  </w:style>
  <w:style w:type="paragraph" w:styleId="a7">
    <w:name w:val="List Paragraph"/>
    <w:basedOn w:val="a"/>
    <w:uiPriority w:val="99"/>
    <w:qFormat/>
    <w:rsid w:val="00D17639"/>
    <w:pPr>
      <w:ind w:leftChars="200" w:left="480"/>
    </w:pPr>
  </w:style>
  <w:style w:type="character" w:customStyle="1" w:styleId="titles-source">
    <w:name w:val="titles-source"/>
    <w:basedOn w:val="a0"/>
    <w:uiPriority w:val="99"/>
    <w:rsid w:val="001377CD"/>
  </w:style>
  <w:style w:type="character" w:customStyle="1" w:styleId="titles-title">
    <w:name w:val="titles-title"/>
    <w:basedOn w:val="a0"/>
    <w:uiPriority w:val="99"/>
    <w:rsid w:val="001377CD"/>
  </w:style>
  <w:style w:type="character" w:customStyle="1" w:styleId="bibrecord-highlight-user">
    <w:name w:val="bibrecord-highlight-user"/>
    <w:basedOn w:val="a0"/>
    <w:uiPriority w:val="99"/>
    <w:rsid w:val="001377CD"/>
  </w:style>
  <w:style w:type="paragraph" w:styleId="a8">
    <w:name w:val="Balloon Text"/>
    <w:basedOn w:val="a"/>
    <w:link w:val="Char1"/>
    <w:uiPriority w:val="99"/>
    <w:semiHidden/>
    <w:rsid w:val="00D25C2D"/>
    <w:rPr>
      <w:rFonts w:ascii="Tahoma" w:eastAsia="宋体" w:hAnsi="Tahoma" w:cs="Tahoma"/>
      <w:sz w:val="16"/>
      <w:szCs w:val="16"/>
    </w:rPr>
  </w:style>
  <w:style w:type="character" w:customStyle="1" w:styleId="Char1">
    <w:name w:val="批注框文本 Char"/>
    <w:basedOn w:val="a0"/>
    <w:link w:val="a8"/>
    <w:uiPriority w:val="99"/>
    <w:semiHidden/>
    <w:locked/>
    <w:rsid w:val="00D25C2D"/>
    <w:rPr>
      <w:rFonts w:ascii="Tahoma" w:eastAsia="宋体" w:hAnsi="Tahoma" w:cs="Tahoma"/>
      <w:sz w:val="18"/>
      <w:szCs w:val="18"/>
    </w:rPr>
  </w:style>
  <w:style w:type="character" w:styleId="a9">
    <w:name w:val="Strong"/>
    <w:basedOn w:val="a0"/>
    <w:uiPriority w:val="99"/>
    <w:qFormat/>
    <w:locked/>
    <w:rsid w:val="00A05013"/>
    <w:rPr>
      <w:b/>
      <w:bCs/>
    </w:rPr>
  </w:style>
  <w:style w:type="character" w:customStyle="1" w:styleId="pagecontents1">
    <w:name w:val="pagecontents1"/>
    <w:basedOn w:val="a0"/>
    <w:uiPriority w:val="99"/>
    <w:rsid w:val="00A05013"/>
    <w:rPr>
      <w:rFonts w:ascii="Verdana" w:hAnsi="Verdana" w:cs="Verdana"/>
      <w:color w:val="000000"/>
      <w:sz w:val="8"/>
      <w:szCs w:val="8"/>
    </w:rPr>
  </w:style>
  <w:style w:type="character" w:customStyle="1" w:styleId="maintitle">
    <w:name w:val="maintitle"/>
    <w:basedOn w:val="a0"/>
    <w:uiPriority w:val="99"/>
    <w:rsid w:val="00261B66"/>
  </w:style>
  <w:style w:type="character" w:customStyle="1" w:styleId="abscitationtitle">
    <w:name w:val="abs_citation_title"/>
    <w:basedOn w:val="a0"/>
    <w:uiPriority w:val="99"/>
    <w:rsid w:val="000571F7"/>
  </w:style>
  <w:style w:type="character" w:styleId="aa">
    <w:name w:val="annotation reference"/>
    <w:basedOn w:val="a0"/>
    <w:uiPriority w:val="99"/>
    <w:semiHidden/>
    <w:rsid w:val="00774343"/>
    <w:rPr>
      <w:sz w:val="18"/>
      <w:szCs w:val="18"/>
    </w:rPr>
  </w:style>
  <w:style w:type="paragraph" w:styleId="ab">
    <w:name w:val="annotation text"/>
    <w:basedOn w:val="a"/>
    <w:link w:val="Char2"/>
    <w:uiPriority w:val="99"/>
    <w:semiHidden/>
    <w:rsid w:val="00774343"/>
  </w:style>
  <w:style w:type="character" w:customStyle="1" w:styleId="Char2">
    <w:name w:val="批注文字 Char"/>
    <w:basedOn w:val="a0"/>
    <w:link w:val="ab"/>
    <w:uiPriority w:val="99"/>
    <w:locked/>
    <w:rsid w:val="00774343"/>
    <w:rPr>
      <w:sz w:val="24"/>
      <w:szCs w:val="24"/>
    </w:rPr>
  </w:style>
  <w:style w:type="paragraph" w:styleId="ac">
    <w:name w:val="annotation subject"/>
    <w:basedOn w:val="ab"/>
    <w:next w:val="ab"/>
    <w:link w:val="Char3"/>
    <w:uiPriority w:val="99"/>
    <w:semiHidden/>
    <w:rsid w:val="00774343"/>
    <w:rPr>
      <w:b/>
      <w:bCs/>
      <w:sz w:val="20"/>
      <w:szCs w:val="20"/>
    </w:rPr>
  </w:style>
  <w:style w:type="character" w:customStyle="1" w:styleId="Char3">
    <w:name w:val="批注主题 Char"/>
    <w:basedOn w:val="Char2"/>
    <w:link w:val="ac"/>
    <w:uiPriority w:val="99"/>
    <w:semiHidden/>
    <w:locked/>
    <w:rsid w:val="00774343"/>
    <w:rPr>
      <w:b/>
      <w:bCs/>
      <w:sz w:val="20"/>
      <w:szCs w:val="20"/>
    </w:rPr>
  </w:style>
  <w:style w:type="paragraph" w:styleId="ad">
    <w:name w:val="Revision"/>
    <w:hidden/>
    <w:uiPriority w:val="99"/>
    <w:semiHidden/>
    <w:rsid w:val="00774343"/>
    <w:rPr>
      <w:rFonts w:cs="Calibri"/>
      <w:sz w:val="24"/>
      <w:szCs w:val="24"/>
      <w:lang w:eastAsia="zh-TW"/>
    </w:rPr>
  </w:style>
  <w:style w:type="paragraph" w:customStyle="1" w:styleId="p0">
    <w:name w:val="p0"/>
    <w:basedOn w:val="a"/>
    <w:uiPriority w:val="99"/>
    <w:rsid w:val="005C0B66"/>
    <w:pPr>
      <w:widowControl/>
      <w:spacing w:line="240" w:lineRule="atLeast"/>
    </w:pPr>
    <w:rPr>
      <w:rFonts w:ascii="Century" w:eastAsia="宋体" w:hAnsi="Century" w:cs="Century"/>
      <w:kern w:val="0"/>
      <w:sz w:val="21"/>
      <w:szCs w:val="21"/>
      <w:lang w:eastAsia="zh-CN"/>
    </w:rPr>
  </w:style>
  <w:style w:type="paragraph" w:customStyle="1" w:styleId="p15">
    <w:name w:val="p15"/>
    <w:basedOn w:val="a"/>
    <w:uiPriority w:val="99"/>
    <w:rsid w:val="000B416C"/>
    <w:pPr>
      <w:widowControl/>
      <w:ind w:left="420"/>
    </w:pPr>
    <w:rPr>
      <w:rFonts w:eastAsia="宋体"/>
      <w:kern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3F"/>
    <w:pPr>
      <w:widowControl w:val="0"/>
    </w:pPr>
    <w:rPr>
      <w:rFonts w:cs="Calibri"/>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E5080"/>
    <w:pPr>
      <w:tabs>
        <w:tab w:val="center" w:pos="4153"/>
        <w:tab w:val="right" w:pos="8306"/>
      </w:tabs>
      <w:snapToGrid w:val="0"/>
    </w:pPr>
    <w:rPr>
      <w:sz w:val="20"/>
      <w:szCs w:val="20"/>
    </w:rPr>
  </w:style>
  <w:style w:type="character" w:customStyle="1" w:styleId="Char">
    <w:name w:val="页眉 Char"/>
    <w:basedOn w:val="a0"/>
    <w:link w:val="a3"/>
    <w:uiPriority w:val="99"/>
    <w:semiHidden/>
    <w:locked/>
    <w:rsid w:val="004E5080"/>
    <w:rPr>
      <w:sz w:val="20"/>
      <w:szCs w:val="20"/>
    </w:rPr>
  </w:style>
  <w:style w:type="paragraph" w:styleId="a4">
    <w:name w:val="footer"/>
    <w:basedOn w:val="a"/>
    <w:link w:val="Char0"/>
    <w:uiPriority w:val="99"/>
    <w:rsid w:val="004E5080"/>
    <w:pPr>
      <w:tabs>
        <w:tab w:val="center" w:pos="4153"/>
        <w:tab w:val="right" w:pos="8306"/>
      </w:tabs>
      <w:snapToGrid w:val="0"/>
    </w:pPr>
    <w:rPr>
      <w:sz w:val="20"/>
      <w:szCs w:val="20"/>
    </w:rPr>
  </w:style>
  <w:style w:type="character" w:customStyle="1" w:styleId="Char0">
    <w:name w:val="页脚 Char"/>
    <w:basedOn w:val="a0"/>
    <w:link w:val="a4"/>
    <w:uiPriority w:val="99"/>
    <w:locked/>
    <w:rsid w:val="004E5080"/>
    <w:rPr>
      <w:sz w:val="20"/>
      <w:szCs w:val="20"/>
    </w:rPr>
  </w:style>
  <w:style w:type="table" w:styleId="a5">
    <w:name w:val="Table Grid"/>
    <w:basedOn w:val="a1"/>
    <w:uiPriority w:val="99"/>
    <w:rsid w:val="0067680B"/>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8A0030"/>
    <w:rPr>
      <w:color w:val="0000FF"/>
      <w:u w:val="single"/>
    </w:rPr>
  </w:style>
  <w:style w:type="character" w:customStyle="1" w:styleId="blockemailwithname2">
    <w:name w:val="blockemailwithname2"/>
    <w:basedOn w:val="a0"/>
    <w:uiPriority w:val="99"/>
    <w:rsid w:val="00555A70"/>
    <w:rPr>
      <w:color w:val="auto"/>
    </w:rPr>
  </w:style>
  <w:style w:type="paragraph" w:styleId="a7">
    <w:name w:val="List Paragraph"/>
    <w:basedOn w:val="a"/>
    <w:uiPriority w:val="99"/>
    <w:qFormat/>
    <w:rsid w:val="00D17639"/>
    <w:pPr>
      <w:ind w:leftChars="200" w:left="480"/>
    </w:pPr>
  </w:style>
  <w:style w:type="character" w:customStyle="1" w:styleId="titles-source">
    <w:name w:val="titles-source"/>
    <w:basedOn w:val="a0"/>
    <w:uiPriority w:val="99"/>
    <w:rsid w:val="001377CD"/>
  </w:style>
  <w:style w:type="character" w:customStyle="1" w:styleId="titles-title">
    <w:name w:val="titles-title"/>
    <w:basedOn w:val="a0"/>
    <w:uiPriority w:val="99"/>
    <w:rsid w:val="001377CD"/>
  </w:style>
  <w:style w:type="character" w:customStyle="1" w:styleId="bibrecord-highlight-user">
    <w:name w:val="bibrecord-highlight-user"/>
    <w:basedOn w:val="a0"/>
    <w:uiPriority w:val="99"/>
    <w:rsid w:val="001377CD"/>
  </w:style>
  <w:style w:type="paragraph" w:styleId="a8">
    <w:name w:val="Balloon Text"/>
    <w:basedOn w:val="a"/>
    <w:link w:val="Char1"/>
    <w:uiPriority w:val="99"/>
    <w:semiHidden/>
    <w:rsid w:val="00D25C2D"/>
    <w:rPr>
      <w:rFonts w:ascii="Tahoma" w:eastAsia="宋体" w:hAnsi="Tahoma" w:cs="Tahoma"/>
      <w:sz w:val="16"/>
      <w:szCs w:val="16"/>
    </w:rPr>
  </w:style>
  <w:style w:type="character" w:customStyle="1" w:styleId="Char1">
    <w:name w:val="批注框文本 Char"/>
    <w:basedOn w:val="a0"/>
    <w:link w:val="a8"/>
    <w:uiPriority w:val="99"/>
    <w:semiHidden/>
    <w:locked/>
    <w:rsid w:val="00D25C2D"/>
    <w:rPr>
      <w:rFonts w:ascii="Tahoma" w:eastAsia="宋体" w:hAnsi="Tahoma" w:cs="Tahoma"/>
      <w:sz w:val="18"/>
      <w:szCs w:val="18"/>
    </w:rPr>
  </w:style>
  <w:style w:type="character" w:styleId="a9">
    <w:name w:val="Strong"/>
    <w:basedOn w:val="a0"/>
    <w:uiPriority w:val="99"/>
    <w:qFormat/>
    <w:locked/>
    <w:rsid w:val="00A05013"/>
    <w:rPr>
      <w:b/>
      <w:bCs/>
    </w:rPr>
  </w:style>
  <w:style w:type="character" w:customStyle="1" w:styleId="pagecontents1">
    <w:name w:val="pagecontents1"/>
    <w:basedOn w:val="a0"/>
    <w:uiPriority w:val="99"/>
    <w:rsid w:val="00A05013"/>
    <w:rPr>
      <w:rFonts w:ascii="Verdana" w:hAnsi="Verdana" w:cs="Verdana"/>
      <w:color w:val="000000"/>
      <w:sz w:val="8"/>
      <w:szCs w:val="8"/>
    </w:rPr>
  </w:style>
  <w:style w:type="character" w:customStyle="1" w:styleId="maintitle">
    <w:name w:val="maintitle"/>
    <w:basedOn w:val="a0"/>
    <w:uiPriority w:val="99"/>
    <w:rsid w:val="00261B66"/>
  </w:style>
  <w:style w:type="character" w:customStyle="1" w:styleId="abscitationtitle">
    <w:name w:val="abs_citation_title"/>
    <w:basedOn w:val="a0"/>
    <w:uiPriority w:val="99"/>
    <w:rsid w:val="000571F7"/>
  </w:style>
  <w:style w:type="character" w:styleId="aa">
    <w:name w:val="annotation reference"/>
    <w:basedOn w:val="a0"/>
    <w:uiPriority w:val="99"/>
    <w:semiHidden/>
    <w:rsid w:val="00774343"/>
    <w:rPr>
      <w:sz w:val="18"/>
      <w:szCs w:val="18"/>
    </w:rPr>
  </w:style>
  <w:style w:type="paragraph" w:styleId="ab">
    <w:name w:val="annotation text"/>
    <w:basedOn w:val="a"/>
    <w:link w:val="Char2"/>
    <w:uiPriority w:val="99"/>
    <w:semiHidden/>
    <w:rsid w:val="00774343"/>
  </w:style>
  <w:style w:type="character" w:customStyle="1" w:styleId="Char2">
    <w:name w:val="批注文字 Char"/>
    <w:basedOn w:val="a0"/>
    <w:link w:val="ab"/>
    <w:uiPriority w:val="99"/>
    <w:locked/>
    <w:rsid w:val="00774343"/>
    <w:rPr>
      <w:sz w:val="24"/>
      <w:szCs w:val="24"/>
    </w:rPr>
  </w:style>
  <w:style w:type="paragraph" w:styleId="ac">
    <w:name w:val="annotation subject"/>
    <w:basedOn w:val="ab"/>
    <w:next w:val="ab"/>
    <w:link w:val="Char3"/>
    <w:uiPriority w:val="99"/>
    <w:semiHidden/>
    <w:rsid w:val="00774343"/>
    <w:rPr>
      <w:b/>
      <w:bCs/>
      <w:sz w:val="20"/>
      <w:szCs w:val="20"/>
    </w:rPr>
  </w:style>
  <w:style w:type="character" w:customStyle="1" w:styleId="Char3">
    <w:name w:val="批注主题 Char"/>
    <w:basedOn w:val="Char2"/>
    <w:link w:val="ac"/>
    <w:uiPriority w:val="99"/>
    <w:semiHidden/>
    <w:locked/>
    <w:rsid w:val="00774343"/>
    <w:rPr>
      <w:b/>
      <w:bCs/>
      <w:sz w:val="20"/>
      <w:szCs w:val="20"/>
    </w:rPr>
  </w:style>
  <w:style w:type="paragraph" w:styleId="ad">
    <w:name w:val="Revision"/>
    <w:hidden/>
    <w:uiPriority w:val="99"/>
    <w:semiHidden/>
    <w:rsid w:val="00774343"/>
    <w:rPr>
      <w:rFonts w:cs="Calibri"/>
      <w:sz w:val="24"/>
      <w:szCs w:val="24"/>
      <w:lang w:eastAsia="zh-TW"/>
    </w:rPr>
  </w:style>
  <w:style w:type="paragraph" w:customStyle="1" w:styleId="p0">
    <w:name w:val="p0"/>
    <w:basedOn w:val="a"/>
    <w:uiPriority w:val="99"/>
    <w:rsid w:val="005C0B66"/>
    <w:pPr>
      <w:widowControl/>
      <w:spacing w:line="240" w:lineRule="atLeast"/>
    </w:pPr>
    <w:rPr>
      <w:rFonts w:ascii="Century" w:eastAsia="宋体" w:hAnsi="Century" w:cs="Century"/>
      <w:kern w:val="0"/>
      <w:sz w:val="21"/>
      <w:szCs w:val="21"/>
      <w:lang w:eastAsia="zh-CN"/>
    </w:rPr>
  </w:style>
  <w:style w:type="paragraph" w:customStyle="1" w:styleId="p15">
    <w:name w:val="p15"/>
    <w:basedOn w:val="a"/>
    <w:uiPriority w:val="99"/>
    <w:rsid w:val="000B416C"/>
    <w:pPr>
      <w:widowControl/>
      <w:ind w:left="420"/>
    </w:pPr>
    <w:rPr>
      <w:rFonts w:eastAsia="宋体"/>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78505">
      <w:marLeft w:val="0"/>
      <w:marRight w:val="0"/>
      <w:marTop w:val="0"/>
      <w:marBottom w:val="0"/>
      <w:divBdr>
        <w:top w:val="none" w:sz="0" w:space="0" w:color="auto"/>
        <w:left w:val="none" w:sz="0" w:space="0" w:color="auto"/>
        <w:bottom w:val="none" w:sz="0" w:space="0" w:color="auto"/>
        <w:right w:val="none" w:sz="0" w:space="0" w:color="auto"/>
      </w:divBdr>
    </w:div>
    <w:div w:id="669678512">
      <w:marLeft w:val="0"/>
      <w:marRight w:val="0"/>
      <w:marTop w:val="0"/>
      <w:marBottom w:val="0"/>
      <w:divBdr>
        <w:top w:val="none" w:sz="0" w:space="0" w:color="auto"/>
        <w:left w:val="none" w:sz="0" w:space="0" w:color="auto"/>
        <w:bottom w:val="none" w:sz="0" w:space="0" w:color="auto"/>
        <w:right w:val="none" w:sz="0" w:space="0" w:color="auto"/>
      </w:divBdr>
      <w:divsChild>
        <w:div w:id="669678546">
          <w:marLeft w:val="0"/>
          <w:marRight w:val="0"/>
          <w:marTop w:val="0"/>
          <w:marBottom w:val="0"/>
          <w:divBdr>
            <w:top w:val="none" w:sz="0" w:space="0" w:color="auto"/>
            <w:left w:val="none" w:sz="0" w:space="0" w:color="auto"/>
            <w:bottom w:val="none" w:sz="0" w:space="0" w:color="auto"/>
            <w:right w:val="none" w:sz="0" w:space="0" w:color="auto"/>
          </w:divBdr>
          <w:divsChild>
            <w:div w:id="669678502">
              <w:marLeft w:val="0"/>
              <w:marRight w:val="0"/>
              <w:marTop w:val="0"/>
              <w:marBottom w:val="0"/>
              <w:divBdr>
                <w:top w:val="none" w:sz="0" w:space="0" w:color="auto"/>
                <w:left w:val="none" w:sz="0" w:space="0" w:color="auto"/>
                <w:bottom w:val="none" w:sz="0" w:space="0" w:color="auto"/>
                <w:right w:val="none" w:sz="0" w:space="0" w:color="auto"/>
              </w:divBdr>
            </w:div>
            <w:div w:id="669678503">
              <w:marLeft w:val="0"/>
              <w:marRight w:val="0"/>
              <w:marTop w:val="0"/>
              <w:marBottom w:val="0"/>
              <w:divBdr>
                <w:top w:val="none" w:sz="0" w:space="0" w:color="auto"/>
                <w:left w:val="none" w:sz="0" w:space="0" w:color="auto"/>
                <w:bottom w:val="none" w:sz="0" w:space="0" w:color="auto"/>
                <w:right w:val="none" w:sz="0" w:space="0" w:color="auto"/>
              </w:divBdr>
            </w:div>
            <w:div w:id="669678504">
              <w:marLeft w:val="0"/>
              <w:marRight w:val="0"/>
              <w:marTop w:val="0"/>
              <w:marBottom w:val="0"/>
              <w:divBdr>
                <w:top w:val="none" w:sz="0" w:space="0" w:color="auto"/>
                <w:left w:val="none" w:sz="0" w:space="0" w:color="auto"/>
                <w:bottom w:val="none" w:sz="0" w:space="0" w:color="auto"/>
                <w:right w:val="none" w:sz="0" w:space="0" w:color="auto"/>
              </w:divBdr>
            </w:div>
            <w:div w:id="669678506">
              <w:marLeft w:val="0"/>
              <w:marRight w:val="0"/>
              <w:marTop w:val="0"/>
              <w:marBottom w:val="0"/>
              <w:divBdr>
                <w:top w:val="none" w:sz="0" w:space="0" w:color="auto"/>
                <w:left w:val="none" w:sz="0" w:space="0" w:color="auto"/>
                <w:bottom w:val="none" w:sz="0" w:space="0" w:color="auto"/>
                <w:right w:val="none" w:sz="0" w:space="0" w:color="auto"/>
              </w:divBdr>
            </w:div>
            <w:div w:id="669678507">
              <w:marLeft w:val="0"/>
              <w:marRight w:val="0"/>
              <w:marTop w:val="0"/>
              <w:marBottom w:val="0"/>
              <w:divBdr>
                <w:top w:val="none" w:sz="0" w:space="0" w:color="auto"/>
                <w:left w:val="none" w:sz="0" w:space="0" w:color="auto"/>
                <w:bottom w:val="none" w:sz="0" w:space="0" w:color="auto"/>
                <w:right w:val="none" w:sz="0" w:space="0" w:color="auto"/>
              </w:divBdr>
            </w:div>
            <w:div w:id="669678508">
              <w:marLeft w:val="0"/>
              <w:marRight w:val="0"/>
              <w:marTop w:val="0"/>
              <w:marBottom w:val="0"/>
              <w:divBdr>
                <w:top w:val="none" w:sz="0" w:space="0" w:color="auto"/>
                <w:left w:val="none" w:sz="0" w:space="0" w:color="auto"/>
                <w:bottom w:val="none" w:sz="0" w:space="0" w:color="auto"/>
                <w:right w:val="none" w:sz="0" w:space="0" w:color="auto"/>
              </w:divBdr>
            </w:div>
            <w:div w:id="669678510">
              <w:marLeft w:val="0"/>
              <w:marRight w:val="0"/>
              <w:marTop w:val="0"/>
              <w:marBottom w:val="0"/>
              <w:divBdr>
                <w:top w:val="none" w:sz="0" w:space="0" w:color="auto"/>
                <w:left w:val="none" w:sz="0" w:space="0" w:color="auto"/>
                <w:bottom w:val="none" w:sz="0" w:space="0" w:color="auto"/>
                <w:right w:val="none" w:sz="0" w:space="0" w:color="auto"/>
              </w:divBdr>
            </w:div>
            <w:div w:id="669678511">
              <w:marLeft w:val="0"/>
              <w:marRight w:val="0"/>
              <w:marTop w:val="0"/>
              <w:marBottom w:val="0"/>
              <w:divBdr>
                <w:top w:val="none" w:sz="0" w:space="0" w:color="auto"/>
                <w:left w:val="none" w:sz="0" w:space="0" w:color="auto"/>
                <w:bottom w:val="none" w:sz="0" w:space="0" w:color="auto"/>
                <w:right w:val="none" w:sz="0" w:space="0" w:color="auto"/>
              </w:divBdr>
            </w:div>
            <w:div w:id="669678529">
              <w:marLeft w:val="0"/>
              <w:marRight w:val="0"/>
              <w:marTop w:val="0"/>
              <w:marBottom w:val="0"/>
              <w:divBdr>
                <w:top w:val="none" w:sz="0" w:space="0" w:color="auto"/>
                <w:left w:val="none" w:sz="0" w:space="0" w:color="auto"/>
                <w:bottom w:val="none" w:sz="0" w:space="0" w:color="auto"/>
                <w:right w:val="none" w:sz="0" w:space="0" w:color="auto"/>
              </w:divBdr>
            </w:div>
            <w:div w:id="669678530">
              <w:marLeft w:val="0"/>
              <w:marRight w:val="0"/>
              <w:marTop w:val="0"/>
              <w:marBottom w:val="0"/>
              <w:divBdr>
                <w:top w:val="none" w:sz="0" w:space="0" w:color="auto"/>
                <w:left w:val="none" w:sz="0" w:space="0" w:color="auto"/>
                <w:bottom w:val="none" w:sz="0" w:space="0" w:color="auto"/>
                <w:right w:val="none" w:sz="0" w:space="0" w:color="auto"/>
              </w:divBdr>
            </w:div>
            <w:div w:id="669678531">
              <w:marLeft w:val="0"/>
              <w:marRight w:val="0"/>
              <w:marTop w:val="0"/>
              <w:marBottom w:val="0"/>
              <w:divBdr>
                <w:top w:val="none" w:sz="0" w:space="0" w:color="auto"/>
                <w:left w:val="none" w:sz="0" w:space="0" w:color="auto"/>
                <w:bottom w:val="none" w:sz="0" w:space="0" w:color="auto"/>
                <w:right w:val="none" w:sz="0" w:space="0" w:color="auto"/>
              </w:divBdr>
            </w:div>
            <w:div w:id="669678532">
              <w:marLeft w:val="0"/>
              <w:marRight w:val="0"/>
              <w:marTop w:val="0"/>
              <w:marBottom w:val="0"/>
              <w:divBdr>
                <w:top w:val="none" w:sz="0" w:space="0" w:color="auto"/>
                <w:left w:val="none" w:sz="0" w:space="0" w:color="auto"/>
                <w:bottom w:val="none" w:sz="0" w:space="0" w:color="auto"/>
                <w:right w:val="none" w:sz="0" w:space="0" w:color="auto"/>
              </w:divBdr>
            </w:div>
            <w:div w:id="669678533">
              <w:marLeft w:val="0"/>
              <w:marRight w:val="0"/>
              <w:marTop w:val="0"/>
              <w:marBottom w:val="0"/>
              <w:divBdr>
                <w:top w:val="none" w:sz="0" w:space="0" w:color="auto"/>
                <w:left w:val="none" w:sz="0" w:space="0" w:color="auto"/>
                <w:bottom w:val="none" w:sz="0" w:space="0" w:color="auto"/>
                <w:right w:val="none" w:sz="0" w:space="0" w:color="auto"/>
              </w:divBdr>
            </w:div>
            <w:div w:id="669678534">
              <w:marLeft w:val="0"/>
              <w:marRight w:val="0"/>
              <w:marTop w:val="0"/>
              <w:marBottom w:val="0"/>
              <w:divBdr>
                <w:top w:val="none" w:sz="0" w:space="0" w:color="auto"/>
                <w:left w:val="none" w:sz="0" w:space="0" w:color="auto"/>
                <w:bottom w:val="none" w:sz="0" w:space="0" w:color="auto"/>
                <w:right w:val="none" w:sz="0" w:space="0" w:color="auto"/>
              </w:divBdr>
            </w:div>
            <w:div w:id="669678535">
              <w:marLeft w:val="0"/>
              <w:marRight w:val="0"/>
              <w:marTop w:val="0"/>
              <w:marBottom w:val="0"/>
              <w:divBdr>
                <w:top w:val="none" w:sz="0" w:space="0" w:color="auto"/>
                <w:left w:val="none" w:sz="0" w:space="0" w:color="auto"/>
                <w:bottom w:val="none" w:sz="0" w:space="0" w:color="auto"/>
                <w:right w:val="none" w:sz="0" w:space="0" w:color="auto"/>
              </w:divBdr>
            </w:div>
            <w:div w:id="669678536">
              <w:marLeft w:val="0"/>
              <w:marRight w:val="0"/>
              <w:marTop w:val="0"/>
              <w:marBottom w:val="0"/>
              <w:divBdr>
                <w:top w:val="none" w:sz="0" w:space="0" w:color="auto"/>
                <w:left w:val="none" w:sz="0" w:space="0" w:color="auto"/>
                <w:bottom w:val="none" w:sz="0" w:space="0" w:color="auto"/>
                <w:right w:val="none" w:sz="0" w:space="0" w:color="auto"/>
              </w:divBdr>
            </w:div>
            <w:div w:id="669678538">
              <w:marLeft w:val="0"/>
              <w:marRight w:val="0"/>
              <w:marTop w:val="0"/>
              <w:marBottom w:val="0"/>
              <w:divBdr>
                <w:top w:val="none" w:sz="0" w:space="0" w:color="auto"/>
                <w:left w:val="none" w:sz="0" w:space="0" w:color="auto"/>
                <w:bottom w:val="none" w:sz="0" w:space="0" w:color="auto"/>
                <w:right w:val="none" w:sz="0" w:space="0" w:color="auto"/>
              </w:divBdr>
            </w:div>
            <w:div w:id="669678539">
              <w:marLeft w:val="0"/>
              <w:marRight w:val="0"/>
              <w:marTop w:val="0"/>
              <w:marBottom w:val="0"/>
              <w:divBdr>
                <w:top w:val="none" w:sz="0" w:space="0" w:color="auto"/>
                <w:left w:val="none" w:sz="0" w:space="0" w:color="auto"/>
                <w:bottom w:val="none" w:sz="0" w:space="0" w:color="auto"/>
                <w:right w:val="none" w:sz="0" w:space="0" w:color="auto"/>
              </w:divBdr>
            </w:div>
            <w:div w:id="669678540">
              <w:marLeft w:val="0"/>
              <w:marRight w:val="0"/>
              <w:marTop w:val="0"/>
              <w:marBottom w:val="0"/>
              <w:divBdr>
                <w:top w:val="none" w:sz="0" w:space="0" w:color="auto"/>
                <w:left w:val="none" w:sz="0" w:space="0" w:color="auto"/>
                <w:bottom w:val="none" w:sz="0" w:space="0" w:color="auto"/>
                <w:right w:val="none" w:sz="0" w:space="0" w:color="auto"/>
              </w:divBdr>
            </w:div>
            <w:div w:id="669678541">
              <w:marLeft w:val="0"/>
              <w:marRight w:val="0"/>
              <w:marTop w:val="0"/>
              <w:marBottom w:val="0"/>
              <w:divBdr>
                <w:top w:val="none" w:sz="0" w:space="0" w:color="auto"/>
                <w:left w:val="none" w:sz="0" w:space="0" w:color="auto"/>
                <w:bottom w:val="none" w:sz="0" w:space="0" w:color="auto"/>
                <w:right w:val="none" w:sz="0" w:space="0" w:color="auto"/>
              </w:divBdr>
            </w:div>
            <w:div w:id="669678543">
              <w:marLeft w:val="0"/>
              <w:marRight w:val="0"/>
              <w:marTop w:val="0"/>
              <w:marBottom w:val="0"/>
              <w:divBdr>
                <w:top w:val="none" w:sz="0" w:space="0" w:color="auto"/>
                <w:left w:val="none" w:sz="0" w:space="0" w:color="auto"/>
                <w:bottom w:val="none" w:sz="0" w:space="0" w:color="auto"/>
                <w:right w:val="none" w:sz="0" w:space="0" w:color="auto"/>
              </w:divBdr>
            </w:div>
            <w:div w:id="669678544">
              <w:marLeft w:val="0"/>
              <w:marRight w:val="0"/>
              <w:marTop w:val="0"/>
              <w:marBottom w:val="0"/>
              <w:divBdr>
                <w:top w:val="none" w:sz="0" w:space="0" w:color="auto"/>
                <w:left w:val="none" w:sz="0" w:space="0" w:color="auto"/>
                <w:bottom w:val="none" w:sz="0" w:space="0" w:color="auto"/>
                <w:right w:val="none" w:sz="0" w:space="0" w:color="auto"/>
              </w:divBdr>
            </w:div>
            <w:div w:id="669678545">
              <w:marLeft w:val="0"/>
              <w:marRight w:val="0"/>
              <w:marTop w:val="0"/>
              <w:marBottom w:val="0"/>
              <w:divBdr>
                <w:top w:val="none" w:sz="0" w:space="0" w:color="auto"/>
                <w:left w:val="none" w:sz="0" w:space="0" w:color="auto"/>
                <w:bottom w:val="none" w:sz="0" w:space="0" w:color="auto"/>
                <w:right w:val="none" w:sz="0" w:space="0" w:color="auto"/>
              </w:divBdr>
            </w:div>
            <w:div w:id="669678547">
              <w:marLeft w:val="0"/>
              <w:marRight w:val="0"/>
              <w:marTop w:val="0"/>
              <w:marBottom w:val="0"/>
              <w:divBdr>
                <w:top w:val="none" w:sz="0" w:space="0" w:color="auto"/>
                <w:left w:val="none" w:sz="0" w:space="0" w:color="auto"/>
                <w:bottom w:val="none" w:sz="0" w:space="0" w:color="auto"/>
                <w:right w:val="none" w:sz="0" w:space="0" w:color="auto"/>
              </w:divBdr>
            </w:div>
            <w:div w:id="6696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8514">
      <w:marLeft w:val="0"/>
      <w:marRight w:val="0"/>
      <w:marTop w:val="0"/>
      <w:marBottom w:val="0"/>
      <w:divBdr>
        <w:top w:val="none" w:sz="0" w:space="0" w:color="auto"/>
        <w:left w:val="none" w:sz="0" w:space="0" w:color="auto"/>
        <w:bottom w:val="none" w:sz="0" w:space="0" w:color="auto"/>
        <w:right w:val="none" w:sz="0" w:space="0" w:color="auto"/>
      </w:divBdr>
    </w:div>
    <w:div w:id="669678515">
      <w:marLeft w:val="0"/>
      <w:marRight w:val="0"/>
      <w:marTop w:val="0"/>
      <w:marBottom w:val="0"/>
      <w:divBdr>
        <w:top w:val="none" w:sz="0" w:space="0" w:color="auto"/>
        <w:left w:val="none" w:sz="0" w:space="0" w:color="auto"/>
        <w:bottom w:val="none" w:sz="0" w:space="0" w:color="auto"/>
        <w:right w:val="none" w:sz="0" w:space="0" w:color="auto"/>
      </w:divBdr>
    </w:div>
    <w:div w:id="669678516">
      <w:marLeft w:val="0"/>
      <w:marRight w:val="0"/>
      <w:marTop w:val="0"/>
      <w:marBottom w:val="0"/>
      <w:divBdr>
        <w:top w:val="none" w:sz="0" w:space="0" w:color="auto"/>
        <w:left w:val="none" w:sz="0" w:space="0" w:color="auto"/>
        <w:bottom w:val="none" w:sz="0" w:space="0" w:color="auto"/>
        <w:right w:val="none" w:sz="0" w:space="0" w:color="auto"/>
      </w:divBdr>
    </w:div>
    <w:div w:id="669678518">
      <w:marLeft w:val="0"/>
      <w:marRight w:val="0"/>
      <w:marTop w:val="100"/>
      <w:marBottom w:val="100"/>
      <w:divBdr>
        <w:top w:val="none" w:sz="0" w:space="0" w:color="auto"/>
        <w:left w:val="none" w:sz="0" w:space="0" w:color="auto"/>
        <w:bottom w:val="none" w:sz="0" w:space="0" w:color="auto"/>
        <w:right w:val="none" w:sz="0" w:space="0" w:color="auto"/>
      </w:divBdr>
      <w:divsChild>
        <w:div w:id="669678513">
          <w:marLeft w:val="0"/>
          <w:marRight w:val="0"/>
          <w:marTop w:val="0"/>
          <w:marBottom w:val="0"/>
          <w:divBdr>
            <w:top w:val="none" w:sz="0" w:space="0" w:color="auto"/>
            <w:left w:val="none" w:sz="0" w:space="0" w:color="auto"/>
            <w:bottom w:val="none" w:sz="0" w:space="0" w:color="auto"/>
            <w:right w:val="none" w:sz="0" w:space="0" w:color="auto"/>
          </w:divBdr>
          <w:divsChild>
            <w:div w:id="669678520">
              <w:marLeft w:val="0"/>
              <w:marRight w:val="0"/>
              <w:marTop w:val="0"/>
              <w:marBottom w:val="0"/>
              <w:divBdr>
                <w:top w:val="none" w:sz="0" w:space="0" w:color="auto"/>
                <w:left w:val="none" w:sz="0" w:space="0" w:color="auto"/>
                <w:bottom w:val="none" w:sz="0" w:space="0" w:color="auto"/>
                <w:right w:val="none" w:sz="0" w:space="0" w:color="auto"/>
              </w:divBdr>
              <w:divsChild>
                <w:div w:id="669678524">
                  <w:marLeft w:val="0"/>
                  <w:marRight w:val="0"/>
                  <w:marTop w:val="0"/>
                  <w:marBottom w:val="0"/>
                  <w:divBdr>
                    <w:top w:val="none" w:sz="0" w:space="0" w:color="auto"/>
                    <w:left w:val="none" w:sz="0" w:space="0" w:color="auto"/>
                    <w:bottom w:val="none" w:sz="0" w:space="0" w:color="auto"/>
                    <w:right w:val="none" w:sz="0" w:space="0" w:color="auto"/>
                  </w:divBdr>
                  <w:divsChild>
                    <w:div w:id="669678523">
                      <w:marLeft w:val="0"/>
                      <w:marRight w:val="0"/>
                      <w:marTop w:val="0"/>
                      <w:marBottom w:val="0"/>
                      <w:divBdr>
                        <w:top w:val="none" w:sz="0" w:space="0" w:color="auto"/>
                        <w:left w:val="none" w:sz="0" w:space="0" w:color="auto"/>
                        <w:bottom w:val="none" w:sz="0" w:space="0" w:color="auto"/>
                        <w:right w:val="none" w:sz="0" w:space="0" w:color="auto"/>
                      </w:divBdr>
                      <w:divsChild>
                        <w:div w:id="669678517">
                          <w:marLeft w:val="0"/>
                          <w:marRight w:val="0"/>
                          <w:marTop w:val="0"/>
                          <w:marBottom w:val="0"/>
                          <w:divBdr>
                            <w:top w:val="none" w:sz="0" w:space="0" w:color="auto"/>
                            <w:left w:val="none" w:sz="0" w:space="0" w:color="auto"/>
                            <w:bottom w:val="none" w:sz="0" w:space="0" w:color="auto"/>
                            <w:right w:val="none" w:sz="0" w:space="0" w:color="auto"/>
                          </w:divBdr>
                          <w:divsChild>
                            <w:div w:id="669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678519">
      <w:marLeft w:val="0"/>
      <w:marRight w:val="0"/>
      <w:marTop w:val="0"/>
      <w:marBottom w:val="0"/>
      <w:divBdr>
        <w:top w:val="none" w:sz="0" w:space="0" w:color="auto"/>
        <w:left w:val="none" w:sz="0" w:space="0" w:color="auto"/>
        <w:bottom w:val="none" w:sz="0" w:space="0" w:color="auto"/>
        <w:right w:val="none" w:sz="0" w:space="0" w:color="auto"/>
      </w:divBdr>
    </w:div>
    <w:div w:id="669678521">
      <w:marLeft w:val="0"/>
      <w:marRight w:val="0"/>
      <w:marTop w:val="0"/>
      <w:marBottom w:val="0"/>
      <w:divBdr>
        <w:top w:val="none" w:sz="0" w:space="0" w:color="auto"/>
        <w:left w:val="none" w:sz="0" w:space="0" w:color="auto"/>
        <w:bottom w:val="none" w:sz="0" w:space="0" w:color="auto"/>
        <w:right w:val="none" w:sz="0" w:space="0" w:color="auto"/>
      </w:divBdr>
    </w:div>
    <w:div w:id="669678522">
      <w:marLeft w:val="0"/>
      <w:marRight w:val="0"/>
      <w:marTop w:val="0"/>
      <w:marBottom w:val="0"/>
      <w:divBdr>
        <w:top w:val="none" w:sz="0" w:space="0" w:color="auto"/>
        <w:left w:val="none" w:sz="0" w:space="0" w:color="auto"/>
        <w:bottom w:val="none" w:sz="0" w:space="0" w:color="auto"/>
        <w:right w:val="none" w:sz="0" w:space="0" w:color="auto"/>
      </w:divBdr>
    </w:div>
    <w:div w:id="669678526">
      <w:marLeft w:val="0"/>
      <w:marRight w:val="0"/>
      <w:marTop w:val="0"/>
      <w:marBottom w:val="0"/>
      <w:divBdr>
        <w:top w:val="none" w:sz="0" w:space="0" w:color="auto"/>
        <w:left w:val="none" w:sz="0" w:space="0" w:color="auto"/>
        <w:bottom w:val="none" w:sz="0" w:space="0" w:color="auto"/>
        <w:right w:val="none" w:sz="0" w:space="0" w:color="auto"/>
      </w:divBdr>
    </w:div>
    <w:div w:id="669678527">
      <w:marLeft w:val="0"/>
      <w:marRight w:val="0"/>
      <w:marTop w:val="0"/>
      <w:marBottom w:val="0"/>
      <w:divBdr>
        <w:top w:val="none" w:sz="0" w:space="0" w:color="auto"/>
        <w:left w:val="none" w:sz="0" w:space="0" w:color="auto"/>
        <w:bottom w:val="none" w:sz="0" w:space="0" w:color="auto"/>
        <w:right w:val="none" w:sz="0" w:space="0" w:color="auto"/>
      </w:divBdr>
    </w:div>
    <w:div w:id="669678542">
      <w:marLeft w:val="0"/>
      <w:marRight w:val="0"/>
      <w:marTop w:val="0"/>
      <w:marBottom w:val="0"/>
      <w:divBdr>
        <w:top w:val="none" w:sz="0" w:space="0" w:color="auto"/>
        <w:left w:val="none" w:sz="0" w:space="0" w:color="auto"/>
        <w:bottom w:val="none" w:sz="0" w:space="0" w:color="auto"/>
        <w:right w:val="none" w:sz="0" w:space="0" w:color="auto"/>
      </w:divBdr>
      <w:divsChild>
        <w:div w:id="669678528">
          <w:marLeft w:val="0"/>
          <w:marRight w:val="0"/>
          <w:marTop w:val="0"/>
          <w:marBottom w:val="0"/>
          <w:divBdr>
            <w:top w:val="none" w:sz="0" w:space="0" w:color="auto"/>
            <w:left w:val="none" w:sz="0" w:space="0" w:color="auto"/>
            <w:bottom w:val="none" w:sz="0" w:space="0" w:color="auto"/>
            <w:right w:val="none" w:sz="0" w:space="0" w:color="auto"/>
          </w:divBdr>
          <w:divsChild>
            <w:div w:id="669678509">
              <w:marLeft w:val="0"/>
              <w:marRight w:val="0"/>
              <w:marTop w:val="107"/>
              <w:marBottom w:val="0"/>
              <w:divBdr>
                <w:top w:val="none" w:sz="0" w:space="0" w:color="auto"/>
                <w:left w:val="none" w:sz="0" w:space="0" w:color="auto"/>
                <w:bottom w:val="none" w:sz="0" w:space="0" w:color="auto"/>
                <w:right w:val="none" w:sz="0" w:space="0" w:color="auto"/>
              </w:divBdr>
              <w:divsChild>
                <w:div w:id="6696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ing3454@xuite.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4235</Words>
  <Characters>24140</Characters>
  <Application>Microsoft Office Word</Application>
  <DocSecurity>0</DocSecurity>
  <Lines>201</Lines>
  <Paragraphs>56</Paragraphs>
  <ScaleCrop>false</ScaleCrop>
  <Company>WJG</Company>
  <LinksUpToDate>false</LinksUpToDate>
  <CharactersWithSpaces>28319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Esophagogastroduodenoscopy with conscious sedation dose not interfere with the results of the subsequent 24-hour pH-monitoring for patients with extraesophageal symptoms of GERD</dc:title>
  <dc:creator>Kevin Tsou</dc:creator>
  <cp:lastModifiedBy>LS Ma</cp:lastModifiedBy>
  <cp:revision>2</cp:revision>
  <cp:lastPrinted>2012-02-19T12:45:00Z</cp:lastPrinted>
  <dcterms:created xsi:type="dcterms:W3CDTF">2012-12-24T21:32:00Z</dcterms:created>
  <dcterms:modified xsi:type="dcterms:W3CDTF">2012-12-24T21:32:00Z</dcterms:modified>
</cp:coreProperties>
</file>