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90523</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r>
        <w:rPr>
          <w:rFonts w:ascii="Book Antiqua" w:hAnsi="Book Antiqua" w:eastAsia="Book Antiqua" w:cs="Book Antiqua"/>
          <w:b/>
          <w:color w:val="000000"/>
        </w:rPr>
        <w:t>Acute pancreatitis as a complication of acute COVID-19 in kidney transplant recipients</w:t>
      </w:r>
    </w:p>
    <w:p>
      <w:pPr>
        <w:spacing w:line="360" w:lineRule="auto"/>
        <w:jc w:val="both"/>
      </w:pPr>
    </w:p>
    <w:p>
      <w:pPr>
        <w:spacing w:line="360" w:lineRule="auto"/>
        <w:jc w:val="both"/>
      </w:pPr>
      <w:r>
        <w:rPr>
          <w:rFonts w:ascii="Book Antiqua" w:hAnsi="Book Antiqua" w:eastAsia="Book Antiqua" w:cs="Book Antiqua"/>
          <w:color w:val="000000"/>
        </w:rPr>
        <w:t xml:space="preserve">Basic-Jukic N </w:t>
      </w:r>
      <w:r>
        <w:rPr>
          <w:rFonts w:ascii="Book Antiqua" w:hAnsi="Book Antiqua" w:eastAsia="Book Antiqua" w:cs="Book Antiqua"/>
          <w:i/>
          <w:iCs/>
          <w:color w:val="000000"/>
        </w:rPr>
        <w:t>et al</w:t>
      </w:r>
      <w:r>
        <w:rPr>
          <w:rFonts w:ascii="Book Antiqua" w:hAnsi="Book Antiqua" w:eastAsia="Book Antiqua" w:cs="Book Antiqua"/>
          <w:color w:val="000000"/>
        </w:rPr>
        <w:t>. COVID-19 associated pancreatitis and kidney transplantation</w:t>
      </w:r>
    </w:p>
    <w:p>
      <w:pPr>
        <w:spacing w:line="360" w:lineRule="auto"/>
        <w:jc w:val="both"/>
      </w:pPr>
    </w:p>
    <w:p>
      <w:pPr>
        <w:spacing w:line="360" w:lineRule="auto"/>
        <w:jc w:val="both"/>
      </w:pPr>
      <w:r>
        <w:rPr>
          <w:rFonts w:ascii="Book Antiqua" w:hAnsi="Book Antiqua" w:eastAsia="Book Antiqua" w:cs="Book Antiqua"/>
          <w:color w:val="000000"/>
        </w:rPr>
        <w:t>Nikolina Basic-Jukic, Ivana Juric, Lea Katalinic, Vesna Furic-Cunko, Vibor Sesa, Anna Mrzljak</w:t>
      </w:r>
    </w:p>
    <w:p>
      <w:pPr>
        <w:spacing w:line="360" w:lineRule="auto"/>
        <w:jc w:val="both"/>
      </w:pPr>
    </w:p>
    <w:p>
      <w:pPr>
        <w:spacing w:line="360" w:lineRule="auto"/>
        <w:jc w:val="both"/>
      </w:pPr>
      <w:r>
        <w:rPr>
          <w:rFonts w:ascii="Book Antiqua" w:hAnsi="Book Antiqua" w:eastAsia="Book Antiqua" w:cs="Book Antiqua"/>
          <w:b/>
          <w:bCs/>
          <w:color w:val="000000"/>
        </w:rPr>
        <w:t xml:space="preserve">Nikolina Basic-Jukic, Ivana Juric, Lea Katalinic, Vesna Furic-Cunko, </w:t>
      </w:r>
      <w:r>
        <w:rPr>
          <w:rFonts w:ascii="Book Antiqua" w:hAnsi="Book Antiqua" w:eastAsia="Book Antiqua" w:cs="Book Antiqua"/>
          <w:color w:val="000000"/>
        </w:rPr>
        <w:t>Department of Nephrology, Arterial Hypertension, Dialysis and Transplantation, University Hospital Centre Zagreb, Zagreb 10000, Croatia</w:t>
      </w:r>
    </w:p>
    <w:p>
      <w:pPr>
        <w:spacing w:line="360" w:lineRule="auto"/>
        <w:jc w:val="both"/>
      </w:pPr>
    </w:p>
    <w:p>
      <w:pPr>
        <w:spacing w:line="360" w:lineRule="auto"/>
        <w:jc w:val="both"/>
      </w:pPr>
      <w:r>
        <w:rPr>
          <w:rFonts w:ascii="Book Antiqua" w:hAnsi="Book Antiqua" w:eastAsia="Book Antiqua" w:cs="Book Antiqua"/>
          <w:b/>
          <w:bCs/>
          <w:color w:val="000000"/>
        </w:rPr>
        <w:t xml:space="preserve">Nikolina Basic-Jukic, Anna Mrzljak, </w:t>
      </w:r>
      <w:r>
        <w:rPr>
          <w:rFonts w:ascii="Book Antiqua" w:hAnsi="Book Antiqua" w:eastAsia="Book Antiqua" w:cs="Book Antiqua"/>
          <w:color w:val="000000"/>
        </w:rPr>
        <w:t>Department of Medicine, School of Medicine, Zagreb 10000, Croatia</w:t>
      </w:r>
    </w:p>
    <w:p>
      <w:pPr>
        <w:spacing w:line="360" w:lineRule="auto"/>
        <w:jc w:val="both"/>
      </w:pPr>
    </w:p>
    <w:p>
      <w:pPr>
        <w:spacing w:line="360" w:lineRule="auto"/>
        <w:jc w:val="both"/>
      </w:pPr>
      <w:r>
        <w:rPr>
          <w:rFonts w:ascii="Book Antiqua" w:hAnsi="Book Antiqua" w:eastAsia="Book Antiqua" w:cs="Book Antiqua"/>
          <w:b/>
          <w:bCs/>
          <w:color w:val="000000"/>
        </w:rPr>
        <w:t xml:space="preserve">Vibor Sesa, Anna Mrzljak, </w:t>
      </w:r>
      <w:r>
        <w:rPr>
          <w:rFonts w:ascii="Book Antiqua" w:hAnsi="Book Antiqua" w:eastAsia="Book Antiqua" w:cs="Book Antiqua"/>
          <w:color w:val="000000"/>
        </w:rPr>
        <w:t>Department of Gastroenterology and Hepatology, University Hospital Centre Zagreb, Zagreb 10000, Croatia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Basic-Jukic N</w:t>
      </w:r>
      <w:r>
        <w:rPr>
          <w:rFonts w:ascii="Book Antiqua" w:hAnsi="Book Antiqua" w:eastAsia="Book Antiqua" w:cs="Book Antiqua"/>
          <w:color w:val="000000"/>
          <w:shd w:val="clear" w:color="auto" w:fill="FFFFFF"/>
        </w:rPr>
        <w:t xml:space="preserve"> was involved in conceptualization of the study; </w:t>
      </w:r>
      <w:r>
        <w:rPr>
          <w:rFonts w:ascii="Book Antiqua" w:hAnsi="Book Antiqua" w:eastAsia="Book Antiqua" w:cs="Book Antiqua"/>
          <w:color w:val="000000"/>
        </w:rPr>
        <w:t>Juric I</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Katalinic L</w:t>
      </w:r>
      <w:r>
        <w:rPr>
          <w:rFonts w:ascii="Book Antiqua" w:hAnsi="Book Antiqua" w:eastAsia="Book Antiqua" w:cs="Book Antiqua"/>
          <w:color w:val="000000"/>
          <w:shd w:val="clear" w:color="auto" w:fill="FFFFFF"/>
        </w:rPr>
        <w:t>, Furic-Cunko V were responsible for data curation;</w:t>
      </w:r>
      <w:r>
        <w:rPr>
          <w:rFonts w:hint="eastAsia"/>
          <w:lang w:eastAsia="zh-CN"/>
        </w:rPr>
        <w:t xml:space="preserve"> </w:t>
      </w:r>
      <w:r>
        <w:rPr>
          <w:rFonts w:ascii="Book Antiqua" w:hAnsi="Book Antiqua" w:eastAsia="Book Antiqua" w:cs="Book Antiqua"/>
          <w:color w:val="000000"/>
        </w:rPr>
        <w:t>Juric I</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color w:val="000000"/>
        </w:rPr>
        <w:t>Katalinic L</w:t>
      </w:r>
      <w:r>
        <w:rPr>
          <w:rFonts w:ascii="Book Antiqua" w:hAnsi="Book Antiqua" w:eastAsia="Book Antiqua" w:cs="Book Antiqua"/>
          <w:color w:val="000000"/>
          <w:shd w:val="clear" w:color="auto" w:fill="FFFFFF"/>
        </w:rPr>
        <w:t xml:space="preserve"> drafted the original version of the manuscript; </w:t>
      </w:r>
      <w:r>
        <w:rPr>
          <w:rFonts w:ascii="Book Antiqua" w:hAnsi="Book Antiqua" w:eastAsia="Book Antiqua" w:cs="Book Antiqua"/>
          <w:color w:val="000000"/>
        </w:rPr>
        <w:t>Basic-Jukic N,</w:t>
      </w:r>
      <w:r>
        <w:rPr>
          <w:rFonts w:ascii="Book Antiqua" w:hAnsi="Book Antiqua" w:eastAsia="Book Antiqua" w:cs="Book Antiqua"/>
          <w:color w:val="000000"/>
          <w:shd w:val="clear" w:color="auto" w:fill="FFFFFF"/>
        </w:rPr>
        <w:t xml:space="preserve"> Furic-Cunko V, Mrzljak A and Sesa V reviewed and edited the manuscript. All authors have read and agreed to the published version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Nikolina Basic-Jukic, MD, PhD, Professor, </w:t>
      </w:r>
      <w:r>
        <w:rPr>
          <w:rFonts w:ascii="Book Antiqua" w:hAnsi="Book Antiqua" w:eastAsia="Book Antiqua" w:cs="Book Antiqua"/>
          <w:color w:val="000000"/>
        </w:rPr>
        <w:t>Department of Nephrology, Arterial Hypertension, Dialysis and Transplantation, University Hospital Centre Zagreb, No. 12 Kišpatićeva, Zagreb 10000, Croatia. nina_basic@net.hr</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December 7,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18,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1220"/>
      <w:bookmarkStart w:id="1" w:name="OLE_LINK1326"/>
      <w:bookmarkStart w:id="2" w:name="OLE_LINK1325"/>
      <w:bookmarkStart w:id="3" w:name="OLE_LINK229"/>
      <w:bookmarkStart w:id="4" w:name="OLE_LINK200"/>
      <w:bookmarkStart w:id="5" w:name="OLE_LINK233"/>
      <w:bookmarkStart w:id="6" w:name="OLE_LINK26"/>
      <w:bookmarkStart w:id="7" w:name="OLE_LINK1310"/>
      <w:bookmarkStart w:id="8" w:name="OLE_LINK1295"/>
      <w:bookmarkStart w:id="9" w:name="OLE_LINK203"/>
      <w:bookmarkStart w:id="10" w:name="OLE_LINK1272"/>
      <w:bookmarkStart w:id="11" w:name="OLE_LINK1236"/>
      <w:bookmarkStart w:id="12" w:name="OLE_LINK1291"/>
      <w:bookmarkStart w:id="13" w:name="OLE_LINK3"/>
      <w:bookmarkStart w:id="14" w:name="OLE_LINK1303"/>
      <w:bookmarkStart w:id="15" w:name="OLE_LINK1241"/>
      <w:bookmarkStart w:id="16" w:name="OLE_LINK1219"/>
      <w:bookmarkStart w:id="17" w:name="OLE_LINK103"/>
      <w:bookmarkStart w:id="18" w:name="OLE_LINK1299"/>
      <w:bookmarkStart w:id="19" w:name="OLE_LINK1346"/>
      <w:bookmarkStart w:id="20" w:name="OLE_LINK1352"/>
      <w:bookmarkStart w:id="21" w:name="OLE_LINK1311"/>
      <w:bookmarkStart w:id="22" w:name="OLE_LINK1267"/>
      <w:bookmarkStart w:id="23" w:name="OLE_LINK1237"/>
      <w:bookmarkStart w:id="24" w:name="OLE_LINK23"/>
      <w:bookmarkStart w:id="25" w:name="OLE_LINK1225"/>
      <w:bookmarkStart w:id="26" w:name="OLE_LINK1255"/>
      <w:bookmarkStart w:id="27" w:name="OLE_LINK1232"/>
      <w:bookmarkStart w:id="28" w:name="OLE_LINK61"/>
      <w:bookmarkStart w:id="29" w:name="OLE_LINK1290"/>
      <w:bookmarkStart w:id="30" w:name="OLE_LINK1334"/>
      <w:bookmarkStart w:id="31" w:name="OLE_LINK1244"/>
      <w:bookmarkStart w:id="32" w:name="OLE_LINK36"/>
      <w:bookmarkStart w:id="33" w:name="OLE_LINK21"/>
      <w:bookmarkStart w:id="34" w:name="OLE_LINK236"/>
      <w:bookmarkStart w:id="35" w:name="OLE_LINK1282"/>
      <w:bookmarkStart w:id="36" w:name="OLE_LINK208"/>
      <w:bookmarkStart w:id="37" w:name="OLE_LINK1327"/>
      <w:bookmarkStart w:id="38" w:name="OLE_LINK15"/>
      <w:bookmarkStart w:id="39" w:name="OLE_LINK226"/>
      <w:bookmarkStart w:id="40" w:name="OLE_LINK1233"/>
      <w:bookmarkStart w:id="41" w:name="OLE_LINK7229"/>
      <w:bookmarkStart w:id="42" w:name="OLE_LINK7244"/>
      <w:bookmarkStart w:id="43" w:name="OLE_LINK7300"/>
      <w:bookmarkStart w:id="44" w:name="OLE_LINK1273"/>
      <w:bookmarkStart w:id="45" w:name="OLE_LINK7295"/>
      <w:bookmarkStart w:id="46" w:name="OLE_LINK1256"/>
      <w:bookmarkStart w:id="47" w:name="OLE_LINK1247"/>
      <w:bookmarkStart w:id="48" w:name="OLE_LINK7259"/>
      <w:bookmarkStart w:id="49" w:name="OLE_LINK1340"/>
      <w:bookmarkStart w:id="50" w:name="OLE_LINK1305"/>
      <w:bookmarkStart w:id="51" w:name="OLE_LINK1261"/>
      <w:bookmarkStart w:id="52" w:name="OLE_LINK7288"/>
      <w:bookmarkStart w:id="53" w:name="OLE_LINK1276"/>
      <w:bookmarkStart w:id="54" w:name="OLE_LINK7825"/>
      <w:bookmarkStart w:id="55" w:name="OLE_LINK1312"/>
      <w:bookmarkStart w:id="56" w:name="OLE_LINK7306"/>
      <w:bookmarkStart w:id="57" w:name="OLE_LINK7274"/>
      <w:bookmarkStart w:id="58" w:name="OLE_LINK1322"/>
      <w:bookmarkStart w:id="59" w:name="OLE_LINK7279"/>
      <w:bookmarkStart w:id="60" w:name="OLE_LINK7290"/>
      <w:bookmarkStart w:id="61" w:name="OLE_LINK1297"/>
      <w:bookmarkStart w:id="62" w:name="OLE_LINK1262"/>
      <w:bookmarkStart w:id="63" w:name="OLE_LINK7234"/>
      <w:bookmarkStart w:id="64" w:name="OLE_LINK1342"/>
      <w:bookmarkStart w:id="65" w:name="OLE_LINK1319"/>
      <w:bookmarkStart w:id="66" w:name="OLE_LINK1269"/>
      <w:bookmarkStart w:id="67" w:name="OLE_LINK1307"/>
      <w:bookmarkStart w:id="68" w:name="OLE_LINK1286"/>
      <w:bookmarkStart w:id="69" w:name="OLE_LINK1250"/>
      <w:bookmarkStart w:id="70" w:name="OLE_LINK7898"/>
      <w:bookmarkStart w:id="71" w:name="OLE_LINK7268"/>
      <w:bookmarkStart w:id="72" w:name="OLE_LINK1251"/>
      <w:bookmarkStart w:id="73" w:name="OLE_LINK7293"/>
      <w:bookmarkStart w:id="74" w:name="OLE_LINK7901"/>
      <w:bookmarkStart w:id="75" w:name="OLE_LINK7361"/>
      <w:bookmarkStart w:id="76" w:name="OLE_LINK7280"/>
      <w:bookmarkStart w:id="77" w:name="OLE_LINK7853"/>
      <w:bookmarkStart w:id="78" w:name="OLE_LINK7264"/>
      <w:bookmarkStart w:id="79" w:name="OLE_LINK7304"/>
      <w:bookmarkStart w:id="80" w:name="OLE_LINK7360"/>
      <w:bookmarkStart w:id="81" w:name="OLE_LINK7858"/>
      <w:bookmarkStart w:id="82" w:name="OLE_LINK7863"/>
      <w:bookmarkStart w:id="83" w:name="OLE_LINK7818"/>
      <w:bookmarkStart w:id="84" w:name="OLE_LINK7667"/>
      <w:bookmarkStart w:id="85" w:name="OLE_LINK7286"/>
      <w:bookmarkStart w:id="86" w:name="OLE_LINK7888"/>
      <w:bookmarkStart w:id="87" w:name="OLE_LINK7883"/>
      <w:bookmarkStart w:id="88" w:name="OLE_LINK7275"/>
      <w:bookmarkStart w:id="89" w:name="OLE_LINK7424"/>
      <w:bookmarkStart w:id="90" w:name="OLE_LINK7261"/>
      <w:bookmarkStart w:id="91" w:name="OLE_LINK7224"/>
      <w:bookmarkStart w:id="92" w:name="OLE_LINK1283"/>
      <w:bookmarkStart w:id="93" w:name="OLE_LINK7269"/>
      <w:bookmarkStart w:id="94" w:name="OLE_LINK7871"/>
      <w:bookmarkStart w:id="95" w:name="OLE_LINK1315"/>
      <w:bookmarkStart w:id="96" w:name="OLE_LINK1301"/>
      <w:bookmarkStart w:id="97" w:name="OLE_LINK7864"/>
      <w:bookmarkStart w:id="98" w:name="OLE_LINK7844"/>
      <w:bookmarkStart w:id="99" w:name="OLE_LINK7834"/>
      <w:bookmarkStart w:id="100" w:name="OLE_LINK7877"/>
      <w:bookmarkStart w:id="101" w:name="OLE_LINK7314"/>
      <w:bookmarkStart w:id="102" w:name="OLE_LINK7850"/>
      <w:bookmarkStart w:id="103" w:name="OLE_LINK7814"/>
      <w:bookmarkStart w:id="104" w:name="OLE_LINK1292"/>
      <w:bookmarkStart w:id="105" w:name="OLE_LINK7795"/>
      <w:bookmarkStart w:id="106" w:name="OLE_LINK7776"/>
      <w:bookmarkStart w:id="107" w:name="OLE_LINK7340"/>
      <w:bookmarkStart w:id="108" w:name="OLE_LINK7418"/>
      <w:bookmarkStart w:id="109" w:name="OLE_LINK7747"/>
      <w:bookmarkStart w:id="110" w:name="OLE_LINK7840"/>
      <w:bookmarkStart w:id="111" w:name="OLE_LINK7384"/>
      <w:bookmarkStart w:id="112" w:name="OLE_LINK7822"/>
      <w:bookmarkStart w:id="113" w:name="OLE_LINK7720"/>
      <w:bookmarkStart w:id="114" w:name="OLE_LINK7685"/>
      <w:bookmarkStart w:id="115" w:name="OLE_LINK7335"/>
      <w:bookmarkStart w:id="116" w:name="OLE_LINK7255"/>
      <w:bookmarkStart w:id="117" w:name="OLE_LINK7395"/>
      <w:bookmarkStart w:id="118" w:name="OLE_LINK1361"/>
      <w:bookmarkStart w:id="119" w:name="OLE_LINK7777"/>
      <w:bookmarkStart w:id="120" w:name="OLE_LINK7862"/>
      <w:bookmarkStart w:id="121" w:name="OLE_LINK7368"/>
      <w:bookmarkStart w:id="122" w:name="OLE_LINK7372"/>
      <w:bookmarkStart w:id="123" w:name="OLE_LINK7241"/>
      <w:bookmarkStart w:id="124" w:name="OLE_LINK7771"/>
      <w:bookmarkStart w:id="125" w:name="OLE_LINK7343"/>
      <w:bookmarkStart w:id="126" w:name="OLE_LINK7729"/>
      <w:bookmarkStart w:id="127" w:name="OLE_LINK7344"/>
      <w:bookmarkStart w:id="128" w:name="OLE_LINK7708"/>
      <w:bookmarkStart w:id="129" w:name="OLE_LINK7689"/>
      <w:bookmarkStart w:id="130" w:name="OLE_LINK1353"/>
      <w:bookmarkStart w:id="131" w:name="OLE_LINK7411"/>
      <w:bookmarkStart w:id="132" w:name="OLE_LINK7357"/>
      <w:bookmarkStart w:id="133" w:name="OLE_LINK7415"/>
      <w:bookmarkStart w:id="134" w:name="OLE_LINK7676"/>
      <w:bookmarkStart w:id="135" w:name="OLE_LINK1344"/>
      <w:bookmarkStart w:id="136" w:name="OLE_LINK7330"/>
      <w:bookmarkStart w:id="137" w:name="OLE_LINK1492"/>
      <w:bookmarkStart w:id="138" w:name="OLE_LINK7906"/>
      <w:bookmarkStart w:id="139" w:name="OLE_LINK7324"/>
      <w:bookmarkStart w:id="140" w:name="OLE_LINK7404"/>
      <w:bookmarkStart w:id="141" w:name="OLE_LINK7701"/>
      <w:bookmarkStart w:id="142" w:name="OLE_LINK1387"/>
      <w:bookmarkStart w:id="143" w:name="OLE_LINK7789"/>
      <w:bookmarkStart w:id="144" w:name="OLE_LINK1365"/>
      <w:bookmarkStart w:id="145" w:name="OLE_LINK7900"/>
      <w:bookmarkStart w:id="146" w:name="OLE_LINK7913"/>
      <w:bookmarkStart w:id="147" w:name="OLE_LINK7854"/>
      <w:bookmarkStart w:id="148" w:name="OLE_LINK7351"/>
      <w:bookmarkStart w:id="149" w:name="OLE_LINK7348"/>
      <w:bookmarkStart w:id="150" w:name="OLE_LINK7804"/>
      <w:bookmarkStart w:id="151" w:name="OLE_LINK1384"/>
      <w:bookmarkStart w:id="152" w:name="OLE_LINK7787"/>
      <w:bookmarkStart w:id="153" w:name="OLE_LINK7841"/>
      <w:bookmarkStart w:id="154" w:name="OLE_LINK7781"/>
      <w:bookmarkStart w:id="155" w:name="OLE_LINK1364"/>
      <w:bookmarkStart w:id="156" w:name="OLE_LINK7889"/>
      <w:bookmarkStart w:id="157" w:name="OLE_LINK1375"/>
      <w:bookmarkStart w:id="158" w:name="OLE_LINK1466"/>
      <w:bookmarkStart w:id="159" w:name="OLE_LINK7745"/>
      <w:bookmarkStart w:id="160" w:name="OLE_LINK7916"/>
      <w:bookmarkStart w:id="161" w:name="OLE_LINK7909"/>
      <w:bookmarkStart w:id="162" w:name="OLE_LINK1391"/>
      <w:bookmarkStart w:id="163" w:name="OLE_LINK7407"/>
      <w:bookmarkStart w:id="164" w:name="OLE_LINK1371"/>
      <w:bookmarkStart w:id="165" w:name="OLE_LINK1348"/>
      <w:bookmarkStart w:id="166" w:name="OLE_LINK1335"/>
      <w:bookmarkStart w:id="167" w:name="OLE_LINK7754"/>
      <w:bookmarkStart w:id="168" w:name="OLE_LINK7755"/>
      <w:bookmarkStart w:id="169" w:name="OLE_LINK1490"/>
      <w:bookmarkStart w:id="170" w:name="OLE_LINK7762"/>
      <w:bookmarkStart w:id="171" w:name="OLE_LINK1343"/>
      <w:bookmarkStart w:id="172" w:name="OLE_LINK1433"/>
      <w:bookmarkStart w:id="173" w:name="OLE_LINK1478"/>
      <w:bookmarkStart w:id="174" w:name="OLE_LINK7878"/>
      <w:bookmarkStart w:id="175" w:name="OLE_LINK1508"/>
      <w:bookmarkStart w:id="176" w:name="OLE_LINK7766"/>
      <w:bookmarkStart w:id="177" w:name="OLE_LINK7683"/>
      <w:bookmarkStart w:id="178" w:name="OLE_LINK7816"/>
      <w:bookmarkStart w:id="179" w:name="OLE_LINK8023"/>
      <w:bookmarkStart w:id="180" w:name="OLE_LINK1395"/>
      <w:bookmarkStart w:id="181" w:name="OLE_LINK1452"/>
      <w:bookmarkStart w:id="182" w:name="OLE_LINK7866"/>
      <w:bookmarkStart w:id="183" w:name="OLE_LINK1379"/>
      <w:bookmarkStart w:id="184" w:name="OLE_LINK7704"/>
      <w:bookmarkStart w:id="185" w:name="OLE_LINK1402"/>
      <w:bookmarkStart w:id="186" w:name="OLE_LINK1457"/>
      <w:bookmarkStart w:id="187" w:name="OLE_LINK1499"/>
      <w:bookmarkStart w:id="188" w:name="OLE_LINK1503"/>
      <w:bookmarkStart w:id="189" w:name="OLE_LINK1449"/>
      <w:bookmarkStart w:id="190" w:name="OLE_LINK7378"/>
      <w:bookmarkStart w:id="191" w:name="OLE_LINK1474"/>
      <w:bookmarkStart w:id="192" w:name="OLE_LINK1429"/>
      <w:bookmarkStart w:id="193" w:name="OLE_LINK1412"/>
      <w:bookmarkStart w:id="194" w:name="OLE_LINK1496"/>
      <w:bookmarkStart w:id="195" w:name="OLE_LINK1436"/>
      <w:bookmarkStart w:id="196" w:name="OLE_LINK1399"/>
      <w:bookmarkStart w:id="197" w:name="OLE_LINK1356"/>
      <w:bookmarkStart w:id="198" w:name="OLE_LINK1484"/>
      <w:bookmarkStart w:id="199" w:name="OLE_LINK7725"/>
      <w:bookmarkStart w:id="200" w:name="OLE_LINK7848"/>
      <w:bookmarkStart w:id="201" w:name="OLE_LINK8171"/>
      <w:bookmarkStart w:id="202" w:name="OLE_LINK8199"/>
      <w:bookmarkStart w:id="203" w:name="OLE_LINK8144"/>
      <w:bookmarkStart w:id="204" w:name="OLE_LINK8064"/>
      <w:bookmarkStart w:id="205" w:name="OLE_LINK8226"/>
      <w:bookmarkStart w:id="206" w:name="OLE_LINK8148"/>
      <w:bookmarkStart w:id="207" w:name="OLE_LINK8089"/>
      <w:bookmarkStart w:id="208" w:name="OLE_LINK8203"/>
      <w:bookmarkStart w:id="209" w:name="OLE_LINK8185"/>
      <w:bookmarkStart w:id="210" w:name="OLE_LINK8134"/>
      <w:bookmarkStart w:id="211" w:name="OLE_LINK8157"/>
      <w:bookmarkStart w:id="212" w:name="OLE_LINK8175"/>
      <w:bookmarkStart w:id="213" w:name="OLE_LINK7731"/>
      <w:bookmarkStart w:id="214" w:name="OLE_LINK7939"/>
      <w:bookmarkStart w:id="215" w:name="OLE_LINK7740"/>
      <w:bookmarkStart w:id="216" w:name="OLE_LINK8138"/>
      <w:bookmarkStart w:id="217" w:name="OLE_LINK1477"/>
      <w:bookmarkStart w:id="218" w:name="OLE_LINK8153"/>
      <w:bookmarkStart w:id="219" w:name="OLE_LINK8137"/>
      <w:bookmarkStart w:id="220" w:name="OLE_LINK7714"/>
      <w:bookmarkStart w:id="221" w:name="OLE_LINK8072"/>
      <w:bookmarkStart w:id="222" w:name="OLE_LINK8222"/>
      <w:bookmarkStart w:id="223" w:name="OLE_LINK8192"/>
      <w:bookmarkStart w:id="224" w:name="OLE_LINK7929"/>
      <w:bookmarkStart w:id="225" w:name="OLE_LINK8141"/>
      <w:bookmarkStart w:id="226" w:name="OLE_LINK8059"/>
      <w:bookmarkStart w:id="227" w:name="OLE_LINK8217"/>
      <w:bookmarkStart w:id="228" w:name="OLE_LINK8055"/>
      <w:bookmarkStart w:id="229" w:name="OLE_LINK8078"/>
      <w:bookmarkStart w:id="230" w:name="OLE_LINK8081"/>
      <w:bookmarkStart w:id="231" w:name="OLE_LINK8066"/>
      <w:bookmarkStart w:id="232" w:name="OLE_LINK8160"/>
      <w:bookmarkStart w:id="233" w:name="OLE_LINK7925"/>
      <w:bookmarkStart w:id="234" w:name="OLE_LINK8232"/>
      <w:bookmarkStart w:id="235" w:name="OLE_LINK8186"/>
      <w:bookmarkStart w:id="236" w:name="OLE_LINK7944"/>
      <w:bookmarkStart w:id="237" w:name="OLE_LINK1381"/>
      <w:bookmarkStart w:id="238" w:name="OLE_LINK1414"/>
      <w:bookmarkStart w:id="239" w:name="OLE_LINK8209"/>
      <w:bookmarkStart w:id="240" w:name="OLE_LINK8239"/>
      <w:bookmarkStart w:id="241" w:name="OLE_LINK8188"/>
      <w:bookmarkStart w:id="242" w:name="OLE_LINK7914"/>
      <w:bookmarkStart w:id="243" w:name="OLE_LINK8230"/>
      <w:bookmarkStart w:id="244" w:name="OLE_LINK7845"/>
      <w:bookmarkStart w:id="245" w:name="OLE_LINK8177"/>
      <w:bookmarkStart w:id="246" w:name="OLE_LINK1434"/>
      <w:bookmarkStart w:id="247" w:name="OLE_LINK8297"/>
      <w:bookmarkStart w:id="248" w:name="OLE_LINK7932"/>
      <w:bookmarkStart w:id="249" w:name="OLE_LINK8200"/>
      <w:bookmarkStart w:id="250" w:name="OLE_LINK8406"/>
      <w:bookmarkStart w:id="251" w:name="OLE_LINK8229"/>
      <w:bookmarkStart w:id="252" w:name="OLE_LINK7860"/>
      <w:bookmarkStart w:id="253" w:name="OLE_LINK7918"/>
      <w:bookmarkStart w:id="254" w:name="OLE_LINK7674"/>
      <w:bookmarkStart w:id="255" w:name="OLE_LINK1372"/>
      <w:bookmarkStart w:id="256" w:name="OLE_LINK1419"/>
      <w:bookmarkStart w:id="257" w:name="OLE_LINK1382"/>
      <w:bookmarkStart w:id="258" w:name="OLE_LINK7953"/>
      <w:bookmarkStart w:id="259" w:name="OLE_LINK8194"/>
      <w:bookmarkStart w:id="260" w:name="OLE_LINK8213"/>
      <w:bookmarkStart w:id="261" w:name="OLE_LINK1397"/>
      <w:bookmarkStart w:id="262" w:name="OLE_LINK1407"/>
      <w:bookmarkStart w:id="263" w:name="OLE_LINK8139"/>
      <w:bookmarkStart w:id="264" w:name="OLE_LINK1441"/>
      <w:bookmarkStart w:id="265" w:name="OLE_LINK8262"/>
      <w:bookmarkStart w:id="266" w:name="OLE_LINK8393"/>
      <w:bookmarkStart w:id="267" w:name="OLE_LINK8390"/>
      <w:bookmarkStart w:id="268" w:name="OLE_LINK8303"/>
      <w:bookmarkStart w:id="269" w:name="OLE_LINK8219"/>
      <w:bookmarkStart w:id="270" w:name="OLE_LINK8462"/>
      <w:bookmarkStart w:id="271" w:name="OLE_LINK8404"/>
      <w:bookmarkStart w:id="272" w:name="OLE_LINK8283"/>
      <w:bookmarkStart w:id="273" w:name="OLE_LINK8399"/>
      <w:bookmarkStart w:id="274" w:name="OLE_LINK8402"/>
      <w:bookmarkStart w:id="275" w:name="OLE_LINK1357"/>
      <w:bookmarkStart w:id="276" w:name="OLE_LINK8311"/>
      <w:bookmarkStart w:id="277" w:name="OLE_LINK7890"/>
      <w:bookmarkStart w:id="278" w:name="OLE_LINK8245"/>
      <w:bookmarkStart w:id="279" w:name="OLE_LINK8267"/>
      <w:bookmarkStart w:id="280" w:name="OLE_LINK8316"/>
      <w:bookmarkStart w:id="281" w:name="OLE_LINK8248"/>
      <w:bookmarkStart w:id="282" w:name="OLE_LINK8276"/>
      <w:bookmarkStart w:id="283" w:name="OLE_LINK8403"/>
      <w:bookmarkStart w:id="284" w:name="OLE_LINK8224"/>
      <w:bookmarkStart w:id="285" w:name="OLE_LINK8328"/>
      <w:bookmarkStart w:id="286" w:name="OLE_LINK8212"/>
      <w:bookmarkStart w:id="287" w:name="OLE_LINK8206"/>
      <w:bookmarkStart w:id="288" w:name="OLE_LINK8418"/>
      <w:bookmarkStart w:id="289" w:name="OLE_LINK8323"/>
      <w:bookmarkStart w:id="290" w:name="OLE_LINK8254"/>
      <w:bookmarkStart w:id="291" w:name="OLE_LINK8410"/>
      <w:bookmarkStart w:id="292" w:name="OLE_LINK8241"/>
      <w:bookmarkStart w:id="293" w:name="OLE_LINK8272"/>
      <w:bookmarkStart w:id="294" w:name="OLE_LINK1424"/>
      <w:bookmarkStart w:id="295" w:name="OLE_LINK8235"/>
      <w:bookmarkStart w:id="296" w:name="OLE_LINK8319"/>
      <w:bookmarkStart w:id="297" w:name="OLE_LINK8485"/>
      <w:bookmarkStart w:id="298" w:name="OLE_LINK8227"/>
      <w:bookmarkStart w:id="299" w:name="OLE_LINK8579"/>
      <w:bookmarkStart w:id="300" w:name="OLE_LINK8471"/>
      <w:bookmarkStart w:id="301" w:name="OLE_LINK8422"/>
      <w:bookmarkStart w:id="302" w:name="OLE_LINK24"/>
      <w:bookmarkStart w:id="303" w:name="OLE_LINK8510"/>
      <w:bookmarkStart w:id="304" w:name="OLE_LINK8435"/>
      <w:bookmarkStart w:id="305" w:name="OLE_LINK8565"/>
      <w:bookmarkStart w:id="306" w:name="OLE_LINK8495"/>
      <w:bookmarkStart w:id="307" w:name="OLE_LINK8584"/>
      <w:bookmarkStart w:id="308" w:name="OLE_LINK8467"/>
      <w:bookmarkStart w:id="309" w:name="OLE_LINK5"/>
      <w:bookmarkStart w:id="310" w:name="OLE_LINK8444"/>
      <w:bookmarkStart w:id="311" w:name="OLE_LINK8470"/>
      <w:bookmarkStart w:id="312" w:name="OLE_LINK8439"/>
      <w:bookmarkStart w:id="313" w:name="OLE_LINK8548"/>
      <w:bookmarkStart w:id="314" w:name="OLE_LINK8555"/>
      <w:bookmarkStart w:id="315" w:name="OLE_LINK8214"/>
      <w:bookmarkStart w:id="316" w:name="OLE_LINK8475"/>
      <w:bookmarkStart w:id="317" w:name="OLE_LINK8305"/>
      <w:bookmarkStart w:id="318" w:name="OLE_LINK8466"/>
      <w:bookmarkStart w:id="319" w:name="OLE_LINK8558"/>
      <w:bookmarkStart w:id="320" w:name="OLE_LINK8426"/>
      <w:bookmarkStart w:id="321" w:name="OLE_LINK8443"/>
      <w:bookmarkStart w:id="322" w:name="OLE_LINK8448"/>
      <w:bookmarkStart w:id="323" w:name="OLE_LINK8564"/>
      <w:bookmarkStart w:id="324" w:name="OLE_LINK8293"/>
      <w:bookmarkStart w:id="325" w:name="OLE_LINK8549"/>
      <w:bookmarkStart w:id="326" w:name="OLE_LINK8498"/>
      <w:bookmarkStart w:id="327" w:name="OLE_LINK8438"/>
      <w:bookmarkStart w:id="328" w:name="OLE_LINK8586"/>
      <w:bookmarkStart w:id="329" w:name="OLE_LINK8587"/>
      <w:bookmarkStart w:id="330" w:name="OLE_LINK28"/>
      <w:bookmarkStart w:id="331" w:name="OLE_LINK8490"/>
      <w:bookmarkStart w:id="332" w:name="OLE_LINK8455"/>
      <w:bookmarkStart w:id="333" w:name="OLE_LINK8432"/>
      <w:bookmarkStart w:id="334" w:name="OLE_LINK8575"/>
      <w:bookmarkStart w:id="335" w:name="OLE_LINK8451"/>
      <w:bookmarkStart w:id="336" w:name="OLE_LINK7223"/>
      <w:bookmarkStart w:id="337" w:name="OLE_LINK7587"/>
      <w:bookmarkStart w:id="338" w:name="OLE_LINK7703"/>
      <w:bookmarkStart w:id="339" w:name="OLE_LINK7583"/>
      <w:bookmarkStart w:id="340" w:name="OLE_LINK7625"/>
      <w:bookmarkStart w:id="341" w:name="OLE_LINK7722"/>
      <w:bookmarkStart w:id="342" w:name="OLE_LINK7602"/>
      <w:bookmarkStart w:id="343" w:name="OLE_LINK7513"/>
      <w:bookmarkStart w:id="344" w:name="OLE_LINK7620"/>
      <w:bookmarkStart w:id="345" w:name="OLE_LINK7655"/>
      <w:bookmarkStart w:id="346" w:name="OLE_LINK7734"/>
      <w:bookmarkStart w:id="347" w:name="OLE_LINK7699"/>
      <w:bookmarkStart w:id="348" w:name="OLE_LINK7710"/>
      <w:bookmarkStart w:id="349" w:name="OLE_LINK7649"/>
      <w:bookmarkStart w:id="350" w:name="OLE_LINK7635"/>
      <w:bookmarkStart w:id="351" w:name="OLE_LINK7687"/>
      <w:bookmarkStart w:id="352" w:name="OLE_LINK7235"/>
      <w:bookmarkStart w:id="353" w:name="OLE_LINK7709"/>
      <w:bookmarkStart w:id="354" w:name="OLE_LINK7695"/>
      <w:bookmarkStart w:id="355" w:name="OLE_LINK7730"/>
      <w:bookmarkStart w:id="356" w:name="OLE_LINK7718"/>
      <w:bookmarkStart w:id="357" w:name="OLE_LINK7721"/>
      <w:bookmarkStart w:id="358" w:name="OLE_LINK7737"/>
      <w:bookmarkStart w:id="359" w:name="OLE_LINK7578"/>
      <w:bookmarkStart w:id="360" w:name="OLE_LINK7652"/>
      <w:bookmarkStart w:id="361" w:name="OLE_LINK7895"/>
      <w:bookmarkStart w:id="362" w:name="OLE_LINK7876"/>
      <w:bookmarkStart w:id="363" w:name="OLE_LINK7873"/>
      <w:bookmarkStart w:id="364" w:name="OLE_LINK7813"/>
      <w:bookmarkStart w:id="365" w:name="OLE_LINK7897"/>
      <w:bookmarkStart w:id="366" w:name="OLE_LINK7977"/>
      <w:bookmarkStart w:id="367" w:name="OLE_LINK7799"/>
      <w:bookmarkStart w:id="368" w:name="OLE_LINK7985"/>
      <w:bookmarkStart w:id="369" w:name="OLE_LINK7879"/>
      <w:bookmarkStart w:id="370" w:name="OLE_LINK7896"/>
      <w:bookmarkStart w:id="371" w:name="OLE_LINK7240"/>
      <w:bookmarkStart w:id="372" w:name="OLE_LINK7843"/>
      <w:bookmarkStart w:id="373" w:name="OLE_LINK7736"/>
      <w:bookmarkStart w:id="374" w:name="OLE_LINK7838"/>
      <w:bookmarkStart w:id="375" w:name="OLE_LINK7983"/>
      <w:bookmarkStart w:id="376" w:name="OLE_LINK7527"/>
      <w:bookmarkStart w:id="377" w:name="OLE_LINK7809"/>
      <w:bookmarkStart w:id="378" w:name="OLE_LINK7796"/>
      <w:bookmarkStart w:id="379" w:name="OLE_LINK7910"/>
      <w:bookmarkStart w:id="380" w:name="OLE_LINK7903"/>
      <w:bookmarkStart w:id="381" w:name="OLE_LINK7839"/>
      <w:bookmarkStart w:id="382" w:name="OLE_LINK7691"/>
      <w:bookmarkStart w:id="383" w:name="OLE_LINK7882"/>
      <w:bookmarkStart w:id="384" w:name="OLE_LINK7684"/>
      <w:bookmarkStart w:id="385" w:name="OLE_LINK7597"/>
      <w:bookmarkStart w:id="386" w:name="OLE_LINK7706"/>
      <w:bookmarkStart w:id="387" w:name="OLE_LINK7617"/>
      <w:bookmarkStart w:id="388" w:name="OLE_LINK4"/>
      <w:bookmarkStart w:id="389" w:name="OLE_LINK7867"/>
      <w:bookmarkStart w:id="390" w:name="OLE_LINK7894"/>
      <w:bookmarkStart w:id="391" w:name="OLE_LINK7690"/>
      <w:bookmarkStart w:id="392" w:name="OLE_LINK7665"/>
      <w:bookmarkStart w:id="393" w:name="OLE_LINK34"/>
      <w:bookmarkStart w:id="394" w:name="OLE_LINK7885"/>
      <w:bookmarkStart w:id="395" w:name="OLE_LINK65"/>
      <w:bookmarkStart w:id="396" w:name="OLE_LINK7979"/>
      <w:bookmarkStart w:id="397" w:name="OLE_LINK14"/>
      <w:bookmarkStart w:id="398" w:name="OLE_LINK7820"/>
      <w:bookmarkStart w:id="399" w:name="OLE_LINK75"/>
      <w:bookmarkStart w:id="400" w:name="OLE_LINK7984"/>
      <w:bookmarkStart w:id="401" w:name="OLE_LINK7"/>
      <w:bookmarkStart w:id="402" w:name="OLE_LINK177"/>
      <w:bookmarkStart w:id="403" w:name="OLE_LINK174"/>
      <w:bookmarkStart w:id="404" w:name="OLE_LINK7846"/>
      <w:bookmarkStart w:id="405" w:name="OLE_LINK187"/>
      <w:bookmarkStart w:id="406" w:name="OLE_LINK7735"/>
      <w:bookmarkStart w:id="407" w:name="OLE_LINK100"/>
      <w:bookmarkStart w:id="408" w:name="OLE_LINK17"/>
      <w:bookmarkStart w:id="409" w:name="OLE_LINK72"/>
      <w:bookmarkStart w:id="410" w:name="OLE_LINK82"/>
      <w:bookmarkStart w:id="411" w:name="OLE_LINK20"/>
      <w:bookmarkStart w:id="412" w:name="OLE_LINK7738"/>
      <w:bookmarkStart w:id="413" w:name="OLE_LINK7836"/>
      <w:bookmarkStart w:id="414" w:name="OLE_LINK87"/>
      <w:bookmarkStart w:id="415" w:name="OLE_LINK49"/>
      <w:bookmarkStart w:id="416" w:name="OLE_LINK54"/>
      <w:bookmarkStart w:id="417" w:name="OLE_LINK40"/>
      <w:bookmarkStart w:id="418" w:name="OLE_LINK7837"/>
      <w:bookmarkStart w:id="419" w:name="OLE_LINK51"/>
      <w:bookmarkStart w:id="420" w:name="OLE_LINK57"/>
      <w:bookmarkStart w:id="421" w:name="OLE_LINK216"/>
      <w:bookmarkStart w:id="422" w:name="OLE_LINK78"/>
      <w:bookmarkStart w:id="423" w:name="OLE_LINK60"/>
      <w:bookmarkStart w:id="424" w:name="OLE_LINK37"/>
      <w:bookmarkStart w:id="425" w:name="OLE_LINK197"/>
      <w:bookmarkStart w:id="426" w:name="OLE_LINK219"/>
      <w:bookmarkStart w:id="427" w:name="OLE_LINK220"/>
      <w:bookmarkStart w:id="428" w:name="OLE_LINK46"/>
      <w:bookmarkStart w:id="429" w:name="OLE_LINK30"/>
      <w:bookmarkStart w:id="430" w:name="OLE_LINK241"/>
      <w:bookmarkStart w:id="431" w:name="OLE_LINK192"/>
      <w:bookmarkStart w:id="432" w:name="OLE_LINK184"/>
      <w:bookmarkStart w:id="433" w:name="OLE_LINK1"/>
      <w:bookmarkStart w:id="434" w:name="OLE_LINK2"/>
      <w:bookmarkStart w:id="435" w:name="OLE_LINK84"/>
      <w:bookmarkStart w:id="436" w:name="OLE_LINK66"/>
      <w:bookmarkStart w:id="437" w:name="OLE_LINK1318"/>
      <w:bookmarkStart w:id="438" w:name="OLE_LINK29"/>
      <w:bookmarkStart w:id="439" w:name="OLE_LINK42"/>
      <w:bookmarkStart w:id="440" w:name="OLE_LINK10"/>
      <w:bookmarkStart w:id="441" w:name="OLE_LINK11"/>
      <w:bookmarkStart w:id="442" w:name="OLE_LINK12"/>
      <w:bookmarkStart w:id="443" w:name="OLE_LINK19"/>
      <w:bookmarkStart w:id="444" w:name="OLE_LINK108"/>
      <w:bookmarkStart w:id="445" w:name="OLE_LINK41"/>
      <w:bookmarkStart w:id="446" w:name="OLE_LINK74"/>
      <w:bookmarkStart w:id="447" w:name="OLE_LINK6"/>
      <w:bookmarkStart w:id="448" w:name="OLE_LINK1324"/>
      <w:bookmarkStart w:id="449" w:name="OLE_LINK7618"/>
      <w:bookmarkStart w:id="450" w:name="OLE_LINK7920"/>
      <w:bookmarkStart w:id="451" w:name="OLE_LINK7817"/>
      <w:bookmarkStart w:id="452" w:name="OLE_LINK7907"/>
      <w:bookmarkStart w:id="453" w:name="OLE_LINK7947"/>
      <w:bookmarkStart w:id="454" w:name="OLE_LINK8049"/>
      <w:bookmarkStart w:id="455" w:name="OLE_LINK7938"/>
      <w:bookmarkStart w:id="456" w:name="OLE_LINK7960"/>
      <w:bookmarkStart w:id="457" w:name="OLE_LINK7952"/>
      <w:bookmarkStart w:id="458" w:name="OLE_LINK7851"/>
      <w:bookmarkStart w:id="459" w:name="OLE_LINK8179"/>
      <w:bookmarkStart w:id="460" w:name="OLE_LINK7884"/>
      <w:bookmarkStart w:id="461" w:name="OLE_LINK8027"/>
      <w:bookmarkStart w:id="462" w:name="OLE_LINK7859"/>
      <w:bookmarkStart w:id="463" w:name="OLE_LINK7780"/>
      <w:bookmarkStart w:id="464" w:name="OLE_LINK7775"/>
      <w:bookmarkStart w:id="465" w:name="OLE_LINK8166"/>
      <w:bookmarkStart w:id="466" w:name="OLE_LINK8046"/>
      <w:bookmarkStart w:id="467" w:name="OLE_LINK7807"/>
      <w:bookmarkStart w:id="468" w:name="OLE_LINK7670"/>
      <w:bookmarkStart w:id="469" w:name="OLE_LINK7933"/>
      <w:bookmarkStart w:id="470" w:name="OLE_LINK7675"/>
      <w:bookmarkStart w:id="471" w:name="OLE_LINK8015"/>
      <w:bookmarkStart w:id="472" w:name="OLE_LINK7842"/>
      <w:bookmarkStart w:id="473" w:name="OLE_LINK7305"/>
      <w:bookmarkStart w:id="474" w:name="OLE_LINK7797"/>
      <w:bookmarkStart w:id="475" w:name="OLE_LINK7630"/>
      <w:bookmarkStart w:id="476" w:name="OLE_LINK8037"/>
      <w:bookmarkStart w:id="477" w:name="OLE_LINK7301"/>
      <w:bookmarkStart w:id="478" w:name="OLE_LINK7744"/>
      <w:bookmarkStart w:id="479" w:name="OLE_LINK8011"/>
      <w:bookmarkStart w:id="480" w:name="OLE_LINK7682"/>
      <w:bookmarkStart w:id="481" w:name="OLE_LINK7302"/>
      <w:bookmarkStart w:id="482" w:name="OLE_LINK7769"/>
      <w:bookmarkStart w:id="483" w:name="OLE_LINK7623"/>
      <w:bookmarkStart w:id="484" w:name="OLE_LINK7785"/>
      <w:bookmarkStart w:id="485" w:name="OLE_LINK7917"/>
      <w:bookmarkStart w:id="486" w:name="OLE_LINK7639"/>
      <w:bookmarkStart w:id="487" w:name="OLE_LINK7936"/>
      <w:bookmarkStart w:id="488" w:name="OLE_LINK7688"/>
      <w:bookmarkStart w:id="489" w:name="OLE_LINK7753"/>
      <w:bookmarkStart w:id="490" w:name="OLE_LINK7772"/>
      <w:bookmarkStart w:id="491" w:name="OLE_LINK7326"/>
      <w:bookmarkStart w:id="492" w:name="OLE_LINK7765"/>
      <w:bookmarkStart w:id="493" w:name="OLE_LINK7724"/>
      <w:bookmarkStart w:id="494" w:name="OLE_LINK8010"/>
      <w:bookmarkStart w:id="495" w:name="OLE_LINK7868"/>
      <w:bookmarkStart w:id="496" w:name="OLE_LINK7902"/>
      <w:bookmarkStart w:id="497" w:name="OLE_LINK8034"/>
      <w:bookmarkStart w:id="498" w:name="OLE_LINK8026"/>
      <w:bookmarkStart w:id="499" w:name="OLE_LINK7815"/>
      <w:bookmarkStart w:id="500" w:name="OLE_LINK7923"/>
      <w:bookmarkStart w:id="501" w:name="OLE_LINK7927"/>
      <w:bookmarkStart w:id="502" w:name="OLE_LINK7322"/>
      <w:bookmarkStart w:id="503" w:name="OLE_LINK7756"/>
      <w:bookmarkStart w:id="504" w:name="OLE_LINK7732"/>
      <w:bookmarkStart w:id="505" w:name="OLE_LINK7317"/>
      <w:bookmarkStart w:id="506" w:name="OLE_LINK7650"/>
      <w:bookmarkStart w:id="507" w:name="OLE_LINK7394"/>
      <w:bookmarkStart w:id="508" w:name="OLE_LINK7308"/>
      <w:bookmarkStart w:id="509" w:name="OLE_LINK7287"/>
      <w:bookmarkStart w:id="510" w:name="OLE_LINK7440"/>
      <w:bookmarkStart w:id="511" w:name="OLE_LINK7743"/>
      <w:bookmarkStart w:id="512" w:name="OLE_LINK7666"/>
      <w:bookmarkStart w:id="513" w:name="OLE_LINK7254"/>
      <w:bookmarkStart w:id="514" w:name="OLE_LINK7693"/>
      <w:bookmarkStart w:id="515" w:name="OLE_LINK7379"/>
      <w:bookmarkStart w:id="516" w:name="OLE_LINK7810"/>
      <w:bookmarkStart w:id="517" w:name="OLE_LINK7700"/>
      <w:bookmarkStart w:id="518" w:name="OLE_LINK7779"/>
      <w:bookmarkStart w:id="519" w:name="OLE_LINK7238"/>
      <w:bookmarkStart w:id="520" w:name="OLE_LINK7803"/>
      <w:bookmarkStart w:id="521" w:name="OLE_LINK7389"/>
      <w:bookmarkStart w:id="522" w:name="OLE_LINK7383"/>
      <w:bookmarkStart w:id="523" w:name="OLE_LINK7788"/>
      <w:bookmarkStart w:id="524" w:name="OLE_LINK7727"/>
      <w:bookmarkStart w:id="525" w:name="OLE_LINK7263"/>
      <w:bookmarkStart w:id="526" w:name="OLE_LINK7376"/>
      <w:bookmarkStart w:id="527" w:name="OLE_LINK7800"/>
      <w:bookmarkStart w:id="528" w:name="OLE_LINK7644"/>
      <w:bookmarkStart w:id="529" w:name="OLE_LINK7681"/>
      <w:bookmarkStart w:id="530" w:name="OLE_LINK8012"/>
      <w:bookmarkStart w:id="531" w:name="OLE_LINK7533"/>
      <w:bookmarkStart w:id="532" w:name="OLE_LINK7386"/>
      <w:bookmarkStart w:id="533" w:name="OLE_LINK7296"/>
      <w:bookmarkStart w:id="534" w:name="OLE_LINK7313"/>
      <w:bookmarkStart w:id="535" w:name="OLE_LINK7654"/>
      <w:bookmarkStart w:id="536" w:name="OLE_LINK1199"/>
      <w:bookmarkStart w:id="537" w:name="OLE_LINK7265"/>
      <w:bookmarkStart w:id="538" w:name="OLE_LINK7422"/>
      <w:bookmarkStart w:id="539" w:name="OLE_LINK7793"/>
      <w:bookmarkStart w:id="540" w:name="OLE_LINK7526"/>
      <w:bookmarkStart w:id="541" w:name="OLE_LINK7593"/>
      <w:bookmarkStart w:id="542" w:name="OLE_LINK7794"/>
      <w:bookmarkStart w:id="543" w:name="OLE_LINK7619"/>
      <w:bookmarkStart w:id="544" w:name="OLE_LINK7303"/>
      <w:bookmarkStart w:id="545" w:name="OLE_LINK7260"/>
      <w:bookmarkStart w:id="546" w:name="OLE_LINK7307"/>
      <w:bookmarkStart w:id="547" w:name="OLE_LINK7631"/>
      <w:bookmarkStart w:id="548" w:name="OLE_LINK7282"/>
      <w:bookmarkStart w:id="549" w:name="OLE_LINK7562"/>
      <w:bookmarkStart w:id="550" w:name="OLE_LINK7761"/>
      <w:bookmarkStart w:id="551" w:name="OLE_LINK7588"/>
      <w:bookmarkStart w:id="552" w:name="OLE_LINK7791"/>
      <w:bookmarkStart w:id="553" w:name="OLE_LINK7806"/>
      <w:bookmarkStart w:id="554" w:name="OLE_LINK7426"/>
      <w:bookmarkStart w:id="555" w:name="OLE_LINK1218"/>
      <w:bookmarkStart w:id="556" w:name="OLE_LINK7245"/>
      <w:bookmarkStart w:id="557" w:name="OLE_LINK7801"/>
      <w:bookmarkStart w:id="558" w:name="OLE_LINK7403"/>
      <w:bookmarkStart w:id="559" w:name="OLE_LINK7272"/>
      <w:bookmarkStart w:id="560" w:name="OLE_LINK7523"/>
      <w:bookmarkStart w:id="561" w:name="OLE_LINK7548"/>
      <w:bookmarkStart w:id="562" w:name="OLE_LINK7811"/>
      <w:bookmarkStart w:id="563" w:name="OLE_LINK7739"/>
      <w:bookmarkStart w:id="564" w:name="OLE_LINK7266"/>
      <w:bookmarkStart w:id="565" w:name="OLE_LINK6816"/>
      <w:bookmarkStart w:id="566" w:name="OLE_LINK7749"/>
      <w:bookmarkStart w:id="567" w:name="OLE_LINK1198"/>
      <w:bookmarkStart w:id="568" w:name="OLE_LINK7213"/>
      <w:bookmarkStart w:id="569" w:name="OLE_LINK7572"/>
      <w:bookmarkStart w:id="570" w:name="OLE_LINK7130"/>
      <w:bookmarkStart w:id="571" w:name="OLE_LINK6830"/>
      <w:bookmarkStart w:id="572" w:name="OLE_LINK7127"/>
      <w:bookmarkStart w:id="573" w:name="OLE_LINK1223"/>
      <w:bookmarkStart w:id="574" w:name="OLE_LINK7786"/>
      <w:bookmarkStart w:id="575" w:name="OLE_LINK7214"/>
      <w:bookmarkStart w:id="576" w:name="OLE_LINK7805"/>
      <w:bookmarkStart w:id="577" w:name="OLE_LINK7292"/>
      <w:bookmarkStart w:id="578" w:name="OLE_LINK7648"/>
      <w:bookmarkStart w:id="579" w:name="OLE_LINK7552"/>
      <w:bookmarkStart w:id="580" w:name="OLE_LINK1222"/>
      <w:bookmarkStart w:id="581" w:name="OLE_LINK7145"/>
      <w:bookmarkStart w:id="582" w:name="OLE_LINK7573"/>
      <w:bookmarkStart w:id="583" w:name="OLE_LINK7538"/>
      <w:bookmarkStart w:id="584" w:name="OLE_LINK7579"/>
      <w:bookmarkStart w:id="585" w:name="OLE_LINK1242"/>
      <w:bookmarkStart w:id="586" w:name="OLE_LINK7642"/>
      <w:bookmarkStart w:id="587" w:name="OLE_LINK7119"/>
      <w:bookmarkStart w:id="588" w:name="OLE_LINK7126"/>
      <w:bookmarkStart w:id="589" w:name="OLE_LINK6812"/>
      <w:bookmarkStart w:id="590" w:name="OLE_LINK7133"/>
      <w:bookmarkStart w:id="591" w:name="OLE_LINK7658"/>
      <w:bookmarkStart w:id="592" w:name="OLE_LINK7534"/>
      <w:bookmarkStart w:id="593" w:name="OLE_LINK7167"/>
      <w:bookmarkStart w:id="594" w:name="OLE_LINK7432"/>
      <w:bookmarkStart w:id="595" w:name="OLE_LINK7641"/>
      <w:bookmarkStart w:id="596" w:name="OLE_LINK7568"/>
      <w:bookmarkStart w:id="597" w:name="OLE_LINK7608"/>
      <w:bookmarkStart w:id="598" w:name="OLE_LINK1227"/>
      <w:bookmarkStart w:id="599" w:name="OLE_LINK6803"/>
      <w:bookmarkStart w:id="600" w:name="OLE_LINK7577"/>
      <w:bookmarkStart w:id="601" w:name="OLE_LINK7633"/>
      <w:bookmarkStart w:id="602" w:name="OLE_LINK7571"/>
      <w:bookmarkStart w:id="603" w:name="OLE_LINK7561"/>
      <w:bookmarkStart w:id="604" w:name="OLE_LINK7559"/>
      <w:bookmarkStart w:id="605" w:name="OLE_LINK7122"/>
      <w:bookmarkStart w:id="606" w:name="OLE_LINK7140"/>
      <w:bookmarkStart w:id="607" w:name="OLE_LINK7574"/>
      <w:bookmarkStart w:id="608" w:name="OLE_LINK7125"/>
      <w:bookmarkStart w:id="609" w:name="OLE_LINK7616"/>
      <w:bookmarkStart w:id="610" w:name="OLE_LINK1231"/>
      <w:bookmarkStart w:id="611" w:name="OLE_LINK7522"/>
      <w:bookmarkStart w:id="612" w:name="OLE_LINK7215"/>
      <w:bookmarkStart w:id="613" w:name="OLE_LINK1224"/>
      <w:bookmarkStart w:id="614" w:name="OLE_LINK7606"/>
      <w:bookmarkStart w:id="615" w:name="OLE_LINK7228"/>
      <w:bookmarkStart w:id="616" w:name="OLE_LINK7212"/>
      <w:bookmarkStart w:id="617" w:name="OLE_LINK7116"/>
      <w:bookmarkStart w:id="618" w:name="OLE_LINK7153"/>
      <w:bookmarkStart w:id="619" w:name="OLE_LINK7150"/>
      <w:bookmarkStart w:id="620" w:name="OLE_LINK6827"/>
      <w:bookmarkStart w:id="621" w:name="OLE_LINK7141"/>
      <w:bookmarkStart w:id="622" w:name="OLE_LINK7173"/>
      <w:bookmarkStart w:id="623" w:name="OLE_LINK1246"/>
      <w:bookmarkStart w:id="624" w:name="OLE_LINK7646"/>
      <w:bookmarkStart w:id="625" w:name="OLE_LINK7515"/>
      <w:bookmarkStart w:id="626" w:name="OLE_LINK7530"/>
      <w:bookmarkStart w:id="627" w:name="OLE_LINK7237"/>
      <w:bookmarkStart w:id="628" w:name="OLE_LINK7550"/>
      <w:bookmarkStart w:id="629" w:name="OLE_LINK6798"/>
      <w:bookmarkStart w:id="630" w:name="OLE_LINK7158"/>
      <w:bookmarkStart w:id="631" w:name="OLE_LINK7712"/>
      <w:bookmarkStart w:id="632" w:name="OLE_LINK7605"/>
      <w:bookmarkStart w:id="633" w:name="OLE_LINK7610"/>
      <w:bookmarkStart w:id="634" w:name="OLE_LINK7243"/>
      <w:bookmarkStart w:id="635" w:name="OLE_LINK7555"/>
      <w:bookmarkStart w:id="636" w:name="OLE_LINK7250"/>
      <w:bookmarkStart w:id="637" w:name="OLE_LINK7547"/>
      <w:bookmarkStart w:id="638" w:name="OLE_LINK7611"/>
      <w:bookmarkStart w:id="639" w:name="OLE_LINK7253"/>
      <w:bookmarkStart w:id="640" w:name="OLE_LINK7711"/>
      <w:bookmarkStart w:id="641" w:name="OLE_LINK7628"/>
      <w:bookmarkStart w:id="642" w:name="OLE_LINK7236"/>
      <w:bookmarkStart w:id="643" w:name="OLE_LINK7629"/>
      <w:bookmarkStart w:id="644" w:name="OLE_LINK7569"/>
      <w:bookmarkStart w:id="645" w:name="OLE_LINK6834"/>
      <w:r>
        <w:rPr>
          <w:rFonts w:ascii="Book Antiqua" w:hAnsi="Book Antiqua"/>
        </w:rPr>
        <w:t>January 31,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February 26,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1C1D1E"/>
          <w:shd w:val="clear" w:color="auto" w:fill="FFFFFF"/>
        </w:rPr>
        <w:t>Acute pancreatitis is a rare extrapulmonary manifestation of coronavirus disease 2019 (COVID-19) but its full correlation with COVID-19 infection remains unknown.</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1C1D1E"/>
          <w:shd w:val="clear" w:color="auto" w:fill="FFFFFF"/>
        </w:rPr>
        <w:t>To identify acute pancreatitis’ occurrence, clinical presentation and outcomes in a cohort of kidney transplant recipients with acute COVID-19.</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1C1D1E"/>
          <w:shd w:val="clear" w:color="auto" w:fill="FFFFFF"/>
        </w:rPr>
        <w:t>A retrospective observational single-centre cohort study from a transplant centre in Croatia for all adult renal transplant recipients with a functioning kidney allograft between March 2020 and August 2022 to record cases of acute pancreatitis during acute COVID-19. Data were obtained from hospital electronic medical records. Severe acute respiratory syndrome coronavirus 2 (SARS-CoV-2) infection was proven by a positive SARS-CoV-2 real-time reverse transcriptase-polymerase chain reaction on the nasopharyngeal swab</w:t>
      </w:r>
      <w:r>
        <w:rPr>
          <w:rFonts w:hint="eastAsia" w:ascii="宋体" w:hAnsi="宋体" w:eastAsia="宋体" w:cs="宋体"/>
          <w:color w:val="1C1D1E"/>
          <w:shd w:val="clear" w:color="auto" w:fill="FFFFFF"/>
          <w:lang w:eastAsia="zh-CN"/>
        </w:rPr>
        <w:t>.</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1C1D1E"/>
          <w:shd w:val="clear" w:color="auto" w:fill="FFFFFF"/>
        </w:rPr>
        <w:t>Four hundred and eight out of 1432 (28.49%) patients who received a renal allograft developed COVID-19 disease. The analyzed cohort included 321 patients (57% males). One hundred and fifty patients (46.7%) received at least one dose of the anti-SARS-CoV-2 vaccine before the infection. One hundred twenty-five (39.1%) patients required hospitalization, 141 (44.1%) developed pneumonia and four patients (1.3%) required mechanical ventilation. Treatment included immunosuppression modification in 233 patients (77.1%) and remdesivir in 53 patients (16.6%), besides the other supportive measures. In the study cohort, only one transplant recipient (0.3%) developed acute pancreatitis during acute COVID-19, presenting with abdominal pain and significantly elevated pancreatic enzymes. She survived without complications with a stable kidney allograft function.</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1C1D1E"/>
          <w:shd w:val="clear" w:color="auto" w:fill="FFFFFF"/>
        </w:rPr>
        <w:t>Although rare, acute pancreatitis may complicate the course of acute COVID-19 in kidney transplant recipients. The mechanism of injury to the pancreas and its correlation with the severity of the COVID-19 infection in kidney transplant recipients warrants further research.</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Acute pancreatitis; COVID-19; Kidney transplant; Angiotensin-converting enzyme-2 receptor; Immunosuppressive agents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rPr>
        <w:t>Basic-Jukic N</w:t>
      </w:r>
      <w:r>
        <w:rPr>
          <w:rFonts w:ascii="Book Antiqua" w:hAnsi="Book Antiqua" w:eastAsia="Book Antiqua" w:cs="Book Antiqua"/>
        </w:rPr>
        <w:t xml:space="preserve">, Juric I, Katalinic L, Furic-Cunko V, Sesa V, Mrzljak A. Acute pancreatitis as a complication of acute COVID-19 in kidney transplant recipients. </w:t>
      </w:r>
      <w:r>
        <w:rPr>
          <w:rFonts w:ascii="Book Antiqua" w:hAnsi="Book Antiqua" w:eastAsia="Book Antiqua" w:cs="Book Antiqua"/>
          <w:i/>
          <w:iCs/>
        </w:rPr>
        <w:t>World J Clin Cases</w:t>
      </w:r>
      <w:r>
        <w:rPr>
          <w:rFonts w:ascii="Book Antiqua" w:hAnsi="Book Antiqua" w:eastAsia="Book Antiqua" w:cs="Book Antiqua"/>
        </w:rPr>
        <w:t xml:space="preserve"> 2024; </w:t>
      </w:r>
      <w:r>
        <w:rPr>
          <w:rFonts w:hint="eastAsia" w:ascii="Book Antiqua" w:hAnsi="Book Antiqua" w:eastAsia="Book Antiqua" w:cs="Book Antiqua"/>
        </w:rPr>
        <w:t xml:space="preserve">12(6): </w:t>
      </w:r>
      <w:r>
        <w:rPr>
          <w:rStyle w:val="15"/>
          <w:rFonts w:hint="default" w:ascii="Book Antiqua" w:hAnsi="Book Antiqua" w:eastAsia="宋体" w:cs="Book Antiqua"/>
          <w:sz w:val="24"/>
          <w:szCs w:val="24"/>
          <w:lang w:val="en-US" w:eastAsia="zh-CN" w:bidi="ar"/>
        </w:rPr>
        <w:t>1104-1110</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https://www.wjgnet.com/2307-8960/full/v12/i6/</w:t>
      </w:r>
      <w:r>
        <w:rPr>
          <w:rStyle w:val="15"/>
          <w:rFonts w:hint="default" w:ascii="Book Antiqua" w:hAnsi="Book Antiqua" w:eastAsia="宋体" w:cs="Book Antiqua"/>
          <w:sz w:val="24"/>
          <w:szCs w:val="24"/>
          <w:lang w:val="en-US" w:eastAsia="zh-CN" w:bidi="ar"/>
        </w:rPr>
        <w:t>1104</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https://dx.doi.org/10.12998/wjcc.v12.i6.</w:t>
      </w:r>
      <w:r>
        <w:rPr>
          <w:rStyle w:val="15"/>
          <w:rFonts w:hint="default" w:ascii="Book Antiqua" w:hAnsi="Book Antiqua" w:eastAsia="宋体" w:cs="Book Antiqua"/>
          <w:sz w:val="24"/>
          <w:szCs w:val="24"/>
          <w:lang w:val="en-US" w:eastAsia="zh-CN" w:bidi="ar"/>
        </w:rPr>
        <w:t>1104</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 xml:space="preserve">The attention to the effect of </w:t>
      </w:r>
      <w:r>
        <w:rPr>
          <w:rFonts w:ascii="Book Antiqua" w:hAnsi="Book Antiqua" w:eastAsia="Book Antiqua" w:cs="Book Antiqua"/>
          <w:color w:val="1C1D1E"/>
          <w:shd w:val="clear" w:color="auto" w:fill="FFFFFF"/>
        </w:rPr>
        <w:t>severe acute respiratory syndrome coronavirus 2 (</w:t>
      </w:r>
      <w:bookmarkStart w:id="646" w:name="OLE_LINK31"/>
      <w:bookmarkStart w:id="647" w:name="OLE_LINK32"/>
      <w:r>
        <w:rPr>
          <w:rFonts w:ascii="Book Antiqua" w:hAnsi="Book Antiqua" w:eastAsia="Book Antiqua" w:cs="Book Antiqua"/>
          <w:color w:val="1C1D1E"/>
          <w:shd w:val="clear" w:color="auto" w:fill="FFFFFF"/>
        </w:rPr>
        <w:t>SARS-CoV-2</w:t>
      </w:r>
      <w:bookmarkEnd w:id="646"/>
      <w:bookmarkEnd w:id="647"/>
      <w:r>
        <w:rPr>
          <w:rFonts w:ascii="Book Antiqua" w:hAnsi="Book Antiqua" w:eastAsia="Book Antiqua" w:cs="Book Antiqua"/>
          <w:color w:val="1C1D1E"/>
          <w:shd w:val="clear" w:color="auto" w:fill="FFFFFF"/>
        </w:rPr>
        <w:t>)</w:t>
      </w:r>
      <w:r>
        <w:rPr>
          <w:rFonts w:ascii="Book Antiqua" w:hAnsi="Book Antiqua" w:eastAsia="Book Antiqua" w:cs="Book Antiqua"/>
        </w:rPr>
        <w:t xml:space="preserve"> virus on pancreatic tissue has been arising. It is hypothesized that the SARS-CoV-2 virus can directly affect pancreatic tissue </w:t>
      </w:r>
      <w:r>
        <w:rPr>
          <w:rFonts w:ascii="Book Antiqua" w:hAnsi="Book Antiqua" w:eastAsia="Book Antiqua" w:cs="Book Antiqua"/>
          <w:i/>
          <w:iCs/>
        </w:rPr>
        <w:t>via</w:t>
      </w:r>
      <w:r>
        <w:rPr>
          <w:rFonts w:ascii="Book Antiqua" w:hAnsi="Book Antiqua" w:eastAsia="Book Antiqua" w:cs="Book Antiqua"/>
        </w:rPr>
        <w:t xml:space="preserve"> angiotensin-converting enzyme 2 receptors which are heavily expressed in pancreatic cells. Our single-centre retrospective study aimed to identify the occurrence of acute pancreatitis, clinical presentation and outcomes in a cohort of kidney transplant recipients with acute </w:t>
      </w:r>
      <w:r>
        <w:rPr>
          <w:rFonts w:ascii="Book Antiqua" w:hAnsi="Book Antiqua" w:eastAsia="Book Antiqua" w:cs="Book Antiqua"/>
          <w:color w:val="1C1D1E"/>
          <w:shd w:val="clear" w:color="auto" w:fill="FFFFFF"/>
        </w:rPr>
        <w:t>coronavirus disease 2019 (</w:t>
      </w:r>
      <w:r>
        <w:rPr>
          <w:rFonts w:ascii="Book Antiqua" w:hAnsi="Book Antiqua" w:eastAsia="Book Antiqua" w:cs="Book Antiqua"/>
        </w:rPr>
        <w:t>COVID-19</w:t>
      </w:r>
      <w:r>
        <w:rPr>
          <w:rFonts w:ascii="Book Antiqua" w:hAnsi="Book Antiqua" w:eastAsia="Book Antiqua" w:cs="Book Antiqua"/>
          <w:color w:val="1C1D1E"/>
          <w:shd w:val="clear" w:color="auto" w:fill="FFFFFF"/>
        </w:rPr>
        <w:t xml:space="preserve">) </w:t>
      </w:r>
      <w:r>
        <w:rPr>
          <w:rFonts w:ascii="Book Antiqua" w:hAnsi="Book Antiqua" w:eastAsia="Book Antiqua" w:cs="Book Antiqua"/>
        </w:rPr>
        <w:t>between March 2020 and August 2022. 28.49% of transplant recipients developed COVID-19 disease and only 0.3% developed acute pancreatitis during the acute COVID-19 presenting with abdominal pain and elevated pancreatic enzymes with no imaging features. The mechanism of injury to the pancreas and its correlation with the severity of the COVID-19 infection in kidney transplant recipients warrants further research.</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Acute pancreatitis is an acute inflammation of the pancreas characterized by typical upper abdominal pain, vomiting and nausea. Clinical, biochemical and/or radiologic findings are required to establish a diagnosis</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The most common causes of pancreatitis are gallstones, alcohol, hypertriglyceridemia, post-endoscopic retrograde cholangiopancreatography pancreatitis, medications and pancreatic duct injury</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rPr>
        <w:t xml:space="preserve">. Since March 2020, when the WHO declared the novel </w:t>
      </w:r>
      <w:bookmarkStart w:id="648" w:name="_Hlk156936615"/>
      <w:r>
        <w:rPr>
          <w:rFonts w:ascii="Book Antiqua" w:hAnsi="Book Antiqua" w:eastAsia="Book Antiqua" w:cs="Book Antiqua"/>
          <w:color w:val="1C1D1E"/>
          <w:shd w:val="clear" w:color="auto" w:fill="FFFFFF"/>
        </w:rPr>
        <w:t>coronavirus disease 2019</w:t>
      </w:r>
      <w:bookmarkEnd w:id="648"/>
      <w:r>
        <w:rPr>
          <w:rFonts w:ascii="Book Antiqua" w:hAnsi="Book Antiqua" w:eastAsia="Book Antiqua" w:cs="Book Antiqua"/>
          <w:color w:val="1C1D1E"/>
          <w:shd w:val="clear" w:color="auto" w:fill="FFFFFF"/>
        </w:rPr>
        <w:t xml:space="preserve"> (</w:t>
      </w:r>
      <w:r>
        <w:rPr>
          <w:rFonts w:ascii="Book Antiqua" w:hAnsi="Book Antiqua" w:eastAsia="Book Antiqua" w:cs="Book Antiqua"/>
        </w:rPr>
        <w:t>COVID-19</w:t>
      </w:r>
      <w:r>
        <w:rPr>
          <w:rFonts w:ascii="Book Antiqua" w:hAnsi="Book Antiqua" w:eastAsia="Book Antiqua" w:cs="Book Antiqua"/>
          <w:color w:val="1C1D1E"/>
          <w:shd w:val="clear" w:color="auto" w:fill="FFFFFF"/>
        </w:rPr>
        <w:t>)</w:t>
      </w:r>
      <w:r>
        <w:rPr>
          <w:rFonts w:ascii="Book Antiqua" w:hAnsi="Book Antiqua" w:eastAsia="Book Antiqua" w:cs="Book Antiqua"/>
          <w:color w:val="000000"/>
        </w:rPr>
        <w:t xml:space="preserve"> outbreak a global pandemic</w:t>
      </w:r>
      <w:r>
        <w:rPr>
          <w:rFonts w:ascii="Book Antiqua" w:hAnsi="Book Antiqua" w:eastAsia="Book Antiqua" w:cs="Book Antiqua"/>
          <w:color w:val="000000"/>
          <w:vertAlign w:val="superscript"/>
        </w:rPr>
        <w:t>[3]</w:t>
      </w:r>
      <w:r>
        <w:rPr>
          <w:rFonts w:ascii="Book Antiqua" w:hAnsi="Book Antiqua" w:eastAsia="Book Antiqua" w:cs="Book Antiqua"/>
          <w:color w:val="000000"/>
        </w:rPr>
        <w:t>, many studies investigated its effect on different organ systems and tissues, showing that 15% of patients with acute COVID-19 infection develop digestive symptoms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COVID-19-associated pancreatic injury has been suggested, but its correlation with pancreatic disease remains unclear. It is hypothesized that the </w:t>
      </w:r>
      <w:r>
        <w:rPr>
          <w:rFonts w:ascii="Book Antiqua" w:hAnsi="Book Antiqua" w:eastAsia="Book Antiqua" w:cs="Book Antiqua"/>
          <w:color w:val="1C1D1E"/>
          <w:shd w:val="clear" w:color="auto" w:fill="FFFFFF"/>
        </w:rPr>
        <w:t>severe acute respiratory syndrome coronavirus 2 (SARS-CoV-2)</w:t>
      </w:r>
      <w:r>
        <w:rPr>
          <w:rFonts w:ascii="Book Antiqua" w:hAnsi="Book Antiqua" w:eastAsia="Book Antiqua" w:cs="Book Antiqua"/>
          <w:color w:val="000000"/>
        </w:rPr>
        <w:t xml:space="preserve"> virus affects pancreatic tissue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angiotensin-converting enzyme 2 receptors, which are heavily expressed in pancreatic cells and indirectly by locoregional inflammation as a part of systemic inflammation</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 A recent United States study on a total of 1659040 hospitalized COVID-19 patients showed that the incidence of pancreatitis is 0.6% and that is followed by worse in-hospital outcomes, including increased episodes of septic shock, acute kidney injury and requirement for hemodialysis compared to patients without pancreatitis, but without increased mortality</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 In the COVID-19 setting, transplanted patients carry an additional disease burden due to immunosuppression; however, the data on the transplant population on acute COVID-19 and pancreatitis is lacking. Therefore, this study aims to identify the occurrence of acute pancreatitis, its clinical presentation and outcomes in a cohort of kidney transplant recipients with acute COVID-19.</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i/>
          <w:iCs/>
        </w:rPr>
      </w:pPr>
      <w:r>
        <w:rPr>
          <w:rFonts w:ascii="Book Antiqua" w:hAnsi="Book Antiqua" w:eastAsia="Book Antiqua" w:cs="Book Antiqua"/>
          <w:b/>
          <w:bCs/>
          <w:i/>
          <w:iCs/>
          <w:color w:val="000000"/>
          <w:shd w:val="clear" w:color="auto" w:fill="FFFFFF"/>
        </w:rPr>
        <w:t>Study design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 retrospective observational single-centre cohort study recruited study participants from the largest kidney transplant centre in Croatia to record cases of acute pancreatitis during acute COVID-19 infection. Data were retrospectively obtained from hospital charts and records. The study included all adult renal transplant recipients with a functioning kidney allograft between March 2020 and August 2022. </w:t>
      </w:r>
    </w:p>
    <w:p>
      <w:pPr>
        <w:spacing w:line="360" w:lineRule="auto"/>
        <w:jc w:val="both"/>
      </w:pPr>
    </w:p>
    <w:p>
      <w:pPr>
        <w:spacing w:line="360" w:lineRule="auto"/>
        <w:jc w:val="both"/>
        <w:rPr>
          <w:i/>
          <w:iCs/>
        </w:rPr>
      </w:pPr>
      <w:r>
        <w:rPr>
          <w:rFonts w:ascii="Book Antiqua" w:hAnsi="Book Antiqua" w:eastAsia="Book Antiqua" w:cs="Book Antiqua"/>
          <w:b/>
          <w:bCs/>
          <w:i/>
          <w:iCs/>
          <w:color w:val="000000"/>
        </w:rPr>
        <w:t>SARS-CoV-2 infection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SARS-CoV-2 infection was proven by a positive SARS-CoV-2 real-time reverse transcriptase-</w:t>
      </w:r>
      <w:bookmarkStart w:id="649" w:name="_Hlk156935234"/>
      <w:r>
        <w:rPr>
          <w:rFonts w:ascii="Book Antiqua" w:hAnsi="Book Antiqua" w:eastAsia="Book Antiqua" w:cs="Book Antiqua"/>
          <w:color w:val="000000"/>
        </w:rPr>
        <w:t>polymerase chain reaction</w:t>
      </w:r>
      <w:bookmarkEnd w:id="649"/>
      <w:r>
        <w:rPr>
          <w:rFonts w:ascii="Book Antiqua" w:hAnsi="Book Antiqua" w:eastAsia="Book Antiqua" w:cs="Book Antiqua"/>
          <w:color w:val="000000"/>
        </w:rPr>
        <w:t xml:space="preserve"> (RT-PCR) on the nasopharyngeal swab. No data on SARS-CoV-2 genotyping were available. </w:t>
      </w:r>
    </w:p>
    <w:p>
      <w:pPr>
        <w:spacing w:line="360" w:lineRule="auto"/>
        <w:jc w:val="both"/>
      </w:pPr>
    </w:p>
    <w:p>
      <w:pPr>
        <w:spacing w:line="360" w:lineRule="auto"/>
        <w:jc w:val="both"/>
        <w:rPr>
          <w:i/>
          <w:iCs/>
        </w:rPr>
      </w:pPr>
      <w:r>
        <w:rPr>
          <w:rFonts w:ascii="Book Antiqua" w:hAnsi="Book Antiqua" w:eastAsia="Book Antiqua" w:cs="Book Antiqua"/>
          <w:b/>
          <w:bCs/>
          <w:i/>
          <w:iCs/>
          <w:color w:val="000000"/>
        </w:rPr>
        <w:t>Acute pancreatitis</w:t>
      </w:r>
    </w:p>
    <w:p>
      <w:pPr>
        <w:spacing w:line="360" w:lineRule="auto"/>
        <w:jc w:val="both"/>
      </w:pPr>
      <w:r>
        <w:rPr>
          <w:rFonts w:ascii="Book Antiqua" w:hAnsi="Book Antiqua" w:eastAsia="Book Antiqua" w:cs="Book Antiqua"/>
          <w:color w:val="000000"/>
        </w:rPr>
        <w:t>The diagnosis of acute pancreatitis was based on the fulfilment of two of three criteria: (1) Upper abdominal pain; (2) serum amylase and/or lipase of at least three times the upper limit of normal</w:t>
      </w:r>
      <w:r>
        <w:rPr>
          <w:rFonts w:hint="eastAsia" w:ascii="Book Antiqua" w:hAnsi="Book Antiqua" w:eastAsia="Book Antiqua" w:cs="Book Antiqua"/>
          <w:color w:val="000000"/>
        </w:rPr>
        <w:t>;</w:t>
      </w:r>
      <w:r>
        <w:rPr>
          <w:rFonts w:ascii="Book Antiqua" w:hAnsi="Book Antiqua" w:eastAsia="Book Antiqua" w:cs="Book Antiqua"/>
          <w:color w:val="000000"/>
        </w:rPr>
        <w:t xml:space="preserve"> and/or (3) findings consistent with acute pancreatitis on imaging studies (abdominal ultrasound, computed tomography or magnetic resonance imaging)</w:t>
      </w:r>
      <w:r>
        <w:rPr>
          <w:rFonts w:ascii="Book Antiqua" w:hAnsi="Book Antiqua" w:eastAsia="Book Antiqua" w:cs="Book Antiqua"/>
          <w:color w:val="000000"/>
          <w:vertAlign w:val="superscript"/>
        </w:rPr>
        <w:t>[1]</w:t>
      </w:r>
      <w:r>
        <w:rPr>
          <w:lang w:eastAsia="zh-CN"/>
        </w:rPr>
        <w:t xml:space="preserve">. </w:t>
      </w:r>
      <w:r>
        <w:rPr>
          <w:rFonts w:ascii="Book Antiqua" w:hAnsi="Book Antiqua" w:eastAsia="Book Antiqua" w:cs="Book Antiqua"/>
          <w:color w:val="000000"/>
        </w:rPr>
        <w:t>The study was approved by the University Hospital Center Zagreb Ethics committee.</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the study period, 408 out of 1432 (28.49%) patients who received a renal allograft at our institution developed COVID-19 disease, proved by the positive SARS-CoV-2 RT-PCR on the nasopharyngeal swab. Twenty-five patients died in the period during or after the infection and 62 patients had not been assessed in our clinic and were therefore excluded from the study population, which finally included 321 patients (57% males) (Table 1). One hundred and fifty patients (46.7%) received at least one dose of the anti-SARS-CoV-2 vaccine before the infection. Regarding the severity of SARS-COV-2 infection, 21 (6.6%) patient was completely asymptomatic, while 125 (39.1%) patients required hospitalization, 141 (44.1%) developed pneumonia and 4 patients (1.3%) required mechanical ventilation. The most common presenting symptom was febrility (76.6%), followed by respiratory symptoms (71.9%) and diarrhoea (12.2%).</w:t>
      </w:r>
    </w:p>
    <w:p>
      <w:pPr>
        <w:spacing w:line="360" w:lineRule="auto"/>
        <w:ind w:firstLine="480" w:firstLineChars="200"/>
        <w:jc w:val="both"/>
      </w:pPr>
      <w:r>
        <w:rPr>
          <w:rFonts w:ascii="Book Antiqua" w:hAnsi="Book Antiqua" w:eastAsia="Book Antiqua" w:cs="Book Antiqua"/>
          <w:color w:val="000000"/>
        </w:rPr>
        <w:t>Treatment included immunosuppression modification in 233 patients (77.1%) and remdesivir in 53 patients (16.6%), besides the other supportive measures. Additionally, thirteen patients (4.4%) received intravenous immunoglobulins, eight (2.5%) received convalescent plasma and 30 patients (9.4%) received hyperimmune anti-</w:t>
      </w:r>
      <w:r>
        <w:t xml:space="preserve"> </w:t>
      </w:r>
      <w:r>
        <w:rPr>
          <w:rFonts w:ascii="Book Antiqua" w:hAnsi="Book Antiqua" w:eastAsia="Book Antiqua" w:cs="Book Antiqua"/>
          <w:color w:val="000000"/>
        </w:rPr>
        <w:t>cytomegalovirus (CMV) globulin (in exchange for convalescent plasma) as a passive immune augmentation. Three patients (0.9%) were treated with tocilizumab. In the study cohort only one patient (0.3%) developed acute pancreatitis during acute COVID-19.</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COVID-19 and acute pancreatitis-a case description</w:t>
      </w:r>
    </w:p>
    <w:p>
      <w:pPr>
        <w:spacing w:line="360" w:lineRule="auto"/>
        <w:jc w:val="both"/>
      </w:pPr>
      <w:r>
        <w:rPr>
          <w:rFonts w:ascii="Book Antiqua" w:hAnsi="Book Antiqua" w:eastAsia="Book Antiqua" w:cs="Book Antiqua"/>
          <w:color w:val="000000"/>
          <w:shd w:val="clear" w:color="auto" w:fill="FFFFFF"/>
        </w:rPr>
        <w:t xml:space="preserve">A 68-year-old female with a kidney allograft from a deceased donor 127 months ago due to end-stage renal disease caused by rapidly progressive glomerulonephritis presented with a three-week history of productive cough, inapatency, abdominal pain, vomiting and diarrhoea. Her immunosuppressive regimen included cyclosporine, mycophenolate mofetil and steroids. The posttransplant course was complicated with new-onset diabetes after transplantation and an episode of </w:t>
      </w:r>
      <w:r>
        <w:rPr>
          <w:rFonts w:ascii="Book Antiqua" w:hAnsi="Book Antiqua" w:eastAsia="Book Antiqua" w:cs="Book Antiqua"/>
          <w:i/>
          <w:iCs/>
          <w:color w:val="000000"/>
          <w:shd w:val="clear" w:color="auto" w:fill="FFFFFF"/>
        </w:rPr>
        <w:t>E. coli</w:t>
      </w:r>
      <w:r>
        <w:rPr>
          <w:rFonts w:ascii="Book Antiqua" w:hAnsi="Book Antiqua" w:eastAsia="Book Antiqua" w:cs="Book Antiqua"/>
          <w:color w:val="000000"/>
          <w:shd w:val="clear" w:color="auto" w:fill="FFFFFF"/>
        </w:rPr>
        <w:t xml:space="preserve"> sepsis. At admission, her abdomen was tender and painful on palpation. SARS-CoV-2 polymerase chain reaction was tested positive by RT-PCR on the nasopharyngeal swab and laboratory investigations revealed elevated serum amylase (187 IU/L, reference range 23-91 IU/L) and lipase (179 IU/L, reference range 13-60 IU/L). Her temperature was 37.5 </w:t>
      </w:r>
      <w:r>
        <w:rPr>
          <w:rFonts w:hint="eastAsia" w:ascii="宋体" w:hAnsi="宋体" w:eastAsia="宋体" w:cs="宋体"/>
          <w:color w:val="000000"/>
          <w:shd w:val="clear" w:color="auto" w:fill="FFFFFF"/>
        </w:rPr>
        <w:t>℃</w:t>
      </w:r>
      <w:r>
        <w:rPr>
          <w:rFonts w:ascii="Book Antiqua" w:hAnsi="Book Antiqua" w:eastAsia="Book Antiqua" w:cs="Book Antiqua"/>
          <w:color w:val="000000"/>
          <w:shd w:val="clear" w:color="auto" w:fill="FFFFFF"/>
        </w:rPr>
        <w:t>, O</w:t>
      </w:r>
      <w:r>
        <w:rPr>
          <w:rFonts w:ascii="Book Antiqua" w:hAnsi="Book Antiqua" w:eastAsia="Book Antiqua" w:cs="Book Antiqua"/>
          <w:color w:val="000000"/>
          <w:shd w:val="clear" w:color="auto" w:fill="FFFFFF"/>
          <w:vertAlign w:val="subscript"/>
        </w:rPr>
        <w:t>2</w:t>
      </w:r>
      <w:r>
        <w:rPr>
          <w:rFonts w:ascii="Book Antiqua" w:hAnsi="Book Antiqua" w:eastAsia="Book Antiqua" w:cs="Book Antiqua"/>
          <w:color w:val="000000"/>
          <w:shd w:val="clear" w:color="auto" w:fill="FFFFFF"/>
        </w:rPr>
        <w:t xml:space="preserve"> saturation was 98%, and her blood pressure was 158/82 mmHg. Chest X-rays revealed bilateral COVID-19 pneumonia. Over the following days, serum amylase increased to 1203 IU/L and lipase to 1489 IU/L with C-reactive protein within the normal range. Computerized tomography did not show any changes in the pancreatic or peripancreatic tissue. </w:t>
      </w:r>
    </w:p>
    <w:p>
      <w:pPr>
        <w:spacing w:line="360" w:lineRule="auto"/>
        <w:ind w:firstLine="480" w:firstLineChars="20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Treatment included hydration, broad-spectrum antibiotics, proton pump inhibitors and low molecular weight heparin with temporary cessation of mycophenolate. She recovered entirely without complications with a stable allograft function.</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Our retrospective analysis shows that acute pancreatitis in a COVID-19 setting is a rare (0.3%) complication in kidney transplant recipients. Data on the transplant population are scarce and are based only on a few case reports from which no data about the incidence and characteristics of this specific group of patients can be extracted</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7]</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 xml:space="preserve">Also, in a non-COVID-19 setting, acute pancreatitis is rare after kidney transplantation </w:t>
      </w:r>
      <w:r>
        <w:rPr>
          <w:rFonts w:ascii="Book Antiqua" w:hAnsi="Book Antiqua" w:eastAsia="Book Antiqua" w:cs="Book Antiqua"/>
          <w:color w:val="000000"/>
        </w:rPr>
        <w:t>and is mainly associated with the use of steroids and other immunosuppressive drugs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without traditional risk factors like gallstones and alcohol consumption. Furthermore, as renal transplant recipients are immunocompromised, they are more vulnerable to viral infections such as CMV, </w:t>
      </w:r>
      <w:r>
        <w:rPr>
          <w:rFonts w:ascii="Book Antiqua" w:hAnsi="Book Antiqua" w:cstheme="minorHAnsi"/>
          <w:lang w:val="en-GB"/>
        </w:rPr>
        <w:t>Epstein-Barr virus a</w:t>
      </w:r>
      <w:r>
        <w:rPr>
          <w:rFonts w:ascii="Book Antiqua" w:hAnsi="Book Antiqua" w:eastAsia="Book Antiqua" w:cs="Book Antiqua"/>
          <w:color w:val="000000"/>
        </w:rPr>
        <w:t>nd varicella zoster, which can cause viral pancreatitis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During acute SARS-CoV-2 infection, acute pancreatitis was diagnosed in only one kidney transplant recipient from our cohort. Current guidelines recommend monitoring the presence of systemic inflammatory response syndrome or organ failure at admission for a minimum of 48 h to predict the development of a severe course of the disease</w:t>
      </w:r>
      <w:r>
        <w:rPr>
          <w:rFonts w:ascii="Book Antiqua" w:hAnsi="Book Antiqua" w:eastAsia="Book Antiqua" w:cs="Book Antiqua"/>
          <w:color w:val="000000"/>
          <w:vertAlign w:val="superscript"/>
        </w:rPr>
        <w:t>[1]</w:t>
      </w:r>
      <w:r>
        <w:rPr>
          <w:rFonts w:ascii="Book Antiqua" w:hAnsi="Book Antiqua" w:eastAsia="Book Antiqua" w:cs="Book Antiqua"/>
          <w:color w:val="000000"/>
          <w:shd w:val="clear" w:color="auto" w:fill="FFFFFF"/>
        </w:rPr>
        <w:t>. Her symptoms were present at the hospital admission; however the three-week history disables precise determination of the timing between the SARS-CoV-2 infection and the development of acute pancreatitis.</w:t>
      </w:r>
    </w:p>
    <w:p>
      <w:pPr>
        <w:spacing w:line="360" w:lineRule="auto"/>
        <w:ind w:firstLine="480" w:firstLineChars="200"/>
        <w:jc w:val="both"/>
      </w:pPr>
      <w:r>
        <w:rPr>
          <w:rFonts w:ascii="Book Antiqua" w:hAnsi="Book Antiqua" w:eastAsia="Book Antiqua" w:cs="Book Antiqua"/>
          <w:color w:val="000000"/>
        </w:rPr>
        <w:t>In the non-transplant population, the literature demonstrates cases of acute pancreatitis at COVID-19's initial presentation and those that developed during hospitalization</w:t>
      </w:r>
      <w:r>
        <w:rPr>
          <w:rFonts w:ascii="Book Antiqua" w:hAnsi="Book Antiqua" w:eastAsia="Book Antiqua" w:cs="Book Antiqua"/>
          <w:color w:val="000000"/>
          <w:vertAlign w:val="superscript"/>
        </w:rPr>
        <w:t>[10,11]</w:t>
      </w:r>
      <w:r>
        <w:rPr>
          <w:rFonts w:ascii="Book Antiqua" w:hAnsi="Book Antiqua" w:eastAsia="Book Antiqua" w:cs="Book Antiqua"/>
          <w:color w:val="000000"/>
        </w:rPr>
        <w:t xml:space="preserve">. In the study of Wang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17% of the patients with severe COVID infection had elevated levels of serum amylase and lipase, indicating pancreatic injury. Elevated levels of pancreatic enzymes in intensive care unit COVID-19 patients were reported in several studies</w:t>
      </w:r>
      <w:r>
        <w:rPr>
          <w:rFonts w:ascii="Book Antiqua" w:hAnsi="Book Antiqua" w:eastAsia="Book Antiqua" w:cs="Book Antiqua"/>
          <w:color w:val="000000"/>
          <w:vertAlign w:val="superscript"/>
        </w:rPr>
        <w:t>[13,14]</w:t>
      </w:r>
      <w:r>
        <w:rPr>
          <w:rFonts w:ascii="Book Antiqua" w:hAnsi="Book Antiqua" w:eastAsia="Book Antiqua" w:cs="Book Antiqua"/>
          <w:color w:val="000000"/>
        </w:rPr>
        <w:t>, however, there were no reporting details on the clinical data or radiological imaging for evaluating pancreatitis severity and treatment. The prevalence of acute pancreatitis among critically ill patients presenting with COVID-19 is significantly higher (7.9%) compared to 1.4% in patients without COVID-19 but with no significant differences in outcomes, including the need for mechanical ventilation, hospital stay and a 50-d follow-up survival rate</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A growing body of evidence reveals the relationship between SARS-CoV-2 infection and acute pancreatitis</w:t>
      </w:r>
      <w:r>
        <w:rPr>
          <w:rFonts w:ascii="Book Antiqua" w:hAnsi="Book Antiqua" w:eastAsia="Book Antiqua" w:cs="Book Antiqua"/>
          <w:color w:val="000000"/>
          <w:vertAlign w:val="superscript"/>
        </w:rPr>
        <w:t>[12,16]</w:t>
      </w:r>
      <w:r>
        <w:rPr>
          <w:rFonts w:ascii="Book Antiqua" w:hAnsi="Book Antiqua" w:eastAsia="Book Antiqua" w:cs="Book Antiqua"/>
          <w:color w:val="000000"/>
        </w:rPr>
        <w:t>. The virus has been isolated from the pancreatic pseudocyst of a patient with acute pancreatitis</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The receptor theory suggests that expression of the angiotensin-converting enzyme-2 receptor and transmembrane serine protease 2, which are receptors for the SARS-CoV-2 are more pronounced within the gastrointestinal tract comparable to the respiratory mucosa, thus enabling the transfer of the virus into the tissue with consequent pancreatic tissue damage</w:t>
      </w:r>
      <w:r>
        <w:rPr>
          <w:rFonts w:ascii="Book Antiqua" w:hAnsi="Book Antiqua" w:eastAsia="Book Antiqua" w:cs="Book Antiqua"/>
          <w:color w:val="000000"/>
          <w:vertAlign w:val="superscript"/>
        </w:rPr>
        <w:t>[18]</w:t>
      </w:r>
      <w:r>
        <w:rPr>
          <w:rFonts w:ascii="Book Antiqua" w:hAnsi="Book Antiqua" w:eastAsia="Book Antiqua" w:cs="Book Antiqua"/>
          <w:color w:val="000000"/>
        </w:rPr>
        <w:t>. This increased pancreatic SARS-CoV-2 affinity may lead to the elevation of pancreatic enzymes without manifesting as acute pancreatitis. Therefore, it is important to interpret data in the clinical context to prevent overdiagnosis/misdiagnosis and patient harm</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Besides potential direct and indirect viral effects, antiviral drugs may induce pancreatic lesions. For example, remdesivir, used in COVID-19 treatment, may increase serum triglycerides, thus increasing the risk for acute pancreatitis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shd w:val="clear" w:color="auto" w:fill="FFFFFF"/>
        </w:rPr>
        <w:t>Our immunocompromised patient had two out of three criteria for acute pancreatitis. Typical clinical presentation and laboratory findings without radiological changes indicate serous pancreatitis that may be viral aetiology.</w:t>
      </w:r>
    </w:p>
    <w:p>
      <w:pPr>
        <w:spacing w:line="360" w:lineRule="auto"/>
        <w:ind w:firstLine="480" w:firstLineChars="200"/>
        <w:jc w:val="both"/>
      </w:pPr>
      <w:r>
        <w:rPr>
          <w:rFonts w:ascii="Book Antiqua" w:hAnsi="Book Antiqua" w:eastAsia="Book Antiqua" w:cs="Book Antiqua"/>
          <w:color w:val="000000"/>
          <w:shd w:val="clear" w:color="auto" w:fill="FFFFFF"/>
        </w:rPr>
        <w:t xml:space="preserve">Similar to our experience, Kumar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report that patients with acute pancreatitis on admission had a better clinical outcome when compared to patients who developed acute pancreatitis during hospitalization for acute COVID-19.</w:t>
      </w:r>
    </w:p>
    <w:p>
      <w:pPr>
        <w:spacing w:line="360" w:lineRule="auto"/>
        <w:ind w:firstLine="480" w:firstLineChars="200"/>
        <w:jc w:val="both"/>
      </w:pPr>
      <w:r>
        <w:rPr>
          <w:rFonts w:ascii="Book Antiqua" w:hAnsi="Book Antiqua" w:eastAsia="Book Antiqua" w:cs="Book Antiqua"/>
          <w:color w:val="000000"/>
          <w:shd w:val="clear" w:color="auto" w:fill="FFFFFF"/>
        </w:rPr>
        <w:t>Our study has several limitations, mainly due to the retrospective nature of this study. We are missing data for 25 transplant recipients who died in the period during or after the infection outside the hospital and 62 transplant recipients who had not been assessed in our clinic and were therefore excluded from the study population, leading to possible underdiagnosis of pancreatitis. Considering that we described only one case with acute pancreatitis and COVID-19, we cannot analyse the specific characteristics of this group of patients. Furthermore, we did not measure amylase and lipase in our patient’s cohort to see whether they had increased values compared to the non-COVID population.</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hd w:val="clear" w:color="auto" w:fill="FFFFFF"/>
        </w:rPr>
        <w:t>The incidence of acute pancreatitis in the COVID-19 setting in the transplant population is low. However, the mechanism of injury to the pancreas and its correlation with the severity of the COVID-19 infection in kidney transplant recipients warrants further research.</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 xml:space="preserve">Acute pancreatitis, an infrequent extrapulmonary manifestation of coronavirus disease 2019 (COVID-19), raises uncertainties about its association with the viral infection. Existing literature presents conflicting evidence, with some studies indicating elevated mortality in COVID-19 patients with acute pancreatitis while others report no significant impact.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No prior literature explores the occurrence of acute pancreatitis in the kidney transplant population in the context of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To describe the occurrence, clinical presentation and outcomes of acute pancreatitis in a cohort of kidney transplant recipients with acute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A retrospective observational single-center cohort study conducted at a single transplant center in Croatia, encompassing all adult renal transplant recipients with a functioning kidney allograft between March 2020 and August 2022. Data, including cases of acute pancreatitis during acute COVID-19, were retrieved from electronic medical records.</w:t>
      </w:r>
    </w:p>
    <w:p>
      <w:pPr>
        <w:spacing w:line="360" w:lineRule="auto"/>
        <w:jc w:val="both"/>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Out of 1432 renal allograft recipients, 28.49% developed COVID-19. Hospitalization was necessary for 39.1% of patients, with 44.1% developing pneumonia and 1.3% requiring mechanical ventilation. Treatment involved immunosuppression modification in 77.1% and remdesivir in 16.6%, alongside other supportive measures. Acute pancreatitis occurred in one transplant recipient (0.3%). The patient recovered without complications, maintaining stable kidney allograft function.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Although uncommon, acute pancreatitis may complicate the course of acute COVID-19 in kidney transplant recipients.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Further research is warranted to explore the mechanism of pancreatic injury and its correlation with the severity of COVID-19 infection in kidney transplant recipients.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650" w:name="OLE_LINK35"/>
      <w:bookmarkStart w:id="651" w:name="OLE_LINK33"/>
      <w:r>
        <w:rPr>
          <w:rFonts w:ascii="Book Antiqua" w:hAnsi="Book Antiqua" w:eastAsia="Book Antiqua" w:cs="Book Antiqua"/>
        </w:rPr>
        <w:t xml:space="preserve">1 </w:t>
      </w:r>
      <w:r>
        <w:rPr>
          <w:rFonts w:ascii="Book Antiqua" w:hAnsi="Book Antiqua" w:eastAsia="Book Antiqua" w:cs="Book Antiqua"/>
          <w:b/>
          <w:bCs/>
        </w:rPr>
        <w:t>Working Group IAP/APA Acute Pancreatitis Guidelines</w:t>
      </w:r>
      <w:r>
        <w:rPr>
          <w:rFonts w:ascii="Book Antiqua" w:hAnsi="Book Antiqua" w:eastAsia="Book Antiqua" w:cs="Book Antiqua"/>
        </w:rPr>
        <w:t xml:space="preserve">. IAP/APA evidence-based guidelines for the management of acute pancreatitis. </w:t>
      </w:r>
      <w:r>
        <w:rPr>
          <w:rFonts w:ascii="Book Antiqua" w:hAnsi="Book Antiqua" w:eastAsia="Book Antiqua" w:cs="Book Antiqua"/>
          <w:i/>
          <w:iCs/>
        </w:rPr>
        <w:t>Pancreatology</w:t>
      </w:r>
      <w:r>
        <w:rPr>
          <w:rFonts w:ascii="Book Antiqua" w:hAnsi="Book Antiqua" w:eastAsia="Book Antiqua" w:cs="Book Antiqua"/>
        </w:rPr>
        <w:t xml:space="preserve"> 2013; </w:t>
      </w:r>
      <w:r>
        <w:rPr>
          <w:rFonts w:ascii="Book Antiqua" w:hAnsi="Book Antiqua" w:eastAsia="Book Antiqua" w:cs="Book Antiqua"/>
          <w:b/>
          <w:bCs/>
        </w:rPr>
        <w:t>13</w:t>
      </w:r>
      <w:r>
        <w:rPr>
          <w:rFonts w:ascii="Book Antiqua" w:hAnsi="Book Antiqua" w:eastAsia="Book Antiqua" w:cs="Book Antiqua"/>
        </w:rPr>
        <w:t>: e1-15 [PMID: 24054878 DOI: 10.1016/j.pan.2013.07.063]</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Lankisch PG</w:t>
      </w:r>
      <w:r>
        <w:rPr>
          <w:rFonts w:ascii="Book Antiqua" w:hAnsi="Book Antiqua" w:eastAsia="Book Antiqua" w:cs="Book Antiqua"/>
        </w:rPr>
        <w:t xml:space="preserve">, Breuer N, Bruns A, Weber-Dany B, Lowenfels AB, Maisonneuve P. Natural history of acute pancreatitis: a long-term population-based study. </w:t>
      </w:r>
      <w:r>
        <w:rPr>
          <w:rFonts w:ascii="Book Antiqua" w:hAnsi="Book Antiqua" w:eastAsia="Book Antiqua" w:cs="Book Antiqua"/>
          <w:i/>
          <w:iCs/>
        </w:rPr>
        <w:t>Am J Gastroenterol</w:t>
      </w:r>
      <w:r>
        <w:rPr>
          <w:rFonts w:ascii="Book Antiqua" w:hAnsi="Book Antiqua" w:eastAsia="Book Antiqua" w:cs="Book Antiqua"/>
        </w:rPr>
        <w:t xml:space="preserve"> 2009; </w:t>
      </w:r>
      <w:r>
        <w:rPr>
          <w:rFonts w:ascii="Book Antiqua" w:hAnsi="Book Antiqua" w:eastAsia="Book Antiqua" w:cs="Book Antiqua"/>
          <w:b/>
          <w:bCs/>
        </w:rPr>
        <w:t>104</w:t>
      </w:r>
      <w:r>
        <w:rPr>
          <w:rFonts w:ascii="Book Antiqua" w:hAnsi="Book Antiqua" w:eastAsia="Book Antiqua" w:cs="Book Antiqua"/>
        </w:rPr>
        <w:t>: 2797-805; quiz 2806 [PMID: 19603011 DOI: 10.1038/ajg.2009.405]</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Cucinotta D</w:t>
      </w:r>
      <w:r>
        <w:rPr>
          <w:rFonts w:ascii="Book Antiqua" w:hAnsi="Book Antiqua" w:eastAsia="Book Antiqua" w:cs="Book Antiqua"/>
        </w:rPr>
        <w:t xml:space="preserve">, Vanelli M. WHO Declares COVID-19 a Pandemic. </w:t>
      </w:r>
      <w:r>
        <w:rPr>
          <w:rFonts w:ascii="Book Antiqua" w:hAnsi="Book Antiqua" w:eastAsia="Book Antiqua" w:cs="Book Antiqua"/>
          <w:i/>
          <w:iCs/>
        </w:rPr>
        <w:t>Acta Biomed</w:t>
      </w:r>
      <w:r>
        <w:rPr>
          <w:rFonts w:ascii="Book Antiqua" w:hAnsi="Book Antiqua" w:eastAsia="Book Antiqua" w:cs="Book Antiqua"/>
        </w:rPr>
        <w:t xml:space="preserve"> 2020; </w:t>
      </w:r>
      <w:r>
        <w:rPr>
          <w:rFonts w:ascii="Book Antiqua" w:hAnsi="Book Antiqua" w:eastAsia="Book Antiqua" w:cs="Book Antiqua"/>
          <w:b/>
          <w:bCs/>
        </w:rPr>
        <w:t>91</w:t>
      </w:r>
      <w:r>
        <w:rPr>
          <w:rFonts w:ascii="Book Antiqua" w:hAnsi="Book Antiqua" w:eastAsia="Book Antiqua" w:cs="Book Antiqua"/>
        </w:rPr>
        <w:t>: 157-160 [PMID: 32191675 DOI: 10.23750/abm.v91i1.9397]</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Mao R</w:t>
      </w:r>
      <w:r>
        <w:rPr>
          <w:rFonts w:ascii="Book Antiqua" w:hAnsi="Book Antiqua" w:eastAsia="Book Antiqua" w:cs="Book Antiqua"/>
        </w:rPr>
        <w:t xml:space="preserve">, Qiu Y, He JS, Tan JY, Li XH, Liang J, Shen J, Zhu LR, Chen Y, Iacucci M, Ng SC, Ghosh S, Chen MH. Manifestations and prognosis of gastrointestinal and liver involvement in patients with COVID-19: a systematic review and meta-analysis. </w:t>
      </w:r>
      <w:r>
        <w:rPr>
          <w:rFonts w:ascii="Book Antiqua" w:hAnsi="Book Antiqua" w:eastAsia="Book Antiqua" w:cs="Book Antiqua"/>
          <w:i/>
          <w:iCs/>
        </w:rPr>
        <w:t>Lancet Gastroenterol Hepatol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667-678 [PMID: 32405603 DOI: 10.1016/S2468-1253(20)30126-6]</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Qi F</w:t>
      </w:r>
      <w:r>
        <w:rPr>
          <w:rFonts w:ascii="Book Antiqua" w:hAnsi="Book Antiqua" w:eastAsia="Book Antiqua" w:cs="Book Antiqua"/>
        </w:rPr>
        <w:t xml:space="preserve">, Qian S, Zhang S, Zhang Z. Single cell RNA sequencing of 13 human tissues identify cell types and receptors of human coronaviruses. </w:t>
      </w:r>
      <w:r>
        <w:rPr>
          <w:rFonts w:ascii="Book Antiqua" w:hAnsi="Book Antiqua" w:eastAsia="Book Antiqua" w:cs="Book Antiqua"/>
          <w:i/>
          <w:iCs/>
        </w:rPr>
        <w:t>Biochem Biophys Res Commun</w:t>
      </w:r>
      <w:r>
        <w:rPr>
          <w:rFonts w:ascii="Book Antiqua" w:hAnsi="Book Antiqua" w:eastAsia="Book Antiqua" w:cs="Book Antiqua"/>
        </w:rPr>
        <w:t xml:space="preserve"> 2020; </w:t>
      </w:r>
      <w:r>
        <w:rPr>
          <w:rFonts w:ascii="Book Antiqua" w:hAnsi="Book Antiqua" w:eastAsia="Book Antiqua" w:cs="Book Antiqua"/>
          <w:b/>
          <w:bCs/>
        </w:rPr>
        <w:t>526</w:t>
      </w:r>
      <w:r>
        <w:rPr>
          <w:rFonts w:ascii="Book Antiqua" w:hAnsi="Book Antiqua" w:eastAsia="Book Antiqua" w:cs="Book Antiqua"/>
        </w:rPr>
        <w:t>: 135-140 [PMID: 32199615 DOI: 10.1016/j.bbrc.2020.03.044]</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Butt MA</w:t>
      </w:r>
      <w:r>
        <w:rPr>
          <w:rFonts w:ascii="Book Antiqua" w:hAnsi="Book Antiqua" w:eastAsia="Book Antiqua" w:cs="Book Antiqua"/>
        </w:rPr>
        <w:t xml:space="preserve">, Gangu K, Ghosh N, Awan RU, Chourasia P, Bobba A, Sheikh AB, Shekhar R. COVID-19 and acute pancreatitis clinical outcomes among hospitalized patients in the United States: A propensity matched analysis of national inpatient sample. </w:t>
      </w:r>
      <w:r>
        <w:rPr>
          <w:rFonts w:ascii="Book Antiqua" w:hAnsi="Book Antiqua" w:eastAsia="Book Antiqua" w:cs="Book Antiqua"/>
          <w:i/>
          <w:iCs/>
        </w:rPr>
        <w:t>Pancreatology</w:t>
      </w:r>
      <w:r>
        <w:rPr>
          <w:rFonts w:ascii="Book Antiqua" w:hAnsi="Book Antiqua" w:eastAsia="Book Antiqua" w:cs="Book Antiqua"/>
        </w:rPr>
        <w:t xml:space="preserve"> 2023; </w:t>
      </w:r>
      <w:r>
        <w:rPr>
          <w:rFonts w:ascii="Book Antiqua" w:hAnsi="Book Antiqua" w:eastAsia="Book Antiqua" w:cs="Book Antiqua"/>
          <w:b/>
          <w:bCs/>
        </w:rPr>
        <w:t>23</w:t>
      </w:r>
      <w:r>
        <w:rPr>
          <w:rFonts w:ascii="Book Antiqua" w:hAnsi="Book Antiqua" w:eastAsia="Book Antiqua" w:cs="Book Antiqua"/>
        </w:rPr>
        <w:t>: 935-941 [PMID: 37925334 DOI: 10.1016/j.pan.2023.10.013]</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Tadkal P</w:t>
      </w:r>
      <w:r>
        <w:rPr>
          <w:rFonts w:ascii="Book Antiqua" w:hAnsi="Book Antiqua" w:eastAsia="Book Antiqua" w:cs="Book Antiqua"/>
        </w:rPr>
        <w:t xml:space="preserve">, Siddini V, Augustine R, Babu K, Sundar S. COVID 19 induced acute pancreatitis in patients with renal impairment: report of five cases. </w:t>
      </w:r>
      <w:r>
        <w:rPr>
          <w:rFonts w:ascii="Book Antiqua" w:hAnsi="Book Antiqua" w:eastAsia="Book Antiqua" w:cs="Book Antiqua"/>
          <w:i/>
          <w:iCs/>
        </w:rPr>
        <w:t>Clin J Gastroenterol</w:t>
      </w:r>
      <w:r>
        <w:rPr>
          <w:rFonts w:ascii="Book Antiqua" w:hAnsi="Book Antiqua" w:eastAsia="Book Antiqua" w:cs="Book Antiqua"/>
        </w:rPr>
        <w:t xml:space="preserve"> 2022; </w:t>
      </w:r>
      <w:r>
        <w:rPr>
          <w:rFonts w:ascii="Book Antiqua" w:hAnsi="Book Antiqua" w:eastAsia="Book Antiqua" w:cs="Book Antiqua"/>
          <w:b/>
          <w:bCs/>
        </w:rPr>
        <w:t>15</w:t>
      </w:r>
      <w:r>
        <w:rPr>
          <w:rFonts w:ascii="Book Antiqua" w:hAnsi="Book Antiqua" w:eastAsia="Book Antiqua" w:cs="Book Antiqua"/>
        </w:rPr>
        <w:t>: 826-833 [PMID: 35471693 DOI: 10.1007/s12328-022-01633-5]</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Ratkovic M</w:t>
      </w:r>
      <w:r>
        <w:rPr>
          <w:rFonts w:ascii="Book Antiqua" w:hAnsi="Book Antiqua" w:eastAsia="Book Antiqua" w:cs="Book Antiqua"/>
        </w:rPr>
        <w:t xml:space="preserve">, Basic-Jukic N, Radunovic D. Possible Sirolimus-Induced Acute Pancreatitis in a Renal Transplant Recipient. </w:t>
      </w:r>
      <w:r>
        <w:rPr>
          <w:rFonts w:ascii="Book Antiqua" w:hAnsi="Book Antiqua" w:eastAsia="Book Antiqua" w:cs="Book Antiqua"/>
          <w:i/>
          <w:iCs/>
        </w:rPr>
        <w:t>Ther Apher Dial</w:t>
      </w:r>
      <w:r>
        <w:rPr>
          <w:rFonts w:ascii="Book Antiqua" w:hAnsi="Book Antiqua" w:eastAsia="Book Antiqua" w:cs="Book Antiqua"/>
        </w:rPr>
        <w:t xml:space="preserve"> 2016; </w:t>
      </w:r>
      <w:r>
        <w:rPr>
          <w:rFonts w:ascii="Book Antiqua" w:hAnsi="Book Antiqua" w:eastAsia="Book Antiqua" w:cs="Book Antiqua"/>
          <w:b/>
          <w:bCs/>
        </w:rPr>
        <w:t>20</w:t>
      </w:r>
      <w:r>
        <w:rPr>
          <w:rFonts w:ascii="Book Antiqua" w:hAnsi="Book Antiqua" w:eastAsia="Book Antiqua" w:cs="Book Antiqua"/>
        </w:rPr>
        <w:t>: 208-209 [PMID: 26752587 DOI: 10.1111/1744-9987.12371]</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Graham D</w:t>
      </w:r>
      <w:r>
        <w:rPr>
          <w:rFonts w:ascii="Book Antiqua" w:hAnsi="Book Antiqua" w:eastAsia="Book Antiqua" w:cs="Book Antiqua"/>
        </w:rPr>
        <w:t>, Ito T, Busuttil R,</w:t>
      </w:r>
      <w:r>
        <w:t xml:space="preserve"> </w:t>
      </w:r>
      <w:r>
        <w:rPr>
          <w:rFonts w:ascii="Book Antiqua" w:hAnsi="Book Antiqua" w:eastAsia="Book Antiqua" w:cs="Book Antiqua"/>
        </w:rPr>
        <w:t xml:space="preserve">Kaldas F. Pancreatitis in solid organ transplant patients: a review of the literature. </w:t>
      </w:r>
      <w:r>
        <w:rPr>
          <w:rFonts w:ascii="Book Antiqua" w:hAnsi="Book Antiqua" w:eastAsia="Book Antiqua" w:cs="Book Antiqua"/>
          <w:i/>
          <w:iCs/>
        </w:rPr>
        <w:t>OBM Hepatol Gastroenterol</w:t>
      </w:r>
      <w:r>
        <w:rPr>
          <w:rFonts w:ascii="Book Antiqua" w:hAnsi="Book Antiqua" w:eastAsia="Book Antiqua" w:cs="Book Antiqua"/>
        </w:rPr>
        <w:t xml:space="preserve"> 2019; </w:t>
      </w:r>
      <w:r>
        <w:rPr>
          <w:rFonts w:ascii="Book Antiqua" w:hAnsi="Book Antiqua" w:eastAsia="Book Antiqua" w:cs="Book Antiqua"/>
          <w:b/>
          <w:bCs/>
        </w:rPr>
        <w:t>3</w:t>
      </w:r>
      <w:r>
        <w:rPr>
          <w:rFonts w:ascii="Book Antiqua" w:hAnsi="Book Antiqua" w:eastAsia="Book Antiqua" w:cs="Book Antiqua"/>
        </w:rPr>
        <w:t>: 1 [DOI: 10.21926/obm.hg.1903029]</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Hadi A</w:t>
      </w:r>
      <w:r>
        <w:rPr>
          <w:rFonts w:ascii="Book Antiqua" w:hAnsi="Book Antiqua" w:eastAsia="Book Antiqua" w:cs="Book Antiqua"/>
        </w:rPr>
        <w:t xml:space="preserve">, Werge M, Kristiansen KT, Pedersen UG, Karstensen JG, Novovic S, Gluud LL. Coronavirus Disease-19 (COVID-19) associated with severe acute pancreatitis: Case report on three family members. </w:t>
      </w:r>
      <w:r>
        <w:rPr>
          <w:rFonts w:ascii="Book Antiqua" w:hAnsi="Book Antiqua" w:eastAsia="Book Antiqua" w:cs="Book Antiqua"/>
          <w:i/>
          <w:iCs/>
        </w:rPr>
        <w:t>Pancreatology</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665-667 [PMID: 32387082 DOI: 10.1016/j.pan.2020.04.021]</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Anand ER</w:t>
      </w:r>
      <w:r>
        <w:rPr>
          <w:rFonts w:ascii="Book Antiqua" w:hAnsi="Book Antiqua" w:eastAsia="Book Antiqua" w:cs="Book Antiqua"/>
        </w:rPr>
        <w:t xml:space="preserve">, Major C, Pickering O, Nelson M. Acute pancreatitis in a COVID-19 patient. </w:t>
      </w:r>
      <w:r>
        <w:rPr>
          <w:rFonts w:ascii="Book Antiqua" w:hAnsi="Book Antiqua" w:eastAsia="Book Antiqua" w:cs="Book Antiqua"/>
          <w:i/>
          <w:iCs/>
        </w:rPr>
        <w:t>Br J Surg</w:t>
      </w:r>
      <w:r>
        <w:rPr>
          <w:rFonts w:ascii="Book Antiqua" w:hAnsi="Book Antiqua" w:eastAsia="Book Antiqua" w:cs="Book Antiqua"/>
        </w:rPr>
        <w:t xml:space="preserve"> 2020; </w:t>
      </w:r>
      <w:r>
        <w:rPr>
          <w:rFonts w:ascii="Book Antiqua" w:hAnsi="Book Antiqua" w:eastAsia="Book Antiqua" w:cs="Book Antiqua"/>
          <w:b/>
          <w:bCs/>
        </w:rPr>
        <w:t>107</w:t>
      </w:r>
      <w:r>
        <w:rPr>
          <w:rFonts w:ascii="Book Antiqua" w:hAnsi="Book Antiqua" w:eastAsia="Book Antiqua" w:cs="Book Antiqua"/>
        </w:rPr>
        <w:t>: e182 [PMID: 32339257 DOI: 10.1002/bjs.11657]</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Wang F</w:t>
      </w:r>
      <w:r>
        <w:rPr>
          <w:rFonts w:ascii="Book Antiqua" w:hAnsi="Book Antiqua" w:eastAsia="Book Antiqua" w:cs="Book Antiqua"/>
        </w:rPr>
        <w:t xml:space="preserve">, Wang H, Fan J, Zhang Y, Wang H, Zhao Q. Pancreatic Injury Patterns in Patients With Coronavirus Disease 19 Pneumonia. </w:t>
      </w:r>
      <w:r>
        <w:rPr>
          <w:rFonts w:ascii="Book Antiqua" w:hAnsi="Book Antiqua" w:eastAsia="Book Antiqua" w:cs="Book Antiqua"/>
          <w:i/>
          <w:iCs/>
        </w:rPr>
        <w:t>Gastroenterology</w:t>
      </w:r>
      <w:r>
        <w:rPr>
          <w:rFonts w:ascii="Book Antiqua" w:hAnsi="Book Antiqua" w:eastAsia="Book Antiqua" w:cs="Book Antiqua"/>
        </w:rPr>
        <w:t xml:space="preserve"> 2020; </w:t>
      </w:r>
      <w:r>
        <w:rPr>
          <w:rFonts w:ascii="Book Antiqua" w:hAnsi="Book Antiqua" w:eastAsia="Book Antiqua" w:cs="Book Antiqua"/>
          <w:b/>
          <w:bCs/>
        </w:rPr>
        <w:t>159</w:t>
      </w:r>
      <w:r>
        <w:rPr>
          <w:rFonts w:ascii="Book Antiqua" w:hAnsi="Book Antiqua" w:eastAsia="Book Antiqua" w:cs="Book Antiqua"/>
        </w:rPr>
        <w:t>: 367-370 [PMID: 32247022 DOI: 10.1053/j.gastro.2020.03.055]</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Ding P</w:t>
      </w:r>
      <w:r>
        <w:rPr>
          <w:rFonts w:ascii="Book Antiqua" w:hAnsi="Book Antiqua" w:eastAsia="Book Antiqua" w:cs="Book Antiqua"/>
        </w:rPr>
        <w:t xml:space="preserve">, Song B, Liu X, Fang X, Cai H, Zhang D, Zheng X. Elevated Pancreatic Enzymes in ICU Patients With COVID-19 in Wuhan, China: A Retrospective Study. </w:t>
      </w:r>
      <w:r>
        <w:rPr>
          <w:rFonts w:ascii="Book Antiqua" w:hAnsi="Book Antiqua" w:eastAsia="Book Antiqua" w:cs="Book Antiqua"/>
          <w:i/>
          <w:iCs/>
        </w:rPr>
        <w:t>Front Med (Lausanne)</w:t>
      </w:r>
      <w:r>
        <w:rPr>
          <w:rFonts w:ascii="Book Antiqua" w:hAnsi="Book Antiqua" w:eastAsia="Book Antiqua" w:cs="Book Antiqua"/>
        </w:rPr>
        <w:t xml:space="preserve"> 2021; </w:t>
      </w:r>
      <w:r>
        <w:rPr>
          <w:rFonts w:ascii="Book Antiqua" w:hAnsi="Book Antiqua" w:eastAsia="Book Antiqua" w:cs="Book Antiqua"/>
          <w:b/>
          <w:bCs/>
        </w:rPr>
        <w:t>8</w:t>
      </w:r>
      <w:r>
        <w:rPr>
          <w:rFonts w:ascii="Book Antiqua" w:hAnsi="Book Antiqua" w:eastAsia="Book Antiqua" w:cs="Book Antiqua"/>
        </w:rPr>
        <w:t>: 663646 [PMID: 34485322 DOI: 10.3389/fmed.2021.663646]</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Martinot M</w:t>
      </w:r>
      <w:r>
        <w:rPr>
          <w:rFonts w:ascii="Book Antiqua" w:hAnsi="Book Antiqua" w:eastAsia="Book Antiqua" w:cs="Book Antiqua"/>
        </w:rPr>
        <w:t xml:space="preserve">, Eyriey M, Gravier S, Bonijoly T, Kayser D, Ion C, Mohseni-Zadeh M, Camara S, Dubois J, Haerrel E, Drouaine J, Kaiser J, Ongagna JC, Schieber-Pachart A, Kempf C; Centre Alsace COVID-19 Study Group. Predictors of mortality, ICU hospitalization, and extrapulmonary complications in COVID-19 patients. </w:t>
      </w:r>
      <w:r>
        <w:rPr>
          <w:rFonts w:ascii="Book Antiqua" w:hAnsi="Book Antiqua" w:eastAsia="Book Antiqua" w:cs="Book Antiqua"/>
          <w:i/>
          <w:iCs/>
        </w:rPr>
        <w:t>Infect Dis Now</w:t>
      </w:r>
      <w:r>
        <w:rPr>
          <w:rFonts w:ascii="Book Antiqua" w:hAnsi="Book Antiqua" w:eastAsia="Book Antiqua" w:cs="Book Antiqua"/>
        </w:rPr>
        <w:t xml:space="preserve"> 2021; </w:t>
      </w:r>
      <w:r>
        <w:rPr>
          <w:rFonts w:ascii="Book Antiqua" w:hAnsi="Book Antiqua" w:eastAsia="Book Antiqua" w:cs="Book Antiqua"/>
          <w:b/>
          <w:bCs/>
        </w:rPr>
        <w:t>51</w:t>
      </w:r>
      <w:r>
        <w:rPr>
          <w:rFonts w:ascii="Book Antiqua" w:hAnsi="Book Antiqua" w:eastAsia="Book Antiqua" w:cs="Book Antiqua"/>
        </w:rPr>
        <w:t>: 518-525 [PMID: 34242842 DOI: 10.1016/j.idnow.2021.07.002]</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Kang D</w:t>
      </w:r>
      <w:r>
        <w:rPr>
          <w:rFonts w:ascii="Book Antiqua" w:hAnsi="Book Antiqua" w:eastAsia="Book Antiqua" w:cs="Book Antiqua"/>
        </w:rPr>
        <w:t xml:space="preserve">, Park SH, Oh C, Kim YJ, Kim JB, Park SH, Lee MS, Park JK. Prevalence and prognosis of acute pancreatitis in critically ill patients with COVID-19. </w:t>
      </w:r>
      <w:r>
        <w:rPr>
          <w:rFonts w:ascii="Book Antiqua" w:hAnsi="Book Antiqua" w:eastAsia="Book Antiqua" w:cs="Book Antiqua"/>
          <w:i/>
          <w:iCs/>
        </w:rPr>
        <w:t>Hepatobiliary Pancreat Dis Int</w:t>
      </w:r>
      <w:r>
        <w:rPr>
          <w:rFonts w:ascii="Book Antiqua" w:hAnsi="Book Antiqua" w:eastAsia="Book Antiqua" w:cs="Book Antiqua"/>
        </w:rPr>
        <w:t xml:space="preserve"> 2023; </w:t>
      </w:r>
      <w:r>
        <w:rPr>
          <w:rFonts w:ascii="Book Antiqua" w:hAnsi="Book Antiqua" w:eastAsia="Book Antiqua" w:cs="Book Antiqua"/>
          <w:b/>
          <w:bCs/>
        </w:rPr>
        <w:t>22</w:t>
      </w:r>
      <w:r>
        <w:rPr>
          <w:rFonts w:ascii="Book Antiqua" w:hAnsi="Book Antiqua" w:eastAsia="Book Antiqua" w:cs="Book Antiqua"/>
        </w:rPr>
        <w:t>: 399-402 [PMID: 36973110 DOI: 10.1016/j.hbpd.2023.03.004]</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Huang C</w:t>
      </w:r>
      <w:r>
        <w:rPr>
          <w:rFonts w:ascii="Book Antiqua" w:hAnsi="Book Antiqua" w:eastAsia="Book Antiqua" w:cs="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rPr>
        <w:t>Lancet</w:t>
      </w:r>
      <w:r>
        <w:rPr>
          <w:rFonts w:ascii="Book Antiqua" w:hAnsi="Book Antiqua" w:eastAsia="Book Antiqua" w:cs="Book Antiqua"/>
        </w:rPr>
        <w:t xml:space="preserve"> 2020; </w:t>
      </w:r>
      <w:r>
        <w:rPr>
          <w:rFonts w:ascii="Book Antiqua" w:hAnsi="Book Antiqua" w:eastAsia="Book Antiqua" w:cs="Book Antiqua"/>
          <w:b/>
          <w:bCs/>
        </w:rPr>
        <w:t>395</w:t>
      </w:r>
      <w:r>
        <w:rPr>
          <w:rFonts w:ascii="Book Antiqua" w:hAnsi="Book Antiqua" w:eastAsia="Book Antiqua" w:cs="Book Antiqua"/>
        </w:rPr>
        <w:t>: 497-506 [PMID: 31986264 DOI: 10.1016/S0140-6736(20)30183-5]</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Schepis T</w:t>
      </w:r>
      <w:r>
        <w:rPr>
          <w:rFonts w:ascii="Book Antiqua" w:hAnsi="Book Antiqua" w:eastAsia="Book Antiqua" w:cs="Book Antiqua"/>
        </w:rPr>
        <w:t xml:space="preserve">, Larghi A, Papa A, Miele L, Panzuto F, De Biase L, Annibale B, Cattani P, Rapaccini GL. SARS-CoV2 RNA detection in a pancreatic pseudocyst sample. </w:t>
      </w:r>
      <w:r>
        <w:rPr>
          <w:rFonts w:ascii="Book Antiqua" w:hAnsi="Book Antiqua" w:eastAsia="Book Antiqua" w:cs="Book Antiqua"/>
          <w:i/>
          <w:iCs/>
        </w:rPr>
        <w:t>Pancreatology</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1011-1012 [PMID: 32498972 DOI: 10.1016/j.pan.2020.05.016]</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Scialo F</w:t>
      </w:r>
      <w:r>
        <w:rPr>
          <w:rFonts w:ascii="Book Antiqua" w:hAnsi="Book Antiqua" w:eastAsia="Book Antiqua" w:cs="Book Antiqua"/>
        </w:rPr>
        <w:t xml:space="preserve">, Daniele A, Amato F, Pastore L, Matera MG, Cazzola M, Castaldo G, Bianco A. ACE2: The Major Cell Entry Receptor for SARS-CoV-2. </w:t>
      </w:r>
      <w:r>
        <w:rPr>
          <w:rFonts w:ascii="Book Antiqua" w:hAnsi="Book Antiqua" w:eastAsia="Book Antiqua" w:cs="Book Antiqua"/>
          <w:i/>
          <w:iCs/>
        </w:rPr>
        <w:t>Lung</w:t>
      </w:r>
      <w:r>
        <w:rPr>
          <w:rFonts w:ascii="Book Antiqua" w:hAnsi="Book Antiqua" w:eastAsia="Book Antiqua" w:cs="Book Antiqua"/>
        </w:rPr>
        <w:t xml:space="preserve"> 2020; </w:t>
      </w:r>
      <w:r>
        <w:rPr>
          <w:rFonts w:ascii="Book Antiqua" w:hAnsi="Book Antiqua" w:eastAsia="Book Antiqua" w:cs="Book Antiqua"/>
          <w:b/>
          <w:bCs/>
        </w:rPr>
        <w:t>198</w:t>
      </w:r>
      <w:r>
        <w:rPr>
          <w:rFonts w:ascii="Book Antiqua" w:hAnsi="Book Antiqua" w:eastAsia="Book Antiqua" w:cs="Book Antiqua"/>
        </w:rPr>
        <w:t>: 867-877 [PMID: 33170317 DOI: 10.1007/s00408-020-00408-4]</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Troncone E</w:t>
      </w:r>
      <w:r>
        <w:rPr>
          <w:rFonts w:ascii="Book Antiqua" w:hAnsi="Book Antiqua" w:eastAsia="Book Antiqua" w:cs="Book Antiqua"/>
        </w:rPr>
        <w:t xml:space="preserve">, Salvatori S, Sena G, De Cristofaro E, Alfieri N, Marafini I, Paganelli C, Argirò R, Giannarelli D, Monteleone G, Del Vecchio Blanco G. Low Frequency of Acute Pancreatitis in Hospitalized COVID-19 Patients. </w:t>
      </w:r>
      <w:r>
        <w:rPr>
          <w:rFonts w:ascii="Book Antiqua" w:hAnsi="Book Antiqua" w:eastAsia="Book Antiqua" w:cs="Book Antiqua"/>
          <w:i/>
          <w:iCs/>
        </w:rPr>
        <w:t>Pancreas</w:t>
      </w:r>
      <w:r>
        <w:rPr>
          <w:rFonts w:ascii="Book Antiqua" w:hAnsi="Book Antiqua" w:eastAsia="Book Antiqua" w:cs="Book Antiqua"/>
        </w:rPr>
        <w:t xml:space="preserve"> 2021; </w:t>
      </w:r>
      <w:r>
        <w:rPr>
          <w:rFonts w:ascii="Book Antiqua" w:hAnsi="Book Antiqua" w:eastAsia="Book Antiqua" w:cs="Book Antiqua"/>
          <w:b/>
          <w:bCs/>
        </w:rPr>
        <w:t>50</w:t>
      </w:r>
      <w:r>
        <w:rPr>
          <w:rFonts w:ascii="Book Antiqua" w:hAnsi="Book Antiqua" w:eastAsia="Book Antiqua" w:cs="Book Antiqua"/>
        </w:rPr>
        <w:t>: 393-398 [PMID: 33835971 DOI: 10.1097/MPA.0000000000001770]</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Miyazaki K</w:t>
      </w:r>
      <w:r>
        <w:rPr>
          <w:rFonts w:ascii="Book Antiqua" w:hAnsi="Book Antiqua" w:eastAsia="Book Antiqua" w:cs="Book Antiqua"/>
        </w:rPr>
        <w:t xml:space="preserve">, Yoshimura Y, Miyata N, Sasaki H, Shiba A, Aga M, Hamakawa Y, Taniguchi Y, Misumi Y, Agemi Y, Shimokawa T, Okamoto H, Tachikawa N. Acute pancreatitis or severe increase in pancreatic enzyme levels following remdesivir administration in COVID-19 patients: an observational study. </w:t>
      </w:r>
      <w:r>
        <w:rPr>
          <w:rFonts w:ascii="Book Antiqua" w:hAnsi="Book Antiqua" w:eastAsia="Book Antiqua" w:cs="Book Antiqua"/>
          <w:i/>
          <w:iCs/>
        </w:rPr>
        <w:t>Sci Rep</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5323 [PMID: 35351942 DOI: 10.1038/s41598-022-09170-4]</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Kumar V</w:t>
      </w:r>
      <w:r>
        <w:rPr>
          <w:rFonts w:ascii="Book Antiqua" w:hAnsi="Book Antiqua" w:eastAsia="Book Antiqua" w:cs="Book Antiqua"/>
        </w:rPr>
        <w:t xml:space="preserve">, Barkoudah E, Souza DAT, Jin DX, McNabb-Baltar J. Clinical course and outcome among patients with acute pancreatitis and COVID-19. </w:t>
      </w:r>
      <w:r>
        <w:rPr>
          <w:rFonts w:ascii="Book Antiqua" w:hAnsi="Book Antiqua" w:eastAsia="Book Antiqua" w:cs="Book Antiqua"/>
          <w:i/>
          <w:iCs/>
        </w:rPr>
        <w:t>Eur J Gastroenterol Hepatol</w:t>
      </w:r>
      <w:r>
        <w:rPr>
          <w:rFonts w:ascii="Book Antiqua" w:hAnsi="Book Antiqua" w:eastAsia="Book Antiqua" w:cs="Book Antiqua"/>
        </w:rPr>
        <w:t xml:space="preserve"> 2021; </w:t>
      </w:r>
      <w:r>
        <w:rPr>
          <w:rFonts w:ascii="Book Antiqua" w:hAnsi="Book Antiqua" w:eastAsia="Book Antiqua" w:cs="Book Antiqua"/>
          <w:b/>
          <w:bCs/>
        </w:rPr>
        <w:t>33</w:t>
      </w:r>
      <w:r>
        <w:rPr>
          <w:rFonts w:ascii="Book Antiqua" w:hAnsi="Book Antiqua" w:eastAsia="Book Antiqua" w:cs="Book Antiqua"/>
        </w:rPr>
        <w:t>: 695-700 [PMID: 33787541 DOI: 10.1097/MEG.0000000000002160]</w:t>
      </w:r>
      <w:bookmarkEnd w:id="650"/>
      <w:bookmarkEnd w:id="651"/>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Ethic Committee of University Hospital Centre Zagreb (Approval No. 8.1-21/252-2).</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Informed consent statement: </w:t>
      </w:r>
      <w:r>
        <w:rPr>
          <w:rFonts w:hint="eastAsia" w:ascii="Book Antiqua" w:hAnsi="Book Antiqua" w:eastAsia="Book Antiqua" w:cs="Book Antiqua"/>
        </w:rPr>
        <w:t>All study participants or their legal guardian provided informed written consent about personal and medical data collection prior to study enrolment.</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We have no financial relationships to disclose.</w:t>
      </w:r>
    </w:p>
    <w:p>
      <w:pPr>
        <w:spacing w:line="360" w:lineRule="auto"/>
        <w:jc w:val="both"/>
      </w:pPr>
    </w:p>
    <w:p>
      <w:pPr>
        <w:spacing w:line="360" w:lineRule="auto"/>
        <w:jc w:val="both"/>
        <w:rPr>
          <w:rFonts w:ascii="宋体" w:hAnsi="宋体" w:eastAsia="宋体" w:cs="宋体"/>
          <w:lang w:eastAsia="zh-CN"/>
        </w:rPr>
      </w:pPr>
      <w:r>
        <w:rPr>
          <w:rFonts w:ascii="Book Antiqua" w:hAnsi="Book Antiqua" w:eastAsia="Book Antiqua" w:cs="Book Antiqua"/>
          <w:b/>
          <w:bCs/>
        </w:rPr>
        <w:t xml:space="preserve">Data sharing statement: </w:t>
      </w:r>
      <w:r>
        <w:rPr>
          <w:rFonts w:ascii="Book Antiqua" w:hAnsi="Book Antiqua" w:eastAsia="Book Antiqua" w:cs="Book Antiqua"/>
          <w:color w:val="3C3C3C"/>
        </w:rPr>
        <w:t>Technical appendix, statistical code, and dataset available from the corresponding author at: nina_basic@net.hr.Participants gave informed consent for data sharing.</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December 7,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17,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31,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Medicine, research and experimental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Croatia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Gong F,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Qu XL</w:t>
      </w:r>
      <w:r>
        <w:rPr>
          <w:rFonts w:ascii="Book Antiqua" w:hAnsi="Book Antiqua" w:eastAsia="Book Antiqua" w:cs="Book Antiqua"/>
          <w:b/>
          <w:color w:val="000000"/>
        </w:rPr>
        <w:t xml:space="preserve"> L-Editor: </w:t>
      </w:r>
      <w:r>
        <w:rPr>
          <w:rFonts w:ascii="Book Antiqua" w:hAnsi="Book Antiqua" w:eastAsia="Book Antiqua" w:cs="Book Antiqua"/>
          <w:b w:val="0"/>
          <w:bCs/>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lang w:val="en-US" w:eastAsia="zh-CN"/>
        </w:rPr>
        <w:t>Xu ZH</w:t>
      </w:r>
    </w:p>
    <w:p>
      <w:pPr>
        <w:spacing w:line="360" w:lineRule="auto"/>
        <w:jc w:val="both"/>
        <w:rPr>
          <w:rFonts w:ascii="Book Antiqua" w:hAnsi="Book Antiqua" w:cstheme="minorHAnsi"/>
          <w:b/>
          <w:bCs/>
          <w:color w:val="000000" w:themeColor="text1"/>
          <w:lang w:val="en-GB"/>
          <w14:textFill>
            <w14:solidFill>
              <w14:schemeClr w14:val="tx1"/>
            </w14:solidFill>
          </w14:textFill>
        </w:rPr>
      </w:pPr>
      <w:r>
        <w:rPr>
          <w:rFonts w:ascii="Book Antiqua" w:hAnsi="Book Antiqua" w:eastAsia="Book Antiqua" w:cs="Book Antiqua"/>
          <w:b/>
          <w:color w:val="000000"/>
        </w:rPr>
        <w:br w:type="page"/>
      </w:r>
      <w:r>
        <w:rPr>
          <w:rFonts w:ascii="Book Antiqua" w:hAnsi="Book Antiqua" w:cstheme="minorHAnsi"/>
          <w:b/>
          <w:bCs/>
          <w:color w:val="000000" w:themeColor="text1"/>
          <w:lang w:val="en-GB"/>
          <w14:textFill>
            <w14:solidFill>
              <w14:schemeClr w14:val="tx1"/>
            </w14:solidFill>
          </w14:textFill>
        </w:rPr>
        <w:t xml:space="preserve">Table 1 </w:t>
      </w:r>
      <w:r>
        <w:rPr>
          <w:rFonts w:ascii="Book Antiqua" w:hAnsi="Book Antiqua" w:eastAsia="Book Antiqua" w:cs="Book Antiqua"/>
          <w:b/>
          <w:bCs/>
          <w:color w:val="1C1D1E"/>
          <w:shd w:val="clear" w:color="auto" w:fill="FFFFFF"/>
          <w:lang w:val="en-GB"/>
        </w:rPr>
        <w:t>C</w:t>
      </w:r>
      <w:r>
        <w:rPr>
          <w:rFonts w:ascii="Book Antiqua" w:hAnsi="Book Antiqua" w:eastAsia="Book Antiqua" w:cs="Book Antiqua"/>
          <w:b/>
          <w:bCs/>
          <w:color w:val="1C1D1E"/>
          <w:shd w:val="clear" w:color="auto" w:fill="FFFFFF"/>
        </w:rPr>
        <w:t xml:space="preserve">oronavirus disease 2019 </w:t>
      </w:r>
      <w:r>
        <w:rPr>
          <w:rFonts w:ascii="Book Antiqua" w:hAnsi="Book Antiqua" w:cstheme="minorHAnsi"/>
          <w:b/>
          <w:bCs/>
          <w:color w:val="000000" w:themeColor="text1"/>
          <w:lang w:val="en-GB"/>
          <w14:textFill>
            <w14:solidFill>
              <w14:schemeClr w14:val="tx1"/>
            </w14:solidFill>
          </w14:textFill>
        </w:rPr>
        <w:t>kidney transplant recipients characteristics (</w:t>
      </w:r>
      <w:r>
        <w:rPr>
          <w:rFonts w:ascii="Book Antiqua" w:hAnsi="Book Antiqua" w:cstheme="minorHAnsi"/>
          <w:b/>
          <w:bCs/>
          <w:i/>
          <w:iCs/>
          <w:color w:val="000000" w:themeColor="text1"/>
          <w:lang w:val="en-GB"/>
          <w14:textFill>
            <w14:solidFill>
              <w14:schemeClr w14:val="tx1"/>
            </w14:solidFill>
          </w14:textFill>
        </w:rPr>
        <w:t>n</w:t>
      </w:r>
      <w:r>
        <w:rPr>
          <w:rFonts w:ascii="Book Antiqua" w:hAnsi="Book Antiqua" w:cstheme="minorHAnsi"/>
          <w:b/>
          <w:bCs/>
          <w:color w:val="000000" w:themeColor="text1"/>
          <w:lang w:val="en-GB"/>
          <w14:textFill>
            <w14:solidFill>
              <w14:schemeClr w14:val="tx1"/>
            </w14:solidFill>
          </w14:textFill>
        </w:rPr>
        <w:t xml:space="preserve"> = 321)</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2977"/>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8" w:space="0"/>
              <w:bottom w:val="single" w:color="auto" w:sz="8" w:space="0"/>
            </w:tcBorders>
          </w:tcPr>
          <w:p>
            <w:pPr>
              <w:spacing w:line="360" w:lineRule="auto"/>
              <w:jc w:val="both"/>
              <w:rPr>
                <w:rFonts w:ascii="Book Antiqua" w:hAnsi="Book Antiqua" w:cstheme="minorHAnsi"/>
                <w:b/>
                <w:bCs/>
                <w:lang w:val="en-GB" w:eastAsia="zh-CN"/>
              </w:rPr>
            </w:pPr>
            <w:bookmarkStart w:id="652" w:name="_Hlk156937446"/>
            <w:r>
              <w:rPr>
                <w:rFonts w:ascii="Book Antiqua" w:hAnsi="Book Antiqua" w:cstheme="minorHAnsi"/>
                <w:b/>
                <w:bCs/>
                <w:lang w:val="en-GB" w:eastAsia="zh-CN"/>
              </w:rPr>
              <w:t>Characteristics</w:t>
            </w:r>
          </w:p>
        </w:tc>
        <w:tc>
          <w:tcPr>
            <w:tcW w:w="2977" w:type="dxa"/>
            <w:tcBorders>
              <w:top w:val="single" w:color="auto" w:sz="8" w:space="0"/>
              <w:bottom w:val="single" w:color="auto" w:sz="8" w:space="0"/>
            </w:tcBorders>
          </w:tcPr>
          <w:p>
            <w:pPr>
              <w:spacing w:line="360" w:lineRule="auto"/>
              <w:jc w:val="both"/>
              <w:rPr>
                <w:rFonts w:ascii="Book Antiqua" w:hAnsi="Book Antiqua" w:cstheme="minorHAnsi"/>
                <w:b/>
                <w:bCs/>
                <w:lang w:val="en-GB" w:eastAsia="zh-CN"/>
              </w:rPr>
            </w:pPr>
            <w:r>
              <w:rPr>
                <w:rFonts w:ascii="Book Antiqua" w:hAnsi="Book Antiqua" w:cstheme="minorHAnsi"/>
                <w:b/>
                <w:bCs/>
                <w:lang w:val="en-GB" w:eastAsia="zh-CN"/>
              </w:rPr>
              <w:t>Number (%) of patients</w:t>
            </w:r>
          </w:p>
        </w:tc>
        <w:tc>
          <w:tcPr>
            <w:tcW w:w="2977" w:type="dxa"/>
            <w:tcBorders>
              <w:top w:val="single" w:color="auto" w:sz="8" w:space="0"/>
              <w:bottom w:val="single" w:color="auto" w:sz="8" w:space="0"/>
            </w:tcBorders>
          </w:tcPr>
          <w:p>
            <w:pPr>
              <w:spacing w:line="360" w:lineRule="auto"/>
              <w:jc w:val="both"/>
              <w:rPr>
                <w:rFonts w:ascii="Book Antiqua" w:hAnsi="Book Antiqua" w:cstheme="minorHAnsi"/>
                <w:b/>
                <w:bCs/>
                <w:lang w:val="en-GB" w:eastAsia="zh-CN"/>
              </w:rPr>
            </w:pPr>
            <w:r>
              <w:rPr>
                <w:rFonts w:ascii="Book Antiqua" w:hAnsi="Book Antiqua" w:cstheme="minorHAnsi"/>
                <w:b/>
                <w:bCs/>
                <w:lang w:val="en-GB" w:eastAsia="zh-CN"/>
              </w:rPr>
              <w:t>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8" w:space="0"/>
            </w:tcBorders>
          </w:tcPr>
          <w:p>
            <w:pPr>
              <w:spacing w:line="360" w:lineRule="auto"/>
              <w:jc w:val="both"/>
              <w:rPr>
                <w:rFonts w:ascii="Book Antiqua" w:hAnsi="Book Antiqua" w:cstheme="minorHAnsi"/>
                <w:lang w:val="en-GB" w:eastAsia="zh-CN"/>
              </w:rPr>
            </w:pPr>
            <w:r>
              <w:rPr>
                <w:rFonts w:ascii="Book Antiqua" w:hAnsi="Book Antiqua" w:cstheme="minorHAnsi"/>
                <w:lang w:val="en-GB" w:eastAsia="zh-CN"/>
              </w:rPr>
              <w:t>Sex</w:t>
            </w:r>
          </w:p>
        </w:tc>
        <w:tc>
          <w:tcPr>
            <w:tcW w:w="2977" w:type="dxa"/>
            <w:tcBorders>
              <w:top w:val="single" w:color="auto" w:sz="8" w:space="0"/>
            </w:tcBorders>
          </w:tcPr>
          <w:p>
            <w:pPr>
              <w:spacing w:line="360" w:lineRule="auto"/>
              <w:jc w:val="both"/>
              <w:rPr>
                <w:rFonts w:ascii="Book Antiqua" w:hAnsi="Book Antiqua" w:cstheme="minorHAnsi"/>
                <w:lang w:val="en-GB" w:eastAsia="zh-CN"/>
              </w:rPr>
            </w:pPr>
          </w:p>
        </w:tc>
        <w:tc>
          <w:tcPr>
            <w:tcW w:w="2977" w:type="dxa"/>
            <w:tcBorders>
              <w:top w:val="single" w:color="auto" w:sz="8" w:space="0"/>
            </w:tcBorders>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Male/female</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183/138 (57/43)</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2977" w:type="dxa"/>
            <w:tcBorders>
              <w:bottom w:val="nil"/>
            </w:tcBorders>
          </w:tcPr>
          <w:p>
            <w:pPr>
              <w:spacing w:line="360" w:lineRule="auto"/>
              <w:jc w:val="both"/>
              <w:rPr>
                <w:rFonts w:ascii="Book Antiqua" w:hAnsi="Book Antiqua" w:cstheme="minorHAnsi"/>
                <w:lang w:val="en-GB" w:eastAsia="zh-CN"/>
              </w:rPr>
            </w:pPr>
            <w:r>
              <w:rPr>
                <w:rFonts w:ascii="Book Antiqua" w:hAnsi="Book Antiqua" w:cstheme="minorHAnsi"/>
                <w:lang w:val="en-GB" w:eastAsia="zh-CN"/>
              </w:rPr>
              <w:t>Age (yr) [Median (IQR)]</w:t>
            </w:r>
          </w:p>
          <w:p>
            <w:pPr>
              <w:spacing w:line="360" w:lineRule="auto"/>
              <w:jc w:val="both"/>
              <w:rPr>
                <w:rFonts w:ascii="Book Antiqua" w:hAnsi="Book Antiqua" w:cstheme="minorHAnsi"/>
                <w:lang w:val="en-GB" w:eastAsia="zh-CN"/>
              </w:rPr>
            </w:pPr>
            <w:r>
              <w:rPr>
                <w:rFonts w:ascii="Book Antiqua" w:hAnsi="Book Antiqua" w:cstheme="minorHAnsi"/>
                <w:lang w:val="en-GB" w:eastAsia="zh-CN"/>
              </w:rPr>
              <w:t>Primary kidney disease</w:t>
            </w:r>
          </w:p>
        </w:tc>
        <w:tc>
          <w:tcPr>
            <w:tcW w:w="2977" w:type="dxa"/>
            <w:tcBorders>
              <w:bottom w:val="nil"/>
            </w:tcBorders>
          </w:tcPr>
          <w:p>
            <w:pPr>
              <w:spacing w:line="360" w:lineRule="auto"/>
              <w:jc w:val="both"/>
              <w:rPr>
                <w:rFonts w:ascii="Book Antiqua" w:hAnsi="Book Antiqua" w:cstheme="minorHAnsi"/>
                <w:lang w:val="en-GB" w:eastAsia="zh-CN"/>
              </w:rPr>
            </w:pPr>
            <w:r>
              <w:rPr>
                <w:rFonts w:ascii="Book Antiqua" w:hAnsi="Book Antiqua" w:cstheme="minorHAnsi"/>
                <w:lang w:val="en-GB" w:eastAsia="zh-CN"/>
              </w:rPr>
              <w:t>55 (44-64)</w:t>
            </w:r>
          </w:p>
        </w:tc>
        <w:tc>
          <w:tcPr>
            <w:tcW w:w="2977" w:type="dxa"/>
            <w:tcBorders>
              <w:bottom w:val="nil"/>
            </w:tcBorders>
          </w:tcPr>
          <w:p>
            <w:pPr>
              <w:spacing w:line="360" w:lineRule="auto"/>
              <w:jc w:val="both"/>
              <w:rPr>
                <w:rFonts w:ascii="Book Antiqua" w:hAnsi="Book Antiqua" w:cstheme="minorHAnsi"/>
                <w:lang w:val="en-GB" w:eastAsia="zh-CN"/>
              </w:rPr>
            </w:pPr>
            <w:r>
              <w:rPr>
                <w:rFonts w:ascii="Book Antiqua" w:hAnsi="Book Antiqua" w:cstheme="minorHAnsi"/>
                <w:lang w:val="en-GB" w:eastAsia="zh-CN"/>
              </w:rPr>
              <w:t>22-81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Glomerulonephritis</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9 + 8 (30.6)</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Diabetic nephropathy</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12 (3.8)</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ADPKD</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48 (15)</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Pyelonephritis</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26 (8.1)</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Nephroangiosclerosis</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26 (8.1)</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Other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110 (34.4)</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Time from transplantation (months)</w:t>
            </w:r>
            <w:r>
              <w:rPr>
                <w:rFonts w:ascii="Book Antiqua" w:hAnsi="Book Antiqua" w:cstheme="minorHAnsi"/>
                <w:lang w:val="en-GB" w:eastAsia="zh-CN"/>
              </w:rPr>
              <w:t xml:space="preserve"> [Median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94.5 (52-135.8)</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Height (cm)</w:t>
            </w:r>
            <w:r>
              <w:rPr>
                <w:rFonts w:ascii="Book Antiqua" w:hAnsi="Book Antiqua" w:cstheme="minorHAnsi"/>
                <w:lang w:val="en-GB" w:eastAsia="zh-CN"/>
              </w:rPr>
              <w:t xml:space="preserve"> [Median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171 (163-180)</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124-199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Body weight (kg)</w:t>
            </w:r>
            <w:r>
              <w:rPr>
                <w:rFonts w:ascii="Book Antiqua" w:hAnsi="Book Antiqua" w:cstheme="minorHAnsi"/>
                <w:lang w:val="en-GB" w:eastAsia="zh-CN"/>
              </w:rPr>
              <w:t xml:space="preserve"> [Median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79 (67-92)</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42-150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 xml:space="preserve">BMI </w:t>
            </w:r>
            <w:r>
              <w:rPr>
                <w:rFonts w:ascii="Book Antiqua" w:hAnsi="Book Antiqua" w:cstheme="minorHAnsi"/>
                <w:lang w:val="en-GB" w:eastAsia="zh-CN"/>
              </w:rPr>
              <w:t>[Median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26.5 (23.9-29.2)</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17.36-45.79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Nutritional status</w:t>
            </w:r>
          </w:p>
        </w:tc>
        <w:tc>
          <w:tcPr>
            <w:tcW w:w="2977" w:type="dxa"/>
          </w:tcPr>
          <w:p>
            <w:pPr>
              <w:spacing w:line="360" w:lineRule="auto"/>
              <w:jc w:val="both"/>
              <w:rPr>
                <w:rFonts w:ascii="Book Antiqua" w:hAnsi="Book Antiqua" w:cstheme="minorHAnsi"/>
                <w:lang w:val="en-GB" w:eastAsia="zh-CN"/>
              </w:rPr>
            </w:pP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color w:val="000000"/>
                <w:lang w:val="en-GB" w:eastAsia="zh-CN"/>
              </w:rPr>
            </w:pPr>
            <w:r>
              <w:rPr>
                <w:rFonts w:ascii="Book Antiqua" w:hAnsi="Book Antiqua" w:cstheme="minorHAnsi"/>
                <w:color w:val="000000"/>
                <w:lang w:val="en-GB" w:eastAsia="zh-CN"/>
              </w:rPr>
              <w:t>Underweight (BMI &lt; 18.5)</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4 (1.3)</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color w:val="000000"/>
                <w:lang w:val="en-GB" w:eastAsia="zh-CN"/>
              </w:rPr>
            </w:pPr>
            <w:r>
              <w:rPr>
                <w:rFonts w:ascii="Book Antiqua" w:hAnsi="Book Antiqua" w:cstheme="minorHAnsi"/>
                <w:color w:val="000000"/>
                <w:lang w:val="en-GB" w:eastAsia="zh-CN"/>
              </w:rPr>
              <w:t>Normal weight</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105 (32.8)</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color w:val="000000"/>
                <w:lang w:val="en-GB" w:eastAsia="zh-CN"/>
              </w:rPr>
            </w:pPr>
            <w:r>
              <w:rPr>
                <w:rFonts w:ascii="Book Antiqua" w:hAnsi="Book Antiqua" w:cstheme="minorHAnsi"/>
                <w:color w:val="000000"/>
                <w:lang w:val="en-GB" w:eastAsia="zh-CN"/>
              </w:rPr>
              <w:t>Pre-obesity (25-29.9)</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144 (45)</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color w:val="000000"/>
                <w:lang w:val="en-GB" w:eastAsia="zh-CN"/>
              </w:rPr>
            </w:pPr>
            <w:r>
              <w:rPr>
                <w:rFonts w:ascii="Book Antiqua" w:hAnsi="Book Antiqua" w:cstheme="minorHAnsi"/>
                <w:color w:val="000000"/>
                <w:lang w:val="en-GB" w:eastAsia="zh-CN"/>
              </w:rPr>
              <w:t>Obese (≥ 30)</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67 (20.9)</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Previous thrombosis</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30 (9.4)</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Previous myocardial infarction or stroke</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32 (10)</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Previous CMV infection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36 (11.3)</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Previous BK infection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68 (21.3)</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Previous EBV infection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28 (8.8)</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Allograft rejection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46 (14.4)</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 xml:space="preserve">Creatinine value </w:t>
            </w:r>
            <w:r>
              <w:rPr>
                <w:rFonts w:ascii="Book Antiqua" w:hAnsi="Book Antiqua" w:cstheme="minorHAnsi"/>
                <w:lang w:val="en-GB" w:eastAsia="zh-CN"/>
              </w:rPr>
              <w:t>[Median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129 (98-165.8)</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45-430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 xml:space="preserve">CKD EPI </w:t>
            </w:r>
            <w:r>
              <w:rPr>
                <w:rFonts w:ascii="Book Antiqua" w:hAnsi="Book Antiqua" w:cstheme="minorHAnsi"/>
                <w:lang w:val="en-GB" w:eastAsia="zh-CN"/>
              </w:rPr>
              <w:t>[Median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49 (35-64)</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0.23-133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 xml:space="preserve">Biuret </w:t>
            </w:r>
            <w:r>
              <w:rPr>
                <w:rFonts w:ascii="Book Antiqua" w:hAnsi="Book Antiqua" w:cstheme="minorHAnsi"/>
                <w:lang w:val="en-GB" w:eastAsia="zh-CN"/>
              </w:rPr>
              <w:t>[Median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0.2 (0.1-0.5)</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Vaccinated against COVID-19</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246 (76.9)</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318"/>
              <w:jc w:val="both"/>
              <w:rPr>
                <w:rFonts w:ascii="Book Antiqua" w:hAnsi="Book Antiqua" w:cstheme="minorHAnsi"/>
                <w:color w:val="000000"/>
                <w:lang w:val="en-GB" w:eastAsia="zh-CN"/>
              </w:rPr>
            </w:pPr>
            <w:r>
              <w:rPr>
                <w:rFonts w:ascii="Book Antiqua" w:hAnsi="Book Antiqua" w:cstheme="minorHAnsi"/>
                <w:color w:val="000000"/>
                <w:lang w:val="en-GB" w:eastAsia="zh-CN"/>
              </w:rPr>
              <w:t>Before COVID-19 infection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149 (46.6)</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318"/>
              <w:jc w:val="both"/>
              <w:rPr>
                <w:rFonts w:ascii="Book Antiqua" w:hAnsi="Book Antiqua" w:cstheme="minorHAnsi"/>
                <w:color w:val="000000"/>
                <w:lang w:val="en-GB" w:eastAsia="zh-CN"/>
              </w:rPr>
            </w:pPr>
            <w:r>
              <w:rPr>
                <w:rFonts w:ascii="Book Antiqua" w:hAnsi="Book Antiqua" w:cstheme="minorHAnsi"/>
                <w:color w:val="000000"/>
                <w:lang w:val="en-GB" w:eastAsia="zh-CN"/>
              </w:rPr>
              <w:t>After COVID-19 infection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97 (30.3)</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 xml:space="preserve">Number of vaccine doses </w:t>
            </w:r>
            <w:r>
              <w:rPr>
                <w:rFonts w:ascii="Book Antiqua" w:hAnsi="Book Antiqua" w:cstheme="minorHAnsi"/>
                <w:lang w:val="en-GB" w:eastAsia="zh-CN"/>
              </w:rPr>
              <w:t>[Median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 (2-3)</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Number of vaccine doses (</w:t>
            </w:r>
            <w:r>
              <w:rPr>
                <w:rFonts w:ascii="Book Antiqua" w:hAnsi="Book Antiqua" w:cstheme="minorHAnsi"/>
                <w:i/>
                <w:iCs/>
                <w:color w:val="000000"/>
                <w:lang w:val="en-GB" w:eastAsia="zh-CN"/>
              </w:rPr>
              <w:t>n</w:t>
            </w:r>
            <w:r>
              <w:rPr>
                <w:rFonts w:ascii="Book Antiqua" w:hAnsi="Book Antiqua" w:cstheme="minorHAnsi"/>
                <w:color w:val="000000"/>
                <w:lang w:val="en-GB" w:eastAsia="zh-CN"/>
              </w:rPr>
              <w:t xml:space="preserve"> = 246)</w:t>
            </w:r>
          </w:p>
        </w:tc>
        <w:tc>
          <w:tcPr>
            <w:tcW w:w="2977" w:type="dxa"/>
          </w:tcPr>
          <w:p>
            <w:pPr>
              <w:spacing w:line="360" w:lineRule="auto"/>
              <w:jc w:val="both"/>
              <w:rPr>
                <w:rFonts w:ascii="Book Antiqua" w:hAnsi="Book Antiqua" w:cstheme="minorHAnsi"/>
                <w:lang w:val="en-GB" w:eastAsia="zh-CN"/>
              </w:rPr>
            </w:pP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318"/>
              <w:jc w:val="both"/>
              <w:rPr>
                <w:rFonts w:ascii="Book Antiqua" w:hAnsi="Book Antiqua" w:cstheme="minorHAnsi"/>
                <w:color w:val="000000"/>
                <w:lang w:val="en-GB" w:eastAsia="zh-CN"/>
              </w:rPr>
            </w:pPr>
            <w:r>
              <w:rPr>
                <w:rFonts w:ascii="Book Antiqua" w:hAnsi="Book Antiqua" w:cstheme="minorHAnsi"/>
                <w:color w:val="000000"/>
                <w:lang w:val="en-GB" w:eastAsia="zh-CN"/>
              </w:rPr>
              <w:t>One</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21 (8.5)</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2977" w:type="dxa"/>
          </w:tcPr>
          <w:p>
            <w:pPr>
              <w:spacing w:line="360" w:lineRule="auto"/>
              <w:ind w:left="318"/>
              <w:jc w:val="both"/>
              <w:rPr>
                <w:rFonts w:ascii="Book Antiqua" w:hAnsi="Book Antiqua" w:cstheme="minorHAnsi"/>
                <w:color w:val="000000"/>
                <w:lang w:val="en-GB" w:eastAsia="zh-CN"/>
              </w:rPr>
            </w:pPr>
            <w:r>
              <w:rPr>
                <w:rFonts w:ascii="Book Antiqua" w:hAnsi="Book Antiqua" w:cstheme="minorHAnsi"/>
                <w:color w:val="000000"/>
                <w:lang w:val="en-GB" w:eastAsia="zh-CN"/>
              </w:rPr>
              <w:t>Two</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138 (56.1)</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318"/>
              <w:jc w:val="both"/>
              <w:rPr>
                <w:rFonts w:ascii="Book Antiqua" w:hAnsi="Book Antiqua" w:cstheme="minorHAnsi"/>
                <w:color w:val="000000"/>
                <w:lang w:val="en-GB" w:eastAsia="zh-CN"/>
              </w:rPr>
            </w:pPr>
            <w:r>
              <w:rPr>
                <w:rFonts w:ascii="Book Antiqua" w:hAnsi="Book Antiqua" w:cstheme="minorHAnsi"/>
                <w:color w:val="000000"/>
                <w:lang w:val="en-GB" w:eastAsia="zh-CN"/>
              </w:rPr>
              <w:t>Three</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83 (33.7)</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318"/>
              <w:jc w:val="both"/>
              <w:rPr>
                <w:rFonts w:ascii="Book Antiqua" w:hAnsi="Book Antiqua" w:cstheme="minorHAnsi"/>
                <w:color w:val="000000"/>
                <w:lang w:val="en-GB" w:eastAsia="zh-CN"/>
              </w:rPr>
            </w:pPr>
            <w:r>
              <w:rPr>
                <w:rFonts w:ascii="Book Antiqua" w:hAnsi="Book Antiqua" w:cstheme="minorHAnsi"/>
                <w:color w:val="000000"/>
                <w:lang w:val="en-GB" w:eastAsia="zh-CN"/>
              </w:rPr>
              <w:t>Four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4 (1.6)</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COVID-19 initial symptoms</w:t>
            </w:r>
          </w:p>
        </w:tc>
        <w:tc>
          <w:tcPr>
            <w:tcW w:w="2977" w:type="dxa"/>
          </w:tcPr>
          <w:p>
            <w:pPr>
              <w:spacing w:line="360" w:lineRule="auto"/>
              <w:jc w:val="both"/>
              <w:rPr>
                <w:rFonts w:ascii="Book Antiqua" w:hAnsi="Book Antiqua" w:cstheme="minorHAnsi"/>
                <w:lang w:val="en-GB" w:eastAsia="zh-CN"/>
              </w:rPr>
            </w:pP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Febrility</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245 (76.6)</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Diarrhea</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39 (12.2)</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176"/>
              <w:jc w:val="both"/>
              <w:rPr>
                <w:rFonts w:ascii="Book Antiqua" w:hAnsi="Book Antiqua" w:cstheme="minorHAnsi"/>
                <w:lang w:val="en-GB" w:eastAsia="zh-CN"/>
              </w:rPr>
            </w:pPr>
            <w:r>
              <w:rPr>
                <w:rFonts w:ascii="Book Antiqua" w:hAnsi="Book Antiqua" w:cstheme="minorHAnsi"/>
                <w:lang w:val="en-GB" w:eastAsia="zh-CN"/>
              </w:rPr>
              <w:t>Respiratory</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230 (71.9)</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 xml:space="preserve">Asymptomatic </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21 (6.6)</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COVID-19 initial complications</w:t>
            </w:r>
          </w:p>
        </w:tc>
        <w:tc>
          <w:tcPr>
            <w:tcW w:w="2977" w:type="dxa"/>
          </w:tcPr>
          <w:p>
            <w:pPr>
              <w:spacing w:line="360" w:lineRule="auto"/>
              <w:jc w:val="both"/>
              <w:rPr>
                <w:rFonts w:ascii="Book Antiqua" w:hAnsi="Book Antiqua" w:cstheme="minorHAnsi"/>
                <w:lang w:val="en-GB" w:eastAsia="zh-CN"/>
              </w:rPr>
            </w:pP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Hospitalisation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125 (39.1)</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Pneumonia</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141 (44.1)</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Mechanical ventilation</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4 (1.3)</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Other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66 (20.6)</w:t>
            </w: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Initial immunosuppression</w:t>
            </w:r>
          </w:p>
        </w:tc>
        <w:tc>
          <w:tcPr>
            <w:tcW w:w="2977" w:type="dxa"/>
          </w:tcPr>
          <w:p>
            <w:pPr>
              <w:spacing w:line="360" w:lineRule="auto"/>
              <w:jc w:val="both"/>
              <w:rPr>
                <w:rFonts w:ascii="Book Antiqua" w:hAnsi="Book Antiqua" w:cstheme="minorHAnsi"/>
                <w:lang w:val="en-GB" w:eastAsia="zh-CN"/>
              </w:rPr>
            </w:pP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Tacrolimus</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222 (69.4)</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Cyclosporin A</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70 (21.9)</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Mycophenolate</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280 (87.5)</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Azathioprine</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12 (3.8)</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Everolimus</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48 (15)</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 xml:space="preserve">Prednisolone (dose) </w:t>
            </w:r>
            <w:r>
              <w:rPr>
                <w:rFonts w:ascii="Book Antiqua" w:hAnsi="Book Antiqua" w:cstheme="minorHAnsi"/>
                <w:lang w:val="en-GB" w:eastAsia="zh-CN"/>
              </w:rPr>
              <w:t>[Median (IQR)]</w:t>
            </w:r>
          </w:p>
        </w:tc>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5 (5-5)</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Acute COVID-19 treatment</w:t>
            </w:r>
          </w:p>
        </w:tc>
        <w:tc>
          <w:tcPr>
            <w:tcW w:w="2977" w:type="dxa"/>
          </w:tcPr>
          <w:p>
            <w:pPr>
              <w:spacing w:line="360" w:lineRule="auto"/>
              <w:jc w:val="both"/>
              <w:rPr>
                <w:rFonts w:ascii="Book Antiqua" w:hAnsi="Book Antiqua" w:cstheme="minorHAnsi"/>
                <w:lang w:val="en-GB" w:eastAsia="zh-CN"/>
              </w:rPr>
            </w:pPr>
          </w:p>
        </w:tc>
        <w:tc>
          <w:tcPr>
            <w:tcW w:w="2977" w:type="dxa"/>
          </w:tcPr>
          <w:p>
            <w:pPr>
              <w:spacing w:line="360" w:lineRule="auto"/>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bookmarkStart w:id="653" w:name="_Hlk127211342"/>
            <w:r>
              <w:rPr>
                <w:rFonts w:ascii="Book Antiqua" w:hAnsi="Book Antiqua" w:cstheme="minorHAnsi"/>
                <w:lang w:val="en-GB" w:eastAsia="zh-CN"/>
              </w:rPr>
              <w:t>Cessation of MMF/Aza</w:t>
            </w:r>
          </w:p>
        </w:tc>
        <w:tc>
          <w:tcPr>
            <w:tcW w:w="2977" w:type="dxa"/>
          </w:tcPr>
          <w:p>
            <w:pPr>
              <w:spacing w:line="360" w:lineRule="auto"/>
              <w:ind w:left="-40"/>
              <w:jc w:val="both"/>
              <w:rPr>
                <w:rFonts w:ascii="Book Antiqua" w:hAnsi="Book Antiqua" w:cstheme="minorHAnsi"/>
                <w:lang w:val="en-GB" w:eastAsia="zh-CN"/>
              </w:rPr>
            </w:pPr>
            <w:r>
              <w:rPr>
                <w:rFonts w:ascii="Book Antiqua" w:hAnsi="Book Antiqua" w:cstheme="minorHAnsi"/>
                <w:lang w:val="en-GB" w:eastAsia="zh-CN"/>
              </w:rPr>
              <w:t>133 (41.6)</w:t>
            </w:r>
          </w:p>
        </w:tc>
        <w:tc>
          <w:tcPr>
            <w:tcW w:w="2977" w:type="dxa"/>
          </w:tcPr>
          <w:p>
            <w:pPr>
              <w:spacing w:line="360" w:lineRule="auto"/>
              <w:ind w:left="-40"/>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Decreasing MMF/Aza</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102 (31.9)</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Cessation of Tac/CyA</w:t>
            </w:r>
          </w:p>
        </w:tc>
        <w:tc>
          <w:tcPr>
            <w:tcW w:w="2977" w:type="dxa"/>
          </w:tcPr>
          <w:p>
            <w:pPr>
              <w:spacing w:line="360" w:lineRule="auto"/>
              <w:ind w:left="-40"/>
              <w:jc w:val="both"/>
              <w:rPr>
                <w:rFonts w:ascii="Book Antiqua" w:hAnsi="Book Antiqua" w:cstheme="minorHAnsi"/>
                <w:lang w:val="en-GB" w:eastAsia="zh-CN"/>
              </w:rPr>
            </w:pPr>
            <w:r>
              <w:rPr>
                <w:rFonts w:ascii="Book Antiqua" w:hAnsi="Book Antiqua" w:cstheme="minorHAnsi"/>
                <w:lang w:val="en-GB" w:eastAsia="zh-CN"/>
              </w:rPr>
              <w:t>1 (0.3)</w:t>
            </w:r>
          </w:p>
        </w:tc>
        <w:tc>
          <w:tcPr>
            <w:tcW w:w="2977" w:type="dxa"/>
          </w:tcPr>
          <w:p>
            <w:pPr>
              <w:spacing w:line="360" w:lineRule="auto"/>
              <w:ind w:left="-40"/>
              <w:jc w:val="both"/>
              <w:rPr>
                <w:rFonts w:ascii="Book Antiqua" w:hAnsi="Book Antiqua" w:cstheme="minorHAns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jc w:val="both"/>
              <w:rPr>
                <w:rFonts w:ascii="Book Antiqua" w:hAnsi="Book Antiqua" w:cstheme="minorHAnsi"/>
                <w:lang w:val="en-GB" w:eastAsia="zh-CN"/>
              </w:rPr>
            </w:pPr>
            <w:r>
              <w:rPr>
                <w:rFonts w:ascii="Book Antiqua" w:hAnsi="Book Antiqua" w:cstheme="minorHAnsi"/>
                <w:lang w:val="en-GB" w:eastAsia="zh-CN"/>
              </w:rPr>
              <w:t>Decreasing Tac/CyA</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29 (9.1)</w:t>
            </w:r>
          </w:p>
        </w:tc>
        <w:tc>
          <w:tcPr>
            <w:tcW w:w="2977" w:type="dxa"/>
          </w:tcPr>
          <w:p>
            <w:pPr>
              <w:spacing w:line="360" w:lineRule="auto"/>
              <w:jc w:val="both"/>
              <w:rPr>
                <w:rFonts w:ascii="Book Antiqua" w:hAnsi="Book Antiqua" w:cstheme="minorHAnsi"/>
                <w:color w:val="000000"/>
                <w:lang w:val="en-GB" w:eastAsia="zh-CN"/>
              </w:rPr>
            </w:pPr>
          </w:p>
        </w:tc>
      </w:tr>
      <w:bookmarkEnd w:id="65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Pr>
          <w:p>
            <w:pPr>
              <w:spacing w:line="360" w:lineRule="auto"/>
              <w:ind w:left="34"/>
              <w:jc w:val="both"/>
              <w:rPr>
                <w:rFonts w:ascii="Book Antiqua" w:hAnsi="Book Antiqua" w:cstheme="minorHAnsi"/>
                <w:lang w:val="en-GB" w:eastAsia="zh-CN"/>
              </w:rPr>
            </w:pPr>
            <w:r>
              <w:rPr>
                <w:rFonts w:ascii="Book Antiqua" w:hAnsi="Book Antiqua" w:cstheme="minorHAnsi"/>
                <w:lang w:val="en-GB" w:eastAsia="zh-CN"/>
              </w:rPr>
              <w:t>Hyperimmune anti-CMV globulin</w:t>
            </w:r>
          </w:p>
        </w:tc>
        <w:tc>
          <w:tcPr>
            <w:tcW w:w="2977" w:type="dxa"/>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30 (9.4)</w:t>
            </w:r>
          </w:p>
        </w:tc>
        <w:tc>
          <w:tcPr>
            <w:tcW w:w="2977" w:type="dxa"/>
          </w:tcPr>
          <w:p>
            <w:pPr>
              <w:spacing w:line="360" w:lineRule="auto"/>
              <w:jc w:val="both"/>
              <w:rPr>
                <w:rFonts w:ascii="Book Antiqua" w:hAnsi="Book Antiqua" w:cstheme="minorHAnsi"/>
                <w:color w:val="000000"/>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bottom w:val="single" w:color="auto" w:sz="8" w:space="0"/>
            </w:tcBorders>
          </w:tcPr>
          <w:p>
            <w:pPr>
              <w:spacing w:line="360" w:lineRule="auto"/>
              <w:jc w:val="both"/>
              <w:rPr>
                <w:rFonts w:ascii="Book Antiqua" w:hAnsi="Book Antiqua" w:cstheme="minorHAnsi"/>
                <w:lang w:val="en-GB" w:eastAsia="zh-CN"/>
              </w:rPr>
            </w:pPr>
            <w:r>
              <w:rPr>
                <w:rFonts w:ascii="Book Antiqua" w:hAnsi="Book Antiqua" w:cstheme="minorHAnsi"/>
                <w:lang w:val="en-GB" w:eastAsia="zh-CN"/>
              </w:rPr>
              <w:t>Intravenous immunoglobulin</w:t>
            </w:r>
          </w:p>
        </w:tc>
        <w:tc>
          <w:tcPr>
            <w:tcW w:w="2977" w:type="dxa"/>
            <w:tcBorders>
              <w:bottom w:val="single" w:color="auto" w:sz="8" w:space="0"/>
            </w:tcBorders>
          </w:tcPr>
          <w:p>
            <w:pPr>
              <w:spacing w:line="360" w:lineRule="auto"/>
              <w:jc w:val="both"/>
              <w:rPr>
                <w:rFonts w:ascii="Book Antiqua" w:hAnsi="Book Antiqua" w:cstheme="minorHAnsi"/>
                <w:color w:val="000000"/>
                <w:lang w:val="en-GB" w:eastAsia="zh-CN"/>
              </w:rPr>
            </w:pPr>
            <w:r>
              <w:rPr>
                <w:rFonts w:ascii="Book Antiqua" w:hAnsi="Book Antiqua" w:cstheme="minorHAnsi"/>
                <w:color w:val="000000"/>
                <w:lang w:val="en-GB" w:eastAsia="zh-CN"/>
              </w:rPr>
              <w:t>13 (4.4)</w:t>
            </w:r>
          </w:p>
        </w:tc>
        <w:tc>
          <w:tcPr>
            <w:tcW w:w="2977" w:type="dxa"/>
            <w:tcBorders>
              <w:bottom w:val="single" w:color="auto" w:sz="8" w:space="0"/>
            </w:tcBorders>
          </w:tcPr>
          <w:p>
            <w:pPr>
              <w:spacing w:line="360" w:lineRule="auto"/>
              <w:jc w:val="both"/>
              <w:rPr>
                <w:rFonts w:ascii="Book Antiqua" w:hAnsi="Book Antiqua" w:cstheme="minorHAnsi"/>
                <w:color w:val="000000"/>
                <w:lang w:val="en-GB" w:eastAsia="zh-CN"/>
              </w:rPr>
            </w:pPr>
          </w:p>
        </w:tc>
      </w:tr>
      <w:bookmarkEnd w:id="652"/>
    </w:tbl>
    <w:p>
      <w:pPr>
        <w:spacing w:line="360" w:lineRule="auto"/>
        <w:jc w:val="both"/>
        <w:rPr>
          <w:rFonts w:ascii="Book Antiqua" w:hAnsi="Book Antiqua"/>
        </w:rPr>
      </w:pPr>
      <w:r>
        <w:rPr>
          <w:rFonts w:ascii="Book Antiqua" w:hAnsi="Book Antiqua" w:eastAsia="Book Antiqua" w:cs="Book Antiqua"/>
          <w:color w:val="1C1D1E"/>
          <w:shd w:val="clear" w:color="auto" w:fill="FFFFFF"/>
          <w:lang w:val="en-GB"/>
        </w:rPr>
        <w:t>COVID-19: C</w:t>
      </w:r>
      <w:r>
        <w:rPr>
          <w:rFonts w:ascii="Book Antiqua" w:hAnsi="Book Antiqua" w:eastAsia="Book Antiqua" w:cs="Book Antiqua"/>
          <w:color w:val="1C1D1E"/>
          <w:shd w:val="clear" w:color="auto" w:fill="FFFFFF"/>
        </w:rPr>
        <w:t xml:space="preserve">oronavirus disease 2019; </w:t>
      </w:r>
      <w:r>
        <w:rPr>
          <w:rFonts w:ascii="Book Antiqua" w:hAnsi="Book Antiqua" w:cstheme="minorHAnsi"/>
          <w:lang w:val="en-GB"/>
        </w:rPr>
        <w:t xml:space="preserve">ADPKD: Autosomal dominant polycystic kidney disease; CMV: Cytomegalovirus; EBV: Epstein-Barr virus; BKV: BK virus; MMF: Mycophenolate mofetil; Aza: Azathioprine; CyA: Cyclosporine; Tac: Tacrolimus; </w:t>
      </w:r>
      <w:r>
        <w:rPr>
          <w:rFonts w:ascii="Book Antiqua" w:hAnsi="Book Antiqua" w:cstheme="minorHAnsi"/>
          <w:color w:val="000000"/>
          <w:lang w:val="en-GB"/>
        </w:rPr>
        <w:t>BMI: Body mass index.</w:t>
      </w:r>
    </w:p>
    <w:p>
      <w:pPr>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w:t>
      </w:r>
      <w:bookmarkStart w:id="654" w:name="_GoBack"/>
      <w:bookmarkEnd w:id="654"/>
      <w:r>
        <w:rPr>
          <w:rFonts w:ascii="Book Antiqua" w:hAnsi="Book Antiqua" w:eastAsia="Garamond-Bold" w:cs="Garamond-Bold"/>
          <w:b/>
          <w:bCs/>
          <w:color w:val="000000"/>
          <w:sz w:val="28"/>
          <w:szCs w:val="28"/>
        </w:rPr>
        <w:t>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32197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352FB"/>
    <w:rsid w:val="0005387C"/>
    <w:rsid w:val="00060987"/>
    <w:rsid w:val="00136716"/>
    <w:rsid w:val="001663D2"/>
    <w:rsid w:val="00184D92"/>
    <w:rsid w:val="001C4C3D"/>
    <w:rsid w:val="00211EA6"/>
    <w:rsid w:val="002C2B5D"/>
    <w:rsid w:val="002D15DA"/>
    <w:rsid w:val="003006A8"/>
    <w:rsid w:val="003A18B2"/>
    <w:rsid w:val="003B190D"/>
    <w:rsid w:val="003B2838"/>
    <w:rsid w:val="003C5BC8"/>
    <w:rsid w:val="003C5E9B"/>
    <w:rsid w:val="003D3BD3"/>
    <w:rsid w:val="00403476"/>
    <w:rsid w:val="00430523"/>
    <w:rsid w:val="004355E4"/>
    <w:rsid w:val="004835BF"/>
    <w:rsid w:val="004A21DC"/>
    <w:rsid w:val="004D1766"/>
    <w:rsid w:val="005028A4"/>
    <w:rsid w:val="00547727"/>
    <w:rsid w:val="005F6808"/>
    <w:rsid w:val="0063519E"/>
    <w:rsid w:val="00665FDE"/>
    <w:rsid w:val="006A612C"/>
    <w:rsid w:val="006C6747"/>
    <w:rsid w:val="007D5CA2"/>
    <w:rsid w:val="007D605B"/>
    <w:rsid w:val="00852CB1"/>
    <w:rsid w:val="008914BD"/>
    <w:rsid w:val="00896395"/>
    <w:rsid w:val="008B190E"/>
    <w:rsid w:val="008D1A1A"/>
    <w:rsid w:val="00937370"/>
    <w:rsid w:val="00996E8B"/>
    <w:rsid w:val="009C6FE3"/>
    <w:rsid w:val="00A26B4D"/>
    <w:rsid w:val="00A441C0"/>
    <w:rsid w:val="00A44F63"/>
    <w:rsid w:val="00A77B3E"/>
    <w:rsid w:val="00AA3FFD"/>
    <w:rsid w:val="00B0207C"/>
    <w:rsid w:val="00B113C7"/>
    <w:rsid w:val="00B7273A"/>
    <w:rsid w:val="00B8031E"/>
    <w:rsid w:val="00BC1C7E"/>
    <w:rsid w:val="00BE2603"/>
    <w:rsid w:val="00BE5D57"/>
    <w:rsid w:val="00C5276D"/>
    <w:rsid w:val="00CA2A55"/>
    <w:rsid w:val="00CA4E14"/>
    <w:rsid w:val="00CB3B3D"/>
    <w:rsid w:val="00CC25AD"/>
    <w:rsid w:val="00CC4837"/>
    <w:rsid w:val="00CE564A"/>
    <w:rsid w:val="00DB55F2"/>
    <w:rsid w:val="00DF7FAB"/>
    <w:rsid w:val="00E14E93"/>
    <w:rsid w:val="00E30687"/>
    <w:rsid w:val="00E46AA8"/>
    <w:rsid w:val="00E52ED9"/>
    <w:rsid w:val="00E62057"/>
    <w:rsid w:val="00E869B5"/>
    <w:rsid w:val="00EC0022"/>
    <w:rsid w:val="00EC49A9"/>
    <w:rsid w:val="00F66C43"/>
    <w:rsid w:val="00F8459D"/>
    <w:rsid w:val="00F92E28"/>
    <w:rsid w:val="00F94A24"/>
    <w:rsid w:val="00FA300B"/>
    <w:rsid w:val="00FB4D3D"/>
    <w:rsid w:val="00FE4203"/>
    <w:rsid w:val="11F0023A"/>
    <w:rsid w:val="275D4584"/>
    <w:rsid w:val="650309BE"/>
    <w:rsid w:val="722632AD"/>
    <w:rsid w:val="77CF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99"/>
  </w:style>
  <w:style w:type="paragraph" w:styleId="3">
    <w:name w:val="footer"/>
    <w:basedOn w:val="1"/>
    <w:link w:val="11"/>
    <w:uiPriority w:val="99"/>
    <w:pPr>
      <w:tabs>
        <w:tab w:val="center" w:pos="4153"/>
        <w:tab w:val="right" w:pos="8306"/>
      </w:tabs>
      <w:snapToGrid w:val="0"/>
    </w:pPr>
    <w:rPr>
      <w:sz w:val="18"/>
      <w:szCs w:val="18"/>
    </w:rPr>
  </w:style>
  <w:style w:type="paragraph" w:styleId="4">
    <w:name w:val="header"/>
    <w:basedOn w:val="1"/>
    <w:link w:val="10"/>
    <w:uiPriority w:val="0"/>
    <w:pPr>
      <w:tabs>
        <w:tab w:val="center" w:pos="4153"/>
        <w:tab w:val="right" w:pos="8306"/>
      </w:tabs>
      <w:snapToGrid w:val="0"/>
      <w:jc w:val="center"/>
    </w:pPr>
    <w:rPr>
      <w:sz w:val="18"/>
      <w:szCs w:val="18"/>
    </w:rPr>
  </w:style>
  <w:style w:type="paragraph" w:styleId="5">
    <w:name w:val="annotation subject"/>
    <w:basedOn w:val="2"/>
    <w:next w:val="2"/>
    <w:link w:val="13"/>
    <w:autoRedefine/>
    <w:qFormat/>
    <w:uiPriority w:val="0"/>
    <w:rPr>
      <w:b/>
      <w:bCs/>
    </w:rPr>
  </w:style>
  <w:style w:type="table" w:styleId="7">
    <w:name w:val="Table Grid"/>
    <w:basedOn w:val="6"/>
    <w:autoRedefine/>
    <w:qFormat/>
    <w:uiPriority w:val="39"/>
    <w:rPr>
      <w:rFonts w:asciiTheme="minorHAnsi" w:hAnsiTheme="minorHAnsi" w:cstheme="minorBidi"/>
      <w:sz w:val="22"/>
      <w:szCs w:val="22"/>
      <w:lang w:val="hr-HR"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21"/>
      <w:szCs w:val="21"/>
    </w:rPr>
  </w:style>
  <w:style w:type="character" w:customStyle="1" w:styleId="10">
    <w:name w:val="页眉 字符"/>
    <w:basedOn w:val="8"/>
    <w:link w:val="4"/>
    <w:autoRedefine/>
    <w:qFormat/>
    <w:uiPriority w:val="0"/>
    <w:rPr>
      <w:sz w:val="18"/>
      <w:szCs w:val="18"/>
    </w:rPr>
  </w:style>
  <w:style w:type="character" w:customStyle="1" w:styleId="11">
    <w:name w:val="页脚 字符"/>
    <w:basedOn w:val="8"/>
    <w:link w:val="3"/>
    <w:autoRedefine/>
    <w:qFormat/>
    <w:uiPriority w:val="99"/>
    <w:rPr>
      <w:sz w:val="18"/>
      <w:szCs w:val="18"/>
    </w:rPr>
  </w:style>
  <w:style w:type="character" w:customStyle="1" w:styleId="12">
    <w:name w:val="批注文字 字符"/>
    <w:basedOn w:val="8"/>
    <w:link w:val="2"/>
    <w:uiPriority w:val="0"/>
    <w:rPr>
      <w:sz w:val="24"/>
      <w:szCs w:val="24"/>
    </w:rPr>
  </w:style>
  <w:style w:type="character" w:customStyle="1" w:styleId="13">
    <w:name w:val="批注主题 字符"/>
    <w:basedOn w:val="12"/>
    <w:link w:val="5"/>
    <w:autoRedefine/>
    <w:qFormat/>
    <w:uiPriority w:val="0"/>
    <w:rPr>
      <w:b/>
      <w:bCs/>
      <w:sz w:val="24"/>
      <w:szCs w:val="24"/>
    </w:rPr>
  </w:style>
  <w:style w:type="paragraph" w:customStyle="1" w:styleId="14">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font31"/>
    <w:basedOn w:val="8"/>
    <w:autoRedefine/>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4018</Words>
  <Characters>22904</Characters>
  <Lines>190</Lines>
  <Paragraphs>53</Paragraphs>
  <TotalTime>0</TotalTime>
  <ScaleCrop>false</ScaleCrop>
  <LinksUpToDate>false</LinksUpToDate>
  <CharactersWithSpaces>26869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2024-01-30T13:30:00Z</dcterms:created>
  <dc:creator>Anna Mrzljak</dc:creator>
  <cp:lastModifiedBy>xzh</cp:lastModifiedBy>
  <dcterms:modified xsi:type="dcterms:W3CDTF">2024-02-05T08:28:31Z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9AAFCE672ADB4C7EBAD2F260EE44EAE7_12</vt:lpwstr>
  </property>
</Properties>
</file>