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753" w:rsidRPr="0002518C" w:rsidRDefault="003B3753" w:rsidP="009E7BBE">
      <w:pPr>
        <w:spacing w:line="360" w:lineRule="auto"/>
        <w:rPr>
          <w:rFonts w:ascii="Book Antiqua" w:hAnsi="Book Antiqua" w:cs="宋体"/>
          <w:i/>
          <w:color w:val="000000"/>
          <w:sz w:val="24"/>
          <w:szCs w:val="24"/>
        </w:rPr>
      </w:pPr>
      <w:r w:rsidRPr="0002518C">
        <w:rPr>
          <w:rFonts w:ascii="Book Antiqua" w:hAnsi="Book Antiqua" w:cs="宋体"/>
          <w:b/>
          <w:color w:val="000000"/>
          <w:sz w:val="24"/>
          <w:szCs w:val="24"/>
        </w:rPr>
        <w:t xml:space="preserve">Name of journal: </w:t>
      </w:r>
      <w:r w:rsidRPr="0002518C">
        <w:rPr>
          <w:rFonts w:ascii="Book Antiqua" w:hAnsi="Book Antiqua" w:cs="Lucida Grande"/>
          <w:color w:val="000000"/>
          <w:sz w:val="24"/>
          <w:szCs w:val="24"/>
        </w:rPr>
        <w:t>World Journal of Gastroenterology</w:t>
      </w:r>
    </w:p>
    <w:p w:rsidR="003B3753" w:rsidRPr="0002518C" w:rsidRDefault="003B3753" w:rsidP="009E7BBE">
      <w:pPr>
        <w:spacing w:line="360" w:lineRule="auto"/>
        <w:rPr>
          <w:rFonts w:ascii="Book Antiqua" w:hAnsi="Book Antiqua" w:cs="Arial"/>
          <w:b/>
          <w:color w:val="000000"/>
          <w:sz w:val="24"/>
          <w:szCs w:val="24"/>
        </w:rPr>
      </w:pPr>
      <w:r w:rsidRPr="0002518C">
        <w:rPr>
          <w:rFonts w:ascii="Book Antiqua" w:hAnsi="Book Antiqua" w:cs="Arial"/>
          <w:b/>
          <w:color w:val="000000"/>
          <w:sz w:val="24"/>
          <w:szCs w:val="24"/>
        </w:rPr>
        <w:t>ESPS Manuscript NO: 9103</w:t>
      </w:r>
    </w:p>
    <w:p w:rsidR="003B3753" w:rsidRPr="0002518C" w:rsidRDefault="003B3753" w:rsidP="009E7BBE">
      <w:pPr>
        <w:spacing w:line="360" w:lineRule="auto"/>
        <w:rPr>
          <w:rFonts w:ascii="Book Antiqua" w:hAnsi="Book Antiqua" w:cs="宋体"/>
          <w:b/>
          <w:color w:val="000000"/>
          <w:sz w:val="24"/>
          <w:szCs w:val="24"/>
        </w:rPr>
      </w:pPr>
      <w:r w:rsidRPr="0002518C">
        <w:rPr>
          <w:rFonts w:ascii="Book Antiqua" w:hAnsi="Book Antiqua" w:cs="宋体"/>
          <w:b/>
          <w:color w:val="000000"/>
          <w:sz w:val="24"/>
          <w:szCs w:val="24"/>
        </w:rPr>
        <w:t>Column: REVIEW</w:t>
      </w:r>
    </w:p>
    <w:p w:rsidR="003B3753" w:rsidRPr="0002518C" w:rsidRDefault="003B3753" w:rsidP="009E7BBE">
      <w:pPr>
        <w:spacing w:line="360" w:lineRule="auto"/>
        <w:rPr>
          <w:rFonts w:ascii="Book Antiqua" w:hAnsi="Book Antiqua" w:cs="宋体"/>
          <w:b/>
          <w:i/>
          <w:color w:val="0070C0"/>
          <w:sz w:val="24"/>
          <w:szCs w:val="24"/>
        </w:rPr>
      </w:pPr>
    </w:p>
    <w:p w:rsidR="003B3753" w:rsidRPr="0002518C" w:rsidRDefault="003B3753" w:rsidP="009E7BBE">
      <w:pPr>
        <w:spacing w:line="360" w:lineRule="auto"/>
        <w:rPr>
          <w:rFonts w:ascii="Book Antiqua" w:eastAsia="宋体" w:hAnsi="Book Antiqua"/>
          <w:b/>
          <w:sz w:val="24"/>
          <w:szCs w:val="24"/>
          <w:lang w:eastAsia="zh-CN"/>
        </w:rPr>
      </w:pPr>
      <w:r w:rsidRPr="0002518C">
        <w:rPr>
          <w:rFonts w:ascii="Book Antiqua" w:hAnsi="Book Antiqua"/>
          <w:b/>
          <w:sz w:val="24"/>
          <w:szCs w:val="24"/>
        </w:rPr>
        <w:t>Treatment for superficial non-ampullary duodenal epithelial tumors</w:t>
      </w:r>
    </w:p>
    <w:p w:rsidR="003B3753" w:rsidRPr="0002518C" w:rsidRDefault="003B3753" w:rsidP="009E7BBE">
      <w:pPr>
        <w:spacing w:line="360" w:lineRule="auto"/>
        <w:rPr>
          <w:rFonts w:ascii="Book Antiqua" w:eastAsia="宋体" w:hAnsi="Book Antiqua"/>
          <w:b/>
          <w:sz w:val="24"/>
          <w:szCs w:val="24"/>
          <w:lang w:eastAsia="zh-CN"/>
        </w:rPr>
      </w:pPr>
    </w:p>
    <w:p w:rsidR="003B3753" w:rsidRPr="0002518C" w:rsidRDefault="003B3753" w:rsidP="009E7BBE">
      <w:pPr>
        <w:spacing w:line="360" w:lineRule="auto"/>
        <w:rPr>
          <w:rFonts w:ascii="Book Antiqua" w:hAnsi="Book Antiqua"/>
          <w:sz w:val="24"/>
          <w:szCs w:val="24"/>
        </w:rPr>
      </w:pPr>
      <w:r>
        <w:rPr>
          <w:rFonts w:ascii="Book Antiqua" w:hAnsi="Book Antiqua"/>
          <w:b/>
          <w:sz w:val="24"/>
          <w:szCs w:val="24"/>
        </w:rPr>
        <w:t xml:space="preserve">Kakushima N </w:t>
      </w:r>
      <w:r>
        <w:rPr>
          <w:rFonts w:ascii="Book Antiqua" w:hAnsi="Book Antiqua"/>
          <w:b/>
          <w:i/>
          <w:sz w:val="24"/>
          <w:szCs w:val="24"/>
        </w:rPr>
        <w:t>et al.</w:t>
      </w:r>
      <w:r>
        <w:rPr>
          <w:rFonts w:ascii="Book Antiqua" w:hAnsi="Book Antiqua"/>
          <w:i/>
          <w:sz w:val="24"/>
          <w:szCs w:val="24"/>
        </w:rPr>
        <w:t xml:space="preserve"> </w:t>
      </w:r>
      <w:r>
        <w:rPr>
          <w:rFonts w:ascii="Book Antiqua" w:hAnsi="Book Antiqua"/>
          <w:sz w:val="24"/>
          <w:szCs w:val="24"/>
        </w:rPr>
        <w:t>Treatment for non-ampullary duodenal tumors</w:t>
      </w:r>
    </w:p>
    <w:p w:rsidR="003B3753" w:rsidRPr="0002518C" w:rsidRDefault="003B3753" w:rsidP="009E7BBE">
      <w:pPr>
        <w:spacing w:line="360" w:lineRule="auto"/>
        <w:rPr>
          <w:rFonts w:ascii="Book Antiqua" w:hAnsi="Book Antiqua"/>
          <w:sz w:val="24"/>
          <w:szCs w:val="24"/>
        </w:rPr>
      </w:pPr>
    </w:p>
    <w:p w:rsidR="003B3753" w:rsidRPr="0002518C" w:rsidRDefault="003B3753" w:rsidP="009E7BBE">
      <w:pPr>
        <w:spacing w:line="360" w:lineRule="auto"/>
        <w:rPr>
          <w:rFonts w:ascii="Book Antiqua" w:hAnsi="Book Antiqua"/>
          <w:sz w:val="24"/>
          <w:szCs w:val="24"/>
        </w:rPr>
      </w:pPr>
      <w:r>
        <w:rPr>
          <w:rFonts w:ascii="Book Antiqua" w:hAnsi="Book Antiqua"/>
          <w:sz w:val="24"/>
          <w:szCs w:val="24"/>
        </w:rPr>
        <w:t>Naomi Kakushima, Hideyuki Kanemoto, Masaki Tanaka, Kohei Takizawa, Hiroyuki Ono</w:t>
      </w:r>
    </w:p>
    <w:p w:rsidR="003B3753" w:rsidRPr="0002518C" w:rsidRDefault="003B3753" w:rsidP="009E7BBE">
      <w:pPr>
        <w:spacing w:line="360" w:lineRule="auto"/>
        <w:rPr>
          <w:rFonts w:ascii="Book Antiqua" w:hAnsi="Book Antiqua"/>
          <w:sz w:val="24"/>
          <w:szCs w:val="24"/>
        </w:rPr>
      </w:pPr>
    </w:p>
    <w:p w:rsidR="003B3753" w:rsidRPr="0002518C" w:rsidRDefault="003B3753" w:rsidP="009E7BBE">
      <w:pPr>
        <w:spacing w:line="360" w:lineRule="auto"/>
        <w:rPr>
          <w:rFonts w:ascii="Book Antiqua" w:eastAsia="宋体" w:hAnsi="Book Antiqua"/>
          <w:kern w:val="0"/>
          <w:sz w:val="24"/>
          <w:szCs w:val="24"/>
          <w:lang w:eastAsia="zh-CN"/>
        </w:rPr>
      </w:pPr>
      <w:r>
        <w:rPr>
          <w:rFonts w:ascii="Book Antiqua" w:hAnsi="Book Antiqua"/>
          <w:b/>
          <w:sz w:val="24"/>
          <w:szCs w:val="24"/>
        </w:rPr>
        <w:t>Naomi Kakushima, Masaki Tanaka, Kohei Takizawa, Hiroyuki Ono,</w:t>
      </w:r>
      <w:r>
        <w:rPr>
          <w:rFonts w:ascii="Book Antiqua" w:hAnsi="Book Antiqua"/>
          <w:sz w:val="24"/>
          <w:szCs w:val="24"/>
        </w:rPr>
        <w:t xml:space="preserve"> Division of Endoscopy</w:t>
      </w:r>
      <w:r>
        <w:rPr>
          <w:rFonts w:ascii="Book Antiqua" w:hAnsi="Book Antiqua"/>
          <w:kern w:val="0"/>
          <w:sz w:val="24"/>
          <w:szCs w:val="24"/>
        </w:rPr>
        <w:t>, Shizuoka Cancer Center, 1007 Shimonagakubo, Nagaizumi, Suntougun, Shizuoka 4118777, Japan</w:t>
      </w:r>
    </w:p>
    <w:p w:rsidR="003B3753" w:rsidRPr="0002518C" w:rsidRDefault="003B3753" w:rsidP="009E7BBE">
      <w:pPr>
        <w:spacing w:line="360" w:lineRule="auto"/>
        <w:rPr>
          <w:rFonts w:ascii="Book Antiqua" w:eastAsia="宋体" w:hAnsi="Book Antiqua"/>
          <w:kern w:val="0"/>
          <w:sz w:val="24"/>
          <w:szCs w:val="24"/>
          <w:lang w:eastAsia="zh-CN"/>
        </w:rPr>
      </w:pPr>
    </w:p>
    <w:p w:rsidR="003B3753" w:rsidRPr="0002518C" w:rsidRDefault="003B3753" w:rsidP="009E7BBE">
      <w:pPr>
        <w:spacing w:line="360" w:lineRule="auto"/>
        <w:rPr>
          <w:rFonts w:ascii="Book Antiqua" w:hAnsi="Book Antiqua"/>
          <w:sz w:val="24"/>
          <w:szCs w:val="24"/>
        </w:rPr>
      </w:pPr>
      <w:r>
        <w:rPr>
          <w:rFonts w:ascii="Book Antiqua" w:hAnsi="Book Antiqua"/>
          <w:b/>
          <w:sz w:val="24"/>
          <w:szCs w:val="24"/>
        </w:rPr>
        <w:t>Hideyuki Kanemoto,</w:t>
      </w:r>
      <w:r>
        <w:rPr>
          <w:rFonts w:ascii="Book Antiqua" w:hAnsi="Book Antiqua"/>
          <w:sz w:val="24"/>
          <w:szCs w:val="24"/>
        </w:rPr>
        <w:t xml:space="preserve"> Division of Hepato–Biliary–Pancreatic Surgery, Shizuoka Cancer Center</w:t>
      </w:r>
      <w:r>
        <w:rPr>
          <w:rFonts w:ascii="Book Antiqua" w:hAnsi="Book Antiqua"/>
          <w:kern w:val="0"/>
          <w:sz w:val="24"/>
          <w:szCs w:val="24"/>
        </w:rPr>
        <w:t>, Shizuoka Cancer Center, 1007 Shimonagakubo, Nagaizumi, Suntougun, Shizuoka 4118777, Japan</w:t>
      </w:r>
    </w:p>
    <w:p w:rsidR="003B3753" w:rsidRDefault="003B3753" w:rsidP="00B96FD4">
      <w:pPr>
        <w:widowControl/>
        <w:spacing w:line="360" w:lineRule="auto"/>
        <w:rPr>
          <w:rFonts w:ascii="Book Antiqua" w:hAnsi="Book Antiqua"/>
          <w:sz w:val="24"/>
          <w:szCs w:val="24"/>
        </w:rPr>
      </w:pPr>
    </w:p>
    <w:p w:rsidR="003B3753" w:rsidRDefault="003B3753" w:rsidP="00B96FD4">
      <w:pPr>
        <w:widowControl/>
        <w:spacing w:line="360" w:lineRule="auto"/>
        <w:rPr>
          <w:rFonts w:ascii="Book Antiqua" w:hAnsi="Book Antiqua"/>
          <w:sz w:val="24"/>
          <w:szCs w:val="24"/>
        </w:rPr>
      </w:pPr>
      <w:r>
        <w:rPr>
          <w:rFonts w:ascii="Book Antiqua" w:hAnsi="Book Antiqua"/>
          <w:b/>
          <w:color w:val="000000"/>
          <w:sz w:val="24"/>
          <w:szCs w:val="24"/>
        </w:rPr>
        <w:t>Author contributions</w:t>
      </w:r>
      <w:r>
        <w:rPr>
          <w:rFonts w:ascii="Book Antiqua" w:hAnsi="Book Antiqua"/>
          <w:b/>
          <w:sz w:val="24"/>
          <w:szCs w:val="24"/>
        </w:rPr>
        <w:t xml:space="preserve">: </w:t>
      </w:r>
      <w:r>
        <w:rPr>
          <w:rFonts w:ascii="Book Antiqua" w:hAnsi="Book Antiqua"/>
          <w:sz w:val="24"/>
          <w:szCs w:val="24"/>
        </w:rPr>
        <w:t xml:space="preserve">Kakushima N, Kanemoto H, Tanaka M, Takizawa K and Ono H </w:t>
      </w:r>
      <w:r>
        <w:rPr>
          <w:rFonts w:ascii="Book Antiqua" w:eastAsia="Arial Unicode MS" w:hAnsi="Book Antiqua" w:cs="Arial Unicode MS"/>
          <w:sz w:val="24"/>
          <w:szCs w:val="24"/>
        </w:rPr>
        <w:t>contributed to conception and design, acquisition of data, or analysis and interpretation of data; drafted the article or revised it critically for important intellectual content; and final approval of the version to be published.</w:t>
      </w:r>
    </w:p>
    <w:p w:rsidR="003B3753" w:rsidRPr="0002518C" w:rsidRDefault="003B3753" w:rsidP="009E7BBE">
      <w:pPr>
        <w:spacing w:line="360" w:lineRule="auto"/>
        <w:rPr>
          <w:rFonts w:ascii="Book Antiqua" w:hAnsi="Book Antiqua"/>
          <w:sz w:val="24"/>
          <w:szCs w:val="24"/>
        </w:rPr>
      </w:pPr>
    </w:p>
    <w:p w:rsidR="003B3753" w:rsidRPr="0002518C" w:rsidRDefault="003B3753" w:rsidP="009E7BBE">
      <w:pPr>
        <w:spacing w:line="360" w:lineRule="auto"/>
        <w:rPr>
          <w:rFonts w:ascii="Book Antiqua" w:hAnsi="Book Antiqua"/>
          <w:sz w:val="24"/>
          <w:szCs w:val="24"/>
        </w:rPr>
      </w:pPr>
      <w:r>
        <w:rPr>
          <w:rFonts w:ascii="Book Antiqua" w:hAnsi="Book Antiqua"/>
          <w:b/>
          <w:sz w:val="24"/>
          <w:szCs w:val="24"/>
        </w:rPr>
        <w:t>Correspondence to:</w:t>
      </w:r>
      <w:r>
        <w:rPr>
          <w:rFonts w:ascii="Book Antiqua" w:hAnsi="Book Antiqua"/>
          <w:sz w:val="24"/>
          <w:szCs w:val="24"/>
        </w:rPr>
        <w:t xml:space="preserve"> </w:t>
      </w:r>
      <w:r>
        <w:rPr>
          <w:rFonts w:ascii="Book Antiqua" w:hAnsi="Book Antiqua"/>
          <w:b/>
          <w:sz w:val="24"/>
          <w:szCs w:val="24"/>
        </w:rPr>
        <w:t>Naomi Kakushima,</w:t>
      </w:r>
      <w:r>
        <w:rPr>
          <w:rFonts w:ascii="Book Antiqua" w:hAnsi="Book Antiqua"/>
          <w:sz w:val="24"/>
          <w:szCs w:val="24"/>
        </w:rPr>
        <w:t xml:space="preserve"> </w:t>
      </w:r>
      <w:r>
        <w:rPr>
          <w:rFonts w:ascii="Book Antiqua" w:eastAsia="宋体" w:hAnsi="Book Antiqua"/>
          <w:b/>
          <w:sz w:val="24"/>
          <w:szCs w:val="24"/>
          <w:lang w:eastAsia="zh-CN"/>
        </w:rPr>
        <w:t xml:space="preserve">MD, PhD, </w:t>
      </w:r>
      <w:r>
        <w:rPr>
          <w:rFonts w:ascii="Book Antiqua" w:hAnsi="Book Antiqua"/>
          <w:sz w:val="24"/>
          <w:szCs w:val="24"/>
        </w:rPr>
        <w:t>Division of Endoscopy</w:t>
      </w:r>
      <w:bookmarkStart w:id="0" w:name="OLE_LINK5"/>
      <w:bookmarkStart w:id="1" w:name="OLE_LINK6"/>
      <w:r>
        <w:rPr>
          <w:rFonts w:ascii="Book Antiqua" w:hAnsi="Book Antiqua"/>
          <w:sz w:val="24"/>
          <w:szCs w:val="24"/>
        </w:rPr>
        <w:t xml:space="preserve">, Shizuoka Cancer Center, 1007 Shimonagakubo, Nagaizumi, Suntougun, Shizuoka, </w:t>
      </w:r>
      <w:bookmarkStart w:id="2" w:name="OLE_LINK1"/>
      <w:bookmarkStart w:id="3" w:name="OLE_LINK2"/>
      <w:r>
        <w:rPr>
          <w:rFonts w:ascii="Book Antiqua" w:hAnsi="Book Antiqua"/>
          <w:sz w:val="24"/>
          <w:szCs w:val="24"/>
        </w:rPr>
        <w:t>4118777, Japan</w:t>
      </w:r>
      <w:bookmarkEnd w:id="0"/>
      <w:bookmarkEnd w:id="1"/>
      <w:r>
        <w:rPr>
          <w:rFonts w:ascii="Book Antiqua" w:hAnsi="Book Antiqua"/>
          <w:sz w:val="24"/>
          <w:szCs w:val="24"/>
        </w:rPr>
        <w:t>.</w:t>
      </w:r>
      <w:bookmarkEnd w:id="2"/>
      <w:bookmarkEnd w:id="3"/>
      <w:r>
        <w:rPr>
          <w:rFonts w:ascii="Book Antiqua" w:hAnsi="Book Antiqua"/>
          <w:sz w:val="24"/>
          <w:szCs w:val="24"/>
        </w:rPr>
        <w:t xml:space="preserve"> </w:t>
      </w:r>
      <w:hyperlink r:id="rId8" w:history="1">
        <w:r>
          <w:rPr>
            <w:rStyle w:val="a5"/>
            <w:rFonts w:ascii="Book Antiqua" w:hAnsi="Book Antiqua"/>
            <w:sz w:val="24"/>
            <w:szCs w:val="24"/>
          </w:rPr>
          <w:t>kakushin-tky@umin.ac.jp</w:t>
        </w:r>
      </w:hyperlink>
    </w:p>
    <w:p w:rsidR="003B3753" w:rsidRPr="0002518C" w:rsidRDefault="003B3753" w:rsidP="009E7BBE">
      <w:pPr>
        <w:spacing w:line="360" w:lineRule="auto"/>
        <w:rPr>
          <w:rFonts w:ascii="Book Antiqua" w:hAnsi="Book Antiqua"/>
          <w:sz w:val="24"/>
          <w:szCs w:val="24"/>
        </w:rPr>
      </w:pPr>
      <w:r w:rsidRPr="00B96FD4">
        <w:rPr>
          <w:rFonts w:ascii="Book Antiqua" w:hAnsi="Book Antiqua"/>
          <w:b/>
          <w:sz w:val="24"/>
          <w:szCs w:val="24"/>
        </w:rPr>
        <w:t>Telephone:</w:t>
      </w:r>
      <w:r w:rsidRPr="00B96FD4">
        <w:rPr>
          <w:rFonts w:ascii="Book Antiqua" w:hAnsi="Book Antiqua"/>
          <w:sz w:val="24"/>
          <w:szCs w:val="24"/>
        </w:rPr>
        <w:t xml:space="preserve"> +81-55-9895222     </w:t>
      </w:r>
      <w:r w:rsidRPr="00B96FD4">
        <w:rPr>
          <w:rFonts w:ascii="Book Antiqua" w:hAnsi="Book Antiqua"/>
          <w:b/>
          <w:sz w:val="24"/>
          <w:szCs w:val="24"/>
        </w:rPr>
        <w:t xml:space="preserve">Fax: </w:t>
      </w:r>
      <w:r w:rsidRPr="00B96FD4">
        <w:rPr>
          <w:rFonts w:ascii="Book Antiqua" w:hAnsi="Book Antiqua"/>
          <w:sz w:val="24"/>
          <w:szCs w:val="24"/>
        </w:rPr>
        <w:t>+81-55-9895692</w:t>
      </w:r>
    </w:p>
    <w:p w:rsidR="003B3753" w:rsidRPr="0002518C" w:rsidRDefault="003B3753" w:rsidP="009E7BBE">
      <w:pPr>
        <w:spacing w:line="360" w:lineRule="auto"/>
        <w:rPr>
          <w:rFonts w:ascii="Book Antiqua" w:hAnsi="Book Antiqua"/>
          <w:b/>
          <w:sz w:val="24"/>
          <w:szCs w:val="24"/>
        </w:rPr>
      </w:pPr>
      <w:r w:rsidRPr="00B96FD4">
        <w:rPr>
          <w:rFonts w:ascii="Book Antiqua" w:hAnsi="Book Antiqua"/>
          <w:b/>
          <w:sz w:val="24"/>
          <w:szCs w:val="24"/>
        </w:rPr>
        <w:t xml:space="preserve">Received: </w:t>
      </w:r>
      <w:r w:rsidRPr="00B96FD4">
        <w:rPr>
          <w:rFonts w:ascii="Book Antiqua" w:hAnsi="Book Antiqua"/>
          <w:sz w:val="24"/>
          <w:szCs w:val="24"/>
        </w:rPr>
        <w:t xml:space="preserve">January 20, 2014      </w:t>
      </w:r>
      <w:r w:rsidRPr="00B96FD4">
        <w:rPr>
          <w:rFonts w:ascii="Book Antiqua" w:hAnsi="Book Antiqua"/>
          <w:b/>
          <w:sz w:val="24"/>
          <w:szCs w:val="24"/>
        </w:rPr>
        <w:t xml:space="preserve">Revised: </w:t>
      </w:r>
      <w:r w:rsidRPr="00B96FD4">
        <w:rPr>
          <w:rFonts w:ascii="Book Antiqua" w:hAnsi="Book Antiqua"/>
          <w:sz w:val="24"/>
          <w:szCs w:val="24"/>
        </w:rPr>
        <w:t>April 18, 2014</w:t>
      </w:r>
    </w:p>
    <w:p w:rsidR="00894D16" w:rsidRPr="00AD6E2C" w:rsidRDefault="003B3753" w:rsidP="00894D16">
      <w:pPr>
        <w:rPr>
          <w:rFonts w:ascii="Book Antiqua" w:hAnsi="Book Antiqua"/>
          <w:sz w:val="24"/>
          <w:szCs w:val="24"/>
        </w:rPr>
      </w:pPr>
      <w:r w:rsidRPr="00B96FD4">
        <w:rPr>
          <w:rFonts w:ascii="Book Antiqua" w:hAnsi="Book Antiqua"/>
          <w:b/>
          <w:sz w:val="24"/>
          <w:szCs w:val="24"/>
        </w:rPr>
        <w:t>Accepted:</w:t>
      </w:r>
      <w:r w:rsidR="00894D16" w:rsidRPr="00894D16">
        <w:rPr>
          <w:rFonts w:ascii="Book Antiqua" w:hAnsi="Book Antiqua"/>
          <w:sz w:val="24"/>
          <w:szCs w:val="24"/>
        </w:rPr>
        <w:t xml:space="preserve"> </w:t>
      </w:r>
      <w:r w:rsidR="00894D16" w:rsidRPr="00AD6E2C">
        <w:rPr>
          <w:rFonts w:ascii="Book Antiqua" w:hAnsi="Book Antiqua"/>
          <w:sz w:val="24"/>
          <w:szCs w:val="24"/>
        </w:rPr>
        <w:t>May 19, 2014</w:t>
      </w:r>
    </w:p>
    <w:p w:rsidR="003B3753" w:rsidRPr="0002518C" w:rsidRDefault="003B3753" w:rsidP="009E7BBE">
      <w:pPr>
        <w:spacing w:line="360" w:lineRule="auto"/>
        <w:rPr>
          <w:rFonts w:ascii="Book Antiqua" w:hAnsi="Book Antiqua"/>
          <w:b/>
          <w:sz w:val="24"/>
          <w:szCs w:val="24"/>
        </w:rPr>
      </w:pPr>
      <w:r w:rsidRPr="00B96FD4">
        <w:rPr>
          <w:rFonts w:ascii="Book Antiqua" w:hAnsi="Book Antiqua"/>
          <w:b/>
          <w:sz w:val="24"/>
          <w:szCs w:val="24"/>
        </w:rPr>
        <w:t xml:space="preserve">  </w:t>
      </w:r>
    </w:p>
    <w:p w:rsidR="003B3753" w:rsidRPr="0002518C" w:rsidRDefault="003B3753" w:rsidP="009E7BBE">
      <w:pPr>
        <w:spacing w:line="360" w:lineRule="auto"/>
        <w:rPr>
          <w:rFonts w:ascii="Book Antiqua" w:hAnsi="Book Antiqua"/>
          <w:b/>
          <w:sz w:val="24"/>
          <w:szCs w:val="24"/>
        </w:rPr>
      </w:pPr>
      <w:r w:rsidRPr="00B96FD4">
        <w:rPr>
          <w:rFonts w:ascii="Book Antiqua" w:hAnsi="Book Antiqua"/>
          <w:b/>
          <w:sz w:val="24"/>
          <w:szCs w:val="24"/>
        </w:rPr>
        <w:t xml:space="preserve">Published online: </w:t>
      </w:r>
    </w:p>
    <w:p w:rsidR="003B3753" w:rsidRDefault="003B3753" w:rsidP="00B96FD4">
      <w:pPr>
        <w:widowControl/>
        <w:spacing w:line="360" w:lineRule="auto"/>
        <w:rPr>
          <w:rFonts w:ascii="Book Antiqua" w:hAnsi="Book Antiqua"/>
          <w:sz w:val="24"/>
          <w:szCs w:val="24"/>
        </w:rPr>
      </w:pPr>
    </w:p>
    <w:p w:rsidR="003B3753" w:rsidRDefault="003B3753" w:rsidP="00B96FD4">
      <w:pPr>
        <w:widowControl/>
        <w:spacing w:line="360" w:lineRule="auto"/>
        <w:rPr>
          <w:rFonts w:ascii="Book Antiqua" w:hAnsi="Book Antiqua"/>
          <w:sz w:val="24"/>
          <w:szCs w:val="24"/>
        </w:rPr>
      </w:pPr>
    </w:p>
    <w:p w:rsidR="003B3753" w:rsidRDefault="003B3753" w:rsidP="00B96FD4">
      <w:pPr>
        <w:widowControl/>
        <w:spacing w:line="360" w:lineRule="auto"/>
        <w:rPr>
          <w:rFonts w:ascii="Book Antiqua" w:hAnsi="Book Antiqua"/>
          <w:sz w:val="24"/>
          <w:szCs w:val="24"/>
        </w:rPr>
      </w:pPr>
      <w:r w:rsidRPr="001D30AC">
        <w:rPr>
          <w:rFonts w:ascii="Book Antiqua" w:hAnsi="Book Antiqua"/>
          <w:sz w:val="24"/>
          <w:szCs w:val="24"/>
        </w:rPr>
        <w:br w:type="page"/>
      </w:r>
    </w:p>
    <w:p w:rsidR="003B3753" w:rsidRPr="0002518C" w:rsidRDefault="003B3753" w:rsidP="009E7BBE">
      <w:pPr>
        <w:spacing w:line="360" w:lineRule="auto"/>
        <w:rPr>
          <w:rFonts w:ascii="Book Antiqua" w:hAnsi="Book Antiqua"/>
          <w:sz w:val="24"/>
          <w:szCs w:val="24"/>
        </w:rPr>
      </w:pPr>
      <w:r w:rsidRPr="00B96FD4">
        <w:rPr>
          <w:rFonts w:ascii="Book Antiqua" w:hAnsi="Book Antiqua"/>
          <w:b/>
          <w:sz w:val="24"/>
          <w:szCs w:val="24"/>
        </w:rPr>
        <w:t>Abstract</w:t>
      </w:r>
    </w:p>
    <w:p w:rsidR="003B3753" w:rsidRPr="0002518C" w:rsidRDefault="003B3753" w:rsidP="009E7BBE">
      <w:pPr>
        <w:spacing w:line="360" w:lineRule="auto"/>
        <w:rPr>
          <w:rFonts w:ascii="Book Antiqua" w:hAnsi="Book Antiqua"/>
          <w:sz w:val="24"/>
          <w:szCs w:val="24"/>
        </w:rPr>
      </w:pPr>
      <w:r w:rsidRPr="00B96FD4">
        <w:rPr>
          <w:rFonts w:ascii="Book Antiqua" w:hAnsi="Book Antiqua"/>
          <w:sz w:val="24"/>
          <w:szCs w:val="24"/>
        </w:rPr>
        <w:t xml:space="preserve">Because of the low prevalence of non-ampullary duodenal epithelial tumors (NADETs), standardized clinical management of sporadic superficial NADETs, including diagnosis, treatment, and follow-up, has not yet been established. Retrospective studies have revealed certain endoscopic findings suggestive of malignancy. Duodenal adenoma with high-grade dysplasia and mucosal cancer are candidates for local resection by endoscopic or minimally invasive surgery. The use of endoscopic treatment including endoscopic mucosal resection (EMR) and endoscopic submucosal dissection (ESD), for the treatment for superficial NADETs is increasing. EMR requires multiple sessions to achieve complete remission and repetitive endoscopy is needed after resection. ESD provides an excellent complete resection rate, however it remains a challenging method, considering the high risk of intraoperative or delayed perforation. Minimally invasive surgery such as wedge resection and pancreas-sparing duodenectomy are beneficial for superficial NADETs that are technically difficult to remove by endoscopic treatment. Pancreaticoduodenectomy remains a standard surgical procedure for treatment of duodenal cancer with submucosal invasion, which presents a risk of lymph node metastasis. Endoscopic or surgical treatment outcomes of superficial NADETs without submucosal invasion are satisfactory. Establishing an endoscopic diagnostic tool to differentiate superficial NADETs between adenoma and cancer as well as between mucosal and submucosal cancer is required to select the most appropriate treatment.   </w:t>
      </w:r>
    </w:p>
    <w:p w:rsidR="003B3753" w:rsidRDefault="003B3753" w:rsidP="00B96FD4">
      <w:pPr>
        <w:autoSpaceDE w:val="0"/>
        <w:autoSpaceDN w:val="0"/>
        <w:adjustRightInd w:val="0"/>
        <w:spacing w:after="240" w:line="360" w:lineRule="auto"/>
        <w:rPr>
          <w:rFonts w:ascii="Book Antiqua" w:hAnsi="Book Antiqua" w:cs="Tahoma"/>
          <w:kern w:val="0"/>
          <w:sz w:val="24"/>
          <w:szCs w:val="24"/>
        </w:rPr>
      </w:pPr>
    </w:p>
    <w:p w:rsidR="003B3753" w:rsidRDefault="003B3753" w:rsidP="00B96FD4">
      <w:pPr>
        <w:autoSpaceDE w:val="0"/>
        <w:autoSpaceDN w:val="0"/>
        <w:adjustRightInd w:val="0"/>
        <w:spacing w:after="240" w:line="360" w:lineRule="auto"/>
        <w:rPr>
          <w:rFonts w:ascii="Book Antiqua" w:hAnsi="Book Antiqua" w:cs="Times"/>
          <w:kern w:val="0"/>
          <w:sz w:val="24"/>
          <w:szCs w:val="24"/>
        </w:rPr>
      </w:pPr>
      <w:r w:rsidRPr="00B96FD4">
        <w:rPr>
          <w:rFonts w:ascii="Book Antiqua" w:hAnsi="Book Antiqua" w:cs="Tahoma"/>
          <w:kern w:val="0"/>
          <w:sz w:val="24"/>
          <w:szCs w:val="24"/>
        </w:rPr>
        <w:lastRenderedPageBreak/>
        <w:t>© 2014 Baishideng Publishing Group Inc. All rights</w:t>
      </w:r>
      <w:r w:rsidRPr="00B96FD4">
        <w:rPr>
          <w:rFonts w:ascii="Book Antiqua" w:hAnsi="Book Antiqua" w:cs="Times"/>
          <w:kern w:val="0"/>
          <w:sz w:val="24"/>
          <w:szCs w:val="24"/>
        </w:rPr>
        <w:t xml:space="preserve"> </w:t>
      </w:r>
      <w:r w:rsidRPr="00B96FD4">
        <w:rPr>
          <w:rFonts w:ascii="Book Antiqua" w:hAnsi="Book Antiqua" w:cs="Tahoma"/>
          <w:kern w:val="0"/>
          <w:sz w:val="24"/>
          <w:szCs w:val="24"/>
        </w:rPr>
        <w:t>reserved.</w:t>
      </w:r>
    </w:p>
    <w:p w:rsidR="003B3753" w:rsidRDefault="003B3753" w:rsidP="00B96FD4">
      <w:pPr>
        <w:autoSpaceDE w:val="0"/>
        <w:autoSpaceDN w:val="0"/>
        <w:adjustRightInd w:val="0"/>
        <w:spacing w:after="240" w:line="360" w:lineRule="auto"/>
        <w:rPr>
          <w:rFonts w:ascii="Book Antiqua" w:hAnsi="Book Antiqua"/>
          <w:sz w:val="24"/>
          <w:szCs w:val="24"/>
        </w:rPr>
      </w:pPr>
      <w:r w:rsidRPr="00B96FD4">
        <w:rPr>
          <w:rFonts w:ascii="Book Antiqua" w:hAnsi="Book Antiqua"/>
          <w:b/>
          <w:sz w:val="24"/>
          <w:szCs w:val="24"/>
        </w:rPr>
        <w:t>Key words</w:t>
      </w:r>
      <w:r w:rsidRPr="00B96FD4">
        <w:rPr>
          <w:rFonts w:ascii="Book Antiqua" w:hAnsi="Book Antiqua"/>
          <w:sz w:val="24"/>
          <w:szCs w:val="24"/>
        </w:rPr>
        <w:t>: Duodenal neoplasms; Duodenal cancer; Pancreaticoduodenectomy; Endoscopic surgery; Esophagogastroduodenoscopy</w:t>
      </w:r>
    </w:p>
    <w:p w:rsidR="003B3753" w:rsidRDefault="003B3753" w:rsidP="00B96FD4">
      <w:pPr>
        <w:widowControl/>
        <w:spacing w:line="360" w:lineRule="auto"/>
        <w:rPr>
          <w:rFonts w:ascii="Book Antiqua" w:hAnsi="Book Antiqua"/>
          <w:sz w:val="24"/>
          <w:szCs w:val="24"/>
        </w:rPr>
      </w:pPr>
      <w:r w:rsidRPr="00B96FD4">
        <w:rPr>
          <w:rFonts w:ascii="Book Antiqua" w:hAnsi="Book Antiqua"/>
          <w:b/>
          <w:sz w:val="24"/>
          <w:szCs w:val="24"/>
        </w:rPr>
        <w:t xml:space="preserve">Core tip: </w:t>
      </w:r>
      <w:r w:rsidRPr="00B96FD4">
        <w:rPr>
          <w:rFonts w:ascii="Book Antiqua" w:hAnsi="Book Antiqua"/>
          <w:sz w:val="24"/>
          <w:szCs w:val="24"/>
        </w:rPr>
        <w:t>Superficial non-ampullary duodenal epithelial tumors (NADETs) including adenoma and mucosal cancer are candidates for local resection regarding the nil risk of lymph node metastasis. Pancreaticoduodenectomy remains a standard surgical procedure for treatment of duodenal cancer with submucosal invasion. Preoperative diagnosis to differentiate superficial NADETs between adenoma and cancer as well as between mucosal and submucosal cancer is essential to select minimally invasive treatment such as endoscopic resection or minimally invasive surgery.</w:t>
      </w:r>
    </w:p>
    <w:p w:rsidR="003B3753" w:rsidRDefault="003B3753" w:rsidP="00B96FD4">
      <w:pPr>
        <w:widowControl/>
        <w:spacing w:line="360" w:lineRule="auto"/>
        <w:rPr>
          <w:rFonts w:ascii="Book Antiqua" w:hAnsi="Book Antiqua"/>
          <w:sz w:val="24"/>
          <w:szCs w:val="24"/>
        </w:rPr>
      </w:pPr>
    </w:p>
    <w:p w:rsidR="003B3753" w:rsidRPr="0002518C" w:rsidRDefault="003B3753" w:rsidP="009E7BBE">
      <w:pPr>
        <w:spacing w:line="360" w:lineRule="auto"/>
        <w:rPr>
          <w:rFonts w:ascii="Book Antiqua" w:hAnsi="Book Antiqua"/>
          <w:sz w:val="24"/>
          <w:szCs w:val="24"/>
        </w:rPr>
      </w:pPr>
    </w:p>
    <w:p w:rsidR="003B3753" w:rsidRPr="0002518C" w:rsidRDefault="003B3753" w:rsidP="009E7BBE">
      <w:pPr>
        <w:adjustRightInd w:val="0"/>
        <w:snapToGrid w:val="0"/>
        <w:spacing w:line="360" w:lineRule="auto"/>
        <w:ind w:rightChars="-506" w:right="-1063"/>
        <w:rPr>
          <w:rFonts w:ascii="Book Antiqua" w:hAnsi="Book Antiqua"/>
          <w:sz w:val="24"/>
        </w:rPr>
      </w:pPr>
      <w:r w:rsidRPr="00B96FD4">
        <w:rPr>
          <w:rFonts w:ascii="Book Antiqua" w:hAnsi="Book Antiqua"/>
          <w:sz w:val="24"/>
          <w:szCs w:val="24"/>
        </w:rPr>
        <w:t xml:space="preserve">Kakushima N, Kanemoto H, Tanaka M, Takizawa K, Ono H. Treatment for superficial non-ampullary duodenal epithelial tumors. </w:t>
      </w:r>
      <w:r w:rsidRPr="00B96FD4">
        <w:rPr>
          <w:rFonts w:ascii="Book Antiqua" w:hAnsi="Book Antiqua"/>
          <w:i/>
          <w:sz w:val="24"/>
        </w:rPr>
        <w:t>World J Gastroenterol</w:t>
      </w:r>
      <w:r w:rsidRPr="00B96FD4">
        <w:rPr>
          <w:rFonts w:ascii="Book Antiqua" w:hAnsi="Book Antiqua"/>
          <w:sz w:val="24"/>
        </w:rPr>
        <w:t xml:space="preserve"> 2014; In press </w:t>
      </w:r>
    </w:p>
    <w:p w:rsidR="003B3753" w:rsidRPr="0002518C" w:rsidRDefault="003B3753" w:rsidP="009E7BBE">
      <w:pPr>
        <w:spacing w:line="360" w:lineRule="auto"/>
        <w:rPr>
          <w:rFonts w:ascii="Book Antiqua" w:hAnsi="Book Antiqua"/>
          <w:sz w:val="24"/>
          <w:szCs w:val="24"/>
        </w:rPr>
      </w:pPr>
    </w:p>
    <w:p w:rsidR="003B3753" w:rsidRPr="0002518C" w:rsidRDefault="003B3753" w:rsidP="009E7BBE">
      <w:pPr>
        <w:spacing w:line="360" w:lineRule="auto"/>
        <w:rPr>
          <w:rFonts w:ascii="Book Antiqua" w:hAnsi="Book Antiqua"/>
          <w:sz w:val="24"/>
          <w:szCs w:val="24"/>
        </w:rPr>
      </w:pPr>
    </w:p>
    <w:p w:rsidR="003B3753" w:rsidRDefault="003B3753" w:rsidP="00B96FD4">
      <w:pPr>
        <w:widowControl/>
        <w:spacing w:line="360" w:lineRule="auto"/>
        <w:rPr>
          <w:rFonts w:ascii="Book Antiqua" w:hAnsi="Book Antiqua"/>
          <w:b/>
          <w:sz w:val="24"/>
          <w:szCs w:val="24"/>
        </w:rPr>
      </w:pPr>
      <w:r w:rsidRPr="001D30AC">
        <w:rPr>
          <w:rFonts w:ascii="Book Antiqua" w:hAnsi="Book Antiqua"/>
          <w:b/>
          <w:sz w:val="24"/>
          <w:szCs w:val="24"/>
        </w:rPr>
        <w:br w:type="page"/>
      </w:r>
    </w:p>
    <w:p w:rsidR="003B3753" w:rsidRPr="0002518C" w:rsidRDefault="003B3753" w:rsidP="009E7BBE">
      <w:pPr>
        <w:spacing w:line="360" w:lineRule="auto"/>
        <w:rPr>
          <w:rFonts w:ascii="Book Antiqua" w:hAnsi="Book Antiqua"/>
          <w:b/>
          <w:sz w:val="24"/>
          <w:szCs w:val="24"/>
        </w:rPr>
      </w:pPr>
      <w:r w:rsidRPr="00B96FD4">
        <w:rPr>
          <w:rFonts w:ascii="Book Antiqua" w:hAnsi="Book Antiqua"/>
          <w:b/>
          <w:sz w:val="24"/>
          <w:szCs w:val="24"/>
        </w:rPr>
        <w:t>INTRODUCTION</w:t>
      </w:r>
    </w:p>
    <w:p w:rsidR="003B3753" w:rsidRPr="0002518C" w:rsidRDefault="003B3753" w:rsidP="009E7BBE">
      <w:pPr>
        <w:spacing w:line="360" w:lineRule="auto"/>
        <w:rPr>
          <w:rFonts w:ascii="Book Antiqua" w:hAnsi="Book Antiqua"/>
          <w:kern w:val="0"/>
          <w:sz w:val="24"/>
          <w:szCs w:val="24"/>
        </w:rPr>
      </w:pPr>
      <w:r w:rsidRPr="00B96FD4">
        <w:rPr>
          <w:rFonts w:ascii="Book Antiqua" w:hAnsi="Book Antiqua"/>
          <w:sz w:val="24"/>
          <w:szCs w:val="24"/>
        </w:rPr>
        <w:t>The</w:t>
      </w:r>
      <w:r w:rsidRPr="00B96FD4">
        <w:rPr>
          <w:rFonts w:ascii="Book Antiqua" w:hAnsi="Book Antiqua"/>
          <w:kern w:val="0"/>
          <w:sz w:val="24"/>
          <w:szCs w:val="24"/>
        </w:rPr>
        <w:t xml:space="preserve"> prevalence of non-ampullary primary duodenal tumors is extremely low among autopsy studies (0.02%</w:t>
      </w:r>
      <w:r w:rsidRPr="001D30AC">
        <w:rPr>
          <w:rFonts w:ascii="Book Antiqua" w:hAnsi="Book Antiqua"/>
          <w:kern w:val="0"/>
          <w:sz w:val="24"/>
          <w:szCs w:val="24"/>
        </w:rPr>
        <w:t>–</w:t>
      </w:r>
      <w:r w:rsidRPr="00B96FD4">
        <w:rPr>
          <w:rFonts w:ascii="Book Antiqua" w:hAnsi="Book Antiqua"/>
          <w:kern w:val="0"/>
          <w:sz w:val="24"/>
          <w:szCs w:val="24"/>
        </w:rPr>
        <w:t>0.5%)</w:t>
      </w:r>
      <w:r w:rsidRPr="00B96FD4">
        <w:rPr>
          <w:rFonts w:ascii="Book Antiqua" w:hAnsi="Book Antiqua"/>
          <w:kern w:val="0"/>
          <w:sz w:val="24"/>
          <w:szCs w:val="24"/>
          <w:vertAlign w:val="superscript"/>
        </w:rPr>
        <w:t>[1-4]</w:t>
      </w:r>
      <w:r w:rsidRPr="00B96FD4">
        <w:rPr>
          <w:rFonts w:ascii="Book Antiqua" w:hAnsi="Book Antiqua"/>
          <w:kern w:val="0"/>
          <w:sz w:val="24"/>
          <w:szCs w:val="24"/>
        </w:rPr>
        <w:t>. Benign tumors are generally predominant, comprising 60%</w:t>
      </w:r>
      <w:r w:rsidRPr="001D30AC">
        <w:rPr>
          <w:rFonts w:ascii="Book Antiqua" w:hAnsi="Book Antiqua"/>
          <w:kern w:val="0"/>
          <w:sz w:val="24"/>
          <w:szCs w:val="24"/>
        </w:rPr>
        <w:t>–</w:t>
      </w:r>
      <w:r w:rsidRPr="00B96FD4">
        <w:rPr>
          <w:rFonts w:ascii="Book Antiqua" w:hAnsi="Book Antiqua"/>
          <w:kern w:val="0"/>
          <w:sz w:val="24"/>
          <w:szCs w:val="24"/>
        </w:rPr>
        <w:t>75% of autopsy series</w:t>
      </w:r>
      <w:r w:rsidRPr="00B96FD4">
        <w:rPr>
          <w:rFonts w:ascii="Book Antiqua" w:hAnsi="Book Antiqua"/>
          <w:kern w:val="0"/>
          <w:sz w:val="24"/>
          <w:szCs w:val="24"/>
          <w:vertAlign w:val="superscript"/>
        </w:rPr>
        <w:t>[5]</w:t>
      </w:r>
      <w:r w:rsidRPr="00B96FD4">
        <w:rPr>
          <w:rFonts w:ascii="Book Antiqua" w:hAnsi="Book Antiqua"/>
          <w:kern w:val="0"/>
          <w:sz w:val="24"/>
          <w:szCs w:val="24"/>
        </w:rPr>
        <w:t>, and 90% of duodenal polyps identified by endoscopic biopsy</w:t>
      </w:r>
      <w:r w:rsidRPr="00B96FD4">
        <w:rPr>
          <w:rFonts w:ascii="Book Antiqua" w:hAnsi="Book Antiqua"/>
          <w:kern w:val="0"/>
          <w:sz w:val="24"/>
          <w:szCs w:val="24"/>
          <w:vertAlign w:val="superscript"/>
        </w:rPr>
        <w:t>[6]</w:t>
      </w:r>
      <w:r w:rsidRPr="00B96FD4">
        <w:rPr>
          <w:rFonts w:ascii="Book Antiqua" w:hAnsi="Book Antiqua"/>
          <w:kern w:val="0"/>
          <w:sz w:val="24"/>
          <w:szCs w:val="24"/>
        </w:rPr>
        <w:t>,</w:t>
      </w:r>
      <w:r w:rsidRPr="0002518C">
        <w:rPr>
          <w:rFonts w:ascii="Book Antiqua" w:hAnsi="Book Antiqua"/>
          <w:kern w:val="0"/>
          <w:sz w:val="24"/>
          <w:szCs w:val="24"/>
        </w:rPr>
        <w:t xml:space="preserve"> but they frequently do not produce symptoms. Primary non-ampullary duodenal cancer (NADC) accounts for only 0.5% of all gastrointestinal malignancies</w:t>
      </w:r>
      <w:r w:rsidRPr="00B96FD4">
        <w:rPr>
          <w:rFonts w:ascii="Book Antiqua" w:hAnsi="Book Antiqua"/>
          <w:kern w:val="0"/>
          <w:sz w:val="24"/>
          <w:szCs w:val="24"/>
          <w:vertAlign w:val="superscript"/>
        </w:rPr>
        <w:t>[7]</w:t>
      </w:r>
      <w:r w:rsidRPr="0002518C">
        <w:rPr>
          <w:rFonts w:ascii="Book Antiqua" w:hAnsi="Book Antiqua"/>
          <w:kern w:val="0"/>
          <w:sz w:val="24"/>
          <w:szCs w:val="24"/>
        </w:rPr>
        <w:t xml:space="preserve">. </w:t>
      </w:r>
      <w:r w:rsidRPr="0002518C">
        <w:rPr>
          <w:rFonts w:ascii="Book Antiqua" w:hAnsi="Book Antiqua"/>
          <w:sz w:val="24"/>
          <w:szCs w:val="24"/>
        </w:rPr>
        <w:t>A Japanese study reported that the incidence of non-ampullary duodenal epithelial tumors (NADETs) among patients who underwent screening or diagnostic esophagogastroduodenoscopy (EGD) over a 21-year period was 0.098% (52/53134)</w:t>
      </w:r>
      <w:r w:rsidRPr="00B96FD4">
        <w:rPr>
          <w:rFonts w:ascii="Book Antiqua" w:hAnsi="Book Antiqua"/>
          <w:sz w:val="24"/>
          <w:szCs w:val="24"/>
          <w:vertAlign w:val="superscript"/>
        </w:rPr>
        <w:t>[8]</w:t>
      </w:r>
      <w:r w:rsidRPr="0002518C">
        <w:rPr>
          <w:rFonts w:ascii="Book Antiqua" w:hAnsi="Book Antiqua"/>
          <w:sz w:val="24"/>
          <w:szCs w:val="24"/>
        </w:rPr>
        <w:t>. A European study reported that the incidence of duodenal villous adenoma was 0.1</w:t>
      </w:r>
      <w:r w:rsidRPr="0002518C">
        <w:rPr>
          <w:rFonts w:ascii="Book Antiqua" w:hAnsi="Book Antiqua"/>
          <w:kern w:val="0"/>
          <w:sz w:val="24"/>
          <w:szCs w:val="24"/>
        </w:rPr>
        <w:t>–0.4</w:t>
      </w:r>
      <w:r w:rsidRPr="0002518C">
        <w:rPr>
          <w:rFonts w:ascii="Book Antiqua" w:hAnsi="Book Antiqua"/>
          <w:sz w:val="24"/>
          <w:szCs w:val="24"/>
        </w:rPr>
        <w:t xml:space="preserve">% </w:t>
      </w:r>
      <w:r w:rsidRPr="00B96FD4">
        <w:rPr>
          <w:rFonts w:ascii="Book Antiqua" w:hAnsi="Book Antiqua"/>
          <w:sz w:val="24"/>
          <w:szCs w:val="24"/>
          <w:vertAlign w:val="superscript"/>
        </w:rPr>
        <w:t>[9,10]</w:t>
      </w:r>
      <w:r w:rsidRPr="0002518C">
        <w:rPr>
          <w:rFonts w:ascii="Book Antiqua" w:hAnsi="Book Antiqua"/>
          <w:sz w:val="24"/>
          <w:szCs w:val="24"/>
        </w:rPr>
        <w:t xml:space="preserve"> among patients who underwent </w:t>
      </w:r>
      <w:r w:rsidRPr="00B96FD4">
        <w:rPr>
          <w:rFonts w:ascii="Book Antiqua" w:hAnsi="Book Antiqua"/>
          <w:sz w:val="24"/>
          <w:szCs w:val="24"/>
        </w:rPr>
        <w:t>diagnostic or screening EGD</w:t>
      </w:r>
      <w:r w:rsidRPr="0002518C">
        <w:rPr>
          <w:rFonts w:ascii="Book Antiqua" w:hAnsi="Book Antiqua"/>
          <w:sz w:val="24"/>
          <w:szCs w:val="24"/>
        </w:rPr>
        <w:t xml:space="preserve">. </w:t>
      </w:r>
    </w:p>
    <w:p w:rsidR="003B3753" w:rsidRPr="0002518C" w:rsidRDefault="003B3753" w:rsidP="00CA413A">
      <w:pPr>
        <w:spacing w:line="360" w:lineRule="auto"/>
        <w:ind w:firstLineChars="100" w:firstLine="240"/>
        <w:rPr>
          <w:rFonts w:ascii="Book Antiqua" w:hAnsi="Book Antiqua"/>
          <w:sz w:val="24"/>
          <w:szCs w:val="24"/>
        </w:rPr>
      </w:pPr>
      <w:r w:rsidRPr="0002518C">
        <w:rPr>
          <w:rFonts w:ascii="Book Antiqua" w:hAnsi="Book Antiqua"/>
          <w:sz w:val="24"/>
          <w:szCs w:val="24"/>
        </w:rPr>
        <w:t xml:space="preserve">The number of case studies related to the treatment of sporadic superficial NADETs has recently increased, possibly because of the use of EGD during regular medical check-ups and the standardized method of imaging the second portion of the duodenum during EGD. However, information regarding the biological behavior, treatment indication, and prognosis of NADETs is still lacking. In this review, the present status regarding the clinical management of sporadic superficial NADETs will be discussed. </w:t>
      </w:r>
    </w:p>
    <w:p w:rsidR="003B3753" w:rsidRPr="0002518C" w:rsidRDefault="003B3753" w:rsidP="009E7BBE">
      <w:pPr>
        <w:spacing w:line="360" w:lineRule="auto"/>
        <w:rPr>
          <w:rFonts w:ascii="Book Antiqua" w:hAnsi="Book Antiqua"/>
          <w:sz w:val="24"/>
          <w:szCs w:val="24"/>
        </w:rPr>
      </w:pPr>
    </w:p>
    <w:p w:rsidR="003B3753" w:rsidRPr="00B96FD4" w:rsidRDefault="003B3753" w:rsidP="009E7BBE">
      <w:pPr>
        <w:spacing w:line="360" w:lineRule="auto"/>
        <w:rPr>
          <w:rFonts w:ascii="Book Antiqua" w:hAnsi="Book Antiqua"/>
          <w:b/>
          <w:sz w:val="24"/>
          <w:szCs w:val="24"/>
        </w:rPr>
      </w:pPr>
      <w:r w:rsidRPr="00B96FD4">
        <w:rPr>
          <w:rFonts w:ascii="Book Antiqua" w:hAnsi="Book Antiqua"/>
          <w:b/>
          <w:sz w:val="24"/>
          <w:szCs w:val="24"/>
        </w:rPr>
        <w:t>MORPHOLOGY OF NADET</w:t>
      </w:r>
      <w:r w:rsidRPr="00CA413A">
        <w:rPr>
          <w:rFonts w:ascii="Book Antiqua" w:hAnsi="Book Antiqua"/>
          <w:b/>
          <w:sz w:val="24"/>
          <w:szCs w:val="24"/>
        </w:rPr>
        <w:t>s</w:t>
      </w:r>
      <w:bookmarkStart w:id="4" w:name="_GoBack"/>
      <w:bookmarkEnd w:id="4"/>
    </w:p>
    <w:p w:rsidR="003B3753" w:rsidRDefault="003B3753" w:rsidP="009E7BBE">
      <w:pPr>
        <w:spacing w:line="360" w:lineRule="auto"/>
        <w:rPr>
          <w:rFonts w:ascii="Book Antiqua" w:hAnsi="Book Antiqua"/>
          <w:sz w:val="24"/>
          <w:szCs w:val="24"/>
        </w:rPr>
      </w:pPr>
      <w:r w:rsidRPr="0002518C">
        <w:rPr>
          <w:rFonts w:ascii="Book Antiqua" w:hAnsi="Book Antiqua"/>
          <w:sz w:val="24"/>
          <w:szCs w:val="24"/>
        </w:rPr>
        <w:t xml:space="preserve">The morphology of superficial NADETs is similar to that of epithelial tumors of the colorectum; protruding or elevated lesion types predominate. Therefore, </w:t>
      </w:r>
      <w:r w:rsidRPr="0002518C">
        <w:rPr>
          <w:rFonts w:ascii="Book Antiqua" w:hAnsi="Book Antiqua"/>
          <w:sz w:val="24"/>
          <w:szCs w:val="24"/>
        </w:rPr>
        <w:lastRenderedPageBreak/>
        <w:t>several previous studies have classified the morphological type of superficial NADETs based on the classification criteria used for colorectal tumors</w:t>
      </w:r>
      <w:r w:rsidRPr="00B96FD4">
        <w:rPr>
          <w:rFonts w:ascii="Book Antiqua" w:hAnsi="Book Antiqua"/>
          <w:sz w:val="24"/>
          <w:szCs w:val="24"/>
          <w:vertAlign w:val="superscript"/>
        </w:rPr>
        <w:t>[11-13]</w:t>
      </w:r>
      <w:r w:rsidRPr="0002518C">
        <w:rPr>
          <w:rFonts w:ascii="Book Antiqua" w:hAnsi="Book Antiqua"/>
          <w:sz w:val="24"/>
          <w:szCs w:val="24"/>
        </w:rPr>
        <w:t>. Macroscopic types based on endoscopic features include protruded pedunculated (Ip), protruded sessile (Is), semipedunculated type (Isp), superficial elevated type (IIa), flat type (IIb), and superficial shallow or depressed type (IIc)</w:t>
      </w:r>
      <w:r w:rsidRPr="00B96FD4">
        <w:rPr>
          <w:rFonts w:ascii="Book Antiqua" w:hAnsi="Book Antiqua"/>
          <w:sz w:val="24"/>
          <w:szCs w:val="24"/>
          <w:vertAlign w:val="superscript"/>
        </w:rPr>
        <w:t>[14]</w:t>
      </w:r>
      <w:r w:rsidRPr="0002518C">
        <w:rPr>
          <w:rFonts w:ascii="Book Antiqua" w:hAnsi="Book Antiqua"/>
          <w:sz w:val="24"/>
          <w:szCs w:val="24"/>
        </w:rPr>
        <w:t xml:space="preserve">. </w:t>
      </w:r>
    </w:p>
    <w:p w:rsidR="003B3753" w:rsidRPr="0002518C" w:rsidRDefault="003B3753" w:rsidP="009E7BBE">
      <w:pPr>
        <w:spacing w:line="360" w:lineRule="auto"/>
        <w:rPr>
          <w:rFonts w:ascii="Book Antiqua" w:hAnsi="Book Antiqua"/>
          <w:sz w:val="24"/>
          <w:szCs w:val="24"/>
        </w:rPr>
      </w:pPr>
    </w:p>
    <w:p w:rsidR="003B3753" w:rsidRPr="00B96FD4" w:rsidRDefault="003B3753" w:rsidP="009E7BBE">
      <w:pPr>
        <w:spacing w:line="360" w:lineRule="auto"/>
        <w:rPr>
          <w:rFonts w:ascii="Book Antiqua" w:hAnsi="Book Antiqua"/>
          <w:b/>
          <w:sz w:val="24"/>
          <w:szCs w:val="24"/>
        </w:rPr>
      </w:pPr>
      <w:r w:rsidRPr="00B96FD4">
        <w:rPr>
          <w:rFonts w:ascii="Book Antiqua" w:hAnsi="Book Antiqua"/>
          <w:b/>
          <w:sz w:val="24"/>
          <w:szCs w:val="24"/>
        </w:rPr>
        <w:t>LOCATION OF NADETs</w:t>
      </w:r>
    </w:p>
    <w:p w:rsidR="003B3753" w:rsidRPr="0002518C" w:rsidRDefault="003B3753" w:rsidP="009E7BBE">
      <w:pPr>
        <w:spacing w:line="360" w:lineRule="auto"/>
        <w:rPr>
          <w:rFonts w:ascii="Book Antiqua" w:hAnsi="Book Antiqua"/>
          <w:sz w:val="24"/>
          <w:szCs w:val="24"/>
        </w:rPr>
      </w:pPr>
      <w:r w:rsidRPr="00B96FD4">
        <w:rPr>
          <w:rFonts w:ascii="Book Antiqua" w:hAnsi="Book Antiqua"/>
          <w:sz w:val="24"/>
          <w:szCs w:val="24"/>
        </w:rPr>
        <w:t>Both benign adenoma and cancer arise most frequently in the second portion of the duodenum, especially the periampullary area</w:t>
      </w:r>
      <w:r w:rsidRPr="00B96FD4">
        <w:rPr>
          <w:rFonts w:ascii="Book Antiqua" w:hAnsi="Book Antiqua"/>
          <w:sz w:val="24"/>
          <w:szCs w:val="24"/>
          <w:vertAlign w:val="superscript"/>
        </w:rPr>
        <w:t>[15-17]</w:t>
      </w:r>
      <w:r w:rsidRPr="00B96FD4">
        <w:rPr>
          <w:rFonts w:ascii="Book Antiqua" w:hAnsi="Book Antiqua"/>
          <w:sz w:val="24"/>
          <w:szCs w:val="24"/>
        </w:rPr>
        <w:t>.</w:t>
      </w:r>
      <w:r w:rsidRPr="0002518C">
        <w:rPr>
          <w:rFonts w:ascii="Book Antiqua" w:hAnsi="Book Antiqua"/>
          <w:sz w:val="24"/>
          <w:szCs w:val="24"/>
        </w:rPr>
        <w:t xml:space="preserve"> </w:t>
      </w:r>
      <w:r w:rsidRPr="00B96FD4">
        <w:rPr>
          <w:rFonts w:ascii="Book Antiqua" w:hAnsi="Book Antiqua"/>
          <w:sz w:val="24"/>
          <w:szCs w:val="24"/>
        </w:rPr>
        <w:t>Almost 90% of endoscopically treated lesions are reportedly located in the first or second portion of the duodenum</w:t>
      </w:r>
      <w:r w:rsidRPr="00B96FD4">
        <w:rPr>
          <w:rFonts w:ascii="Book Antiqua" w:hAnsi="Book Antiqua"/>
          <w:sz w:val="24"/>
          <w:szCs w:val="24"/>
          <w:vertAlign w:val="superscript"/>
        </w:rPr>
        <w:t>[11,12]</w:t>
      </w:r>
      <w:r w:rsidRPr="00B96FD4">
        <w:rPr>
          <w:rFonts w:ascii="Book Antiqua" w:hAnsi="Book Antiqua"/>
          <w:sz w:val="24"/>
          <w:szCs w:val="24"/>
        </w:rPr>
        <w:t>. However, an accurate prognosis according to the location remains unknown for superficial NADETs, although tumors in the first or second portion are reportedly favorable factors for surgically treatable duodenal cancer</w:t>
      </w:r>
      <w:r w:rsidRPr="00B96FD4">
        <w:rPr>
          <w:rFonts w:ascii="Book Antiqua" w:hAnsi="Book Antiqua"/>
          <w:sz w:val="24"/>
          <w:szCs w:val="24"/>
          <w:vertAlign w:val="superscript"/>
        </w:rPr>
        <w:t>[18]</w:t>
      </w:r>
      <w:r w:rsidRPr="00B96FD4">
        <w:rPr>
          <w:rFonts w:ascii="Book Antiqua" w:hAnsi="Book Antiqua"/>
          <w:sz w:val="24"/>
          <w:szCs w:val="24"/>
        </w:rPr>
        <w:t>.</w:t>
      </w:r>
    </w:p>
    <w:p w:rsidR="003B3753" w:rsidRPr="0002518C" w:rsidRDefault="003B3753" w:rsidP="009E7BBE">
      <w:pPr>
        <w:spacing w:line="360" w:lineRule="auto"/>
        <w:rPr>
          <w:rFonts w:ascii="Book Antiqua" w:hAnsi="Book Antiqua"/>
          <w:sz w:val="24"/>
          <w:szCs w:val="24"/>
        </w:rPr>
      </w:pPr>
    </w:p>
    <w:p w:rsidR="003B3753" w:rsidRPr="00B96FD4" w:rsidRDefault="003B3753" w:rsidP="009E7BBE">
      <w:pPr>
        <w:spacing w:line="360" w:lineRule="auto"/>
        <w:rPr>
          <w:rFonts w:ascii="Book Antiqua" w:hAnsi="Book Antiqua"/>
          <w:b/>
          <w:sz w:val="24"/>
          <w:szCs w:val="24"/>
        </w:rPr>
      </w:pPr>
      <w:r w:rsidRPr="00B96FD4">
        <w:rPr>
          <w:rFonts w:ascii="Book Antiqua" w:hAnsi="Book Antiqua"/>
          <w:b/>
          <w:sz w:val="24"/>
          <w:szCs w:val="24"/>
        </w:rPr>
        <w:t>DEFINITION OF EARLY NADC</w:t>
      </w:r>
    </w:p>
    <w:p w:rsidR="003B3753" w:rsidRPr="0002518C" w:rsidRDefault="003B3753" w:rsidP="009E7BBE">
      <w:pPr>
        <w:spacing w:line="360" w:lineRule="auto"/>
        <w:rPr>
          <w:rFonts w:ascii="Book Antiqua" w:hAnsi="Book Antiqua"/>
          <w:sz w:val="24"/>
          <w:szCs w:val="24"/>
        </w:rPr>
      </w:pPr>
      <w:r w:rsidRPr="0002518C">
        <w:rPr>
          <w:rFonts w:ascii="Book Antiqua" w:hAnsi="Book Antiqua"/>
          <w:sz w:val="24"/>
          <w:szCs w:val="24"/>
        </w:rPr>
        <w:t>There is no established definition of early NADC with respect to the depth of invasion and risk of lymph node metastasis. However, previous studies have followed the rules used for early colorectal</w:t>
      </w:r>
      <w:r w:rsidRPr="00B96FD4">
        <w:rPr>
          <w:rFonts w:ascii="Book Antiqua" w:hAnsi="Book Antiqua"/>
          <w:sz w:val="24"/>
          <w:szCs w:val="24"/>
          <w:vertAlign w:val="superscript"/>
        </w:rPr>
        <w:t>[14]</w:t>
      </w:r>
      <w:r w:rsidRPr="0002518C">
        <w:rPr>
          <w:rFonts w:ascii="Book Antiqua" w:hAnsi="Book Antiqua"/>
          <w:sz w:val="24"/>
          <w:szCs w:val="24"/>
        </w:rPr>
        <w:t xml:space="preserve"> or gastric cancer</w:t>
      </w:r>
      <w:r w:rsidRPr="00B96FD4">
        <w:rPr>
          <w:rFonts w:ascii="Book Antiqua" w:hAnsi="Book Antiqua"/>
          <w:sz w:val="24"/>
          <w:szCs w:val="24"/>
          <w:vertAlign w:val="superscript"/>
        </w:rPr>
        <w:t>[19]</w:t>
      </w:r>
      <w:r w:rsidRPr="0002518C">
        <w:rPr>
          <w:rFonts w:ascii="Book Antiqua" w:hAnsi="Book Antiqua"/>
          <w:sz w:val="24"/>
          <w:szCs w:val="24"/>
        </w:rPr>
        <w:t>, i.e., tumor invasion to the lamina propria or muscularis mucosa (T1a) or the submucosa (T1b) regardless of lymph node metastasis</w:t>
      </w:r>
      <w:r w:rsidRPr="00B96FD4">
        <w:rPr>
          <w:rFonts w:ascii="Book Antiqua" w:hAnsi="Book Antiqua"/>
          <w:sz w:val="24"/>
          <w:szCs w:val="24"/>
          <w:vertAlign w:val="superscript"/>
        </w:rPr>
        <w:t>[11,12,20]</w:t>
      </w:r>
      <w:r w:rsidRPr="0002518C">
        <w:rPr>
          <w:rFonts w:ascii="Book Antiqua" w:hAnsi="Book Antiqua"/>
          <w:sz w:val="24"/>
          <w:szCs w:val="24"/>
        </w:rPr>
        <w:t xml:space="preserve">. Based on a Japanese analysis of early NADCs that included pT1a or pT1b cancer, Nagatani </w:t>
      </w:r>
      <w:r w:rsidRPr="00B96FD4">
        <w:rPr>
          <w:rFonts w:ascii="Book Antiqua" w:hAnsi="Book Antiqua"/>
          <w:i/>
          <w:sz w:val="24"/>
          <w:szCs w:val="24"/>
        </w:rPr>
        <w:t>et al</w:t>
      </w:r>
      <w:r w:rsidRPr="0002518C">
        <w:rPr>
          <w:rFonts w:ascii="Book Antiqua" w:hAnsi="Book Antiqua"/>
          <w:sz w:val="24"/>
          <w:szCs w:val="24"/>
          <w:vertAlign w:val="superscript"/>
        </w:rPr>
        <w:t>[11]</w:t>
      </w:r>
      <w:r w:rsidRPr="0002518C">
        <w:rPr>
          <w:rFonts w:ascii="Book Antiqua" w:hAnsi="Book Antiqua"/>
          <w:sz w:val="24"/>
          <w:szCs w:val="24"/>
        </w:rPr>
        <w:t xml:space="preserve"> reported no incidence of lymph node metastasis among 40 cases of pT1a cancers, and </w:t>
      </w:r>
      <w:r w:rsidRPr="0002518C">
        <w:rPr>
          <w:rFonts w:ascii="Book Antiqua" w:hAnsi="Book Antiqua"/>
          <w:sz w:val="24"/>
          <w:szCs w:val="24"/>
        </w:rPr>
        <w:lastRenderedPageBreak/>
        <w:t xml:space="preserve">Fujisawa </w:t>
      </w:r>
      <w:r w:rsidRPr="00B96FD4">
        <w:rPr>
          <w:rFonts w:ascii="Book Antiqua" w:hAnsi="Book Antiqua"/>
          <w:i/>
          <w:sz w:val="24"/>
          <w:szCs w:val="24"/>
        </w:rPr>
        <w:t>et al</w:t>
      </w:r>
      <w:r w:rsidRPr="0002518C">
        <w:rPr>
          <w:rFonts w:ascii="Book Antiqua" w:hAnsi="Book Antiqua"/>
          <w:sz w:val="24"/>
          <w:szCs w:val="24"/>
          <w:vertAlign w:val="superscript"/>
        </w:rPr>
        <w:t>[12]</w:t>
      </w:r>
      <w:r w:rsidRPr="0002518C">
        <w:rPr>
          <w:rFonts w:ascii="Book Antiqua" w:hAnsi="Book Antiqua"/>
          <w:sz w:val="24"/>
          <w:szCs w:val="24"/>
        </w:rPr>
        <w:t xml:space="preserve"> reported none among 166 cases of mucosal cancers. The incidence of lymph node metastasis among pT1b cancer is reported to range from 5.3% (2/37) to 5.4% (4/75)</w:t>
      </w:r>
      <w:r w:rsidRPr="00B96FD4">
        <w:rPr>
          <w:rFonts w:ascii="Book Antiqua" w:hAnsi="Book Antiqua"/>
          <w:sz w:val="24"/>
          <w:szCs w:val="24"/>
          <w:vertAlign w:val="superscript"/>
        </w:rPr>
        <w:t>[11,12]</w:t>
      </w:r>
      <w:r w:rsidRPr="0002518C">
        <w:rPr>
          <w:rFonts w:ascii="Book Antiqua" w:hAnsi="Book Antiqua"/>
          <w:sz w:val="24"/>
          <w:szCs w:val="24"/>
        </w:rPr>
        <w:t xml:space="preserve">. The depth of pT1b cancer invasion has not been described in these reported cases; therefore, at present, pT1b NADC should be considered at risk of lymph node metastasis regardless of the depth of submucosal invasion. </w:t>
      </w:r>
    </w:p>
    <w:p w:rsidR="003B3753" w:rsidRPr="0002518C" w:rsidRDefault="003B3753" w:rsidP="009E7BBE">
      <w:pPr>
        <w:spacing w:line="360" w:lineRule="auto"/>
        <w:rPr>
          <w:rFonts w:ascii="Book Antiqua" w:hAnsi="Book Antiqua"/>
          <w:sz w:val="24"/>
          <w:szCs w:val="24"/>
        </w:rPr>
      </w:pPr>
    </w:p>
    <w:p w:rsidR="003B3753" w:rsidRPr="00B96FD4" w:rsidRDefault="003B3753" w:rsidP="009E7BBE">
      <w:pPr>
        <w:spacing w:line="360" w:lineRule="auto"/>
        <w:rPr>
          <w:rFonts w:ascii="Book Antiqua" w:hAnsi="Book Antiqua"/>
          <w:b/>
          <w:sz w:val="24"/>
          <w:szCs w:val="24"/>
        </w:rPr>
      </w:pPr>
      <w:r w:rsidRPr="00B96FD4">
        <w:rPr>
          <w:rFonts w:ascii="Book Antiqua" w:hAnsi="Book Antiqua"/>
          <w:b/>
          <w:sz w:val="24"/>
          <w:szCs w:val="24"/>
        </w:rPr>
        <w:t>TREATMENT STRATEGY FOR SUPERFICIAL NADETs</w:t>
      </w:r>
    </w:p>
    <w:p w:rsidR="003B3753" w:rsidRPr="00B96FD4" w:rsidRDefault="003B3753" w:rsidP="009E7BBE">
      <w:pPr>
        <w:spacing w:line="360" w:lineRule="auto"/>
        <w:rPr>
          <w:rFonts w:ascii="Book Antiqua" w:hAnsi="Book Antiqua"/>
          <w:b/>
          <w:i/>
          <w:sz w:val="24"/>
          <w:szCs w:val="24"/>
        </w:rPr>
      </w:pPr>
      <w:r w:rsidRPr="00B96FD4">
        <w:rPr>
          <w:rFonts w:ascii="Book Antiqua" w:hAnsi="Book Antiqua"/>
          <w:b/>
          <w:i/>
          <w:sz w:val="24"/>
          <w:szCs w:val="24"/>
        </w:rPr>
        <w:t>Types of NADETs to be treated</w:t>
      </w:r>
    </w:p>
    <w:p w:rsidR="003B3753" w:rsidRDefault="003B3753" w:rsidP="00B96FD4">
      <w:pPr>
        <w:spacing w:line="360" w:lineRule="auto"/>
        <w:rPr>
          <w:rFonts w:ascii="Book Antiqua" w:hAnsi="Book Antiqua"/>
          <w:sz w:val="24"/>
          <w:szCs w:val="24"/>
        </w:rPr>
      </w:pPr>
      <w:r w:rsidRPr="0002518C">
        <w:rPr>
          <w:rFonts w:ascii="Book Antiqua" w:hAnsi="Book Antiqua"/>
          <w:sz w:val="24"/>
          <w:szCs w:val="24"/>
        </w:rPr>
        <w:t>It is important to determine the type of sporadic superficial NADETs that should be removed to lower the risk of those that have a substantial possibility to progress to invasive cancer and to avoid overtreatment of those with less malignant potential</w:t>
      </w:r>
      <w:r w:rsidRPr="00B96FD4">
        <w:rPr>
          <w:rFonts w:ascii="Book Antiqua" w:hAnsi="Book Antiqua"/>
          <w:sz w:val="24"/>
          <w:szCs w:val="24"/>
          <w:vertAlign w:val="superscript"/>
        </w:rPr>
        <w:t>[22]</w:t>
      </w:r>
      <w:r w:rsidRPr="0002518C">
        <w:rPr>
          <w:rFonts w:ascii="Book Antiqua" w:hAnsi="Book Antiqua"/>
          <w:sz w:val="24"/>
          <w:szCs w:val="24"/>
        </w:rPr>
        <w:t>. Small bowel adenomas, including duodenal adenomas, are reported to have a higher percentage of villous tumors than colorectal adenomas</w:t>
      </w:r>
      <w:r w:rsidRPr="0002518C">
        <w:rPr>
          <w:rFonts w:ascii="Book Antiqua" w:hAnsi="Book Antiqua"/>
          <w:sz w:val="24"/>
          <w:szCs w:val="24"/>
          <w:vertAlign w:val="superscript"/>
        </w:rPr>
        <w:t>[5]</w:t>
      </w:r>
      <w:r w:rsidRPr="0002518C">
        <w:rPr>
          <w:rFonts w:ascii="Book Antiqua" w:hAnsi="Book Antiqua"/>
          <w:sz w:val="24"/>
          <w:szCs w:val="24"/>
        </w:rPr>
        <w:t>; thus, the possibility of harboring cancer is estimated to be higher</w:t>
      </w:r>
      <w:r w:rsidRPr="00B96FD4">
        <w:rPr>
          <w:rFonts w:ascii="Book Antiqua" w:hAnsi="Book Antiqua"/>
          <w:sz w:val="24"/>
          <w:szCs w:val="24"/>
          <w:vertAlign w:val="superscript"/>
        </w:rPr>
        <w:t>[23,24]</w:t>
      </w:r>
      <w:r w:rsidRPr="0002518C">
        <w:rPr>
          <w:rFonts w:ascii="Book Antiqua" w:hAnsi="Book Antiqua"/>
          <w:sz w:val="24"/>
          <w:szCs w:val="24"/>
        </w:rPr>
        <w:t>. Patients with familial adenomatous polyposis (FAP) are known to have a high prevalence of duodenal adenomas, and prospective follow-up studies have demonstrated that such adenomas can slowly progress to cancer</w:t>
      </w:r>
      <w:r w:rsidRPr="00B96FD4">
        <w:rPr>
          <w:rFonts w:ascii="Book Antiqua" w:hAnsi="Book Antiqua"/>
          <w:sz w:val="24"/>
          <w:szCs w:val="24"/>
          <w:vertAlign w:val="superscript"/>
        </w:rPr>
        <w:t>[24-26]</w:t>
      </w:r>
      <w:r w:rsidRPr="0002518C">
        <w:rPr>
          <w:rFonts w:ascii="Book Antiqua" w:hAnsi="Book Antiqua"/>
          <w:sz w:val="24"/>
          <w:szCs w:val="24"/>
        </w:rPr>
        <w:t>. Sporadic NADC may occur because of the adenoma carcinoma sequence, as in FAP patients</w:t>
      </w:r>
      <w:r w:rsidRPr="00B96FD4">
        <w:rPr>
          <w:rFonts w:ascii="Book Antiqua" w:hAnsi="Book Antiqua"/>
          <w:sz w:val="24"/>
          <w:szCs w:val="24"/>
          <w:vertAlign w:val="superscript"/>
        </w:rPr>
        <w:t>[15,27]</w:t>
      </w:r>
      <w:r w:rsidRPr="0002518C">
        <w:rPr>
          <w:rFonts w:ascii="Book Antiqua" w:hAnsi="Book Antiqua"/>
          <w:sz w:val="24"/>
          <w:szCs w:val="24"/>
        </w:rPr>
        <w:t xml:space="preserve">, or </w:t>
      </w:r>
      <w:r w:rsidRPr="00B96FD4">
        <w:rPr>
          <w:rFonts w:ascii="Book Antiqua" w:hAnsi="Book Antiqua"/>
          <w:i/>
          <w:sz w:val="24"/>
          <w:szCs w:val="24"/>
        </w:rPr>
        <w:t>de novo</w:t>
      </w:r>
      <w:r w:rsidRPr="0002518C">
        <w:rPr>
          <w:rFonts w:ascii="Book Antiqua" w:hAnsi="Book Antiqua"/>
          <w:sz w:val="24"/>
          <w:szCs w:val="24"/>
        </w:rPr>
        <w:t>. However, the incidence of sporadic NADC is extremely rare; thus, endoscopic findings suggestive of cancer have not yet been established.</w:t>
      </w:r>
    </w:p>
    <w:p w:rsidR="003B3753" w:rsidRDefault="003B3753" w:rsidP="00B96FD4">
      <w:pPr>
        <w:spacing w:line="360" w:lineRule="auto"/>
        <w:rPr>
          <w:rFonts w:ascii="Book Antiqua" w:hAnsi="Book Antiqua"/>
          <w:sz w:val="24"/>
          <w:szCs w:val="24"/>
        </w:rPr>
      </w:pPr>
      <w:r w:rsidRPr="0002518C">
        <w:rPr>
          <w:rFonts w:ascii="Book Antiqua" w:hAnsi="Book Antiqua"/>
          <w:sz w:val="24"/>
          <w:szCs w:val="24"/>
        </w:rPr>
        <w:t xml:space="preserve"> </w:t>
      </w:r>
    </w:p>
    <w:p w:rsidR="003B3753" w:rsidRPr="00B96FD4" w:rsidRDefault="003B3753" w:rsidP="009E7BBE">
      <w:pPr>
        <w:spacing w:line="360" w:lineRule="auto"/>
        <w:rPr>
          <w:rFonts w:ascii="Book Antiqua" w:hAnsi="Book Antiqua"/>
          <w:b/>
          <w:i/>
          <w:sz w:val="24"/>
          <w:szCs w:val="24"/>
        </w:rPr>
      </w:pPr>
      <w:r w:rsidRPr="00B96FD4">
        <w:rPr>
          <w:rFonts w:ascii="Book Antiqua" w:hAnsi="Book Antiqua"/>
          <w:b/>
          <w:i/>
          <w:sz w:val="24"/>
          <w:szCs w:val="24"/>
        </w:rPr>
        <w:t>Pretreatment evaluation of cancerous lesions</w:t>
      </w:r>
    </w:p>
    <w:p w:rsidR="003B3753" w:rsidRDefault="003B3753" w:rsidP="009E7BBE">
      <w:pPr>
        <w:spacing w:line="360" w:lineRule="auto"/>
        <w:rPr>
          <w:rFonts w:ascii="Book Antiqua" w:hAnsi="Book Antiqua"/>
          <w:sz w:val="24"/>
          <w:szCs w:val="24"/>
        </w:rPr>
      </w:pPr>
      <w:r w:rsidRPr="0002518C">
        <w:rPr>
          <w:rFonts w:ascii="Book Antiqua" w:hAnsi="Book Antiqua"/>
          <w:sz w:val="24"/>
          <w:szCs w:val="24"/>
        </w:rPr>
        <w:lastRenderedPageBreak/>
        <w:t>Macroscopically, larger-sized lesions, those with a component of depression (IIa + IIc type or IIc type) and those with a red and ill-glistened surface, are reported to have a higher tendency to have a cancerous component</w:t>
      </w:r>
      <w:r w:rsidRPr="00B96FD4">
        <w:rPr>
          <w:rFonts w:ascii="Book Antiqua" w:hAnsi="Book Antiqua"/>
          <w:sz w:val="24"/>
          <w:szCs w:val="24"/>
          <w:vertAlign w:val="superscript"/>
        </w:rPr>
        <w:t>[28,29]</w:t>
      </w:r>
      <w:r w:rsidRPr="0002518C">
        <w:rPr>
          <w:rFonts w:ascii="Book Antiqua" w:hAnsi="Book Antiqua"/>
          <w:sz w:val="24"/>
          <w:szCs w:val="24"/>
        </w:rPr>
        <w:t>. In contrast, there are also a few reports of large IIa type, so-called carpet-like adenomas that increase in size without cancerous components</w:t>
      </w:r>
      <w:r w:rsidRPr="00B96FD4">
        <w:rPr>
          <w:rFonts w:ascii="Book Antiqua" w:hAnsi="Book Antiqua"/>
          <w:sz w:val="24"/>
          <w:szCs w:val="24"/>
          <w:vertAlign w:val="superscript"/>
        </w:rPr>
        <w:t>[8,28]</w:t>
      </w:r>
      <w:r w:rsidRPr="0002518C">
        <w:rPr>
          <w:rFonts w:ascii="Book Antiqua" w:hAnsi="Book Antiqua"/>
          <w:sz w:val="24"/>
          <w:szCs w:val="24"/>
        </w:rPr>
        <w:t>. In addition to the macroscopic features, findings of magnifying endoscopy with</w:t>
      </w:r>
      <w:r w:rsidRPr="00B96FD4">
        <w:rPr>
          <w:rFonts w:ascii="Book Antiqua" w:hAnsi="Book Antiqua"/>
          <w:sz w:val="24"/>
          <w:szCs w:val="24"/>
          <w:vertAlign w:val="superscript"/>
        </w:rPr>
        <w:t>[30-32]</w:t>
      </w:r>
      <w:r w:rsidRPr="0002518C">
        <w:rPr>
          <w:rFonts w:ascii="Book Antiqua" w:hAnsi="Book Antiqua"/>
          <w:sz w:val="24"/>
          <w:szCs w:val="24"/>
        </w:rPr>
        <w:t xml:space="preserve"> or without</w:t>
      </w:r>
      <w:r w:rsidRPr="00B96FD4">
        <w:rPr>
          <w:rFonts w:ascii="Book Antiqua" w:hAnsi="Book Antiqua"/>
          <w:sz w:val="24"/>
          <w:szCs w:val="24"/>
          <w:vertAlign w:val="superscript"/>
        </w:rPr>
        <w:t>[33-35]</w:t>
      </w:r>
      <w:r w:rsidRPr="0002518C">
        <w:rPr>
          <w:rFonts w:ascii="Book Antiqua" w:hAnsi="Book Antiqua"/>
          <w:sz w:val="24"/>
          <w:szCs w:val="24"/>
        </w:rPr>
        <w:t xml:space="preserve"> narrow-band imaging can offer information to distinguish potentially malignant lesions. Heterogeneous patterns of irregular or disappeared mucosal structures with irregular vascular patterns have been correlated with high-grade dysplasia (HGD) or mucosal cancer</w:t>
      </w:r>
      <w:r w:rsidRPr="00B96FD4">
        <w:rPr>
          <w:rFonts w:ascii="Book Antiqua" w:hAnsi="Book Antiqua"/>
          <w:sz w:val="24"/>
          <w:szCs w:val="24"/>
          <w:vertAlign w:val="superscript"/>
        </w:rPr>
        <w:t>[30,33,34]</w:t>
      </w:r>
      <w:r w:rsidRPr="0002518C">
        <w:rPr>
          <w:rFonts w:ascii="Book Antiqua" w:hAnsi="Book Antiqua"/>
          <w:sz w:val="24"/>
          <w:szCs w:val="24"/>
        </w:rPr>
        <w:t>.</w:t>
      </w:r>
    </w:p>
    <w:p w:rsidR="003B3753" w:rsidRPr="0002518C" w:rsidRDefault="003B3753" w:rsidP="009E7BBE">
      <w:pPr>
        <w:spacing w:line="360" w:lineRule="auto"/>
        <w:rPr>
          <w:rFonts w:ascii="Book Antiqua" w:hAnsi="Book Antiqua"/>
          <w:sz w:val="24"/>
          <w:szCs w:val="24"/>
        </w:rPr>
      </w:pPr>
    </w:p>
    <w:p w:rsidR="003B3753" w:rsidRPr="00B96FD4" w:rsidRDefault="003B3753" w:rsidP="009E7BBE">
      <w:pPr>
        <w:spacing w:line="360" w:lineRule="auto"/>
        <w:rPr>
          <w:rFonts w:ascii="Book Antiqua" w:hAnsi="Book Antiqua"/>
          <w:b/>
          <w:i/>
          <w:sz w:val="24"/>
          <w:szCs w:val="24"/>
        </w:rPr>
      </w:pPr>
      <w:r w:rsidRPr="00B96FD4">
        <w:rPr>
          <w:rFonts w:ascii="Book Antiqua" w:hAnsi="Book Antiqua"/>
          <w:b/>
          <w:i/>
          <w:sz w:val="24"/>
          <w:szCs w:val="24"/>
        </w:rPr>
        <w:t>Issue of pretreatment biopsies</w:t>
      </w:r>
    </w:p>
    <w:p w:rsidR="003B3753" w:rsidRDefault="003B3753" w:rsidP="009E7BBE">
      <w:pPr>
        <w:spacing w:line="360" w:lineRule="auto"/>
        <w:rPr>
          <w:rFonts w:ascii="Book Antiqua" w:hAnsi="Book Antiqua"/>
          <w:sz w:val="24"/>
          <w:szCs w:val="24"/>
        </w:rPr>
      </w:pPr>
      <w:r w:rsidRPr="0002518C">
        <w:rPr>
          <w:rFonts w:ascii="Book Antiqua" w:hAnsi="Book Antiqua"/>
          <w:sz w:val="24"/>
          <w:szCs w:val="24"/>
        </w:rPr>
        <w:t>The necessity of obtaining biopsy specimens from superficial NADETs before treatment remains controversial. Because of the thinness of the duodenal wall, the biopsy procedure itself may induce unintended fibrosis associated with the lesion, which may complicate subsequent endoscopic resection (ER). In contrast, a histological proof of malignancy may be preferable before employing a treatment modality with a substantial risk of complication, such as ER or surgery. Discrepancy of endoscopic biopsy histology and that of resected specimens is sometimes experienced in gastric epithelial lesions</w:t>
      </w:r>
      <w:r w:rsidRPr="00B96FD4">
        <w:rPr>
          <w:rFonts w:ascii="Book Antiqua" w:hAnsi="Book Antiqua"/>
          <w:sz w:val="24"/>
          <w:szCs w:val="24"/>
          <w:vertAlign w:val="superscript"/>
        </w:rPr>
        <w:t>[36]</w:t>
      </w:r>
      <w:r w:rsidRPr="0002518C">
        <w:rPr>
          <w:rFonts w:ascii="Book Antiqua" w:hAnsi="Book Antiqua"/>
          <w:sz w:val="24"/>
          <w:szCs w:val="24"/>
        </w:rPr>
        <w:t xml:space="preserve"> and has also been reported in duodenal lesions</w:t>
      </w:r>
      <w:r w:rsidRPr="00B96FD4">
        <w:rPr>
          <w:rFonts w:ascii="Book Antiqua" w:hAnsi="Book Antiqua"/>
          <w:sz w:val="24"/>
          <w:szCs w:val="24"/>
          <w:vertAlign w:val="superscript"/>
        </w:rPr>
        <w:t>[20,37-39]</w:t>
      </w:r>
      <w:r w:rsidRPr="0002518C">
        <w:rPr>
          <w:rFonts w:ascii="Book Antiqua" w:hAnsi="Book Antiqua"/>
          <w:sz w:val="24"/>
          <w:szCs w:val="24"/>
        </w:rPr>
        <w:t xml:space="preserve">. Post-treatment diagnosis may lead to an upgrade in pathology. In a previous study, comparisons between biopsy and resected specimens of 56 superficial NADETs revealed the same diagnosis in 59% patients, an upgrade in 36% patients, and a downgrade in 5% patients. </w:t>
      </w:r>
      <w:r w:rsidRPr="0002518C">
        <w:rPr>
          <w:rFonts w:ascii="Book Antiqua" w:hAnsi="Book Antiqua"/>
          <w:sz w:val="24"/>
          <w:szCs w:val="24"/>
        </w:rPr>
        <w:lastRenderedPageBreak/>
        <w:t>Among the lesions with an upgrade in pathology, most had an upgrade from HGD to adenocarcinoma</w:t>
      </w:r>
      <w:r w:rsidRPr="00B96FD4">
        <w:rPr>
          <w:rFonts w:ascii="Book Antiqua" w:hAnsi="Book Antiqua"/>
          <w:sz w:val="24"/>
          <w:szCs w:val="24"/>
          <w:vertAlign w:val="superscript"/>
        </w:rPr>
        <w:t>[42]</w:t>
      </w:r>
      <w:r w:rsidRPr="0002518C">
        <w:rPr>
          <w:rFonts w:ascii="Book Antiqua" w:hAnsi="Book Antiqua"/>
          <w:sz w:val="24"/>
          <w:szCs w:val="24"/>
        </w:rPr>
        <w:t>. In another study, T1a cancer was observed in 13.5% cases in which initial biopsies indicated simple adenomas</w:t>
      </w:r>
      <w:r w:rsidRPr="00B96FD4">
        <w:rPr>
          <w:rFonts w:ascii="Book Antiqua" w:hAnsi="Book Antiqua"/>
          <w:sz w:val="24"/>
          <w:szCs w:val="24"/>
          <w:vertAlign w:val="superscript"/>
        </w:rPr>
        <w:t>[38]</w:t>
      </w:r>
      <w:r w:rsidRPr="0002518C">
        <w:rPr>
          <w:rFonts w:ascii="Book Antiqua" w:hAnsi="Book Antiqua"/>
          <w:sz w:val="24"/>
          <w:szCs w:val="24"/>
        </w:rPr>
        <w:t>. Therefore, lesions with a biopsy diagnosis of HGD should be considered for local treatment, and ER may present an improved diagnostic tool for borderline lesions.</w:t>
      </w:r>
    </w:p>
    <w:p w:rsidR="003B3753" w:rsidRPr="0002518C" w:rsidRDefault="003B3753" w:rsidP="009E7BBE">
      <w:pPr>
        <w:spacing w:line="360" w:lineRule="auto"/>
        <w:rPr>
          <w:rFonts w:ascii="Book Antiqua" w:hAnsi="Book Antiqua"/>
          <w:sz w:val="24"/>
          <w:szCs w:val="24"/>
        </w:rPr>
      </w:pPr>
    </w:p>
    <w:p w:rsidR="003B3753" w:rsidRPr="00B96FD4" w:rsidRDefault="003B3753" w:rsidP="009E7BBE">
      <w:pPr>
        <w:spacing w:line="360" w:lineRule="auto"/>
        <w:rPr>
          <w:rFonts w:ascii="Book Antiqua" w:hAnsi="Book Antiqua"/>
          <w:b/>
          <w:i/>
          <w:sz w:val="24"/>
          <w:szCs w:val="24"/>
        </w:rPr>
      </w:pPr>
      <w:r w:rsidRPr="00B96FD4">
        <w:rPr>
          <w:rFonts w:ascii="Book Antiqua" w:hAnsi="Book Antiqua"/>
          <w:b/>
          <w:i/>
          <w:sz w:val="24"/>
          <w:szCs w:val="24"/>
        </w:rPr>
        <w:t>Pretreatment evaluation between T1a and T1b NADC</w:t>
      </w:r>
    </w:p>
    <w:p w:rsidR="003B3753" w:rsidRDefault="003B3753" w:rsidP="009E7BBE">
      <w:pPr>
        <w:spacing w:line="360" w:lineRule="auto"/>
        <w:rPr>
          <w:rFonts w:ascii="Book Antiqua" w:hAnsi="Book Antiqua"/>
          <w:sz w:val="24"/>
          <w:szCs w:val="24"/>
        </w:rPr>
      </w:pPr>
      <w:r w:rsidRPr="0002518C">
        <w:rPr>
          <w:rFonts w:ascii="Book Antiqua" w:hAnsi="Book Antiqua"/>
          <w:sz w:val="24"/>
          <w:szCs w:val="24"/>
        </w:rPr>
        <w:t>It is difficult to differentiate T1a from T1b NADC by barium studies or endoscopy</w:t>
      </w:r>
      <w:r w:rsidRPr="00B96FD4">
        <w:rPr>
          <w:rFonts w:ascii="Book Antiqua" w:hAnsi="Book Antiqua"/>
          <w:sz w:val="24"/>
          <w:szCs w:val="24"/>
          <w:vertAlign w:val="superscript"/>
        </w:rPr>
        <w:t>[11]</w:t>
      </w:r>
      <w:r w:rsidRPr="0002518C">
        <w:rPr>
          <w:rFonts w:ascii="Book Antiqua" w:hAnsi="Book Antiqua"/>
          <w:sz w:val="24"/>
          <w:szCs w:val="24"/>
        </w:rPr>
        <w:t xml:space="preserve">. Nagatani </w:t>
      </w:r>
      <w:r w:rsidRPr="00B96FD4">
        <w:rPr>
          <w:rFonts w:ascii="Book Antiqua" w:hAnsi="Book Antiqua"/>
          <w:i/>
          <w:sz w:val="24"/>
          <w:szCs w:val="24"/>
        </w:rPr>
        <w:t>et al</w:t>
      </w:r>
      <w:r w:rsidRPr="0002518C">
        <w:rPr>
          <w:rFonts w:ascii="Book Antiqua" w:hAnsi="Book Antiqua"/>
          <w:sz w:val="24"/>
          <w:szCs w:val="24"/>
          <w:vertAlign w:val="superscript"/>
        </w:rPr>
        <w:t>[11]</w:t>
      </w:r>
      <w:r w:rsidRPr="0002518C">
        <w:rPr>
          <w:rFonts w:ascii="Book Antiqua" w:hAnsi="Book Antiqua"/>
          <w:sz w:val="24"/>
          <w:szCs w:val="24"/>
        </w:rPr>
        <w:t xml:space="preserve"> studied the macroscopic features of early NADC with little possibility of submucosal invasion and indicated the following lesions suggestive of T1a cancer: Ip type, ≤20 mm; Is type, ≤5 mm; IIa type, ≤10 mm; and carpet-like IIa type of any size. Endoscopic ultrasonography has been reported to be a promising tool for diagnosing and staging duodenal villous tumors</w:t>
      </w:r>
      <w:r w:rsidRPr="00B96FD4">
        <w:rPr>
          <w:rFonts w:ascii="Book Antiqua" w:hAnsi="Book Antiqua"/>
          <w:sz w:val="24"/>
          <w:szCs w:val="24"/>
          <w:vertAlign w:val="superscript"/>
        </w:rPr>
        <w:t>[41,42]</w:t>
      </w:r>
      <w:r w:rsidRPr="0002518C">
        <w:rPr>
          <w:rFonts w:ascii="Book Antiqua" w:hAnsi="Book Antiqua"/>
          <w:sz w:val="24"/>
          <w:szCs w:val="24"/>
        </w:rPr>
        <w:t>. Non-lifting sign or lack of mobility when manipulated with a snare suggest submucosal invasion</w:t>
      </w:r>
      <w:r w:rsidRPr="00B96FD4">
        <w:rPr>
          <w:rFonts w:ascii="Book Antiqua" w:hAnsi="Book Antiqua"/>
          <w:sz w:val="24"/>
          <w:szCs w:val="24"/>
          <w:vertAlign w:val="superscript"/>
        </w:rPr>
        <w:t>[43]</w:t>
      </w:r>
      <w:r w:rsidRPr="0002518C">
        <w:rPr>
          <w:rFonts w:ascii="Book Antiqua" w:hAnsi="Book Antiqua"/>
          <w:sz w:val="24"/>
          <w:szCs w:val="24"/>
        </w:rPr>
        <w:t xml:space="preserve">. </w:t>
      </w:r>
    </w:p>
    <w:p w:rsidR="003B3753" w:rsidRPr="0002518C" w:rsidRDefault="003B3753" w:rsidP="009E7BBE">
      <w:pPr>
        <w:spacing w:line="360" w:lineRule="auto"/>
        <w:rPr>
          <w:rFonts w:ascii="Book Antiqua" w:hAnsi="Book Antiqua"/>
          <w:sz w:val="24"/>
          <w:szCs w:val="24"/>
        </w:rPr>
      </w:pPr>
    </w:p>
    <w:p w:rsidR="003B3753" w:rsidRPr="00B96FD4" w:rsidRDefault="003B3753" w:rsidP="009E7BBE">
      <w:pPr>
        <w:spacing w:line="360" w:lineRule="auto"/>
        <w:rPr>
          <w:rFonts w:ascii="Book Antiqua" w:hAnsi="Book Antiqua"/>
          <w:b/>
          <w:i/>
          <w:sz w:val="24"/>
          <w:szCs w:val="24"/>
        </w:rPr>
      </w:pPr>
      <w:r w:rsidRPr="00B96FD4">
        <w:rPr>
          <w:rFonts w:ascii="Book Antiqua" w:hAnsi="Book Antiqua"/>
          <w:b/>
          <w:i/>
          <w:sz w:val="24"/>
          <w:szCs w:val="24"/>
        </w:rPr>
        <w:t>Endoscopic treatment and outcomes</w:t>
      </w:r>
    </w:p>
    <w:p w:rsidR="003B3753" w:rsidRPr="0002518C" w:rsidRDefault="003B3753" w:rsidP="009E7BBE">
      <w:pPr>
        <w:spacing w:line="360" w:lineRule="auto"/>
        <w:rPr>
          <w:rFonts w:ascii="Book Antiqua" w:hAnsi="Book Antiqua"/>
          <w:sz w:val="24"/>
          <w:szCs w:val="24"/>
        </w:rPr>
      </w:pPr>
      <w:r w:rsidRPr="0002518C">
        <w:rPr>
          <w:rFonts w:ascii="Book Antiqua" w:hAnsi="Book Antiqua"/>
          <w:sz w:val="24"/>
          <w:szCs w:val="24"/>
        </w:rPr>
        <w:t>Endoscopic treatment should be limited to lesions confined to the mucosa; however, endoscopic techniques to remove superficial NADETs have not yet been standardized</w:t>
      </w:r>
      <w:r w:rsidRPr="00B96FD4">
        <w:rPr>
          <w:rFonts w:ascii="Book Antiqua" w:hAnsi="Book Antiqua"/>
          <w:sz w:val="24"/>
          <w:szCs w:val="24"/>
          <w:vertAlign w:val="superscript"/>
        </w:rPr>
        <w:t>[44,45]</w:t>
      </w:r>
      <w:r w:rsidRPr="0002518C">
        <w:rPr>
          <w:rFonts w:ascii="Book Antiqua" w:hAnsi="Book Antiqua"/>
          <w:sz w:val="24"/>
          <w:szCs w:val="24"/>
        </w:rPr>
        <w:t xml:space="preserve">. </w:t>
      </w:r>
      <w:r w:rsidRPr="00B96FD4">
        <w:rPr>
          <w:rFonts w:ascii="Book Antiqua" w:hAnsi="Book Antiqua"/>
          <w:sz w:val="24"/>
          <w:szCs w:val="24"/>
        </w:rPr>
        <w:t>Although case reports of polypectomy</w:t>
      </w:r>
      <w:r w:rsidRPr="00B96FD4">
        <w:rPr>
          <w:rFonts w:ascii="Book Antiqua" w:hAnsi="Book Antiqua"/>
          <w:sz w:val="24"/>
          <w:szCs w:val="24"/>
          <w:vertAlign w:val="superscript"/>
        </w:rPr>
        <w:t>[46,47]</w:t>
      </w:r>
      <w:r w:rsidRPr="00B96FD4">
        <w:rPr>
          <w:rFonts w:ascii="Book Antiqua" w:hAnsi="Book Antiqua"/>
          <w:sz w:val="24"/>
          <w:szCs w:val="24"/>
        </w:rPr>
        <w:t xml:space="preserve"> and strip biopsy</w:t>
      </w:r>
      <w:r w:rsidRPr="00B96FD4">
        <w:rPr>
          <w:rFonts w:ascii="Book Antiqua" w:hAnsi="Book Antiqua"/>
          <w:sz w:val="24"/>
          <w:szCs w:val="24"/>
          <w:vertAlign w:val="superscript"/>
        </w:rPr>
        <w:t>[48-50]</w:t>
      </w:r>
      <w:r w:rsidRPr="00B96FD4">
        <w:rPr>
          <w:rFonts w:ascii="Book Antiqua" w:hAnsi="Book Antiqua"/>
          <w:sz w:val="24"/>
          <w:szCs w:val="24"/>
        </w:rPr>
        <w:t xml:space="preserve"> for protruded lesions have been reported</w:t>
      </w:r>
      <w:r w:rsidRPr="0002518C">
        <w:rPr>
          <w:rFonts w:ascii="Book Antiqua" w:hAnsi="Book Antiqua"/>
          <w:sz w:val="24"/>
          <w:szCs w:val="24"/>
        </w:rPr>
        <w:t>, the results of endoscopic mucosal resection (EMR) for NADETs are based on several small case series</w:t>
      </w:r>
      <w:r w:rsidRPr="00B96FD4">
        <w:rPr>
          <w:rFonts w:ascii="Book Antiqua" w:hAnsi="Book Antiqua"/>
          <w:sz w:val="24"/>
          <w:szCs w:val="24"/>
          <w:vertAlign w:val="superscript"/>
        </w:rPr>
        <w:t>[51,52]</w:t>
      </w:r>
      <w:r w:rsidRPr="0002518C">
        <w:rPr>
          <w:rFonts w:ascii="Book Antiqua" w:hAnsi="Book Antiqua"/>
          <w:sz w:val="24"/>
          <w:szCs w:val="24"/>
        </w:rPr>
        <w:t xml:space="preserve">. EMR often requires multiple sessions (piecemeal resection), and </w:t>
      </w:r>
      <w:r w:rsidRPr="0002518C">
        <w:rPr>
          <w:rFonts w:ascii="Book Antiqua" w:hAnsi="Book Antiqua"/>
          <w:sz w:val="24"/>
          <w:szCs w:val="24"/>
        </w:rPr>
        <w:lastRenderedPageBreak/>
        <w:t>complete remission has been reported in 55%–100% cases</w:t>
      </w:r>
      <w:r w:rsidRPr="00B96FD4">
        <w:rPr>
          <w:rFonts w:ascii="Book Antiqua" w:hAnsi="Book Antiqua"/>
          <w:sz w:val="24"/>
          <w:szCs w:val="24"/>
          <w:vertAlign w:val="superscript"/>
        </w:rPr>
        <w:t>[37,38,43,53-55]</w:t>
      </w:r>
      <w:r w:rsidRPr="0002518C">
        <w:rPr>
          <w:rFonts w:ascii="Book Antiqua" w:hAnsi="Book Antiqua"/>
          <w:sz w:val="24"/>
          <w:szCs w:val="24"/>
        </w:rPr>
        <w:t>. The local recurrence rate among these previous studies was 0%–37%, and recurrent lesions were endoscopically re-treated by a second EMR or endoscopic ablation</w:t>
      </w:r>
      <w:r w:rsidRPr="0002518C">
        <w:rPr>
          <w:rFonts w:ascii="Book Antiqua" w:hAnsi="Book Antiqua"/>
          <w:sz w:val="24"/>
          <w:szCs w:val="24"/>
          <w:vertAlign w:val="superscript"/>
        </w:rPr>
        <w:t>[</w:t>
      </w:r>
      <w:r w:rsidRPr="00B96FD4">
        <w:rPr>
          <w:rFonts w:ascii="Book Antiqua" w:hAnsi="Book Antiqua"/>
          <w:sz w:val="24"/>
          <w:szCs w:val="24"/>
          <w:vertAlign w:val="superscript"/>
        </w:rPr>
        <w:t>37,38,43,53-5</w:t>
      </w:r>
      <w:r w:rsidRPr="0002518C">
        <w:rPr>
          <w:rFonts w:ascii="Book Antiqua" w:hAnsi="Book Antiqua"/>
          <w:sz w:val="24"/>
          <w:szCs w:val="24"/>
          <w:vertAlign w:val="superscript"/>
        </w:rPr>
        <w:t>5]</w:t>
      </w:r>
      <w:r w:rsidRPr="0002518C">
        <w:rPr>
          <w:rFonts w:ascii="Book Antiqua" w:hAnsi="Book Antiqua"/>
          <w:sz w:val="24"/>
          <w:szCs w:val="24"/>
        </w:rPr>
        <w:t xml:space="preserve">. </w:t>
      </w:r>
      <w:r w:rsidRPr="00B96FD4">
        <w:rPr>
          <w:rFonts w:ascii="Book Antiqua" w:hAnsi="Book Antiqua"/>
          <w:sz w:val="24"/>
          <w:szCs w:val="24"/>
        </w:rPr>
        <w:t>Reportedly, successful eradication by endoscopic treatment is dictated by the extent of the luminal circumference of the tumor</w:t>
      </w:r>
      <w:r w:rsidRPr="00B96FD4">
        <w:rPr>
          <w:rFonts w:ascii="Book Antiqua" w:hAnsi="Book Antiqua"/>
          <w:sz w:val="24"/>
          <w:szCs w:val="24"/>
          <w:vertAlign w:val="superscript"/>
        </w:rPr>
        <w:t>[56]</w:t>
      </w:r>
      <w:r w:rsidRPr="00B96FD4">
        <w:rPr>
          <w:rFonts w:ascii="Book Antiqua" w:hAnsi="Book Antiqua"/>
          <w:sz w:val="24"/>
          <w:szCs w:val="24"/>
        </w:rPr>
        <w:t xml:space="preserve"> and the possibility of en bloc resection</w:t>
      </w:r>
      <w:r w:rsidRPr="00B96FD4">
        <w:rPr>
          <w:rFonts w:ascii="Book Antiqua" w:hAnsi="Book Antiqua"/>
          <w:sz w:val="24"/>
          <w:szCs w:val="24"/>
          <w:vertAlign w:val="superscript"/>
        </w:rPr>
        <w:t>[57]</w:t>
      </w:r>
      <w:r w:rsidRPr="00B96FD4">
        <w:rPr>
          <w:rFonts w:ascii="Book Antiqua" w:hAnsi="Book Antiqua"/>
          <w:sz w:val="24"/>
          <w:szCs w:val="24"/>
        </w:rPr>
        <w:t>.</w:t>
      </w:r>
      <w:r w:rsidRPr="0002518C">
        <w:rPr>
          <w:rFonts w:ascii="Book Antiqua" w:hAnsi="Book Antiqua"/>
          <w:sz w:val="24"/>
          <w:szCs w:val="24"/>
        </w:rPr>
        <w:t xml:space="preserve"> Complications after EMR include bleeding (0%–33%) and perforation (3%)</w:t>
      </w:r>
      <w:r w:rsidRPr="00B96FD4">
        <w:rPr>
          <w:rFonts w:ascii="Book Antiqua" w:hAnsi="Book Antiqua"/>
          <w:sz w:val="24"/>
          <w:szCs w:val="24"/>
          <w:vertAlign w:val="superscript"/>
        </w:rPr>
        <w:t>[38,58]</w:t>
      </w:r>
      <w:r w:rsidRPr="0002518C">
        <w:rPr>
          <w:rFonts w:ascii="Book Antiqua" w:hAnsi="Book Antiqua"/>
          <w:sz w:val="24"/>
          <w:szCs w:val="24"/>
        </w:rPr>
        <w:t xml:space="preserve">. </w:t>
      </w:r>
    </w:p>
    <w:p w:rsidR="003B3753" w:rsidRPr="0002518C" w:rsidRDefault="003B3753" w:rsidP="00632B99">
      <w:pPr>
        <w:spacing w:line="360" w:lineRule="auto"/>
        <w:ind w:firstLineChars="100" w:firstLine="240"/>
        <w:rPr>
          <w:rFonts w:ascii="Book Antiqua" w:hAnsi="Book Antiqua"/>
          <w:sz w:val="24"/>
          <w:szCs w:val="24"/>
        </w:rPr>
      </w:pPr>
      <w:r w:rsidRPr="0002518C">
        <w:rPr>
          <w:rFonts w:ascii="Book Antiqua" w:hAnsi="Book Antiqua"/>
          <w:sz w:val="24"/>
          <w:szCs w:val="24"/>
        </w:rPr>
        <w:t xml:space="preserve">Compared with EMR, there are fewer reports of endoscopic submucosal dissection (ESD) </w:t>
      </w:r>
      <w:r w:rsidRPr="00B96FD4">
        <w:rPr>
          <w:rFonts w:ascii="Book Antiqua" w:hAnsi="Book Antiqua"/>
          <w:sz w:val="24"/>
          <w:szCs w:val="24"/>
        </w:rPr>
        <w:t>(Figure1)</w:t>
      </w:r>
      <w:r w:rsidRPr="0002518C">
        <w:rPr>
          <w:rFonts w:ascii="Book Antiqua" w:hAnsi="Book Antiqua"/>
          <w:sz w:val="24"/>
          <w:szCs w:val="24"/>
        </w:rPr>
        <w:t xml:space="preserve"> for </w:t>
      </w:r>
      <w:r w:rsidRPr="00B96FD4">
        <w:rPr>
          <w:rFonts w:ascii="Book Antiqua" w:hAnsi="Book Antiqua"/>
          <w:sz w:val="24"/>
          <w:szCs w:val="24"/>
        </w:rPr>
        <w:t>superficial</w:t>
      </w:r>
      <w:r w:rsidRPr="0002518C">
        <w:rPr>
          <w:rFonts w:ascii="Book Antiqua" w:hAnsi="Book Antiqua"/>
          <w:sz w:val="24"/>
          <w:szCs w:val="24"/>
        </w:rPr>
        <w:t xml:space="preserve"> NADETs</w:t>
      </w:r>
      <w:r w:rsidRPr="00B96FD4">
        <w:rPr>
          <w:rFonts w:ascii="Book Antiqua" w:hAnsi="Book Antiqua"/>
          <w:sz w:val="24"/>
          <w:szCs w:val="24"/>
          <w:vertAlign w:val="superscript"/>
        </w:rPr>
        <w:t>[59]</w:t>
      </w:r>
      <w:r w:rsidRPr="0002518C">
        <w:rPr>
          <w:rFonts w:ascii="Book Antiqua" w:hAnsi="Book Antiqua"/>
          <w:sz w:val="24"/>
          <w:szCs w:val="24"/>
        </w:rPr>
        <w:t>. Nevertheless, ESD has been reported to have a superior complete resection rate (86%–100%), with no incidence of recurrence</w:t>
      </w:r>
      <w:r w:rsidRPr="00B96FD4">
        <w:rPr>
          <w:rFonts w:ascii="Book Antiqua" w:hAnsi="Book Antiqua"/>
          <w:sz w:val="24"/>
          <w:szCs w:val="24"/>
          <w:vertAlign w:val="superscript"/>
        </w:rPr>
        <w:t>[20,39,40,60-63]</w:t>
      </w:r>
      <w:r w:rsidRPr="00B96FD4">
        <w:rPr>
          <w:rFonts w:ascii="Book Antiqua" w:hAnsi="Book Antiqua"/>
          <w:sz w:val="24"/>
          <w:szCs w:val="24"/>
        </w:rPr>
        <w:t>.</w:t>
      </w:r>
      <w:r w:rsidRPr="0002518C">
        <w:rPr>
          <w:rFonts w:ascii="Book Antiqua" w:hAnsi="Book Antiqua"/>
          <w:sz w:val="24"/>
          <w:szCs w:val="24"/>
        </w:rPr>
        <w:t xml:space="preserve"> However, the complication rate of bleeding is 0%–7% and the perforation rate is higher at 6%–50%</w:t>
      </w:r>
      <w:r w:rsidRPr="00B96FD4">
        <w:rPr>
          <w:rFonts w:ascii="Book Antiqua" w:hAnsi="Book Antiqua"/>
          <w:sz w:val="24"/>
          <w:szCs w:val="24"/>
          <w:vertAlign w:val="superscript"/>
        </w:rPr>
        <w:t>[20,39,40,60-63]</w:t>
      </w:r>
      <w:r w:rsidRPr="0002518C">
        <w:rPr>
          <w:rFonts w:ascii="Book Antiqua" w:hAnsi="Book Antiqua"/>
          <w:sz w:val="24"/>
          <w:szCs w:val="24"/>
        </w:rPr>
        <w:t>. A retrospective multicenter survey of 421 duodenal EMR and ESD cases showed that both intraoperative and delayed perforation occurred more frequently among ESD cases</w:t>
      </w:r>
      <w:r w:rsidRPr="00B96FD4">
        <w:rPr>
          <w:rFonts w:ascii="Book Antiqua" w:hAnsi="Book Antiqua"/>
          <w:sz w:val="24"/>
          <w:szCs w:val="24"/>
          <w:vertAlign w:val="superscript"/>
        </w:rPr>
        <w:t>[64]</w:t>
      </w:r>
      <w:r w:rsidRPr="0002518C">
        <w:rPr>
          <w:rFonts w:ascii="Book Antiqua" w:hAnsi="Book Antiqua"/>
          <w:sz w:val="24"/>
          <w:szCs w:val="24"/>
        </w:rPr>
        <w:t>. In addition, there was no difference in the overall perforation rate between lesions located in the first or second portion of the duodenum; however, delayed perforation was mostly observed in the second portion</w:t>
      </w:r>
      <w:r w:rsidRPr="00B96FD4">
        <w:rPr>
          <w:rFonts w:ascii="Book Antiqua" w:hAnsi="Book Antiqua"/>
          <w:sz w:val="24"/>
          <w:szCs w:val="24"/>
          <w:vertAlign w:val="superscript"/>
        </w:rPr>
        <w:t>[64]</w:t>
      </w:r>
      <w:r w:rsidRPr="0002518C">
        <w:rPr>
          <w:rFonts w:ascii="Book Antiqua" w:hAnsi="Book Antiqua"/>
          <w:sz w:val="24"/>
          <w:szCs w:val="24"/>
        </w:rPr>
        <w:t xml:space="preserve"> </w:t>
      </w:r>
      <w:r w:rsidRPr="00B96FD4">
        <w:rPr>
          <w:rFonts w:ascii="Book Antiqua" w:hAnsi="Book Antiqua"/>
          <w:sz w:val="24"/>
          <w:szCs w:val="24"/>
        </w:rPr>
        <w:t>or distal to Vater</w:t>
      </w:r>
      <w:r w:rsidRPr="001D30AC">
        <w:rPr>
          <w:rFonts w:ascii="Book Antiqua" w:hAnsi="Book Antiqua"/>
          <w:sz w:val="24"/>
          <w:szCs w:val="24"/>
        </w:rPr>
        <w:t>’</w:t>
      </w:r>
      <w:r w:rsidRPr="00B96FD4">
        <w:rPr>
          <w:rFonts w:ascii="Book Antiqua" w:hAnsi="Book Antiqua"/>
          <w:sz w:val="24"/>
          <w:szCs w:val="24"/>
        </w:rPr>
        <w:t>s ampulla</w:t>
      </w:r>
      <w:r w:rsidRPr="00B96FD4">
        <w:rPr>
          <w:rFonts w:ascii="Book Antiqua" w:hAnsi="Book Antiqua"/>
          <w:sz w:val="24"/>
          <w:szCs w:val="24"/>
          <w:vertAlign w:val="superscript"/>
        </w:rPr>
        <w:t>[65]</w:t>
      </w:r>
      <w:r w:rsidRPr="0002518C">
        <w:rPr>
          <w:rFonts w:ascii="Book Antiqua" w:hAnsi="Book Antiqua"/>
          <w:sz w:val="24"/>
          <w:szCs w:val="24"/>
        </w:rPr>
        <w:t>. Delayed perforation may occur even after successful ESD</w:t>
      </w:r>
      <w:r w:rsidRPr="00B96FD4">
        <w:rPr>
          <w:rFonts w:ascii="Book Antiqua" w:hAnsi="Book Antiqua"/>
          <w:sz w:val="24"/>
          <w:szCs w:val="24"/>
          <w:vertAlign w:val="superscript"/>
        </w:rPr>
        <w:t>[61]</w:t>
      </w:r>
      <w:r w:rsidRPr="0002518C">
        <w:rPr>
          <w:rFonts w:ascii="Book Antiqua" w:hAnsi="Book Antiqua"/>
          <w:sz w:val="24"/>
          <w:szCs w:val="24"/>
        </w:rPr>
        <w:t>, and the high rate of delayed perforation may be because of the larger ulcer created by ESD, increased thermocoagulation effect induced by ESD, and presence of bile and pancreatic juices. To avoid the risk of delayed perforation, attempts have been made to completely close the mucosal defect after ESD with multiple endoclips</w:t>
      </w:r>
      <w:r w:rsidRPr="00B96FD4">
        <w:rPr>
          <w:rFonts w:ascii="Book Antiqua" w:hAnsi="Book Antiqua"/>
          <w:sz w:val="24"/>
          <w:szCs w:val="24"/>
          <w:vertAlign w:val="superscript"/>
        </w:rPr>
        <w:t>[64,66]</w:t>
      </w:r>
      <w:r w:rsidRPr="0002518C">
        <w:rPr>
          <w:rFonts w:ascii="Book Antiqua" w:hAnsi="Book Antiqua"/>
          <w:sz w:val="24"/>
          <w:szCs w:val="24"/>
        </w:rPr>
        <w:t xml:space="preserve"> or with an over-the-scope clip</w:t>
      </w:r>
      <w:r w:rsidRPr="00B96FD4">
        <w:rPr>
          <w:rFonts w:ascii="Book Antiqua" w:hAnsi="Book Antiqua"/>
          <w:sz w:val="24"/>
          <w:szCs w:val="24"/>
          <w:vertAlign w:val="superscript"/>
        </w:rPr>
        <w:t>[67]</w:t>
      </w:r>
      <w:r w:rsidRPr="0002518C">
        <w:rPr>
          <w:rFonts w:ascii="Book Antiqua" w:hAnsi="Book Antiqua"/>
          <w:sz w:val="24"/>
          <w:szCs w:val="24"/>
        </w:rPr>
        <w:t xml:space="preserve">, </w:t>
      </w:r>
      <w:r w:rsidRPr="00B96FD4">
        <w:rPr>
          <w:rFonts w:ascii="Book Antiqua" w:hAnsi="Book Antiqua"/>
          <w:sz w:val="24"/>
          <w:szCs w:val="24"/>
        </w:rPr>
        <w:t>or by applying polyglycolic acid sheets</w:t>
      </w:r>
      <w:r w:rsidRPr="00B96FD4">
        <w:rPr>
          <w:rFonts w:ascii="Book Antiqua" w:hAnsi="Book Antiqua"/>
          <w:sz w:val="24"/>
          <w:szCs w:val="24"/>
          <w:vertAlign w:val="superscript"/>
        </w:rPr>
        <w:t>[68,69]</w:t>
      </w:r>
      <w:r w:rsidRPr="0002518C">
        <w:rPr>
          <w:rFonts w:ascii="Book Antiqua" w:hAnsi="Book Antiqua"/>
          <w:sz w:val="24"/>
          <w:szCs w:val="24"/>
        </w:rPr>
        <w:t xml:space="preserve">. Others have reported insertion of </w:t>
      </w:r>
      <w:r w:rsidRPr="0002518C">
        <w:rPr>
          <w:rFonts w:ascii="Book Antiqua" w:hAnsi="Book Antiqua"/>
          <w:sz w:val="24"/>
          <w:szCs w:val="24"/>
        </w:rPr>
        <w:lastRenderedPageBreak/>
        <w:t>endoscopic nasobiliary drainage and nasopancreatic drainage tubes to avoid exposure of bile and pancreatic juices to the ESD ulcer</w:t>
      </w:r>
      <w:r w:rsidRPr="00B96FD4">
        <w:rPr>
          <w:rFonts w:ascii="Book Antiqua" w:hAnsi="Book Antiqua"/>
          <w:sz w:val="24"/>
          <w:szCs w:val="24"/>
          <w:vertAlign w:val="superscript"/>
        </w:rPr>
        <w:t>[61]</w:t>
      </w:r>
      <w:r w:rsidRPr="0002518C">
        <w:rPr>
          <w:rFonts w:ascii="Book Antiqua" w:hAnsi="Book Antiqua"/>
          <w:sz w:val="24"/>
          <w:szCs w:val="24"/>
        </w:rPr>
        <w:t xml:space="preserve">. </w:t>
      </w:r>
    </w:p>
    <w:p w:rsidR="003B3753" w:rsidRDefault="003B3753" w:rsidP="002409BE">
      <w:pPr>
        <w:spacing w:line="360" w:lineRule="auto"/>
        <w:ind w:firstLineChars="100" w:firstLine="240"/>
        <w:rPr>
          <w:rFonts w:ascii="Book Antiqua" w:hAnsi="Book Antiqua"/>
          <w:sz w:val="24"/>
          <w:szCs w:val="24"/>
        </w:rPr>
      </w:pPr>
      <w:r w:rsidRPr="00B96FD4">
        <w:rPr>
          <w:rFonts w:ascii="Book Antiqua" w:hAnsi="Book Antiqua"/>
          <w:sz w:val="24"/>
          <w:szCs w:val="24"/>
        </w:rPr>
        <w:t xml:space="preserve">Lienert </w:t>
      </w:r>
      <w:r w:rsidRPr="00B96FD4">
        <w:rPr>
          <w:rFonts w:ascii="Book Antiqua" w:hAnsi="Book Antiqua"/>
          <w:i/>
          <w:sz w:val="24"/>
          <w:szCs w:val="24"/>
        </w:rPr>
        <w:t>et al</w:t>
      </w:r>
      <w:r w:rsidRPr="0002518C">
        <w:rPr>
          <w:rFonts w:ascii="Book Antiqua" w:hAnsi="Book Antiqua"/>
          <w:sz w:val="24"/>
          <w:szCs w:val="24"/>
          <w:vertAlign w:val="superscript"/>
        </w:rPr>
        <w:t>[70]</w:t>
      </w:r>
      <w:r w:rsidRPr="00B96FD4">
        <w:rPr>
          <w:rFonts w:ascii="Book Antiqua" w:hAnsi="Book Antiqua"/>
          <w:sz w:val="24"/>
          <w:szCs w:val="24"/>
        </w:rPr>
        <w:t xml:space="preserve"> reported the use of argon plasma coagulation (APC) for the treatment of duodenal adenoma in a cohort of 15 patients. Eradication was successful in 87%, no patients developed cancer during the study period of 40 months, and the local recurrence rate was 39%</w:t>
      </w:r>
      <w:r w:rsidRPr="00B96FD4">
        <w:rPr>
          <w:rFonts w:ascii="Book Antiqua" w:hAnsi="Book Antiqua"/>
          <w:sz w:val="24"/>
          <w:szCs w:val="24"/>
          <w:vertAlign w:val="superscript"/>
        </w:rPr>
        <w:t>[70]</w:t>
      </w:r>
      <w:r w:rsidRPr="00B96FD4">
        <w:rPr>
          <w:rFonts w:ascii="Book Antiqua" w:hAnsi="Book Antiqua"/>
          <w:sz w:val="24"/>
          <w:szCs w:val="24"/>
        </w:rPr>
        <w:t>. However, APC treatment is inadequate to obtain a histological assessment of the entire lesion; therefore, it is risky to solely rely on APC for the treatment of superficial NADETs. Nonetheless, APC may be used as an adjunct to EMR to reduce local recurrence</w:t>
      </w:r>
      <w:r w:rsidRPr="00B96FD4">
        <w:rPr>
          <w:rFonts w:ascii="Book Antiqua" w:hAnsi="Book Antiqua"/>
          <w:sz w:val="24"/>
          <w:szCs w:val="24"/>
          <w:vertAlign w:val="superscript"/>
        </w:rPr>
        <w:t>[71]</w:t>
      </w:r>
      <w:r w:rsidRPr="00B96FD4">
        <w:rPr>
          <w:rFonts w:ascii="Book Antiqua" w:hAnsi="Book Antiqua"/>
          <w:sz w:val="24"/>
          <w:szCs w:val="24"/>
        </w:rPr>
        <w:t xml:space="preserve"> or for locally recurrent lesions after EMR</w:t>
      </w:r>
      <w:r w:rsidRPr="0002518C">
        <w:rPr>
          <w:rFonts w:ascii="Book Antiqua" w:hAnsi="Book Antiqua"/>
          <w:sz w:val="24"/>
          <w:szCs w:val="24"/>
        </w:rPr>
        <w:t>.</w:t>
      </w:r>
    </w:p>
    <w:p w:rsidR="003B3753" w:rsidRDefault="003B3753" w:rsidP="00B96FD4">
      <w:pPr>
        <w:spacing w:line="360" w:lineRule="auto"/>
        <w:ind w:firstLineChars="100" w:firstLine="240"/>
        <w:rPr>
          <w:rFonts w:ascii="Book Antiqua" w:hAnsi="Book Antiqua"/>
          <w:sz w:val="24"/>
          <w:szCs w:val="24"/>
        </w:rPr>
      </w:pPr>
    </w:p>
    <w:p w:rsidR="003B3753" w:rsidRPr="00B96FD4" w:rsidRDefault="003B3753" w:rsidP="009E7BBE">
      <w:pPr>
        <w:spacing w:line="360" w:lineRule="auto"/>
        <w:rPr>
          <w:rFonts w:ascii="Book Antiqua" w:hAnsi="Book Antiqua"/>
          <w:b/>
          <w:i/>
          <w:sz w:val="24"/>
          <w:szCs w:val="24"/>
        </w:rPr>
      </w:pPr>
      <w:r w:rsidRPr="00B96FD4">
        <w:rPr>
          <w:rFonts w:ascii="Book Antiqua" w:hAnsi="Book Antiqua"/>
          <w:b/>
          <w:i/>
          <w:sz w:val="24"/>
          <w:szCs w:val="24"/>
        </w:rPr>
        <w:t>Surgical treatment and outcomes</w:t>
      </w:r>
    </w:p>
    <w:p w:rsidR="003B3753" w:rsidRPr="0002518C" w:rsidRDefault="003B3753" w:rsidP="009E7BBE">
      <w:pPr>
        <w:spacing w:line="360" w:lineRule="auto"/>
        <w:rPr>
          <w:rFonts w:ascii="Book Antiqua" w:hAnsi="Book Antiqua"/>
          <w:sz w:val="24"/>
          <w:szCs w:val="24"/>
        </w:rPr>
      </w:pPr>
      <w:r w:rsidRPr="0002518C">
        <w:rPr>
          <w:rFonts w:ascii="Book Antiqua" w:hAnsi="Book Antiqua"/>
          <w:sz w:val="24"/>
          <w:szCs w:val="24"/>
        </w:rPr>
        <w:t>An optimal surgical treatment of sporadic superficial NADETs has not yet been established. Pancreaticoduodenectomy (PD), also known as the Whipple procedure, is a radical surgery performed for advanced disease and cases of early stage NADC with the aim to avoid tumor recurrence</w:t>
      </w:r>
      <w:r w:rsidRPr="00B96FD4">
        <w:rPr>
          <w:rFonts w:ascii="Book Antiqua" w:hAnsi="Book Antiqua"/>
          <w:sz w:val="24"/>
          <w:szCs w:val="24"/>
          <w:vertAlign w:val="superscript"/>
        </w:rPr>
        <w:t>[72-75]</w:t>
      </w:r>
      <w:r w:rsidRPr="0002518C">
        <w:rPr>
          <w:rFonts w:ascii="Book Antiqua" w:hAnsi="Book Antiqua"/>
          <w:sz w:val="24"/>
          <w:szCs w:val="24"/>
        </w:rPr>
        <w:t>. Pancreatic fistula, anastomotic leakage, and pancreatitis are serious complications after PD. Although the morbidity and mortality rates following PD have decreased in recent years</w:t>
      </w:r>
      <w:r w:rsidRPr="00B96FD4">
        <w:rPr>
          <w:rFonts w:ascii="Book Antiqua" w:hAnsi="Book Antiqua"/>
          <w:sz w:val="24"/>
          <w:szCs w:val="24"/>
          <w:vertAlign w:val="superscript"/>
        </w:rPr>
        <w:t>[76,77]</w:t>
      </w:r>
      <w:r w:rsidRPr="0002518C">
        <w:rPr>
          <w:rFonts w:ascii="Book Antiqua" w:hAnsi="Book Antiqua"/>
          <w:sz w:val="24"/>
          <w:szCs w:val="24"/>
        </w:rPr>
        <w:t xml:space="preserve">, the procedure still results in considerable intraoperative stress. </w:t>
      </w:r>
    </w:p>
    <w:p w:rsidR="003B3753" w:rsidRPr="0002518C" w:rsidRDefault="003B3753" w:rsidP="000F1AB6">
      <w:pPr>
        <w:spacing w:line="360" w:lineRule="auto"/>
        <w:ind w:firstLineChars="100" w:firstLine="240"/>
        <w:rPr>
          <w:rFonts w:ascii="Book Antiqua" w:hAnsi="Book Antiqua"/>
          <w:sz w:val="24"/>
          <w:szCs w:val="24"/>
        </w:rPr>
      </w:pPr>
      <w:r w:rsidRPr="0002518C">
        <w:rPr>
          <w:rFonts w:ascii="Book Antiqua" w:hAnsi="Book Antiqua"/>
          <w:sz w:val="24"/>
          <w:szCs w:val="24"/>
        </w:rPr>
        <w:t>Transduodenal local excision</w:t>
      </w:r>
      <w:r w:rsidRPr="00B96FD4">
        <w:rPr>
          <w:rFonts w:ascii="Book Antiqua" w:hAnsi="Book Antiqua"/>
          <w:sz w:val="24"/>
          <w:szCs w:val="24"/>
          <w:vertAlign w:val="superscript"/>
        </w:rPr>
        <w:t>[78,79]</w:t>
      </w:r>
      <w:r w:rsidRPr="0002518C">
        <w:rPr>
          <w:rFonts w:ascii="Book Antiqua" w:hAnsi="Book Antiqua"/>
          <w:sz w:val="24"/>
          <w:szCs w:val="24"/>
        </w:rPr>
        <w:t>, wedge resection (segmental, partial, and full-thickness)</w:t>
      </w:r>
      <w:r w:rsidRPr="00B96FD4">
        <w:rPr>
          <w:rFonts w:ascii="Book Antiqua" w:hAnsi="Book Antiqua"/>
          <w:sz w:val="24"/>
          <w:szCs w:val="24"/>
          <w:vertAlign w:val="superscript"/>
        </w:rPr>
        <w:t>[78,80-83]</w:t>
      </w:r>
      <w:r w:rsidRPr="0002518C">
        <w:rPr>
          <w:rFonts w:ascii="Book Antiqua" w:hAnsi="Book Antiqua"/>
          <w:sz w:val="24"/>
          <w:szCs w:val="24"/>
        </w:rPr>
        <w:t>, and pancreas-sparing duodenectomy (PSD)</w:t>
      </w:r>
      <w:r w:rsidRPr="00B96FD4">
        <w:rPr>
          <w:rFonts w:ascii="Book Antiqua" w:hAnsi="Book Antiqua"/>
          <w:sz w:val="24"/>
          <w:szCs w:val="24"/>
          <w:vertAlign w:val="superscript"/>
        </w:rPr>
        <w:t>[78,84,85]</w:t>
      </w:r>
      <w:r w:rsidRPr="0002518C">
        <w:rPr>
          <w:rFonts w:ascii="Book Antiqua" w:hAnsi="Book Antiqua"/>
          <w:sz w:val="24"/>
          <w:szCs w:val="24"/>
        </w:rPr>
        <w:t xml:space="preserve"> are organ-preserving surgical procedures suitable for patients with premalignant or early malignant duodenal lesions. In a previous study, the recurrence rate of </w:t>
      </w:r>
      <w:r w:rsidRPr="0002518C">
        <w:rPr>
          <w:rFonts w:ascii="Book Antiqua" w:hAnsi="Book Antiqua"/>
          <w:sz w:val="24"/>
          <w:szCs w:val="24"/>
        </w:rPr>
        <w:lastRenderedPageBreak/>
        <w:t>villous duodenal tumors after transduodenal local excision was reported to be 32% at 5 years, and 24% recurrences were cancer</w:t>
      </w:r>
      <w:r w:rsidRPr="00B96FD4">
        <w:rPr>
          <w:rFonts w:ascii="Book Antiqua" w:hAnsi="Book Antiqua"/>
          <w:sz w:val="24"/>
          <w:szCs w:val="24"/>
          <w:vertAlign w:val="superscript"/>
        </w:rPr>
        <w:t>[78]</w:t>
      </w:r>
      <w:r w:rsidRPr="0002518C">
        <w:rPr>
          <w:rFonts w:ascii="Book Antiqua" w:hAnsi="Book Antiqua"/>
          <w:sz w:val="24"/>
          <w:szCs w:val="24"/>
        </w:rPr>
        <w:t>. However, the presence of cancer was not known before surgery, and the authors concluded that PD is appropriate for villous tumors with a malignant component</w:t>
      </w:r>
      <w:r w:rsidRPr="00B96FD4">
        <w:rPr>
          <w:rFonts w:ascii="Book Antiqua" w:hAnsi="Book Antiqua"/>
          <w:sz w:val="24"/>
          <w:szCs w:val="24"/>
          <w:vertAlign w:val="superscript"/>
        </w:rPr>
        <w:t>[78]</w:t>
      </w:r>
      <w:r w:rsidRPr="0002518C">
        <w:rPr>
          <w:rFonts w:ascii="Book Antiqua" w:hAnsi="Book Antiqua"/>
          <w:sz w:val="24"/>
          <w:szCs w:val="24"/>
        </w:rPr>
        <w:t>. Jurisic</w:t>
      </w:r>
      <w:r w:rsidRPr="00B96FD4">
        <w:rPr>
          <w:rFonts w:ascii="Book Antiqua" w:hAnsi="Book Antiqua"/>
          <w:i/>
          <w:sz w:val="24"/>
          <w:szCs w:val="24"/>
        </w:rPr>
        <w:t xml:space="preserve"> et al</w:t>
      </w:r>
      <w:r w:rsidRPr="0002518C">
        <w:rPr>
          <w:rFonts w:ascii="Book Antiqua" w:hAnsi="Book Antiqua"/>
          <w:sz w:val="24"/>
          <w:szCs w:val="24"/>
          <w:vertAlign w:val="superscript"/>
        </w:rPr>
        <w:t>[82]</w:t>
      </w:r>
      <w:r w:rsidRPr="0002518C">
        <w:rPr>
          <w:rFonts w:ascii="Book Antiqua" w:hAnsi="Book Antiqua"/>
          <w:sz w:val="24"/>
          <w:szCs w:val="24"/>
        </w:rPr>
        <w:t xml:space="preserve"> reported local recurrence with nodal metastasis after local excision for cancer with submucosal invasion, suggesting the inadequacy of local excision for T1b NADC.</w:t>
      </w:r>
    </w:p>
    <w:p w:rsidR="003B3753" w:rsidRPr="0002518C" w:rsidRDefault="003B3753" w:rsidP="000F1AB6">
      <w:pPr>
        <w:spacing w:line="360" w:lineRule="auto"/>
        <w:ind w:firstLineChars="100" w:firstLine="240"/>
        <w:rPr>
          <w:rFonts w:ascii="Book Antiqua" w:hAnsi="Book Antiqua"/>
          <w:sz w:val="24"/>
          <w:szCs w:val="24"/>
        </w:rPr>
      </w:pPr>
      <w:r w:rsidRPr="0002518C">
        <w:rPr>
          <w:rFonts w:ascii="Book Antiqua" w:hAnsi="Book Antiqua"/>
          <w:sz w:val="24"/>
          <w:szCs w:val="24"/>
        </w:rPr>
        <w:t>Wedge resection (segmental, partial, and full-thickness) has been associated with lower morbidity than PD</w:t>
      </w:r>
      <w:r w:rsidRPr="00B96FD4">
        <w:rPr>
          <w:rFonts w:ascii="Book Antiqua" w:hAnsi="Book Antiqua"/>
          <w:sz w:val="24"/>
          <w:szCs w:val="24"/>
          <w:vertAlign w:val="superscript"/>
        </w:rPr>
        <w:t>[78,80,81,83,86,87]</w:t>
      </w:r>
      <w:r w:rsidRPr="0002518C">
        <w:rPr>
          <w:rFonts w:ascii="Book Antiqua" w:hAnsi="Book Antiqua"/>
          <w:sz w:val="24"/>
          <w:szCs w:val="24"/>
        </w:rPr>
        <w:t xml:space="preserve">. Tanigawa </w:t>
      </w:r>
      <w:r w:rsidRPr="00B96FD4">
        <w:rPr>
          <w:rFonts w:ascii="Book Antiqua" w:hAnsi="Book Antiqua"/>
          <w:i/>
          <w:sz w:val="24"/>
          <w:szCs w:val="24"/>
        </w:rPr>
        <w:t>et al</w:t>
      </w:r>
      <w:r w:rsidRPr="0002518C">
        <w:rPr>
          <w:rFonts w:ascii="Book Antiqua" w:hAnsi="Book Antiqua"/>
          <w:sz w:val="24"/>
          <w:szCs w:val="24"/>
          <w:vertAlign w:val="superscript"/>
        </w:rPr>
        <w:t>[81]</w:t>
      </w:r>
      <w:r w:rsidRPr="0002518C">
        <w:rPr>
          <w:rFonts w:ascii="Book Antiqua" w:hAnsi="Book Antiqua"/>
          <w:sz w:val="24"/>
          <w:szCs w:val="24"/>
        </w:rPr>
        <w:t xml:space="preserve"> reported a good clinical course without recurrence after partial resection for T1a cancer. For early NADC located in the third and fourth portions of the duodenum, segmental resection is associated with negligible morbidity and mortality, while allowing for satisfactory clear margins during lymphadenectomy</w:t>
      </w:r>
      <w:r w:rsidRPr="00B96FD4">
        <w:rPr>
          <w:rFonts w:ascii="Book Antiqua" w:hAnsi="Book Antiqua"/>
          <w:sz w:val="24"/>
          <w:szCs w:val="24"/>
          <w:vertAlign w:val="superscript"/>
        </w:rPr>
        <w:t>[83]</w:t>
      </w:r>
      <w:r w:rsidRPr="0002518C">
        <w:rPr>
          <w:rFonts w:ascii="Book Antiqua" w:hAnsi="Book Antiqua"/>
          <w:sz w:val="24"/>
          <w:szCs w:val="24"/>
        </w:rPr>
        <w:t>.</w:t>
      </w:r>
    </w:p>
    <w:p w:rsidR="003B3753" w:rsidRPr="0002518C" w:rsidRDefault="003B3753" w:rsidP="000F1AB6">
      <w:pPr>
        <w:spacing w:line="360" w:lineRule="auto"/>
        <w:ind w:firstLineChars="100" w:firstLine="240"/>
        <w:rPr>
          <w:rFonts w:ascii="Book Antiqua" w:hAnsi="Book Antiqua"/>
          <w:sz w:val="24"/>
          <w:szCs w:val="24"/>
        </w:rPr>
      </w:pPr>
      <w:r w:rsidRPr="0002518C">
        <w:rPr>
          <w:rFonts w:ascii="Book Antiqua" w:hAnsi="Book Antiqua"/>
          <w:sz w:val="24"/>
          <w:szCs w:val="24"/>
        </w:rPr>
        <w:t>PSD was introduced as an alternative to PD for treatment of benign and premalignant duodenal disease and is reportedly a beneficial modality for treatment of patients with multiple lesions</w:t>
      </w:r>
      <w:r w:rsidRPr="00B96FD4">
        <w:rPr>
          <w:rFonts w:ascii="Book Antiqua" w:hAnsi="Book Antiqua"/>
          <w:sz w:val="24"/>
          <w:szCs w:val="24"/>
          <w:vertAlign w:val="superscript"/>
        </w:rPr>
        <w:t>[78,84,85,88]</w:t>
      </w:r>
      <w:r w:rsidRPr="0002518C">
        <w:rPr>
          <w:rFonts w:ascii="Book Antiqua" w:hAnsi="Book Antiqua"/>
          <w:sz w:val="24"/>
          <w:szCs w:val="24"/>
        </w:rPr>
        <w:t>. For PSD, patients should have a preoperative diagnosis of no lymphadenopathy and sampling of the lymph node surrounding the tumor before resection should be obtained for intraoperative pathological examination to detect lymph node metastasis</w:t>
      </w:r>
      <w:r w:rsidRPr="00B96FD4">
        <w:rPr>
          <w:rFonts w:ascii="Book Antiqua" w:hAnsi="Book Antiqua"/>
          <w:sz w:val="24"/>
          <w:szCs w:val="24"/>
          <w:vertAlign w:val="superscript"/>
        </w:rPr>
        <w:t>[85]</w:t>
      </w:r>
      <w:r w:rsidRPr="0002518C">
        <w:rPr>
          <w:rFonts w:ascii="Book Antiqua" w:hAnsi="Book Antiqua"/>
          <w:sz w:val="24"/>
          <w:szCs w:val="24"/>
        </w:rPr>
        <w:t xml:space="preserve">. Eisenberger </w:t>
      </w:r>
      <w:r w:rsidRPr="00B96FD4">
        <w:rPr>
          <w:rFonts w:ascii="Book Antiqua" w:hAnsi="Book Antiqua"/>
          <w:i/>
          <w:sz w:val="24"/>
          <w:szCs w:val="24"/>
        </w:rPr>
        <w:t>et al</w:t>
      </w:r>
      <w:r w:rsidRPr="0002518C">
        <w:rPr>
          <w:rFonts w:ascii="Book Antiqua" w:hAnsi="Book Antiqua"/>
          <w:sz w:val="24"/>
          <w:szCs w:val="24"/>
          <w:vertAlign w:val="superscript"/>
        </w:rPr>
        <w:t>[84]</w:t>
      </w:r>
      <w:r w:rsidRPr="0002518C">
        <w:rPr>
          <w:rFonts w:ascii="Book Antiqua" w:hAnsi="Book Antiqua"/>
          <w:sz w:val="24"/>
          <w:szCs w:val="24"/>
        </w:rPr>
        <w:t xml:space="preserve"> recommended analysis of intraoperative fresh frozen sections to exclude malignant disease and to consider conversion of the procedure from PSD to PD after intraoperative diagnosis of malignant disease in the fresh frozen sections. The incidence of local recurrence is low, suggesting that PSD is an acceptable procedure for treatment of selected duodenal </w:t>
      </w:r>
      <w:r w:rsidRPr="0002518C">
        <w:rPr>
          <w:rFonts w:ascii="Book Antiqua" w:hAnsi="Book Antiqua"/>
          <w:sz w:val="24"/>
          <w:szCs w:val="24"/>
        </w:rPr>
        <w:lastRenderedPageBreak/>
        <w:t>neoplasms, such as superficial NADETs confined to the mucosa.</w:t>
      </w:r>
    </w:p>
    <w:p w:rsidR="003B3753" w:rsidRPr="0002518C" w:rsidRDefault="003B3753" w:rsidP="009E7BBE">
      <w:pPr>
        <w:spacing w:line="360" w:lineRule="auto"/>
        <w:rPr>
          <w:rFonts w:ascii="Book Antiqua" w:hAnsi="Book Antiqua"/>
          <w:sz w:val="24"/>
          <w:szCs w:val="24"/>
        </w:rPr>
      </w:pPr>
    </w:p>
    <w:p w:rsidR="003B3753" w:rsidRPr="00B96FD4" w:rsidRDefault="003B3753" w:rsidP="009E7BBE">
      <w:pPr>
        <w:spacing w:line="360" w:lineRule="auto"/>
        <w:rPr>
          <w:rFonts w:ascii="Book Antiqua" w:hAnsi="Book Antiqua"/>
          <w:b/>
          <w:sz w:val="24"/>
          <w:szCs w:val="24"/>
        </w:rPr>
      </w:pPr>
      <w:r w:rsidRPr="00B96FD4">
        <w:rPr>
          <w:rFonts w:ascii="Book Antiqua" w:hAnsi="Book Antiqua"/>
          <w:b/>
          <w:sz w:val="24"/>
          <w:szCs w:val="24"/>
        </w:rPr>
        <w:t xml:space="preserve">PROGNOSIS OF SUPERICIAL NADETs </w:t>
      </w:r>
    </w:p>
    <w:p w:rsidR="003B3753" w:rsidRPr="0002518C" w:rsidRDefault="003B3753" w:rsidP="009E7BBE">
      <w:pPr>
        <w:spacing w:line="360" w:lineRule="auto"/>
        <w:rPr>
          <w:rFonts w:ascii="Book Antiqua" w:hAnsi="Book Antiqua"/>
          <w:sz w:val="24"/>
          <w:szCs w:val="24"/>
        </w:rPr>
      </w:pPr>
      <w:r w:rsidRPr="0002518C">
        <w:rPr>
          <w:rFonts w:ascii="Book Antiqua" w:hAnsi="Book Antiqua"/>
          <w:sz w:val="24"/>
          <w:szCs w:val="24"/>
        </w:rPr>
        <w:t xml:space="preserve">Because previous reports of surgical treatment for duodenal cancer included small numbers of patients with superficial NADETs, including adenoma or early NADC, little information is available regarding treatment success and treatment-related morbidity or mortality. </w:t>
      </w:r>
    </w:p>
    <w:p w:rsidR="003B3753" w:rsidRPr="0002518C" w:rsidRDefault="003B3753" w:rsidP="00841BB6">
      <w:pPr>
        <w:spacing w:line="360" w:lineRule="auto"/>
        <w:ind w:firstLineChars="100" w:firstLine="240"/>
        <w:rPr>
          <w:rFonts w:ascii="Book Antiqua" w:hAnsi="Book Antiqua"/>
          <w:sz w:val="24"/>
          <w:szCs w:val="24"/>
        </w:rPr>
      </w:pPr>
      <w:r w:rsidRPr="0002518C">
        <w:rPr>
          <w:rFonts w:ascii="Book Antiqua" w:hAnsi="Book Antiqua"/>
          <w:sz w:val="24"/>
          <w:szCs w:val="24"/>
        </w:rPr>
        <w:t>The most important prognostic factor is the depth of tumor invasion</w:t>
      </w:r>
      <w:r w:rsidRPr="00B96FD4">
        <w:rPr>
          <w:rFonts w:ascii="Book Antiqua" w:hAnsi="Book Antiqua"/>
          <w:sz w:val="24"/>
          <w:szCs w:val="24"/>
          <w:vertAlign w:val="superscript"/>
        </w:rPr>
        <w:t>[80,89-93]</w:t>
      </w:r>
      <w:r w:rsidRPr="0002518C">
        <w:rPr>
          <w:rFonts w:ascii="Book Antiqua" w:hAnsi="Book Antiqua"/>
          <w:sz w:val="24"/>
          <w:szCs w:val="24"/>
        </w:rPr>
        <w:t>. With regard to the risk of nodal metastasis, superficial NADETs, including adenoma and T1a cancer, are treatable by local resection; however, the ability to achieve a negative margin may be a prerequisite to successful local resection. For adenoma or T1a cancer, ER presents the same distant survival rates as surgery</w:t>
      </w:r>
      <w:r w:rsidRPr="00B96FD4">
        <w:rPr>
          <w:rFonts w:ascii="Book Antiqua" w:hAnsi="Book Antiqua"/>
          <w:sz w:val="24"/>
          <w:szCs w:val="24"/>
          <w:vertAlign w:val="superscript"/>
        </w:rPr>
        <w:t>[94]</w:t>
      </w:r>
      <w:r w:rsidRPr="0002518C">
        <w:rPr>
          <w:rFonts w:ascii="Book Antiqua" w:hAnsi="Book Antiqua"/>
          <w:sz w:val="24"/>
          <w:szCs w:val="24"/>
        </w:rPr>
        <w:t xml:space="preserve">. In contrast, T1b cancer should be resected with lymphadenectomy and PD appears to remain the treatment of choice. In a recent review of 67 patients, Barnes </w:t>
      </w:r>
      <w:r w:rsidRPr="00B96FD4">
        <w:rPr>
          <w:rFonts w:ascii="Book Antiqua" w:hAnsi="Book Antiqua"/>
          <w:i/>
          <w:sz w:val="24"/>
          <w:szCs w:val="24"/>
        </w:rPr>
        <w:t>et al</w:t>
      </w:r>
      <w:r w:rsidRPr="0002518C">
        <w:rPr>
          <w:rFonts w:ascii="Book Antiqua" w:hAnsi="Book Antiqua"/>
          <w:sz w:val="24"/>
          <w:szCs w:val="24"/>
          <w:vertAlign w:val="superscript"/>
        </w:rPr>
        <w:t>[95]</w:t>
      </w:r>
      <w:r w:rsidRPr="0002518C">
        <w:rPr>
          <w:rFonts w:ascii="Book Antiqua" w:hAnsi="Book Antiqua"/>
          <w:sz w:val="24"/>
          <w:szCs w:val="24"/>
        </w:rPr>
        <w:t xml:space="preserve"> reported a 5-year survival rate of 100% in stage I duodenal cancer. Therefore, preoperative diagnosis of the presence of submucosal invasion is important to select the appropriate surgical method.</w:t>
      </w:r>
    </w:p>
    <w:p w:rsidR="003B3753" w:rsidRPr="0002518C" w:rsidRDefault="003B3753" w:rsidP="009E7BBE">
      <w:pPr>
        <w:spacing w:line="360" w:lineRule="auto"/>
        <w:rPr>
          <w:rFonts w:ascii="Book Antiqua" w:hAnsi="Book Antiqua"/>
          <w:sz w:val="24"/>
          <w:szCs w:val="24"/>
        </w:rPr>
      </w:pPr>
    </w:p>
    <w:p w:rsidR="003B3753" w:rsidRPr="00B96FD4" w:rsidRDefault="003B3753" w:rsidP="009E7BBE">
      <w:pPr>
        <w:spacing w:line="360" w:lineRule="auto"/>
        <w:rPr>
          <w:rFonts w:ascii="Book Antiqua" w:hAnsi="Book Antiqua"/>
          <w:b/>
          <w:sz w:val="24"/>
          <w:szCs w:val="24"/>
        </w:rPr>
      </w:pPr>
      <w:r w:rsidRPr="00B96FD4">
        <w:rPr>
          <w:rFonts w:ascii="Book Antiqua" w:hAnsi="Book Antiqua"/>
          <w:b/>
          <w:sz w:val="24"/>
          <w:szCs w:val="24"/>
        </w:rPr>
        <w:t>FOLLOW-UP AFTER TREATMENT</w:t>
      </w:r>
    </w:p>
    <w:p w:rsidR="003B3753" w:rsidRPr="0002518C" w:rsidRDefault="003B3753" w:rsidP="009E7BBE">
      <w:pPr>
        <w:spacing w:line="360" w:lineRule="auto"/>
        <w:rPr>
          <w:rFonts w:ascii="Book Antiqua" w:hAnsi="Book Antiqua"/>
          <w:sz w:val="24"/>
          <w:szCs w:val="24"/>
        </w:rPr>
      </w:pPr>
      <w:r w:rsidRPr="0002518C">
        <w:rPr>
          <w:rFonts w:ascii="Book Antiqua" w:hAnsi="Book Antiqua"/>
          <w:sz w:val="24"/>
          <w:szCs w:val="24"/>
        </w:rPr>
        <w:t xml:space="preserve">Considering that EMR is often performed piecemeal, repetitive endoscopy after resection is necessary. Ahmad </w:t>
      </w:r>
      <w:r w:rsidRPr="00B96FD4">
        <w:rPr>
          <w:rFonts w:ascii="Book Antiqua" w:hAnsi="Book Antiqua"/>
          <w:i/>
          <w:sz w:val="24"/>
          <w:szCs w:val="24"/>
        </w:rPr>
        <w:t>et al</w:t>
      </w:r>
      <w:r w:rsidRPr="0002518C">
        <w:rPr>
          <w:rFonts w:ascii="Book Antiqua" w:hAnsi="Book Antiqua"/>
          <w:sz w:val="24"/>
          <w:szCs w:val="24"/>
          <w:vertAlign w:val="superscript"/>
        </w:rPr>
        <w:t>[37]</w:t>
      </w:r>
      <w:r w:rsidRPr="0002518C">
        <w:rPr>
          <w:rFonts w:ascii="Book Antiqua" w:hAnsi="Book Antiqua"/>
          <w:sz w:val="24"/>
          <w:szCs w:val="24"/>
        </w:rPr>
        <w:t xml:space="preserve"> suggested that 6 wk was a suitable interval to observe healing of the EMR site for lesions requiring multiple sessions to achieve and/or confirm complete remission. Others report that endoscopic surveillance every 3 mo is required initially. Subsequently, if no </w:t>
      </w:r>
      <w:r w:rsidRPr="0002518C">
        <w:rPr>
          <w:rFonts w:ascii="Book Antiqua" w:hAnsi="Book Antiqua"/>
          <w:sz w:val="24"/>
          <w:szCs w:val="24"/>
        </w:rPr>
        <w:lastRenderedPageBreak/>
        <w:t>recurrence is observed, the surveillance should be reduced to every 6 mo or once a year</w:t>
      </w:r>
      <w:r w:rsidRPr="00B96FD4">
        <w:rPr>
          <w:rFonts w:ascii="Book Antiqua" w:hAnsi="Book Antiqua"/>
          <w:sz w:val="24"/>
          <w:szCs w:val="24"/>
          <w:vertAlign w:val="superscript"/>
        </w:rPr>
        <w:t>[54,96]</w:t>
      </w:r>
      <w:r w:rsidRPr="0002518C">
        <w:rPr>
          <w:rFonts w:ascii="Book Antiqua" w:hAnsi="Book Antiqua"/>
          <w:sz w:val="24"/>
          <w:szCs w:val="24"/>
        </w:rPr>
        <w:t>. Annual checkups should be performed for at least 2 years after complete removal</w:t>
      </w:r>
      <w:r w:rsidRPr="00B96FD4">
        <w:rPr>
          <w:rFonts w:ascii="Book Antiqua" w:hAnsi="Book Antiqua"/>
          <w:sz w:val="24"/>
          <w:szCs w:val="24"/>
          <w:vertAlign w:val="superscript"/>
        </w:rPr>
        <w:t>[55]</w:t>
      </w:r>
      <w:r w:rsidRPr="0002518C">
        <w:rPr>
          <w:rFonts w:ascii="Book Antiqua" w:hAnsi="Book Antiqua"/>
          <w:sz w:val="24"/>
          <w:szCs w:val="24"/>
        </w:rPr>
        <w:t>. For lesions with submucosal invasion, computed tomography and abdominal ultrasound should be performed to detect nodal or distant metastasis.</w:t>
      </w:r>
    </w:p>
    <w:p w:rsidR="003B3753" w:rsidRPr="0002518C" w:rsidRDefault="003B3753" w:rsidP="00841BB6">
      <w:pPr>
        <w:spacing w:line="360" w:lineRule="auto"/>
        <w:ind w:firstLineChars="100" w:firstLine="240"/>
        <w:rPr>
          <w:rFonts w:ascii="Book Antiqua" w:hAnsi="Book Antiqua"/>
          <w:sz w:val="24"/>
          <w:szCs w:val="24"/>
        </w:rPr>
      </w:pPr>
      <w:r w:rsidRPr="00B96FD4">
        <w:rPr>
          <w:rFonts w:ascii="Book Antiqua" w:hAnsi="Book Antiqua"/>
          <w:sz w:val="24"/>
          <w:szCs w:val="24"/>
        </w:rPr>
        <w:t>Recent studies of Western populations have suggested that patients with sporadic duodenal adenomas are at a higher risk for the development of colorectal neoplasia</w:t>
      </w:r>
      <w:r w:rsidRPr="00B96FD4">
        <w:rPr>
          <w:rFonts w:ascii="Book Antiqua" w:hAnsi="Book Antiqua"/>
          <w:sz w:val="24"/>
          <w:szCs w:val="24"/>
          <w:vertAlign w:val="superscript"/>
        </w:rPr>
        <w:t>[97-100]</w:t>
      </w:r>
      <w:r w:rsidRPr="00B96FD4">
        <w:rPr>
          <w:rFonts w:ascii="Book Antiqua" w:hAnsi="Book Antiqua"/>
          <w:sz w:val="24"/>
          <w:szCs w:val="24"/>
        </w:rPr>
        <w:t>. The odds ratio of colorectal neoplasia among patients with sporadic duodenal adenomas is reportedly 2.4</w:t>
      </w:r>
      <w:r w:rsidRPr="001D30AC">
        <w:rPr>
          <w:rFonts w:ascii="Book Antiqua" w:hAnsi="Book Antiqua"/>
          <w:sz w:val="24"/>
          <w:szCs w:val="24"/>
        </w:rPr>
        <w:t>–</w:t>
      </w:r>
      <w:r w:rsidRPr="00B96FD4">
        <w:rPr>
          <w:rFonts w:ascii="Book Antiqua" w:hAnsi="Book Antiqua"/>
          <w:sz w:val="24"/>
          <w:szCs w:val="24"/>
        </w:rPr>
        <w:t>3.6, and the incidence of colorectal cancer was significantly higher</w:t>
      </w:r>
      <w:r w:rsidRPr="00B96FD4">
        <w:rPr>
          <w:rFonts w:ascii="Book Antiqua" w:hAnsi="Book Antiqua"/>
          <w:sz w:val="24"/>
          <w:szCs w:val="24"/>
          <w:vertAlign w:val="superscript"/>
        </w:rPr>
        <w:t>[97,98]</w:t>
      </w:r>
      <w:r w:rsidRPr="00B96FD4">
        <w:rPr>
          <w:rFonts w:ascii="Book Antiqua" w:hAnsi="Book Antiqua"/>
          <w:sz w:val="24"/>
          <w:szCs w:val="24"/>
        </w:rPr>
        <w:t>. Dietary risk factors correlated with cancer of the small intestine are similar to those correlated with colon cancer</w:t>
      </w:r>
      <w:r w:rsidRPr="00B96FD4">
        <w:rPr>
          <w:rFonts w:ascii="Book Antiqua" w:hAnsi="Book Antiqua"/>
          <w:sz w:val="24"/>
          <w:szCs w:val="24"/>
          <w:vertAlign w:val="superscript"/>
        </w:rPr>
        <w:t>[101]</w:t>
      </w:r>
      <w:r w:rsidRPr="00B96FD4">
        <w:rPr>
          <w:rFonts w:ascii="Book Antiqua" w:hAnsi="Book Antiqua"/>
          <w:sz w:val="24"/>
          <w:szCs w:val="24"/>
        </w:rPr>
        <w:t>. Therefore, patients with sporadic duodenal adenomas should undergo routine colonoscopy screening to increase the detection rate of colorectal neoplasia.</w:t>
      </w:r>
    </w:p>
    <w:p w:rsidR="003B3753" w:rsidRPr="0002518C" w:rsidRDefault="003B3753" w:rsidP="009E7BBE">
      <w:pPr>
        <w:spacing w:line="360" w:lineRule="auto"/>
        <w:rPr>
          <w:rFonts w:ascii="Book Antiqua" w:hAnsi="Book Antiqua"/>
          <w:sz w:val="24"/>
          <w:szCs w:val="24"/>
        </w:rPr>
      </w:pPr>
    </w:p>
    <w:p w:rsidR="003B3753" w:rsidRPr="00B96FD4" w:rsidRDefault="003B3753" w:rsidP="009E7BBE">
      <w:pPr>
        <w:spacing w:line="360" w:lineRule="auto"/>
        <w:rPr>
          <w:rFonts w:ascii="Book Antiqua" w:hAnsi="Book Antiqua"/>
          <w:b/>
          <w:sz w:val="24"/>
          <w:szCs w:val="24"/>
        </w:rPr>
      </w:pPr>
      <w:r w:rsidRPr="00B96FD4">
        <w:rPr>
          <w:rFonts w:ascii="Book Antiqua" w:hAnsi="Book Antiqua"/>
          <w:b/>
          <w:sz w:val="24"/>
          <w:szCs w:val="24"/>
        </w:rPr>
        <w:t>FUTURE PERSPECTIVES</w:t>
      </w:r>
    </w:p>
    <w:p w:rsidR="003B3753" w:rsidRPr="0002518C" w:rsidRDefault="003B3753" w:rsidP="009E7BBE">
      <w:pPr>
        <w:spacing w:line="360" w:lineRule="auto"/>
        <w:rPr>
          <w:rFonts w:ascii="Book Antiqua" w:hAnsi="Book Antiqua"/>
          <w:sz w:val="24"/>
          <w:szCs w:val="24"/>
        </w:rPr>
      </w:pPr>
      <w:r w:rsidRPr="0002518C">
        <w:rPr>
          <w:rFonts w:ascii="Book Antiqua" w:hAnsi="Book Antiqua"/>
          <w:sz w:val="24"/>
          <w:szCs w:val="24"/>
        </w:rPr>
        <w:t xml:space="preserve">As with other malignancies, early detection is important for the treatment of sporadic superficial NADETs. Establishing an endoscopic diagnostic tool to differentiate the lesion between adenoma and cancer as well as between mucosal and submucosal cancer is required. For lesions confined to the mucosa, local resection is acceptable, and en bloc resection with negative margins is beneficial to lower the risk of local recurrence. The use of endoscopic treatment modalities, including EMR and ESD, for the treatment for superficial NADETs is increasing. However, ESD remains a challenging method, considering the </w:t>
      </w:r>
      <w:r w:rsidRPr="0002518C">
        <w:rPr>
          <w:rFonts w:ascii="Book Antiqua" w:hAnsi="Book Antiqua"/>
          <w:sz w:val="24"/>
          <w:szCs w:val="24"/>
        </w:rPr>
        <w:lastRenderedPageBreak/>
        <w:t>high risk of intraoperative or delayed perforation. Therefore, primary closure of the endoscopically resected site, as a preventive measure, is preferable. The use of radical surgery for superficial NADETs has decreased with the introduction of minimally invasive surgery. Newer methods, such as the use of an over-the-scope clip</w:t>
      </w:r>
      <w:r w:rsidRPr="00B96FD4">
        <w:rPr>
          <w:rFonts w:ascii="Book Antiqua" w:hAnsi="Book Antiqua"/>
          <w:sz w:val="24"/>
          <w:szCs w:val="24"/>
          <w:vertAlign w:val="superscript"/>
        </w:rPr>
        <w:t>[67-69]</w:t>
      </w:r>
      <w:r w:rsidRPr="0002518C">
        <w:rPr>
          <w:rFonts w:ascii="Book Antiqua" w:hAnsi="Book Antiqua"/>
          <w:sz w:val="24"/>
          <w:szCs w:val="24"/>
        </w:rPr>
        <w:t xml:space="preserve"> or combined surgery of endoscopy and laparoscopy</w:t>
      </w:r>
      <w:r w:rsidRPr="00B96FD4">
        <w:rPr>
          <w:rFonts w:ascii="Book Antiqua" w:hAnsi="Book Antiqua"/>
          <w:sz w:val="24"/>
          <w:szCs w:val="24"/>
          <w:vertAlign w:val="superscript"/>
        </w:rPr>
        <w:t>[86,102]</w:t>
      </w:r>
      <w:r w:rsidRPr="0002518C">
        <w:rPr>
          <w:rFonts w:ascii="Book Antiqua" w:hAnsi="Book Antiqua"/>
          <w:sz w:val="24"/>
          <w:szCs w:val="24"/>
        </w:rPr>
        <w:t>, have been reported. Further studies are warranted to improve the current diagnostic and treatment methods to both preserve curability and improve the quality of life.</w:t>
      </w:r>
      <w:r w:rsidRPr="0002518C">
        <w:rPr>
          <w:rFonts w:ascii="Book Antiqua" w:hAnsi="Book Antiqua"/>
          <w:sz w:val="24"/>
          <w:szCs w:val="24"/>
        </w:rPr>
        <w:br w:type="page"/>
      </w:r>
    </w:p>
    <w:p w:rsidR="003B3753" w:rsidRPr="0002518C" w:rsidRDefault="003B3753" w:rsidP="009E7BBE">
      <w:pPr>
        <w:spacing w:line="360" w:lineRule="auto"/>
        <w:rPr>
          <w:rFonts w:ascii="Book Antiqua" w:hAnsi="Book Antiqua"/>
          <w:sz w:val="24"/>
          <w:szCs w:val="24"/>
        </w:rPr>
      </w:pPr>
      <w:r w:rsidRPr="0002518C">
        <w:rPr>
          <w:rFonts w:ascii="Book Antiqua" w:hAnsi="Book Antiqua"/>
          <w:b/>
          <w:sz w:val="24"/>
          <w:szCs w:val="24"/>
        </w:rPr>
        <w:t>REFERENCES</w:t>
      </w:r>
    </w:p>
    <w:p w:rsidR="003B3753" w:rsidRPr="0002518C" w:rsidRDefault="003B3753" w:rsidP="009E7BBE">
      <w:pPr>
        <w:spacing w:line="360" w:lineRule="auto"/>
        <w:rPr>
          <w:rFonts w:ascii="Book Antiqua" w:hAnsi="Book Antiqua"/>
          <w:sz w:val="24"/>
          <w:szCs w:val="24"/>
        </w:rPr>
      </w:pPr>
      <w:r w:rsidRPr="00B96FD4">
        <w:rPr>
          <w:rFonts w:ascii="Book Antiqua" w:hAnsi="Book Antiqua"/>
          <w:sz w:val="24"/>
          <w:szCs w:val="24"/>
        </w:rPr>
        <w:t>1</w:t>
      </w:r>
      <w:r w:rsidRPr="001D30AC">
        <w:rPr>
          <w:rFonts w:ascii="Book Antiqua" w:hAnsi="Book Antiqua"/>
          <w:sz w:val="24"/>
          <w:szCs w:val="24"/>
        </w:rPr>
        <w:t> </w:t>
      </w:r>
      <w:r w:rsidRPr="00B96FD4">
        <w:rPr>
          <w:rFonts w:ascii="Book Antiqua" w:hAnsi="Book Antiqua"/>
          <w:b/>
          <w:bCs/>
          <w:sz w:val="24"/>
          <w:szCs w:val="24"/>
        </w:rPr>
        <w:t>Darling RC</w:t>
      </w:r>
      <w:r w:rsidRPr="00B96FD4">
        <w:rPr>
          <w:rFonts w:ascii="Book Antiqua" w:hAnsi="Book Antiqua"/>
          <w:sz w:val="24"/>
          <w:szCs w:val="24"/>
        </w:rPr>
        <w:t>, Welch CE. Tumors of the small intestine.</w:t>
      </w:r>
      <w:r w:rsidRPr="001D30AC">
        <w:rPr>
          <w:rFonts w:ascii="Book Antiqua" w:hAnsi="Book Antiqua"/>
          <w:sz w:val="24"/>
          <w:szCs w:val="24"/>
        </w:rPr>
        <w:t> </w:t>
      </w:r>
      <w:r w:rsidRPr="00B96FD4">
        <w:rPr>
          <w:rFonts w:ascii="Book Antiqua" w:hAnsi="Book Antiqua"/>
          <w:i/>
          <w:iCs/>
          <w:sz w:val="24"/>
          <w:szCs w:val="24"/>
        </w:rPr>
        <w:t>N Engl J Med</w:t>
      </w:r>
      <w:r w:rsidRPr="001D30AC">
        <w:rPr>
          <w:rFonts w:ascii="Book Antiqua" w:hAnsi="Book Antiqua"/>
          <w:sz w:val="24"/>
          <w:szCs w:val="24"/>
        </w:rPr>
        <w:t> </w:t>
      </w:r>
      <w:r w:rsidRPr="00B96FD4">
        <w:rPr>
          <w:rFonts w:ascii="Book Antiqua" w:hAnsi="Book Antiqua"/>
          <w:sz w:val="24"/>
          <w:szCs w:val="24"/>
        </w:rPr>
        <w:t>1959;</w:t>
      </w:r>
      <w:r w:rsidRPr="001D30AC">
        <w:rPr>
          <w:rFonts w:ascii="Book Antiqua" w:hAnsi="Book Antiqua"/>
          <w:sz w:val="24"/>
          <w:szCs w:val="24"/>
        </w:rPr>
        <w:t> </w:t>
      </w:r>
      <w:r w:rsidRPr="00B96FD4">
        <w:rPr>
          <w:rFonts w:ascii="Book Antiqua" w:hAnsi="Book Antiqua"/>
          <w:b/>
          <w:bCs/>
          <w:sz w:val="24"/>
          <w:szCs w:val="24"/>
        </w:rPr>
        <w:t>260</w:t>
      </w:r>
      <w:r w:rsidRPr="00B96FD4">
        <w:rPr>
          <w:rFonts w:ascii="Book Antiqua" w:hAnsi="Book Antiqua"/>
          <w:sz w:val="24"/>
          <w:szCs w:val="24"/>
        </w:rPr>
        <w:t>: 397-408 [PMID: 13632900 DOI: 10.1056/NEJM195902262600901]</w:t>
      </w:r>
    </w:p>
    <w:p w:rsidR="003B3753" w:rsidRPr="0002518C" w:rsidRDefault="003B3753" w:rsidP="009E7BBE">
      <w:pPr>
        <w:spacing w:line="360" w:lineRule="auto"/>
        <w:rPr>
          <w:rFonts w:ascii="Book Antiqua" w:hAnsi="Book Antiqua"/>
          <w:sz w:val="24"/>
          <w:szCs w:val="24"/>
        </w:rPr>
      </w:pPr>
      <w:r w:rsidRPr="00B96FD4">
        <w:rPr>
          <w:rFonts w:ascii="Book Antiqua" w:hAnsi="Book Antiqua"/>
          <w:sz w:val="24"/>
          <w:szCs w:val="24"/>
        </w:rPr>
        <w:t>2</w:t>
      </w:r>
      <w:r w:rsidRPr="001D30AC">
        <w:rPr>
          <w:rFonts w:ascii="Book Antiqua" w:hAnsi="Book Antiqua"/>
          <w:sz w:val="24"/>
          <w:szCs w:val="24"/>
        </w:rPr>
        <w:t> </w:t>
      </w:r>
      <w:r w:rsidRPr="00B96FD4">
        <w:rPr>
          <w:rFonts w:ascii="Book Antiqua" w:hAnsi="Book Antiqua"/>
          <w:b/>
          <w:bCs/>
          <w:sz w:val="24"/>
          <w:szCs w:val="24"/>
        </w:rPr>
        <w:t>Cortese AF</w:t>
      </w:r>
      <w:r w:rsidRPr="00B96FD4">
        <w:rPr>
          <w:rFonts w:ascii="Book Antiqua" w:hAnsi="Book Antiqua"/>
          <w:sz w:val="24"/>
          <w:szCs w:val="24"/>
        </w:rPr>
        <w:t>, Cornell GN. Carcinoma of the duodenum.</w:t>
      </w:r>
      <w:r w:rsidRPr="001D30AC">
        <w:rPr>
          <w:rFonts w:ascii="Book Antiqua" w:hAnsi="Book Antiqua"/>
          <w:sz w:val="24"/>
          <w:szCs w:val="24"/>
        </w:rPr>
        <w:t> </w:t>
      </w:r>
      <w:r w:rsidRPr="00B96FD4">
        <w:rPr>
          <w:rFonts w:ascii="Book Antiqua" w:hAnsi="Book Antiqua"/>
          <w:i/>
          <w:iCs/>
          <w:sz w:val="24"/>
          <w:szCs w:val="24"/>
        </w:rPr>
        <w:t>Cancer</w:t>
      </w:r>
      <w:r w:rsidRPr="001D30AC">
        <w:rPr>
          <w:rFonts w:ascii="Book Antiqua" w:hAnsi="Book Antiqua"/>
          <w:sz w:val="24"/>
          <w:szCs w:val="24"/>
        </w:rPr>
        <w:t> </w:t>
      </w:r>
      <w:r w:rsidRPr="00B96FD4">
        <w:rPr>
          <w:rFonts w:ascii="Book Antiqua" w:hAnsi="Book Antiqua"/>
          <w:sz w:val="24"/>
          <w:szCs w:val="24"/>
        </w:rPr>
        <w:t>1972;</w:t>
      </w:r>
      <w:r w:rsidRPr="001D30AC">
        <w:rPr>
          <w:rFonts w:ascii="Book Antiqua" w:hAnsi="Book Antiqua"/>
          <w:sz w:val="24"/>
          <w:szCs w:val="24"/>
        </w:rPr>
        <w:t> </w:t>
      </w:r>
      <w:r w:rsidRPr="00B96FD4">
        <w:rPr>
          <w:rFonts w:ascii="Book Antiqua" w:hAnsi="Book Antiqua"/>
          <w:b/>
          <w:bCs/>
          <w:sz w:val="24"/>
          <w:szCs w:val="24"/>
        </w:rPr>
        <w:t>29</w:t>
      </w:r>
      <w:r w:rsidRPr="00B96FD4">
        <w:rPr>
          <w:rFonts w:ascii="Book Antiqua" w:hAnsi="Book Antiqua"/>
          <w:sz w:val="24"/>
          <w:szCs w:val="24"/>
        </w:rPr>
        <w:t xml:space="preserve">: 1010-1015 [PMID: 5017329 </w:t>
      </w:r>
      <w:bookmarkStart w:id="5" w:name="OLE_LINK25"/>
      <w:bookmarkStart w:id="6" w:name="OLE_LINK26"/>
      <w:r w:rsidRPr="00B96FD4">
        <w:rPr>
          <w:rFonts w:ascii="Book Antiqua" w:hAnsi="Book Antiqua"/>
          <w:sz w:val="24"/>
          <w:szCs w:val="24"/>
        </w:rPr>
        <w:t>DOI: 10.1002/1097-0142(197204)29: 4&lt;1010: : AID-CNCR2820290448&gt;3.0.CO; 2-6</w:t>
      </w:r>
      <w:bookmarkEnd w:id="5"/>
      <w:bookmarkEnd w:id="6"/>
      <w:r w:rsidRPr="00B96FD4">
        <w:rPr>
          <w:rFonts w:ascii="Book Antiqua" w:hAnsi="Book Antiqua"/>
          <w:sz w:val="24"/>
          <w:szCs w:val="24"/>
        </w:rPr>
        <w:t>]</w:t>
      </w:r>
    </w:p>
    <w:p w:rsidR="003B3753" w:rsidRPr="0002518C" w:rsidRDefault="003B3753" w:rsidP="009E7BBE">
      <w:pPr>
        <w:spacing w:line="360" w:lineRule="auto"/>
        <w:rPr>
          <w:rFonts w:ascii="Book Antiqua" w:hAnsi="Book Antiqua"/>
          <w:sz w:val="24"/>
          <w:szCs w:val="24"/>
        </w:rPr>
      </w:pPr>
      <w:r w:rsidRPr="00B96FD4">
        <w:rPr>
          <w:rFonts w:ascii="Book Antiqua" w:hAnsi="Book Antiqua"/>
          <w:sz w:val="24"/>
          <w:szCs w:val="24"/>
        </w:rPr>
        <w:t>3</w:t>
      </w:r>
      <w:r w:rsidRPr="001D30AC">
        <w:rPr>
          <w:rFonts w:ascii="Book Antiqua" w:hAnsi="Book Antiqua"/>
          <w:sz w:val="24"/>
          <w:szCs w:val="24"/>
        </w:rPr>
        <w:t> </w:t>
      </w:r>
      <w:r w:rsidRPr="00B96FD4">
        <w:rPr>
          <w:rFonts w:ascii="Book Antiqua" w:hAnsi="Book Antiqua"/>
          <w:b/>
          <w:bCs/>
          <w:sz w:val="24"/>
          <w:szCs w:val="24"/>
        </w:rPr>
        <w:t>Hoffman BP</w:t>
      </w:r>
      <w:r w:rsidRPr="00B96FD4">
        <w:rPr>
          <w:rFonts w:ascii="Book Antiqua" w:hAnsi="Book Antiqua"/>
          <w:sz w:val="24"/>
          <w:szCs w:val="24"/>
        </w:rPr>
        <w:t>, Grayzel DM. Benign tumors of the duodenum.</w:t>
      </w:r>
      <w:r w:rsidRPr="001D30AC">
        <w:rPr>
          <w:rFonts w:ascii="Book Antiqua" w:hAnsi="Book Antiqua"/>
          <w:sz w:val="24"/>
          <w:szCs w:val="24"/>
        </w:rPr>
        <w:t> </w:t>
      </w:r>
      <w:r w:rsidRPr="00B96FD4">
        <w:rPr>
          <w:rFonts w:ascii="Book Antiqua" w:hAnsi="Book Antiqua"/>
          <w:i/>
          <w:iCs/>
          <w:sz w:val="24"/>
          <w:szCs w:val="24"/>
        </w:rPr>
        <w:t>Am J Surg</w:t>
      </w:r>
      <w:r w:rsidRPr="001D30AC">
        <w:rPr>
          <w:rFonts w:ascii="Book Antiqua" w:hAnsi="Book Antiqua"/>
          <w:sz w:val="24"/>
          <w:szCs w:val="24"/>
        </w:rPr>
        <w:t> </w:t>
      </w:r>
      <w:r w:rsidRPr="00B96FD4">
        <w:rPr>
          <w:rFonts w:ascii="Book Antiqua" w:hAnsi="Book Antiqua"/>
          <w:sz w:val="24"/>
          <w:szCs w:val="24"/>
        </w:rPr>
        <w:t>1945;</w:t>
      </w:r>
      <w:r w:rsidRPr="001D30AC">
        <w:rPr>
          <w:rFonts w:ascii="Book Antiqua" w:hAnsi="Book Antiqua"/>
          <w:sz w:val="24"/>
          <w:szCs w:val="24"/>
        </w:rPr>
        <w:t> </w:t>
      </w:r>
      <w:r w:rsidRPr="00B96FD4">
        <w:rPr>
          <w:rFonts w:ascii="Book Antiqua" w:hAnsi="Book Antiqua"/>
          <w:b/>
          <w:bCs/>
          <w:sz w:val="24"/>
          <w:szCs w:val="24"/>
        </w:rPr>
        <w:t>70</w:t>
      </w:r>
      <w:r w:rsidRPr="00B96FD4">
        <w:rPr>
          <w:rFonts w:ascii="Book Antiqua" w:hAnsi="Book Antiqua"/>
          <w:sz w:val="24"/>
          <w:szCs w:val="24"/>
        </w:rPr>
        <w:t>: 394-400 [PMID: 21005186]</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Shukla SK</w:t>
      </w:r>
      <w:r w:rsidRPr="00B96FD4">
        <w:rPr>
          <w:rFonts w:ascii="Book Antiqua" w:hAnsi="Book Antiqua"/>
          <w:color w:val="000000"/>
          <w:sz w:val="24"/>
          <w:szCs w:val="24"/>
          <w:lang w:val="en-GB" w:eastAsia="en-US"/>
        </w:rPr>
        <w:t>, Elias EG. Primary neoplasms of the duodenum.</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Surg Gynecol Obstet</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1976;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142</w:t>
      </w:r>
      <w:r w:rsidRPr="00B96FD4">
        <w:rPr>
          <w:rFonts w:ascii="Book Antiqua" w:hAnsi="Book Antiqua"/>
          <w:color w:val="000000"/>
          <w:sz w:val="24"/>
          <w:szCs w:val="24"/>
          <w:lang w:val="en-GB" w:eastAsia="en-US"/>
        </w:rPr>
        <w:t>: 858-860 [PMID: 936029]</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5</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Perzin KH</w:t>
      </w:r>
      <w:r w:rsidRPr="00B96FD4">
        <w:rPr>
          <w:rFonts w:ascii="Book Antiqua" w:hAnsi="Book Antiqua"/>
          <w:color w:val="000000"/>
          <w:sz w:val="24"/>
          <w:szCs w:val="24"/>
          <w:lang w:val="en-GB" w:eastAsia="en-US"/>
        </w:rPr>
        <w:t>, Bridge MF. Adenomas of the small intestine: a clinicopathologic review of 51 cases and a study of their relationship to carcinoma.</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Cancer</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1981;</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48</w:t>
      </w:r>
      <w:r w:rsidRPr="00B96FD4">
        <w:rPr>
          <w:rFonts w:ascii="Book Antiqua" w:hAnsi="Book Antiqua"/>
          <w:color w:val="000000"/>
          <w:sz w:val="24"/>
          <w:szCs w:val="24"/>
          <w:lang w:val="en-GB" w:eastAsia="en-US"/>
        </w:rPr>
        <w:t>: 799-819 [PMID: 7248908 DOI: 10.1002/1097-0142(19810801)48: ]</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Höchter W</w:t>
      </w:r>
      <w:r w:rsidRPr="00B96FD4">
        <w:rPr>
          <w:rFonts w:ascii="Book Antiqua" w:hAnsi="Book Antiqua"/>
          <w:color w:val="000000"/>
          <w:sz w:val="24"/>
          <w:szCs w:val="24"/>
          <w:lang w:val="en-GB" w:eastAsia="en-US"/>
        </w:rPr>
        <w:t>, Weingart J, Seib HJ, Ottenjann R. [Duodenal polyps. Incidence, histologic substrate and significance].</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Dtsch Med Wochenschr</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1984;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109</w:t>
      </w:r>
      <w:r w:rsidRPr="00B96FD4">
        <w:rPr>
          <w:rFonts w:ascii="Book Antiqua" w:hAnsi="Book Antiqua"/>
          <w:color w:val="000000"/>
          <w:sz w:val="24"/>
          <w:szCs w:val="24"/>
          <w:lang w:val="en-GB" w:eastAsia="en-US"/>
        </w:rPr>
        <w:t>: 1183-1186 [PMID: 6745123 DOI: 10.1055/s-2008-1069345]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Alwmark A</w:t>
      </w:r>
      <w:r w:rsidRPr="00B96FD4">
        <w:rPr>
          <w:rFonts w:ascii="Book Antiqua" w:hAnsi="Book Antiqua"/>
          <w:color w:val="000000"/>
          <w:sz w:val="24"/>
          <w:szCs w:val="24"/>
          <w:lang w:val="en-GB" w:eastAsia="en-US"/>
        </w:rPr>
        <w:t>, Andersson A, Lasson A. Primary carcinoma of the duodenum.</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Ann Surg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1980;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191</w:t>
      </w:r>
      <w:r w:rsidRPr="00B96FD4">
        <w:rPr>
          <w:rFonts w:ascii="Book Antiqua" w:hAnsi="Book Antiqua"/>
          <w:color w:val="000000"/>
          <w:sz w:val="24"/>
          <w:szCs w:val="24"/>
          <w:lang w:val="en-GB" w:eastAsia="en-US"/>
        </w:rPr>
        <w:t>: 13-18 [PMID: 7352773]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8 </w:t>
      </w:r>
      <w:r w:rsidRPr="00B96FD4">
        <w:rPr>
          <w:rFonts w:ascii="Book Antiqua" w:hAnsi="Book Antiqua"/>
          <w:b/>
          <w:color w:val="000000"/>
          <w:sz w:val="24"/>
          <w:szCs w:val="24"/>
          <w:lang w:val="en-GB" w:eastAsia="en-US"/>
        </w:rPr>
        <w:t>Yokoyama T</w:t>
      </w:r>
      <w:r w:rsidRPr="00B96FD4">
        <w:rPr>
          <w:rFonts w:ascii="Book Antiqua" w:hAnsi="Book Antiqua"/>
          <w:color w:val="000000"/>
          <w:sz w:val="24"/>
          <w:szCs w:val="24"/>
          <w:lang w:val="en-GB" w:eastAsia="en-US"/>
        </w:rPr>
        <w:t xml:space="preserve">, Saito D, Kondo H, Kido M, Hosokawa K, Shirao K, Yokota T, Yamaguchi H, Oguro Y, Ishikawa T, Ushio K, Ochiai A, Hiroasi S, Yoshida S. Endoscopic diagnosis of malignant lesions of the duodenum. </w:t>
      </w:r>
      <w:r w:rsidRPr="00B96FD4">
        <w:rPr>
          <w:rFonts w:ascii="Book Antiqua" w:hAnsi="Book Antiqua"/>
          <w:i/>
          <w:color w:val="000000"/>
          <w:sz w:val="24"/>
          <w:szCs w:val="24"/>
          <w:lang w:val="en-GB" w:eastAsia="en-US"/>
        </w:rPr>
        <w:t>Stomach Intestine</w:t>
      </w:r>
      <w:r w:rsidRPr="00B96FD4">
        <w:rPr>
          <w:rFonts w:ascii="Book Antiqua" w:hAnsi="Book Antiqua"/>
          <w:color w:val="000000"/>
          <w:sz w:val="24"/>
          <w:szCs w:val="24"/>
          <w:lang w:val="en-GB" w:eastAsia="en-US"/>
        </w:rPr>
        <w:t xml:space="preserve"> 1993; </w:t>
      </w:r>
      <w:r w:rsidRPr="00B96FD4">
        <w:rPr>
          <w:rFonts w:ascii="Book Antiqua" w:hAnsi="Book Antiqua"/>
          <w:b/>
          <w:color w:val="000000"/>
          <w:sz w:val="24"/>
          <w:szCs w:val="24"/>
          <w:lang w:val="en-GB" w:eastAsia="en-US"/>
        </w:rPr>
        <w:t>28</w:t>
      </w:r>
      <w:r w:rsidRPr="00B96FD4">
        <w:rPr>
          <w:rFonts w:ascii="Book Antiqua" w:hAnsi="Book Antiqua"/>
          <w:color w:val="000000"/>
          <w:sz w:val="24"/>
          <w:szCs w:val="24"/>
          <w:lang w:val="en-GB" w:eastAsia="en-US"/>
        </w:rPr>
        <w:t>: 641-649</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lastRenderedPageBreak/>
        <w:t>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Batra SK</w:t>
      </w:r>
      <w:r w:rsidRPr="00B96FD4">
        <w:rPr>
          <w:rFonts w:ascii="Book Antiqua" w:hAnsi="Book Antiqua"/>
          <w:color w:val="000000"/>
          <w:sz w:val="24"/>
          <w:szCs w:val="24"/>
          <w:lang w:val="en-GB" w:eastAsia="en-US"/>
        </w:rPr>
        <w:t>, Schuman BM, Reddy RR. The endoscopic variety of duodenal villous adenoma - an experience with ten cases.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Endoscopy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1983;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15</w:t>
      </w:r>
      <w:r w:rsidRPr="00B96FD4">
        <w:rPr>
          <w:rFonts w:ascii="Book Antiqua" w:hAnsi="Book Antiqua"/>
          <w:color w:val="000000"/>
          <w:sz w:val="24"/>
          <w:szCs w:val="24"/>
          <w:lang w:val="en-GB" w:eastAsia="en-US"/>
        </w:rPr>
        <w:t>: 89-92 [PMID: 6872969 DOI: 10.1055/s-2007-1021475]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10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Jepsen JM</w:t>
      </w:r>
      <w:r w:rsidRPr="00B96FD4">
        <w:rPr>
          <w:rFonts w:ascii="Book Antiqua" w:hAnsi="Book Antiqua"/>
          <w:color w:val="000000"/>
          <w:sz w:val="24"/>
          <w:szCs w:val="24"/>
          <w:lang w:val="en-GB" w:eastAsia="en-US"/>
        </w:rPr>
        <w:t>, Persson M, Jakobsen NO, Christiansen T, Skoubo-Kristensen E, Funch-Jensen P, Kruse A, Thommesen P. Prospective study of prevalence and endoscopic and histopathologic characteristics of duodenal polyps in patients submitted to upper endoscopy.</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Scand J Gastroenterol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29</w:t>
      </w:r>
      <w:r w:rsidRPr="00B96FD4">
        <w:rPr>
          <w:rFonts w:ascii="Book Antiqua" w:hAnsi="Book Antiqua"/>
          <w:color w:val="000000"/>
          <w:sz w:val="24"/>
          <w:szCs w:val="24"/>
          <w:lang w:val="en-GB" w:eastAsia="en-US"/>
        </w:rPr>
        <w:t>: 483-487 [PMID: 8079103]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11</w:t>
      </w:r>
      <w:r w:rsidRPr="00B96FD4">
        <w:rPr>
          <w:rFonts w:ascii="Book Antiqua" w:hAnsi="Book Antiqua"/>
          <w:b/>
          <w:color w:val="000000"/>
          <w:sz w:val="24"/>
          <w:szCs w:val="24"/>
          <w:lang w:val="en-GB" w:eastAsia="en-US"/>
        </w:rPr>
        <w:t xml:space="preserve"> Nagatani K</w:t>
      </w:r>
      <w:r w:rsidRPr="00B96FD4">
        <w:rPr>
          <w:rFonts w:ascii="Book Antiqua" w:hAnsi="Book Antiqua"/>
          <w:color w:val="000000"/>
          <w:sz w:val="24"/>
          <w:szCs w:val="24"/>
          <w:lang w:val="en-GB" w:eastAsia="en-US"/>
        </w:rPr>
        <w:t>, Takekoshi T, Baba Y, Kaku S, Koizumi K, Fujii A, Ogata E, Ohta H, Nishi M, Kato Y, Yanagisawa A. Indications for endoscopic treatment of early duodenal cancer based on cases reported in the literature</w:t>
      </w:r>
      <w:r>
        <w:rPr>
          <w:rFonts w:ascii="Book Antiqua" w:hAnsi="Book Antiqua"/>
          <w:color w:val="000000"/>
          <w:sz w:val="24"/>
          <w:szCs w:val="24"/>
          <w:lang w:val="en-GB" w:eastAsia="en-US"/>
        </w:rPr>
        <w:t xml:space="preserve"> </w:t>
      </w:r>
      <w:r w:rsidRPr="0002518C">
        <w:rPr>
          <w:rFonts w:ascii="Book Antiqua" w:hAnsi="Book Antiqua"/>
          <w:color w:val="000000"/>
          <w:sz w:val="24"/>
          <w:szCs w:val="24"/>
          <w:lang w:val="en-GB" w:eastAsia="en-US"/>
        </w:rPr>
        <w:t xml:space="preserve">(in Japanese). </w:t>
      </w:r>
      <w:r w:rsidRPr="0002518C">
        <w:rPr>
          <w:rFonts w:ascii="Book Antiqua" w:hAnsi="Book Antiqua"/>
          <w:i/>
          <w:color w:val="000000"/>
          <w:sz w:val="24"/>
          <w:szCs w:val="24"/>
          <w:lang w:val="en-GB" w:eastAsia="en-US"/>
        </w:rPr>
        <w:t>Endosc Digest</w:t>
      </w:r>
      <w:r w:rsidRPr="0002518C">
        <w:rPr>
          <w:rFonts w:ascii="Book Antiqua" w:hAnsi="Book Antiqua"/>
          <w:color w:val="000000"/>
          <w:sz w:val="24"/>
          <w:szCs w:val="24"/>
          <w:lang w:val="en-GB" w:eastAsia="en-US"/>
        </w:rPr>
        <w:t xml:space="preserve"> 1993; </w:t>
      </w:r>
      <w:r w:rsidRPr="0002518C">
        <w:rPr>
          <w:rFonts w:ascii="Book Antiqua" w:hAnsi="Book Antiqua"/>
          <w:b/>
          <w:color w:val="000000"/>
          <w:sz w:val="24"/>
          <w:szCs w:val="24"/>
          <w:lang w:val="en-GB" w:eastAsia="en-US"/>
        </w:rPr>
        <w:t>5</w:t>
      </w:r>
      <w:r w:rsidRPr="0002518C">
        <w:rPr>
          <w:rFonts w:ascii="Book Antiqua" w:hAnsi="Book Antiqua"/>
          <w:color w:val="000000"/>
          <w:sz w:val="24"/>
          <w:szCs w:val="24"/>
          <w:lang w:val="en-GB" w:eastAsia="en-US"/>
        </w:rPr>
        <w:t>: 969-976</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12 </w:t>
      </w:r>
      <w:r w:rsidRPr="00B96FD4">
        <w:rPr>
          <w:rFonts w:ascii="Book Antiqua" w:hAnsi="Book Antiqua"/>
          <w:b/>
          <w:color w:val="000000"/>
          <w:sz w:val="24"/>
          <w:szCs w:val="24"/>
          <w:lang w:val="en-GB" w:eastAsia="en-US"/>
        </w:rPr>
        <w:t>Fujisawa T</w:t>
      </w:r>
      <w:r w:rsidRPr="00B96FD4">
        <w:rPr>
          <w:rFonts w:ascii="Book Antiqua" w:hAnsi="Book Antiqua"/>
          <w:color w:val="000000"/>
          <w:sz w:val="24"/>
          <w:szCs w:val="24"/>
          <w:lang w:val="en-GB" w:eastAsia="en-US"/>
        </w:rPr>
        <w:t xml:space="preserve">, Tomofuji Y, Kuroda N, Hagino H, Sakamoto N, Sakashita M, Maeda M, Kouno T, Matsuno Y. A case of early duodenal cancer with tubulo-villous adenoma: report of a case and clinicopathological review of Japanese literature. </w:t>
      </w:r>
      <w:r w:rsidRPr="00B96FD4">
        <w:rPr>
          <w:rFonts w:ascii="Book Antiqua" w:hAnsi="Book Antiqua"/>
          <w:i/>
          <w:color w:val="000000"/>
          <w:sz w:val="24"/>
          <w:szCs w:val="24"/>
          <w:lang w:val="en-GB" w:eastAsia="en-US"/>
        </w:rPr>
        <w:t>Gastroenterol Endosc</w:t>
      </w:r>
      <w:r w:rsidRPr="00B96FD4">
        <w:rPr>
          <w:rFonts w:ascii="Book Antiqua" w:hAnsi="Book Antiqua"/>
          <w:color w:val="000000"/>
          <w:sz w:val="24"/>
          <w:szCs w:val="24"/>
          <w:lang w:val="en-GB" w:eastAsia="en-US"/>
        </w:rPr>
        <w:t xml:space="preserve"> 1995; </w:t>
      </w:r>
      <w:r w:rsidRPr="00B96FD4">
        <w:rPr>
          <w:rFonts w:ascii="Book Antiqua" w:hAnsi="Book Antiqua"/>
          <w:b/>
          <w:color w:val="000000"/>
          <w:sz w:val="24"/>
          <w:szCs w:val="24"/>
          <w:lang w:val="en-GB" w:eastAsia="en-US"/>
        </w:rPr>
        <w:t>37</w:t>
      </w:r>
      <w:r w:rsidRPr="00B96FD4">
        <w:rPr>
          <w:rFonts w:ascii="Book Antiqua" w:hAnsi="Book Antiqua"/>
          <w:color w:val="000000"/>
          <w:sz w:val="24"/>
          <w:szCs w:val="24"/>
          <w:lang w:val="en-GB" w:eastAsia="en-US"/>
        </w:rPr>
        <w:t>: 2768-2775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13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Oka S</w:t>
      </w:r>
      <w:r w:rsidRPr="00B96FD4">
        <w:rPr>
          <w:rFonts w:ascii="Book Antiqua" w:hAnsi="Book Antiqua"/>
          <w:color w:val="000000"/>
          <w:sz w:val="24"/>
          <w:szCs w:val="24"/>
          <w:lang w:val="en-GB" w:eastAsia="en-US"/>
        </w:rPr>
        <w:t>, Tanaka S, Nagata S, Hiyama T, Ito M, Kitadai Y, Yoshihara M, Haruma K, Chayama K. Clinicopathologic features and endoscopic resection of early primary nonampullary duodenal carcinoma.</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J Clin Gastroenterol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37</w:t>
      </w:r>
      <w:r w:rsidRPr="00B96FD4">
        <w:rPr>
          <w:rFonts w:ascii="Book Antiqua" w:hAnsi="Book Antiqua"/>
          <w:color w:val="000000"/>
          <w:sz w:val="24"/>
          <w:szCs w:val="24"/>
          <w:lang w:val="en-GB" w:eastAsia="en-US"/>
        </w:rPr>
        <w:t>: 381-386 [PMID: 14564184]</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14 </w:t>
      </w:r>
      <w:r w:rsidRPr="00B96FD4">
        <w:rPr>
          <w:rFonts w:ascii="Book Antiqua" w:hAnsi="Book Antiqua"/>
          <w:b/>
          <w:color w:val="000000"/>
          <w:sz w:val="24"/>
          <w:szCs w:val="24"/>
          <w:lang w:val="en-GB" w:eastAsia="en-US"/>
        </w:rPr>
        <w:t>Japanese Society for Cancer of the Colon and Rectum</w:t>
      </w:r>
      <w:r w:rsidRPr="0002518C">
        <w:rPr>
          <w:rFonts w:ascii="Book Antiqua" w:hAnsi="Book Antiqua"/>
          <w:color w:val="000000"/>
          <w:sz w:val="24"/>
          <w:szCs w:val="24"/>
          <w:lang w:val="en-GB" w:eastAsia="en-US"/>
        </w:rPr>
        <w:t>. Japanese classification of colorectal carcinoma. 8th ed. Tokyo, Kanehara Shuppan, 2013: 9-10</w:t>
      </w:r>
    </w:p>
    <w:p w:rsidR="003B3753" w:rsidRPr="0002518C" w:rsidRDefault="003B3753" w:rsidP="009E7BBE">
      <w:pPr>
        <w:spacing w:line="360" w:lineRule="auto"/>
        <w:rPr>
          <w:rFonts w:ascii="Book Antiqua" w:hAnsi="Book Antiqua"/>
          <w:color w:val="000000"/>
          <w:sz w:val="24"/>
          <w:szCs w:val="24"/>
          <w:lang w:val="en-GB" w:eastAsia="en-US"/>
        </w:rPr>
      </w:pPr>
      <w:r w:rsidRPr="0002518C">
        <w:rPr>
          <w:rFonts w:ascii="Book Antiqua" w:hAnsi="Book Antiqua"/>
          <w:color w:val="000000"/>
          <w:sz w:val="24"/>
          <w:szCs w:val="24"/>
          <w:lang w:val="en-GB" w:eastAsia="en-US"/>
        </w:rPr>
        <w:t>15 </w:t>
      </w:r>
      <w:r w:rsidRPr="00B96FD4">
        <w:rPr>
          <w:rFonts w:ascii="Book Antiqua" w:hAnsi="Book Antiqua"/>
          <w:b/>
          <w:bCs/>
          <w:color w:val="000000"/>
          <w:sz w:val="24"/>
          <w:szCs w:val="24"/>
          <w:lang w:val="en-GB" w:eastAsia="en-US"/>
        </w:rPr>
        <w:t>Sellner F</w:t>
      </w:r>
      <w:r w:rsidRPr="00B96FD4">
        <w:rPr>
          <w:rFonts w:ascii="Book Antiqua" w:hAnsi="Book Antiqua"/>
          <w:color w:val="000000"/>
          <w:sz w:val="24"/>
          <w:szCs w:val="24"/>
          <w:lang w:val="en-GB" w:eastAsia="en-US"/>
        </w:rPr>
        <w:t xml:space="preserve">. Investigations on the significance of the adenoma-carcinoma </w:t>
      </w:r>
      <w:r w:rsidRPr="00B96FD4">
        <w:rPr>
          <w:rFonts w:ascii="Book Antiqua" w:hAnsi="Book Antiqua"/>
          <w:color w:val="000000"/>
          <w:sz w:val="24"/>
          <w:szCs w:val="24"/>
          <w:lang w:val="en-GB" w:eastAsia="en-US"/>
        </w:rPr>
        <w:lastRenderedPageBreak/>
        <w:t>sequence in the small bowel.</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Cancer</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66</w:t>
      </w:r>
      <w:r w:rsidRPr="00B96FD4">
        <w:rPr>
          <w:rFonts w:ascii="Book Antiqua" w:hAnsi="Book Antiqua"/>
          <w:color w:val="000000"/>
          <w:sz w:val="24"/>
          <w:szCs w:val="24"/>
          <w:lang w:val="en-GB" w:eastAsia="en-US"/>
        </w:rPr>
        <w:t>: 702-715 [PMID: 2167140 DOI: 10.1002/1097-0142(19900815)66: ]</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16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Shimizu N</w:t>
      </w:r>
      <w:r w:rsidRPr="00B96FD4">
        <w:rPr>
          <w:rFonts w:ascii="Book Antiqua" w:hAnsi="Book Antiqua"/>
          <w:color w:val="000000"/>
          <w:sz w:val="24"/>
          <w:szCs w:val="24"/>
          <w:lang w:val="en-GB" w:eastAsia="en-US"/>
        </w:rPr>
        <w:t>, Tanaka S, Morikawa J, Yorioka S, Fukuda S, Yamashita S, Bamba M, Hattori T, Hosoda S. [Early duodenal cancer of the bulb--report of a case].</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Gan No Rinsho</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1989;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35</w:t>
      </w:r>
      <w:r w:rsidRPr="00B96FD4">
        <w:rPr>
          <w:rFonts w:ascii="Book Antiqua" w:hAnsi="Book Antiqua"/>
          <w:color w:val="000000"/>
          <w:sz w:val="24"/>
          <w:szCs w:val="24"/>
          <w:lang w:val="en-GB" w:eastAsia="en-US"/>
        </w:rPr>
        <w:t>: 100-106 [PMID: 2646464]</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17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Schulten MF</w:t>
      </w:r>
      <w:r w:rsidRPr="00B96FD4">
        <w:rPr>
          <w:rFonts w:ascii="Book Antiqua" w:hAnsi="Book Antiqua"/>
          <w:color w:val="000000"/>
          <w:sz w:val="24"/>
          <w:szCs w:val="24"/>
          <w:lang w:val="en-GB" w:eastAsia="en-US"/>
        </w:rPr>
        <w:t>, Oyasu R, Beal JM. Villous adenoma of the duodenum. A case report and review of the literature.</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Am J Surg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1976;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132</w:t>
      </w:r>
      <w:r w:rsidRPr="00B96FD4">
        <w:rPr>
          <w:rFonts w:ascii="Book Antiqua" w:hAnsi="Book Antiqua"/>
          <w:color w:val="000000"/>
          <w:sz w:val="24"/>
          <w:szCs w:val="24"/>
          <w:lang w:val="en-GB" w:eastAsia="en-US"/>
        </w:rPr>
        <w:t>: 90-96 [PMID: 952341]</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18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Sohn TA</w:t>
      </w:r>
      <w:r w:rsidRPr="00B96FD4">
        <w:rPr>
          <w:rFonts w:ascii="Book Antiqua" w:hAnsi="Book Antiqua"/>
          <w:color w:val="000000"/>
          <w:sz w:val="24"/>
          <w:szCs w:val="24"/>
          <w:lang w:val="en-GB" w:eastAsia="en-US"/>
        </w:rPr>
        <w:t>, Lillemoe KD, Cameron JL, Pitt HA, Kaufman HS, Hruban RH, Yeo CJ. Adenocarcinoma of the duodenum: factors influencing long-term survival.</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 xml:space="preserve">J Gastrointest Surg </w:t>
      </w:r>
      <w:r w:rsidRPr="00B96FD4">
        <w:rPr>
          <w:rFonts w:ascii="Book Antiqua" w:hAnsi="Book Antiqua"/>
          <w:iCs/>
          <w:color w:val="000000"/>
          <w:sz w:val="24"/>
          <w:szCs w:val="24"/>
          <w:lang w:val="en-GB" w:eastAsia="en-US"/>
        </w:rPr>
        <w:t>1998</w:t>
      </w:r>
      <w:r w:rsidRPr="00B96FD4">
        <w:rPr>
          <w:rFonts w:ascii="Book Antiqua" w:hAnsi="Book Antiqua"/>
          <w:color w:val="000000"/>
          <w:sz w:val="24"/>
          <w:szCs w:val="24"/>
          <w:lang w:val="en-GB" w:eastAsia="en-US"/>
        </w:rPr>
        <w:t>;</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w:t>
      </w:r>
      <w:r w:rsidRPr="00B96FD4">
        <w:rPr>
          <w:rFonts w:ascii="Book Antiqua" w:hAnsi="Book Antiqua"/>
          <w:color w:val="000000"/>
          <w:sz w:val="24"/>
          <w:szCs w:val="24"/>
          <w:lang w:val="en-GB" w:eastAsia="en-US"/>
        </w:rPr>
        <w:t>: 79-87 [PMID: 9841972 DOI: 10.1016/S1091-255X(98)80107-8]</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19 </w:t>
      </w:r>
      <w:r w:rsidRPr="00B96FD4">
        <w:rPr>
          <w:rFonts w:ascii="Book Antiqua" w:hAnsi="Book Antiqua"/>
          <w:b/>
          <w:color w:val="000000"/>
          <w:sz w:val="24"/>
          <w:szCs w:val="24"/>
          <w:lang w:val="en-GB" w:eastAsia="en-US"/>
        </w:rPr>
        <w:t>Japanese Gastric Cancer Association.</w:t>
      </w:r>
      <w:r w:rsidRPr="0002518C">
        <w:rPr>
          <w:rFonts w:ascii="Book Antiqua" w:hAnsi="Book Antiqua"/>
          <w:color w:val="000000"/>
          <w:sz w:val="24"/>
          <w:szCs w:val="24"/>
          <w:lang w:val="en-GB" w:eastAsia="en-US"/>
        </w:rPr>
        <w:t xml:space="preserve"> Japanese classification of gastric carcinoma. 14th ed. Tokyo, Kanehara Shuppan, 2010: 7-8</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20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Takahashi T</w:t>
      </w:r>
      <w:r w:rsidRPr="00B96FD4">
        <w:rPr>
          <w:rFonts w:ascii="Book Antiqua" w:hAnsi="Book Antiqua"/>
          <w:color w:val="000000"/>
          <w:sz w:val="24"/>
          <w:szCs w:val="24"/>
          <w:lang w:val="en-GB" w:eastAsia="en-US"/>
        </w:rPr>
        <w:t>, Ando T, Kabeshima Y, Kawakubo H, Shito M, Sugiura H, Omori T. Borderline cases between benignancy and malignancy of the duodenum diagnosed successfully by endoscopic submucosal dissection.</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Scand J Gastroenterol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44</w:t>
      </w:r>
      <w:r w:rsidRPr="00B96FD4">
        <w:rPr>
          <w:rFonts w:ascii="Book Antiqua" w:hAnsi="Book Antiqua"/>
          <w:color w:val="000000"/>
          <w:sz w:val="24"/>
          <w:szCs w:val="24"/>
          <w:lang w:val="en-GB" w:eastAsia="en-US"/>
        </w:rPr>
        <w:t>: 1377-1383 [PMID: 19821793 DOI: 10.3109/00365520903287551]</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21</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Witteman BJ</w:t>
      </w:r>
      <w:r w:rsidRPr="00B96FD4">
        <w:rPr>
          <w:rFonts w:ascii="Book Antiqua" w:hAnsi="Book Antiqua"/>
          <w:color w:val="000000"/>
          <w:sz w:val="24"/>
          <w:szCs w:val="24"/>
          <w:lang w:val="en-GB" w:eastAsia="en-US"/>
        </w:rPr>
        <w:t>, Janssens AR, Griffioen G, Lamers CB. Villous tumours of the duodenum. An analysis of the literature with emphasis on malignant transformation.</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Neth J Med</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42</w:t>
      </w:r>
      <w:r w:rsidRPr="00B96FD4">
        <w:rPr>
          <w:rFonts w:ascii="Book Antiqua" w:hAnsi="Book Antiqua"/>
          <w:color w:val="000000"/>
          <w:sz w:val="24"/>
          <w:szCs w:val="24"/>
          <w:lang w:val="en-GB" w:eastAsia="en-US"/>
        </w:rPr>
        <w:t>: 5-11 [PMID: 8446225]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22 </w:t>
      </w:r>
      <w:r w:rsidRPr="00B96FD4">
        <w:rPr>
          <w:rFonts w:ascii="Book Antiqua" w:hAnsi="Book Antiqua"/>
          <w:b/>
          <w:color w:val="000000"/>
          <w:sz w:val="24"/>
          <w:szCs w:val="24"/>
          <w:lang w:val="en-GB" w:eastAsia="en-US"/>
        </w:rPr>
        <w:t>Fujishiro M</w:t>
      </w:r>
      <w:r w:rsidRPr="00B96FD4">
        <w:rPr>
          <w:rFonts w:ascii="Book Antiqua" w:hAnsi="Book Antiqua"/>
          <w:color w:val="000000"/>
          <w:sz w:val="24"/>
          <w:szCs w:val="24"/>
          <w:lang w:val="en-GB" w:eastAsia="en-US"/>
        </w:rPr>
        <w:t xml:space="preserve">. Endoscopic treatment for nonampullary duodenal neoplasms. </w:t>
      </w:r>
      <w:r w:rsidRPr="00B96FD4">
        <w:rPr>
          <w:rFonts w:ascii="Book Antiqua" w:hAnsi="Book Antiqua"/>
          <w:i/>
          <w:color w:val="000000"/>
          <w:sz w:val="24"/>
          <w:szCs w:val="24"/>
          <w:lang w:val="en-GB" w:eastAsia="en-US"/>
        </w:rPr>
        <w:t>Endosc Digest</w:t>
      </w:r>
      <w:r w:rsidRPr="00B96FD4">
        <w:rPr>
          <w:rFonts w:ascii="Book Antiqua" w:hAnsi="Book Antiqua"/>
          <w:color w:val="000000"/>
          <w:sz w:val="24"/>
          <w:szCs w:val="24"/>
          <w:lang w:val="en-GB" w:eastAsia="en-US"/>
        </w:rPr>
        <w:t xml:space="preserve"> 2011; </w:t>
      </w:r>
      <w:r w:rsidRPr="00B96FD4">
        <w:rPr>
          <w:rFonts w:ascii="Book Antiqua" w:hAnsi="Book Antiqua"/>
          <w:b/>
          <w:color w:val="000000"/>
          <w:sz w:val="24"/>
          <w:szCs w:val="24"/>
          <w:lang w:val="en-GB" w:eastAsia="en-US"/>
        </w:rPr>
        <w:t>23</w:t>
      </w:r>
      <w:r w:rsidRPr="00B96FD4">
        <w:rPr>
          <w:rFonts w:ascii="Book Antiqua" w:hAnsi="Book Antiqua"/>
          <w:color w:val="000000"/>
          <w:sz w:val="24"/>
          <w:szCs w:val="24"/>
          <w:lang w:val="en-GB" w:eastAsia="en-US"/>
        </w:rPr>
        <w:t>: 135-139 (in Japanese)</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23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Bail JP</w:t>
      </w:r>
      <w:r w:rsidRPr="00B96FD4">
        <w:rPr>
          <w:rFonts w:ascii="Book Antiqua" w:hAnsi="Book Antiqua"/>
          <w:color w:val="000000"/>
          <w:sz w:val="24"/>
          <w:szCs w:val="24"/>
          <w:lang w:val="en-GB" w:eastAsia="en-US"/>
        </w:rPr>
        <w:t xml:space="preserve">, Lozac'h P, Volant A, Charles JF. [Adenocarcinoma of the duodenum. </w:t>
      </w:r>
      <w:r w:rsidRPr="00B96FD4">
        <w:rPr>
          <w:rFonts w:ascii="Book Antiqua" w:hAnsi="Book Antiqua"/>
          <w:color w:val="000000"/>
          <w:sz w:val="24"/>
          <w:szCs w:val="24"/>
          <w:lang w:val="en-GB" w:eastAsia="en-US"/>
        </w:rPr>
        <w:lastRenderedPageBreak/>
        <w:t>Apropos of 2 cases: review of the literature].</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J Chir (Paris)</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1987;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124</w:t>
      </w:r>
      <w:r w:rsidRPr="00B96FD4">
        <w:rPr>
          <w:rFonts w:ascii="Book Antiqua" w:hAnsi="Book Antiqua"/>
          <w:color w:val="000000"/>
          <w:sz w:val="24"/>
          <w:szCs w:val="24"/>
          <w:lang w:val="en-GB" w:eastAsia="en-US"/>
        </w:rPr>
        <w:t>: 604-608 [PMID: 3323213]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24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Vasen HF</w:t>
      </w:r>
      <w:r w:rsidRPr="00B96FD4">
        <w:rPr>
          <w:rFonts w:ascii="Book Antiqua" w:hAnsi="Book Antiqua"/>
          <w:color w:val="000000"/>
          <w:sz w:val="24"/>
          <w:szCs w:val="24"/>
          <w:lang w:val="en-GB" w:eastAsia="en-US"/>
        </w:rPr>
        <w:t>, Möslein G, Alonso A, Aretz S, Bernstein I, Bertario L, Blanco I, Bülow S, Burn J, Capella G, Colas C, Engel C, Frayling I, Friedl W, Hes FJ, Hodgson S, Järvinen H, Mecklin JP, Møller P, Myrhøi T, Nagengast FM, Parc Y, Phillips R, Clark SK, de Leon MP, Renkonen-Sinisalo L, Sampson JR, Stormorken A, Tejpar S, Thomas HJ, Wijnen J. Guidelines for the clinical management of familial adenomatous polyposis (FAP).</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Gut</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57</w:t>
      </w:r>
      <w:r w:rsidRPr="00B96FD4">
        <w:rPr>
          <w:rFonts w:ascii="Book Antiqua" w:hAnsi="Book Antiqua"/>
          <w:color w:val="000000"/>
          <w:sz w:val="24"/>
          <w:szCs w:val="24"/>
          <w:lang w:val="en-GB" w:eastAsia="en-US"/>
        </w:rPr>
        <w:t>: 704-713 [PMID: 18194984 DOI: 10.1136/gut.2007.136127]</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25</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Spigelman AD</w:t>
      </w:r>
      <w:r w:rsidRPr="00B96FD4">
        <w:rPr>
          <w:rFonts w:ascii="Book Antiqua" w:hAnsi="Book Antiqua"/>
          <w:color w:val="000000"/>
          <w:sz w:val="24"/>
          <w:szCs w:val="24"/>
          <w:lang w:val="en-GB" w:eastAsia="en-US"/>
        </w:rPr>
        <w:t>, Talbot IC, Penna C, Nugent KP, Phillips RK, Costello C, DeCosse JJ. Evidence for adenoma-carcinoma sequence in the duodenum of patients with familial adenomatous polyposis. The Leeds Castle Polyposis Group (Upper Gastrointestinal Committee).</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J Clin Pathol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47</w:t>
      </w:r>
      <w:r w:rsidRPr="00B96FD4">
        <w:rPr>
          <w:rFonts w:ascii="Book Antiqua" w:hAnsi="Book Antiqua"/>
          <w:color w:val="000000"/>
          <w:sz w:val="24"/>
          <w:szCs w:val="24"/>
          <w:lang w:val="en-GB" w:eastAsia="en-US"/>
        </w:rPr>
        <w:t>: 709-710 [PMID: 7962621 DOI: 10.1136/jcp.47.8.709]</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de-DE" w:eastAsia="en-US"/>
        </w:rPr>
        <w:t>26</w:t>
      </w:r>
      <w:r w:rsidRPr="001D30AC">
        <w:rPr>
          <w:rFonts w:ascii="Book Antiqua" w:hAnsi="Book Antiqua"/>
          <w:color w:val="000000"/>
          <w:sz w:val="24"/>
          <w:szCs w:val="24"/>
          <w:lang w:val="de-DE" w:eastAsia="en-US"/>
        </w:rPr>
        <w:t> </w:t>
      </w:r>
      <w:r w:rsidRPr="00B96FD4">
        <w:rPr>
          <w:rFonts w:ascii="Book Antiqua" w:hAnsi="Book Antiqua"/>
          <w:b/>
          <w:bCs/>
          <w:color w:val="000000"/>
          <w:sz w:val="24"/>
          <w:szCs w:val="24"/>
          <w:lang w:val="de-DE" w:eastAsia="en-US"/>
        </w:rPr>
        <w:t>Brosens LA</w:t>
      </w:r>
      <w:r w:rsidRPr="00B96FD4">
        <w:rPr>
          <w:rFonts w:ascii="Book Antiqua" w:hAnsi="Book Antiqua"/>
          <w:color w:val="000000"/>
          <w:sz w:val="24"/>
          <w:szCs w:val="24"/>
          <w:lang w:val="de-DE" w:eastAsia="en-US"/>
        </w:rPr>
        <w:t xml:space="preserve">, Keller JJ, Offerhaus GJ, Goggins M, Giardiello FM. </w:t>
      </w:r>
      <w:r w:rsidRPr="0002518C">
        <w:rPr>
          <w:rFonts w:ascii="Book Antiqua" w:hAnsi="Book Antiqua"/>
          <w:color w:val="000000"/>
          <w:sz w:val="24"/>
          <w:szCs w:val="24"/>
          <w:lang w:val="en-GB" w:eastAsia="en-US"/>
        </w:rPr>
        <w:t>Prevention and management of duodenal polyps in familial adenomatous polyposis. </w:t>
      </w:r>
      <w:r w:rsidRPr="0002518C">
        <w:rPr>
          <w:rFonts w:ascii="Book Antiqua" w:hAnsi="Book Antiqua"/>
          <w:i/>
          <w:iCs/>
          <w:color w:val="000000"/>
          <w:sz w:val="24"/>
          <w:szCs w:val="24"/>
          <w:lang w:val="en-GB" w:eastAsia="en-US"/>
        </w:rPr>
        <w:t>Gut</w:t>
      </w:r>
      <w:r w:rsidRPr="0002518C">
        <w:rPr>
          <w:rFonts w:ascii="Book Antiqua" w:hAnsi="Book Antiqua"/>
          <w:color w:val="000000"/>
          <w:sz w:val="24"/>
          <w:szCs w:val="24"/>
          <w:lang w:val="en-GB" w:eastAsia="en-US"/>
        </w:rPr>
        <w:t> 2005; </w:t>
      </w:r>
      <w:r w:rsidRPr="0002518C">
        <w:rPr>
          <w:rFonts w:ascii="Book Antiqua" w:hAnsi="Book Antiqua"/>
          <w:b/>
          <w:bCs/>
          <w:color w:val="000000"/>
          <w:sz w:val="24"/>
          <w:szCs w:val="24"/>
          <w:lang w:val="en-GB" w:eastAsia="en-US"/>
        </w:rPr>
        <w:t>54</w:t>
      </w:r>
      <w:r w:rsidRPr="0002518C">
        <w:rPr>
          <w:rFonts w:ascii="Book Antiqua" w:hAnsi="Book Antiqua"/>
          <w:color w:val="000000"/>
          <w:sz w:val="24"/>
          <w:szCs w:val="24"/>
          <w:lang w:val="en-GB" w:eastAsia="en-US"/>
        </w:rPr>
        <w:t>: 1034-1043 [PMID: 15951555 DOI: 10.1136/gut.2004.053843.]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27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Maehata Y</w:t>
      </w:r>
      <w:r w:rsidRPr="00B96FD4">
        <w:rPr>
          <w:rFonts w:ascii="Book Antiqua" w:hAnsi="Book Antiqua"/>
          <w:color w:val="000000"/>
          <w:sz w:val="24"/>
          <w:szCs w:val="24"/>
          <w:lang w:val="en-GB" w:eastAsia="en-US"/>
        </w:rPr>
        <w:t>, Esaki M, Hirahashi M, Kitazono T, Matsumoto T. Duodenal adenomatosis in Japanese patients with familial adenomatous polyposis.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Dig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26 Suppl 2</w:t>
      </w:r>
      <w:r w:rsidRPr="00B96FD4">
        <w:rPr>
          <w:rFonts w:ascii="Book Antiqua" w:hAnsi="Book Antiqua"/>
          <w:color w:val="000000"/>
          <w:sz w:val="24"/>
          <w:szCs w:val="24"/>
          <w:lang w:val="en-GB" w:eastAsia="en-US"/>
        </w:rPr>
        <w:t>: 30-34 [PMID: 24750145 DOI: 10.1111/den.12255]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28 </w:t>
      </w:r>
      <w:r w:rsidRPr="00B96FD4">
        <w:rPr>
          <w:rFonts w:ascii="Book Antiqua" w:hAnsi="Book Antiqua"/>
          <w:b/>
          <w:color w:val="000000"/>
          <w:sz w:val="24"/>
          <w:szCs w:val="24"/>
          <w:lang w:val="en-GB" w:eastAsia="en-US"/>
        </w:rPr>
        <w:t>Yamanaka T</w:t>
      </w:r>
      <w:r w:rsidRPr="00B96FD4">
        <w:rPr>
          <w:rFonts w:ascii="Book Antiqua" w:hAnsi="Book Antiqua"/>
          <w:color w:val="000000"/>
          <w:sz w:val="24"/>
          <w:szCs w:val="24"/>
          <w:lang w:val="en-GB" w:eastAsia="en-US"/>
        </w:rPr>
        <w:t>, Yamamichi N, Konishi F. Clinico-pathological study of duodenal adenoma</w:t>
      </w:r>
      <w:r w:rsidRPr="0002518C">
        <w:rPr>
          <w:rFonts w:ascii="Book Antiqua" w:hAnsi="Book Antiqua"/>
          <w:color w:val="000000"/>
          <w:sz w:val="24"/>
          <w:szCs w:val="24"/>
          <w:lang w:val="en-GB" w:eastAsia="en-US"/>
        </w:rPr>
        <w:t xml:space="preserve"> (in Japanese with an English abstract). </w:t>
      </w:r>
      <w:r w:rsidRPr="0002518C">
        <w:rPr>
          <w:rFonts w:ascii="Book Antiqua" w:hAnsi="Book Antiqua"/>
          <w:i/>
          <w:color w:val="000000"/>
          <w:sz w:val="24"/>
          <w:szCs w:val="24"/>
          <w:lang w:val="en-GB" w:eastAsia="en-US"/>
        </w:rPr>
        <w:t>Gastroenterol Endosc</w:t>
      </w:r>
      <w:r w:rsidRPr="00B96FD4">
        <w:rPr>
          <w:rFonts w:ascii="Book Antiqua" w:hAnsi="Book Antiqua"/>
          <w:color w:val="000000"/>
          <w:sz w:val="24"/>
          <w:szCs w:val="24"/>
          <w:lang w:val="en-GB" w:eastAsia="en-US"/>
        </w:rPr>
        <w:t xml:space="preserve"> 1987; </w:t>
      </w:r>
      <w:r w:rsidRPr="00B96FD4">
        <w:rPr>
          <w:rFonts w:ascii="Book Antiqua" w:hAnsi="Book Antiqua"/>
          <w:b/>
          <w:color w:val="000000"/>
          <w:sz w:val="24"/>
          <w:szCs w:val="24"/>
          <w:lang w:val="en-GB" w:eastAsia="en-US"/>
        </w:rPr>
        <w:t>29</w:t>
      </w:r>
      <w:r w:rsidRPr="00B96FD4">
        <w:rPr>
          <w:rFonts w:ascii="Book Antiqua" w:hAnsi="Book Antiqua"/>
          <w:color w:val="000000"/>
          <w:sz w:val="24"/>
          <w:szCs w:val="24"/>
          <w:lang w:val="en-GB" w:eastAsia="en-US"/>
        </w:rPr>
        <w:t>: 3070-3079</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lastRenderedPageBreak/>
        <w:t>29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Goda K</w:t>
      </w:r>
      <w:r w:rsidRPr="00B96FD4">
        <w:rPr>
          <w:rFonts w:ascii="Book Antiqua" w:hAnsi="Book Antiqua"/>
          <w:color w:val="000000"/>
          <w:sz w:val="24"/>
          <w:szCs w:val="24"/>
          <w:lang w:val="en-GB" w:eastAsia="en-US"/>
        </w:rPr>
        <w:t>, Kikuchi D, Yamamoto Y, Takimoto K, Kakushima N, Morita Y, Doyama H, Gotoda T, Maehata Y, Abe N. Endoscopic diagnosis of superficial non-ampullary duodenal epithelial tumors in Japan: Multicenter case series.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Dig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26 Suppl 2</w:t>
      </w:r>
      <w:r w:rsidRPr="00B96FD4">
        <w:rPr>
          <w:rFonts w:ascii="Book Antiqua" w:hAnsi="Book Antiqua"/>
          <w:color w:val="000000"/>
          <w:sz w:val="24"/>
          <w:szCs w:val="24"/>
          <w:lang w:val="en-GB" w:eastAsia="en-US"/>
        </w:rPr>
        <w:t>: 23-29 [PMID: 24750144 DOI: 10.1111/den.12277]</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30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Yoshimura N</w:t>
      </w:r>
      <w:r w:rsidRPr="00B96FD4">
        <w:rPr>
          <w:rFonts w:ascii="Book Antiqua" w:hAnsi="Book Antiqua"/>
          <w:color w:val="000000"/>
          <w:sz w:val="24"/>
          <w:szCs w:val="24"/>
          <w:lang w:val="en-GB" w:eastAsia="en-US"/>
        </w:rPr>
        <w:t>, Goda K, Tajiri H, Ikegami M, Nakayoshi T, Kaise M. Endoscopic features of nonampullary duodenal tumors with narrow-band imaging.</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Hepatogastroenterology 2010</w:t>
      </w:r>
      <w:r w:rsidRPr="00B96FD4">
        <w:rPr>
          <w:rFonts w:ascii="Book Antiqua" w:hAnsi="Book Antiqua"/>
          <w:color w:val="000000"/>
          <w:sz w:val="24"/>
          <w:szCs w:val="24"/>
          <w:lang w:val="en-GB" w:eastAsia="en-US"/>
        </w:rPr>
        <w:t>;</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57</w:t>
      </w:r>
      <w:r w:rsidRPr="00B96FD4">
        <w:rPr>
          <w:rFonts w:ascii="Book Antiqua" w:hAnsi="Book Antiqua"/>
          <w:color w:val="000000"/>
          <w:sz w:val="24"/>
          <w:szCs w:val="24"/>
          <w:lang w:val="en-GB" w:eastAsia="en-US"/>
        </w:rPr>
        <w:t>: 462-467 [PMID: 20698209]</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31</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Kikuchi D</w:t>
      </w:r>
      <w:r w:rsidRPr="00B96FD4">
        <w:rPr>
          <w:rFonts w:ascii="Book Antiqua" w:hAnsi="Book Antiqua"/>
          <w:color w:val="000000"/>
          <w:sz w:val="24"/>
          <w:szCs w:val="24"/>
          <w:lang w:val="en-GB" w:eastAsia="en-US"/>
        </w:rPr>
        <w:t>, Hoteya S, Iizuka T, Kimura R, Kaise M. Diagnostic algorithm of magnifying endoscopy with narrow band imaging for superficial non-ampullary duodenal epithelial tumors.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Dig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26 Suppl 2</w:t>
      </w:r>
      <w:r w:rsidRPr="00B96FD4">
        <w:rPr>
          <w:rFonts w:ascii="Book Antiqua" w:hAnsi="Book Antiqua"/>
          <w:color w:val="000000"/>
          <w:sz w:val="24"/>
          <w:szCs w:val="24"/>
          <w:lang w:val="en-GB" w:eastAsia="en-US"/>
        </w:rPr>
        <w:t>: 16-22 [PMID: 24750143 DOI: 10.1111/den.12282]</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32 </w:t>
      </w:r>
      <w:r w:rsidRPr="00B96FD4">
        <w:rPr>
          <w:rFonts w:ascii="Book Antiqua" w:hAnsi="Book Antiqua"/>
          <w:b/>
          <w:color w:val="000000"/>
          <w:sz w:val="24"/>
          <w:szCs w:val="24"/>
          <w:lang w:val="en-GB" w:eastAsia="en-US"/>
        </w:rPr>
        <w:t>Inatsuchi S</w:t>
      </w:r>
      <w:r w:rsidRPr="00B96FD4">
        <w:rPr>
          <w:rFonts w:ascii="Book Antiqua" w:hAnsi="Book Antiqua"/>
          <w:color w:val="000000"/>
          <w:sz w:val="24"/>
          <w:szCs w:val="24"/>
          <w:lang w:val="en-GB" w:eastAsia="en-US"/>
        </w:rPr>
        <w:t>, Maeda Y. Magnifying endoscopy with narrow band imaging for diagnosis of nonampullary duodenal adenomas and early cancers</w:t>
      </w:r>
      <w:r w:rsidRPr="0002518C">
        <w:rPr>
          <w:rFonts w:ascii="Book Antiqua" w:hAnsi="Book Antiqua"/>
          <w:color w:val="000000"/>
          <w:sz w:val="24"/>
          <w:szCs w:val="24"/>
          <w:lang w:val="en-GB" w:eastAsia="en-US"/>
        </w:rPr>
        <w:t xml:space="preserve"> (in Japanese with an English abstract). </w:t>
      </w:r>
      <w:r w:rsidRPr="0002518C">
        <w:rPr>
          <w:rFonts w:ascii="Book Antiqua" w:hAnsi="Book Antiqua"/>
          <w:i/>
          <w:color w:val="000000"/>
          <w:sz w:val="24"/>
          <w:szCs w:val="24"/>
          <w:lang w:val="en-GB" w:eastAsia="en-US"/>
        </w:rPr>
        <w:t>Stomach Intestine</w:t>
      </w:r>
      <w:r w:rsidRPr="0002518C">
        <w:rPr>
          <w:rFonts w:ascii="Book Antiqua" w:hAnsi="Book Antiqua"/>
          <w:color w:val="000000"/>
          <w:sz w:val="24"/>
          <w:szCs w:val="24"/>
          <w:lang w:val="en-GB" w:eastAsia="en-US"/>
        </w:rPr>
        <w:t xml:space="preserve"> 2011; </w:t>
      </w:r>
      <w:r w:rsidRPr="0002518C">
        <w:rPr>
          <w:rFonts w:ascii="Book Antiqua" w:hAnsi="Book Antiqua"/>
          <w:b/>
          <w:color w:val="000000"/>
          <w:sz w:val="24"/>
          <w:szCs w:val="24"/>
          <w:lang w:val="en-GB" w:eastAsia="en-US"/>
        </w:rPr>
        <w:t>46</w:t>
      </w:r>
      <w:r w:rsidRPr="0002518C">
        <w:rPr>
          <w:rFonts w:ascii="Book Antiqua" w:hAnsi="Book Antiqua"/>
          <w:color w:val="000000"/>
          <w:sz w:val="24"/>
          <w:szCs w:val="24"/>
          <w:lang w:val="en-GB" w:eastAsia="en-US"/>
        </w:rPr>
        <w:t>: 1604-1617</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33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Tanaka K</w:t>
      </w:r>
      <w:r w:rsidRPr="00B96FD4">
        <w:rPr>
          <w:rFonts w:ascii="Book Antiqua" w:hAnsi="Book Antiqua"/>
          <w:color w:val="000000"/>
          <w:sz w:val="24"/>
          <w:szCs w:val="24"/>
          <w:lang w:val="en-GB" w:eastAsia="en-US"/>
        </w:rPr>
        <w:t>, Toyoda H, Inoue H, Hamada Y, Aoki M, Kosaka R, Takamura M, Imoto I. Depressed-type early duodenal carcinoma (carcinoma in situ) observed by enhanced magnification endoscopy.</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Endoscopy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39 Suppl 1</w:t>
      </w:r>
      <w:r w:rsidRPr="00B96FD4">
        <w:rPr>
          <w:rFonts w:ascii="Book Antiqua" w:hAnsi="Book Antiqua"/>
          <w:color w:val="000000"/>
          <w:sz w:val="24"/>
          <w:szCs w:val="24"/>
          <w:lang w:val="en-GB" w:eastAsia="en-US"/>
        </w:rPr>
        <w:t>: E125-E126 [PMID: 17440853 DOI: 10.1055/s-2007-966171]</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34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Onozato Y</w:t>
      </w:r>
      <w:r w:rsidRPr="00B96FD4">
        <w:rPr>
          <w:rFonts w:ascii="Book Antiqua" w:hAnsi="Book Antiqua"/>
          <w:color w:val="000000"/>
          <w:sz w:val="24"/>
          <w:szCs w:val="24"/>
          <w:lang w:val="en-GB" w:eastAsia="en-US"/>
        </w:rPr>
        <w:t>, Kakizaki S, Ishihara H, Sohara N, Iizuka H, Okamura S, Mori M, Ogawa T, Itoh H. Magnifying endoscopic findings of early duodenal adenocarcinoma in relation to the pathological findings.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Endoscopy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40 Suppl 2</w:t>
      </w:r>
      <w:r w:rsidRPr="00B96FD4">
        <w:rPr>
          <w:rFonts w:ascii="Book Antiqua" w:hAnsi="Book Antiqua"/>
          <w:color w:val="000000"/>
          <w:sz w:val="24"/>
          <w:szCs w:val="24"/>
          <w:lang w:val="en-GB" w:eastAsia="en-US"/>
        </w:rPr>
        <w:t>: E92-E93 [PMID: 18633892 DOI: 10.1055/s-2007-995573]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35 </w:t>
      </w:r>
      <w:r w:rsidRPr="00B96FD4">
        <w:rPr>
          <w:rFonts w:ascii="Book Antiqua" w:hAnsi="Book Antiqua"/>
          <w:b/>
          <w:color w:val="000000"/>
          <w:sz w:val="24"/>
          <w:szCs w:val="24"/>
          <w:lang w:val="en-GB" w:eastAsia="en-US"/>
        </w:rPr>
        <w:t>Tanaka M</w:t>
      </w:r>
      <w:r w:rsidRPr="00B96FD4">
        <w:rPr>
          <w:rFonts w:ascii="Book Antiqua" w:hAnsi="Book Antiqua"/>
          <w:color w:val="000000"/>
          <w:sz w:val="24"/>
          <w:szCs w:val="24"/>
          <w:lang w:val="en-GB" w:eastAsia="en-US"/>
        </w:rPr>
        <w:t xml:space="preserve">, Usuda M, Okura Y, Fujimori T, Ito H, Nanasawa H, Orihara M, Iwamoto S, Makimoto S, Shinagawa K, Bando T, Obi T, Nogami T, Miyazaki </w:t>
      </w:r>
      <w:r w:rsidRPr="00B96FD4">
        <w:rPr>
          <w:rFonts w:ascii="Book Antiqua" w:hAnsi="Book Antiqua"/>
          <w:color w:val="000000"/>
          <w:sz w:val="24"/>
          <w:szCs w:val="24"/>
          <w:lang w:val="en-GB" w:eastAsia="en-US"/>
        </w:rPr>
        <w:lastRenderedPageBreak/>
        <w:t>TG. Significance of magnifying endoscopy in diagnosis of duodenal elevated lesions</w:t>
      </w:r>
      <w:r>
        <w:rPr>
          <w:rFonts w:ascii="Book Antiqua" w:hAnsi="Book Antiqua"/>
          <w:color w:val="000000"/>
          <w:sz w:val="24"/>
          <w:szCs w:val="24"/>
          <w:lang w:val="en-GB" w:eastAsia="en-US"/>
        </w:rPr>
        <w:t xml:space="preserve"> </w:t>
      </w:r>
      <w:r w:rsidRPr="0002518C">
        <w:rPr>
          <w:rFonts w:ascii="Book Antiqua" w:hAnsi="Book Antiqua"/>
          <w:color w:val="000000"/>
          <w:sz w:val="24"/>
          <w:szCs w:val="24"/>
          <w:lang w:val="en-GB" w:eastAsia="en-US"/>
        </w:rPr>
        <w:t xml:space="preserve">(in Japanese with an English abstract). </w:t>
      </w:r>
      <w:r w:rsidRPr="0002518C">
        <w:rPr>
          <w:rFonts w:ascii="Book Antiqua" w:hAnsi="Book Antiqua"/>
          <w:i/>
          <w:color w:val="000000"/>
          <w:sz w:val="24"/>
          <w:szCs w:val="24"/>
          <w:lang w:val="en-GB" w:eastAsia="en-US"/>
        </w:rPr>
        <w:t>Stomach Intestine</w:t>
      </w:r>
      <w:r w:rsidRPr="0002518C">
        <w:rPr>
          <w:rFonts w:ascii="Book Antiqua" w:hAnsi="Book Antiqua"/>
          <w:color w:val="000000"/>
          <w:sz w:val="24"/>
          <w:szCs w:val="24"/>
          <w:lang w:val="en-GB" w:eastAsia="en-US"/>
        </w:rPr>
        <w:t xml:space="preserve"> 2003; </w:t>
      </w:r>
      <w:r w:rsidRPr="0002518C">
        <w:rPr>
          <w:rFonts w:ascii="Book Antiqua" w:hAnsi="Book Antiqua"/>
          <w:b/>
          <w:color w:val="000000"/>
          <w:sz w:val="24"/>
          <w:szCs w:val="24"/>
          <w:lang w:val="en-GB" w:eastAsia="en-US"/>
        </w:rPr>
        <w:t>38</w:t>
      </w:r>
      <w:r w:rsidRPr="0002518C">
        <w:rPr>
          <w:rFonts w:ascii="Book Antiqua" w:hAnsi="Book Antiqua"/>
          <w:color w:val="000000"/>
          <w:sz w:val="24"/>
          <w:szCs w:val="24"/>
          <w:lang w:val="en-GB" w:eastAsia="en-US"/>
        </w:rPr>
        <w:t xml:space="preserve">: 1709-1720 </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36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Takao M</w:t>
      </w:r>
      <w:r w:rsidRPr="00B96FD4">
        <w:rPr>
          <w:rFonts w:ascii="Book Antiqua" w:hAnsi="Book Antiqua"/>
          <w:color w:val="000000"/>
          <w:sz w:val="24"/>
          <w:szCs w:val="24"/>
          <w:lang w:val="en-GB" w:eastAsia="en-US"/>
        </w:rPr>
        <w:t>, Kakushima N, Takizawa K, Tanaka M, Yamaguchi Y, Matsubayashi H, Kusafuka K, Ono H. Discrepancies in histologic diagnoses of early gastric cancer between biopsy and endoscopic mucosal resection specimens.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Gastric Cancer</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15</w:t>
      </w:r>
      <w:r w:rsidRPr="00B96FD4">
        <w:rPr>
          <w:rFonts w:ascii="Book Antiqua" w:hAnsi="Book Antiqua"/>
          <w:color w:val="000000"/>
          <w:sz w:val="24"/>
          <w:szCs w:val="24"/>
          <w:lang w:val="en-GB" w:eastAsia="en-US"/>
        </w:rPr>
        <w:t>: 91-96 [PMID: 21814828 DOI: 10.1007/s10120-011-0075-8]</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37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Ahmad NA</w:t>
      </w:r>
      <w:r w:rsidRPr="00B96FD4">
        <w:rPr>
          <w:rFonts w:ascii="Book Antiqua" w:hAnsi="Book Antiqua"/>
          <w:color w:val="000000"/>
          <w:sz w:val="24"/>
          <w:szCs w:val="24"/>
          <w:lang w:val="en-GB" w:eastAsia="en-US"/>
        </w:rPr>
        <w:t>, Kochman ML, Long WB, Furth EE, Ginsberg GG. Efficacy, safety, and clinical outcomes of endoscopic mucosal resection: a study of 101 cases.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Gastrointest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55</w:t>
      </w:r>
      <w:r w:rsidRPr="00B96FD4">
        <w:rPr>
          <w:rFonts w:ascii="Book Antiqua" w:hAnsi="Book Antiqua"/>
          <w:color w:val="000000"/>
          <w:sz w:val="24"/>
          <w:szCs w:val="24"/>
          <w:lang w:val="en-GB" w:eastAsia="en-US"/>
        </w:rPr>
        <w:t>: 390-396 [PMID: 11868015]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38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Lépilliez V</w:t>
      </w:r>
      <w:r w:rsidRPr="00B96FD4">
        <w:rPr>
          <w:rFonts w:ascii="Book Antiqua" w:hAnsi="Book Antiqua"/>
          <w:color w:val="000000"/>
          <w:sz w:val="24"/>
          <w:szCs w:val="24"/>
          <w:lang w:val="en-GB" w:eastAsia="en-US"/>
        </w:rPr>
        <w:t>, Chemaly M, Ponchon T, Napoleon B, Saurin JC. Endoscopic resection of sporadic duodenal adenomas: an efficient technique with a substantial risk of delayed bleeding.</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Endoscopy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40</w:t>
      </w:r>
      <w:r w:rsidRPr="00B96FD4">
        <w:rPr>
          <w:rFonts w:ascii="Book Antiqua" w:hAnsi="Book Antiqua"/>
          <w:color w:val="000000"/>
          <w:sz w:val="24"/>
          <w:szCs w:val="24"/>
          <w:lang w:val="en-GB" w:eastAsia="en-US"/>
        </w:rPr>
        <w:t>: 806-810 [PMID: 18828076 DOI: 10.1055/s-2008-1077619]</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39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Endo M</w:t>
      </w:r>
      <w:r w:rsidRPr="00B96FD4">
        <w:rPr>
          <w:rFonts w:ascii="Book Antiqua" w:hAnsi="Book Antiqua"/>
          <w:color w:val="000000"/>
          <w:sz w:val="24"/>
          <w:szCs w:val="24"/>
          <w:lang w:val="en-GB" w:eastAsia="en-US"/>
        </w:rPr>
        <w:t>, Abiko Y, Oana S, Kudara N, Chiba T, Suzuki K, Koizuka H, Uesugi N, Sugai T. Usefulness of endoscopic treatment for duodenal adenoma.</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Dig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22</w:t>
      </w:r>
      <w:r w:rsidRPr="00B96FD4">
        <w:rPr>
          <w:rFonts w:ascii="Book Antiqua" w:hAnsi="Book Antiqua"/>
          <w:color w:val="000000"/>
          <w:sz w:val="24"/>
          <w:szCs w:val="24"/>
          <w:lang w:val="en-GB" w:eastAsia="en-US"/>
        </w:rPr>
        <w:t>: 360-365 [PMID: 21175499 DOI: 10.1111/j.1443-1661.2010.01014.x.]</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40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Kakushima N</w:t>
      </w:r>
      <w:r w:rsidRPr="00B96FD4">
        <w:rPr>
          <w:rFonts w:ascii="Book Antiqua" w:hAnsi="Book Antiqua"/>
          <w:color w:val="000000"/>
          <w:sz w:val="24"/>
          <w:szCs w:val="24"/>
          <w:lang w:val="en-GB" w:eastAsia="en-US"/>
        </w:rPr>
        <w:t>, Ono H, Takao T, Kanemoto H, Sasaki K. Method and timing of resection of superficial non-ampullary duodenal epithelial tumors.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Dig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26 Suppl 2</w:t>
      </w:r>
      <w:r w:rsidRPr="00B96FD4">
        <w:rPr>
          <w:rFonts w:ascii="Book Antiqua" w:hAnsi="Book Antiqua"/>
          <w:color w:val="000000"/>
          <w:sz w:val="24"/>
          <w:szCs w:val="24"/>
          <w:lang w:val="en-GB" w:eastAsia="en-US"/>
        </w:rPr>
        <w:t>: 35-40 [PMID: 24750146 DOI: 10.1111/den.12259]</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41</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Tio TL</w:t>
      </w:r>
      <w:r w:rsidRPr="00B96FD4">
        <w:rPr>
          <w:rFonts w:ascii="Book Antiqua" w:hAnsi="Book Antiqua"/>
          <w:color w:val="000000"/>
          <w:sz w:val="24"/>
          <w:szCs w:val="24"/>
          <w:lang w:val="en-GB" w:eastAsia="en-US"/>
        </w:rPr>
        <w:t>, Sie LH, Verbeek PC, Dé Wit LT, Tytgat GN. Endosonography in diagnosing and staging duodenal villous adenoma.</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Gut</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33</w:t>
      </w:r>
      <w:r w:rsidRPr="00B96FD4">
        <w:rPr>
          <w:rFonts w:ascii="Book Antiqua" w:hAnsi="Book Antiqua"/>
          <w:color w:val="000000"/>
          <w:sz w:val="24"/>
          <w:szCs w:val="24"/>
          <w:lang w:val="en-GB" w:eastAsia="en-US"/>
        </w:rPr>
        <w:t xml:space="preserve">: 567-568 </w:t>
      </w:r>
      <w:r w:rsidRPr="00B96FD4">
        <w:rPr>
          <w:rFonts w:ascii="Book Antiqua" w:hAnsi="Book Antiqua"/>
          <w:color w:val="000000"/>
          <w:sz w:val="24"/>
          <w:szCs w:val="24"/>
          <w:lang w:val="en-GB" w:eastAsia="en-US"/>
        </w:rPr>
        <w:lastRenderedPageBreak/>
        <w:t>[PMID: 1582606 DOI: 10.1136/gut.33.4.567]</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42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Perez A</w:t>
      </w:r>
      <w:r w:rsidRPr="00B96FD4">
        <w:rPr>
          <w:rFonts w:ascii="Book Antiqua" w:hAnsi="Book Antiqua"/>
          <w:color w:val="000000"/>
          <w:sz w:val="24"/>
          <w:szCs w:val="24"/>
          <w:lang w:val="en-GB" w:eastAsia="en-US"/>
        </w:rPr>
        <w:t>, Saltzman JR, Carr-Locke DL, Brooks DC, Osteen RT, Zinner MJ, Ashley SW, Whang EE. Benign nonampullary duodenal neoplasms.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 xml:space="preserve">J Gastrointest Surg </w:t>
      </w:r>
      <w:r w:rsidRPr="00B96FD4">
        <w:rPr>
          <w:rFonts w:ascii="Book Antiqua" w:hAnsi="Book Antiqua"/>
          <w:iCs/>
          <w:color w:val="000000"/>
          <w:sz w:val="24"/>
          <w:szCs w:val="24"/>
          <w:lang w:val="en-GB" w:eastAsia="en-US"/>
        </w:rPr>
        <w:t>2003</w:t>
      </w:r>
      <w:r w:rsidRPr="00B96FD4">
        <w:rPr>
          <w:rFonts w:ascii="Book Antiqua" w:hAnsi="Book Antiqua"/>
          <w:color w:val="000000"/>
          <w:sz w:val="24"/>
          <w:szCs w:val="24"/>
          <w:lang w:val="en-GB" w:eastAsia="en-US"/>
        </w:rPr>
        <w:t>;</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7</w:t>
      </w:r>
      <w:r w:rsidRPr="00B96FD4">
        <w:rPr>
          <w:rFonts w:ascii="Book Antiqua" w:hAnsi="Book Antiqua"/>
          <w:color w:val="000000"/>
          <w:sz w:val="24"/>
          <w:szCs w:val="24"/>
          <w:lang w:val="en-GB" w:eastAsia="en-US"/>
        </w:rPr>
        <w:t>: 536-541 [PMID: 12763412 DOI: 10.1016/S1091-255X(02)00146-4]</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43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Alexander S</w:t>
      </w:r>
      <w:r w:rsidRPr="00B96FD4">
        <w:rPr>
          <w:rFonts w:ascii="Book Antiqua" w:hAnsi="Book Antiqua"/>
          <w:color w:val="000000"/>
          <w:sz w:val="24"/>
          <w:szCs w:val="24"/>
          <w:lang w:val="en-GB" w:eastAsia="en-US"/>
        </w:rPr>
        <w:t>, Bourke MJ, Williams SJ, Bailey A, Co J. EMR of large, sessile, sporadic nonampullary duodenal adenomas: technical aspects and long-term outcome (with videos).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Gastrointest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69</w:t>
      </w:r>
      <w:r w:rsidRPr="00B96FD4">
        <w:rPr>
          <w:rFonts w:ascii="Book Antiqua" w:hAnsi="Book Antiqua"/>
          <w:color w:val="000000"/>
          <w:sz w:val="24"/>
          <w:szCs w:val="24"/>
          <w:lang w:val="en-GB" w:eastAsia="en-US"/>
        </w:rPr>
        <w:t>: 66-73 [PMID: 18725157 DOI: 10.1016/j.gie.2008.04.061]</w:t>
      </w:r>
    </w:p>
    <w:p w:rsidR="003B3753"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44 </w:t>
      </w:r>
      <w:r w:rsidRPr="00B96FD4">
        <w:rPr>
          <w:rFonts w:ascii="Book Antiqua" w:hAnsi="Book Antiqua"/>
          <w:b/>
          <w:color w:val="000000"/>
          <w:sz w:val="24"/>
          <w:szCs w:val="24"/>
          <w:lang w:val="en-GB" w:eastAsia="en-US"/>
        </w:rPr>
        <w:t>Yoshino J</w:t>
      </w:r>
      <w:r w:rsidRPr="00B96FD4">
        <w:rPr>
          <w:rFonts w:ascii="Book Antiqua" w:hAnsi="Book Antiqua"/>
          <w:color w:val="000000"/>
          <w:sz w:val="24"/>
          <w:szCs w:val="24"/>
          <w:lang w:val="en-GB" w:eastAsia="en-US"/>
        </w:rPr>
        <w:t>, Inui K, Wakabayashi T, Okushima K, Kobayashi T, Miyoshi Y, Nakamura Y, Takada M, Kado R. Endoscopic therapy for small tumors or tumorous lesions in the duodenum</w:t>
      </w:r>
      <w:r>
        <w:rPr>
          <w:rFonts w:ascii="Book Antiqua" w:hAnsi="Book Antiqua"/>
          <w:color w:val="000000"/>
          <w:sz w:val="24"/>
          <w:szCs w:val="24"/>
          <w:lang w:val="en-GB" w:eastAsia="en-US"/>
        </w:rPr>
        <w:t xml:space="preserve"> </w:t>
      </w:r>
      <w:r w:rsidRPr="0002518C">
        <w:rPr>
          <w:rFonts w:ascii="Book Antiqua" w:hAnsi="Book Antiqua"/>
          <w:color w:val="000000"/>
          <w:sz w:val="24"/>
          <w:szCs w:val="24"/>
          <w:lang w:val="en-GB" w:eastAsia="en-US"/>
        </w:rPr>
        <w:t xml:space="preserve">(in Japanese with an English abstract). </w:t>
      </w:r>
      <w:r w:rsidRPr="0002518C">
        <w:rPr>
          <w:rFonts w:ascii="Book Antiqua" w:hAnsi="Book Antiqua"/>
          <w:i/>
          <w:color w:val="000000"/>
          <w:sz w:val="24"/>
          <w:szCs w:val="24"/>
          <w:lang w:val="en-GB" w:eastAsia="en-US"/>
        </w:rPr>
        <w:t>Stomach Intestine</w:t>
      </w:r>
      <w:r w:rsidRPr="0002518C">
        <w:rPr>
          <w:rFonts w:ascii="Book Antiqua" w:hAnsi="Book Antiqua"/>
          <w:color w:val="000000"/>
          <w:sz w:val="24"/>
          <w:szCs w:val="24"/>
          <w:lang w:val="en-GB" w:eastAsia="en-US"/>
        </w:rPr>
        <w:t xml:space="preserve"> 2001; </w:t>
      </w:r>
      <w:r w:rsidRPr="0002518C">
        <w:rPr>
          <w:rFonts w:ascii="Book Antiqua" w:hAnsi="Book Antiqua"/>
          <w:b/>
          <w:color w:val="000000"/>
          <w:sz w:val="24"/>
          <w:szCs w:val="24"/>
          <w:lang w:val="en-GB" w:eastAsia="en-US"/>
        </w:rPr>
        <w:t>36</w:t>
      </w:r>
      <w:r w:rsidRPr="0002518C">
        <w:rPr>
          <w:rFonts w:ascii="Book Antiqua" w:hAnsi="Book Antiqua"/>
          <w:color w:val="000000"/>
          <w:sz w:val="24"/>
          <w:szCs w:val="24"/>
          <w:lang w:val="en-GB" w:eastAsia="en-US"/>
        </w:rPr>
        <w:t xml:space="preserve">: 1541-1545 </w:t>
      </w:r>
    </w:p>
    <w:p w:rsidR="003B3753" w:rsidRPr="0002518C" w:rsidRDefault="003B3753" w:rsidP="009E7BBE">
      <w:pPr>
        <w:spacing w:line="360" w:lineRule="auto"/>
        <w:rPr>
          <w:rFonts w:ascii="Book Antiqua" w:hAnsi="Book Antiqua"/>
          <w:color w:val="000000"/>
          <w:sz w:val="24"/>
          <w:szCs w:val="24"/>
          <w:lang w:val="en-GB" w:eastAsia="en-US"/>
        </w:rPr>
      </w:pPr>
      <w:r w:rsidRPr="0002518C">
        <w:rPr>
          <w:rFonts w:ascii="Book Antiqua" w:hAnsi="Book Antiqua"/>
          <w:color w:val="000000"/>
          <w:sz w:val="24"/>
          <w:szCs w:val="24"/>
          <w:lang w:val="en-GB" w:eastAsia="en-US"/>
        </w:rPr>
        <w:t xml:space="preserve">45 </w:t>
      </w:r>
      <w:r w:rsidRPr="0002518C">
        <w:rPr>
          <w:rFonts w:ascii="Book Antiqua" w:hAnsi="Book Antiqua"/>
          <w:b/>
          <w:color w:val="000000"/>
          <w:sz w:val="24"/>
          <w:szCs w:val="24"/>
          <w:lang w:val="en-GB" w:eastAsia="en-US"/>
        </w:rPr>
        <w:t>Sato Y</w:t>
      </w:r>
      <w:r w:rsidRPr="0002518C">
        <w:rPr>
          <w:rFonts w:ascii="Book Antiqua" w:hAnsi="Book Antiqua"/>
          <w:color w:val="000000"/>
          <w:sz w:val="24"/>
          <w:szCs w:val="24"/>
          <w:lang w:val="en-GB" w:eastAsia="en-US"/>
        </w:rPr>
        <w:t xml:space="preserve">, Inoue H, Kaga M, Hayashi T, Wakamura K, Wada Y, Inui M, Sugaya S, Odata N, Satodate H, Kudo S. EMR/ESD for nonampullary duodenal tumors (in Japanese). </w:t>
      </w:r>
      <w:r w:rsidRPr="0002518C">
        <w:rPr>
          <w:rFonts w:ascii="Book Antiqua" w:hAnsi="Book Antiqua"/>
          <w:i/>
          <w:color w:val="000000"/>
          <w:sz w:val="24"/>
          <w:szCs w:val="24"/>
          <w:lang w:val="en-GB" w:eastAsia="en-US"/>
        </w:rPr>
        <w:t>Clin Gastroenterol</w:t>
      </w:r>
      <w:r w:rsidRPr="0002518C">
        <w:rPr>
          <w:rFonts w:ascii="Book Antiqua" w:hAnsi="Book Antiqua"/>
          <w:color w:val="000000"/>
          <w:sz w:val="24"/>
          <w:szCs w:val="24"/>
          <w:lang w:val="en-GB" w:eastAsia="en-US"/>
        </w:rPr>
        <w:t xml:space="preserve"> 2006; </w:t>
      </w:r>
      <w:r w:rsidRPr="0002518C">
        <w:rPr>
          <w:rFonts w:ascii="Book Antiqua" w:hAnsi="Book Antiqua"/>
          <w:b/>
          <w:color w:val="000000"/>
          <w:sz w:val="24"/>
          <w:szCs w:val="24"/>
          <w:lang w:val="en-GB" w:eastAsia="en-US"/>
        </w:rPr>
        <w:t>9</w:t>
      </w:r>
      <w:r w:rsidRPr="0002518C">
        <w:rPr>
          <w:rFonts w:ascii="Book Antiqua" w:hAnsi="Book Antiqua"/>
          <w:color w:val="000000"/>
          <w:sz w:val="24"/>
          <w:szCs w:val="24"/>
          <w:lang w:val="en-GB" w:eastAsia="en-US"/>
        </w:rPr>
        <w:t>: 158-163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46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Tringali M</w:t>
      </w:r>
      <w:r w:rsidRPr="00B96FD4">
        <w:rPr>
          <w:rFonts w:ascii="Book Antiqua" w:hAnsi="Book Antiqua"/>
          <w:color w:val="000000"/>
          <w:sz w:val="24"/>
          <w:szCs w:val="24"/>
          <w:lang w:val="en-GB" w:eastAsia="en-US"/>
        </w:rPr>
        <w:t>, Crotta S, Bodrato C, Lolli R, Cerrato C, Cerrato G. Early primary duodenal carcinoma successfully treated by endoscopic polypectomy.</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Endoscopy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26</w:t>
      </w:r>
      <w:r w:rsidRPr="00B96FD4">
        <w:rPr>
          <w:rFonts w:ascii="Book Antiqua" w:hAnsi="Book Antiqua"/>
          <w:color w:val="000000"/>
          <w:sz w:val="24"/>
          <w:szCs w:val="24"/>
          <w:lang w:val="en-GB" w:eastAsia="en-US"/>
        </w:rPr>
        <w:t>: 709 [PMID: 7859685]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47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Friedrich-Rust M</w:t>
      </w:r>
      <w:r w:rsidRPr="00B96FD4">
        <w:rPr>
          <w:rFonts w:ascii="Book Antiqua" w:hAnsi="Book Antiqua"/>
          <w:color w:val="000000"/>
          <w:sz w:val="24"/>
          <w:szCs w:val="24"/>
          <w:lang w:val="en-GB" w:eastAsia="en-US"/>
        </w:rPr>
        <w:t>, Jaeger C, Gossner L, May A, Günter E, Stolte M, Ell C. [Early duodenal adenocarcinoma arising in gastric metaplasia treated by endoscopic resection].</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Z Gastroenterol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44</w:t>
      </w:r>
      <w:r w:rsidRPr="00B96FD4">
        <w:rPr>
          <w:rFonts w:ascii="Book Antiqua" w:hAnsi="Book Antiqua"/>
          <w:color w:val="000000"/>
          <w:sz w:val="24"/>
          <w:szCs w:val="24"/>
          <w:lang w:val="en-GB" w:eastAsia="en-US"/>
        </w:rPr>
        <w:t>: 323-328 [PMID: 16625461 DOI: 10.1055/s-2006-926492]</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48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Obata S</w:t>
      </w:r>
      <w:r w:rsidRPr="00B96FD4">
        <w:rPr>
          <w:rFonts w:ascii="Book Antiqua" w:hAnsi="Book Antiqua"/>
          <w:color w:val="000000"/>
          <w:sz w:val="24"/>
          <w:szCs w:val="24"/>
          <w:lang w:val="en-GB" w:eastAsia="en-US"/>
        </w:rPr>
        <w:t xml:space="preserve">, Suenaga M, Araki K, Fujioka Y, Kimura K, Maeda K, Miura K, </w:t>
      </w:r>
      <w:r w:rsidRPr="00B96FD4">
        <w:rPr>
          <w:rFonts w:ascii="Book Antiqua" w:hAnsi="Book Antiqua"/>
          <w:color w:val="000000"/>
          <w:sz w:val="24"/>
          <w:szCs w:val="24"/>
          <w:lang w:val="en-GB" w:eastAsia="en-US"/>
        </w:rPr>
        <w:lastRenderedPageBreak/>
        <w:t>Mizutani J. Use of strip biopsy in a case of early duodenal cancer.</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Endoscopy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24</w:t>
      </w:r>
      <w:r w:rsidRPr="00B96FD4">
        <w:rPr>
          <w:rFonts w:ascii="Book Antiqua" w:hAnsi="Book Antiqua"/>
          <w:color w:val="000000"/>
          <w:sz w:val="24"/>
          <w:szCs w:val="24"/>
          <w:lang w:val="en-GB" w:eastAsia="en-US"/>
        </w:rPr>
        <w:t>: 232-234 [PMID: 1587243 DOI: 10.1055/s-2007-1010470]</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49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Nishida K</w:t>
      </w:r>
      <w:r w:rsidRPr="00B96FD4">
        <w:rPr>
          <w:rFonts w:ascii="Book Antiqua" w:hAnsi="Book Antiqua"/>
          <w:color w:val="000000"/>
          <w:sz w:val="24"/>
          <w:szCs w:val="24"/>
          <w:lang w:val="en-GB" w:eastAsia="en-US"/>
        </w:rPr>
        <w:t>, Nojiri I, Kato M, Higashijima M, Takagi K, Akashi R. [A case of early duodenal cancer resected by endoscopic polypectomy in the elderly].</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Nihon Ronen Igakkai Zasshi</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30</w:t>
      </w:r>
      <w:r w:rsidRPr="00B96FD4">
        <w:rPr>
          <w:rFonts w:ascii="Book Antiqua" w:hAnsi="Book Antiqua"/>
          <w:color w:val="000000"/>
          <w:sz w:val="24"/>
          <w:szCs w:val="24"/>
          <w:lang w:val="en-GB" w:eastAsia="en-US"/>
        </w:rPr>
        <w:t>: 705-708 [PMID: 8230785]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50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Sakaida I</w:t>
      </w:r>
      <w:r w:rsidRPr="00B96FD4">
        <w:rPr>
          <w:rFonts w:ascii="Book Antiqua" w:hAnsi="Book Antiqua"/>
          <w:color w:val="000000"/>
          <w:sz w:val="24"/>
          <w:szCs w:val="24"/>
          <w:lang w:val="en-GB" w:eastAsia="en-US"/>
        </w:rPr>
        <w:t>, Yoshida T, Okita K. Endoscopic resection of early duodenal cancer using a strip biopsy technique.</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Am J Gastroenterol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95</w:t>
      </w:r>
      <w:r w:rsidRPr="00B96FD4">
        <w:rPr>
          <w:rFonts w:ascii="Book Antiqua" w:hAnsi="Book Antiqua"/>
          <w:color w:val="000000"/>
          <w:sz w:val="24"/>
          <w:szCs w:val="24"/>
          <w:lang w:val="en-GB" w:eastAsia="en-US"/>
        </w:rPr>
        <w:t>: 1600-1601 [PMID: 10894618 DOI: 10.1111/j.1572-0241.2000.02114.x]</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51 </w:t>
      </w:r>
      <w:r w:rsidRPr="00B96FD4">
        <w:rPr>
          <w:rFonts w:ascii="Book Antiqua" w:hAnsi="Book Antiqua"/>
          <w:b/>
          <w:color w:val="000000"/>
          <w:sz w:val="24"/>
          <w:szCs w:val="24"/>
          <w:lang w:val="en-GB" w:eastAsia="en-US"/>
        </w:rPr>
        <w:t>Kume K</w:t>
      </w:r>
      <w:r w:rsidRPr="00B96FD4">
        <w:rPr>
          <w:rFonts w:ascii="Book Antiqua" w:hAnsi="Book Antiqua"/>
          <w:color w:val="000000"/>
          <w:sz w:val="24"/>
          <w:szCs w:val="24"/>
          <w:lang w:val="en-GB" w:eastAsia="en-US"/>
        </w:rPr>
        <w:t xml:space="preserve">, Okubo Y, Ejiri Y, Abe H, Hakozaki H, Murata I, Yoshikawa I, Otsuki M. 1. Early duodenal carcinoma successfully treated by endoscopic mucosal resection. </w:t>
      </w:r>
      <w:r w:rsidRPr="00B96FD4">
        <w:rPr>
          <w:rFonts w:ascii="Book Antiqua" w:hAnsi="Book Antiqua"/>
          <w:i/>
          <w:color w:val="000000"/>
          <w:sz w:val="24"/>
          <w:szCs w:val="24"/>
          <w:lang w:val="en-GB" w:eastAsia="en-US"/>
        </w:rPr>
        <w:t>Digest Endosc</w:t>
      </w:r>
      <w:r w:rsidRPr="00B96FD4">
        <w:rPr>
          <w:rFonts w:ascii="Book Antiqua" w:hAnsi="Book Antiqua"/>
          <w:color w:val="000000"/>
          <w:sz w:val="24"/>
          <w:szCs w:val="24"/>
          <w:lang w:val="en-GB" w:eastAsia="en-US"/>
        </w:rPr>
        <w:t xml:space="preserve"> 2000; </w:t>
      </w:r>
      <w:r w:rsidRPr="00B96FD4">
        <w:rPr>
          <w:rFonts w:ascii="Book Antiqua" w:hAnsi="Book Antiqua"/>
          <w:b/>
          <w:color w:val="000000"/>
          <w:sz w:val="24"/>
          <w:szCs w:val="24"/>
          <w:lang w:val="en-GB" w:eastAsia="en-US"/>
        </w:rPr>
        <w:t>12</w:t>
      </w:r>
      <w:r w:rsidRPr="00B96FD4">
        <w:rPr>
          <w:rFonts w:ascii="Book Antiqua" w:hAnsi="Book Antiqua"/>
          <w:color w:val="000000"/>
          <w:sz w:val="24"/>
          <w:szCs w:val="24"/>
          <w:lang w:val="en-GB" w:eastAsia="en-US"/>
        </w:rPr>
        <w:t xml:space="preserve">: 177-180 </w:t>
      </w:r>
      <w:r>
        <w:rPr>
          <w:rFonts w:ascii="Book Antiqua" w:hAnsi="Book Antiqua"/>
          <w:color w:val="000000"/>
          <w:sz w:val="24"/>
          <w:szCs w:val="24"/>
          <w:lang w:val="en-GB" w:eastAsia="en-US"/>
        </w:rPr>
        <w:t>[</w:t>
      </w:r>
      <w:r w:rsidRPr="0002518C">
        <w:rPr>
          <w:rFonts w:ascii="Book Antiqua" w:hAnsi="Book Antiqua"/>
          <w:color w:val="000000"/>
          <w:sz w:val="24"/>
          <w:szCs w:val="24"/>
          <w:lang w:val="en-GB" w:eastAsia="en-US"/>
        </w:rPr>
        <w:t>DOI: 10.1046/j.1443-1661.2000.00021.x</w:t>
      </w:r>
      <w:r>
        <w:rPr>
          <w:rFonts w:ascii="Book Antiqua" w:hAnsi="Book Antiqua"/>
          <w:color w:val="000000"/>
          <w:sz w:val="24"/>
          <w:szCs w:val="24"/>
          <w:lang w:val="en-GB" w:eastAsia="en-US"/>
        </w:rPr>
        <w:t>]</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52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Sanomura M</w:t>
      </w:r>
      <w:r w:rsidRPr="00B96FD4">
        <w:rPr>
          <w:rFonts w:ascii="Book Antiqua" w:hAnsi="Book Antiqua"/>
          <w:color w:val="000000"/>
          <w:sz w:val="24"/>
          <w:szCs w:val="24"/>
          <w:lang w:val="en-GB" w:eastAsia="en-US"/>
        </w:rPr>
        <w:t>, Tanaka S, Ito M, Chayama K. Depressed-type, early duodenal carcinoma (carcinoma in situ) treated by endoscopic mucosal resection.</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J Gastroenterol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38</w:t>
      </w:r>
      <w:r w:rsidRPr="00B96FD4">
        <w:rPr>
          <w:rFonts w:ascii="Book Antiqua" w:hAnsi="Book Antiqua"/>
          <w:color w:val="000000"/>
          <w:sz w:val="24"/>
          <w:szCs w:val="24"/>
          <w:lang w:val="en-GB" w:eastAsia="en-US"/>
        </w:rPr>
        <w:t>: 813-815 [PMID: 14505142 DOI: 10.1007/s00535-003-1152-5]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53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Hirasawa R</w:t>
      </w:r>
      <w:r w:rsidRPr="00B96FD4">
        <w:rPr>
          <w:rFonts w:ascii="Book Antiqua" w:hAnsi="Book Antiqua"/>
          <w:color w:val="000000"/>
          <w:sz w:val="24"/>
          <w:szCs w:val="24"/>
          <w:lang w:val="en-GB" w:eastAsia="en-US"/>
        </w:rPr>
        <w:t>, Iishi H, Tatsuta M, Ishiguro S. Clinicopathologic features and endoscopic resection of duodenal adenocarcinomas and adenomas with the submucosal saline injection technique.</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Gastrointest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46</w:t>
      </w:r>
      <w:r w:rsidRPr="00B96FD4">
        <w:rPr>
          <w:rFonts w:ascii="Book Antiqua" w:hAnsi="Book Antiqua"/>
          <w:color w:val="000000"/>
          <w:sz w:val="24"/>
          <w:szCs w:val="24"/>
          <w:lang w:val="en-GB" w:eastAsia="en-US"/>
        </w:rPr>
        <w:t>: 507-513 [PMID: 9434217]</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54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Apel D</w:t>
      </w:r>
      <w:r w:rsidRPr="00B96FD4">
        <w:rPr>
          <w:rFonts w:ascii="Book Antiqua" w:hAnsi="Book Antiqua"/>
          <w:color w:val="000000"/>
          <w:sz w:val="24"/>
          <w:szCs w:val="24"/>
          <w:lang w:val="en-GB" w:eastAsia="en-US"/>
        </w:rPr>
        <w:t>, Jakobs R, Spiethoff A, Riemann JF. Follow-up after endoscopic snare resection of duodenal adenomas.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Endoscopy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2005;</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37</w:t>
      </w:r>
      <w:r w:rsidRPr="00B96FD4">
        <w:rPr>
          <w:rFonts w:ascii="Book Antiqua" w:hAnsi="Book Antiqua"/>
          <w:color w:val="000000"/>
          <w:sz w:val="24"/>
          <w:szCs w:val="24"/>
          <w:lang w:val="en-GB" w:eastAsia="en-US"/>
        </w:rPr>
        <w:t>: 444-448 [PMID: 15844023 DOI: 10.1055/s-2005-861287]</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lastRenderedPageBreak/>
        <w:t>55</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Abbass R</w:t>
      </w:r>
      <w:r w:rsidRPr="00B96FD4">
        <w:rPr>
          <w:rFonts w:ascii="Book Antiqua" w:hAnsi="Book Antiqua"/>
          <w:color w:val="000000"/>
          <w:sz w:val="24"/>
          <w:szCs w:val="24"/>
          <w:lang w:val="en-GB" w:eastAsia="en-US"/>
        </w:rPr>
        <w:t>, Rigaux J, Al-Kawas FH. Nonampullary duodenal polyps: characteristics and endoscopic management.</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Gastrointest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71</w:t>
      </w:r>
      <w:r w:rsidRPr="00B96FD4">
        <w:rPr>
          <w:rFonts w:ascii="Book Antiqua" w:hAnsi="Book Antiqua"/>
          <w:color w:val="000000"/>
          <w:sz w:val="24"/>
          <w:szCs w:val="24"/>
          <w:lang w:val="en-GB" w:eastAsia="en-US"/>
        </w:rPr>
        <w:t>: 754-759 [PMID: 20363416 DOI: 10.1016/j.gie.2009.11.043]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56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Kedia P</w:t>
      </w:r>
      <w:r w:rsidRPr="00B96FD4">
        <w:rPr>
          <w:rFonts w:ascii="Book Antiqua" w:hAnsi="Book Antiqua"/>
          <w:color w:val="000000"/>
          <w:sz w:val="24"/>
          <w:szCs w:val="24"/>
          <w:lang w:val="en-GB" w:eastAsia="en-US"/>
        </w:rPr>
        <w:t>, Brensinger C, Ginsberg G. Endoscopic predictors of successful endoluminal eradication in sporadic duodenal adenomas and its acute complications.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Gastrointest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72</w:t>
      </w:r>
      <w:r w:rsidRPr="00B96FD4">
        <w:rPr>
          <w:rFonts w:ascii="Book Antiqua" w:hAnsi="Book Antiqua"/>
          <w:color w:val="000000"/>
          <w:sz w:val="24"/>
          <w:szCs w:val="24"/>
          <w:lang w:val="en-GB" w:eastAsia="en-US"/>
        </w:rPr>
        <w:t>: 1297-1301 [PMID: 20970793 DOI: 10.1016/j.gie.2010.07.039]</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57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Kim HK</w:t>
      </w:r>
      <w:r w:rsidRPr="00B96FD4">
        <w:rPr>
          <w:rFonts w:ascii="Book Antiqua" w:hAnsi="Book Antiqua"/>
          <w:color w:val="000000"/>
          <w:sz w:val="24"/>
          <w:szCs w:val="24"/>
          <w:lang w:val="en-GB" w:eastAsia="en-US"/>
        </w:rPr>
        <w:t>, Chung WC, Lee BI, Cho YS. Efficacy and long-term outcome of endoscopic treatment of sporadic nonampullary duodenal adenoma.</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Gut Liver</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w:t>
      </w:r>
      <w:r w:rsidRPr="00B96FD4">
        <w:rPr>
          <w:rFonts w:ascii="Book Antiqua" w:hAnsi="Book Antiqua"/>
          <w:color w:val="000000"/>
          <w:sz w:val="24"/>
          <w:szCs w:val="24"/>
          <w:lang w:val="en-GB" w:eastAsia="en-US"/>
        </w:rPr>
        <w:t>: 373-377 [PMID: 20981216 DOI: 10.5009/gnl.2010.4.3.373]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58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Eswaran SL</w:t>
      </w:r>
      <w:r w:rsidRPr="00B96FD4">
        <w:rPr>
          <w:rFonts w:ascii="Book Antiqua" w:hAnsi="Book Antiqua"/>
          <w:color w:val="000000"/>
          <w:sz w:val="24"/>
          <w:szCs w:val="24"/>
          <w:lang w:val="en-GB" w:eastAsia="en-US"/>
        </w:rPr>
        <w:t>, Sanders M, Bernadino KP, Ansari A, Lawrence C, Stefan A, Mattia A, Howell DA. Success and complications of endoscopic removal of giant duodenal and ampullary polyps: a comparative series.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Gastrointest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64</w:t>
      </w:r>
      <w:r w:rsidRPr="00B96FD4">
        <w:rPr>
          <w:rFonts w:ascii="Book Antiqua" w:hAnsi="Book Antiqua"/>
          <w:color w:val="000000"/>
          <w:sz w:val="24"/>
          <w:szCs w:val="24"/>
          <w:lang w:val="en-GB" w:eastAsia="en-US"/>
        </w:rPr>
        <w:t>: 925-932 [PMID: 17140900]</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59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Yamamoto Y</w:t>
      </w:r>
      <w:r w:rsidRPr="00B96FD4">
        <w:rPr>
          <w:rFonts w:ascii="Book Antiqua" w:hAnsi="Book Antiqua"/>
          <w:color w:val="000000"/>
          <w:sz w:val="24"/>
          <w:szCs w:val="24"/>
          <w:lang w:val="en-GB" w:eastAsia="en-US"/>
        </w:rPr>
        <w:t>, Yoshizawa N, Tomida H, Fujisaki J, Igarashi M. Therapeutic outcomes of endoscopic resection for superficial non-ampullary duodenal tumor.</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Dig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26 Suppl 2</w:t>
      </w:r>
      <w:r w:rsidRPr="00B96FD4">
        <w:rPr>
          <w:rFonts w:ascii="Book Antiqua" w:hAnsi="Book Antiqua"/>
          <w:color w:val="000000"/>
          <w:sz w:val="24"/>
          <w:szCs w:val="24"/>
          <w:lang w:val="en-GB" w:eastAsia="en-US"/>
        </w:rPr>
        <w:t>: 50-56 [PMID: 24750149 DOI: 10.1111/den.12273]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60 </w:t>
      </w:r>
      <w:r w:rsidRPr="00B96FD4">
        <w:rPr>
          <w:rFonts w:ascii="Book Antiqua" w:hAnsi="Book Antiqua"/>
          <w:b/>
          <w:color w:val="000000"/>
          <w:sz w:val="24"/>
          <w:szCs w:val="24"/>
          <w:lang w:val="en-GB" w:eastAsia="en-US"/>
        </w:rPr>
        <w:t>Takeuchi M</w:t>
      </w:r>
      <w:r w:rsidRPr="00B96FD4">
        <w:rPr>
          <w:rFonts w:ascii="Book Antiqua" w:hAnsi="Book Antiqua"/>
          <w:color w:val="000000"/>
          <w:sz w:val="24"/>
          <w:szCs w:val="24"/>
          <w:lang w:val="en-GB" w:eastAsia="en-US"/>
        </w:rPr>
        <w:t>, Kobayashi M, Shioji K, Togashi T, Hashimoto S, Sato Y, Narisawa R, Aoyagi Y. Prevention and management of complications in endoscopic resection for non-ampullary duodenal neoplasms</w:t>
      </w:r>
      <w:r w:rsidRPr="0002518C">
        <w:rPr>
          <w:rFonts w:ascii="Book Antiqua" w:hAnsi="Book Antiqua"/>
          <w:color w:val="000000"/>
          <w:sz w:val="24"/>
          <w:szCs w:val="24"/>
          <w:lang w:val="en-GB" w:eastAsia="en-US"/>
        </w:rPr>
        <w:t xml:space="preserve"> (in Japanese with an English abstract). </w:t>
      </w:r>
      <w:r w:rsidRPr="0002518C">
        <w:rPr>
          <w:rFonts w:ascii="Book Antiqua" w:hAnsi="Book Antiqua"/>
          <w:i/>
          <w:color w:val="000000"/>
          <w:sz w:val="24"/>
          <w:szCs w:val="24"/>
          <w:lang w:val="en-GB" w:eastAsia="en-US"/>
        </w:rPr>
        <w:t>Endosc Digest</w:t>
      </w:r>
      <w:r w:rsidRPr="0002518C">
        <w:rPr>
          <w:rFonts w:ascii="Book Antiqua" w:hAnsi="Book Antiqua"/>
          <w:color w:val="000000"/>
          <w:sz w:val="24"/>
          <w:szCs w:val="24"/>
          <w:lang w:val="en-GB" w:eastAsia="en-US"/>
        </w:rPr>
        <w:t xml:space="preserve"> 2010; </w:t>
      </w:r>
      <w:r w:rsidRPr="0002518C">
        <w:rPr>
          <w:rFonts w:ascii="Book Antiqua" w:hAnsi="Book Antiqua"/>
          <w:b/>
          <w:color w:val="000000"/>
          <w:sz w:val="24"/>
          <w:szCs w:val="24"/>
          <w:lang w:val="en-GB" w:eastAsia="en-US"/>
        </w:rPr>
        <w:t>22</w:t>
      </w:r>
      <w:r w:rsidRPr="0002518C">
        <w:rPr>
          <w:rFonts w:ascii="Book Antiqua" w:hAnsi="Book Antiqua"/>
          <w:color w:val="000000"/>
          <w:sz w:val="24"/>
          <w:szCs w:val="24"/>
          <w:lang w:val="en-GB" w:eastAsia="en-US"/>
        </w:rPr>
        <w:t>: 1561-158</w:t>
      </w:r>
    </w:p>
    <w:p w:rsidR="003B3753" w:rsidRPr="0002518C" w:rsidRDefault="003B3753" w:rsidP="009E7BBE">
      <w:pPr>
        <w:spacing w:line="360" w:lineRule="auto"/>
        <w:rPr>
          <w:rFonts w:ascii="Book Antiqua" w:hAnsi="Book Antiqua"/>
          <w:color w:val="000000"/>
          <w:sz w:val="24"/>
          <w:szCs w:val="24"/>
          <w:lang w:val="en-GB" w:eastAsia="en-US"/>
        </w:rPr>
      </w:pPr>
      <w:r w:rsidRPr="0002518C">
        <w:rPr>
          <w:rFonts w:ascii="Book Antiqua" w:hAnsi="Book Antiqua"/>
          <w:color w:val="000000"/>
          <w:sz w:val="24"/>
          <w:szCs w:val="24"/>
          <w:lang w:val="en-GB" w:eastAsia="en-US"/>
        </w:rPr>
        <w:t>61 </w:t>
      </w:r>
      <w:r w:rsidRPr="00B96FD4">
        <w:rPr>
          <w:rFonts w:ascii="Book Antiqua" w:hAnsi="Book Antiqua"/>
          <w:b/>
          <w:bCs/>
          <w:color w:val="000000"/>
          <w:sz w:val="24"/>
          <w:szCs w:val="24"/>
          <w:lang w:val="en-GB" w:eastAsia="en-US"/>
        </w:rPr>
        <w:t>Jung JH</w:t>
      </w:r>
      <w:r w:rsidRPr="00B96FD4">
        <w:rPr>
          <w:rFonts w:ascii="Book Antiqua" w:hAnsi="Book Antiqua"/>
          <w:color w:val="000000"/>
          <w:sz w:val="24"/>
          <w:szCs w:val="24"/>
          <w:lang w:val="en-GB" w:eastAsia="en-US"/>
        </w:rPr>
        <w:t xml:space="preserve">, Choi KD, Ahn JY, Lee JH, Jung HY, Choi KS, Lee GH, Song HJ, Kim DH, Kim MY, Bae SE, Kim JH. Endoscopic submucosal dissection for sessile, </w:t>
      </w:r>
      <w:r w:rsidRPr="00B96FD4">
        <w:rPr>
          <w:rFonts w:ascii="Book Antiqua" w:hAnsi="Book Antiqua"/>
          <w:color w:val="000000"/>
          <w:sz w:val="24"/>
          <w:szCs w:val="24"/>
          <w:lang w:val="en-GB" w:eastAsia="en-US"/>
        </w:rPr>
        <w:lastRenderedPageBreak/>
        <w:t>nonampullary duodenal adenomas.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Endoscopy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45</w:t>
      </w:r>
      <w:r w:rsidRPr="00B96FD4">
        <w:rPr>
          <w:rFonts w:ascii="Book Antiqua" w:hAnsi="Book Antiqua"/>
          <w:color w:val="000000"/>
          <w:sz w:val="24"/>
          <w:szCs w:val="24"/>
          <w:lang w:val="en-GB" w:eastAsia="en-US"/>
        </w:rPr>
        <w:t>: 133-135 [PMID: 23364841 DOI: 10.1055/s-0032-1326178]</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62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Matsumoto S</w:t>
      </w:r>
      <w:r w:rsidRPr="00B96FD4">
        <w:rPr>
          <w:rFonts w:ascii="Book Antiqua" w:hAnsi="Book Antiqua"/>
          <w:color w:val="000000"/>
          <w:sz w:val="24"/>
          <w:szCs w:val="24"/>
          <w:lang w:val="en-GB" w:eastAsia="en-US"/>
        </w:rPr>
        <w:t>, Miyatani H, Yoshida Y. Endoscopic submucosal dissection for duodenal tumors: a single-center experience.</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Endoscopy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45</w:t>
      </w:r>
      <w:r w:rsidRPr="00B96FD4">
        <w:rPr>
          <w:rFonts w:ascii="Book Antiqua" w:hAnsi="Book Antiqua"/>
          <w:color w:val="000000"/>
          <w:sz w:val="24"/>
          <w:szCs w:val="24"/>
          <w:lang w:val="en-GB" w:eastAsia="en-US"/>
        </w:rPr>
        <w:t>: 136-137 [PMID: 22930172 DOI: 10.1055/s-0032-1310123]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63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Honda T</w:t>
      </w:r>
      <w:r w:rsidRPr="00B96FD4">
        <w:rPr>
          <w:rFonts w:ascii="Book Antiqua" w:hAnsi="Book Antiqua"/>
          <w:color w:val="000000"/>
          <w:sz w:val="24"/>
          <w:szCs w:val="24"/>
          <w:lang w:val="en-GB" w:eastAsia="en-US"/>
        </w:rPr>
        <w:t>, Yamamoto H, Osawa H, Yoshizawa M, Nakano H, Sunada K, Hanatsuka K, Sugano K. Endoscopic submucosal dissection for superficial duodenal neoplasms.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Dig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21</w:t>
      </w:r>
      <w:r w:rsidRPr="00B96FD4">
        <w:rPr>
          <w:rFonts w:ascii="Book Antiqua" w:hAnsi="Book Antiqua"/>
          <w:color w:val="000000"/>
          <w:sz w:val="24"/>
          <w:szCs w:val="24"/>
          <w:lang w:val="en-GB" w:eastAsia="en-US"/>
        </w:rPr>
        <w:t>: 270-274 [PMID: 19961529 DOI: 10.1111/j.1443-1661.2009.00908.x]</w:t>
      </w:r>
    </w:p>
    <w:p w:rsidR="003B3753"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64 </w:t>
      </w:r>
      <w:r w:rsidRPr="00B96FD4">
        <w:rPr>
          <w:rFonts w:ascii="Book Antiqua" w:hAnsi="Book Antiqua"/>
          <w:b/>
          <w:color w:val="000000"/>
          <w:sz w:val="24"/>
          <w:szCs w:val="24"/>
          <w:lang w:val="en-GB" w:eastAsia="en-US"/>
        </w:rPr>
        <w:t>Ono H</w:t>
      </w:r>
      <w:r w:rsidRPr="00B96FD4">
        <w:rPr>
          <w:rFonts w:ascii="Book Antiqua" w:hAnsi="Book Antiqua"/>
          <w:color w:val="000000"/>
          <w:sz w:val="24"/>
          <w:szCs w:val="24"/>
          <w:lang w:val="en-GB" w:eastAsia="en-US"/>
        </w:rPr>
        <w:t>, Nonaka S, Uedo N, Kaise M, Oyama T, Doyama H, Kokawa A, Kaneko K, Kodashima S, Tanabe S, Toyonaga T, Hirasawa T, Michida T. Clinical issues of duodenal EMR/ESD</w:t>
      </w:r>
      <w:r>
        <w:rPr>
          <w:rFonts w:ascii="Book Antiqua" w:hAnsi="Book Antiqua"/>
          <w:color w:val="000000"/>
          <w:sz w:val="24"/>
          <w:szCs w:val="24"/>
          <w:lang w:val="en-GB" w:eastAsia="en-US"/>
        </w:rPr>
        <w:t xml:space="preserve"> </w:t>
      </w:r>
      <w:r w:rsidRPr="0002518C">
        <w:rPr>
          <w:rFonts w:ascii="Book Antiqua" w:hAnsi="Book Antiqua"/>
          <w:color w:val="000000"/>
          <w:sz w:val="24"/>
          <w:szCs w:val="24"/>
          <w:lang w:val="en-GB" w:eastAsia="en-US"/>
        </w:rPr>
        <w:t xml:space="preserve">(in Japanese with an English abstract). </w:t>
      </w:r>
      <w:r w:rsidRPr="0002518C">
        <w:rPr>
          <w:rFonts w:ascii="Book Antiqua" w:hAnsi="Book Antiqua"/>
          <w:i/>
          <w:color w:val="000000"/>
          <w:sz w:val="24"/>
          <w:szCs w:val="24"/>
          <w:lang w:val="en-GB" w:eastAsia="en-US"/>
        </w:rPr>
        <w:t>Stomach Intestine</w:t>
      </w:r>
      <w:r w:rsidRPr="0002518C">
        <w:rPr>
          <w:rFonts w:ascii="Book Antiqua" w:hAnsi="Book Antiqua"/>
          <w:color w:val="000000"/>
          <w:sz w:val="24"/>
          <w:szCs w:val="24"/>
          <w:lang w:val="en-GB" w:eastAsia="en-US"/>
        </w:rPr>
        <w:t xml:space="preserve"> 2011; </w:t>
      </w:r>
      <w:r w:rsidRPr="0002518C">
        <w:rPr>
          <w:rFonts w:ascii="Book Antiqua" w:hAnsi="Book Antiqua"/>
          <w:b/>
          <w:color w:val="000000"/>
          <w:sz w:val="24"/>
          <w:szCs w:val="24"/>
          <w:lang w:val="en-GB" w:eastAsia="en-US"/>
        </w:rPr>
        <w:t>46</w:t>
      </w:r>
      <w:r w:rsidRPr="0002518C">
        <w:rPr>
          <w:rFonts w:ascii="Book Antiqua" w:hAnsi="Book Antiqua"/>
          <w:color w:val="000000"/>
          <w:sz w:val="24"/>
          <w:szCs w:val="24"/>
          <w:lang w:val="en-GB" w:eastAsia="en-US"/>
        </w:rPr>
        <w:t xml:space="preserve">: 1669-1677 </w:t>
      </w:r>
    </w:p>
    <w:p w:rsidR="003B3753" w:rsidRPr="0002518C" w:rsidRDefault="003B3753" w:rsidP="009E7BBE">
      <w:pPr>
        <w:spacing w:line="360" w:lineRule="auto"/>
        <w:rPr>
          <w:rFonts w:ascii="Book Antiqua" w:hAnsi="Book Antiqua"/>
          <w:color w:val="000000"/>
          <w:sz w:val="24"/>
          <w:szCs w:val="24"/>
          <w:lang w:val="en-GB" w:eastAsia="en-US"/>
        </w:rPr>
      </w:pPr>
      <w:r w:rsidRPr="0002518C">
        <w:rPr>
          <w:rFonts w:ascii="Book Antiqua" w:hAnsi="Book Antiqua"/>
          <w:color w:val="000000"/>
          <w:sz w:val="24"/>
          <w:szCs w:val="24"/>
          <w:lang w:val="en-GB" w:eastAsia="en-US"/>
        </w:rPr>
        <w:t>65 </w:t>
      </w:r>
      <w:r w:rsidRPr="0002518C">
        <w:rPr>
          <w:rFonts w:ascii="Book Antiqua" w:hAnsi="Book Antiqua"/>
          <w:b/>
          <w:bCs/>
          <w:color w:val="000000"/>
          <w:sz w:val="24"/>
          <w:szCs w:val="24"/>
          <w:lang w:val="en-GB" w:eastAsia="en-US"/>
        </w:rPr>
        <w:t>Inoue T</w:t>
      </w:r>
      <w:r w:rsidRPr="0002518C">
        <w:rPr>
          <w:rFonts w:ascii="Book Antiqua" w:hAnsi="Book Antiqua"/>
          <w:color w:val="000000"/>
          <w:sz w:val="24"/>
          <w:szCs w:val="24"/>
          <w:lang w:val="en-GB" w:eastAsia="en-US"/>
        </w:rPr>
        <w:t>, Uedo N, Yamashina T, Yamamoto S, Hanaoka N, Takeuchi Y, Higashino K, Ishihara R, Iishi H, Tatsuta M, Takahashi H, Eguchi H, Ohigashi H. Delayed perforation: a hazardous complication of endoscopic resection for non-ampullary duodenal neoplasm. </w:t>
      </w:r>
      <w:r w:rsidRPr="0002518C">
        <w:rPr>
          <w:rFonts w:ascii="Book Antiqua" w:hAnsi="Book Antiqua"/>
          <w:i/>
          <w:iCs/>
          <w:color w:val="000000"/>
          <w:sz w:val="24"/>
          <w:szCs w:val="24"/>
          <w:lang w:val="en-GB" w:eastAsia="en-US"/>
        </w:rPr>
        <w:t>Dig Endosc</w:t>
      </w:r>
      <w:r w:rsidRPr="0002518C">
        <w:rPr>
          <w:rFonts w:ascii="Book Antiqua" w:hAnsi="Book Antiqua"/>
          <w:color w:val="000000"/>
          <w:sz w:val="24"/>
          <w:szCs w:val="24"/>
          <w:lang w:val="en-GB" w:eastAsia="en-US"/>
        </w:rPr>
        <w:t> 2014; </w:t>
      </w:r>
      <w:r w:rsidRPr="0002518C">
        <w:rPr>
          <w:rFonts w:ascii="Book Antiqua" w:hAnsi="Book Antiqua"/>
          <w:b/>
          <w:bCs/>
          <w:color w:val="000000"/>
          <w:sz w:val="24"/>
          <w:szCs w:val="24"/>
          <w:lang w:val="en-GB" w:eastAsia="en-US"/>
        </w:rPr>
        <w:t>26</w:t>
      </w:r>
      <w:r w:rsidRPr="0002518C">
        <w:rPr>
          <w:rFonts w:ascii="Book Antiqua" w:hAnsi="Book Antiqua"/>
          <w:color w:val="000000"/>
          <w:sz w:val="24"/>
          <w:szCs w:val="24"/>
          <w:lang w:val="en-GB" w:eastAsia="en-US"/>
        </w:rPr>
        <w:t>: 220-227 [PMID: 23621427 DOI: 10.1111/den.12</w:t>
      </w:r>
      <w:r w:rsidRPr="00B96FD4">
        <w:rPr>
          <w:rFonts w:ascii="Book Antiqua" w:hAnsi="Book Antiqua"/>
          <w:color w:val="000000"/>
          <w:sz w:val="24"/>
          <w:szCs w:val="24"/>
          <w:lang w:val="en-GB" w:eastAsia="en-US"/>
        </w:rPr>
        <w:t>104]</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 xml:space="preserve">66 </w:t>
      </w:r>
      <w:r w:rsidRPr="00B96FD4">
        <w:rPr>
          <w:rFonts w:ascii="Book Antiqua" w:hAnsi="Book Antiqua"/>
          <w:b/>
          <w:color w:val="000000"/>
          <w:sz w:val="24"/>
          <w:szCs w:val="24"/>
          <w:lang w:val="en-GB" w:eastAsia="en-US"/>
        </w:rPr>
        <w:t>Iizuka T</w:t>
      </w:r>
      <w:r w:rsidRPr="00B96FD4">
        <w:rPr>
          <w:rFonts w:ascii="Book Antiqua" w:hAnsi="Book Antiqua"/>
          <w:color w:val="000000"/>
          <w:sz w:val="24"/>
          <w:szCs w:val="24"/>
          <w:lang w:val="en-GB" w:eastAsia="en-US"/>
        </w:rPr>
        <w:t>, Kikuchi D, Hoteya S, Yamada A, Yamashita S, Fujimoto A, Nakamura M, Matsui A, Kuroki Y, Mitani T, Kaise M, Yahagi N. How to manage duodenal tumors with EMR or ESD</w:t>
      </w:r>
      <w:r>
        <w:rPr>
          <w:rFonts w:ascii="Book Antiqua" w:hAnsi="Book Antiqua"/>
          <w:color w:val="000000"/>
          <w:sz w:val="24"/>
          <w:szCs w:val="24"/>
          <w:lang w:val="en-GB" w:eastAsia="en-US"/>
        </w:rPr>
        <w:t xml:space="preserve"> </w:t>
      </w:r>
      <w:r w:rsidRPr="0002518C">
        <w:rPr>
          <w:rFonts w:ascii="Book Antiqua" w:hAnsi="Book Antiqua"/>
          <w:color w:val="000000"/>
          <w:sz w:val="24"/>
          <w:szCs w:val="24"/>
          <w:lang w:val="en-GB" w:eastAsia="en-US"/>
        </w:rPr>
        <w:t xml:space="preserve">(in Japanese with an English abstract). </w:t>
      </w:r>
      <w:r w:rsidRPr="0002518C">
        <w:rPr>
          <w:rFonts w:ascii="Book Antiqua" w:hAnsi="Book Antiqua"/>
          <w:i/>
          <w:color w:val="000000"/>
          <w:sz w:val="24"/>
          <w:szCs w:val="24"/>
          <w:lang w:val="en-GB" w:eastAsia="en-US"/>
        </w:rPr>
        <w:t>Gastroenterol Endosc</w:t>
      </w:r>
      <w:r w:rsidRPr="0002518C">
        <w:rPr>
          <w:rFonts w:ascii="Book Antiqua" w:hAnsi="Book Antiqua"/>
          <w:color w:val="000000"/>
          <w:sz w:val="24"/>
          <w:szCs w:val="24"/>
          <w:lang w:val="en-GB" w:eastAsia="en-US"/>
        </w:rPr>
        <w:t xml:space="preserve"> 2011; </w:t>
      </w:r>
      <w:r w:rsidRPr="0002518C">
        <w:rPr>
          <w:rFonts w:ascii="Book Antiqua" w:hAnsi="Book Antiqua"/>
          <w:b/>
          <w:color w:val="000000"/>
          <w:sz w:val="24"/>
          <w:szCs w:val="24"/>
          <w:lang w:val="en-GB" w:eastAsia="en-US"/>
        </w:rPr>
        <w:t>53</w:t>
      </w:r>
      <w:r w:rsidRPr="0002518C">
        <w:rPr>
          <w:rFonts w:ascii="Book Antiqua" w:hAnsi="Book Antiqua"/>
          <w:color w:val="000000"/>
          <w:sz w:val="24"/>
          <w:szCs w:val="24"/>
          <w:lang w:val="en-GB" w:eastAsia="en-US"/>
        </w:rPr>
        <w:t xml:space="preserve">: 87-94 </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67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Mori H</w:t>
      </w:r>
      <w:r w:rsidRPr="00B96FD4">
        <w:rPr>
          <w:rFonts w:ascii="Book Antiqua" w:hAnsi="Book Antiqua"/>
          <w:color w:val="000000"/>
          <w:sz w:val="24"/>
          <w:szCs w:val="24"/>
          <w:lang w:val="en-GB" w:eastAsia="en-US"/>
        </w:rPr>
        <w:t xml:space="preserve">, Shintaro F, Kobara H, Nishiyama N, Rafiq K, Kobayashi M, Nakatsu T, Miichi N, Suzuki Y, Masaki T. Successful closing of duodenal ulcer after </w:t>
      </w:r>
      <w:r w:rsidRPr="00B96FD4">
        <w:rPr>
          <w:rFonts w:ascii="Book Antiqua" w:hAnsi="Book Antiqua"/>
          <w:color w:val="000000"/>
          <w:sz w:val="24"/>
          <w:szCs w:val="24"/>
          <w:lang w:val="en-GB" w:eastAsia="en-US"/>
        </w:rPr>
        <w:lastRenderedPageBreak/>
        <w:t>endoscopic submucosal dissection with over-the-scope clip to prevent delayed perforation.</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Dig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25</w:t>
      </w:r>
      <w:r w:rsidRPr="00B96FD4">
        <w:rPr>
          <w:rFonts w:ascii="Book Antiqua" w:hAnsi="Book Antiqua"/>
          <w:color w:val="000000"/>
          <w:sz w:val="24"/>
          <w:szCs w:val="24"/>
          <w:lang w:val="en-GB" w:eastAsia="en-US"/>
        </w:rPr>
        <w:t>: 459-461 [PMID: 23368742 DOI: 10.1111/j.1443-1661.2012.01363.x]</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68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Doyama H</w:t>
      </w:r>
      <w:r w:rsidRPr="00B96FD4">
        <w:rPr>
          <w:rFonts w:ascii="Book Antiqua" w:hAnsi="Book Antiqua"/>
          <w:color w:val="000000"/>
          <w:sz w:val="24"/>
          <w:szCs w:val="24"/>
          <w:lang w:val="en-GB" w:eastAsia="en-US"/>
        </w:rPr>
        <w:t>, Tominaga K, Yoshida N, Takemura K, Yamada S. Endoscopic tissue shielding with polyglycolic acid sheets, fibrin glue and clips to prevent delayed perforation after duodenal endoscopic resection.</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Dig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26 Suppl 2</w:t>
      </w:r>
      <w:r w:rsidRPr="00B96FD4">
        <w:rPr>
          <w:rFonts w:ascii="Book Antiqua" w:hAnsi="Book Antiqua"/>
          <w:color w:val="000000"/>
          <w:sz w:val="24"/>
          <w:szCs w:val="24"/>
          <w:lang w:val="en-GB" w:eastAsia="en-US"/>
        </w:rPr>
        <w:t>: 41-45 [PMID: 24750147 DOI: 10.1111/den.12253]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69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Takimoto K</w:t>
      </w:r>
      <w:r w:rsidRPr="00B96FD4">
        <w:rPr>
          <w:rFonts w:ascii="Book Antiqua" w:hAnsi="Book Antiqua"/>
          <w:color w:val="000000"/>
          <w:sz w:val="24"/>
          <w:szCs w:val="24"/>
          <w:lang w:val="en-GB" w:eastAsia="en-US"/>
        </w:rPr>
        <w:t>, Imai Y, Matsuyama K. Endoscopic tissue shielding method with polyglycolic acid sheets and fibrin glue to prevent delayed perforation after duodenal endoscopic submucosal dissection.</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Dig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26 Suppl 2</w:t>
      </w:r>
      <w:r w:rsidRPr="00B96FD4">
        <w:rPr>
          <w:rFonts w:ascii="Book Antiqua" w:hAnsi="Book Antiqua"/>
          <w:color w:val="000000"/>
          <w:sz w:val="24"/>
          <w:szCs w:val="24"/>
          <w:lang w:val="en-GB" w:eastAsia="en-US"/>
        </w:rPr>
        <w:t>: 46-49 [PMID: 24750148 DOI: 10.1111/den.12280]</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70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Lienert A</w:t>
      </w:r>
      <w:r w:rsidRPr="00B96FD4">
        <w:rPr>
          <w:rFonts w:ascii="Book Antiqua" w:hAnsi="Book Antiqua"/>
          <w:color w:val="000000"/>
          <w:sz w:val="24"/>
          <w:szCs w:val="24"/>
          <w:lang w:val="en-GB" w:eastAsia="en-US"/>
        </w:rPr>
        <w:t>, Bagshaw PF. Treatment of duodenal adenomas with endoscopic argon plasma coagulation.</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ANZ J Surg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77</w:t>
      </w:r>
      <w:r w:rsidRPr="00B96FD4">
        <w:rPr>
          <w:rFonts w:ascii="Book Antiqua" w:hAnsi="Book Antiqua"/>
          <w:color w:val="000000"/>
          <w:sz w:val="24"/>
          <w:szCs w:val="24"/>
          <w:lang w:val="en-GB" w:eastAsia="en-US"/>
        </w:rPr>
        <w:t>: 371-373 [PMID: 17497979 DOI: 10.1111/j.1445-2197.2007.04063.x]</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71</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Basford PJ</w:t>
      </w:r>
      <w:r w:rsidRPr="00B96FD4">
        <w:rPr>
          <w:rFonts w:ascii="Book Antiqua" w:hAnsi="Book Antiqua"/>
          <w:color w:val="000000"/>
          <w:sz w:val="24"/>
          <w:szCs w:val="24"/>
          <w:lang w:val="en-GB" w:eastAsia="en-US"/>
        </w:rPr>
        <w:t>, Bhandari P. Endoscopic management of nonampullary duodenal polyps.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Therap Adv Gastroenterol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5</w:t>
      </w:r>
      <w:r w:rsidRPr="00B96FD4">
        <w:rPr>
          <w:rFonts w:ascii="Book Antiqua" w:hAnsi="Book Antiqua"/>
          <w:color w:val="000000"/>
          <w:sz w:val="24"/>
          <w:szCs w:val="24"/>
          <w:lang w:val="en-GB" w:eastAsia="en-US"/>
        </w:rPr>
        <w:t>: 127-138 [PMID: 22423261 DOI: 10.1177/1756283X11429590]</w:t>
      </w:r>
    </w:p>
    <w:p w:rsidR="003B3753" w:rsidRPr="0002518C" w:rsidRDefault="003B3753" w:rsidP="009E7BBE">
      <w:pPr>
        <w:spacing w:line="360" w:lineRule="auto"/>
        <w:rPr>
          <w:rFonts w:ascii="Book Antiqua" w:hAnsi="Book Antiqua"/>
          <w:color w:val="000000"/>
          <w:sz w:val="24"/>
          <w:szCs w:val="24"/>
          <w:lang w:val="it-IT" w:eastAsia="en-US"/>
        </w:rPr>
      </w:pPr>
      <w:r w:rsidRPr="00B96FD4">
        <w:rPr>
          <w:rFonts w:ascii="Book Antiqua" w:hAnsi="Book Antiqua"/>
          <w:color w:val="000000"/>
          <w:sz w:val="24"/>
          <w:szCs w:val="24"/>
          <w:lang w:val="en-GB" w:eastAsia="en-US"/>
        </w:rPr>
        <w:t>72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Scott-Coombes DM</w:t>
      </w:r>
      <w:r w:rsidRPr="00B96FD4">
        <w:rPr>
          <w:rFonts w:ascii="Book Antiqua" w:hAnsi="Book Antiqua"/>
          <w:color w:val="000000"/>
          <w:sz w:val="24"/>
          <w:szCs w:val="24"/>
          <w:lang w:val="en-GB" w:eastAsia="en-US"/>
        </w:rPr>
        <w:t>, Williamson RC. Surgical treatment of primary duodenal carcinoma: a personal series.</w:t>
      </w:r>
      <w:r w:rsidRPr="001D30AC">
        <w:rPr>
          <w:rFonts w:ascii="Book Antiqua" w:hAnsi="Book Antiqua"/>
          <w:color w:val="000000"/>
          <w:sz w:val="24"/>
          <w:szCs w:val="24"/>
          <w:lang w:val="en-GB" w:eastAsia="en-US"/>
        </w:rPr>
        <w:t> </w:t>
      </w:r>
      <w:r w:rsidRPr="0002518C">
        <w:rPr>
          <w:rFonts w:ascii="Book Antiqua" w:hAnsi="Book Antiqua"/>
          <w:i/>
          <w:iCs/>
          <w:color w:val="000000"/>
          <w:sz w:val="24"/>
          <w:szCs w:val="24"/>
          <w:lang w:val="it-IT" w:eastAsia="en-US"/>
        </w:rPr>
        <w:t>Br J Surg</w:t>
      </w:r>
      <w:r w:rsidRPr="0002518C">
        <w:rPr>
          <w:rFonts w:ascii="Book Antiqua" w:hAnsi="Book Antiqua"/>
          <w:color w:val="000000"/>
          <w:sz w:val="24"/>
          <w:szCs w:val="24"/>
          <w:lang w:val="it-IT" w:eastAsia="en-US"/>
        </w:rPr>
        <w:t> 1994; </w:t>
      </w:r>
      <w:r w:rsidRPr="0002518C">
        <w:rPr>
          <w:rFonts w:ascii="Book Antiqua" w:hAnsi="Book Antiqua"/>
          <w:b/>
          <w:bCs/>
          <w:color w:val="000000"/>
          <w:sz w:val="24"/>
          <w:szCs w:val="24"/>
          <w:lang w:val="it-IT" w:eastAsia="en-US"/>
        </w:rPr>
        <w:t>81</w:t>
      </w:r>
      <w:r w:rsidRPr="0002518C">
        <w:rPr>
          <w:rFonts w:ascii="Book Antiqua" w:hAnsi="Book Antiqua"/>
          <w:color w:val="000000"/>
          <w:sz w:val="24"/>
          <w:szCs w:val="24"/>
          <w:lang w:val="it-IT" w:eastAsia="en-US"/>
        </w:rPr>
        <w:t>: 1472-1474 [PMID: 7820475]</w:t>
      </w:r>
    </w:p>
    <w:p w:rsidR="003B3753" w:rsidRPr="0002518C" w:rsidRDefault="003B3753" w:rsidP="009E7BBE">
      <w:pPr>
        <w:spacing w:line="360" w:lineRule="auto"/>
        <w:rPr>
          <w:rFonts w:ascii="Book Antiqua" w:hAnsi="Book Antiqua"/>
          <w:color w:val="000000"/>
          <w:sz w:val="24"/>
          <w:szCs w:val="24"/>
          <w:lang w:val="en-GB" w:eastAsia="en-US"/>
        </w:rPr>
      </w:pPr>
      <w:r w:rsidRPr="0002518C">
        <w:rPr>
          <w:rFonts w:ascii="Book Antiqua" w:hAnsi="Book Antiqua"/>
          <w:color w:val="000000"/>
          <w:sz w:val="24"/>
          <w:szCs w:val="24"/>
          <w:lang w:val="it-IT" w:eastAsia="en-US"/>
        </w:rPr>
        <w:t>73 </w:t>
      </w:r>
      <w:r w:rsidRPr="0002518C">
        <w:rPr>
          <w:rFonts w:ascii="Book Antiqua" w:hAnsi="Book Antiqua"/>
          <w:b/>
          <w:bCs/>
          <w:color w:val="000000"/>
          <w:sz w:val="24"/>
          <w:szCs w:val="24"/>
          <w:lang w:val="it-IT" w:eastAsia="en-US"/>
        </w:rPr>
        <w:t>Solej M</w:t>
      </w:r>
      <w:r w:rsidRPr="0002518C">
        <w:rPr>
          <w:rFonts w:ascii="Book Antiqua" w:hAnsi="Book Antiqua"/>
          <w:color w:val="000000"/>
          <w:sz w:val="24"/>
          <w:szCs w:val="24"/>
          <w:lang w:val="it-IT" w:eastAsia="en-US"/>
        </w:rPr>
        <w:t>, D'Amico S, Brondino G, Ferronato M, Nano M. Primary duodenal adenocarcinoma. </w:t>
      </w:r>
      <w:r w:rsidRPr="0002518C">
        <w:rPr>
          <w:rFonts w:ascii="Book Antiqua" w:hAnsi="Book Antiqua"/>
          <w:i/>
          <w:iCs/>
          <w:color w:val="000000"/>
          <w:sz w:val="24"/>
          <w:szCs w:val="24"/>
          <w:lang w:val="en-GB" w:eastAsia="en-US"/>
        </w:rPr>
        <w:t>Tumori</w:t>
      </w:r>
      <w:r w:rsidRPr="0002518C">
        <w:rPr>
          <w:rFonts w:ascii="Book Antiqua" w:hAnsi="Book Antiqua"/>
          <w:color w:val="000000"/>
          <w:sz w:val="24"/>
          <w:szCs w:val="24"/>
          <w:lang w:val="en-GB" w:eastAsia="en-US"/>
        </w:rPr>
        <w:t> 2008; </w:t>
      </w:r>
      <w:r w:rsidRPr="0002518C">
        <w:rPr>
          <w:rFonts w:ascii="Book Antiqua" w:hAnsi="Book Antiqua"/>
          <w:b/>
          <w:bCs/>
          <w:color w:val="000000"/>
          <w:sz w:val="24"/>
          <w:szCs w:val="24"/>
          <w:lang w:val="en-GB" w:eastAsia="en-US"/>
        </w:rPr>
        <w:t>94</w:t>
      </w:r>
      <w:r w:rsidRPr="0002518C">
        <w:rPr>
          <w:rFonts w:ascii="Book Antiqua" w:hAnsi="Book Antiqua"/>
          <w:color w:val="000000"/>
          <w:sz w:val="24"/>
          <w:szCs w:val="24"/>
          <w:lang w:val="en-GB" w:eastAsia="en-US"/>
        </w:rPr>
        <w:t>: 779-786 [PMID: 19267092]</w:t>
      </w:r>
    </w:p>
    <w:p w:rsidR="003B3753" w:rsidRPr="0002518C" w:rsidRDefault="003B3753" w:rsidP="009E7BBE">
      <w:pPr>
        <w:spacing w:line="360" w:lineRule="auto"/>
        <w:rPr>
          <w:rFonts w:ascii="Book Antiqua" w:hAnsi="Book Antiqua"/>
          <w:color w:val="000000"/>
          <w:sz w:val="24"/>
          <w:szCs w:val="24"/>
          <w:lang w:val="en-GB" w:eastAsia="en-US"/>
        </w:rPr>
      </w:pPr>
      <w:r w:rsidRPr="0002518C">
        <w:rPr>
          <w:rFonts w:ascii="Book Antiqua" w:hAnsi="Book Antiqua"/>
          <w:color w:val="000000"/>
          <w:sz w:val="24"/>
          <w:szCs w:val="24"/>
          <w:lang w:val="en-GB" w:eastAsia="en-US"/>
        </w:rPr>
        <w:t>74 </w:t>
      </w:r>
      <w:r w:rsidRPr="00B96FD4">
        <w:rPr>
          <w:rFonts w:ascii="Book Antiqua" w:hAnsi="Book Antiqua"/>
          <w:b/>
          <w:bCs/>
          <w:color w:val="000000"/>
          <w:sz w:val="24"/>
          <w:szCs w:val="24"/>
          <w:lang w:val="en-GB" w:eastAsia="en-US"/>
        </w:rPr>
        <w:t>Han SL</w:t>
      </w:r>
      <w:r w:rsidRPr="00B96FD4">
        <w:rPr>
          <w:rFonts w:ascii="Book Antiqua" w:hAnsi="Book Antiqua"/>
          <w:color w:val="000000"/>
          <w:sz w:val="24"/>
          <w:szCs w:val="24"/>
          <w:lang w:val="en-GB" w:eastAsia="en-US"/>
        </w:rPr>
        <w:t>, Cheng J, Zhou HZ, Zeng QQ, Lan SH. The surgical treatment and outcome for primary duodenal adenocarcinoma.</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J Gastrointest Cancer</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41</w:t>
      </w:r>
      <w:r w:rsidRPr="00B96FD4">
        <w:rPr>
          <w:rFonts w:ascii="Book Antiqua" w:hAnsi="Book Antiqua"/>
          <w:color w:val="000000"/>
          <w:sz w:val="24"/>
          <w:szCs w:val="24"/>
          <w:lang w:val="en-GB" w:eastAsia="en-US"/>
        </w:rPr>
        <w:t xml:space="preserve">: </w:t>
      </w:r>
      <w:r w:rsidRPr="00B96FD4">
        <w:rPr>
          <w:rFonts w:ascii="Book Antiqua" w:hAnsi="Book Antiqua"/>
          <w:color w:val="000000"/>
          <w:sz w:val="24"/>
          <w:szCs w:val="24"/>
          <w:lang w:val="en-GB" w:eastAsia="en-US"/>
        </w:rPr>
        <w:lastRenderedPageBreak/>
        <w:t>243-247 [PMID: 20431961 DOI: 10.1007/s12029-010-9160-1]</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75</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Lang H</w:t>
      </w:r>
      <w:r w:rsidRPr="00B96FD4">
        <w:rPr>
          <w:rFonts w:ascii="Book Antiqua" w:hAnsi="Book Antiqua"/>
          <w:color w:val="000000"/>
          <w:sz w:val="24"/>
          <w:szCs w:val="24"/>
          <w:lang w:val="en-GB" w:eastAsia="en-US"/>
        </w:rPr>
        <w:t>, Nadalin S, Raab R, Jähne J. [Results of surgical therapy of primary adenocarcinoma of the duodenum].</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Chirurg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70</w:t>
      </w:r>
      <w:r w:rsidRPr="00B96FD4">
        <w:rPr>
          <w:rFonts w:ascii="Book Antiqua" w:hAnsi="Book Antiqua"/>
          <w:color w:val="000000"/>
          <w:sz w:val="24"/>
          <w:szCs w:val="24"/>
          <w:lang w:val="en-GB" w:eastAsia="en-US"/>
        </w:rPr>
        <w:t>: 571-577 [PMID: 10412601 DOI: 10.1007/s001040050688]</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76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Cameron JL</w:t>
      </w:r>
      <w:r w:rsidRPr="00B96FD4">
        <w:rPr>
          <w:rFonts w:ascii="Book Antiqua" w:hAnsi="Book Antiqua"/>
          <w:color w:val="000000"/>
          <w:sz w:val="24"/>
          <w:szCs w:val="24"/>
          <w:lang w:val="en-GB" w:eastAsia="en-US"/>
        </w:rPr>
        <w:t>, Riall TS, Coleman J, Belcher KA. One thousand consecutive pancreaticoduodenectomies.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Ann Surg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244</w:t>
      </w:r>
      <w:r w:rsidRPr="00B96FD4">
        <w:rPr>
          <w:rFonts w:ascii="Book Antiqua" w:hAnsi="Book Antiqua"/>
          <w:color w:val="000000"/>
          <w:sz w:val="24"/>
          <w:szCs w:val="24"/>
          <w:lang w:val="en-GB" w:eastAsia="en-US"/>
        </w:rPr>
        <w:t>: 10-15 [PMID: 16794383 DOI: 10.1097/01.sla.0000217673.04165.ea]</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77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Mukherjee S</w:t>
      </w:r>
      <w:r w:rsidRPr="00B96FD4">
        <w:rPr>
          <w:rFonts w:ascii="Book Antiqua" w:hAnsi="Book Antiqua"/>
          <w:color w:val="000000"/>
          <w:sz w:val="24"/>
          <w:szCs w:val="24"/>
          <w:lang w:val="en-GB" w:eastAsia="en-US"/>
        </w:rPr>
        <w:t>, Kocher HM, Hutchins RR, Bhattacharya S, Abraham AT. Impact of hospital volume on outcomes for pancreaticoduodenectomy: a single UK HPB centre experience.</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Eur J Surg Oncol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35</w:t>
      </w:r>
      <w:r w:rsidRPr="00B96FD4">
        <w:rPr>
          <w:rFonts w:ascii="Book Antiqua" w:hAnsi="Book Antiqua"/>
          <w:color w:val="000000"/>
          <w:sz w:val="24"/>
          <w:szCs w:val="24"/>
          <w:lang w:val="en-GB" w:eastAsia="en-US"/>
        </w:rPr>
        <w:t>: 734-738 [PMID: 18547780 DOI: 10.1016/j.ejso.2008.04.006]</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78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Farnell MB</w:t>
      </w:r>
      <w:r w:rsidRPr="00B96FD4">
        <w:rPr>
          <w:rFonts w:ascii="Book Antiqua" w:hAnsi="Book Antiqua"/>
          <w:color w:val="000000"/>
          <w:sz w:val="24"/>
          <w:szCs w:val="24"/>
          <w:lang w:val="en-GB" w:eastAsia="en-US"/>
        </w:rPr>
        <w:t>, Sakorafas GH, Sarr MG, Rowland CM, Tsiotos GG, Farley DR, Nagorney DM. Villous tumors of the duodenum: reappraisal of local vs. extended resection.</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J Gastrointest Surg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w:t>
      </w:r>
      <w:r w:rsidRPr="00B96FD4">
        <w:rPr>
          <w:rFonts w:ascii="Book Antiqua" w:hAnsi="Book Antiqua"/>
          <w:color w:val="000000"/>
          <w:sz w:val="24"/>
          <w:szCs w:val="24"/>
          <w:lang w:val="en-GB" w:eastAsia="en-US"/>
        </w:rPr>
        <w:t>: 13-21, discussion 22-3 [PMID: 10631358]</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79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Haglund U</w:t>
      </w:r>
      <w:r w:rsidRPr="00B96FD4">
        <w:rPr>
          <w:rFonts w:ascii="Book Antiqua" w:hAnsi="Book Antiqua"/>
          <w:color w:val="000000"/>
          <w:sz w:val="24"/>
          <w:szCs w:val="24"/>
          <w:lang w:val="en-GB" w:eastAsia="en-US"/>
        </w:rPr>
        <w:t>, Fork FT, Genell S, Rehnberg O. Villous adenomas in the duodenum.</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Br J Surg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1985;</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72</w:t>
      </w:r>
      <w:r w:rsidRPr="00B96FD4">
        <w:rPr>
          <w:rFonts w:ascii="Book Antiqua" w:hAnsi="Book Antiqua"/>
          <w:color w:val="000000"/>
          <w:sz w:val="24"/>
          <w:szCs w:val="24"/>
          <w:lang w:val="en-GB" w:eastAsia="en-US"/>
        </w:rPr>
        <w:t>: 26-27 [PMID: 3967125]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80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Santoro E</w:t>
      </w:r>
      <w:r w:rsidRPr="00B96FD4">
        <w:rPr>
          <w:rFonts w:ascii="Book Antiqua" w:hAnsi="Book Antiqua"/>
          <w:color w:val="000000"/>
          <w:sz w:val="24"/>
          <w:szCs w:val="24"/>
          <w:lang w:val="en-GB" w:eastAsia="en-US"/>
        </w:rPr>
        <w:t>, Sacchi M, Scutari F, Carboni F, Graziano F. Primary adenocarcinoma of the duodenum: treatment and survival in 89 patients.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Hepatogastroenterology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44</w:t>
      </w:r>
      <w:r w:rsidRPr="00B96FD4">
        <w:rPr>
          <w:rFonts w:ascii="Book Antiqua" w:hAnsi="Book Antiqua"/>
          <w:color w:val="000000"/>
          <w:sz w:val="24"/>
          <w:szCs w:val="24"/>
          <w:lang w:val="en-GB" w:eastAsia="en-US"/>
        </w:rPr>
        <w:t>: 1157-1163 [PMID: 9261617]</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81</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Tanigawa K</w:t>
      </w:r>
      <w:r w:rsidRPr="00B96FD4">
        <w:rPr>
          <w:rFonts w:ascii="Book Antiqua" w:hAnsi="Book Antiqua"/>
          <w:color w:val="000000"/>
          <w:sz w:val="24"/>
          <w:szCs w:val="24"/>
          <w:lang w:val="en-GB" w:eastAsia="en-US"/>
        </w:rPr>
        <w:t>, Akino K, Kajiwara Y, Ozeki K, Kanematsu T, Shibata H, Yamashita S. A small depressed early cancer of the second portion of duodenum: report of a case and review of Japanese literature.</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Chin Med J (Engl)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109</w:t>
      </w:r>
      <w:r w:rsidRPr="00B96FD4">
        <w:rPr>
          <w:rFonts w:ascii="Book Antiqua" w:hAnsi="Book Antiqua"/>
          <w:color w:val="000000"/>
          <w:sz w:val="24"/>
          <w:szCs w:val="24"/>
          <w:lang w:val="en-GB" w:eastAsia="en-US"/>
        </w:rPr>
        <w:t>: 810-813 [PMID: 9275361]</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lastRenderedPageBreak/>
        <w:t>82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Jurisi</w:t>
      </w:r>
      <w:r w:rsidRPr="00B96FD4">
        <w:rPr>
          <w:rFonts w:ascii="Times New Roman" w:hAnsi="Times New Roman"/>
          <w:b/>
          <w:bCs/>
          <w:color w:val="000000"/>
          <w:sz w:val="24"/>
          <w:szCs w:val="24"/>
          <w:lang w:val="en-GB" w:eastAsia="en-US"/>
        </w:rPr>
        <w:t>ć</w:t>
      </w:r>
      <w:r w:rsidRPr="00B96FD4">
        <w:rPr>
          <w:rFonts w:ascii="Book Antiqua" w:hAnsi="Book Antiqua"/>
          <w:b/>
          <w:bCs/>
          <w:color w:val="000000"/>
          <w:sz w:val="24"/>
          <w:szCs w:val="24"/>
          <w:lang w:val="en-GB" w:eastAsia="en-US"/>
        </w:rPr>
        <w:t xml:space="preserve"> D</w:t>
      </w:r>
      <w:r w:rsidRPr="00B96FD4">
        <w:rPr>
          <w:rFonts w:ascii="Book Antiqua" w:hAnsi="Book Antiqua"/>
          <w:color w:val="000000"/>
          <w:sz w:val="24"/>
          <w:szCs w:val="24"/>
          <w:lang w:val="en-GB" w:eastAsia="en-US"/>
        </w:rPr>
        <w:t>, Doko M, Glavan E, Rosko D, Vidovi</w:t>
      </w:r>
      <w:r w:rsidRPr="00B96FD4">
        <w:rPr>
          <w:rFonts w:ascii="Times New Roman" w:hAnsi="Times New Roman"/>
          <w:color w:val="000000"/>
          <w:sz w:val="24"/>
          <w:szCs w:val="24"/>
          <w:lang w:val="en-GB" w:eastAsia="en-US"/>
        </w:rPr>
        <w:t>ć</w:t>
      </w:r>
      <w:r w:rsidRPr="00B96FD4">
        <w:rPr>
          <w:rFonts w:ascii="Book Antiqua" w:hAnsi="Book Antiqua"/>
          <w:color w:val="000000"/>
          <w:sz w:val="24"/>
          <w:szCs w:val="24"/>
          <w:lang w:val="en-GB" w:eastAsia="en-US"/>
        </w:rPr>
        <w:t xml:space="preserve"> D, Tomi</w:t>
      </w:r>
      <w:r w:rsidRPr="00B96FD4">
        <w:rPr>
          <w:rFonts w:ascii="Times New Roman" w:hAnsi="Times New Roman"/>
          <w:color w:val="000000"/>
          <w:sz w:val="24"/>
          <w:szCs w:val="24"/>
          <w:lang w:val="en-GB" w:eastAsia="en-US"/>
        </w:rPr>
        <w:t>ć</w:t>
      </w:r>
      <w:r w:rsidRPr="00B96FD4">
        <w:rPr>
          <w:rFonts w:ascii="Book Antiqua" w:hAnsi="Book Antiqua"/>
          <w:color w:val="000000"/>
          <w:sz w:val="24"/>
          <w:szCs w:val="24"/>
          <w:lang w:val="en-GB" w:eastAsia="en-US"/>
        </w:rPr>
        <w:t xml:space="preserve"> K. Local recurrence of primary non-ampullary adenocarcinoma of duodenum after surgical treatment--a case report and a literature review.</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Coll Antropol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30</w:t>
      </w:r>
      <w:r w:rsidRPr="00B96FD4">
        <w:rPr>
          <w:rFonts w:ascii="Book Antiqua" w:hAnsi="Book Antiqua"/>
          <w:color w:val="000000"/>
          <w:sz w:val="24"/>
          <w:szCs w:val="24"/>
          <w:lang w:val="en-GB" w:eastAsia="en-US"/>
        </w:rPr>
        <w:t>: 225-229 [PMID: 16617602]</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83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Kaklamanos IG</w:t>
      </w:r>
      <w:r w:rsidRPr="00B96FD4">
        <w:rPr>
          <w:rFonts w:ascii="Book Antiqua" w:hAnsi="Book Antiqua"/>
          <w:color w:val="000000"/>
          <w:sz w:val="24"/>
          <w:szCs w:val="24"/>
          <w:lang w:val="en-GB" w:eastAsia="en-US"/>
        </w:rPr>
        <w:t>, Bathe OF, Franceschi D, Camarda C, Levi J, Livingstone AS. Extent of resection in the management of duodenal adenocarcinoma.</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Am J Surg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179</w:t>
      </w:r>
      <w:r w:rsidRPr="00B96FD4">
        <w:rPr>
          <w:rFonts w:ascii="Book Antiqua" w:hAnsi="Book Antiqua"/>
          <w:color w:val="000000"/>
          <w:sz w:val="24"/>
          <w:szCs w:val="24"/>
          <w:lang w:val="en-GB" w:eastAsia="en-US"/>
        </w:rPr>
        <w:t>: 37-41 [PMID: 10737576]</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84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Eisenberger CF</w:t>
      </w:r>
      <w:r w:rsidRPr="00B96FD4">
        <w:rPr>
          <w:rFonts w:ascii="Book Antiqua" w:hAnsi="Book Antiqua"/>
          <w:color w:val="000000"/>
          <w:sz w:val="24"/>
          <w:szCs w:val="24"/>
          <w:lang w:val="en-GB" w:eastAsia="en-US"/>
        </w:rPr>
        <w:t>, Knoefel WT, Peiper M, Yekebas EF, Hosch SB, Busch C, Izbicki JR. Pancreas-sparing duodenectomy in duodenal pathology: indications and results.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Hepatogastroenterology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51</w:t>
      </w:r>
      <w:r w:rsidRPr="00B96FD4">
        <w:rPr>
          <w:rFonts w:ascii="Book Antiqua" w:hAnsi="Book Antiqua"/>
          <w:color w:val="000000"/>
          <w:sz w:val="24"/>
          <w:szCs w:val="24"/>
          <w:lang w:val="en-GB" w:eastAsia="en-US"/>
        </w:rPr>
        <w:t>: 727-731 [PMID: 15143902]</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85</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Konishi M</w:t>
      </w:r>
      <w:r w:rsidRPr="00B96FD4">
        <w:rPr>
          <w:rFonts w:ascii="Book Antiqua" w:hAnsi="Book Antiqua"/>
          <w:color w:val="000000"/>
          <w:sz w:val="24"/>
          <w:szCs w:val="24"/>
          <w:lang w:val="en-GB" w:eastAsia="en-US"/>
        </w:rPr>
        <w:t>, Kinoshita T, Nakagohri T, Takahashi S, Gotohda N, Ryu M. Pancreas-sparing duodenectomy for duodenal neoplasms including malignancies.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Hepatogastroenterology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54</w:t>
      </w:r>
      <w:r w:rsidRPr="00B96FD4">
        <w:rPr>
          <w:rFonts w:ascii="Book Antiqua" w:hAnsi="Book Antiqua"/>
          <w:color w:val="000000"/>
          <w:sz w:val="24"/>
          <w:szCs w:val="24"/>
          <w:lang w:val="en-GB" w:eastAsia="en-US"/>
        </w:rPr>
        <w:t>: 753-757 [PMID: 17591055]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86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Abe N</w:t>
      </w:r>
      <w:r w:rsidRPr="00B96FD4">
        <w:rPr>
          <w:rFonts w:ascii="Book Antiqua" w:hAnsi="Book Antiqua"/>
          <w:color w:val="000000"/>
          <w:sz w:val="24"/>
          <w:szCs w:val="24"/>
          <w:lang w:val="en-GB" w:eastAsia="en-US"/>
        </w:rPr>
        <w:t>, Suzuki Y, Masaki T, Mori T, Sugiyama M. Surgical management of superficial non-ampullary duodenal tumors.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Dig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2014;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26 Suppl 2</w:t>
      </w:r>
      <w:r w:rsidRPr="00B96FD4">
        <w:rPr>
          <w:rFonts w:ascii="Book Antiqua" w:hAnsi="Book Antiqua"/>
          <w:color w:val="000000"/>
          <w:sz w:val="24"/>
          <w:szCs w:val="24"/>
          <w:lang w:val="en-GB" w:eastAsia="en-US"/>
        </w:rPr>
        <w:t>: 57-63 [PMID: 24750150 DOI: 10.1111/den.12272]</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87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Tanaka Y</w:t>
      </w:r>
      <w:r w:rsidRPr="00B96FD4">
        <w:rPr>
          <w:rFonts w:ascii="Book Antiqua" w:hAnsi="Book Antiqua"/>
          <w:color w:val="000000"/>
          <w:sz w:val="24"/>
          <w:szCs w:val="24"/>
          <w:lang w:val="en-GB" w:eastAsia="en-US"/>
        </w:rPr>
        <w:t>, Tokunaga K, Katsuragawa K, Yoshiura K, Naitoh M, Kino K, Tsuru M, Matsumoto K, Fukazawa T, Kuroiwa K, Sakagawa K, Sawabe M, Takubo K, Esaki Y. Early carcinoma of the distal second part of the duodenum treated by wedge resection.</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J Clin Gastroenterol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28</w:t>
      </w:r>
      <w:r w:rsidRPr="00B96FD4">
        <w:rPr>
          <w:rFonts w:ascii="Book Antiqua" w:hAnsi="Book Antiqua"/>
          <w:color w:val="000000"/>
          <w:sz w:val="24"/>
          <w:szCs w:val="24"/>
          <w:lang w:val="en-GB" w:eastAsia="en-US"/>
        </w:rPr>
        <w:t>: 67-69 [PMID: 9916673]</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88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Spalding DR</w:t>
      </w:r>
      <w:r w:rsidRPr="00B96FD4">
        <w:rPr>
          <w:rFonts w:ascii="Book Antiqua" w:hAnsi="Book Antiqua"/>
          <w:color w:val="000000"/>
          <w:sz w:val="24"/>
          <w:szCs w:val="24"/>
          <w:lang w:val="en-GB" w:eastAsia="en-US"/>
        </w:rPr>
        <w:t>, Isla AM, Thompson JN, Williamson RC. Pancreas-sparing distal duodenectomy for infrapapillary neoplasms.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Ann R Coll Surg Engl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89</w:t>
      </w:r>
      <w:r w:rsidRPr="00B96FD4">
        <w:rPr>
          <w:rFonts w:ascii="Book Antiqua" w:hAnsi="Book Antiqua"/>
          <w:color w:val="000000"/>
          <w:sz w:val="24"/>
          <w:szCs w:val="24"/>
          <w:lang w:val="en-GB" w:eastAsia="en-US"/>
        </w:rPr>
        <w:t>: 130-135 [PMID: 17346405 DOI: 10.1308/003588407X155815]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89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Galandiuk S</w:t>
      </w:r>
      <w:r w:rsidRPr="00B96FD4">
        <w:rPr>
          <w:rFonts w:ascii="Book Antiqua" w:hAnsi="Book Antiqua"/>
          <w:color w:val="000000"/>
          <w:sz w:val="24"/>
          <w:szCs w:val="24"/>
          <w:lang w:val="en-GB" w:eastAsia="en-US"/>
        </w:rPr>
        <w:t xml:space="preserve">, Hermann RE, Jagelman DG, Fazio VW, Sivak MV. Villous </w:t>
      </w:r>
      <w:r w:rsidRPr="00B96FD4">
        <w:rPr>
          <w:rFonts w:ascii="Book Antiqua" w:hAnsi="Book Antiqua"/>
          <w:color w:val="000000"/>
          <w:sz w:val="24"/>
          <w:szCs w:val="24"/>
          <w:lang w:val="en-GB" w:eastAsia="en-US"/>
        </w:rPr>
        <w:lastRenderedPageBreak/>
        <w:t>tumors of the duodenum.</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Ann Surg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1988;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207</w:t>
      </w:r>
      <w:r w:rsidRPr="00B96FD4">
        <w:rPr>
          <w:rFonts w:ascii="Book Antiqua" w:hAnsi="Book Antiqua"/>
          <w:color w:val="000000"/>
          <w:sz w:val="24"/>
          <w:szCs w:val="24"/>
          <w:lang w:val="en-GB" w:eastAsia="en-US"/>
        </w:rPr>
        <w:t>: 234-239 [PMID: 3345110]</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90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Friedrich-Rust M</w:t>
      </w:r>
      <w:r w:rsidRPr="00B96FD4">
        <w:rPr>
          <w:rFonts w:ascii="Book Antiqua" w:hAnsi="Book Antiqua"/>
          <w:color w:val="000000"/>
          <w:sz w:val="24"/>
          <w:szCs w:val="24"/>
          <w:lang w:val="en-GB" w:eastAsia="en-US"/>
        </w:rPr>
        <w:t>, Ell C. Early-stage small-bowel adenocarcinoma: a review of local endoscopic therapy.</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Endoscopy</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2005;</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37</w:t>
      </w:r>
      <w:r w:rsidRPr="00B96FD4">
        <w:rPr>
          <w:rFonts w:ascii="Book Antiqua" w:hAnsi="Book Antiqua"/>
          <w:color w:val="000000"/>
          <w:sz w:val="24"/>
          <w:szCs w:val="24"/>
          <w:lang w:val="en-GB" w:eastAsia="en-US"/>
        </w:rPr>
        <w:t>: 755-759 [PMID: 16032496 DOI: 10.1055/s-2005-870162]</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91</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Rose DM</w:t>
      </w:r>
      <w:r w:rsidRPr="00B96FD4">
        <w:rPr>
          <w:rFonts w:ascii="Book Antiqua" w:hAnsi="Book Antiqua"/>
          <w:color w:val="000000"/>
          <w:sz w:val="24"/>
          <w:szCs w:val="24"/>
          <w:lang w:val="en-GB" w:eastAsia="en-US"/>
        </w:rPr>
        <w:t>, Hochwald SN, Klimstra DS, Brennan MF. Primary duodenal adenocarcinoma: a ten-year experience with 79 patients.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J Am Coll Surg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183</w:t>
      </w:r>
      <w:r w:rsidRPr="00B96FD4">
        <w:rPr>
          <w:rFonts w:ascii="Book Antiqua" w:hAnsi="Book Antiqua"/>
          <w:color w:val="000000"/>
          <w:sz w:val="24"/>
          <w:szCs w:val="24"/>
          <w:lang w:val="en-GB" w:eastAsia="en-US"/>
        </w:rPr>
        <w:t>: 89-96 [PMID: 8696551]</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92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Bakaeen FG</w:t>
      </w:r>
      <w:r w:rsidRPr="00B96FD4">
        <w:rPr>
          <w:rFonts w:ascii="Book Antiqua" w:hAnsi="Book Antiqua"/>
          <w:color w:val="000000"/>
          <w:sz w:val="24"/>
          <w:szCs w:val="24"/>
          <w:lang w:val="en-GB" w:eastAsia="en-US"/>
        </w:rPr>
        <w:t>, Murr MM, Sarr MG, Thompson GB, Farnell MB, Nagorney DM, Farley DR, van Heerden JA, Wiersema LM, Schleck CD, Donohue JH. What prognostic factors are important in duodenal adenocarcinoma?</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Arch Surg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135</w:t>
      </w:r>
      <w:r w:rsidRPr="00B96FD4">
        <w:rPr>
          <w:rFonts w:ascii="Book Antiqua" w:hAnsi="Book Antiqua"/>
          <w:color w:val="000000"/>
          <w:sz w:val="24"/>
          <w:szCs w:val="24"/>
          <w:lang w:val="en-GB" w:eastAsia="en-US"/>
        </w:rPr>
        <w:t>: 635-641; discussion 641-2 [PMID: 10843358 DOI: 10.1001/archsurg.135.6.635]</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93</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Ryder NM</w:t>
      </w:r>
      <w:r w:rsidRPr="00B96FD4">
        <w:rPr>
          <w:rFonts w:ascii="Book Antiqua" w:hAnsi="Book Antiqua"/>
          <w:color w:val="000000"/>
          <w:sz w:val="24"/>
          <w:szCs w:val="24"/>
          <w:lang w:val="en-GB" w:eastAsia="en-US"/>
        </w:rPr>
        <w:t>, Ko CY, Hines OJ, Gloor B, Reber HA. Primary duodenal adenocarcinoma: a 40-year experience.</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Arch Surg</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135</w:t>
      </w:r>
      <w:r w:rsidRPr="00B96FD4">
        <w:rPr>
          <w:rFonts w:ascii="Book Antiqua" w:hAnsi="Book Antiqua"/>
          <w:color w:val="000000"/>
          <w:sz w:val="24"/>
          <w:szCs w:val="24"/>
          <w:lang w:val="en-GB" w:eastAsia="en-US"/>
        </w:rPr>
        <w:t>: 1070-104; discussion 1070-104; [PMID: 10982512 DOI: 10.1001/archsurg.135.9.1070]</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94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Seifert E</w:t>
      </w:r>
      <w:r w:rsidRPr="00B96FD4">
        <w:rPr>
          <w:rFonts w:ascii="Book Antiqua" w:hAnsi="Book Antiqua"/>
          <w:color w:val="000000"/>
          <w:sz w:val="24"/>
          <w:szCs w:val="24"/>
          <w:lang w:val="en-GB" w:eastAsia="en-US"/>
        </w:rPr>
        <w:t>, Schulte F, Stolte M. Adenoma and carcinoma of the duodenum and papilla of Vater: a clinicopathologic study.</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Am J Gastroenterol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1992;</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87</w:t>
      </w:r>
      <w:r w:rsidRPr="00B96FD4">
        <w:rPr>
          <w:rFonts w:ascii="Book Antiqua" w:hAnsi="Book Antiqua"/>
          <w:color w:val="000000"/>
          <w:sz w:val="24"/>
          <w:szCs w:val="24"/>
          <w:lang w:val="en-GB" w:eastAsia="en-US"/>
        </w:rPr>
        <w:t>: 37-42 [PMID: 1728122]</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95</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Barnes G</w:t>
      </w:r>
      <w:r w:rsidRPr="00B96FD4">
        <w:rPr>
          <w:rFonts w:ascii="Book Antiqua" w:hAnsi="Book Antiqua"/>
          <w:color w:val="000000"/>
          <w:sz w:val="24"/>
          <w:szCs w:val="24"/>
          <w:lang w:val="en-GB" w:eastAsia="en-US"/>
        </w:rPr>
        <w:t>, Romero L, Hess KR, Curley SA. Primary adenocarcinoma of the duodenum: management and survival in 67 patients.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Ann Surg Oncol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1994;</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w:t>
      </w:r>
      <w:r w:rsidRPr="00B96FD4">
        <w:rPr>
          <w:rFonts w:ascii="Book Antiqua" w:hAnsi="Book Antiqua"/>
          <w:color w:val="000000"/>
          <w:sz w:val="24"/>
          <w:szCs w:val="24"/>
          <w:lang w:val="en-GB" w:eastAsia="en-US"/>
        </w:rPr>
        <w:t>: 73-78 [PMID: 7834432]</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96</w:t>
      </w:r>
      <w:r w:rsidRPr="00B96FD4">
        <w:rPr>
          <w:rFonts w:ascii="Book Antiqua" w:hAnsi="Book Antiqua"/>
          <w:b/>
          <w:color w:val="000000"/>
          <w:sz w:val="24"/>
          <w:szCs w:val="24"/>
          <w:lang w:val="en-GB" w:eastAsia="en-US"/>
        </w:rPr>
        <w:t xml:space="preserve"> Kashida H</w:t>
      </w:r>
      <w:r w:rsidRPr="00B96FD4">
        <w:rPr>
          <w:rFonts w:ascii="Book Antiqua" w:hAnsi="Book Antiqua"/>
          <w:color w:val="000000"/>
          <w:sz w:val="24"/>
          <w:szCs w:val="24"/>
          <w:lang w:val="en-GB" w:eastAsia="en-US"/>
        </w:rPr>
        <w:t>, Inoue H, Yamamura F, Minami H, Sato Y, Kaga M, Kameda R, Kudo S. Treatment selection, prevention for complication and follow-up for duodenal tumors</w:t>
      </w:r>
      <w:r>
        <w:rPr>
          <w:rFonts w:ascii="Book Antiqua" w:hAnsi="Book Antiqua"/>
          <w:color w:val="000000"/>
          <w:sz w:val="24"/>
          <w:szCs w:val="24"/>
          <w:lang w:val="en-GB" w:eastAsia="en-US"/>
        </w:rPr>
        <w:t xml:space="preserve"> </w:t>
      </w:r>
      <w:r w:rsidRPr="0002518C">
        <w:rPr>
          <w:rFonts w:ascii="Book Antiqua" w:hAnsi="Book Antiqua"/>
          <w:color w:val="000000"/>
          <w:sz w:val="24"/>
          <w:szCs w:val="24"/>
          <w:lang w:val="en-GB" w:eastAsia="en-US"/>
        </w:rPr>
        <w:t xml:space="preserve">(in Japanese). </w:t>
      </w:r>
      <w:r w:rsidRPr="0002518C">
        <w:rPr>
          <w:rFonts w:ascii="Book Antiqua" w:hAnsi="Book Antiqua"/>
          <w:i/>
          <w:color w:val="000000"/>
          <w:sz w:val="24"/>
          <w:szCs w:val="24"/>
          <w:lang w:val="en-GB" w:eastAsia="en-US"/>
        </w:rPr>
        <w:t>Clin Gastroenterol</w:t>
      </w:r>
      <w:r w:rsidRPr="0002518C">
        <w:rPr>
          <w:rFonts w:ascii="Book Antiqua" w:hAnsi="Book Antiqua"/>
          <w:color w:val="000000"/>
          <w:sz w:val="24"/>
          <w:szCs w:val="24"/>
          <w:lang w:val="en-GB" w:eastAsia="en-US"/>
        </w:rPr>
        <w:t xml:space="preserve"> 2008; </w:t>
      </w:r>
      <w:r w:rsidRPr="0002518C">
        <w:rPr>
          <w:rFonts w:ascii="Book Antiqua" w:hAnsi="Book Antiqua"/>
          <w:b/>
          <w:color w:val="000000"/>
          <w:sz w:val="24"/>
          <w:szCs w:val="24"/>
          <w:lang w:val="en-GB" w:eastAsia="en-US"/>
        </w:rPr>
        <w:t>11</w:t>
      </w:r>
      <w:r w:rsidRPr="0002518C">
        <w:rPr>
          <w:rFonts w:ascii="Book Antiqua" w:hAnsi="Book Antiqua"/>
          <w:color w:val="000000"/>
          <w:sz w:val="24"/>
          <w:szCs w:val="24"/>
          <w:lang w:val="en-GB" w:eastAsia="en-US"/>
        </w:rPr>
        <w:t xml:space="preserve">: 260-265 </w:t>
      </w:r>
    </w:p>
    <w:p w:rsidR="003B3753" w:rsidRPr="0002518C" w:rsidRDefault="003B3753" w:rsidP="009E7BBE">
      <w:pPr>
        <w:spacing w:line="360" w:lineRule="auto"/>
        <w:rPr>
          <w:rFonts w:ascii="Book Antiqua" w:hAnsi="Book Antiqua"/>
          <w:color w:val="000000"/>
          <w:sz w:val="24"/>
          <w:szCs w:val="24"/>
          <w:lang w:val="en-GB" w:eastAsia="en-US"/>
        </w:rPr>
      </w:pPr>
      <w:r w:rsidRPr="0002518C">
        <w:rPr>
          <w:rFonts w:ascii="Book Antiqua" w:hAnsi="Book Antiqua"/>
          <w:color w:val="000000"/>
          <w:sz w:val="24"/>
          <w:szCs w:val="24"/>
          <w:lang w:val="en-GB" w:eastAsia="en-US"/>
        </w:rPr>
        <w:lastRenderedPageBreak/>
        <w:t>97 </w:t>
      </w:r>
      <w:r w:rsidRPr="0002518C">
        <w:rPr>
          <w:rFonts w:ascii="Book Antiqua" w:hAnsi="Book Antiqua"/>
          <w:b/>
          <w:bCs/>
          <w:color w:val="000000"/>
          <w:sz w:val="24"/>
          <w:szCs w:val="24"/>
          <w:lang w:val="en-GB" w:eastAsia="en-US"/>
        </w:rPr>
        <w:t>Murray MA</w:t>
      </w:r>
      <w:r w:rsidRPr="0002518C">
        <w:rPr>
          <w:rFonts w:ascii="Book Antiqua" w:hAnsi="Book Antiqua"/>
          <w:color w:val="000000"/>
          <w:sz w:val="24"/>
          <w:szCs w:val="24"/>
          <w:lang w:val="en-GB" w:eastAsia="en-US"/>
        </w:rPr>
        <w:t>, Zimmerman MJ, Ee HC. Sporadic duodenal adenoma is associated with colorectal neoplasia. </w:t>
      </w:r>
      <w:r w:rsidRPr="0002518C">
        <w:rPr>
          <w:rFonts w:ascii="Book Antiqua" w:hAnsi="Book Antiqua"/>
          <w:i/>
          <w:iCs/>
          <w:color w:val="000000"/>
          <w:sz w:val="24"/>
          <w:szCs w:val="24"/>
          <w:lang w:val="en-GB" w:eastAsia="en-US"/>
        </w:rPr>
        <w:t>Gut</w:t>
      </w:r>
      <w:r w:rsidRPr="0002518C">
        <w:rPr>
          <w:rFonts w:ascii="Book Antiqua" w:hAnsi="Book Antiqua"/>
          <w:color w:val="000000"/>
          <w:sz w:val="24"/>
          <w:szCs w:val="24"/>
          <w:lang w:val="en-GB" w:eastAsia="en-US"/>
        </w:rPr>
        <w:t> 2004; </w:t>
      </w:r>
      <w:r w:rsidRPr="0002518C">
        <w:rPr>
          <w:rFonts w:ascii="Book Antiqua" w:hAnsi="Book Antiqua"/>
          <w:b/>
          <w:bCs/>
          <w:color w:val="000000"/>
          <w:sz w:val="24"/>
          <w:szCs w:val="24"/>
          <w:lang w:val="en-GB" w:eastAsia="en-US"/>
        </w:rPr>
        <w:t>53</w:t>
      </w:r>
      <w:r w:rsidRPr="0002518C">
        <w:rPr>
          <w:rFonts w:ascii="Book Antiqua" w:hAnsi="Book Antiqua"/>
          <w:color w:val="000000"/>
          <w:sz w:val="24"/>
          <w:szCs w:val="24"/>
          <w:lang w:val="en-GB" w:eastAsia="en-US"/>
        </w:rPr>
        <w:t>: 261-265 [PMID: 14724161 DOI: 10.1136/gut.2003.025320]</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98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Ramsoekh D</w:t>
      </w:r>
      <w:r w:rsidRPr="00B96FD4">
        <w:rPr>
          <w:rFonts w:ascii="Book Antiqua" w:hAnsi="Book Antiqua"/>
          <w:color w:val="000000"/>
          <w:sz w:val="24"/>
          <w:szCs w:val="24"/>
          <w:lang w:val="en-GB" w:eastAsia="en-US"/>
        </w:rPr>
        <w:t>, van Leerdam ME, Dekker E, Ouwendijk RT, van Dekken H, Kuipers EJ. Sporadic duodenal adenoma and the association with colorectal neoplasia: a case-control study.</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Am J Gastroenterol</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2008;</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103</w:t>
      </w:r>
      <w:r w:rsidRPr="00B96FD4">
        <w:rPr>
          <w:rFonts w:ascii="Book Antiqua" w:hAnsi="Book Antiqua"/>
          <w:color w:val="000000"/>
          <w:sz w:val="24"/>
          <w:szCs w:val="24"/>
          <w:lang w:val="en-GB" w:eastAsia="en-US"/>
        </w:rPr>
        <w:t>: 1505-1509 [PMID: 18510617 DOI: 10.1111/j.1572-0241.2007.01775.x]</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99</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Pequin P</w:t>
      </w:r>
      <w:r w:rsidRPr="00B96FD4">
        <w:rPr>
          <w:rFonts w:ascii="Book Antiqua" w:hAnsi="Book Antiqua"/>
          <w:color w:val="000000"/>
          <w:sz w:val="24"/>
          <w:szCs w:val="24"/>
          <w:lang w:val="en-GB" w:eastAsia="en-US"/>
        </w:rPr>
        <w:t>, Manfredi S, Quentin V, Heresbach D, Boyer J, Siproudhis L, Bretagne JF. Patients with sporadic duodenal adenoma are a high-risk group for advanced colorectal neoplasia: results of a case-control study.</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Aliment Pharmacol Ther</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2007;</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26</w:t>
      </w:r>
      <w:r w:rsidRPr="00B96FD4">
        <w:rPr>
          <w:rFonts w:ascii="Book Antiqua" w:hAnsi="Book Antiqua"/>
          <w:color w:val="000000"/>
          <w:sz w:val="24"/>
          <w:szCs w:val="24"/>
          <w:lang w:val="en-GB" w:eastAsia="en-US"/>
        </w:rPr>
        <w:t>: 277-282 [PMID: 17593073 DOI: 10.1111/j.1365-2036.2007.03359.x]</w:t>
      </w:r>
    </w:p>
    <w:p w:rsidR="003B3753" w:rsidRPr="0002518C" w:rsidRDefault="003B3753" w:rsidP="009E7BBE">
      <w:pPr>
        <w:spacing w:line="360" w:lineRule="auto"/>
        <w:rPr>
          <w:rFonts w:ascii="Book Antiqua" w:hAnsi="Book Antiqua"/>
          <w:color w:val="000000"/>
          <w:sz w:val="24"/>
          <w:szCs w:val="24"/>
          <w:lang w:val="en-GB" w:eastAsia="en-US"/>
        </w:rPr>
      </w:pPr>
      <w:r w:rsidRPr="00B96FD4">
        <w:rPr>
          <w:rFonts w:ascii="Book Antiqua" w:hAnsi="Book Antiqua"/>
          <w:color w:val="000000"/>
          <w:sz w:val="24"/>
          <w:szCs w:val="24"/>
          <w:lang w:val="en-GB" w:eastAsia="en-US"/>
        </w:rPr>
        <w:t>100</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Adler DG</w:t>
      </w:r>
      <w:r w:rsidRPr="00B96FD4">
        <w:rPr>
          <w:rFonts w:ascii="Book Antiqua" w:hAnsi="Book Antiqua"/>
          <w:color w:val="000000"/>
          <w:sz w:val="24"/>
          <w:szCs w:val="24"/>
          <w:lang w:val="en-GB" w:eastAsia="en-US"/>
        </w:rPr>
        <w:t>, Qureshi W, Davila R, Gan SI, Lichtenstein D, Rajan E, Shen B, Zuckerman MJ, Fanelli RD, Van Guilder T, Baron TH. The role of endoscopy in ampullary and duodenal adenomas.</w:t>
      </w:r>
      <w:r w:rsidRPr="001D30AC">
        <w:rPr>
          <w:rFonts w:ascii="Book Antiqua" w:hAnsi="Book Antiqua"/>
          <w:color w:val="000000"/>
          <w:sz w:val="24"/>
          <w:szCs w:val="24"/>
          <w:lang w:val="en-GB" w:eastAsia="en-US"/>
        </w:rPr>
        <w:t> </w:t>
      </w:r>
      <w:r w:rsidRPr="00B96FD4">
        <w:rPr>
          <w:rFonts w:ascii="Book Antiqua" w:hAnsi="Book Antiqua"/>
          <w:i/>
          <w:iCs/>
          <w:color w:val="000000"/>
          <w:sz w:val="24"/>
          <w:szCs w:val="24"/>
          <w:lang w:val="en-GB" w:eastAsia="en-US"/>
        </w:rPr>
        <w:t>Gastrointest Endosc</w:t>
      </w:r>
      <w:r w:rsidRPr="001D30AC">
        <w:rPr>
          <w:rFonts w:ascii="Book Antiqua" w:hAnsi="Book Antiqua"/>
          <w:color w:val="000000"/>
          <w:sz w:val="24"/>
          <w:szCs w:val="24"/>
          <w:lang w:val="en-GB" w:eastAsia="en-US"/>
        </w:rPr>
        <w:t> </w:t>
      </w:r>
      <w:r w:rsidRPr="00B96FD4">
        <w:rPr>
          <w:rFonts w:ascii="Book Antiqua" w:hAnsi="Book Antiqua"/>
          <w:color w:val="000000"/>
          <w:sz w:val="24"/>
          <w:szCs w:val="24"/>
          <w:lang w:val="en-GB" w:eastAsia="en-US"/>
        </w:rPr>
        <w:t>2006;</w:t>
      </w:r>
      <w:r w:rsidRPr="001D30AC">
        <w:rPr>
          <w:rFonts w:ascii="Book Antiqua" w:hAnsi="Book Antiqua"/>
          <w:color w:val="000000"/>
          <w:sz w:val="24"/>
          <w:szCs w:val="24"/>
          <w:lang w:val="en-GB" w:eastAsia="en-US"/>
        </w:rPr>
        <w:t> </w:t>
      </w:r>
      <w:r w:rsidRPr="00B96FD4">
        <w:rPr>
          <w:rFonts w:ascii="Book Antiqua" w:hAnsi="Book Antiqua"/>
          <w:b/>
          <w:bCs/>
          <w:color w:val="000000"/>
          <w:sz w:val="24"/>
          <w:szCs w:val="24"/>
          <w:lang w:val="en-GB" w:eastAsia="en-US"/>
        </w:rPr>
        <w:t>64</w:t>
      </w:r>
      <w:r w:rsidRPr="00B96FD4">
        <w:rPr>
          <w:rFonts w:ascii="Book Antiqua" w:hAnsi="Book Antiqua"/>
          <w:color w:val="000000"/>
          <w:sz w:val="24"/>
          <w:szCs w:val="24"/>
          <w:lang w:val="en-GB" w:eastAsia="en-US"/>
        </w:rPr>
        <w:t>: 849-854 [PMID: 17140885]</w:t>
      </w:r>
    </w:p>
    <w:p w:rsidR="003B3753" w:rsidRPr="0002518C" w:rsidRDefault="003B3753" w:rsidP="009E7BBE">
      <w:pPr>
        <w:spacing w:line="360" w:lineRule="auto"/>
        <w:rPr>
          <w:rFonts w:ascii="Book Antiqua" w:hAnsi="Book Antiqua"/>
          <w:color w:val="000000"/>
          <w:sz w:val="24"/>
          <w:szCs w:val="24"/>
          <w:lang w:val="it-IT" w:eastAsia="en-US"/>
        </w:rPr>
      </w:pPr>
      <w:r w:rsidRPr="0002518C">
        <w:rPr>
          <w:rFonts w:ascii="Book Antiqua" w:hAnsi="Book Antiqua"/>
          <w:color w:val="000000"/>
          <w:sz w:val="24"/>
          <w:szCs w:val="24"/>
          <w:lang w:val="it-IT" w:eastAsia="en-US"/>
        </w:rPr>
        <w:t>101 </w:t>
      </w:r>
      <w:r w:rsidRPr="0002518C">
        <w:rPr>
          <w:rFonts w:ascii="Book Antiqua" w:hAnsi="Book Antiqua"/>
          <w:b/>
          <w:bCs/>
          <w:color w:val="000000"/>
          <w:sz w:val="24"/>
          <w:szCs w:val="24"/>
          <w:lang w:val="it-IT" w:eastAsia="en-US"/>
        </w:rPr>
        <w:t>Negri E</w:t>
      </w:r>
      <w:r w:rsidRPr="0002518C">
        <w:rPr>
          <w:rFonts w:ascii="Book Antiqua" w:hAnsi="Book Antiqua"/>
          <w:color w:val="000000"/>
          <w:sz w:val="24"/>
          <w:szCs w:val="24"/>
          <w:lang w:val="it-IT" w:eastAsia="en-US"/>
        </w:rPr>
        <w:t>, Bosetti C, La Vecchia C, Fioretti F, Conti E, Franceschi S. Risk factors for adenocarcinoma of the small intestine. </w:t>
      </w:r>
      <w:r w:rsidRPr="0002518C">
        <w:rPr>
          <w:rFonts w:ascii="Book Antiqua" w:hAnsi="Book Antiqua"/>
          <w:i/>
          <w:iCs/>
          <w:color w:val="000000"/>
          <w:sz w:val="24"/>
          <w:szCs w:val="24"/>
          <w:lang w:val="it-IT" w:eastAsia="en-US"/>
        </w:rPr>
        <w:t>Int J Cancer</w:t>
      </w:r>
      <w:r w:rsidRPr="0002518C">
        <w:rPr>
          <w:rFonts w:ascii="Book Antiqua" w:hAnsi="Book Antiqua"/>
          <w:color w:val="000000"/>
          <w:sz w:val="24"/>
          <w:szCs w:val="24"/>
          <w:lang w:val="it-IT" w:eastAsia="en-US"/>
        </w:rPr>
        <w:t> 1999; </w:t>
      </w:r>
      <w:r w:rsidRPr="0002518C">
        <w:rPr>
          <w:rFonts w:ascii="Book Antiqua" w:hAnsi="Book Antiqua"/>
          <w:b/>
          <w:bCs/>
          <w:color w:val="000000"/>
          <w:sz w:val="24"/>
          <w:szCs w:val="24"/>
          <w:lang w:val="it-IT" w:eastAsia="en-US"/>
        </w:rPr>
        <w:t>82</w:t>
      </w:r>
      <w:r w:rsidRPr="0002518C">
        <w:rPr>
          <w:rFonts w:ascii="Book Antiqua" w:hAnsi="Book Antiqua"/>
          <w:color w:val="000000"/>
          <w:sz w:val="24"/>
          <w:szCs w:val="24"/>
          <w:lang w:val="it-IT" w:eastAsia="en-US"/>
        </w:rPr>
        <w:t>: 171-174 [PMID: 10389747 DOI: 10.1002/(SICI)1097-0215(19990719)82: ]</w:t>
      </w:r>
    </w:p>
    <w:p w:rsidR="003B3753" w:rsidRPr="0002518C" w:rsidRDefault="003B3753" w:rsidP="009E7BBE">
      <w:pPr>
        <w:spacing w:line="360" w:lineRule="auto"/>
        <w:rPr>
          <w:rFonts w:ascii="Book Antiqua" w:hAnsi="Book Antiqua"/>
          <w:color w:val="000000"/>
          <w:sz w:val="24"/>
          <w:szCs w:val="24"/>
          <w:lang w:val="en-GB" w:eastAsia="en-US"/>
        </w:rPr>
      </w:pPr>
      <w:r w:rsidRPr="0002518C">
        <w:rPr>
          <w:rFonts w:ascii="Book Antiqua" w:hAnsi="Book Antiqua"/>
          <w:color w:val="000000"/>
          <w:sz w:val="24"/>
          <w:szCs w:val="24"/>
          <w:lang w:val="it-IT" w:eastAsia="en-US"/>
        </w:rPr>
        <w:t>102 </w:t>
      </w:r>
      <w:r w:rsidRPr="0002518C">
        <w:rPr>
          <w:rFonts w:ascii="Book Antiqua" w:hAnsi="Book Antiqua"/>
          <w:b/>
          <w:bCs/>
          <w:color w:val="000000"/>
          <w:sz w:val="24"/>
          <w:szCs w:val="24"/>
          <w:lang w:val="it-IT" w:eastAsia="en-US"/>
        </w:rPr>
        <w:t>Sakon M</w:t>
      </w:r>
      <w:r w:rsidRPr="0002518C">
        <w:rPr>
          <w:rFonts w:ascii="Book Antiqua" w:hAnsi="Book Antiqua"/>
          <w:color w:val="000000"/>
          <w:sz w:val="24"/>
          <w:szCs w:val="24"/>
          <w:lang w:val="it-IT" w:eastAsia="en-US"/>
        </w:rPr>
        <w:t>, Takata M, Seki H, Hayashi K, Munakata Y, Tateiwa N. A novel combined laparoscopic-endoscopic cooperative approach for duodenal lesions. </w:t>
      </w:r>
      <w:r w:rsidRPr="0002518C">
        <w:rPr>
          <w:rFonts w:ascii="Book Antiqua" w:hAnsi="Book Antiqua"/>
          <w:i/>
          <w:iCs/>
          <w:color w:val="000000"/>
          <w:sz w:val="24"/>
          <w:szCs w:val="24"/>
          <w:lang w:val="en-GB" w:eastAsia="en-US"/>
        </w:rPr>
        <w:t>J Laparoendosc Adv Surg Tech A</w:t>
      </w:r>
      <w:r w:rsidRPr="0002518C">
        <w:rPr>
          <w:rFonts w:ascii="Book Antiqua" w:hAnsi="Book Antiqua"/>
          <w:color w:val="000000"/>
          <w:sz w:val="24"/>
          <w:szCs w:val="24"/>
          <w:lang w:val="en-GB" w:eastAsia="en-US"/>
        </w:rPr>
        <w:t> 2010; </w:t>
      </w:r>
      <w:r w:rsidRPr="0002518C">
        <w:rPr>
          <w:rFonts w:ascii="Book Antiqua" w:hAnsi="Book Antiqua"/>
          <w:b/>
          <w:bCs/>
          <w:color w:val="000000"/>
          <w:sz w:val="24"/>
          <w:szCs w:val="24"/>
          <w:lang w:val="en-GB" w:eastAsia="en-US"/>
        </w:rPr>
        <w:t>20</w:t>
      </w:r>
      <w:r w:rsidRPr="0002518C">
        <w:rPr>
          <w:rFonts w:ascii="Book Antiqua" w:hAnsi="Book Antiqua"/>
          <w:color w:val="000000"/>
          <w:sz w:val="24"/>
          <w:szCs w:val="24"/>
          <w:lang w:val="en-GB" w:eastAsia="en-US"/>
        </w:rPr>
        <w:t>: 555-558 [PMID: 20578925 DOI: 10.1089/lap.2009.0392]</w:t>
      </w:r>
    </w:p>
    <w:p w:rsidR="003B3753" w:rsidRPr="0002518C" w:rsidRDefault="003B3753" w:rsidP="009E7BBE">
      <w:pPr>
        <w:spacing w:line="360" w:lineRule="auto"/>
        <w:rPr>
          <w:rFonts w:ascii="Book Antiqua" w:hAnsi="Book Antiqua"/>
          <w:bCs/>
          <w:sz w:val="24"/>
          <w:szCs w:val="24"/>
        </w:rPr>
      </w:pPr>
    </w:p>
    <w:p w:rsidR="003B3753" w:rsidRPr="0002518C" w:rsidRDefault="003B3753" w:rsidP="003F4B04">
      <w:pPr>
        <w:widowControl/>
        <w:spacing w:line="360" w:lineRule="auto"/>
        <w:ind w:right="480"/>
        <w:jc w:val="right"/>
        <w:rPr>
          <w:rFonts w:ascii="Book Antiqua" w:hAnsi="Book Antiqua"/>
          <w:sz w:val="24"/>
          <w:szCs w:val="24"/>
        </w:rPr>
      </w:pPr>
      <w:bookmarkStart w:id="7" w:name="OLE_LINK277"/>
      <w:r w:rsidRPr="0002518C">
        <w:rPr>
          <w:rStyle w:val="ad"/>
          <w:rFonts w:ascii="Book Antiqua" w:hAnsi="Book Antiqua" w:cs="Segoe UI"/>
          <w:color w:val="000000"/>
          <w:sz w:val="24"/>
          <w:szCs w:val="24"/>
          <w:shd w:val="clear" w:color="auto" w:fill="FFFFFF"/>
        </w:rPr>
        <w:lastRenderedPageBreak/>
        <w:t>P-Reviewers</w:t>
      </w:r>
      <w:bookmarkEnd w:id="7"/>
      <w:r w:rsidRPr="0002518C">
        <w:rPr>
          <w:rStyle w:val="ad"/>
          <w:rFonts w:ascii="Book Antiqua" w:hAnsi="Book Antiqua" w:cs="Segoe UI"/>
          <w:color w:val="000000"/>
          <w:sz w:val="24"/>
          <w:szCs w:val="24"/>
          <w:shd w:val="clear" w:color="auto" w:fill="FFFFFF"/>
        </w:rPr>
        <w:t>:</w:t>
      </w:r>
      <w:r w:rsidRPr="0002518C">
        <w:rPr>
          <w:rFonts w:ascii="Book Antiqua" w:hAnsi="Book Antiqua"/>
          <w:color w:val="000000"/>
          <w:sz w:val="24"/>
          <w:szCs w:val="24"/>
          <w:shd w:val="clear" w:color="auto" w:fill="FFFFFF"/>
        </w:rPr>
        <w:t>  </w:t>
      </w:r>
      <w:r>
        <w:rPr>
          <w:rFonts w:ascii="Book Antiqua" w:hAnsi="Book Antiqua"/>
          <w:color w:val="000000"/>
          <w:sz w:val="24"/>
          <w:szCs w:val="24"/>
          <w:shd w:val="clear" w:color="auto" w:fill="FFFFFF"/>
        </w:rPr>
        <w:t>Chang</w:t>
      </w:r>
      <w:r w:rsidRPr="003F4B04">
        <w:rPr>
          <w:rFonts w:ascii="Book Antiqua" w:hAnsi="Book Antiqua"/>
          <w:color w:val="000000"/>
          <w:sz w:val="24"/>
          <w:szCs w:val="24"/>
          <w:shd w:val="clear" w:color="auto" w:fill="FFFFFF"/>
        </w:rPr>
        <w:t xml:space="preserve"> JH</w:t>
      </w:r>
      <w:r>
        <w:rPr>
          <w:rFonts w:ascii="Book Antiqua" w:hAnsi="Book Antiqua"/>
          <w:color w:val="000000"/>
          <w:sz w:val="24"/>
          <w:szCs w:val="24"/>
          <w:shd w:val="clear" w:color="auto" w:fill="FFFFFF"/>
        </w:rPr>
        <w:t>,</w:t>
      </w:r>
      <w:r w:rsidRPr="0002518C">
        <w:rPr>
          <w:rStyle w:val="apple-converted-space"/>
          <w:rFonts w:ascii="Book Antiqua" w:hAnsi="Book Antiqua"/>
          <w:color w:val="000000"/>
          <w:sz w:val="24"/>
          <w:szCs w:val="24"/>
          <w:shd w:val="clear" w:color="auto" w:fill="FFFFFF"/>
        </w:rPr>
        <w:t> </w:t>
      </w:r>
      <w:r w:rsidRPr="003F4B04">
        <w:rPr>
          <w:rStyle w:val="apple-converted-space"/>
          <w:rFonts w:ascii="Book Antiqua" w:hAnsi="Book Antiqua"/>
          <w:color w:val="000000"/>
          <w:sz w:val="24"/>
          <w:szCs w:val="24"/>
          <w:shd w:val="clear" w:color="auto" w:fill="FFFFFF"/>
        </w:rPr>
        <w:t>Chung WC</w:t>
      </w:r>
      <w:r>
        <w:rPr>
          <w:rStyle w:val="apple-converted-space"/>
          <w:rFonts w:ascii="Book Antiqua" w:hAnsi="Book Antiqua"/>
          <w:color w:val="000000"/>
          <w:sz w:val="24"/>
          <w:szCs w:val="24"/>
          <w:shd w:val="clear" w:color="auto" w:fill="FFFFFF"/>
        </w:rPr>
        <w:t>,</w:t>
      </w:r>
      <w:r w:rsidRPr="003F4B04">
        <w:rPr>
          <w:rStyle w:val="apple-converted-space"/>
          <w:rFonts w:ascii="Book Antiqua" w:hAnsi="Book Antiqua"/>
          <w:color w:val="000000"/>
          <w:sz w:val="24"/>
          <w:szCs w:val="24"/>
          <w:shd w:val="clear" w:color="auto" w:fill="FFFFFF"/>
        </w:rPr>
        <w:t xml:space="preserve"> Jeon </w:t>
      </w:r>
      <w:r>
        <w:rPr>
          <w:rStyle w:val="apple-converted-space"/>
          <w:rFonts w:ascii="Book Antiqua" w:hAnsi="Book Antiqua"/>
          <w:color w:val="000000"/>
          <w:sz w:val="24"/>
          <w:szCs w:val="24"/>
          <w:shd w:val="clear" w:color="auto" w:fill="FFFFFF"/>
        </w:rPr>
        <w:t xml:space="preserve">SE </w:t>
      </w:r>
      <w:r w:rsidRPr="0002518C">
        <w:rPr>
          <w:rFonts w:ascii="Book Antiqua" w:hAnsi="Book Antiqua"/>
          <w:b/>
          <w:bCs/>
          <w:color w:val="000000"/>
          <w:sz w:val="24"/>
          <w:szCs w:val="24"/>
          <w:shd w:val="clear" w:color="auto" w:fill="FFFFFF"/>
        </w:rPr>
        <w:t>S-Editor</w:t>
      </w:r>
      <w:r w:rsidRPr="0002518C">
        <w:rPr>
          <w:rFonts w:ascii="Book Antiqua" w:hAnsi="Book Antiqua" w:cs="Segoe UI"/>
          <w:b/>
          <w:bCs/>
          <w:color w:val="000000"/>
          <w:sz w:val="24"/>
          <w:szCs w:val="24"/>
          <w:shd w:val="clear" w:color="auto" w:fill="FFFFFF"/>
        </w:rPr>
        <w:t>:</w:t>
      </w:r>
      <w:r w:rsidRPr="0002518C">
        <w:rPr>
          <w:rStyle w:val="apple-converted-space"/>
          <w:rFonts w:ascii="Book Antiqua" w:hAnsi="Book Antiqua"/>
          <w:color w:val="000000"/>
          <w:sz w:val="24"/>
          <w:szCs w:val="24"/>
          <w:shd w:val="clear" w:color="auto" w:fill="FFFFFF"/>
        </w:rPr>
        <w:t> </w:t>
      </w:r>
      <w:r w:rsidRPr="0002518C">
        <w:rPr>
          <w:rFonts w:ascii="Book Antiqua" w:hAnsi="Book Antiqua"/>
          <w:color w:val="000000"/>
          <w:sz w:val="24"/>
          <w:szCs w:val="24"/>
          <w:shd w:val="clear" w:color="auto" w:fill="FFFFFF"/>
        </w:rPr>
        <w:t>Ma</w:t>
      </w:r>
      <w:r w:rsidRPr="0002518C">
        <w:rPr>
          <w:rFonts w:ascii="Book Antiqua" w:hAnsi="Book Antiqua" w:cs="Segoe UI"/>
          <w:b/>
          <w:bCs/>
          <w:color w:val="000000"/>
          <w:sz w:val="24"/>
          <w:szCs w:val="24"/>
          <w:shd w:val="clear" w:color="auto" w:fill="FFFFFF"/>
        </w:rPr>
        <w:t> </w:t>
      </w:r>
      <w:r w:rsidRPr="0002518C">
        <w:rPr>
          <w:rFonts w:ascii="Book Antiqua" w:hAnsi="Book Antiqua"/>
          <w:color w:val="000000"/>
          <w:sz w:val="24"/>
          <w:szCs w:val="24"/>
          <w:shd w:val="clear" w:color="auto" w:fill="FFFFFF"/>
        </w:rPr>
        <w:t>N</w:t>
      </w:r>
      <w:r w:rsidRPr="0002518C">
        <w:rPr>
          <w:rFonts w:ascii="Book Antiqua" w:hAnsi="Book Antiqua" w:cs="Segoe UI"/>
          <w:b/>
          <w:bCs/>
          <w:color w:val="000000"/>
          <w:sz w:val="24"/>
          <w:szCs w:val="24"/>
          <w:shd w:val="clear" w:color="auto" w:fill="FFFFFF"/>
        </w:rPr>
        <w:t>  L-Editor:   E-Editor:</w:t>
      </w:r>
    </w:p>
    <w:p w:rsidR="003B3753" w:rsidRPr="00B610DD" w:rsidRDefault="003B3753" w:rsidP="009E7BBE">
      <w:pPr>
        <w:spacing w:line="360" w:lineRule="auto"/>
        <w:rPr>
          <w:rFonts w:ascii="Book Antiqua" w:hAnsi="Book Antiqua"/>
          <w:sz w:val="24"/>
          <w:szCs w:val="24"/>
        </w:rPr>
      </w:pPr>
    </w:p>
    <w:p w:rsidR="003B3753" w:rsidRPr="0002518C" w:rsidRDefault="003B3753" w:rsidP="009E7BBE">
      <w:pPr>
        <w:spacing w:line="360" w:lineRule="auto"/>
        <w:rPr>
          <w:rFonts w:ascii="Book Antiqua" w:hAnsi="Book Antiqua"/>
          <w:sz w:val="24"/>
          <w:szCs w:val="24"/>
        </w:rPr>
      </w:pPr>
    </w:p>
    <w:p w:rsidR="003B3753" w:rsidRPr="0002518C" w:rsidRDefault="003B3753" w:rsidP="009E7BBE">
      <w:pPr>
        <w:spacing w:line="360" w:lineRule="auto"/>
        <w:rPr>
          <w:rFonts w:ascii="Book Antiqua" w:hAnsi="Book Antiqua"/>
          <w:sz w:val="24"/>
          <w:szCs w:val="24"/>
        </w:rPr>
      </w:pPr>
      <w:r w:rsidRPr="0002518C">
        <w:rPr>
          <w:rFonts w:ascii="Book Antiqua" w:hAnsi="Book Antiqua"/>
          <w:sz w:val="24"/>
          <w:szCs w:val="24"/>
        </w:rPr>
        <w:t>Figure legend</w:t>
      </w:r>
    </w:p>
    <w:p w:rsidR="003B3753" w:rsidRDefault="003B3753" w:rsidP="009E7BBE">
      <w:pPr>
        <w:spacing w:line="360" w:lineRule="auto"/>
        <w:rPr>
          <w:rFonts w:ascii="Book Antiqua" w:hAnsi="Book Antiqua"/>
          <w:sz w:val="24"/>
          <w:szCs w:val="24"/>
        </w:rPr>
      </w:pPr>
      <w:r w:rsidRPr="00B96FD4">
        <w:rPr>
          <w:rFonts w:ascii="Book Antiqua" w:hAnsi="Book Antiqua"/>
          <w:b/>
          <w:sz w:val="24"/>
          <w:szCs w:val="24"/>
        </w:rPr>
        <w:t xml:space="preserve">Figure 1 </w:t>
      </w:r>
      <w:r>
        <w:rPr>
          <w:rFonts w:ascii="Book Antiqua" w:hAnsi="Book Antiqua"/>
          <w:b/>
          <w:sz w:val="24"/>
          <w:szCs w:val="24"/>
        </w:rPr>
        <w:t>Images in the surgery.</w:t>
      </w:r>
      <w:r>
        <w:rPr>
          <w:rFonts w:ascii="Book Antiqua" w:hAnsi="Book Antiqua"/>
          <w:sz w:val="24"/>
          <w:szCs w:val="24"/>
        </w:rPr>
        <w:t xml:space="preserve"> </w:t>
      </w:r>
      <w:r w:rsidRPr="00B96FD4">
        <w:rPr>
          <w:rFonts w:ascii="Book Antiqua" w:hAnsi="Book Antiqua"/>
          <w:sz w:val="24"/>
          <w:szCs w:val="24"/>
        </w:rPr>
        <w:t>A: A superficial elevated type (IIa) lesion is observed in the second portion of the duodenum</w:t>
      </w:r>
      <w:r>
        <w:rPr>
          <w:rFonts w:ascii="Book Antiqua" w:hAnsi="Book Antiqua"/>
          <w:sz w:val="24"/>
          <w:szCs w:val="24"/>
        </w:rPr>
        <w:t>;</w:t>
      </w:r>
      <w:r w:rsidRPr="00B96FD4">
        <w:rPr>
          <w:rFonts w:ascii="Book Antiqua" w:hAnsi="Book Antiqua"/>
          <w:sz w:val="24"/>
          <w:szCs w:val="24"/>
        </w:rPr>
        <w:t xml:space="preserve"> B: Chromoendoscopy with indigocarmine was used to clarify the border of the tumor</w:t>
      </w:r>
      <w:r>
        <w:rPr>
          <w:rFonts w:ascii="Book Antiqua" w:hAnsi="Book Antiqua"/>
          <w:sz w:val="24"/>
          <w:szCs w:val="24"/>
        </w:rPr>
        <w:t>;</w:t>
      </w:r>
      <w:r w:rsidRPr="00B96FD4">
        <w:rPr>
          <w:rFonts w:ascii="Book Antiqua" w:hAnsi="Book Antiqua"/>
          <w:sz w:val="24"/>
          <w:szCs w:val="24"/>
        </w:rPr>
        <w:t xml:space="preserve"> C: After marking with argon plasma coagulation, submucosal injection was performed</w:t>
      </w:r>
      <w:r>
        <w:rPr>
          <w:rFonts w:ascii="Book Antiqua" w:hAnsi="Book Antiqua"/>
          <w:sz w:val="24"/>
          <w:szCs w:val="24"/>
        </w:rPr>
        <w:t>;</w:t>
      </w:r>
      <w:r w:rsidRPr="00B96FD4">
        <w:rPr>
          <w:rFonts w:ascii="Book Antiqua" w:hAnsi="Book Antiqua"/>
          <w:sz w:val="24"/>
          <w:szCs w:val="24"/>
        </w:rPr>
        <w:t xml:space="preserve"> D: Circumferential cutting was performed using an insulated-tipped knife (ITknife nano (KD-612); Olympus, Tokyo, Japan)</w:t>
      </w:r>
      <w:r>
        <w:rPr>
          <w:rFonts w:ascii="Book Antiqua" w:hAnsi="Book Antiqua"/>
          <w:sz w:val="24"/>
          <w:szCs w:val="24"/>
        </w:rPr>
        <w:t>;</w:t>
      </w:r>
      <w:r w:rsidRPr="00B96FD4">
        <w:rPr>
          <w:rFonts w:ascii="Book Antiqua" w:hAnsi="Book Antiqua"/>
          <w:sz w:val="24"/>
          <w:szCs w:val="24"/>
        </w:rPr>
        <w:t xml:space="preserve"> E: Submucosal dissection was performed</w:t>
      </w:r>
      <w:r>
        <w:rPr>
          <w:rFonts w:ascii="Book Antiqua" w:hAnsi="Book Antiqua"/>
          <w:sz w:val="24"/>
          <w:szCs w:val="24"/>
        </w:rPr>
        <w:t>;</w:t>
      </w:r>
      <w:r w:rsidRPr="00B96FD4">
        <w:rPr>
          <w:rFonts w:ascii="Book Antiqua" w:hAnsi="Book Antiqua"/>
          <w:sz w:val="24"/>
          <w:szCs w:val="24"/>
        </w:rPr>
        <w:t xml:space="preserve"> F: The lesion was successfully removed </w:t>
      </w:r>
      <w:r w:rsidRPr="00B96FD4">
        <w:rPr>
          <w:rFonts w:ascii="Book Antiqua" w:hAnsi="Book Antiqua"/>
          <w:i/>
          <w:sz w:val="24"/>
          <w:szCs w:val="24"/>
        </w:rPr>
        <w:t xml:space="preserve">en bloc </w:t>
      </w:r>
      <w:r w:rsidRPr="00B96FD4">
        <w:rPr>
          <w:rFonts w:ascii="Book Antiqua" w:hAnsi="Book Antiqua"/>
          <w:sz w:val="24"/>
          <w:szCs w:val="24"/>
        </w:rPr>
        <w:t>without complications</w:t>
      </w:r>
      <w:r>
        <w:rPr>
          <w:rFonts w:ascii="Book Antiqua" w:hAnsi="Book Antiqua"/>
          <w:sz w:val="24"/>
          <w:szCs w:val="24"/>
        </w:rPr>
        <w:t>;</w:t>
      </w:r>
      <w:r w:rsidRPr="00B96FD4">
        <w:rPr>
          <w:rFonts w:ascii="Book Antiqua" w:hAnsi="Book Antiqua"/>
          <w:sz w:val="24"/>
          <w:szCs w:val="24"/>
        </w:rPr>
        <w:t xml:space="preserve"> G: Histopathological analysis revealed a mucosal adenocarcinoma of 16 mm in diameter (yellow lines).</w:t>
      </w:r>
    </w:p>
    <w:p w:rsidR="003B3753" w:rsidRDefault="003B3753" w:rsidP="009E7BBE">
      <w:pPr>
        <w:spacing w:line="360" w:lineRule="auto"/>
        <w:rPr>
          <w:rFonts w:ascii="Book Antiqua" w:hAnsi="Book Antiqua"/>
          <w:sz w:val="24"/>
          <w:szCs w:val="24"/>
        </w:rPr>
      </w:pPr>
      <w:r>
        <w:rPr>
          <w:rFonts w:ascii="Book Antiqua" w:hAnsi="Book Antiqua"/>
          <w:sz w:val="24"/>
          <w:szCs w:val="24"/>
        </w:rPr>
        <w:t>A</w:t>
      </w:r>
    </w:p>
    <w:p w:rsidR="003B3753" w:rsidRPr="00FB3CB0" w:rsidRDefault="00423349" w:rsidP="009E7BBE">
      <w:pPr>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31995" cy="3935730"/>
            <wp:effectExtent l="0" t="0" r="190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1995" cy="3935730"/>
                    </a:xfrm>
                    <a:prstGeom prst="rect">
                      <a:avLst/>
                    </a:prstGeom>
                    <a:noFill/>
                    <a:ln>
                      <a:noFill/>
                    </a:ln>
                  </pic:spPr>
                </pic:pic>
              </a:graphicData>
            </a:graphic>
          </wp:inline>
        </w:drawing>
      </w:r>
    </w:p>
    <w:p w:rsidR="003B3753" w:rsidRDefault="003B3753" w:rsidP="009E7BBE">
      <w:pPr>
        <w:spacing w:line="360" w:lineRule="auto"/>
        <w:rPr>
          <w:rFonts w:ascii="Book Antiqua" w:hAnsi="Book Antiqua"/>
          <w:sz w:val="24"/>
          <w:szCs w:val="24"/>
        </w:rPr>
      </w:pPr>
      <w:r>
        <w:rPr>
          <w:rFonts w:ascii="Book Antiqua" w:hAnsi="Book Antiqua"/>
          <w:sz w:val="24"/>
          <w:szCs w:val="24"/>
        </w:rPr>
        <w:t>B</w:t>
      </w:r>
    </w:p>
    <w:p w:rsidR="003B3753" w:rsidRPr="00FB3CB0" w:rsidRDefault="00423349" w:rsidP="009E7BBE">
      <w:pPr>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31995" cy="3975735"/>
            <wp:effectExtent l="0" t="0" r="190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1995" cy="3975735"/>
                    </a:xfrm>
                    <a:prstGeom prst="rect">
                      <a:avLst/>
                    </a:prstGeom>
                    <a:noFill/>
                    <a:ln>
                      <a:noFill/>
                    </a:ln>
                  </pic:spPr>
                </pic:pic>
              </a:graphicData>
            </a:graphic>
          </wp:inline>
        </w:drawing>
      </w:r>
    </w:p>
    <w:p w:rsidR="003B3753" w:rsidRDefault="003B3753" w:rsidP="009E7BBE">
      <w:pPr>
        <w:spacing w:line="360" w:lineRule="auto"/>
        <w:rPr>
          <w:rFonts w:ascii="Book Antiqua" w:hAnsi="Book Antiqua"/>
          <w:sz w:val="24"/>
          <w:szCs w:val="24"/>
        </w:rPr>
      </w:pPr>
      <w:r>
        <w:rPr>
          <w:rFonts w:ascii="Book Antiqua" w:hAnsi="Book Antiqua"/>
          <w:sz w:val="24"/>
          <w:szCs w:val="24"/>
        </w:rPr>
        <w:t>C</w:t>
      </w:r>
    </w:p>
    <w:p w:rsidR="003B3753" w:rsidRPr="00FB3CB0" w:rsidRDefault="00423349" w:rsidP="009E7BBE">
      <w:pPr>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31995" cy="398335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1995" cy="3983355"/>
                    </a:xfrm>
                    <a:prstGeom prst="rect">
                      <a:avLst/>
                    </a:prstGeom>
                    <a:noFill/>
                    <a:ln>
                      <a:noFill/>
                    </a:ln>
                  </pic:spPr>
                </pic:pic>
              </a:graphicData>
            </a:graphic>
          </wp:inline>
        </w:drawing>
      </w:r>
    </w:p>
    <w:p w:rsidR="003B3753" w:rsidRDefault="003B3753" w:rsidP="009E7BBE">
      <w:pPr>
        <w:spacing w:line="360" w:lineRule="auto"/>
        <w:rPr>
          <w:rFonts w:ascii="Book Antiqua" w:hAnsi="Book Antiqua"/>
          <w:sz w:val="24"/>
          <w:szCs w:val="24"/>
        </w:rPr>
      </w:pPr>
      <w:r>
        <w:rPr>
          <w:rFonts w:ascii="Book Antiqua" w:hAnsi="Book Antiqua"/>
          <w:sz w:val="24"/>
          <w:szCs w:val="24"/>
        </w:rPr>
        <w:t>D</w:t>
      </w:r>
    </w:p>
    <w:p w:rsidR="003B3753" w:rsidRPr="00FB3CB0" w:rsidRDefault="00423349" w:rsidP="009E7BBE">
      <w:pPr>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31995" cy="3919855"/>
            <wp:effectExtent l="0" t="0" r="190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1995" cy="3919855"/>
                    </a:xfrm>
                    <a:prstGeom prst="rect">
                      <a:avLst/>
                    </a:prstGeom>
                    <a:noFill/>
                    <a:ln>
                      <a:noFill/>
                    </a:ln>
                  </pic:spPr>
                </pic:pic>
              </a:graphicData>
            </a:graphic>
          </wp:inline>
        </w:drawing>
      </w:r>
    </w:p>
    <w:p w:rsidR="003B3753" w:rsidRDefault="003B3753" w:rsidP="009E7BBE">
      <w:pPr>
        <w:spacing w:line="360" w:lineRule="auto"/>
        <w:rPr>
          <w:rFonts w:ascii="Book Antiqua" w:hAnsi="Book Antiqua"/>
          <w:sz w:val="24"/>
          <w:szCs w:val="24"/>
        </w:rPr>
      </w:pPr>
      <w:r>
        <w:rPr>
          <w:rFonts w:ascii="Book Antiqua" w:hAnsi="Book Antiqua"/>
          <w:sz w:val="24"/>
          <w:szCs w:val="24"/>
        </w:rPr>
        <w:t>E</w:t>
      </w:r>
    </w:p>
    <w:p w:rsidR="003B3753" w:rsidRPr="00FB3CB0" w:rsidRDefault="00423349" w:rsidP="009E7BBE">
      <w:pPr>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31995" cy="3919855"/>
            <wp:effectExtent l="0" t="0" r="190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1995" cy="3919855"/>
                    </a:xfrm>
                    <a:prstGeom prst="rect">
                      <a:avLst/>
                    </a:prstGeom>
                    <a:noFill/>
                    <a:ln>
                      <a:noFill/>
                    </a:ln>
                  </pic:spPr>
                </pic:pic>
              </a:graphicData>
            </a:graphic>
          </wp:inline>
        </w:drawing>
      </w:r>
    </w:p>
    <w:p w:rsidR="003B3753" w:rsidRDefault="003B3753" w:rsidP="009E7BBE">
      <w:pPr>
        <w:spacing w:line="360" w:lineRule="auto"/>
        <w:rPr>
          <w:rFonts w:ascii="Book Antiqua" w:hAnsi="Book Antiqua"/>
          <w:sz w:val="24"/>
          <w:szCs w:val="24"/>
        </w:rPr>
      </w:pPr>
      <w:r>
        <w:rPr>
          <w:rFonts w:ascii="Book Antiqua" w:hAnsi="Book Antiqua"/>
          <w:sz w:val="24"/>
          <w:szCs w:val="24"/>
        </w:rPr>
        <w:t>F</w:t>
      </w:r>
    </w:p>
    <w:p w:rsidR="003B3753" w:rsidRPr="00FB3CB0" w:rsidRDefault="00423349" w:rsidP="009E7BBE">
      <w:pPr>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31995" cy="39122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1995" cy="3912235"/>
                    </a:xfrm>
                    <a:prstGeom prst="rect">
                      <a:avLst/>
                    </a:prstGeom>
                    <a:noFill/>
                    <a:ln>
                      <a:noFill/>
                    </a:ln>
                  </pic:spPr>
                </pic:pic>
              </a:graphicData>
            </a:graphic>
          </wp:inline>
        </w:drawing>
      </w:r>
    </w:p>
    <w:p w:rsidR="003B3753" w:rsidRDefault="003B3753" w:rsidP="009E7BBE">
      <w:pPr>
        <w:spacing w:line="360" w:lineRule="auto"/>
        <w:rPr>
          <w:rFonts w:ascii="Book Antiqua" w:hAnsi="Book Antiqua"/>
          <w:sz w:val="24"/>
          <w:szCs w:val="24"/>
        </w:rPr>
      </w:pPr>
      <w:r>
        <w:rPr>
          <w:rFonts w:ascii="Book Antiqua" w:hAnsi="Book Antiqua"/>
          <w:sz w:val="24"/>
          <w:szCs w:val="24"/>
        </w:rPr>
        <w:t>G</w:t>
      </w:r>
    </w:p>
    <w:p w:rsidR="003B3753" w:rsidRPr="00FB3CB0" w:rsidRDefault="00423349" w:rsidP="009E7BBE">
      <w:pPr>
        <w:spacing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4460875" cy="49695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0875" cy="4969510"/>
                    </a:xfrm>
                    <a:prstGeom prst="rect">
                      <a:avLst/>
                    </a:prstGeom>
                    <a:noFill/>
                    <a:ln>
                      <a:noFill/>
                    </a:ln>
                  </pic:spPr>
                </pic:pic>
              </a:graphicData>
            </a:graphic>
          </wp:inline>
        </w:drawing>
      </w:r>
    </w:p>
    <w:p w:rsidR="003B3753" w:rsidRPr="0048791D" w:rsidRDefault="003B3753" w:rsidP="009E7BBE">
      <w:pPr>
        <w:spacing w:line="360" w:lineRule="auto"/>
        <w:rPr>
          <w:rFonts w:ascii="Book Antiqua" w:hAnsi="Book Antiqua"/>
          <w:sz w:val="24"/>
          <w:szCs w:val="24"/>
        </w:rPr>
      </w:pPr>
    </w:p>
    <w:sectPr w:rsidR="003B3753" w:rsidRPr="0048791D" w:rsidSect="004C07C1">
      <w:head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768" w:rsidRDefault="00EA0768" w:rsidP="000505C0">
      <w:r>
        <w:separator/>
      </w:r>
    </w:p>
  </w:endnote>
  <w:endnote w:type="continuationSeparator" w:id="0">
    <w:p w:rsidR="00EA0768" w:rsidRDefault="00EA0768" w:rsidP="0005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ﾍ｣ﾓ ﾃｯ">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ﾍ｣ﾓ ･ｴ･ｷ･ﾃ･ｯ">
    <w:altName w:val="MS Mincho"/>
    <w:panose1 w:val="00000000000000000000"/>
    <w:charset w:val="80"/>
    <w:family w:val="auto"/>
    <w:notTrueType/>
    <w:pitch w:val="variable"/>
    <w:sig w:usb0="00000001" w:usb1="08070000" w:usb2="00000010" w:usb3="00000000" w:csb0="00020000"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A1002AE7" w:usb1="C0000063" w:usb2="00000038" w:usb3="00000000" w:csb0="000000B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768" w:rsidRDefault="00EA0768" w:rsidP="000505C0">
      <w:r>
        <w:separator/>
      </w:r>
    </w:p>
  </w:footnote>
  <w:footnote w:type="continuationSeparator" w:id="0">
    <w:p w:rsidR="00EA0768" w:rsidRDefault="00EA0768" w:rsidP="000505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753" w:rsidRDefault="00EA0768">
    <w:pPr>
      <w:pStyle w:val="a3"/>
      <w:jc w:val="right"/>
    </w:pPr>
    <w:r>
      <w:fldChar w:fldCharType="begin"/>
    </w:r>
    <w:r>
      <w:instrText>PAGE   \* MERGEFORMAT</w:instrText>
    </w:r>
    <w:r>
      <w:fldChar w:fldCharType="separate"/>
    </w:r>
    <w:r w:rsidR="00423349" w:rsidRPr="00423349">
      <w:rPr>
        <w:noProof/>
        <w:lang w:val="ja-JP"/>
      </w:rPr>
      <w:t>38</w:t>
    </w:r>
    <w:r>
      <w:rPr>
        <w:noProof/>
        <w:lang w:val="ja-JP"/>
      </w:rPr>
      <w:fldChar w:fldCharType="end"/>
    </w:r>
  </w:p>
  <w:p w:rsidR="003B3753" w:rsidRDefault="003B375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90A12"/>
    <w:multiLevelType w:val="hybridMultilevel"/>
    <w:tmpl w:val="C32C03C0"/>
    <w:lvl w:ilvl="0" w:tplc="64B637D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1">
    <w:nsid w:val="63AF0A4F"/>
    <w:multiLevelType w:val="hybridMultilevel"/>
    <w:tmpl w:val="5E06A82C"/>
    <w:lvl w:ilvl="0" w:tplc="C22CA6F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4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E14"/>
    <w:rsid w:val="00001BE2"/>
    <w:rsid w:val="00003A86"/>
    <w:rsid w:val="00004E84"/>
    <w:rsid w:val="00005BF9"/>
    <w:rsid w:val="00012E5B"/>
    <w:rsid w:val="00013EB6"/>
    <w:rsid w:val="00016AC4"/>
    <w:rsid w:val="0002066F"/>
    <w:rsid w:val="000223A1"/>
    <w:rsid w:val="00022C01"/>
    <w:rsid w:val="0002518C"/>
    <w:rsid w:val="00026930"/>
    <w:rsid w:val="000304FF"/>
    <w:rsid w:val="000305D6"/>
    <w:rsid w:val="00037412"/>
    <w:rsid w:val="00040CBC"/>
    <w:rsid w:val="00042B91"/>
    <w:rsid w:val="0004388D"/>
    <w:rsid w:val="00045209"/>
    <w:rsid w:val="0004599A"/>
    <w:rsid w:val="00045DEC"/>
    <w:rsid w:val="00046783"/>
    <w:rsid w:val="00047C8B"/>
    <w:rsid w:val="0005013F"/>
    <w:rsid w:val="0005055A"/>
    <w:rsid w:val="000505C0"/>
    <w:rsid w:val="0005126B"/>
    <w:rsid w:val="0005171F"/>
    <w:rsid w:val="00051A4E"/>
    <w:rsid w:val="00052A0A"/>
    <w:rsid w:val="0005336D"/>
    <w:rsid w:val="000541D3"/>
    <w:rsid w:val="0005539A"/>
    <w:rsid w:val="0006007A"/>
    <w:rsid w:val="00062922"/>
    <w:rsid w:val="0006328C"/>
    <w:rsid w:val="00071B98"/>
    <w:rsid w:val="00072CF4"/>
    <w:rsid w:val="000772D0"/>
    <w:rsid w:val="000779B3"/>
    <w:rsid w:val="00081405"/>
    <w:rsid w:val="00083B22"/>
    <w:rsid w:val="00085B4E"/>
    <w:rsid w:val="000868D7"/>
    <w:rsid w:val="00092F03"/>
    <w:rsid w:val="000949A8"/>
    <w:rsid w:val="000A2E14"/>
    <w:rsid w:val="000A3C7D"/>
    <w:rsid w:val="000A66EA"/>
    <w:rsid w:val="000B0AC7"/>
    <w:rsid w:val="000B325E"/>
    <w:rsid w:val="000B3B5B"/>
    <w:rsid w:val="000B43C0"/>
    <w:rsid w:val="000B537A"/>
    <w:rsid w:val="000B7278"/>
    <w:rsid w:val="000C0D2B"/>
    <w:rsid w:val="000C3067"/>
    <w:rsid w:val="000C3EFA"/>
    <w:rsid w:val="000C5D30"/>
    <w:rsid w:val="000C7E8C"/>
    <w:rsid w:val="000D3F80"/>
    <w:rsid w:val="000D5B59"/>
    <w:rsid w:val="000D64E3"/>
    <w:rsid w:val="000E2319"/>
    <w:rsid w:val="000F1AB6"/>
    <w:rsid w:val="000F282F"/>
    <w:rsid w:val="000F318B"/>
    <w:rsid w:val="001011B6"/>
    <w:rsid w:val="00101C60"/>
    <w:rsid w:val="00102A39"/>
    <w:rsid w:val="00104700"/>
    <w:rsid w:val="00107268"/>
    <w:rsid w:val="00110C91"/>
    <w:rsid w:val="00111206"/>
    <w:rsid w:val="001150B6"/>
    <w:rsid w:val="00116400"/>
    <w:rsid w:val="001248CD"/>
    <w:rsid w:val="00125259"/>
    <w:rsid w:val="001252CD"/>
    <w:rsid w:val="00127979"/>
    <w:rsid w:val="00127CE5"/>
    <w:rsid w:val="00130FFA"/>
    <w:rsid w:val="0013156B"/>
    <w:rsid w:val="0013222C"/>
    <w:rsid w:val="001333BF"/>
    <w:rsid w:val="00133B65"/>
    <w:rsid w:val="001370D5"/>
    <w:rsid w:val="00137241"/>
    <w:rsid w:val="001407F7"/>
    <w:rsid w:val="00140BB7"/>
    <w:rsid w:val="00142DC3"/>
    <w:rsid w:val="001543A6"/>
    <w:rsid w:val="00154CB4"/>
    <w:rsid w:val="0015586C"/>
    <w:rsid w:val="00155A7F"/>
    <w:rsid w:val="001565D5"/>
    <w:rsid w:val="00156792"/>
    <w:rsid w:val="001603F7"/>
    <w:rsid w:val="00160D99"/>
    <w:rsid w:val="00161096"/>
    <w:rsid w:val="0016152A"/>
    <w:rsid w:val="001635B3"/>
    <w:rsid w:val="00166166"/>
    <w:rsid w:val="00166DB2"/>
    <w:rsid w:val="0016706F"/>
    <w:rsid w:val="0016758B"/>
    <w:rsid w:val="001701EB"/>
    <w:rsid w:val="001736A9"/>
    <w:rsid w:val="001748C0"/>
    <w:rsid w:val="0017512F"/>
    <w:rsid w:val="00175236"/>
    <w:rsid w:val="00175C0F"/>
    <w:rsid w:val="00176810"/>
    <w:rsid w:val="0018355E"/>
    <w:rsid w:val="00191D85"/>
    <w:rsid w:val="00195679"/>
    <w:rsid w:val="001A3147"/>
    <w:rsid w:val="001A5546"/>
    <w:rsid w:val="001A5865"/>
    <w:rsid w:val="001B3880"/>
    <w:rsid w:val="001B3B95"/>
    <w:rsid w:val="001B4B8B"/>
    <w:rsid w:val="001D0DD6"/>
    <w:rsid w:val="001D17B1"/>
    <w:rsid w:val="001D30AC"/>
    <w:rsid w:val="001D3B57"/>
    <w:rsid w:val="001E23BA"/>
    <w:rsid w:val="001E4358"/>
    <w:rsid w:val="001E6A56"/>
    <w:rsid w:val="001E7481"/>
    <w:rsid w:val="001E7A6F"/>
    <w:rsid w:val="001E7E9A"/>
    <w:rsid w:val="001F33F0"/>
    <w:rsid w:val="001F4351"/>
    <w:rsid w:val="001F66ED"/>
    <w:rsid w:val="002009F8"/>
    <w:rsid w:val="00201395"/>
    <w:rsid w:val="00201A28"/>
    <w:rsid w:val="002060BC"/>
    <w:rsid w:val="00206A43"/>
    <w:rsid w:val="00207498"/>
    <w:rsid w:val="002158E9"/>
    <w:rsid w:val="00215C83"/>
    <w:rsid w:val="00216B3E"/>
    <w:rsid w:val="002179D2"/>
    <w:rsid w:val="002250D5"/>
    <w:rsid w:val="00225D01"/>
    <w:rsid w:val="00225E00"/>
    <w:rsid w:val="00226919"/>
    <w:rsid w:val="00227190"/>
    <w:rsid w:val="002274F2"/>
    <w:rsid w:val="00230C6A"/>
    <w:rsid w:val="00231E9C"/>
    <w:rsid w:val="00232D71"/>
    <w:rsid w:val="0023591B"/>
    <w:rsid w:val="00235B1F"/>
    <w:rsid w:val="00236D4F"/>
    <w:rsid w:val="002409BE"/>
    <w:rsid w:val="00243C63"/>
    <w:rsid w:val="00244296"/>
    <w:rsid w:val="002449B5"/>
    <w:rsid w:val="00251910"/>
    <w:rsid w:val="00251D59"/>
    <w:rsid w:val="0025687A"/>
    <w:rsid w:val="0026279E"/>
    <w:rsid w:val="00262BBA"/>
    <w:rsid w:val="002632FE"/>
    <w:rsid w:val="002658C2"/>
    <w:rsid w:val="00267E7A"/>
    <w:rsid w:val="0027088A"/>
    <w:rsid w:val="00271AE8"/>
    <w:rsid w:val="00276C44"/>
    <w:rsid w:val="00280260"/>
    <w:rsid w:val="00283880"/>
    <w:rsid w:val="00285B6D"/>
    <w:rsid w:val="00286144"/>
    <w:rsid w:val="002876A2"/>
    <w:rsid w:val="00291AD2"/>
    <w:rsid w:val="00292847"/>
    <w:rsid w:val="00292BB7"/>
    <w:rsid w:val="00292F94"/>
    <w:rsid w:val="002A040A"/>
    <w:rsid w:val="002A04D3"/>
    <w:rsid w:val="002A7534"/>
    <w:rsid w:val="002B0254"/>
    <w:rsid w:val="002B0A59"/>
    <w:rsid w:val="002B17E8"/>
    <w:rsid w:val="002B2084"/>
    <w:rsid w:val="002B268F"/>
    <w:rsid w:val="002B7E34"/>
    <w:rsid w:val="002C064D"/>
    <w:rsid w:val="002C175C"/>
    <w:rsid w:val="002C3788"/>
    <w:rsid w:val="002C3F8B"/>
    <w:rsid w:val="002C52F6"/>
    <w:rsid w:val="002C5F54"/>
    <w:rsid w:val="002C6685"/>
    <w:rsid w:val="002C7645"/>
    <w:rsid w:val="002D0AA6"/>
    <w:rsid w:val="002D51DC"/>
    <w:rsid w:val="002D5DAC"/>
    <w:rsid w:val="002D75FC"/>
    <w:rsid w:val="002E0625"/>
    <w:rsid w:val="002E0944"/>
    <w:rsid w:val="002E27ED"/>
    <w:rsid w:val="002E2A96"/>
    <w:rsid w:val="002E2B0E"/>
    <w:rsid w:val="002E5B9B"/>
    <w:rsid w:val="002E6DF3"/>
    <w:rsid w:val="002F0004"/>
    <w:rsid w:val="002F1004"/>
    <w:rsid w:val="002F1645"/>
    <w:rsid w:val="002F2590"/>
    <w:rsid w:val="002F3955"/>
    <w:rsid w:val="002F60C5"/>
    <w:rsid w:val="00304DFB"/>
    <w:rsid w:val="00305423"/>
    <w:rsid w:val="00310DC3"/>
    <w:rsid w:val="003120F1"/>
    <w:rsid w:val="0031374F"/>
    <w:rsid w:val="00313CD0"/>
    <w:rsid w:val="003156D5"/>
    <w:rsid w:val="0031570D"/>
    <w:rsid w:val="00315B5D"/>
    <w:rsid w:val="0032272B"/>
    <w:rsid w:val="0032286A"/>
    <w:rsid w:val="00325B74"/>
    <w:rsid w:val="00332E74"/>
    <w:rsid w:val="003334CB"/>
    <w:rsid w:val="00333996"/>
    <w:rsid w:val="00334DC8"/>
    <w:rsid w:val="00335D77"/>
    <w:rsid w:val="00335DC6"/>
    <w:rsid w:val="0033797A"/>
    <w:rsid w:val="00340143"/>
    <w:rsid w:val="0035678F"/>
    <w:rsid w:val="00357DD7"/>
    <w:rsid w:val="00362979"/>
    <w:rsid w:val="00365587"/>
    <w:rsid w:val="00365676"/>
    <w:rsid w:val="00365A22"/>
    <w:rsid w:val="00365B9F"/>
    <w:rsid w:val="00370585"/>
    <w:rsid w:val="00372AE9"/>
    <w:rsid w:val="00373C76"/>
    <w:rsid w:val="003753A5"/>
    <w:rsid w:val="00376521"/>
    <w:rsid w:val="00376F19"/>
    <w:rsid w:val="00383553"/>
    <w:rsid w:val="003838A5"/>
    <w:rsid w:val="00387171"/>
    <w:rsid w:val="00390290"/>
    <w:rsid w:val="00390491"/>
    <w:rsid w:val="003908B3"/>
    <w:rsid w:val="00391683"/>
    <w:rsid w:val="003918E4"/>
    <w:rsid w:val="00392C76"/>
    <w:rsid w:val="00394980"/>
    <w:rsid w:val="003A0006"/>
    <w:rsid w:val="003A0F3D"/>
    <w:rsid w:val="003A3CDA"/>
    <w:rsid w:val="003A4ABC"/>
    <w:rsid w:val="003A4C83"/>
    <w:rsid w:val="003A57BF"/>
    <w:rsid w:val="003B2F40"/>
    <w:rsid w:val="003B3753"/>
    <w:rsid w:val="003C1857"/>
    <w:rsid w:val="003C1E9F"/>
    <w:rsid w:val="003C278D"/>
    <w:rsid w:val="003C2E5A"/>
    <w:rsid w:val="003C37B4"/>
    <w:rsid w:val="003C63D5"/>
    <w:rsid w:val="003C70B7"/>
    <w:rsid w:val="003D003F"/>
    <w:rsid w:val="003D0E08"/>
    <w:rsid w:val="003D120E"/>
    <w:rsid w:val="003D1DBB"/>
    <w:rsid w:val="003D2713"/>
    <w:rsid w:val="003D6BB3"/>
    <w:rsid w:val="003E0CAC"/>
    <w:rsid w:val="003E27FB"/>
    <w:rsid w:val="003E2E59"/>
    <w:rsid w:val="003E350D"/>
    <w:rsid w:val="003E4783"/>
    <w:rsid w:val="003F130B"/>
    <w:rsid w:val="003F1340"/>
    <w:rsid w:val="003F149C"/>
    <w:rsid w:val="003F1B3B"/>
    <w:rsid w:val="003F3A41"/>
    <w:rsid w:val="003F447F"/>
    <w:rsid w:val="003F47E0"/>
    <w:rsid w:val="003F4B04"/>
    <w:rsid w:val="003F5A4A"/>
    <w:rsid w:val="003F7842"/>
    <w:rsid w:val="004020D5"/>
    <w:rsid w:val="00402C92"/>
    <w:rsid w:val="00404307"/>
    <w:rsid w:val="00405A9D"/>
    <w:rsid w:val="00410639"/>
    <w:rsid w:val="0041063E"/>
    <w:rsid w:val="00410F91"/>
    <w:rsid w:val="00411CDE"/>
    <w:rsid w:val="00412B38"/>
    <w:rsid w:val="00417B74"/>
    <w:rsid w:val="00421B0B"/>
    <w:rsid w:val="00421C5C"/>
    <w:rsid w:val="004221EC"/>
    <w:rsid w:val="00422260"/>
    <w:rsid w:val="004224EE"/>
    <w:rsid w:val="00423349"/>
    <w:rsid w:val="004318DA"/>
    <w:rsid w:val="004343F1"/>
    <w:rsid w:val="004354B9"/>
    <w:rsid w:val="00436EC6"/>
    <w:rsid w:val="00437E92"/>
    <w:rsid w:val="00440317"/>
    <w:rsid w:val="00441821"/>
    <w:rsid w:val="00443F8E"/>
    <w:rsid w:val="004446CF"/>
    <w:rsid w:val="00445E95"/>
    <w:rsid w:val="004465A0"/>
    <w:rsid w:val="004475FD"/>
    <w:rsid w:val="00453995"/>
    <w:rsid w:val="00456BA9"/>
    <w:rsid w:val="0046030F"/>
    <w:rsid w:val="00461A1C"/>
    <w:rsid w:val="00461BA3"/>
    <w:rsid w:val="004631FE"/>
    <w:rsid w:val="004637FB"/>
    <w:rsid w:val="00464715"/>
    <w:rsid w:val="00465531"/>
    <w:rsid w:val="00467E8C"/>
    <w:rsid w:val="004700E3"/>
    <w:rsid w:val="0047011C"/>
    <w:rsid w:val="00470A87"/>
    <w:rsid w:val="0047239D"/>
    <w:rsid w:val="00472CA2"/>
    <w:rsid w:val="00473B7E"/>
    <w:rsid w:val="00474487"/>
    <w:rsid w:val="004808F2"/>
    <w:rsid w:val="00481026"/>
    <w:rsid w:val="004847F5"/>
    <w:rsid w:val="00485B0F"/>
    <w:rsid w:val="004877CC"/>
    <w:rsid w:val="0048791D"/>
    <w:rsid w:val="004906CF"/>
    <w:rsid w:val="00492F7A"/>
    <w:rsid w:val="0049412C"/>
    <w:rsid w:val="00494FC9"/>
    <w:rsid w:val="0049572F"/>
    <w:rsid w:val="00495ADD"/>
    <w:rsid w:val="00497641"/>
    <w:rsid w:val="004977AE"/>
    <w:rsid w:val="004A2EAE"/>
    <w:rsid w:val="004A3422"/>
    <w:rsid w:val="004A3BEF"/>
    <w:rsid w:val="004A3D8E"/>
    <w:rsid w:val="004A673A"/>
    <w:rsid w:val="004A7157"/>
    <w:rsid w:val="004B1757"/>
    <w:rsid w:val="004B3027"/>
    <w:rsid w:val="004B35E5"/>
    <w:rsid w:val="004B4BDF"/>
    <w:rsid w:val="004B4D61"/>
    <w:rsid w:val="004B5845"/>
    <w:rsid w:val="004B5A88"/>
    <w:rsid w:val="004B677C"/>
    <w:rsid w:val="004B70A6"/>
    <w:rsid w:val="004C07C1"/>
    <w:rsid w:val="004C0AC6"/>
    <w:rsid w:val="004C160E"/>
    <w:rsid w:val="004C4E4C"/>
    <w:rsid w:val="004D152B"/>
    <w:rsid w:val="004D1AAC"/>
    <w:rsid w:val="004D2ADB"/>
    <w:rsid w:val="004D41E7"/>
    <w:rsid w:val="004D4F6B"/>
    <w:rsid w:val="004D6121"/>
    <w:rsid w:val="004D6488"/>
    <w:rsid w:val="004E2068"/>
    <w:rsid w:val="004E21ED"/>
    <w:rsid w:val="004E2271"/>
    <w:rsid w:val="004E24CC"/>
    <w:rsid w:val="004E3D92"/>
    <w:rsid w:val="004E62D9"/>
    <w:rsid w:val="004F0807"/>
    <w:rsid w:val="004F1652"/>
    <w:rsid w:val="004F2385"/>
    <w:rsid w:val="004F2D67"/>
    <w:rsid w:val="004F5112"/>
    <w:rsid w:val="004F707C"/>
    <w:rsid w:val="0050012E"/>
    <w:rsid w:val="005001D7"/>
    <w:rsid w:val="00500A9E"/>
    <w:rsid w:val="00504E0E"/>
    <w:rsid w:val="00510662"/>
    <w:rsid w:val="00510A8A"/>
    <w:rsid w:val="00512287"/>
    <w:rsid w:val="00512A52"/>
    <w:rsid w:val="00512ADD"/>
    <w:rsid w:val="00513413"/>
    <w:rsid w:val="005148CE"/>
    <w:rsid w:val="00515490"/>
    <w:rsid w:val="00515E9A"/>
    <w:rsid w:val="00520AEF"/>
    <w:rsid w:val="00522B4C"/>
    <w:rsid w:val="005245A7"/>
    <w:rsid w:val="00524D97"/>
    <w:rsid w:val="00525503"/>
    <w:rsid w:val="00532B1C"/>
    <w:rsid w:val="00533312"/>
    <w:rsid w:val="00533C44"/>
    <w:rsid w:val="00533FBD"/>
    <w:rsid w:val="0053416A"/>
    <w:rsid w:val="00534F8A"/>
    <w:rsid w:val="00534F97"/>
    <w:rsid w:val="00535F9C"/>
    <w:rsid w:val="00536DF1"/>
    <w:rsid w:val="0053748F"/>
    <w:rsid w:val="00537F32"/>
    <w:rsid w:val="0054429F"/>
    <w:rsid w:val="00547E33"/>
    <w:rsid w:val="0055020F"/>
    <w:rsid w:val="005502DC"/>
    <w:rsid w:val="00551069"/>
    <w:rsid w:val="0055109B"/>
    <w:rsid w:val="00551400"/>
    <w:rsid w:val="005523B9"/>
    <w:rsid w:val="00553DD9"/>
    <w:rsid w:val="0055608D"/>
    <w:rsid w:val="00560C19"/>
    <w:rsid w:val="0056163D"/>
    <w:rsid w:val="00562AAF"/>
    <w:rsid w:val="00562F0A"/>
    <w:rsid w:val="005666F7"/>
    <w:rsid w:val="0056741F"/>
    <w:rsid w:val="00570B03"/>
    <w:rsid w:val="00571124"/>
    <w:rsid w:val="00571A3A"/>
    <w:rsid w:val="005720D6"/>
    <w:rsid w:val="00574D34"/>
    <w:rsid w:val="005762CE"/>
    <w:rsid w:val="005805F4"/>
    <w:rsid w:val="00580608"/>
    <w:rsid w:val="005806ED"/>
    <w:rsid w:val="00582966"/>
    <w:rsid w:val="005841E0"/>
    <w:rsid w:val="00590D7A"/>
    <w:rsid w:val="005941CE"/>
    <w:rsid w:val="00594C8E"/>
    <w:rsid w:val="00594D20"/>
    <w:rsid w:val="005963FD"/>
    <w:rsid w:val="00596E09"/>
    <w:rsid w:val="005974BE"/>
    <w:rsid w:val="00597DBF"/>
    <w:rsid w:val="005A29EB"/>
    <w:rsid w:val="005A4FCB"/>
    <w:rsid w:val="005A5DED"/>
    <w:rsid w:val="005B008B"/>
    <w:rsid w:val="005B565B"/>
    <w:rsid w:val="005B6039"/>
    <w:rsid w:val="005B61A8"/>
    <w:rsid w:val="005B7681"/>
    <w:rsid w:val="005C0437"/>
    <w:rsid w:val="005C1A5A"/>
    <w:rsid w:val="005C1D63"/>
    <w:rsid w:val="005C4477"/>
    <w:rsid w:val="005C476E"/>
    <w:rsid w:val="005C6901"/>
    <w:rsid w:val="005C6C27"/>
    <w:rsid w:val="005C6E3D"/>
    <w:rsid w:val="005D069D"/>
    <w:rsid w:val="005D0865"/>
    <w:rsid w:val="005D39F3"/>
    <w:rsid w:val="005D45D7"/>
    <w:rsid w:val="005D6F10"/>
    <w:rsid w:val="005E0A37"/>
    <w:rsid w:val="005E2355"/>
    <w:rsid w:val="005E23D9"/>
    <w:rsid w:val="005E2EA8"/>
    <w:rsid w:val="005E323D"/>
    <w:rsid w:val="005E69DB"/>
    <w:rsid w:val="005F0EF9"/>
    <w:rsid w:val="005F1D94"/>
    <w:rsid w:val="005F35E7"/>
    <w:rsid w:val="005F3A82"/>
    <w:rsid w:val="005F7155"/>
    <w:rsid w:val="006001C0"/>
    <w:rsid w:val="00601293"/>
    <w:rsid w:val="00602610"/>
    <w:rsid w:val="00603948"/>
    <w:rsid w:val="00605547"/>
    <w:rsid w:val="00605F8A"/>
    <w:rsid w:val="00607138"/>
    <w:rsid w:val="0060799F"/>
    <w:rsid w:val="006136C3"/>
    <w:rsid w:val="0061685E"/>
    <w:rsid w:val="00624677"/>
    <w:rsid w:val="006249EB"/>
    <w:rsid w:val="00625AA3"/>
    <w:rsid w:val="00625FC3"/>
    <w:rsid w:val="00630807"/>
    <w:rsid w:val="00631753"/>
    <w:rsid w:val="0063221F"/>
    <w:rsid w:val="00632B99"/>
    <w:rsid w:val="006330C7"/>
    <w:rsid w:val="00634EC8"/>
    <w:rsid w:val="00636E88"/>
    <w:rsid w:val="0063729A"/>
    <w:rsid w:val="006373C7"/>
    <w:rsid w:val="0064122E"/>
    <w:rsid w:val="00642582"/>
    <w:rsid w:val="006443EF"/>
    <w:rsid w:val="00644949"/>
    <w:rsid w:val="0064628A"/>
    <w:rsid w:val="00647110"/>
    <w:rsid w:val="00651DCA"/>
    <w:rsid w:val="00653CF2"/>
    <w:rsid w:val="00654229"/>
    <w:rsid w:val="0065771C"/>
    <w:rsid w:val="0066070D"/>
    <w:rsid w:val="00661737"/>
    <w:rsid w:val="00663B25"/>
    <w:rsid w:val="0066556C"/>
    <w:rsid w:val="00666356"/>
    <w:rsid w:val="006664B8"/>
    <w:rsid w:val="00672B0A"/>
    <w:rsid w:val="00673F2A"/>
    <w:rsid w:val="0067615F"/>
    <w:rsid w:val="006814D6"/>
    <w:rsid w:val="00684BBB"/>
    <w:rsid w:val="00684CD2"/>
    <w:rsid w:val="00686261"/>
    <w:rsid w:val="006864D2"/>
    <w:rsid w:val="00694DA4"/>
    <w:rsid w:val="00696822"/>
    <w:rsid w:val="00696EAA"/>
    <w:rsid w:val="006A4224"/>
    <w:rsid w:val="006A6EA8"/>
    <w:rsid w:val="006B1F7D"/>
    <w:rsid w:val="006B5C99"/>
    <w:rsid w:val="006B6F27"/>
    <w:rsid w:val="006C0CD3"/>
    <w:rsid w:val="006C6000"/>
    <w:rsid w:val="006C6701"/>
    <w:rsid w:val="006C7CCB"/>
    <w:rsid w:val="006D184B"/>
    <w:rsid w:val="006D1B44"/>
    <w:rsid w:val="006D2CB9"/>
    <w:rsid w:val="006D2F7E"/>
    <w:rsid w:val="006D3C73"/>
    <w:rsid w:val="006D53C7"/>
    <w:rsid w:val="006D5736"/>
    <w:rsid w:val="006D7138"/>
    <w:rsid w:val="006D7316"/>
    <w:rsid w:val="006E2A53"/>
    <w:rsid w:val="006E3181"/>
    <w:rsid w:val="006E33BB"/>
    <w:rsid w:val="006E3A7F"/>
    <w:rsid w:val="006E61F9"/>
    <w:rsid w:val="006F0CE7"/>
    <w:rsid w:val="006F2B15"/>
    <w:rsid w:val="006F5C66"/>
    <w:rsid w:val="006F7126"/>
    <w:rsid w:val="006F7F88"/>
    <w:rsid w:val="007002CE"/>
    <w:rsid w:val="0070226D"/>
    <w:rsid w:val="00702A7D"/>
    <w:rsid w:val="007031F9"/>
    <w:rsid w:val="00703E99"/>
    <w:rsid w:val="00711B26"/>
    <w:rsid w:val="00712765"/>
    <w:rsid w:val="00715202"/>
    <w:rsid w:val="00717A1D"/>
    <w:rsid w:val="00723E7C"/>
    <w:rsid w:val="0072611A"/>
    <w:rsid w:val="007261B1"/>
    <w:rsid w:val="0072690A"/>
    <w:rsid w:val="00731E49"/>
    <w:rsid w:val="00735828"/>
    <w:rsid w:val="00735D4B"/>
    <w:rsid w:val="007368E2"/>
    <w:rsid w:val="00740623"/>
    <w:rsid w:val="00740D0A"/>
    <w:rsid w:val="00741806"/>
    <w:rsid w:val="00741B68"/>
    <w:rsid w:val="00744C5D"/>
    <w:rsid w:val="007452DD"/>
    <w:rsid w:val="00745EFE"/>
    <w:rsid w:val="00746DBC"/>
    <w:rsid w:val="00747818"/>
    <w:rsid w:val="00747973"/>
    <w:rsid w:val="00747EFE"/>
    <w:rsid w:val="00753E70"/>
    <w:rsid w:val="00753F94"/>
    <w:rsid w:val="007555DD"/>
    <w:rsid w:val="00755AC6"/>
    <w:rsid w:val="00756316"/>
    <w:rsid w:val="007568AB"/>
    <w:rsid w:val="00756FA1"/>
    <w:rsid w:val="00756FF1"/>
    <w:rsid w:val="00760DFB"/>
    <w:rsid w:val="007717E0"/>
    <w:rsid w:val="0077354F"/>
    <w:rsid w:val="0077556C"/>
    <w:rsid w:val="00777E81"/>
    <w:rsid w:val="0078691F"/>
    <w:rsid w:val="007874D2"/>
    <w:rsid w:val="007915FE"/>
    <w:rsid w:val="007A0AA9"/>
    <w:rsid w:val="007A24BC"/>
    <w:rsid w:val="007A3AA9"/>
    <w:rsid w:val="007A3D3D"/>
    <w:rsid w:val="007A5184"/>
    <w:rsid w:val="007A60C2"/>
    <w:rsid w:val="007A6741"/>
    <w:rsid w:val="007B0209"/>
    <w:rsid w:val="007B0A6E"/>
    <w:rsid w:val="007B0BD6"/>
    <w:rsid w:val="007B4839"/>
    <w:rsid w:val="007B501D"/>
    <w:rsid w:val="007B5911"/>
    <w:rsid w:val="007B7253"/>
    <w:rsid w:val="007B7999"/>
    <w:rsid w:val="007C26AA"/>
    <w:rsid w:val="007C2ADE"/>
    <w:rsid w:val="007C3EDD"/>
    <w:rsid w:val="007C4C26"/>
    <w:rsid w:val="007C5376"/>
    <w:rsid w:val="007C60CB"/>
    <w:rsid w:val="007C7CD6"/>
    <w:rsid w:val="007D0E52"/>
    <w:rsid w:val="007D3CB0"/>
    <w:rsid w:val="007D4FAB"/>
    <w:rsid w:val="007D55C6"/>
    <w:rsid w:val="007D6B8D"/>
    <w:rsid w:val="007D737A"/>
    <w:rsid w:val="007E08E1"/>
    <w:rsid w:val="007E22FE"/>
    <w:rsid w:val="007E6812"/>
    <w:rsid w:val="007E7683"/>
    <w:rsid w:val="007E7D8A"/>
    <w:rsid w:val="007F1649"/>
    <w:rsid w:val="007F2EEF"/>
    <w:rsid w:val="007F44F7"/>
    <w:rsid w:val="007F5369"/>
    <w:rsid w:val="007F5DA5"/>
    <w:rsid w:val="007F6B30"/>
    <w:rsid w:val="008026B1"/>
    <w:rsid w:val="00807C03"/>
    <w:rsid w:val="00813892"/>
    <w:rsid w:val="0081415C"/>
    <w:rsid w:val="0081422D"/>
    <w:rsid w:val="00817A15"/>
    <w:rsid w:val="0082043C"/>
    <w:rsid w:val="0082075B"/>
    <w:rsid w:val="00821C29"/>
    <w:rsid w:val="008225F6"/>
    <w:rsid w:val="0082362C"/>
    <w:rsid w:val="00824770"/>
    <w:rsid w:val="00825907"/>
    <w:rsid w:val="00826D85"/>
    <w:rsid w:val="00827AFA"/>
    <w:rsid w:val="00830CE7"/>
    <w:rsid w:val="00832346"/>
    <w:rsid w:val="00836D07"/>
    <w:rsid w:val="00837177"/>
    <w:rsid w:val="00837E54"/>
    <w:rsid w:val="0084017A"/>
    <w:rsid w:val="00841BB6"/>
    <w:rsid w:val="0084463B"/>
    <w:rsid w:val="00844FC5"/>
    <w:rsid w:val="00845194"/>
    <w:rsid w:val="00845498"/>
    <w:rsid w:val="008457D8"/>
    <w:rsid w:val="0084596F"/>
    <w:rsid w:val="00852270"/>
    <w:rsid w:val="00852547"/>
    <w:rsid w:val="00860290"/>
    <w:rsid w:val="0086059B"/>
    <w:rsid w:val="008609A4"/>
    <w:rsid w:val="008621E2"/>
    <w:rsid w:val="0086236D"/>
    <w:rsid w:val="00863DFA"/>
    <w:rsid w:val="00866B45"/>
    <w:rsid w:val="0087149C"/>
    <w:rsid w:val="008718AE"/>
    <w:rsid w:val="00874381"/>
    <w:rsid w:val="00880CDF"/>
    <w:rsid w:val="00882FE8"/>
    <w:rsid w:val="008851FE"/>
    <w:rsid w:val="00886665"/>
    <w:rsid w:val="00887213"/>
    <w:rsid w:val="008901DF"/>
    <w:rsid w:val="0089136E"/>
    <w:rsid w:val="008916D1"/>
    <w:rsid w:val="00892E3D"/>
    <w:rsid w:val="00893E14"/>
    <w:rsid w:val="0089450F"/>
    <w:rsid w:val="00894D16"/>
    <w:rsid w:val="00894F7A"/>
    <w:rsid w:val="008959E1"/>
    <w:rsid w:val="008A19FD"/>
    <w:rsid w:val="008A2E07"/>
    <w:rsid w:val="008A4B43"/>
    <w:rsid w:val="008A5330"/>
    <w:rsid w:val="008B0347"/>
    <w:rsid w:val="008B0446"/>
    <w:rsid w:val="008B289D"/>
    <w:rsid w:val="008B2D6F"/>
    <w:rsid w:val="008C1351"/>
    <w:rsid w:val="008C13BC"/>
    <w:rsid w:val="008C7D73"/>
    <w:rsid w:val="008C7EC5"/>
    <w:rsid w:val="008D432E"/>
    <w:rsid w:val="008D46E0"/>
    <w:rsid w:val="008D4C80"/>
    <w:rsid w:val="008D62E4"/>
    <w:rsid w:val="008D6C90"/>
    <w:rsid w:val="008E6F4E"/>
    <w:rsid w:val="008F16BE"/>
    <w:rsid w:val="008F2CBC"/>
    <w:rsid w:val="008F57DB"/>
    <w:rsid w:val="008F6D0F"/>
    <w:rsid w:val="008F785E"/>
    <w:rsid w:val="00900B73"/>
    <w:rsid w:val="009016C6"/>
    <w:rsid w:val="00902336"/>
    <w:rsid w:val="00903408"/>
    <w:rsid w:val="009039FB"/>
    <w:rsid w:val="009065B7"/>
    <w:rsid w:val="00911CE6"/>
    <w:rsid w:val="00911F47"/>
    <w:rsid w:val="00913FD9"/>
    <w:rsid w:val="009140A5"/>
    <w:rsid w:val="009164DC"/>
    <w:rsid w:val="0091681B"/>
    <w:rsid w:val="00921457"/>
    <w:rsid w:val="00921D76"/>
    <w:rsid w:val="00923ED8"/>
    <w:rsid w:val="00924B58"/>
    <w:rsid w:val="00924CFE"/>
    <w:rsid w:val="00925D1F"/>
    <w:rsid w:val="00927D59"/>
    <w:rsid w:val="0093059D"/>
    <w:rsid w:val="00932F20"/>
    <w:rsid w:val="009330BF"/>
    <w:rsid w:val="00935F18"/>
    <w:rsid w:val="0094004A"/>
    <w:rsid w:val="00940490"/>
    <w:rsid w:val="00941AC2"/>
    <w:rsid w:val="009427A9"/>
    <w:rsid w:val="00943819"/>
    <w:rsid w:val="00943BA5"/>
    <w:rsid w:val="00944253"/>
    <w:rsid w:val="0094572F"/>
    <w:rsid w:val="00950E73"/>
    <w:rsid w:val="00952623"/>
    <w:rsid w:val="00952F56"/>
    <w:rsid w:val="009545DB"/>
    <w:rsid w:val="00954FE4"/>
    <w:rsid w:val="009553C2"/>
    <w:rsid w:val="00957E63"/>
    <w:rsid w:val="0096449C"/>
    <w:rsid w:val="00964815"/>
    <w:rsid w:val="0097631F"/>
    <w:rsid w:val="0097796D"/>
    <w:rsid w:val="00980E2E"/>
    <w:rsid w:val="00985A4E"/>
    <w:rsid w:val="00987438"/>
    <w:rsid w:val="0098766D"/>
    <w:rsid w:val="00991A59"/>
    <w:rsid w:val="00992723"/>
    <w:rsid w:val="009936DE"/>
    <w:rsid w:val="00996A60"/>
    <w:rsid w:val="009A60B1"/>
    <w:rsid w:val="009A6822"/>
    <w:rsid w:val="009A6EDD"/>
    <w:rsid w:val="009A79A6"/>
    <w:rsid w:val="009B0E26"/>
    <w:rsid w:val="009B1012"/>
    <w:rsid w:val="009B1485"/>
    <w:rsid w:val="009B1F9D"/>
    <w:rsid w:val="009C2B67"/>
    <w:rsid w:val="009C2EE2"/>
    <w:rsid w:val="009C38C7"/>
    <w:rsid w:val="009C4F05"/>
    <w:rsid w:val="009C7683"/>
    <w:rsid w:val="009C77D7"/>
    <w:rsid w:val="009D0AE0"/>
    <w:rsid w:val="009D188B"/>
    <w:rsid w:val="009D2B44"/>
    <w:rsid w:val="009D2D64"/>
    <w:rsid w:val="009D515C"/>
    <w:rsid w:val="009E2F78"/>
    <w:rsid w:val="009E3D14"/>
    <w:rsid w:val="009E47D2"/>
    <w:rsid w:val="009E640B"/>
    <w:rsid w:val="009E6E82"/>
    <w:rsid w:val="009E7BBE"/>
    <w:rsid w:val="009F6976"/>
    <w:rsid w:val="009F76B4"/>
    <w:rsid w:val="00A01090"/>
    <w:rsid w:val="00A0125E"/>
    <w:rsid w:val="00A02AE9"/>
    <w:rsid w:val="00A052B6"/>
    <w:rsid w:val="00A0758D"/>
    <w:rsid w:val="00A07B2E"/>
    <w:rsid w:val="00A1112E"/>
    <w:rsid w:val="00A116F4"/>
    <w:rsid w:val="00A1299F"/>
    <w:rsid w:val="00A12DBF"/>
    <w:rsid w:val="00A1372B"/>
    <w:rsid w:val="00A14A61"/>
    <w:rsid w:val="00A155B7"/>
    <w:rsid w:val="00A218AB"/>
    <w:rsid w:val="00A22141"/>
    <w:rsid w:val="00A22FE9"/>
    <w:rsid w:val="00A263AD"/>
    <w:rsid w:val="00A32F6A"/>
    <w:rsid w:val="00A33944"/>
    <w:rsid w:val="00A343DB"/>
    <w:rsid w:val="00A3658B"/>
    <w:rsid w:val="00A4242A"/>
    <w:rsid w:val="00A42AA5"/>
    <w:rsid w:val="00A45A63"/>
    <w:rsid w:val="00A46B34"/>
    <w:rsid w:val="00A46F03"/>
    <w:rsid w:val="00A5254A"/>
    <w:rsid w:val="00A5319D"/>
    <w:rsid w:val="00A5476F"/>
    <w:rsid w:val="00A5491F"/>
    <w:rsid w:val="00A564CC"/>
    <w:rsid w:val="00A573BD"/>
    <w:rsid w:val="00A62263"/>
    <w:rsid w:val="00A6275C"/>
    <w:rsid w:val="00A62F72"/>
    <w:rsid w:val="00A635C3"/>
    <w:rsid w:val="00A70942"/>
    <w:rsid w:val="00A70EBB"/>
    <w:rsid w:val="00A72E06"/>
    <w:rsid w:val="00A7393F"/>
    <w:rsid w:val="00A76526"/>
    <w:rsid w:val="00A7686A"/>
    <w:rsid w:val="00A80021"/>
    <w:rsid w:val="00A80F9B"/>
    <w:rsid w:val="00A81F38"/>
    <w:rsid w:val="00A820F5"/>
    <w:rsid w:val="00A82708"/>
    <w:rsid w:val="00A83691"/>
    <w:rsid w:val="00A838A7"/>
    <w:rsid w:val="00A872FD"/>
    <w:rsid w:val="00A878FF"/>
    <w:rsid w:val="00A902E9"/>
    <w:rsid w:val="00A91757"/>
    <w:rsid w:val="00A91974"/>
    <w:rsid w:val="00AA0825"/>
    <w:rsid w:val="00AA14DA"/>
    <w:rsid w:val="00AA15EB"/>
    <w:rsid w:val="00AA1EC9"/>
    <w:rsid w:val="00AA342F"/>
    <w:rsid w:val="00AA39C8"/>
    <w:rsid w:val="00AA40E9"/>
    <w:rsid w:val="00AA4414"/>
    <w:rsid w:val="00AA6840"/>
    <w:rsid w:val="00AA6E4C"/>
    <w:rsid w:val="00AB1B34"/>
    <w:rsid w:val="00AB3A3A"/>
    <w:rsid w:val="00AB746A"/>
    <w:rsid w:val="00AC0F82"/>
    <w:rsid w:val="00AC2C10"/>
    <w:rsid w:val="00AC6091"/>
    <w:rsid w:val="00AC75D6"/>
    <w:rsid w:val="00AD5274"/>
    <w:rsid w:val="00AD53DB"/>
    <w:rsid w:val="00AE17DC"/>
    <w:rsid w:val="00AE2BB7"/>
    <w:rsid w:val="00AE6E4E"/>
    <w:rsid w:val="00AE7C97"/>
    <w:rsid w:val="00AF0F2B"/>
    <w:rsid w:val="00AF27A1"/>
    <w:rsid w:val="00AF3914"/>
    <w:rsid w:val="00AF7CFE"/>
    <w:rsid w:val="00B03935"/>
    <w:rsid w:val="00B0790E"/>
    <w:rsid w:val="00B10079"/>
    <w:rsid w:val="00B103E5"/>
    <w:rsid w:val="00B129B9"/>
    <w:rsid w:val="00B143B5"/>
    <w:rsid w:val="00B143FB"/>
    <w:rsid w:val="00B16F46"/>
    <w:rsid w:val="00B2150D"/>
    <w:rsid w:val="00B23C93"/>
    <w:rsid w:val="00B23DC6"/>
    <w:rsid w:val="00B24FF7"/>
    <w:rsid w:val="00B263A6"/>
    <w:rsid w:val="00B31F1D"/>
    <w:rsid w:val="00B32537"/>
    <w:rsid w:val="00B32D4E"/>
    <w:rsid w:val="00B3460E"/>
    <w:rsid w:val="00B34CCD"/>
    <w:rsid w:val="00B35555"/>
    <w:rsid w:val="00B3797A"/>
    <w:rsid w:val="00B40B9F"/>
    <w:rsid w:val="00B40F41"/>
    <w:rsid w:val="00B41F49"/>
    <w:rsid w:val="00B42BEB"/>
    <w:rsid w:val="00B43CEA"/>
    <w:rsid w:val="00B4432C"/>
    <w:rsid w:val="00B47E96"/>
    <w:rsid w:val="00B5045E"/>
    <w:rsid w:val="00B50F29"/>
    <w:rsid w:val="00B525B4"/>
    <w:rsid w:val="00B5585D"/>
    <w:rsid w:val="00B564C6"/>
    <w:rsid w:val="00B573AE"/>
    <w:rsid w:val="00B6055A"/>
    <w:rsid w:val="00B60DA5"/>
    <w:rsid w:val="00B610DD"/>
    <w:rsid w:val="00B61506"/>
    <w:rsid w:val="00B6310E"/>
    <w:rsid w:val="00B65CAE"/>
    <w:rsid w:val="00B709D2"/>
    <w:rsid w:val="00B76610"/>
    <w:rsid w:val="00B76626"/>
    <w:rsid w:val="00B84539"/>
    <w:rsid w:val="00B90773"/>
    <w:rsid w:val="00B92964"/>
    <w:rsid w:val="00B9452F"/>
    <w:rsid w:val="00B94E73"/>
    <w:rsid w:val="00B95361"/>
    <w:rsid w:val="00B96750"/>
    <w:rsid w:val="00B96FD4"/>
    <w:rsid w:val="00BA2EC6"/>
    <w:rsid w:val="00BA2F6A"/>
    <w:rsid w:val="00BA40B7"/>
    <w:rsid w:val="00BA42B8"/>
    <w:rsid w:val="00BA46C4"/>
    <w:rsid w:val="00BB122F"/>
    <w:rsid w:val="00BB2419"/>
    <w:rsid w:val="00BB5C90"/>
    <w:rsid w:val="00BB7D11"/>
    <w:rsid w:val="00BC2546"/>
    <w:rsid w:val="00BC2DBE"/>
    <w:rsid w:val="00BC4219"/>
    <w:rsid w:val="00BC7C3D"/>
    <w:rsid w:val="00BD2EBD"/>
    <w:rsid w:val="00BD51C1"/>
    <w:rsid w:val="00BD677E"/>
    <w:rsid w:val="00BE0B85"/>
    <w:rsid w:val="00BE0CC6"/>
    <w:rsid w:val="00BE401D"/>
    <w:rsid w:val="00BE4A1E"/>
    <w:rsid w:val="00BE4B84"/>
    <w:rsid w:val="00BE571F"/>
    <w:rsid w:val="00BE5D5F"/>
    <w:rsid w:val="00BE5E14"/>
    <w:rsid w:val="00BF3B6F"/>
    <w:rsid w:val="00C06426"/>
    <w:rsid w:val="00C067D8"/>
    <w:rsid w:val="00C07F0D"/>
    <w:rsid w:val="00C100D7"/>
    <w:rsid w:val="00C12F88"/>
    <w:rsid w:val="00C1497D"/>
    <w:rsid w:val="00C21710"/>
    <w:rsid w:val="00C21B48"/>
    <w:rsid w:val="00C23497"/>
    <w:rsid w:val="00C24409"/>
    <w:rsid w:val="00C27613"/>
    <w:rsid w:val="00C32CEB"/>
    <w:rsid w:val="00C35220"/>
    <w:rsid w:val="00C355E8"/>
    <w:rsid w:val="00C42B8F"/>
    <w:rsid w:val="00C431C2"/>
    <w:rsid w:val="00C439AF"/>
    <w:rsid w:val="00C44577"/>
    <w:rsid w:val="00C45485"/>
    <w:rsid w:val="00C454A3"/>
    <w:rsid w:val="00C470DB"/>
    <w:rsid w:val="00C5123A"/>
    <w:rsid w:val="00C512F1"/>
    <w:rsid w:val="00C54C97"/>
    <w:rsid w:val="00C5512F"/>
    <w:rsid w:val="00C55CAA"/>
    <w:rsid w:val="00C60BB3"/>
    <w:rsid w:val="00C616C3"/>
    <w:rsid w:val="00C63F22"/>
    <w:rsid w:val="00C6440B"/>
    <w:rsid w:val="00C70EC6"/>
    <w:rsid w:val="00C722E1"/>
    <w:rsid w:val="00C7535A"/>
    <w:rsid w:val="00C76719"/>
    <w:rsid w:val="00C77D52"/>
    <w:rsid w:val="00C81947"/>
    <w:rsid w:val="00C86A1E"/>
    <w:rsid w:val="00C86A53"/>
    <w:rsid w:val="00C958CD"/>
    <w:rsid w:val="00C95D3B"/>
    <w:rsid w:val="00C979D0"/>
    <w:rsid w:val="00CA03DB"/>
    <w:rsid w:val="00CA1AAA"/>
    <w:rsid w:val="00CA3547"/>
    <w:rsid w:val="00CA413A"/>
    <w:rsid w:val="00CA78AE"/>
    <w:rsid w:val="00CB19A4"/>
    <w:rsid w:val="00CB3D1D"/>
    <w:rsid w:val="00CB57C6"/>
    <w:rsid w:val="00CB5DD2"/>
    <w:rsid w:val="00CC0042"/>
    <w:rsid w:val="00CC0B9E"/>
    <w:rsid w:val="00CC4A5C"/>
    <w:rsid w:val="00CC4E9D"/>
    <w:rsid w:val="00CC5470"/>
    <w:rsid w:val="00CD0D40"/>
    <w:rsid w:val="00CE0864"/>
    <w:rsid w:val="00CE24EC"/>
    <w:rsid w:val="00CE31FE"/>
    <w:rsid w:val="00CE4B0C"/>
    <w:rsid w:val="00CE4B8F"/>
    <w:rsid w:val="00CE5906"/>
    <w:rsid w:val="00CE611F"/>
    <w:rsid w:val="00CF04CD"/>
    <w:rsid w:val="00CF0B3D"/>
    <w:rsid w:val="00CF1F1C"/>
    <w:rsid w:val="00CF20BF"/>
    <w:rsid w:val="00CF61CD"/>
    <w:rsid w:val="00CF62AF"/>
    <w:rsid w:val="00CF6A5D"/>
    <w:rsid w:val="00D0010D"/>
    <w:rsid w:val="00D0027B"/>
    <w:rsid w:val="00D01D2A"/>
    <w:rsid w:val="00D107AC"/>
    <w:rsid w:val="00D11589"/>
    <w:rsid w:val="00D12911"/>
    <w:rsid w:val="00D13005"/>
    <w:rsid w:val="00D14B37"/>
    <w:rsid w:val="00D16848"/>
    <w:rsid w:val="00D2081D"/>
    <w:rsid w:val="00D208C0"/>
    <w:rsid w:val="00D24116"/>
    <w:rsid w:val="00D24991"/>
    <w:rsid w:val="00D24E63"/>
    <w:rsid w:val="00D266C3"/>
    <w:rsid w:val="00D27282"/>
    <w:rsid w:val="00D316FB"/>
    <w:rsid w:val="00D31FEC"/>
    <w:rsid w:val="00D32B53"/>
    <w:rsid w:val="00D33A2B"/>
    <w:rsid w:val="00D34AB5"/>
    <w:rsid w:val="00D37567"/>
    <w:rsid w:val="00D41ABA"/>
    <w:rsid w:val="00D437F7"/>
    <w:rsid w:val="00D46ED6"/>
    <w:rsid w:val="00D50C0B"/>
    <w:rsid w:val="00D52672"/>
    <w:rsid w:val="00D52A33"/>
    <w:rsid w:val="00D52DF7"/>
    <w:rsid w:val="00D550F2"/>
    <w:rsid w:val="00D55268"/>
    <w:rsid w:val="00D60CB0"/>
    <w:rsid w:val="00D612AE"/>
    <w:rsid w:val="00D612F2"/>
    <w:rsid w:val="00D61E09"/>
    <w:rsid w:val="00D70437"/>
    <w:rsid w:val="00D72DD3"/>
    <w:rsid w:val="00D7310E"/>
    <w:rsid w:val="00D754DF"/>
    <w:rsid w:val="00D773D6"/>
    <w:rsid w:val="00D77589"/>
    <w:rsid w:val="00D805C4"/>
    <w:rsid w:val="00D84C2E"/>
    <w:rsid w:val="00D853C9"/>
    <w:rsid w:val="00D858D7"/>
    <w:rsid w:val="00D871DD"/>
    <w:rsid w:val="00D87CF3"/>
    <w:rsid w:val="00D9117E"/>
    <w:rsid w:val="00D917F5"/>
    <w:rsid w:val="00D93336"/>
    <w:rsid w:val="00D978C9"/>
    <w:rsid w:val="00DA0E12"/>
    <w:rsid w:val="00DA17D8"/>
    <w:rsid w:val="00DA2EFD"/>
    <w:rsid w:val="00DA39EF"/>
    <w:rsid w:val="00DB2A84"/>
    <w:rsid w:val="00DB587B"/>
    <w:rsid w:val="00DC01FA"/>
    <w:rsid w:val="00DC3BF9"/>
    <w:rsid w:val="00DC5411"/>
    <w:rsid w:val="00DC6413"/>
    <w:rsid w:val="00DC645B"/>
    <w:rsid w:val="00DC7276"/>
    <w:rsid w:val="00DC772C"/>
    <w:rsid w:val="00DD405F"/>
    <w:rsid w:val="00DD430B"/>
    <w:rsid w:val="00DD4528"/>
    <w:rsid w:val="00DD504F"/>
    <w:rsid w:val="00DD536F"/>
    <w:rsid w:val="00DD6444"/>
    <w:rsid w:val="00DE0388"/>
    <w:rsid w:val="00DE108E"/>
    <w:rsid w:val="00DE1972"/>
    <w:rsid w:val="00DE1F4B"/>
    <w:rsid w:val="00DE45E7"/>
    <w:rsid w:val="00DE584C"/>
    <w:rsid w:val="00DE615F"/>
    <w:rsid w:val="00DF01A4"/>
    <w:rsid w:val="00DF0212"/>
    <w:rsid w:val="00DF0D97"/>
    <w:rsid w:val="00DF1845"/>
    <w:rsid w:val="00DF262B"/>
    <w:rsid w:val="00DF2E2D"/>
    <w:rsid w:val="00DF4099"/>
    <w:rsid w:val="00DF4519"/>
    <w:rsid w:val="00E019FF"/>
    <w:rsid w:val="00E02416"/>
    <w:rsid w:val="00E029AA"/>
    <w:rsid w:val="00E04FC7"/>
    <w:rsid w:val="00E0650D"/>
    <w:rsid w:val="00E072F3"/>
    <w:rsid w:val="00E10E0C"/>
    <w:rsid w:val="00E1515E"/>
    <w:rsid w:val="00E1665B"/>
    <w:rsid w:val="00E171EC"/>
    <w:rsid w:val="00E21E1C"/>
    <w:rsid w:val="00E21EAA"/>
    <w:rsid w:val="00E22260"/>
    <w:rsid w:val="00E227E1"/>
    <w:rsid w:val="00E2323F"/>
    <w:rsid w:val="00E233A2"/>
    <w:rsid w:val="00E2390C"/>
    <w:rsid w:val="00E242FF"/>
    <w:rsid w:val="00E25076"/>
    <w:rsid w:val="00E25699"/>
    <w:rsid w:val="00E26F2A"/>
    <w:rsid w:val="00E27AB4"/>
    <w:rsid w:val="00E32F75"/>
    <w:rsid w:val="00E43AC5"/>
    <w:rsid w:val="00E4652A"/>
    <w:rsid w:val="00E478A2"/>
    <w:rsid w:val="00E52356"/>
    <w:rsid w:val="00E52D7A"/>
    <w:rsid w:val="00E53559"/>
    <w:rsid w:val="00E5552F"/>
    <w:rsid w:val="00E56DEC"/>
    <w:rsid w:val="00E573B4"/>
    <w:rsid w:val="00E579AE"/>
    <w:rsid w:val="00E62CF7"/>
    <w:rsid w:val="00E6365A"/>
    <w:rsid w:val="00E64EFC"/>
    <w:rsid w:val="00E64F66"/>
    <w:rsid w:val="00E6588F"/>
    <w:rsid w:val="00E65D89"/>
    <w:rsid w:val="00E662DE"/>
    <w:rsid w:val="00E665B0"/>
    <w:rsid w:val="00E667DA"/>
    <w:rsid w:val="00E75CDC"/>
    <w:rsid w:val="00E81C9B"/>
    <w:rsid w:val="00E85436"/>
    <w:rsid w:val="00E8667E"/>
    <w:rsid w:val="00E91954"/>
    <w:rsid w:val="00E920B4"/>
    <w:rsid w:val="00E952FC"/>
    <w:rsid w:val="00E955BA"/>
    <w:rsid w:val="00E96465"/>
    <w:rsid w:val="00EA06B0"/>
    <w:rsid w:val="00EA0768"/>
    <w:rsid w:val="00EA10F2"/>
    <w:rsid w:val="00EA36ED"/>
    <w:rsid w:val="00EA3CE8"/>
    <w:rsid w:val="00EA3E91"/>
    <w:rsid w:val="00EA5B0B"/>
    <w:rsid w:val="00EA5EF2"/>
    <w:rsid w:val="00EA64FA"/>
    <w:rsid w:val="00EA7430"/>
    <w:rsid w:val="00EB0481"/>
    <w:rsid w:val="00EB57C2"/>
    <w:rsid w:val="00EB5FF8"/>
    <w:rsid w:val="00EC042D"/>
    <w:rsid w:val="00EC5560"/>
    <w:rsid w:val="00EC5882"/>
    <w:rsid w:val="00EC68A2"/>
    <w:rsid w:val="00EC7DEF"/>
    <w:rsid w:val="00ED284C"/>
    <w:rsid w:val="00ED33CC"/>
    <w:rsid w:val="00ED57C9"/>
    <w:rsid w:val="00ED6661"/>
    <w:rsid w:val="00EE1469"/>
    <w:rsid w:val="00EE24D9"/>
    <w:rsid w:val="00EE385D"/>
    <w:rsid w:val="00EE4E65"/>
    <w:rsid w:val="00EE6757"/>
    <w:rsid w:val="00EE69ED"/>
    <w:rsid w:val="00EE7D3E"/>
    <w:rsid w:val="00EF1712"/>
    <w:rsid w:val="00EF65D2"/>
    <w:rsid w:val="00EF72C5"/>
    <w:rsid w:val="00F00367"/>
    <w:rsid w:val="00F01B2E"/>
    <w:rsid w:val="00F03701"/>
    <w:rsid w:val="00F0544D"/>
    <w:rsid w:val="00F05A93"/>
    <w:rsid w:val="00F075D7"/>
    <w:rsid w:val="00F123A3"/>
    <w:rsid w:val="00F130C3"/>
    <w:rsid w:val="00F16727"/>
    <w:rsid w:val="00F1676A"/>
    <w:rsid w:val="00F2004D"/>
    <w:rsid w:val="00F222AD"/>
    <w:rsid w:val="00F25345"/>
    <w:rsid w:val="00F2586D"/>
    <w:rsid w:val="00F25AF8"/>
    <w:rsid w:val="00F25B36"/>
    <w:rsid w:val="00F27F92"/>
    <w:rsid w:val="00F30439"/>
    <w:rsid w:val="00F32250"/>
    <w:rsid w:val="00F362F4"/>
    <w:rsid w:val="00F3693B"/>
    <w:rsid w:val="00F41474"/>
    <w:rsid w:val="00F421DD"/>
    <w:rsid w:val="00F42491"/>
    <w:rsid w:val="00F42B2C"/>
    <w:rsid w:val="00F46A2D"/>
    <w:rsid w:val="00F46E20"/>
    <w:rsid w:val="00F51422"/>
    <w:rsid w:val="00F5179A"/>
    <w:rsid w:val="00F547D3"/>
    <w:rsid w:val="00F5773B"/>
    <w:rsid w:val="00F61C24"/>
    <w:rsid w:val="00F635CB"/>
    <w:rsid w:val="00F641B7"/>
    <w:rsid w:val="00F641F1"/>
    <w:rsid w:val="00F670FF"/>
    <w:rsid w:val="00F673E2"/>
    <w:rsid w:val="00F679A6"/>
    <w:rsid w:val="00F67D86"/>
    <w:rsid w:val="00F71E25"/>
    <w:rsid w:val="00F7229F"/>
    <w:rsid w:val="00F73A28"/>
    <w:rsid w:val="00F73B87"/>
    <w:rsid w:val="00F74BFC"/>
    <w:rsid w:val="00F76970"/>
    <w:rsid w:val="00F801B1"/>
    <w:rsid w:val="00F80460"/>
    <w:rsid w:val="00F827A1"/>
    <w:rsid w:val="00F8329E"/>
    <w:rsid w:val="00F83438"/>
    <w:rsid w:val="00F84EBE"/>
    <w:rsid w:val="00F86603"/>
    <w:rsid w:val="00F8699C"/>
    <w:rsid w:val="00F87E7B"/>
    <w:rsid w:val="00F95297"/>
    <w:rsid w:val="00F965FB"/>
    <w:rsid w:val="00F966CC"/>
    <w:rsid w:val="00F96BA3"/>
    <w:rsid w:val="00F9707C"/>
    <w:rsid w:val="00FA18BB"/>
    <w:rsid w:val="00FA2997"/>
    <w:rsid w:val="00FA31A2"/>
    <w:rsid w:val="00FA6DB2"/>
    <w:rsid w:val="00FB1D61"/>
    <w:rsid w:val="00FB374D"/>
    <w:rsid w:val="00FB3CB0"/>
    <w:rsid w:val="00FB4C4C"/>
    <w:rsid w:val="00FB5131"/>
    <w:rsid w:val="00FB66F7"/>
    <w:rsid w:val="00FB7681"/>
    <w:rsid w:val="00FC0EEF"/>
    <w:rsid w:val="00FC11DD"/>
    <w:rsid w:val="00FC1E3A"/>
    <w:rsid w:val="00FC6BBA"/>
    <w:rsid w:val="00FD1CAB"/>
    <w:rsid w:val="00FD2DE5"/>
    <w:rsid w:val="00FD4E28"/>
    <w:rsid w:val="00FD56A2"/>
    <w:rsid w:val="00FD76E5"/>
    <w:rsid w:val="00FF081D"/>
    <w:rsid w:val="00FF4178"/>
    <w:rsid w:val="00FF7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ﾍ｣ﾓ ﾃｯ"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C1"/>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0505C0"/>
    <w:pPr>
      <w:tabs>
        <w:tab w:val="center" w:pos="4252"/>
        <w:tab w:val="right" w:pos="8504"/>
      </w:tabs>
      <w:snapToGrid w:val="0"/>
    </w:pPr>
  </w:style>
  <w:style w:type="character" w:customStyle="1" w:styleId="Char">
    <w:name w:val="页眉 Char"/>
    <w:basedOn w:val="a0"/>
    <w:link w:val="a3"/>
    <w:uiPriority w:val="99"/>
    <w:locked/>
    <w:rsid w:val="000505C0"/>
    <w:rPr>
      <w:rFonts w:cs="Times New Roman"/>
    </w:rPr>
  </w:style>
  <w:style w:type="paragraph" w:styleId="a4">
    <w:name w:val="footer"/>
    <w:basedOn w:val="a"/>
    <w:link w:val="Char0"/>
    <w:uiPriority w:val="99"/>
    <w:rsid w:val="000505C0"/>
    <w:pPr>
      <w:tabs>
        <w:tab w:val="center" w:pos="4252"/>
        <w:tab w:val="right" w:pos="8504"/>
      </w:tabs>
      <w:snapToGrid w:val="0"/>
    </w:pPr>
  </w:style>
  <w:style w:type="character" w:customStyle="1" w:styleId="Char0">
    <w:name w:val="页脚 Char"/>
    <w:basedOn w:val="a0"/>
    <w:link w:val="a4"/>
    <w:uiPriority w:val="99"/>
    <w:locked/>
    <w:rsid w:val="000505C0"/>
    <w:rPr>
      <w:rFonts w:cs="Times New Roman"/>
    </w:rPr>
  </w:style>
  <w:style w:type="character" w:styleId="a5">
    <w:name w:val="Hyperlink"/>
    <w:basedOn w:val="a0"/>
    <w:uiPriority w:val="99"/>
    <w:rsid w:val="000505C0"/>
    <w:rPr>
      <w:rFonts w:cs="Times New Roman"/>
      <w:color w:val="0000FF"/>
      <w:u w:val="single"/>
    </w:rPr>
  </w:style>
  <w:style w:type="paragraph" w:styleId="a6">
    <w:name w:val="List Paragraph"/>
    <w:basedOn w:val="a"/>
    <w:uiPriority w:val="99"/>
    <w:qFormat/>
    <w:rsid w:val="00283880"/>
    <w:pPr>
      <w:ind w:leftChars="400" w:left="840"/>
    </w:pPr>
  </w:style>
  <w:style w:type="character" w:styleId="a7">
    <w:name w:val="FollowedHyperlink"/>
    <w:basedOn w:val="a0"/>
    <w:uiPriority w:val="99"/>
    <w:semiHidden/>
    <w:rsid w:val="00FB5131"/>
    <w:rPr>
      <w:rFonts w:cs="Times New Roman"/>
      <w:color w:val="800080"/>
      <w:u w:val="single"/>
    </w:rPr>
  </w:style>
  <w:style w:type="character" w:styleId="a8">
    <w:name w:val="annotation reference"/>
    <w:basedOn w:val="a0"/>
    <w:uiPriority w:val="99"/>
    <w:semiHidden/>
    <w:rsid w:val="005C6E3D"/>
    <w:rPr>
      <w:rFonts w:cs="Times New Roman"/>
      <w:sz w:val="18"/>
      <w:szCs w:val="18"/>
    </w:rPr>
  </w:style>
  <w:style w:type="paragraph" w:styleId="a9">
    <w:name w:val="annotation text"/>
    <w:basedOn w:val="a"/>
    <w:link w:val="Char1"/>
    <w:uiPriority w:val="99"/>
    <w:semiHidden/>
    <w:rsid w:val="005C6E3D"/>
    <w:pPr>
      <w:jc w:val="left"/>
    </w:pPr>
  </w:style>
  <w:style w:type="character" w:customStyle="1" w:styleId="Char1">
    <w:name w:val="批注文字 Char"/>
    <w:basedOn w:val="a0"/>
    <w:link w:val="a9"/>
    <w:uiPriority w:val="99"/>
    <w:semiHidden/>
    <w:locked/>
    <w:rsid w:val="005C6E3D"/>
    <w:rPr>
      <w:rFonts w:cs="Times New Roman"/>
    </w:rPr>
  </w:style>
  <w:style w:type="paragraph" w:styleId="aa">
    <w:name w:val="annotation subject"/>
    <w:basedOn w:val="a9"/>
    <w:next w:val="a9"/>
    <w:link w:val="Char2"/>
    <w:uiPriority w:val="99"/>
    <w:semiHidden/>
    <w:rsid w:val="005C6E3D"/>
    <w:rPr>
      <w:b/>
      <w:bCs/>
    </w:rPr>
  </w:style>
  <w:style w:type="character" w:customStyle="1" w:styleId="Char2">
    <w:name w:val="批注主题 Char"/>
    <w:basedOn w:val="Char1"/>
    <w:link w:val="aa"/>
    <w:uiPriority w:val="99"/>
    <w:semiHidden/>
    <w:locked/>
    <w:rsid w:val="005C6E3D"/>
    <w:rPr>
      <w:rFonts w:cs="Times New Roman"/>
      <w:b/>
      <w:bCs/>
    </w:rPr>
  </w:style>
  <w:style w:type="paragraph" w:styleId="ab">
    <w:name w:val="Balloon Text"/>
    <w:basedOn w:val="a"/>
    <w:link w:val="Char3"/>
    <w:uiPriority w:val="99"/>
    <w:semiHidden/>
    <w:rsid w:val="005C6E3D"/>
    <w:rPr>
      <w:rFonts w:ascii="Arial" w:eastAsia="｣ﾍ｣ﾓ ･ｴ･ｷ･ﾃ･ｯ" w:hAnsi="Arial"/>
      <w:sz w:val="18"/>
      <w:szCs w:val="18"/>
    </w:rPr>
  </w:style>
  <w:style w:type="character" w:customStyle="1" w:styleId="Char3">
    <w:name w:val="批注框文本 Char"/>
    <w:basedOn w:val="a0"/>
    <w:link w:val="ab"/>
    <w:uiPriority w:val="99"/>
    <w:semiHidden/>
    <w:locked/>
    <w:rsid w:val="005C6E3D"/>
    <w:rPr>
      <w:rFonts w:ascii="Arial" w:eastAsia="｣ﾍ｣ﾓ ･ｴ･ｷ･ﾃ･ｯ" w:hAnsi="Arial" w:cs="Times New Roman"/>
      <w:sz w:val="18"/>
      <w:szCs w:val="18"/>
    </w:rPr>
  </w:style>
  <w:style w:type="paragraph" w:styleId="ac">
    <w:name w:val="Revision"/>
    <w:hidden/>
    <w:uiPriority w:val="99"/>
    <w:semiHidden/>
    <w:rsid w:val="00887213"/>
    <w:rPr>
      <w:lang w:eastAsia="ja-JP"/>
    </w:rPr>
  </w:style>
  <w:style w:type="character" w:styleId="ad">
    <w:name w:val="Strong"/>
    <w:basedOn w:val="a0"/>
    <w:uiPriority w:val="99"/>
    <w:qFormat/>
    <w:rsid w:val="005C1A5A"/>
    <w:rPr>
      <w:rFonts w:cs="Times New Roman"/>
      <w:b/>
      <w:bCs/>
    </w:rPr>
  </w:style>
  <w:style w:type="character" w:customStyle="1" w:styleId="apple-converted-space">
    <w:name w:val="apple-converted-space"/>
    <w:basedOn w:val="a0"/>
    <w:uiPriority w:val="99"/>
    <w:rsid w:val="005C1A5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ﾍ｣ﾓ ﾃｯ"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C1"/>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0505C0"/>
    <w:pPr>
      <w:tabs>
        <w:tab w:val="center" w:pos="4252"/>
        <w:tab w:val="right" w:pos="8504"/>
      </w:tabs>
      <w:snapToGrid w:val="0"/>
    </w:pPr>
  </w:style>
  <w:style w:type="character" w:customStyle="1" w:styleId="Char">
    <w:name w:val="页眉 Char"/>
    <w:basedOn w:val="a0"/>
    <w:link w:val="a3"/>
    <w:uiPriority w:val="99"/>
    <w:locked/>
    <w:rsid w:val="000505C0"/>
    <w:rPr>
      <w:rFonts w:cs="Times New Roman"/>
    </w:rPr>
  </w:style>
  <w:style w:type="paragraph" w:styleId="a4">
    <w:name w:val="footer"/>
    <w:basedOn w:val="a"/>
    <w:link w:val="Char0"/>
    <w:uiPriority w:val="99"/>
    <w:rsid w:val="000505C0"/>
    <w:pPr>
      <w:tabs>
        <w:tab w:val="center" w:pos="4252"/>
        <w:tab w:val="right" w:pos="8504"/>
      </w:tabs>
      <w:snapToGrid w:val="0"/>
    </w:pPr>
  </w:style>
  <w:style w:type="character" w:customStyle="1" w:styleId="Char0">
    <w:name w:val="页脚 Char"/>
    <w:basedOn w:val="a0"/>
    <w:link w:val="a4"/>
    <w:uiPriority w:val="99"/>
    <w:locked/>
    <w:rsid w:val="000505C0"/>
    <w:rPr>
      <w:rFonts w:cs="Times New Roman"/>
    </w:rPr>
  </w:style>
  <w:style w:type="character" w:styleId="a5">
    <w:name w:val="Hyperlink"/>
    <w:basedOn w:val="a0"/>
    <w:uiPriority w:val="99"/>
    <w:rsid w:val="000505C0"/>
    <w:rPr>
      <w:rFonts w:cs="Times New Roman"/>
      <w:color w:val="0000FF"/>
      <w:u w:val="single"/>
    </w:rPr>
  </w:style>
  <w:style w:type="paragraph" w:styleId="a6">
    <w:name w:val="List Paragraph"/>
    <w:basedOn w:val="a"/>
    <w:uiPriority w:val="99"/>
    <w:qFormat/>
    <w:rsid w:val="00283880"/>
    <w:pPr>
      <w:ind w:leftChars="400" w:left="840"/>
    </w:pPr>
  </w:style>
  <w:style w:type="character" w:styleId="a7">
    <w:name w:val="FollowedHyperlink"/>
    <w:basedOn w:val="a0"/>
    <w:uiPriority w:val="99"/>
    <w:semiHidden/>
    <w:rsid w:val="00FB5131"/>
    <w:rPr>
      <w:rFonts w:cs="Times New Roman"/>
      <w:color w:val="800080"/>
      <w:u w:val="single"/>
    </w:rPr>
  </w:style>
  <w:style w:type="character" w:styleId="a8">
    <w:name w:val="annotation reference"/>
    <w:basedOn w:val="a0"/>
    <w:uiPriority w:val="99"/>
    <w:semiHidden/>
    <w:rsid w:val="005C6E3D"/>
    <w:rPr>
      <w:rFonts w:cs="Times New Roman"/>
      <w:sz w:val="18"/>
      <w:szCs w:val="18"/>
    </w:rPr>
  </w:style>
  <w:style w:type="paragraph" w:styleId="a9">
    <w:name w:val="annotation text"/>
    <w:basedOn w:val="a"/>
    <w:link w:val="Char1"/>
    <w:uiPriority w:val="99"/>
    <w:semiHidden/>
    <w:rsid w:val="005C6E3D"/>
    <w:pPr>
      <w:jc w:val="left"/>
    </w:pPr>
  </w:style>
  <w:style w:type="character" w:customStyle="1" w:styleId="Char1">
    <w:name w:val="批注文字 Char"/>
    <w:basedOn w:val="a0"/>
    <w:link w:val="a9"/>
    <w:uiPriority w:val="99"/>
    <w:semiHidden/>
    <w:locked/>
    <w:rsid w:val="005C6E3D"/>
    <w:rPr>
      <w:rFonts w:cs="Times New Roman"/>
    </w:rPr>
  </w:style>
  <w:style w:type="paragraph" w:styleId="aa">
    <w:name w:val="annotation subject"/>
    <w:basedOn w:val="a9"/>
    <w:next w:val="a9"/>
    <w:link w:val="Char2"/>
    <w:uiPriority w:val="99"/>
    <w:semiHidden/>
    <w:rsid w:val="005C6E3D"/>
    <w:rPr>
      <w:b/>
      <w:bCs/>
    </w:rPr>
  </w:style>
  <w:style w:type="character" w:customStyle="1" w:styleId="Char2">
    <w:name w:val="批注主题 Char"/>
    <w:basedOn w:val="Char1"/>
    <w:link w:val="aa"/>
    <w:uiPriority w:val="99"/>
    <w:semiHidden/>
    <w:locked/>
    <w:rsid w:val="005C6E3D"/>
    <w:rPr>
      <w:rFonts w:cs="Times New Roman"/>
      <w:b/>
      <w:bCs/>
    </w:rPr>
  </w:style>
  <w:style w:type="paragraph" w:styleId="ab">
    <w:name w:val="Balloon Text"/>
    <w:basedOn w:val="a"/>
    <w:link w:val="Char3"/>
    <w:uiPriority w:val="99"/>
    <w:semiHidden/>
    <w:rsid w:val="005C6E3D"/>
    <w:rPr>
      <w:rFonts w:ascii="Arial" w:eastAsia="｣ﾍ｣ﾓ ･ｴ･ｷ･ﾃ･ｯ" w:hAnsi="Arial"/>
      <w:sz w:val="18"/>
      <w:szCs w:val="18"/>
    </w:rPr>
  </w:style>
  <w:style w:type="character" w:customStyle="1" w:styleId="Char3">
    <w:name w:val="批注框文本 Char"/>
    <w:basedOn w:val="a0"/>
    <w:link w:val="ab"/>
    <w:uiPriority w:val="99"/>
    <w:semiHidden/>
    <w:locked/>
    <w:rsid w:val="005C6E3D"/>
    <w:rPr>
      <w:rFonts w:ascii="Arial" w:eastAsia="｣ﾍ｣ﾓ ･ｴ･ｷ･ﾃ･ｯ" w:hAnsi="Arial" w:cs="Times New Roman"/>
      <w:sz w:val="18"/>
      <w:szCs w:val="18"/>
    </w:rPr>
  </w:style>
  <w:style w:type="paragraph" w:styleId="ac">
    <w:name w:val="Revision"/>
    <w:hidden/>
    <w:uiPriority w:val="99"/>
    <w:semiHidden/>
    <w:rsid w:val="00887213"/>
    <w:rPr>
      <w:lang w:eastAsia="ja-JP"/>
    </w:rPr>
  </w:style>
  <w:style w:type="character" w:styleId="ad">
    <w:name w:val="Strong"/>
    <w:basedOn w:val="a0"/>
    <w:uiPriority w:val="99"/>
    <w:qFormat/>
    <w:rsid w:val="005C1A5A"/>
    <w:rPr>
      <w:rFonts w:cs="Times New Roman"/>
      <w:b/>
      <w:bCs/>
    </w:rPr>
  </w:style>
  <w:style w:type="character" w:customStyle="1" w:styleId="apple-converted-space">
    <w:name w:val="apple-converted-space"/>
    <w:basedOn w:val="a0"/>
    <w:uiPriority w:val="99"/>
    <w:rsid w:val="005C1A5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503899">
      <w:marLeft w:val="0"/>
      <w:marRight w:val="0"/>
      <w:marTop w:val="0"/>
      <w:marBottom w:val="0"/>
      <w:divBdr>
        <w:top w:val="none" w:sz="0" w:space="0" w:color="auto"/>
        <w:left w:val="none" w:sz="0" w:space="0" w:color="auto"/>
        <w:bottom w:val="none" w:sz="0" w:space="0" w:color="auto"/>
        <w:right w:val="none" w:sz="0" w:space="0" w:color="auto"/>
      </w:divBdr>
      <w:divsChild>
        <w:div w:id="1772503933">
          <w:marLeft w:val="0"/>
          <w:marRight w:val="1"/>
          <w:marTop w:val="0"/>
          <w:marBottom w:val="0"/>
          <w:divBdr>
            <w:top w:val="none" w:sz="0" w:space="0" w:color="auto"/>
            <w:left w:val="none" w:sz="0" w:space="0" w:color="auto"/>
            <w:bottom w:val="none" w:sz="0" w:space="0" w:color="auto"/>
            <w:right w:val="none" w:sz="0" w:space="0" w:color="auto"/>
          </w:divBdr>
          <w:divsChild>
            <w:div w:id="1772503903">
              <w:marLeft w:val="0"/>
              <w:marRight w:val="0"/>
              <w:marTop w:val="0"/>
              <w:marBottom w:val="0"/>
              <w:divBdr>
                <w:top w:val="none" w:sz="0" w:space="0" w:color="auto"/>
                <w:left w:val="none" w:sz="0" w:space="0" w:color="auto"/>
                <w:bottom w:val="none" w:sz="0" w:space="0" w:color="auto"/>
                <w:right w:val="none" w:sz="0" w:space="0" w:color="auto"/>
              </w:divBdr>
              <w:divsChild>
                <w:div w:id="1772503931">
                  <w:marLeft w:val="0"/>
                  <w:marRight w:val="1"/>
                  <w:marTop w:val="0"/>
                  <w:marBottom w:val="0"/>
                  <w:divBdr>
                    <w:top w:val="none" w:sz="0" w:space="0" w:color="auto"/>
                    <w:left w:val="none" w:sz="0" w:space="0" w:color="auto"/>
                    <w:bottom w:val="none" w:sz="0" w:space="0" w:color="auto"/>
                    <w:right w:val="none" w:sz="0" w:space="0" w:color="auto"/>
                  </w:divBdr>
                  <w:divsChild>
                    <w:div w:id="1772503927">
                      <w:marLeft w:val="0"/>
                      <w:marRight w:val="0"/>
                      <w:marTop w:val="0"/>
                      <w:marBottom w:val="0"/>
                      <w:divBdr>
                        <w:top w:val="none" w:sz="0" w:space="0" w:color="auto"/>
                        <w:left w:val="none" w:sz="0" w:space="0" w:color="auto"/>
                        <w:bottom w:val="none" w:sz="0" w:space="0" w:color="auto"/>
                        <w:right w:val="none" w:sz="0" w:space="0" w:color="auto"/>
                      </w:divBdr>
                      <w:divsChild>
                        <w:div w:id="1772503897">
                          <w:marLeft w:val="0"/>
                          <w:marRight w:val="0"/>
                          <w:marTop w:val="0"/>
                          <w:marBottom w:val="0"/>
                          <w:divBdr>
                            <w:top w:val="none" w:sz="0" w:space="0" w:color="auto"/>
                            <w:left w:val="none" w:sz="0" w:space="0" w:color="auto"/>
                            <w:bottom w:val="none" w:sz="0" w:space="0" w:color="auto"/>
                            <w:right w:val="none" w:sz="0" w:space="0" w:color="auto"/>
                          </w:divBdr>
                          <w:divsChild>
                            <w:div w:id="1772503934">
                              <w:marLeft w:val="0"/>
                              <w:marRight w:val="0"/>
                              <w:marTop w:val="120"/>
                              <w:marBottom w:val="360"/>
                              <w:divBdr>
                                <w:top w:val="none" w:sz="0" w:space="0" w:color="auto"/>
                                <w:left w:val="none" w:sz="0" w:space="0" w:color="auto"/>
                                <w:bottom w:val="none" w:sz="0" w:space="0" w:color="auto"/>
                                <w:right w:val="none" w:sz="0" w:space="0" w:color="auto"/>
                              </w:divBdr>
                              <w:divsChild>
                                <w:div w:id="1772503920">
                                  <w:marLeft w:val="0"/>
                                  <w:marRight w:val="0"/>
                                  <w:marTop w:val="0"/>
                                  <w:marBottom w:val="0"/>
                                  <w:divBdr>
                                    <w:top w:val="none" w:sz="0" w:space="0" w:color="auto"/>
                                    <w:left w:val="none" w:sz="0" w:space="0" w:color="auto"/>
                                    <w:bottom w:val="none" w:sz="0" w:space="0" w:color="auto"/>
                                    <w:right w:val="none" w:sz="0" w:space="0" w:color="auto"/>
                                  </w:divBdr>
                                  <w:divsChild>
                                    <w:div w:id="17725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503910">
      <w:marLeft w:val="0"/>
      <w:marRight w:val="0"/>
      <w:marTop w:val="0"/>
      <w:marBottom w:val="0"/>
      <w:divBdr>
        <w:top w:val="none" w:sz="0" w:space="0" w:color="auto"/>
        <w:left w:val="none" w:sz="0" w:space="0" w:color="auto"/>
        <w:bottom w:val="none" w:sz="0" w:space="0" w:color="auto"/>
        <w:right w:val="none" w:sz="0" w:space="0" w:color="auto"/>
      </w:divBdr>
    </w:div>
    <w:div w:id="1772503913">
      <w:marLeft w:val="0"/>
      <w:marRight w:val="0"/>
      <w:marTop w:val="0"/>
      <w:marBottom w:val="0"/>
      <w:divBdr>
        <w:top w:val="none" w:sz="0" w:space="0" w:color="auto"/>
        <w:left w:val="none" w:sz="0" w:space="0" w:color="auto"/>
        <w:bottom w:val="none" w:sz="0" w:space="0" w:color="auto"/>
        <w:right w:val="none" w:sz="0" w:space="0" w:color="auto"/>
      </w:divBdr>
      <w:divsChild>
        <w:div w:id="1772503919">
          <w:marLeft w:val="0"/>
          <w:marRight w:val="1"/>
          <w:marTop w:val="0"/>
          <w:marBottom w:val="0"/>
          <w:divBdr>
            <w:top w:val="none" w:sz="0" w:space="0" w:color="auto"/>
            <w:left w:val="none" w:sz="0" w:space="0" w:color="auto"/>
            <w:bottom w:val="none" w:sz="0" w:space="0" w:color="auto"/>
            <w:right w:val="none" w:sz="0" w:space="0" w:color="auto"/>
          </w:divBdr>
          <w:divsChild>
            <w:div w:id="1772503901">
              <w:marLeft w:val="0"/>
              <w:marRight w:val="0"/>
              <w:marTop w:val="0"/>
              <w:marBottom w:val="0"/>
              <w:divBdr>
                <w:top w:val="none" w:sz="0" w:space="0" w:color="auto"/>
                <w:left w:val="none" w:sz="0" w:space="0" w:color="auto"/>
                <w:bottom w:val="none" w:sz="0" w:space="0" w:color="auto"/>
                <w:right w:val="none" w:sz="0" w:space="0" w:color="auto"/>
              </w:divBdr>
              <w:divsChild>
                <w:div w:id="1772503928">
                  <w:marLeft w:val="0"/>
                  <w:marRight w:val="1"/>
                  <w:marTop w:val="0"/>
                  <w:marBottom w:val="0"/>
                  <w:divBdr>
                    <w:top w:val="none" w:sz="0" w:space="0" w:color="auto"/>
                    <w:left w:val="none" w:sz="0" w:space="0" w:color="auto"/>
                    <w:bottom w:val="none" w:sz="0" w:space="0" w:color="auto"/>
                    <w:right w:val="none" w:sz="0" w:space="0" w:color="auto"/>
                  </w:divBdr>
                  <w:divsChild>
                    <w:div w:id="1772503915">
                      <w:marLeft w:val="0"/>
                      <w:marRight w:val="0"/>
                      <w:marTop w:val="0"/>
                      <w:marBottom w:val="0"/>
                      <w:divBdr>
                        <w:top w:val="none" w:sz="0" w:space="0" w:color="auto"/>
                        <w:left w:val="none" w:sz="0" w:space="0" w:color="auto"/>
                        <w:bottom w:val="none" w:sz="0" w:space="0" w:color="auto"/>
                        <w:right w:val="none" w:sz="0" w:space="0" w:color="auto"/>
                      </w:divBdr>
                      <w:divsChild>
                        <w:div w:id="1772503911">
                          <w:marLeft w:val="0"/>
                          <w:marRight w:val="0"/>
                          <w:marTop w:val="0"/>
                          <w:marBottom w:val="0"/>
                          <w:divBdr>
                            <w:top w:val="none" w:sz="0" w:space="0" w:color="auto"/>
                            <w:left w:val="none" w:sz="0" w:space="0" w:color="auto"/>
                            <w:bottom w:val="none" w:sz="0" w:space="0" w:color="auto"/>
                            <w:right w:val="none" w:sz="0" w:space="0" w:color="auto"/>
                          </w:divBdr>
                          <w:divsChild>
                            <w:div w:id="1772503908">
                              <w:marLeft w:val="0"/>
                              <w:marRight w:val="0"/>
                              <w:marTop w:val="120"/>
                              <w:marBottom w:val="360"/>
                              <w:divBdr>
                                <w:top w:val="none" w:sz="0" w:space="0" w:color="auto"/>
                                <w:left w:val="none" w:sz="0" w:space="0" w:color="auto"/>
                                <w:bottom w:val="none" w:sz="0" w:space="0" w:color="auto"/>
                                <w:right w:val="none" w:sz="0" w:space="0" w:color="auto"/>
                              </w:divBdr>
                              <w:divsChild>
                                <w:div w:id="1772503907">
                                  <w:marLeft w:val="0"/>
                                  <w:marRight w:val="0"/>
                                  <w:marTop w:val="0"/>
                                  <w:marBottom w:val="0"/>
                                  <w:divBdr>
                                    <w:top w:val="none" w:sz="0" w:space="0" w:color="auto"/>
                                    <w:left w:val="none" w:sz="0" w:space="0" w:color="auto"/>
                                    <w:bottom w:val="none" w:sz="0" w:space="0" w:color="auto"/>
                                    <w:right w:val="none" w:sz="0" w:space="0" w:color="auto"/>
                                  </w:divBdr>
                                  <w:divsChild>
                                    <w:div w:id="17725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503914">
      <w:marLeft w:val="0"/>
      <w:marRight w:val="0"/>
      <w:marTop w:val="0"/>
      <w:marBottom w:val="0"/>
      <w:divBdr>
        <w:top w:val="none" w:sz="0" w:space="0" w:color="auto"/>
        <w:left w:val="none" w:sz="0" w:space="0" w:color="auto"/>
        <w:bottom w:val="none" w:sz="0" w:space="0" w:color="auto"/>
        <w:right w:val="none" w:sz="0" w:space="0" w:color="auto"/>
      </w:divBdr>
    </w:div>
    <w:div w:id="1772503923">
      <w:marLeft w:val="0"/>
      <w:marRight w:val="0"/>
      <w:marTop w:val="0"/>
      <w:marBottom w:val="0"/>
      <w:divBdr>
        <w:top w:val="none" w:sz="0" w:space="0" w:color="auto"/>
        <w:left w:val="none" w:sz="0" w:space="0" w:color="auto"/>
        <w:bottom w:val="none" w:sz="0" w:space="0" w:color="auto"/>
        <w:right w:val="none" w:sz="0" w:space="0" w:color="auto"/>
      </w:divBdr>
      <w:divsChild>
        <w:div w:id="1772503917">
          <w:marLeft w:val="0"/>
          <w:marRight w:val="1"/>
          <w:marTop w:val="0"/>
          <w:marBottom w:val="0"/>
          <w:divBdr>
            <w:top w:val="none" w:sz="0" w:space="0" w:color="auto"/>
            <w:left w:val="none" w:sz="0" w:space="0" w:color="auto"/>
            <w:bottom w:val="none" w:sz="0" w:space="0" w:color="auto"/>
            <w:right w:val="none" w:sz="0" w:space="0" w:color="auto"/>
          </w:divBdr>
          <w:divsChild>
            <w:div w:id="1772503929">
              <w:marLeft w:val="0"/>
              <w:marRight w:val="0"/>
              <w:marTop w:val="0"/>
              <w:marBottom w:val="0"/>
              <w:divBdr>
                <w:top w:val="none" w:sz="0" w:space="0" w:color="auto"/>
                <w:left w:val="none" w:sz="0" w:space="0" w:color="auto"/>
                <w:bottom w:val="none" w:sz="0" w:space="0" w:color="auto"/>
                <w:right w:val="none" w:sz="0" w:space="0" w:color="auto"/>
              </w:divBdr>
              <w:divsChild>
                <w:div w:id="1772503932">
                  <w:marLeft w:val="0"/>
                  <w:marRight w:val="1"/>
                  <w:marTop w:val="0"/>
                  <w:marBottom w:val="0"/>
                  <w:divBdr>
                    <w:top w:val="none" w:sz="0" w:space="0" w:color="auto"/>
                    <w:left w:val="none" w:sz="0" w:space="0" w:color="auto"/>
                    <w:bottom w:val="none" w:sz="0" w:space="0" w:color="auto"/>
                    <w:right w:val="none" w:sz="0" w:space="0" w:color="auto"/>
                  </w:divBdr>
                  <w:divsChild>
                    <w:div w:id="1772503900">
                      <w:marLeft w:val="0"/>
                      <w:marRight w:val="0"/>
                      <w:marTop w:val="0"/>
                      <w:marBottom w:val="0"/>
                      <w:divBdr>
                        <w:top w:val="none" w:sz="0" w:space="0" w:color="auto"/>
                        <w:left w:val="none" w:sz="0" w:space="0" w:color="auto"/>
                        <w:bottom w:val="none" w:sz="0" w:space="0" w:color="auto"/>
                        <w:right w:val="none" w:sz="0" w:space="0" w:color="auto"/>
                      </w:divBdr>
                      <w:divsChild>
                        <w:div w:id="1772503904">
                          <w:marLeft w:val="0"/>
                          <w:marRight w:val="0"/>
                          <w:marTop w:val="0"/>
                          <w:marBottom w:val="0"/>
                          <w:divBdr>
                            <w:top w:val="none" w:sz="0" w:space="0" w:color="auto"/>
                            <w:left w:val="none" w:sz="0" w:space="0" w:color="auto"/>
                            <w:bottom w:val="none" w:sz="0" w:space="0" w:color="auto"/>
                            <w:right w:val="none" w:sz="0" w:space="0" w:color="auto"/>
                          </w:divBdr>
                          <w:divsChild>
                            <w:div w:id="1772503906">
                              <w:marLeft w:val="0"/>
                              <w:marRight w:val="0"/>
                              <w:marTop w:val="120"/>
                              <w:marBottom w:val="360"/>
                              <w:divBdr>
                                <w:top w:val="none" w:sz="0" w:space="0" w:color="auto"/>
                                <w:left w:val="none" w:sz="0" w:space="0" w:color="auto"/>
                                <w:bottom w:val="none" w:sz="0" w:space="0" w:color="auto"/>
                                <w:right w:val="none" w:sz="0" w:space="0" w:color="auto"/>
                              </w:divBdr>
                              <w:divsChild>
                                <w:div w:id="1772503930">
                                  <w:marLeft w:val="0"/>
                                  <w:marRight w:val="0"/>
                                  <w:marTop w:val="0"/>
                                  <w:marBottom w:val="0"/>
                                  <w:divBdr>
                                    <w:top w:val="none" w:sz="0" w:space="0" w:color="auto"/>
                                    <w:left w:val="none" w:sz="0" w:space="0" w:color="auto"/>
                                    <w:bottom w:val="none" w:sz="0" w:space="0" w:color="auto"/>
                                    <w:right w:val="none" w:sz="0" w:space="0" w:color="auto"/>
                                  </w:divBdr>
                                  <w:divsChild>
                                    <w:div w:id="17725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503924">
      <w:marLeft w:val="0"/>
      <w:marRight w:val="0"/>
      <w:marTop w:val="0"/>
      <w:marBottom w:val="0"/>
      <w:divBdr>
        <w:top w:val="none" w:sz="0" w:space="0" w:color="auto"/>
        <w:left w:val="none" w:sz="0" w:space="0" w:color="auto"/>
        <w:bottom w:val="none" w:sz="0" w:space="0" w:color="auto"/>
        <w:right w:val="none" w:sz="0" w:space="0" w:color="auto"/>
      </w:divBdr>
      <w:divsChild>
        <w:div w:id="1772503922">
          <w:marLeft w:val="0"/>
          <w:marRight w:val="1"/>
          <w:marTop w:val="0"/>
          <w:marBottom w:val="0"/>
          <w:divBdr>
            <w:top w:val="none" w:sz="0" w:space="0" w:color="auto"/>
            <w:left w:val="none" w:sz="0" w:space="0" w:color="auto"/>
            <w:bottom w:val="none" w:sz="0" w:space="0" w:color="auto"/>
            <w:right w:val="none" w:sz="0" w:space="0" w:color="auto"/>
          </w:divBdr>
          <w:divsChild>
            <w:div w:id="1772503921">
              <w:marLeft w:val="0"/>
              <w:marRight w:val="0"/>
              <w:marTop w:val="0"/>
              <w:marBottom w:val="0"/>
              <w:divBdr>
                <w:top w:val="none" w:sz="0" w:space="0" w:color="auto"/>
                <w:left w:val="none" w:sz="0" w:space="0" w:color="auto"/>
                <w:bottom w:val="none" w:sz="0" w:space="0" w:color="auto"/>
                <w:right w:val="none" w:sz="0" w:space="0" w:color="auto"/>
              </w:divBdr>
              <w:divsChild>
                <w:div w:id="1772503912">
                  <w:marLeft w:val="0"/>
                  <w:marRight w:val="1"/>
                  <w:marTop w:val="0"/>
                  <w:marBottom w:val="0"/>
                  <w:divBdr>
                    <w:top w:val="none" w:sz="0" w:space="0" w:color="auto"/>
                    <w:left w:val="none" w:sz="0" w:space="0" w:color="auto"/>
                    <w:bottom w:val="none" w:sz="0" w:space="0" w:color="auto"/>
                    <w:right w:val="none" w:sz="0" w:space="0" w:color="auto"/>
                  </w:divBdr>
                  <w:divsChild>
                    <w:div w:id="1772503905">
                      <w:marLeft w:val="0"/>
                      <w:marRight w:val="0"/>
                      <w:marTop w:val="0"/>
                      <w:marBottom w:val="0"/>
                      <w:divBdr>
                        <w:top w:val="none" w:sz="0" w:space="0" w:color="auto"/>
                        <w:left w:val="none" w:sz="0" w:space="0" w:color="auto"/>
                        <w:bottom w:val="none" w:sz="0" w:space="0" w:color="auto"/>
                        <w:right w:val="none" w:sz="0" w:space="0" w:color="auto"/>
                      </w:divBdr>
                      <w:divsChild>
                        <w:div w:id="1772503909">
                          <w:marLeft w:val="0"/>
                          <w:marRight w:val="0"/>
                          <w:marTop w:val="0"/>
                          <w:marBottom w:val="0"/>
                          <w:divBdr>
                            <w:top w:val="none" w:sz="0" w:space="0" w:color="auto"/>
                            <w:left w:val="none" w:sz="0" w:space="0" w:color="auto"/>
                            <w:bottom w:val="none" w:sz="0" w:space="0" w:color="auto"/>
                            <w:right w:val="none" w:sz="0" w:space="0" w:color="auto"/>
                          </w:divBdr>
                          <w:divsChild>
                            <w:div w:id="1772503925">
                              <w:marLeft w:val="0"/>
                              <w:marRight w:val="0"/>
                              <w:marTop w:val="120"/>
                              <w:marBottom w:val="360"/>
                              <w:divBdr>
                                <w:top w:val="none" w:sz="0" w:space="0" w:color="auto"/>
                                <w:left w:val="none" w:sz="0" w:space="0" w:color="auto"/>
                                <w:bottom w:val="none" w:sz="0" w:space="0" w:color="auto"/>
                                <w:right w:val="none" w:sz="0" w:space="0" w:color="auto"/>
                              </w:divBdr>
                              <w:divsChild>
                                <w:div w:id="1772503898">
                                  <w:marLeft w:val="0"/>
                                  <w:marRight w:val="0"/>
                                  <w:marTop w:val="0"/>
                                  <w:marBottom w:val="0"/>
                                  <w:divBdr>
                                    <w:top w:val="none" w:sz="0" w:space="0" w:color="auto"/>
                                    <w:left w:val="none" w:sz="0" w:space="0" w:color="auto"/>
                                    <w:bottom w:val="none" w:sz="0" w:space="0" w:color="auto"/>
                                    <w:right w:val="none" w:sz="0" w:space="0" w:color="auto"/>
                                  </w:divBdr>
                                  <w:divsChild>
                                    <w:div w:id="17725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kushin-tky@umin.ac.jp"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6521</Words>
  <Characters>37172</Characters>
  <Application>Microsoft Office Word</Application>
  <DocSecurity>0</DocSecurity>
  <Lines>309</Lines>
  <Paragraphs>87</Paragraphs>
  <ScaleCrop>false</ScaleCrop>
  <Company>田辺三菱製薬株式会社</Company>
  <LinksUpToDate>false</LinksUpToDate>
  <CharactersWithSpaces>43606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LS Ma</cp:lastModifiedBy>
  <cp:revision>2</cp:revision>
  <cp:lastPrinted>2014-04-13T05:55:00Z</cp:lastPrinted>
  <dcterms:created xsi:type="dcterms:W3CDTF">2014-05-18T20:40:00Z</dcterms:created>
  <dcterms:modified xsi:type="dcterms:W3CDTF">2014-05-18T20:40:00Z</dcterms:modified>
</cp:coreProperties>
</file>