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56" w:rsidRPr="00491BB4" w:rsidRDefault="00C24456" w:rsidP="00F32A86">
      <w:pPr>
        <w:pStyle w:val="p0"/>
        <w:adjustRightInd w:val="0"/>
        <w:snapToGrid w:val="0"/>
        <w:spacing w:line="360" w:lineRule="auto"/>
        <w:jc w:val="both"/>
        <w:rPr>
          <w:rFonts w:ascii="Book Antiqua" w:hAnsi="Book Antiqua"/>
          <w:color w:val="000000"/>
          <w:sz w:val="24"/>
          <w:szCs w:val="24"/>
        </w:rPr>
      </w:pPr>
      <w:r w:rsidRPr="00491BB4">
        <w:rPr>
          <w:rFonts w:ascii="Book Antiqua" w:hAnsi="Book Antiqua"/>
          <w:b/>
          <w:color w:val="0033CC"/>
          <w:sz w:val="24"/>
          <w:szCs w:val="24"/>
        </w:rPr>
        <w:t>Name of journal:</w:t>
      </w:r>
      <w:r w:rsidRPr="00491BB4">
        <w:rPr>
          <w:rFonts w:ascii="Book Antiqua" w:hAnsi="Book Antiqua"/>
          <w:b/>
          <w:color w:val="000000"/>
          <w:sz w:val="24"/>
          <w:szCs w:val="24"/>
        </w:rPr>
        <w:t xml:space="preserve"> </w:t>
      </w:r>
      <w:bookmarkStart w:id="0" w:name="OLE_LINK718"/>
      <w:bookmarkStart w:id="1" w:name="OLE_LINK719"/>
      <w:r w:rsidRPr="00491BB4">
        <w:rPr>
          <w:rFonts w:ascii="Book Antiqua" w:hAnsi="Book Antiqua"/>
          <w:i/>
          <w:color w:val="000000"/>
          <w:sz w:val="24"/>
          <w:szCs w:val="24"/>
        </w:rPr>
        <w:t>World Journal of Gastroenterology</w:t>
      </w:r>
      <w:bookmarkEnd w:id="0"/>
      <w:bookmarkEnd w:id="1"/>
    </w:p>
    <w:p w:rsidR="00C24456" w:rsidRPr="00491BB4" w:rsidRDefault="00C24456" w:rsidP="00F32A86">
      <w:pPr>
        <w:adjustRightInd w:val="0"/>
        <w:snapToGrid w:val="0"/>
        <w:spacing w:line="360" w:lineRule="auto"/>
        <w:rPr>
          <w:rFonts w:ascii="Book Antiqua" w:hAnsi="Book Antiqua" w:cs="宋体"/>
          <w:b/>
          <w:i/>
          <w:color w:val="000000"/>
          <w:sz w:val="24"/>
        </w:rPr>
      </w:pPr>
      <w:r w:rsidRPr="00491BB4">
        <w:rPr>
          <w:rFonts w:ascii="Book Antiqua" w:hAnsi="Book Antiqua" w:cs="Arial"/>
          <w:b/>
          <w:color w:val="0033CC"/>
          <w:sz w:val="24"/>
        </w:rPr>
        <w:t>ESPS Manuscript NO:</w:t>
      </w:r>
      <w:r w:rsidRPr="00491BB4">
        <w:rPr>
          <w:rFonts w:ascii="Book Antiqua" w:hAnsi="Book Antiqua" w:cs="Arial"/>
          <w:b/>
          <w:color w:val="222222"/>
          <w:sz w:val="24"/>
        </w:rPr>
        <w:t xml:space="preserve"> 9336</w:t>
      </w:r>
    </w:p>
    <w:p w:rsidR="00C24456" w:rsidRPr="00491BB4" w:rsidRDefault="00C24456" w:rsidP="00F32A86">
      <w:pPr>
        <w:suppressAutoHyphens/>
        <w:autoSpaceDE w:val="0"/>
        <w:autoSpaceDN w:val="0"/>
        <w:adjustRightInd w:val="0"/>
        <w:snapToGrid w:val="0"/>
        <w:spacing w:line="360" w:lineRule="auto"/>
        <w:rPr>
          <w:rFonts w:ascii="Book Antiqua" w:hAnsi="Book Antiqua" w:cs="Arial"/>
          <w:b/>
          <w:color w:val="222222"/>
          <w:sz w:val="24"/>
        </w:rPr>
      </w:pPr>
      <w:r w:rsidRPr="00491BB4">
        <w:rPr>
          <w:rFonts w:ascii="Book Antiqua" w:hAnsi="Book Antiqua"/>
          <w:b/>
          <w:color w:val="0033CC"/>
          <w:kern w:val="0"/>
          <w:sz w:val="24"/>
        </w:rPr>
        <w:t>Columns:</w:t>
      </w:r>
      <w:r w:rsidRPr="00491BB4">
        <w:rPr>
          <w:rFonts w:ascii="Book Antiqua" w:hAnsi="Book Antiqua"/>
          <w:b/>
          <w:color w:val="000000"/>
          <w:kern w:val="0"/>
          <w:sz w:val="24"/>
        </w:rPr>
        <w:t xml:space="preserve"> </w:t>
      </w:r>
      <w:bookmarkStart w:id="2" w:name="_GoBack"/>
      <w:r w:rsidRPr="00491BB4">
        <w:rPr>
          <w:rFonts w:ascii="Book Antiqua" w:hAnsi="Book Antiqua" w:cs="Arial"/>
          <w:b/>
          <w:color w:val="222222"/>
          <w:sz w:val="24"/>
        </w:rPr>
        <w:t>OBSERVATIONAL STUDY</w:t>
      </w:r>
      <w:bookmarkEnd w:id="2"/>
    </w:p>
    <w:p w:rsidR="00C24456" w:rsidRPr="00491BB4" w:rsidRDefault="00C24456" w:rsidP="00F32A86">
      <w:pPr>
        <w:suppressAutoHyphens/>
        <w:autoSpaceDE w:val="0"/>
        <w:autoSpaceDN w:val="0"/>
        <w:adjustRightInd w:val="0"/>
        <w:snapToGrid w:val="0"/>
        <w:spacing w:line="360" w:lineRule="auto"/>
        <w:rPr>
          <w:rFonts w:ascii="Book Antiqua" w:hAnsi="Book Antiqua" w:cs="Arial"/>
          <w:b/>
          <w:color w:val="222222"/>
          <w:sz w:val="24"/>
        </w:rPr>
      </w:pPr>
    </w:p>
    <w:p w:rsidR="00C24456" w:rsidRPr="00491BB4" w:rsidRDefault="00C24456" w:rsidP="00F32A86">
      <w:pPr>
        <w:suppressAutoHyphens/>
        <w:autoSpaceDE w:val="0"/>
        <w:autoSpaceDN w:val="0"/>
        <w:adjustRightInd w:val="0"/>
        <w:snapToGrid w:val="0"/>
        <w:spacing w:line="360" w:lineRule="auto"/>
        <w:rPr>
          <w:rFonts w:ascii="Book Antiqua" w:hAnsi="Book Antiqua" w:cs="Arial"/>
          <w:b/>
          <w:sz w:val="24"/>
        </w:rPr>
      </w:pPr>
      <w:r w:rsidRPr="00491BB4">
        <w:rPr>
          <w:rFonts w:ascii="Book Antiqua" w:hAnsi="Book Antiqua" w:cs="Arial"/>
          <w:b/>
          <w:sz w:val="24"/>
        </w:rPr>
        <w:t xml:space="preserve">Clinical efficacy of </w:t>
      </w:r>
      <w:proofErr w:type="spellStart"/>
      <w:r w:rsidRPr="00491BB4">
        <w:rPr>
          <w:rFonts w:ascii="Book Antiqua" w:hAnsi="Book Antiqua" w:cs="Arial"/>
          <w:b/>
          <w:sz w:val="24"/>
        </w:rPr>
        <w:t>tolvaptan</w:t>
      </w:r>
      <w:proofErr w:type="spellEnd"/>
      <w:r w:rsidRPr="00491BB4">
        <w:rPr>
          <w:rFonts w:ascii="Book Antiqua" w:hAnsi="Book Antiqua" w:cs="Arial"/>
          <w:b/>
          <w:sz w:val="24"/>
        </w:rPr>
        <w:t xml:space="preserve"> for treatment refractory ascites in liver cirrhosis patients</w:t>
      </w:r>
    </w:p>
    <w:p w:rsidR="00C24456" w:rsidRPr="00491BB4" w:rsidRDefault="00C24456" w:rsidP="00F32A86">
      <w:pPr>
        <w:suppressAutoHyphens/>
        <w:autoSpaceDE w:val="0"/>
        <w:autoSpaceDN w:val="0"/>
        <w:adjustRightInd w:val="0"/>
        <w:snapToGrid w:val="0"/>
        <w:spacing w:line="360" w:lineRule="auto"/>
        <w:rPr>
          <w:rFonts w:ascii="Book Antiqua" w:hAnsi="Book Antiqua" w:cs="Arial"/>
          <w:sz w:val="24"/>
        </w:rPr>
      </w:pPr>
    </w:p>
    <w:p w:rsidR="00C24456" w:rsidRPr="00491BB4" w:rsidRDefault="00C24456" w:rsidP="00F32A86">
      <w:pPr>
        <w:suppressAutoHyphens/>
        <w:autoSpaceDE w:val="0"/>
        <w:autoSpaceDN w:val="0"/>
        <w:adjustRightInd w:val="0"/>
        <w:snapToGrid w:val="0"/>
        <w:spacing w:line="360" w:lineRule="auto"/>
        <w:rPr>
          <w:rFonts w:ascii="Book Antiqua" w:hAnsi="Book Antiqua" w:cs="Arial"/>
          <w:sz w:val="24"/>
        </w:rPr>
      </w:pPr>
      <w:r w:rsidRPr="00491BB4">
        <w:rPr>
          <w:rFonts w:ascii="Book Antiqua" w:hAnsi="Book Antiqua" w:cs="Arial"/>
          <w:sz w:val="24"/>
        </w:rPr>
        <w:t xml:space="preserve">Zhang X </w:t>
      </w:r>
      <w:r w:rsidRPr="00491BB4">
        <w:rPr>
          <w:rFonts w:ascii="Book Antiqua" w:hAnsi="Book Antiqua" w:cs="Arial"/>
          <w:i/>
          <w:sz w:val="24"/>
        </w:rPr>
        <w:t>et al</w:t>
      </w:r>
      <w:r w:rsidRPr="00491BB4">
        <w:rPr>
          <w:rFonts w:ascii="Book Antiqua" w:hAnsi="Book Antiqua" w:cs="Arial"/>
          <w:sz w:val="24"/>
        </w:rPr>
        <w:t xml:space="preserve">.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therapy for refractory ascites</w:t>
      </w:r>
    </w:p>
    <w:p w:rsidR="00C24456" w:rsidRPr="00491BB4" w:rsidRDefault="00C24456" w:rsidP="00F32A86">
      <w:pPr>
        <w:suppressAutoHyphens/>
        <w:autoSpaceDE w:val="0"/>
        <w:autoSpaceDN w:val="0"/>
        <w:adjustRightInd w:val="0"/>
        <w:snapToGrid w:val="0"/>
        <w:spacing w:line="360" w:lineRule="auto"/>
        <w:rPr>
          <w:rFonts w:ascii="Book Antiqua" w:hAnsi="Book Antiqua" w:cs="Arial"/>
          <w:sz w:val="24"/>
        </w:rPr>
      </w:pPr>
    </w:p>
    <w:p w:rsidR="00C24456" w:rsidRPr="0079144F" w:rsidRDefault="00C24456" w:rsidP="00F32A86">
      <w:pPr>
        <w:snapToGrid w:val="0"/>
        <w:spacing w:line="360" w:lineRule="auto"/>
        <w:rPr>
          <w:rFonts w:ascii="Book Antiqua" w:hAnsi="Book Antiqua" w:cs="Arial"/>
          <w:sz w:val="24"/>
          <w:lang w:val="de-DE"/>
        </w:rPr>
      </w:pPr>
      <w:r w:rsidRPr="0079144F">
        <w:rPr>
          <w:rFonts w:ascii="Book Antiqua" w:hAnsi="Book Antiqua" w:cs="Arial"/>
          <w:sz w:val="24"/>
          <w:lang w:val="de-DE"/>
        </w:rPr>
        <w:t>Xin Zhang, Shu-Zhen Wang,</w:t>
      </w:r>
      <w:r w:rsidRPr="0079144F">
        <w:rPr>
          <w:rFonts w:ascii="Book Antiqua" w:eastAsia="Gulim" w:hAnsi="Book Antiqua" w:cs="Arial"/>
          <w:sz w:val="24"/>
          <w:vertAlign w:val="superscript"/>
          <w:lang w:val="de-DE"/>
        </w:rPr>
        <w:t xml:space="preserve"> </w:t>
      </w:r>
      <w:r w:rsidRPr="0079144F">
        <w:rPr>
          <w:rFonts w:ascii="Book Antiqua" w:hAnsi="Book Antiqua" w:cs="Arial"/>
          <w:sz w:val="24"/>
          <w:lang w:val="de-DE"/>
        </w:rPr>
        <w:t>Jun-Fu Zheng, Wen-Min Zhao, Peng Li, Chun-Lei Fan, Bing Li, Pei-Ling Dong, Lei Li, Hui-Guo Ding</w:t>
      </w:r>
    </w:p>
    <w:p w:rsidR="00C24456" w:rsidRPr="0079144F" w:rsidRDefault="00C24456" w:rsidP="00F32A86">
      <w:pPr>
        <w:snapToGrid w:val="0"/>
        <w:spacing w:line="360" w:lineRule="auto"/>
        <w:rPr>
          <w:rFonts w:ascii="Book Antiqua" w:hAnsi="Book Antiqua" w:cs="Arial"/>
          <w:sz w:val="24"/>
          <w:lang w:val="de-DE"/>
        </w:rPr>
      </w:pPr>
    </w:p>
    <w:p w:rsidR="00C24456" w:rsidRPr="00491BB4" w:rsidRDefault="00C24456" w:rsidP="00AE39F0">
      <w:pPr>
        <w:snapToGrid w:val="0"/>
        <w:spacing w:line="360" w:lineRule="auto"/>
        <w:rPr>
          <w:rFonts w:ascii="Book Antiqua" w:hAnsi="Book Antiqua" w:cs="Arial"/>
          <w:sz w:val="24"/>
        </w:rPr>
      </w:pPr>
      <w:r w:rsidRPr="00491BB4">
        <w:rPr>
          <w:rFonts w:ascii="Book Antiqua" w:hAnsi="Book Antiqua" w:cs="Arial"/>
          <w:b/>
          <w:sz w:val="24"/>
        </w:rPr>
        <w:t>Xin Zhang, Shu-Zhen Wang,</w:t>
      </w:r>
      <w:r w:rsidRPr="00491BB4">
        <w:rPr>
          <w:rFonts w:ascii="Book Antiqua" w:eastAsia="Gulim" w:hAnsi="Book Antiqua" w:cs="Arial"/>
          <w:b/>
          <w:sz w:val="24"/>
          <w:vertAlign w:val="superscript"/>
        </w:rPr>
        <w:t xml:space="preserve"> </w:t>
      </w:r>
      <w:r w:rsidRPr="00491BB4">
        <w:rPr>
          <w:rFonts w:ascii="Book Antiqua" w:hAnsi="Book Antiqua" w:cs="Arial"/>
          <w:b/>
          <w:sz w:val="24"/>
        </w:rPr>
        <w:t xml:space="preserve">Jun-Fu Zheng, Wen-Min Zhao, Peng Li, Chun-Lei Fan, Bing Li, Pei-Ling Dong, Lei Li, </w:t>
      </w:r>
      <w:proofErr w:type="spellStart"/>
      <w:r w:rsidRPr="00491BB4">
        <w:rPr>
          <w:rFonts w:ascii="Book Antiqua" w:hAnsi="Book Antiqua" w:cs="Arial"/>
          <w:b/>
          <w:sz w:val="24"/>
        </w:rPr>
        <w:t>Hui-Guo</w:t>
      </w:r>
      <w:proofErr w:type="spellEnd"/>
      <w:r w:rsidRPr="00491BB4">
        <w:rPr>
          <w:rFonts w:ascii="Book Antiqua" w:hAnsi="Book Antiqua" w:cs="Arial"/>
          <w:b/>
          <w:sz w:val="24"/>
        </w:rPr>
        <w:t xml:space="preserve"> Ding,</w:t>
      </w:r>
      <w:r w:rsidRPr="00491BB4">
        <w:rPr>
          <w:rFonts w:ascii="Book Antiqua" w:hAnsi="Book Antiqua" w:cs="Arial"/>
          <w:sz w:val="24"/>
        </w:rPr>
        <w:t xml:space="preserve"> Department of Gastroenterology and </w:t>
      </w:r>
      <w:proofErr w:type="spellStart"/>
      <w:r w:rsidRPr="00491BB4">
        <w:rPr>
          <w:rFonts w:ascii="Book Antiqua" w:hAnsi="Book Antiqua" w:cs="Arial"/>
          <w:sz w:val="24"/>
        </w:rPr>
        <w:t>Hepatology</w:t>
      </w:r>
      <w:proofErr w:type="spellEnd"/>
      <w:r w:rsidRPr="00491BB4">
        <w:rPr>
          <w:rFonts w:ascii="Book Antiqua" w:hAnsi="Book Antiqua" w:cs="Arial"/>
          <w:sz w:val="24"/>
        </w:rPr>
        <w:t xml:space="preserve">, Beijing </w:t>
      </w:r>
      <w:proofErr w:type="spellStart"/>
      <w:r w:rsidRPr="00491BB4">
        <w:rPr>
          <w:rFonts w:ascii="Book Antiqua" w:hAnsi="Book Antiqua" w:cs="Arial"/>
          <w:sz w:val="24"/>
        </w:rPr>
        <w:t>You’an</w:t>
      </w:r>
      <w:proofErr w:type="spellEnd"/>
      <w:r w:rsidRPr="00491BB4">
        <w:rPr>
          <w:rFonts w:ascii="Book Antiqua" w:hAnsi="Book Antiqua" w:cs="Arial"/>
          <w:sz w:val="24"/>
        </w:rPr>
        <w:t xml:space="preserve"> Hospital, Affiliated with Capital Medical University, Beijing 100069, China</w:t>
      </w:r>
    </w:p>
    <w:p w:rsidR="00C24456" w:rsidRPr="00491BB4" w:rsidRDefault="00C24456" w:rsidP="00F32A86">
      <w:pPr>
        <w:suppressAutoHyphens/>
        <w:autoSpaceDE w:val="0"/>
        <w:autoSpaceDN w:val="0"/>
        <w:adjustRightInd w:val="0"/>
        <w:snapToGrid w:val="0"/>
        <w:spacing w:line="360" w:lineRule="auto"/>
        <w:rPr>
          <w:rFonts w:ascii="Book Antiqua" w:hAnsi="Book Antiqua"/>
          <w:b/>
          <w:color w:val="000000"/>
          <w:kern w:val="0"/>
          <w:sz w:val="24"/>
        </w:rPr>
      </w:pPr>
    </w:p>
    <w:p w:rsidR="00C24456" w:rsidRPr="00491BB4" w:rsidRDefault="00C24456" w:rsidP="00F32A86">
      <w:pPr>
        <w:suppressAutoHyphens/>
        <w:autoSpaceDE w:val="0"/>
        <w:autoSpaceDN w:val="0"/>
        <w:adjustRightInd w:val="0"/>
        <w:snapToGrid w:val="0"/>
        <w:spacing w:line="360" w:lineRule="auto"/>
        <w:rPr>
          <w:rFonts w:ascii="Book Antiqua" w:hAnsi="Book Antiqua" w:cs="Arial"/>
          <w:sz w:val="24"/>
        </w:rPr>
      </w:pPr>
      <w:r w:rsidRPr="00491BB4">
        <w:rPr>
          <w:rFonts w:ascii="Book Antiqua" w:hAnsi="Book Antiqua" w:cs="Arial"/>
          <w:b/>
          <w:sz w:val="24"/>
        </w:rPr>
        <w:t>Author contributions:</w:t>
      </w:r>
      <w:r w:rsidRPr="00491BB4">
        <w:rPr>
          <w:rFonts w:ascii="Book Antiqua" w:hAnsi="Book Antiqua" w:cs="Arial"/>
          <w:sz w:val="24"/>
        </w:rPr>
        <w:t xml:space="preserve"> Zhang X, Wang SZ equally contributed to the data collection and follow-up of patients for this manuscript; Ding HG, Zhang X, Wang SZ and Zheng JF analyzed the data; Zhang X, Wang SZ and Ding HG wrote the manuscript; Ding HG was also responsible for this project the final revised manuscript; and the other authors contributed to data acquisition and patient care.</w:t>
      </w:r>
    </w:p>
    <w:p w:rsidR="00C24456" w:rsidRPr="00491BB4" w:rsidRDefault="00C24456" w:rsidP="00F32A86">
      <w:pPr>
        <w:suppressAutoHyphens/>
        <w:autoSpaceDE w:val="0"/>
        <w:autoSpaceDN w:val="0"/>
        <w:adjustRightInd w:val="0"/>
        <w:snapToGrid w:val="0"/>
        <w:spacing w:line="360" w:lineRule="auto"/>
        <w:rPr>
          <w:rFonts w:ascii="Book Antiqua" w:hAnsi="Book Antiqua"/>
          <w:b/>
          <w:color w:val="000000"/>
          <w:kern w:val="0"/>
          <w:sz w:val="24"/>
        </w:rPr>
      </w:pPr>
    </w:p>
    <w:p w:rsidR="00C24456" w:rsidRPr="00491BB4" w:rsidRDefault="00C24456" w:rsidP="00F32A86">
      <w:pPr>
        <w:snapToGrid w:val="0"/>
        <w:spacing w:line="360" w:lineRule="auto"/>
        <w:rPr>
          <w:rFonts w:ascii="Book Antiqua" w:hAnsi="Book Antiqua" w:cs="Arial"/>
          <w:sz w:val="24"/>
        </w:rPr>
      </w:pPr>
      <w:r w:rsidRPr="00491BB4">
        <w:rPr>
          <w:rFonts w:ascii="Book Antiqua" w:hAnsi="Book Antiqua" w:cs="Arial"/>
          <w:b/>
          <w:sz w:val="24"/>
        </w:rPr>
        <w:t>Supported by</w:t>
      </w:r>
      <w:r w:rsidRPr="00491BB4">
        <w:rPr>
          <w:rFonts w:ascii="Book Antiqua" w:hAnsi="Book Antiqua" w:cs="Arial"/>
          <w:sz w:val="24"/>
        </w:rPr>
        <w:t xml:space="preserve"> the Beijing High-Level Talent Academic Leader/Personnel Training Programs awarded to Ding HG, 2011-2-19; Li B, 2013-3-072; and Li L, 2013-3-073</w:t>
      </w:r>
    </w:p>
    <w:p w:rsidR="00C24456" w:rsidRPr="00491BB4" w:rsidRDefault="00C24456" w:rsidP="00F32A86">
      <w:pPr>
        <w:snapToGrid w:val="0"/>
        <w:spacing w:line="360" w:lineRule="auto"/>
        <w:rPr>
          <w:rFonts w:ascii="Book Antiqua" w:hAnsi="Book Antiqua" w:cs="Arial"/>
          <w:sz w:val="24"/>
        </w:rPr>
      </w:pPr>
    </w:p>
    <w:p w:rsidR="00C24456" w:rsidRPr="00491BB4" w:rsidRDefault="00C24456" w:rsidP="00F32A86">
      <w:pPr>
        <w:snapToGrid w:val="0"/>
        <w:spacing w:line="360" w:lineRule="auto"/>
        <w:rPr>
          <w:rFonts w:ascii="Book Antiqua" w:hAnsi="Book Antiqua" w:cs="Arial"/>
          <w:sz w:val="24"/>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491BB4">
        <w:rPr>
          <w:rFonts w:ascii="Book Antiqua" w:hAnsi="Book Antiqua" w:cs="Gulim"/>
          <w:b/>
          <w:kern w:val="0"/>
          <w:sz w:val="24"/>
        </w:rPr>
        <w:t>Correspondence to</w:t>
      </w:r>
      <w:r w:rsidRPr="00491BB4">
        <w:rPr>
          <w:rFonts w:ascii="Book Antiqua" w:hAnsi="Book Antiqua" w:cs="Gulim"/>
          <w:b/>
          <w:bCs/>
          <w:kern w:val="0"/>
          <w:sz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91BB4">
        <w:rPr>
          <w:rFonts w:ascii="Book Antiqua" w:hAnsi="Book Antiqua" w:cs="Gulim"/>
          <w:b/>
          <w:bCs/>
          <w:kern w:val="0"/>
          <w:sz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Start"/>
      <w:r w:rsidRPr="00491BB4">
        <w:rPr>
          <w:rFonts w:ascii="Book Antiqua" w:hAnsi="Book Antiqua" w:cs="Arial"/>
          <w:b/>
          <w:sz w:val="24"/>
        </w:rPr>
        <w:t>Hui-Guo</w:t>
      </w:r>
      <w:proofErr w:type="spellEnd"/>
      <w:r w:rsidRPr="00491BB4">
        <w:rPr>
          <w:rFonts w:ascii="Book Antiqua" w:hAnsi="Book Antiqua" w:cs="Arial"/>
          <w:b/>
          <w:sz w:val="24"/>
        </w:rPr>
        <w:t xml:space="preserve"> Ding, MD, PhD,</w:t>
      </w:r>
      <w:r w:rsidRPr="00491BB4">
        <w:rPr>
          <w:rFonts w:ascii="Book Antiqua" w:hAnsi="Book Antiqua" w:cs="Arial"/>
          <w:sz w:val="24"/>
        </w:rPr>
        <w:t xml:space="preserve"> </w:t>
      </w:r>
      <w:r w:rsidRPr="0083797C">
        <w:rPr>
          <w:rFonts w:ascii="Book Antiqua" w:hAnsi="Book Antiqua" w:cs="Arial"/>
          <w:b/>
          <w:sz w:val="24"/>
        </w:rPr>
        <w:t>Director,</w:t>
      </w:r>
      <w:r w:rsidRPr="00491BB4">
        <w:rPr>
          <w:rFonts w:ascii="Book Antiqua" w:hAnsi="Book Antiqua" w:cs="Arial"/>
          <w:sz w:val="24"/>
        </w:rPr>
        <w:t xml:space="preserve"> Department of Gastroenterology and </w:t>
      </w:r>
      <w:proofErr w:type="spellStart"/>
      <w:r w:rsidRPr="00491BB4">
        <w:rPr>
          <w:rFonts w:ascii="Book Antiqua" w:hAnsi="Book Antiqua" w:cs="Arial"/>
          <w:sz w:val="24"/>
        </w:rPr>
        <w:t>Hepatology</w:t>
      </w:r>
      <w:proofErr w:type="spellEnd"/>
      <w:r w:rsidRPr="00491BB4">
        <w:rPr>
          <w:rFonts w:ascii="Book Antiqua" w:hAnsi="Book Antiqua" w:cs="Arial"/>
          <w:sz w:val="24"/>
        </w:rPr>
        <w:t xml:space="preserve">, Beijing </w:t>
      </w:r>
      <w:proofErr w:type="spellStart"/>
      <w:r w:rsidRPr="00491BB4">
        <w:rPr>
          <w:rFonts w:ascii="Book Antiqua" w:hAnsi="Book Antiqua" w:cs="Arial"/>
          <w:sz w:val="24"/>
        </w:rPr>
        <w:t>You’an</w:t>
      </w:r>
      <w:proofErr w:type="spellEnd"/>
      <w:r w:rsidRPr="00491BB4">
        <w:rPr>
          <w:rFonts w:ascii="Book Antiqua" w:hAnsi="Book Antiqua" w:cs="Arial"/>
          <w:sz w:val="24"/>
        </w:rPr>
        <w:t xml:space="preserve"> Hospital, Affiliated with Capital Medical University, </w:t>
      </w:r>
      <w:proofErr w:type="spellStart"/>
      <w:r w:rsidRPr="00491BB4">
        <w:rPr>
          <w:rFonts w:ascii="Book Antiqua" w:hAnsi="Book Antiqua" w:cs="Arial"/>
          <w:sz w:val="24"/>
        </w:rPr>
        <w:t>Fengtai</w:t>
      </w:r>
      <w:proofErr w:type="spellEnd"/>
      <w:r w:rsidRPr="00491BB4">
        <w:rPr>
          <w:rFonts w:ascii="Book Antiqua" w:hAnsi="Book Antiqua" w:cs="Arial"/>
          <w:sz w:val="24"/>
        </w:rPr>
        <w:t xml:space="preserve"> District, Beijing 100069, </w:t>
      </w:r>
      <w:proofErr w:type="gramStart"/>
      <w:r w:rsidRPr="00491BB4">
        <w:rPr>
          <w:rFonts w:ascii="Book Antiqua" w:hAnsi="Book Antiqua" w:cs="Arial"/>
          <w:sz w:val="24"/>
        </w:rPr>
        <w:t>China</w:t>
      </w:r>
      <w:proofErr w:type="gramEnd"/>
      <w:r w:rsidRPr="00491BB4">
        <w:rPr>
          <w:rFonts w:ascii="Book Antiqua" w:hAnsi="Book Antiqua" w:cs="Arial"/>
          <w:sz w:val="24"/>
        </w:rPr>
        <w:t>.</w:t>
      </w:r>
      <w:r>
        <w:rPr>
          <w:rFonts w:ascii="Book Antiqua" w:hAnsi="Book Antiqua" w:cs="Arial"/>
          <w:sz w:val="24"/>
        </w:rPr>
        <w:t xml:space="preserve"> </w:t>
      </w:r>
      <w:hyperlink r:id="rId8" w:history="1">
        <w:r w:rsidRPr="00491BB4">
          <w:rPr>
            <w:rStyle w:val="a6"/>
            <w:rFonts w:ascii="Book Antiqua" w:hAnsi="Book Antiqua" w:cs="Arial"/>
            <w:sz w:val="24"/>
          </w:rPr>
          <w:t>dinghuiguo@medmail.com.cn</w:t>
        </w:r>
      </w:hyperlink>
    </w:p>
    <w:p w:rsidR="00C24456" w:rsidRPr="00491BB4" w:rsidRDefault="00C24456" w:rsidP="00F32A86">
      <w:pPr>
        <w:snapToGrid w:val="0"/>
        <w:spacing w:line="360" w:lineRule="auto"/>
        <w:rPr>
          <w:rFonts w:ascii="Book Antiqua" w:hAnsi="Book Antiqua" w:cs="Arial"/>
          <w:sz w:val="24"/>
        </w:rPr>
      </w:pPr>
    </w:p>
    <w:p w:rsidR="00C24456" w:rsidRPr="00491BB4" w:rsidRDefault="00C24456" w:rsidP="00F32A86">
      <w:pPr>
        <w:snapToGrid w:val="0"/>
        <w:spacing w:line="360" w:lineRule="auto"/>
        <w:rPr>
          <w:rFonts w:ascii="Book Antiqua" w:hAnsi="Book Antiqua" w:cs="Arial"/>
          <w:sz w:val="24"/>
        </w:rPr>
      </w:pPr>
      <w:r w:rsidRPr="00491BB4">
        <w:rPr>
          <w:rFonts w:ascii="Book Antiqua" w:hAnsi="Book Antiqua" w:cs="Arial"/>
          <w:b/>
          <w:sz w:val="24"/>
        </w:rPr>
        <w:t>Telephone:</w:t>
      </w:r>
      <w:r w:rsidRPr="00491BB4">
        <w:rPr>
          <w:rFonts w:ascii="Book Antiqua" w:hAnsi="Book Antiqua" w:cs="Arial"/>
          <w:sz w:val="24"/>
        </w:rPr>
        <w:t xml:space="preserve"> +86-10-83997155     </w:t>
      </w:r>
      <w:r w:rsidRPr="00491BB4">
        <w:rPr>
          <w:rFonts w:ascii="Book Antiqua" w:hAnsi="Book Antiqua" w:cs="Arial"/>
          <w:b/>
          <w:sz w:val="24"/>
        </w:rPr>
        <w:t>Fax:</w:t>
      </w:r>
      <w:r w:rsidRPr="00491BB4">
        <w:rPr>
          <w:rFonts w:ascii="Book Antiqua" w:hAnsi="Book Antiqua" w:cs="Arial"/>
          <w:sz w:val="24"/>
        </w:rPr>
        <w:t xml:space="preserve"> +86-10-63295525</w:t>
      </w:r>
    </w:p>
    <w:p w:rsidR="00C24456" w:rsidRPr="00491BB4" w:rsidRDefault="00C24456" w:rsidP="00B873F9">
      <w:pPr>
        <w:adjustRightInd w:val="0"/>
        <w:snapToGrid w:val="0"/>
        <w:spacing w:line="360" w:lineRule="auto"/>
        <w:rPr>
          <w:rFonts w:ascii="Book Antiqua" w:hAnsi="Book Antiqua"/>
          <w:b/>
          <w:sz w:val="24"/>
        </w:rPr>
      </w:pPr>
      <w:bookmarkStart w:id="36" w:name="OLE_LINK25"/>
      <w:bookmarkStart w:id="37" w:name="OLE_LINK26"/>
      <w:bookmarkStart w:id="38" w:name="OLE_LINK145"/>
      <w:bookmarkStart w:id="39" w:name="OLE_LINK215"/>
      <w:bookmarkStart w:id="40" w:name="OLE_LINK352"/>
      <w:bookmarkStart w:id="41" w:name="OLE_LINK364"/>
      <w:bookmarkStart w:id="42" w:name="OLE_LINK383"/>
      <w:bookmarkStart w:id="43" w:name="OLE_LINK361"/>
      <w:bookmarkStart w:id="44" w:name="OLE_LINK444"/>
      <w:bookmarkStart w:id="45" w:name="OLE_LINK501"/>
      <w:bookmarkStart w:id="46" w:name="OLE_LINK572"/>
      <w:bookmarkStart w:id="47" w:name="OLE_LINK573"/>
      <w:bookmarkStart w:id="48" w:name="OLE_LINK756"/>
      <w:bookmarkStart w:id="49" w:name="OLE_LINK757"/>
      <w:bookmarkStart w:id="50" w:name="OLE_LINK805"/>
      <w:bookmarkStart w:id="51" w:name="OLE_LINK806"/>
      <w:bookmarkStart w:id="52" w:name="OLE_LINK958"/>
      <w:bookmarkStart w:id="53" w:name="OLE_LINK1018"/>
      <w:bookmarkStart w:id="54" w:name="OLE_LINK1059"/>
      <w:bookmarkStart w:id="55" w:name="OLE_LINK1122"/>
      <w:bookmarkStart w:id="56" w:name="OLE_LINK1123"/>
      <w:bookmarkStart w:id="57" w:name="OLE_LINK1402"/>
      <w:bookmarkStart w:id="58" w:name="OLE_LINK1750"/>
      <w:bookmarkStart w:id="59" w:name="OLE_LINK1751"/>
      <w:bookmarkStart w:id="60" w:name="OLE_LINK1832"/>
      <w:bookmarkStart w:id="61" w:name="OLE_LINK1878"/>
      <w:bookmarkStart w:id="62" w:name="OLE_LINK1917"/>
      <w:bookmarkStart w:id="63" w:name="OLE_LINK1918"/>
      <w:bookmarkStart w:id="64" w:name="OLE_LINK1985"/>
      <w:bookmarkStart w:id="65" w:name="OLE_LINK1986"/>
      <w:bookmarkStart w:id="66" w:name="OLE_LINK1927"/>
      <w:bookmarkStart w:id="67" w:name="OLE_LINK1928"/>
      <w:bookmarkStart w:id="68" w:name="OLE_LINK2044"/>
      <w:bookmarkStart w:id="69" w:name="OLE_LINK2352"/>
      <w:bookmarkStart w:id="70" w:name="OLE_LINK2220"/>
      <w:bookmarkStart w:id="71" w:name="OLE_LINK2344"/>
      <w:bookmarkStart w:id="72" w:name="OLE_LINK2347"/>
      <w:bookmarkStart w:id="73" w:name="OLE_LINK2626"/>
      <w:bookmarkStart w:id="74" w:name="OLE_LINK2390"/>
      <w:bookmarkStart w:id="75" w:name="OLE_LINK2752"/>
      <w:bookmarkStart w:id="76" w:name="OLE_LINK2753"/>
      <w:bookmarkStart w:id="77" w:name="OLE_LINK2855"/>
      <w:bookmarkStart w:id="78" w:name="OLE_LINK2992"/>
      <w:bookmarkStart w:id="79" w:name="OLE_LINK3241"/>
      <w:bookmarkStart w:id="80" w:name="OLE_LINK2682"/>
      <w:r w:rsidRPr="00491BB4">
        <w:rPr>
          <w:rFonts w:ascii="Book Antiqua" w:hAnsi="Book Antiqua"/>
          <w:b/>
          <w:sz w:val="24"/>
        </w:rPr>
        <w:t xml:space="preserve">Received: </w:t>
      </w:r>
      <w:r w:rsidRPr="00491BB4">
        <w:rPr>
          <w:rFonts w:ascii="Book Antiqua" w:hAnsi="Book Antiqua"/>
          <w:sz w:val="24"/>
        </w:rPr>
        <w:t>February 8, 2014</w:t>
      </w:r>
      <w:r w:rsidRPr="00491BB4">
        <w:rPr>
          <w:rFonts w:ascii="Book Antiqua" w:hAnsi="Book Antiqua"/>
          <w:b/>
          <w:sz w:val="24"/>
        </w:rPr>
        <w:t xml:space="preserve">      Revised: </w:t>
      </w:r>
      <w:r w:rsidRPr="00491BB4">
        <w:rPr>
          <w:rFonts w:ascii="Book Antiqua" w:hAnsi="Book Antiqua"/>
          <w:sz w:val="24"/>
        </w:rPr>
        <w:t>April 11, 2014</w:t>
      </w:r>
      <w:r w:rsidRPr="00491BB4">
        <w:rPr>
          <w:rFonts w:ascii="Book Antiqua" w:hAnsi="Book Antiqua"/>
          <w:b/>
          <w:sz w:val="24"/>
        </w:rPr>
        <w:t xml:space="preserve"> </w:t>
      </w:r>
      <w:bookmarkEnd w:id="36"/>
      <w:bookmarkEnd w:id="37"/>
      <w:r w:rsidRPr="00491BB4">
        <w:rPr>
          <w:rFonts w:ascii="Book Antiqua" w:hAnsi="Book Antiqua"/>
          <w:b/>
          <w:sz w:val="24"/>
        </w:rPr>
        <w:t xml:space="preserve"> </w:t>
      </w:r>
      <w:bookmarkStart w:id="81" w:name="OLE_LINK103"/>
      <w:bookmarkStart w:id="82" w:name="OLE_LINK104"/>
      <w:bookmarkStart w:id="83" w:name="OLE_LINK69"/>
      <w:bookmarkStart w:id="84" w:name="OLE_LINK70"/>
    </w:p>
    <w:p w:rsidR="007E5C7C" w:rsidRPr="00737869" w:rsidRDefault="00C24456" w:rsidP="007E5C7C">
      <w:pPr>
        <w:rPr>
          <w:rFonts w:ascii="Book Antiqua" w:hAnsi="Book Antiqua"/>
          <w:sz w:val="24"/>
        </w:rPr>
      </w:pPr>
      <w:bookmarkStart w:id="85" w:name="OLE_LINK303"/>
      <w:bookmarkStart w:id="86" w:name="OLE_LINK304"/>
      <w:bookmarkStart w:id="87" w:name="OLE_LINK1382"/>
      <w:bookmarkStart w:id="88" w:name="OLE_LINK2188"/>
      <w:bookmarkStart w:id="89" w:name="OLE_LINK2189"/>
      <w:bookmarkStart w:id="90" w:name="OLE_LINK2615"/>
      <w:r w:rsidRPr="00491BB4">
        <w:rPr>
          <w:rFonts w:ascii="Book Antiqua" w:hAnsi="Book Antiqua"/>
          <w:b/>
          <w:sz w:val="24"/>
        </w:rPr>
        <w:t>Accepted:</w:t>
      </w:r>
      <w:bookmarkStart w:id="91" w:name="OLE_LINK1"/>
      <w:bookmarkStart w:id="92" w:name="OLE_LINK2"/>
      <w:r w:rsidR="007E5C7C" w:rsidRPr="007E5C7C">
        <w:rPr>
          <w:rFonts w:ascii="Book Antiqua" w:hAnsi="Book Antiqua"/>
          <w:sz w:val="24"/>
        </w:rPr>
        <w:t xml:space="preserve"> </w:t>
      </w:r>
      <w:r w:rsidR="007E5C7C" w:rsidRPr="00737869">
        <w:rPr>
          <w:rFonts w:ascii="Book Antiqua" w:hAnsi="Book Antiqua"/>
          <w:sz w:val="24"/>
        </w:rPr>
        <w:t>May 12, 2014</w:t>
      </w:r>
      <w:bookmarkEnd w:id="91"/>
      <w:bookmarkEnd w:id="92"/>
    </w:p>
    <w:p w:rsidR="00C24456" w:rsidRPr="00491BB4" w:rsidRDefault="00C24456" w:rsidP="00B873F9">
      <w:pPr>
        <w:adjustRightInd w:val="0"/>
        <w:snapToGrid w:val="0"/>
        <w:spacing w:line="360" w:lineRule="auto"/>
        <w:rPr>
          <w:rFonts w:ascii="Book Antiqua" w:hAnsi="Book Antiqua"/>
          <w:b/>
          <w:sz w:val="24"/>
        </w:rPr>
      </w:pPr>
      <w:r w:rsidRPr="00491BB4">
        <w:rPr>
          <w:rFonts w:ascii="Book Antiqua" w:hAnsi="Book Antiqua"/>
          <w:b/>
          <w:sz w:val="24"/>
        </w:rPr>
        <w:t xml:space="preserve">  </w:t>
      </w:r>
    </w:p>
    <w:p w:rsidR="00C24456" w:rsidRPr="00491BB4" w:rsidRDefault="00C24456" w:rsidP="00B873F9">
      <w:pPr>
        <w:adjustRightInd w:val="0"/>
        <w:snapToGrid w:val="0"/>
        <w:spacing w:line="360" w:lineRule="auto"/>
        <w:rPr>
          <w:rFonts w:ascii="Book Antiqua" w:hAnsi="Book Antiqua"/>
          <w:b/>
          <w:sz w:val="24"/>
        </w:rPr>
      </w:pPr>
      <w:r w:rsidRPr="00491BB4">
        <w:rPr>
          <w:rFonts w:ascii="Book Antiqua" w:hAnsi="Book Antiqua"/>
          <w:b/>
          <w:sz w:val="24"/>
        </w:rPr>
        <w:t xml:space="preserve">Published online: </w:t>
      </w:r>
      <w:bookmarkEnd w:id="81"/>
      <w:bookmarkEnd w:id="82"/>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4"/>
    <w:bookmarkEnd w:id="85"/>
    <w:bookmarkEnd w:id="86"/>
    <w:bookmarkEnd w:id="87"/>
    <w:bookmarkEnd w:id="88"/>
    <w:bookmarkEnd w:id="89"/>
    <w:bookmarkEnd w:id="90"/>
    <w:p w:rsidR="00C24456" w:rsidRPr="00491BB4" w:rsidRDefault="00C24456" w:rsidP="00F32A86">
      <w:pPr>
        <w:snapToGrid w:val="0"/>
        <w:spacing w:line="360" w:lineRule="auto"/>
        <w:rPr>
          <w:rFonts w:ascii="Book Antiqua" w:hAnsi="Book Antiqua" w:cs="Arial"/>
          <w:sz w:val="24"/>
        </w:rPr>
      </w:pPr>
    </w:p>
    <w:p w:rsidR="00C24456" w:rsidRPr="00491BB4" w:rsidRDefault="00C24456" w:rsidP="00F32A86">
      <w:pPr>
        <w:widowControl/>
        <w:snapToGrid w:val="0"/>
        <w:spacing w:line="360" w:lineRule="auto"/>
        <w:rPr>
          <w:rFonts w:ascii="Book Antiqua" w:hAnsi="Book Antiqua" w:cs="Arial"/>
          <w:sz w:val="24"/>
        </w:rPr>
      </w:pPr>
      <w:r w:rsidRPr="00491BB4">
        <w:rPr>
          <w:rFonts w:ascii="Book Antiqua" w:hAnsi="Book Antiqua" w:cs="Arial"/>
          <w:sz w:val="24"/>
        </w:rPr>
        <w:br w:type="page"/>
      </w:r>
    </w:p>
    <w:p w:rsidR="00C24456" w:rsidRPr="00491BB4" w:rsidRDefault="00C24456" w:rsidP="00F32A86">
      <w:pPr>
        <w:pStyle w:val="11"/>
        <w:snapToGrid w:val="0"/>
        <w:spacing w:line="360" w:lineRule="auto"/>
        <w:jc w:val="both"/>
        <w:rPr>
          <w:rFonts w:ascii="Book Antiqua" w:hAnsi="Book Antiqua" w:cs="Arial"/>
          <w:b/>
          <w:sz w:val="24"/>
          <w:szCs w:val="24"/>
          <w:lang w:val="en-US" w:eastAsia="zh-CN"/>
        </w:rPr>
      </w:pPr>
      <w:r w:rsidRPr="00491BB4">
        <w:rPr>
          <w:rFonts w:ascii="Book Antiqua" w:hAnsi="Book Antiqua" w:cs="Arial"/>
          <w:b/>
          <w:sz w:val="24"/>
          <w:szCs w:val="24"/>
          <w:lang w:val="en-US" w:eastAsia="zh-CN"/>
        </w:rPr>
        <w:t>Abstract</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b/>
          <w:sz w:val="24"/>
          <w:szCs w:val="24"/>
          <w:lang w:val="en-US" w:eastAsia="zh-CN"/>
        </w:rPr>
        <w:t xml:space="preserve">AIM: </w:t>
      </w:r>
      <w:r w:rsidRPr="00491BB4">
        <w:rPr>
          <w:rFonts w:ascii="Book Antiqua" w:hAnsi="Book Antiqua" w:cs="Arial"/>
          <w:sz w:val="24"/>
          <w:szCs w:val="24"/>
          <w:lang w:val="en-US" w:eastAsia="zh-CN"/>
        </w:rPr>
        <w:t xml:space="preserve">To evaluate the efficacy and safety of </w:t>
      </w:r>
      <w:proofErr w:type="spellStart"/>
      <w:r w:rsidRPr="00491BB4">
        <w:rPr>
          <w:rFonts w:ascii="Book Antiqua" w:hAnsi="Book Antiqua" w:cs="Arial"/>
          <w:sz w:val="24"/>
          <w:szCs w:val="24"/>
          <w:lang w:val="en-US" w:eastAsia="zh-CN"/>
        </w:rPr>
        <w:t>tolvaptan</w:t>
      </w:r>
      <w:proofErr w:type="spellEnd"/>
      <w:r w:rsidRPr="00491BB4">
        <w:rPr>
          <w:rFonts w:ascii="Book Antiqua" w:hAnsi="Book Antiqua" w:cs="Arial"/>
          <w:sz w:val="24"/>
          <w:szCs w:val="24"/>
          <w:lang w:val="en-US" w:eastAsia="zh-CN"/>
        </w:rPr>
        <w:t xml:space="preserve"> for treatment refractory ascites in</w:t>
      </w:r>
      <w:r w:rsidRPr="00491BB4">
        <w:rPr>
          <w:rFonts w:ascii="Book Antiqua" w:hAnsi="Book Antiqua" w:cs="Arial"/>
          <w:sz w:val="24"/>
          <w:szCs w:val="24"/>
          <w:lang w:val="en-US"/>
        </w:rPr>
        <w:t xml:space="preserve"> decompensated liver cirrho</w:t>
      </w:r>
      <w:r w:rsidRPr="00491BB4">
        <w:rPr>
          <w:rFonts w:ascii="Book Antiqua" w:hAnsi="Book Antiqua" w:cs="Arial"/>
          <w:sz w:val="24"/>
          <w:szCs w:val="24"/>
          <w:lang w:val="en-US" w:eastAsia="zh-CN"/>
        </w:rPr>
        <w:t>sis</w:t>
      </w:r>
      <w:r w:rsidRPr="00491BB4">
        <w:rPr>
          <w:rFonts w:ascii="Book Antiqua" w:hAnsi="Book Antiqua" w:cs="Arial"/>
          <w:sz w:val="24"/>
          <w:szCs w:val="24"/>
          <w:lang w:val="en-US"/>
        </w:rPr>
        <w:t xml:space="preserve"> patients with </w:t>
      </w:r>
      <w:r w:rsidRPr="00491BB4">
        <w:rPr>
          <w:rFonts w:ascii="Book Antiqua" w:hAnsi="Book Antiqua" w:cs="Arial"/>
          <w:sz w:val="24"/>
          <w:szCs w:val="24"/>
          <w:lang w:val="en-US" w:eastAsia="zh-CN"/>
        </w:rPr>
        <w:t xml:space="preserve">or without </w:t>
      </w:r>
      <w:r w:rsidRPr="00491BB4">
        <w:rPr>
          <w:rFonts w:ascii="Book Antiqua" w:hAnsi="Book Antiqua" w:cs="Arial"/>
          <w:sz w:val="24"/>
          <w:szCs w:val="24"/>
          <w:lang w:val="en-US"/>
        </w:rPr>
        <w:t xml:space="preserve">further complications, such as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and</w:t>
      </w:r>
      <w:r w:rsidRPr="00491BB4">
        <w:rPr>
          <w:rFonts w:ascii="Book Antiqua" w:hAnsi="Book Antiqua" w:cs="Arial"/>
          <w:sz w:val="24"/>
          <w:szCs w:val="24"/>
          <w:lang w:val="en-US" w:eastAsia="zh-CN"/>
        </w:rPr>
        <w:t xml:space="preserve">/or </w:t>
      </w:r>
      <w:r w:rsidRPr="00491BB4">
        <w:rPr>
          <w:rFonts w:ascii="Book Antiqua" w:hAnsi="Book Antiqua" w:cs="Arial"/>
          <w:sz w:val="24"/>
          <w:szCs w:val="24"/>
          <w:lang w:val="en-US"/>
        </w:rPr>
        <w:t>hepatocellular carcinoma</w:t>
      </w:r>
      <w:r w:rsidRPr="00491BB4">
        <w:rPr>
          <w:rFonts w:ascii="Book Antiqua" w:hAnsi="Book Antiqua" w:cs="Arial"/>
          <w:sz w:val="24"/>
          <w:szCs w:val="24"/>
          <w:lang w:val="en-US" w:eastAsia="zh-CN"/>
        </w:rPr>
        <w:t>.</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p>
    <w:p w:rsidR="00C24456" w:rsidRPr="00491BB4" w:rsidRDefault="00C24456" w:rsidP="00F32A86">
      <w:pPr>
        <w:pStyle w:val="11"/>
        <w:snapToGrid w:val="0"/>
        <w:spacing w:line="360" w:lineRule="auto"/>
        <w:jc w:val="both"/>
        <w:rPr>
          <w:rFonts w:ascii="Book Antiqua" w:hAnsi="Book Antiqua" w:cs="Arial"/>
          <w:sz w:val="24"/>
          <w:szCs w:val="24"/>
          <w:lang w:val="en-US" w:eastAsia="zh-CN"/>
        </w:rPr>
      </w:pPr>
      <w:r w:rsidRPr="00491BB4">
        <w:rPr>
          <w:rFonts w:ascii="Book Antiqua" w:hAnsi="Book Antiqua" w:cs="Arial"/>
          <w:b/>
          <w:sz w:val="24"/>
          <w:szCs w:val="24"/>
          <w:lang w:val="en-US" w:eastAsia="zh-CN"/>
        </w:rPr>
        <w:t>METHODS:</w:t>
      </w:r>
      <w:r w:rsidRPr="00491BB4">
        <w:rPr>
          <w:rFonts w:ascii="Book Antiqua" w:hAnsi="Book Antiqua" w:cs="Arial"/>
          <w:i/>
          <w:sz w:val="24"/>
          <w:szCs w:val="24"/>
          <w:lang w:val="en-US" w:eastAsia="zh-CN"/>
        </w:rPr>
        <w:t xml:space="preserve"> </w:t>
      </w:r>
      <w:r w:rsidRPr="00491BB4">
        <w:rPr>
          <w:rFonts w:ascii="Book Antiqua" w:hAnsi="Book Antiqua" w:cs="Arial"/>
          <w:sz w:val="24"/>
          <w:szCs w:val="24"/>
          <w:lang w:val="en-US" w:eastAsia="zh-CN"/>
        </w:rPr>
        <w:t xml:space="preserve">Thirty-nine patients (mean age 55 years, males: 32) with decompensated liver cirrhosis and refractory ascites were enrolled. All patients received a combination of </w:t>
      </w:r>
      <w:proofErr w:type="spellStart"/>
      <w:r w:rsidRPr="00491BB4">
        <w:rPr>
          <w:rFonts w:ascii="Book Antiqua" w:hAnsi="Book Antiqua" w:cs="Arial"/>
          <w:sz w:val="24"/>
          <w:szCs w:val="24"/>
          <w:lang w:val="en-US" w:eastAsia="zh-CN"/>
        </w:rPr>
        <w:t>tolvaptan</w:t>
      </w:r>
      <w:proofErr w:type="spellEnd"/>
      <w:r w:rsidRPr="00491BB4">
        <w:rPr>
          <w:rFonts w:ascii="Book Antiqua" w:hAnsi="Book Antiqua" w:cs="Arial"/>
          <w:sz w:val="24"/>
          <w:szCs w:val="24"/>
          <w:lang w:val="en-US" w:eastAsia="zh-CN"/>
        </w:rPr>
        <w:t xml:space="preserve"> (15 mg/d for 5–14 d) and diuretics </w:t>
      </w:r>
      <w:r w:rsidRPr="00491BB4">
        <w:rPr>
          <w:rFonts w:ascii="Book Antiqua" w:hAnsi="Book Antiqua" w:cs="Arial"/>
          <w:sz w:val="24"/>
          <w:szCs w:val="24"/>
          <w:lang w:val="en-US"/>
        </w:rPr>
        <w:t>(40</w:t>
      </w:r>
      <w:r w:rsidRPr="00491BB4">
        <w:rPr>
          <w:rFonts w:ascii="Book Antiqua" w:hAnsi="Book Antiqua" w:cs="Arial"/>
          <w:sz w:val="24"/>
          <w:szCs w:val="24"/>
          <w:lang w:val="en-US" w:eastAsia="zh-CN"/>
        </w:rPr>
        <w:t>–</w:t>
      </w:r>
      <w:r w:rsidRPr="00491BB4">
        <w:rPr>
          <w:rFonts w:ascii="Book Antiqua" w:hAnsi="Book Antiqua" w:cs="Arial"/>
          <w:sz w:val="24"/>
          <w:szCs w:val="24"/>
          <w:lang w:val="en-US"/>
        </w:rPr>
        <w:t>80 mg/d of furosemide and 80</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160 mg/d of spironolactone). </w:t>
      </w:r>
      <w:r w:rsidRPr="00491BB4">
        <w:rPr>
          <w:rFonts w:ascii="Book Antiqua" w:hAnsi="Book Antiqua" w:cs="Arial"/>
          <w:sz w:val="24"/>
          <w:szCs w:val="24"/>
          <w:lang w:val="en-US" w:eastAsia="zh-CN"/>
        </w:rPr>
        <w:t xml:space="preserve">The etiology of cirrhosis included hepatitis B (69.2%), hepatitis C (7.7%) and alcohol-induced (23.1%). </w:t>
      </w:r>
      <w:r w:rsidRPr="00491BB4">
        <w:rPr>
          <w:rFonts w:ascii="Book Antiqua" w:hAnsi="Book Antiqua" w:cs="Arial"/>
          <w:sz w:val="24"/>
          <w:szCs w:val="24"/>
          <w:lang w:val="en-US"/>
        </w:rPr>
        <w:t xml:space="preserve">Changes in the urine excretion volume, abdominal circumference and edema were assessed. </w:t>
      </w:r>
      <w:r w:rsidRPr="00491BB4">
        <w:rPr>
          <w:rFonts w:ascii="Book Antiqua" w:hAnsi="Book Antiqua" w:cs="Arial"/>
          <w:sz w:val="24"/>
          <w:szCs w:val="24"/>
          <w:lang w:val="en-US" w:eastAsia="zh-CN"/>
        </w:rPr>
        <w:t>T</w:t>
      </w:r>
      <w:r w:rsidRPr="00491BB4">
        <w:rPr>
          <w:rFonts w:ascii="Book Antiqua" w:hAnsi="Book Antiqua" w:cs="Arial"/>
          <w:sz w:val="24"/>
          <w:szCs w:val="24"/>
          <w:lang w:val="en-US"/>
        </w:rPr>
        <w:t>he</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 xml:space="preserve">serum sodium levels were also measured, and adverse events were recorded. A follow-up assessment was conducted 1 month after treatment with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w:t>
      </w:r>
    </w:p>
    <w:p w:rsidR="00C24456" w:rsidRPr="00491BB4" w:rsidRDefault="00C24456" w:rsidP="00F32A86">
      <w:pPr>
        <w:pStyle w:val="11"/>
        <w:snapToGrid w:val="0"/>
        <w:spacing w:line="360" w:lineRule="auto"/>
        <w:jc w:val="both"/>
        <w:rPr>
          <w:rFonts w:ascii="Book Antiqua" w:hAnsi="Book Antiqua" w:cs="Arial"/>
          <w:sz w:val="24"/>
          <w:szCs w:val="24"/>
          <w:lang w:val="en-US" w:eastAsia="zh-CN"/>
        </w:rPr>
      </w:pPr>
    </w:p>
    <w:p w:rsidR="00C24456" w:rsidRPr="00491BB4" w:rsidRDefault="00C24456" w:rsidP="00F32A86">
      <w:pPr>
        <w:pStyle w:val="11"/>
        <w:snapToGrid w:val="0"/>
        <w:spacing w:line="360" w:lineRule="auto"/>
        <w:jc w:val="both"/>
        <w:rPr>
          <w:rFonts w:ascii="Book Antiqua" w:hAnsi="Book Antiqua" w:cs="Arial"/>
          <w:sz w:val="24"/>
          <w:szCs w:val="24"/>
          <w:lang w:val="en-US" w:eastAsia="zh-CN"/>
        </w:rPr>
      </w:pPr>
      <w:r w:rsidRPr="00491BB4">
        <w:rPr>
          <w:rFonts w:ascii="Book Antiqua" w:hAnsi="Book Antiqua" w:cs="Arial"/>
          <w:b/>
          <w:sz w:val="24"/>
          <w:szCs w:val="24"/>
          <w:lang w:val="en-US" w:eastAsia="zh-CN"/>
        </w:rPr>
        <w:t>RESULTS:</w:t>
      </w:r>
      <w:r w:rsidRPr="00491BB4">
        <w:rPr>
          <w:rFonts w:ascii="Book Antiqua" w:hAnsi="Book Antiqua" w:cs="Arial"/>
          <w:i/>
          <w:sz w:val="24"/>
          <w:szCs w:val="24"/>
          <w:lang w:val="en-US" w:eastAsia="zh-CN"/>
        </w:rPr>
        <w:t xml:space="preserve"> </w:t>
      </w:r>
      <w:proofErr w:type="spellStart"/>
      <w:r w:rsidRPr="00491BB4">
        <w:rPr>
          <w:rFonts w:ascii="Book Antiqua" w:hAnsi="Book Antiqua" w:cs="Arial"/>
          <w:sz w:val="24"/>
          <w:szCs w:val="24"/>
          <w:lang w:val="en-US" w:eastAsia="zh-CN"/>
        </w:rPr>
        <w:t>Tolvaptan</w:t>
      </w:r>
      <w:proofErr w:type="spellEnd"/>
      <w:r w:rsidRPr="00491BB4">
        <w:rPr>
          <w:rFonts w:ascii="Book Antiqua" w:hAnsi="Book Antiqua" w:cs="Arial"/>
          <w:sz w:val="24"/>
          <w:szCs w:val="24"/>
          <w:lang w:val="en-US" w:eastAsia="zh-CN"/>
        </w:rPr>
        <w:t xml:space="preserve"> increased the mean urine excretion volume (</w:t>
      </w:r>
      <w:r w:rsidRPr="00491BB4">
        <w:rPr>
          <w:rFonts w:ascii="Book Antiqua" w:hAnsi="Book Antiqua" w:cs="Arial"/>
          <w:sz w:val="24"/>
          <w:szCs w:val="24"/>
          <w:lang w:val="en-US"/>
        </w:rPr>
        <w:t>1</w:t>
      </w:r>
      <w:r w:rsidRPr="00491BB4">
        <w:rPr>
          <w:rFonts w:ascii="Book Antiqua" w:hAnsi="Book Antiqua" w:cs="Arial"/>
          <w:sz w:val="24"/>
          <w:szCs w:val="24"/>
          <w:lang w:val="en-US" w:eastAsia="zh-CN"/>
        </w:rPr>
        <w:t>969</w:t>
      </w:r>
      <w:r w:rsidRPr="00491BB4">
        <w:rPr>
          <w:rFonts w:ascii="Book Antiqua" w:hAnsi="Book Antiqua" w:cs="Arial"/>
          <w:sz w:val="24"/>
          <w:szCs w:val="24"/>
          <w:lang w:val="en-US"/>
        </w:rPr>
        <w:t>.</w:t>
      </w:r>
      <w:r w:rsidRPr="00491BB4">
        <w:rPr>
          <w:rFonts w:ascii="Book Antiqua" w:hAnsi="Book Antiqua" w:cs="Arial"/>
          <w:sz w:val="24"/>
          <w:szCs w:val="24"/>
          <w:lang w:val="en-US" w:eastAsia="zh-CN"/>
        </w:rPr>
        <w:t>2</w:t>
      </w:r>
      <w:r w:rsidRPr="00491BB4">
        <w:rPr>
          <w:rFonts w:ascii="Book Antiqua" w:hAnsi="Book Antiqua" w:cs="Arial"/>
          <w:sz w:val="24"/>
          <w:szCs w:val="24"/>
          <w:lang w:val="en-US"/>
        </w:rPr>
        <w:t xml:space="preserve"> ± </w:t>
      </w:r>
      <w:r w:rsidRPr="00491BB4">
        <w:rPr>
          <w:rFonts w:ascii="Book Antiqua" w:hAnsi="Book Antiqua" w:cs="Arial"/>
          <w:sz w:val="24"/>
          <w:szCs w:val="24"/>
          <w:lang w:val="en-US" w:eastAsia="zh-CN"/>
        </w:rPr>
        <w:t>355</w:t>
      </w:r>
      <w:r w:rsidRPr="00491BB4">
        <w:rPr>
          <w:rFonts w:ascii="Book Antiqua" w:hAnsi="Book Antiqua" w:cs="Arial"/>
          <w:sz w:val="24"/>
          <w:szCs w:val="24"/>
          <w:lang w:val="en-US"/>
        </w:rPr>
        <w:t>.</w:t>
      </w:r>
      <w:r w:rsidRPr="00491BB4">
        <w:rPr>
          <w:rFonts w:ascii="Book Antiqua" w:hAnsi="Book Antiqua" w:cs="Arial"/>
          <w:sz w:val="24"/>
          <w:szCs w:val="24"/>
          <w:lang w:val="en-US" w:eastAsia="zh-CN"/>
        </w:rPr>
        <w:t>55</w:t>
      </w:r>
      <w:r w:rsidRPr="00491BB4">
        <w:rPr>
          <w:rFonts w:ascii="Book Antiqua" w:hAnsi="Book Antiqua" w:cs="Arial"/>
          <w:sz w:val="24"/>
          <w:szCs w:val="24"/>
          <w:lang w:val="en-US"/>
        </w:rPr>
        <w:t xml:space="preserve"> mL</w:t>
      </w:r>
      <w:r w:rsidRPr="00491BB4">
        <w:rPr>
          <w:rFonts w:ascii="Book Antiqua" w:hAnsi="Book Antiqua" w:cs="Arial"/>
          <w:i/>
          <w:sz w:val="24"/>
          <w:szCs w:val="24"/>
          <w:lang w:val="en-US" w:eastAsia="zh-CN"/>
        </w:rPr>
        <w:t xml:space="preserve"> vs</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3</w:t>
      </w:r>
      <w:r w:rsidRPr="00491BB4">
        <w:rPr>
          <w:rFonts w:ascii="Book Antiqua" w:hAnsi="Book Antiqua" w:cs="Arial"/>
          <w:sz w:val="24"/>
          <w:szCs w:val="24"/>
          <w:lang w:val="en-US" w:eastAsia="zh-CN"/>
        </w:rPr>
        <w:t>410</w:t>
      </w:r>
      <w:r w:rsidRPr="00491BB4">
        <w:rPr>
          <w:rFonts w:ascii="Book Antiqua" w:hAnsi="Book Antiqua" w:cs="Arial"/>
          <w:sz w:val="24"/>
          <w:szCs w:val="24"/>
          <w:lang w:val="en-US"/>
        </w:rPr>
        <w:t xml:space="preserve">.3 ± </w:t>
      </w:r>
      <w:r w:rsidRPr="00491BB4">
        <w:rPr>
          <w:rFonts w:ascii="Book Antiqua" w:hAnsi="Book Antiqua" w:cs="Arial"/>
          <w:sz w:val="24"/>
          <w:szCs w:val="24"/>
          <w:lang w:val="en-US" w:eastAsia="zh-CN"/>
        </w:rPr>
        <w:t>974.1</w:t>
      </w:r>
      <w:r w:rsidRPr="00491BB4">
        <w:rPr>
          <w:rFonts w:ascii="Book Antiqua" w:hAnsi="Book Antiqua" w:cs="Arial"/>
          <w:sz w:val="24"/>
          <w:szCs w:val="24"/>
          <w:lang w:val="en-US"/>
        </w:rPr>
        <w:t xml:space="preserve"> mL</w:t>
      </w:r>
      <w:r w:rsidRPr="00491BB4">
        <w:rPr>
          <w:rFonts w:ascii="Book Antiqua" w:hAnsi="Book Antiqua" w:cs="Arial"/>
          <w:sz w:val="24"/>
          <w:szCs w:val="24"/>
          <w:lang w:val="en-US" w:eastAsia="zh-CN"/>
        </w:rPr>
        <w:t xml:space="preserve">, </w:t>
      </w:r>
      <w:r w:rsidRPr="00491BB4">
        <w:rPr>
          <w:rFonts w:ascii="Book Antiqua" w:hAnsi="Book Antiqua" w:cs="Arial"/>
          <w:i/>
          <w:sz w:val="24"/>
          <w:szCs w:val="24"/>
          <w:lang w:val="en-US" w:eastAsia="zh-CN"/>
        </w:rPr>
        <w:t>P</w:t>
      </w:r>
      <w:r w:rsidRPr="00491BB4">
        <w:rPr>
          <w:rFonts w:ascii="Book Antiqua" w:hAnsi="Book Antiqua" w:cs="Arial"/>
          <w:sz w:val="24"/>
          <w:szCs w:val="24"/>
          <w:lang w:val="en-US" w:eastAsia="zh-CN"/>
        </w:rPr>
        <w:t xml:space="preserve"> &lt; 0.001</w:t>
      </w:r>
      <w:r w:rsidRPr="00491BB4">
        <w:rPr>
          <w:rFonts w:ascii="Book Antiqua" w:hAnsi="Book Antiqua" w:cs="Arial"/>
          <w:sz w:val="24"/>
          <w:szCs w:val="24"/>
          <w:lang w:val="en-US"/>
        </w:rPr>
        <w:t>), and 89.7% of</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patients had improvements in their ascites</w:t>
      </w:r>
      <w:r w:rsidRPr="00491BB4">
        <w:rPr>
          <w:rFonts w:ascii="Book Antiqua" w:hAnsi="Book Antiqua" w:cs="Arial"/>
          <w:sz w:val="24"/>
          <w:szCs w:val="24"/>
          <w:lang w:val="en-US" w:eastAsia="zh-CN"/>
        </w:rPr>
        <w:t>, 46.2% of whom had significant improvements</w:t>
      </w:r>
      <w:r w:rsidRPr="00491BB4">
        <w:rPr>
          <w:rFonts w:ascii="Book Antiqua" w:hAnsi="Book Antiqua" w:cs="Arial"/>
          <w:sz w:val="24"/>
          <w:szCs w:val="24"/>
          <w:lang w:val="en-US"/>
        </w:rPr>
        <w:t xml:space="preserve">. The overall efficacy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in all patients was 89.7%; the efficacies in patients with hepatocellular carcinoma and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were 84.2% and 77.8%, respectively.</w:t>
      </w:r>
      <w:r w:rsidRPr="00491BB4">
        <w:rPr>
          <w:rFonts w:ascii="Book Antiqua" w:hAnsi="Book Antiqua"/>
          <w:sz w:val="24"/>
          <w:szCs w:val="24"/>
          <w:lang w:val="en-US"/>
        </w:rPr>
        <w:t xml:space="preserve"> </w:t>
      </w:r>
      <w:r w:rsidRPr="00491BB4">
        <w:rPr>
          <w:rFonts w:ascii="Book Antiqua" w:hAnsi="Book Antiqua" w:cs="Arial"/>
          <w:sz w:val="24"/>
          <w:szCs w:val="24"/>
          <w:lang w:val="en-US"/>
        </w:rPr>
        <w:t xml:space="preserve">The incidence of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was 53.8%</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In patients with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the serum sodium levels increased after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treatment (from 128.1 ± 4.2</w:t>
      </w:r>
      <w:r w:rsidRPr="00491BB4">
        <w:rPr>
          <w:rFonts w:ascii="Book Antiqua" w:hAnsi="Book Antiqua" w:cs="Arial"/>
          <w:sz w:val="24"/>
          <w:szCs w:val="24"/>
          <w:lang w:val="en-US" w:eastAsia="zh-CN"/>
        </w:rPr>
        <w:t>2</w:t>
      </w:r>
      <w:r w:rsidRPr="00491BB4">
        <w:rPr>
          <w:rFonts w:ascii="Book Antiqua" w:hAnsi="Book Antiqua" w:cs="Arial"/>
          <w:sz w:val="24"/>
          <w:szCs w:val="24"/>
          <w:lang w:val="en-US"/>
        </w:rPr>
        <w:t xml:space="preserve">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 xml:space="preserve">/L </w:t>
      </w:r>
      <w:r w:rsidRPr="00491BB4">
        <w:rPr>
          <w:rFonts w:ascii="Book Antiqua" w:hAnsi="Book Antiqua" w:cs="Arial"/>
          <w:i/>
          <w:sz w:val="24"/>
          <w:szCs w:val="24"/>
          <w:lang w:val="en-US" w:eastAsia="zh-CN"/>
        </w:rPr>
        <w:t>vs</w:t>
      </w:r>
      <w:r w:rsidRPr="00491BB4">
        <w:rPr>
          <w:rFonts w:ascii="Book Antiqua" w:hAnsi="Book Antiqua" w:cs="Arial"/>
          <w:sz w:val="24"/>
          <w:szCs w:val="24"/>
          <w:lang w:val="en-US"/>
        </w:rPr>
        <w:t xml:space="preserve"> 13</w:t>
      </w:r>
      <w:r w:rsidRPr="00491BB4">
        <w:rPr>
          <w:rFonts w:ascii="Book Antiqua" w:hAnsi="Book Antiqua" w:cs="Arial"/>
          <w:sz w:val="24"/>
          <w:szCs w:val="24"/>
          <w:lang w:val="en-US" w:eastAsia="zh-CN"/>
        </w:rPr>
        <w:t>3</w:t>
      </w:r>
      <w:r w:rsidRPr="00491BB4">
        <w:rPr>
          <w:rFonts w:ascii="Book Antiqua" w:hAnsi="Book Antiqua" w:cs="Arial"/>
          <w:sz w:val="24"/>
          <w:szCs w:val="24"/>
          <w:lang w:val="en-US"/>
        </w:rPr>
        <w:t>.</w:t>
      </w:r>
      <w:r w:rsidRPr="00491BB4">
        <w:rPr>
          <w:rFonts w:ascii="Book Antiqua" w:hAnsi="Book Antiqua" w:cs="Arial"/>
          <w:sz w:val="24"/>
          <w:szCs w:val="24"/>
          <w:lang w:val="en-US" w:eastAsia="zh-CN"/>
        </w:rPr>
        <w:t>1</w:t>
      </w:r>
      <w:r w:rsidRPr="00491BB4">
        <w:rPr>
          <w:rFonts w:ascii="Book Antiqua" w:hAnsi="Book Antiqua" w:cs="Arial"/>
          <w:sz w:val="24"/>
          <w:szCs w:val="24"/>
          <w:lang w:val="en-US"/>
        </w:rPr>
        <w:t xml:space="preserve"> ± </w:t>
      </w:r>
      <w:r w:rsidRPr="00491BB4">
        <w:rPr>
          <w:rFonts w:ascii="Book Antiqua" w:hAnsi="Book Antiqua" w:cs="Arial"/>
          <w:sz w:val="24"/>
          <w:szCs w:val="24"/>
          <w:lang w:val="en-US" w:eastAsia="zh-CN"/>
        </w:rPr>
        <w:t xml:space="preserve">3.8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/L</w:t>
      </w:r>
      <w:r w:rsidRPr="00491BB4">
        <w:rPr>
          <w:rFonts w:ascii="Book Antiqua" w:hAnsi="Book Antiqua" w:cs="Arial"/>
          <w:sz w:val="24"/>
          <w:szCs w:val="24"/>
          <w:lang w:val="en-US" w:eastAsia="zh-CN"/>
        </w:rPr>
        <w:t xml:space="preserve">, </w:t>
      </w:r>
      <w:r w:rsidRPr="00491BB4">
        <w:rPr>
          <w:rFonts w:ascii="Book Antiqua" w:hAnsi="Book Antiqua" w:cs="Arial"/>
          <w:i/>
          <w:sz w:val="24"/>
          <w:szCs w:val="24"/>
          <w:lang w:val="en-US" w:eastAsia="zh-CN"/>
        </w:rPr>
        <w:t>P</w:t>
      </w:r>
      <w:r w:rsidRPr="00491BB4">
        <w:rPr>
          <w:rFonts w:ascii="Book Antiqua" w:hAnsi="Book Antiqua" w:cs="Arial"/>
          <w:sz w:val="24"/>
          <w:szCs w:val="24"/>
          <w:lang w:val="en-US" w:eastAsia="zh-CN"/>
        </w:rPr>
        <w:t xml:space="preserve"> &lt; 0.001</w:t>
      </w:r>
      <w:r w:rsidRPr="00491BB4">
        <w:rPr>
          <w:rFonts w:ascii="Book Antiqua" w:hAnsi="Book Antiqua" w:cs="Arial"/>
          <w:sz w:val="24"/>
          <w:szCs w:val="24"/>
          <w:lang w:val="en-US"/>
        </w:rPr>
        <w:t xml:space="preserve">). Only mild drug-related adverse events, including thirst and dry mouth, were </w:t>
      </w:r>
      <w:r w:rsidRPr="00491BB4">
        <w:rPr>
          <w:rFonts w:ascii="Book Antiqua" w:hAnsi="Book Antiqua" w:cs="Arial"/>
          <w:sz w:val="24"/>
          <w:szCs w:val="24"/>
          <w:lang w:val="en-US" w:eastAsia="zh-CN"/>
        </w:rPr>
        <w:t>observed</w:t>
      </w:r>
      <w:r w:rsidRPr="00491BB4">
        <w:rPr>
          <w:rFonts w:ascii="Book Antiqua" w:hAnsi="Book Antiqua" w:cs="Arial"/>
          <w:sz w:val="24"/>
          <w:szCs w:val="24"/>
          <w:lang w:val="en-US"/>
        </w:rPr>
        <w:t xml:space="preserve">. </w:t>
      </w:r>
    </w:p>
    <w:p w:rsidR="00C24456" w:rsidRPr="00491BB4" w:rsidRDefault="00C24456" w:rsidP="00F32A86">
      <w:pPr>
        <w:pStyle w:val="11"/>
        <w:snapToGrid w:val="0"/>
        <w:spacing w:line="360" w:lineRule="auto"/>
        <w:jc w:val="both"/>
        <w:rPr>
          <w:rFonts w:ascii="Book Antiqua" w:hAnsi="Book Antiqua" w:cs="Arial"/>
          <w:sz w:val="24"/>
          <w:szCs w:val="24"/>
          <w:lang w:val="en-US" w:eastAsia="zh-CN"/>
        </w:rPr>
      </w:pPr>
    </w:p>
    <w:p w:rsidR="00C24456" w:rsidRPr="00491BB4" w:rsidRDefault="00C24456" w:rsidP="00F32A86">
      <w:pPr>
        <w:pStyle w:val="a7"/>
        <w:snapToGrid w:val="0"/>
        <w:spacing w:line="360" w:lineRule="auto"/>
        <w:jc w:val="both"/>
        <w:rPr>
          <w:rFonts w:ascii="Book Antiqua" w:hAnsi="Book Antiqua" w:cs="Arial"/>
          <w:sz w:val="24"/>
          <w:szCs w:val="24"/>
          <w:lang w:eastAsia="zh-CN"/>
        </w:rPr>
      </w:pPr>
      <w:r w:rsidRPr="00491BB4">
        <w:rPr>
          <w:rFonts w:ascii="Book Antiqua" w:hAnsi="Book Antiqua" w:cs="Arial"/>
          <w:b/>
          <w:sz w:val="24"/>
          <w:szCs w:val="24"/>
          <w:lang w:eastAsia="zh-CN"/>
        </w:rPr>
        <w:t>CONCLUSION:</w:t>
      </w:r>
      <w:r w:rsidRPr="00491BB4">
        <w:rPr>
          <w:rFonts w:ascii="Book Antiqua" w:hAnsi="Book Antiqua" w:cs="Arial"/>
          <w:i/>
          <w:sz w:val="24"/>
          <w:szCs w:val="24"/>
        </w:rPr>
        <w:t xml:space="preserve">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is a promising </w:t>
      </w:r>
      <w:proofErr w:type="spellStart"/>
      <w:r w:rsidRPr="00491BB4">
        <w:rPr>
          <w:rFonts w:ascii="Book Antiqua" w:hAnsi="Book Antiqua" w:cs="Arial"/>
          <w:sz w:val="24"/>
          <w:szCs w:val="24"/>
        </w:rPr>
        <w:t>aquaretic</w:t>
      </w:r>
      <w:proofErr w:type="spellEnd"/>
      <w:r w:rsidRPr="00491BB4">
        <w:rPr>
          <w:rFonts w:ascii="Book Antiqua" w:hAnsi="Book Antiqua" w:cs="Arial"/>
          <w:sz w:val="24"/>
          <w:szCs w:val="24"/>
        </w:rPr>
        <w:t xml:space="preserve"> for the treatment of refractory ascites in patients with decompensated liver cirrhosis.</w:t>
      </w:r>
    </w:p>
    <w:p w:rsidR="00C24456" w:rsidRPr="00491BB4" w:rsidRDefault="00C24456" w:rsidP="00F32A86">
      <w:pPr>
        <w:pStyle w:val="a7"/>
        <w:snapToGrid w:val="0"/>
        <w:spacing w:line="360" w:lineRule="auto"/>
        <w:jc w:val="both"/>
        <w:rPr>
          <w:rFonts w:ascii="Book Antiqua" w:hAnsi="Book Antiqua"/>
          <w:sz w:val="24"/>
          <w:szCs w:val="24"/>
          <w:lang w:eastAsia="zh-CN"/>
        </w:rPr>
      </w:pPr>
    </w:p>
    <w:p w:rsidR="00C24456" w:rsidRPr="00491BB4" w:rsidRDefault="00C24456" w:rsidP="00673F07">
      <w:pPr>
        <w:adjustRightInd w:val="0"/>
        <w:snapToGrid w:val="0"/>
        <w:spacing w:line="360" w:lineRule="auto"/>
        <w:rPr>
          <w:rFonts w:ascii="Book Antiqua" w:hAnsi="Book Antiqua"/>
          <w:sz w:val="24"/>
        </w:rPr>
      </w:pPr>
      <w:bookmarkStart w:id="93" w:name="OLE_LINK98"/>
      <w:bookmarkStart w:id="94" w:name="OLE_LINK156"/>
      <w:bookmarkStart w:id="95" w:name="OLE_LINK196"/>
      <w:bookmarkStart w:id="96" w:name="OLE_LINK217"/>
      <w:bookmarkStart w:id="97" w:name="OLE_LINK242"/>
      <w:bookmarkStart w:id="98" w:name="OLE_LINK247"/>
      <w:bookmarkStart w:id="99" w:name="OLE_LINK311"/>
      <w:bookmarkStart w:id="100" w:name="OLE_LINK312"/>
      <w:bookmarkStart w:id="101" w:name="OLE_LINK325"/>
      <w:bookmarkStart w:id="102" w:name="OLE_LINK330"/>
      <w:bookmarkStart w:id="103" w:name="OLE_LINK513"/>
      <w:bookmarkStart w:id="104" w:name="OLE_LINK514"/>
      <w:bookmarkStart w:id="105" w:name="OLE_LINK464"/>
      <w:bookmarkStart w:id="106" w:name="OLE_LINK465"/>
      <w:bookmarkStart w:id="107" w:name="OLE_LINK466"/>
      <w:bookmarkStart w:id="108" w:name="OLE_LINK470"/>
      <w:bookmarkStart w:id="109" w:name="OLE_LINK471"/>
      <w:bookmarkStart w:id="110" w:name="OLE_LINK472"/>
      <w:bookmarkStart w:id="111" w:name="OLE_LINK474"/>
      <w:bookmarkStart w:id="112" w:name="OLE_LINK512"/>
      <w:bookmarkStart w:id="113" w:name="OLE_LINK800"/>
      <w:bookmarkStart w:id="114" w:name="OLE_LINK982"/>
      <w:bookmarkStart w:id="115" w:name="OLE_LINK1027"/>
      <w:bookmarkStart w:id="116" w:name="OLE_LINK504"/>
      <w:bookmarkStart w:id="117" w:name="OLE_LINK546"/>
      <w:bookmarkStart w:id="118" w:name="OLE_LINK547"/>
      <w:bookmarkStart w:id="119" w:name="OLE_LINK575"/>
      <w:bookmarkStart w:id="120" w:name="OLE_LINK640"/>
      <w:bookmarkStart w:id="121" w:name="OLE_LINK672"/>
      <w:bookmarkStart w:id="122" w:name="OLE_LINK714"/>
      <w:bookmarkStart w:id="123" w:name="OLE_LINK651"/>
      <w:bookmarkStart w:id="124" w:name="OLE_LINK652"/>
      <w:bookmarkStart w:id="125" w:name="OLE_LINK744"/>
      <w:bookmarkStart w:id="126" w:name="OLE_LINK758"/>
      <w:bookmarkStart w:id="127" w:name="OLE_LINK787"/>
      <w:bookmarkStart w:id="128" w:name="OLE_LINK807"/>
      <w:bookmarkStart w:id="129" w:name="OLE_LINK820"/>
      <w:bookmarkStart w:id="130" w:name="OLE_LINK862"/>
      <w:bookmarkStart w:id="131" w:name="OLE_LINK879"/>
      <w:bookmarkStart w:id="132" w:name="OLE_LINK906"/>
      <w:bookmarkStart w:id="133" w:name="OLE_LINK928"/>
      <w:bookmarkStart w:id="134" w:name="OLE_LINK960"/>
      <w:bookmarkStart w:id="135" w:name="OLE_LINK861"/>
      <w:bookmarkStart w:id="136" w:name="OLE_LINK983"/>
      <w:bookmarkStart w:id="137" w:name="OLE_LINK1334"/>
      <w:bookmarkStart w:id="138" w:name="OLE_LINK1029"/>
      <w:bookmarkStart w:id="139" w:name="OLE_LINK1060"/>
      <w:bookmarkStart w:id="140" w:name="OLE_LINK1061"/>
      <w:bookmarkStart w:id="141" w:name="OLE_LINK1348"/>
      <w:bookmarkStart w:id="142" w:name="OLE_LINK1086"/>
      <w:bookmarkStart w:id="143" w:name="OLE_LINK1100"/>
      <w:bookmarkStart w:id="144" w:name="OLE_LINK1125"/>
      <w:bookmarkStart w:id="145" w:name="OLE_LINK1163"/>
      <w:bookmarkStart w:id="146" w:name="OLE_LINK1193"/>
      <w:bookmarkStart w:id="147" w:name="OLE_LINK1219"/>
      <w:bookmarkStart w:id="148" w:name="OLE_LINK1247"/>
      <w:bookmarkStart w:id="149" w:name="OLE_LINK1284"/>
      <w:bookmarkStart w:id="150" w:name="OLE_LINK1313"/>
      <w:bookmarkStart w:id="151" w:name="OLE_LINK1361"/>
      <w:bookmarkStart w:id="152" w:name="OLE_LINK1384"/>
      <w:bookmarkStart w:id="153" w:name="OLE_LINK1403"/>
      <w:bookmarkStart w:id="154" w:name="OLE_LINK1437"/>
      <w:bookmarkStart w:id="155" w:name="OLE_LINK1454"/>
      <w:bookmarkStart w:id="156" w:name="OLE_LINK1480"/>
      <w:bookmarkStart w:id="157" w:name="OLE_LINK1504"/>
      <w:bookmarkStart w:id="158" w:name="OLE_LINK1516"/>
      <w:bookmarkStart w:id="159" w:name="OLE_LINK135"/>
      <w:bookmarkStart w:id="160" w:name="OLE_LINK216"/>
      <w:bookmarkStart w:id="161" w:name="OLE_LINK259"/>
      <w:bookmarkStart w:id="162" w:name="OLE_LINK1186"/>
      <w:bookmarkStart w:id="163" w:name="OLE_LINK1265"/>
      <w:bookmarkStart w:id="164" w:name="OLE_LINK1373"/>
      <w:bookmarkStart w:id="165" w:name="OLE_LINK1478"/>
      <w:bookmarkStart w:id="166" w:name="OLE_LINK1644"/>
      <w:bookmarkStart w:id="167" w:name="OLE_LINK1884"/>
      <w:bookmarkStart w:id="168" w:name="OLE_LINK1885"/>
      <w:bookmarkStart w:id="169" w:name="OLE_LINK1538"/>
      <w:bookmarkStart w:id="170" w:name="OLE_LINK1539"/>
      <w:bookmarkStart w:id="171" w:name="OLE_LINK1543"/>
      <w:bookmarkStart w:id="172" w:name="OLE_LINK1549"/>
      <w:bookmarkStart w:id="173" w:name="OLE_LINK1778"/>
      <w:bookmarkStart w:id="174" w:name="OLE_LINK1756"/>
      <w:bookmarkStart w:id="175" w:name="OLE_LINK1776"/>
      <w:bookmarkStart w:id="176" w:name="OLE_LINK1777"/>
      <w:bookmarkStart w:id="177" w:name="OLE_LINK1868"/>
      <w:bookmarkStart w:id="178" w:name="OLE_LINK1744"/>
      <w:bookmarkStart w:id="179" w:name="OLE_LINK1817"/>
      <w:bookmarkStart w:id="180" w:name="OLE_LINK1835"/>
      <w:bookmarkStart w:id="181" w:name="OLE_LINK1866"/>
      <w:bookmarkStart w:id="182" w:name="OLE_LINK1882"/>
      <w:bookmarkStart w:id="183" w:name="OLE_LINK1901"/>
      <w:bookmarkStart w:id="184" w:name="OLE_LINK1902"/>
      <w:bookmarkStart w:id="185" w:name="OLE_LINK2013"/>
      <w:bookmarkStart w:id="186" w:name="OLE_LINK1894"/>
      <w:bookmarkStart w:id="187" w:name="OLE_LINK1929"/>
      <w:bookmarkStart w:id="188" w:name="OLE_LINK1941"/>
      <w:bookmarkStart w:id="189" w:name="OLE_LINK1995"/>
      <w:bookmarkStart w:id="190" w:name="OLE_LINK1938"/>
      <w:bookmarkStart w:id="191" w:name="OLE_LINK2081"/>
      <w:bookmarkStart w:id="192" w:name="OLE_LINK2082"/>
      <w:bookmarkStart w:id="193" w:name="OLE_LINK2292"/>
      <w:bookmarkStart w:id="194" w:name="OLE_LINK1931"/>
      <w:bookmarkStart w:id="195" w:name="OLE_LINK1964"/>
      <w:bookmarkStart w:id="196" w:name="OLE_LINK2020"/>
      <w:bookmarkStart w:id="197" w:name="OLE_LINK2071"/>
      <w:bookmarkStart w:id="198" w:name="OLE_LINK2134"/>
      <w:bookmarkStart w:id="199" w:name="OLE_LINK2265"/>
      <w:bookmarkStart w:id="200" w:name="OLE_LINK2562"/>
      <w:bookmarkStart w:id="201" w:name="OLE_LINK1923"/>
      <w:bookmarkStart w:id="202" w:name="OLE_LINK2192"/>
      <w:bookmarkStart w:id="203" w:name="OLE_LINK2110"/>
      <w:bookmarkStart w:id="204" w:name="OLE_LINK2445"/>
      <w:bookmarkStart w:id="205" w:name="OLE_LINK2446"/>
      <w:bookmarkStart w:id="206" w:name="OLE_LINK2169"/>
      <w:bookmarkStart w:id="207" w:name="OLE_LINK2190"/>
      <w:bookmarkStart w:id="208" w:name="OLE_LINK2331"/>
      <w:bookmarkStart w:id="209" w:name="OLE_LINK2345"/>
      <w:bookmarkStart w:id="210" w:name="OLE_LINK2467"/>
      <w:bookmarkStart w:id="211" w:name="OLE_LINK2484"/>
      <w:bookmarkStart w:id="212" w:name="OLE_LINK2157"/>
      <w:bookmarkStart w:id="213" w:name="OLE_LINK2221"/>
      <w:bookmarkStart w:id="214" w:name="OLE_LINK2252"/>
      <w:bookmarkStart w:id="215" w:name="OLE_LINK2348"/>
      <w:bookmarkStart w:id="216" w:name="OLE_LINK2451"/>
      <w:bookmarkStart w:id="217" w:name="OLE_LINK2627"/>
      <w:bookmarkStart w:id="218" w:name="OLE_LINK2482"/>
      <w:bookmarkStart w:id="219" w:name="OLE_LINK2663"/>
      <w:bookmarkStart w:id="220" w:name="OLE_LINK2761"/>
      <w:bookmarkStart w:id="221" w:name="OLE_LINK2856"/>
      <w:bookmarkStart w:id="222" w:name="OLE_LINK2993"/>
      <w:bookmarkStart w:id="223" w:name="OLE_LINK2643"/>
      <w:bookmarkStart w:id="224" w:name="OLE_LINK2583"/>
      <w:bookmarkStart w:id="225" w:name="OLE_LINK2762"/>
      <w:bookmarkStart w:id="226" w:name="OLE_LINK2962"/>
      <w:bookmarkStart w:id="227" w:name="OLE_LINK2582"/>
      <w:r w:rsidRPr="0079144F">
        <w:rPr>
          <w:rFonts w:ascii="Book Antiqua" w:hAnsi="Book Antiqua"/>
          <w:sz w:val="24"/>
        </w:rPr>
        <w:lastRenderedPageBreak/>
        <w:t xml:space="preserve">© 2014 </w:t>
      </w:r>
      <w:proofErr w:type="spellStart"/>
      <w:r w:rsidRPr="0079144F">
        <w:rPr>
          <w:rFonts w:ascii="Book Antiqua" w:hAnsi="Book Antiqua"/>
          <w:sz w:val="24"/>
        </w:rPr>
        <w:t>Baishideng</w:t>
      </w:r>
      <w:proofErr w:type="spellEnd"/>
      <w:r w:rsidRPr="0079144F">
        <w:rPr>
          <w:rFonts w:ascii="Book Antiqua" w:hAnsi="Book Antiqua"/>
          <w:sz w:val="24"/>
        </w:rPr>
        <w:t xml:space="preserve"> Publishing Group Inc. All rights reserved.</w:t>
      </w:r>
      <w:r w:rsidRPr="00491BB4">
        <w:rPr>
          <w:rFonts w:ascii="Book Antiqua" w:hAnsi="Book Antiqua"/>
          <w:sz w:val="24"/>
        </w:rPr>
        <w:t xml:space="preserve"> </w:t>
      </w:r>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C24456" w:rsidRPr="00491BB4" w:rsidRDefault="00C24456" w:rsidP="00F32A86">
      <w:pPr>
        <w:pStyle w:val="a7"/>
        <w:snapToGrid w:val="0"/>
        <w:spacing w:line="360" w:lineRule="auto"/>
        <w:jc w:val="both"/>
        <w:rPr>
          <w:rFonts w:ascii="Book Antiqua" w:hAnsi="Book Antiqua"/>
          <w:sz w:val="24"/>
          <w:szCs w:val="24"/>
          <w:lang w:eastAsia="zh-CN"/>
        </w:rPr>
      </w:pPr>
    </w:p>
    <w:p w:rsidR="00C24456" w:rsidRPr="00491BB4" w:rsidRDefault="00C24456" w:rsidP="00F32A86">
      <w:pPr>
        <w:pStyle w:val="11"/>
        <w:snapToGrid w:val="0"/>
        <w:spacing w:line="360" w:lineRule="auto"/>
        <w:jc w:val="both"/>
        <w:rPr>
          <w:rFonts w:ascii="Book Antiqua" w:hAnsi="Book Antiqua" w:cs="Arial"/>
          <w:sz w:val="24"/>
          <w:szCs w:val="24"/>
          <w:lang w:val="en-US" w:eastAsia="zh-CN"/>
        </w:rPr>
      </w:pPr>
      <w:r w:rsidRPr="00491BB4">
        <w:rPr>
          <w:rFonts w:ascii="Book Antiqua" w:hAnsi="Book Antiqua" w:cs="Tahoma"/>
          <w:b/>
          <w:sz w:val="24"/>
          <w:szCs w:val="24"/>
          <w:lang w:val="en-US"/>
        </w:rPr>
        <w:t>K</w:t>
      </w:r>
      <w:r w:rsidRPr="00491BB4">
        <w:rPr>
          <w:rFonts w:ascii="Book Antiqua" w:hAnsi="Book Antiqua" w:cs="Tahoma"/>
          <w:b/>
          <w:sz w:val="24"/>
          <w:szCs w:val="24"/>
          <w:lang w:val="en-US" w:eastAsia="zh-CN"/>
        </w:rPr>
        <w:t>ey</w:t>
      </w:r>
      <w:r w:rsidRPr="00491BB4">
        <w:rPr>
          <w:rFonts w:ascii="Book Antiqua" w:hAnsi="Book Antiqua" w:cs="Tahoma"/>
          <w:b/>
          <w:sz w:val="24"/>
          <w:szCs w:val="24"/>
          <w:lang w:val="en-US"/>
        </w:rPr>
        <w:t xml:space="preserve"> </w:t>
      </w:r>
      <w:r w:rsidRPr="00491BB4">
        <w:rPr>
          <w:rFonts w:ascii="Book Antiqua" w:hAnsi="Book Antiqua" w:cs="Tahoma"/>
          <w:b/>
          <w:sz w:val="24"/>
          <w:szCs w:val="24"/>
          <w:lang w:val="en-US" w:eastAsia="zh-CN"/>
        </w:rPr>
        <w:t>words</w:t>
      </w:r>
      <w:r w:rsidRPr="00491BB4">
        <w:rPr>
          <w:rFonts w:ascii="Book Antiqua" w:hAnsi="Book Antiqua" w:cs="Arial"/>
          <w:b/>
          <w:sz w:val="24"/>
          <w:szCs w:val="24"/>
          <w:lang w:val="en-US" w:eastAsia="zh-CN"/>
        </w:rPr>
        <w:t xml:space="preserve">: </w:t>
      </w:r>
      <w:proofErr w:type="spellStart"/>
      <w:r w:rsidRPr="00491BB4">
        <w:rPr>
          <w:rFonts w:ascii="Book Antiqua" w:hAnsi="Book Antiqua" w:cs="Arial"/>
          <w:sz w:val="24"/>
          <w:szCs w:val="24"/>
          <w:lang w:val="en-US" w:eastAsia="zh-CN"/>
        </w:rPr>
        <w:t>Tolvaptan</w:t>
      </w:r>
      <w:proofErr w:type="spellEnd"/>
      <w:r w:rsidRPr="00491BB4">
        <w:rPr>
          <w:rFonts w:ascii="Book Antiqua" w:hAnsi="Book Antiqua" w:cs="Arial"/>
          <w:sz w:val="24"/>
          <w:szCs w:val="24"/>
          <w:lang w:val="en-US" w:eastAsia="zh-CN"/>
        </w:rPr>
        <w:t xml:space="preserve">; Refractory ascites; </w:t>
      </w:r>
      <w:proofErr w:type="spellStart"/>
      <w:r w:rsidRPr="00491BB4">
        <w:rPr>
          <w:rFonts w:ascii="Book Antiqua" w:hAnsi="Book Antiqua" w:cs="Arial"/>
          <w:sz w:val="24"/>
          <w:szCs w:val="24"/>
          <w:lang w:val="en-US" w:eastAsia="zh-CN"/>
        </w:rPr>
        <w:t>Hyponatremia</w:t>
      </w:r>
      <w:proofErr w:type="spellEnd"/>
      <w:r w:rsidRPr="00491BB4">
        <w:rPr>
          <w:rFonts w:ascii="Book Antiqua" w:hAnsi="Book Antiqua" w:cs="Arial"/>
          <w:sz w:val="24"/>
          <w:szCs w:val="24"/>
          <w:lang w:val="en-US" w:eastAsia="zh-CN"/>
        </w:rPr>
        <w:t>; Decompensated; Liver cirrhosis</w:t>
      </w:r>
    </w:p>
    <w:p w:rsidR="00C24456" w:rsidRPr="00491BB4" w:rsidRDefault="00C24456" w:rsidP="00F32A86">
      <w:pPr>
        <w:pStyle w:val="11"/>
        <w:snapToGrid w:val="0"/>
        <w:spacing w:line="360" w:lineRule="auto"/>
        <w:jc w:val="both"/>
        <w:rPr>
          <w:rFonts w:ascii="Book Antiqua" w:hAnsi="Book Antiqua" w:cs="Arial"/>
          <w:b/>
          <w:sz w:val="24"/>
          <w:szCs w:val="24"/>
          <w:lang w:val="en-US" w:eastAsia="zh-CN"/>
        </w:rPr>
      </w:pPr>
    </w:p>
    <w:p w:rsidR="00C24456" w:rsidRPr="00491BB4" w:rsidRDefault="00C24456" w:rsidP="00F32A86">
      <w:pPr>
        <w:pStyle w:val="11"/>
        <w:snapToGrid w:val="0"/>
        <w:spacing w:line="360" w:lineRule="auto"/>
        <w:jc w:val="both"/>
        <w:rPr>
          <w:rFonts w:ascii="Book Antiqua" w:hAnsi="Book Antiqua" w:cs="Arial"/>
          <w:b/>
          <w:sz w:val="24"/>
          <w:szCs w:val="24"/>
          <w:lang w:val="en-US" w:eastAsia="zh-CN"/>
        </w:rPr>
      </w:pPr>
      <w:r w:rsidRPr="00491BB4">
        <w:rPr>
          <w:rFonts w:ascii="Book Antiqua" w:eastAsia="Arial Unicode MS" w:hAnsi="Book Antiqua" w:cs="Arial Unicode MS"/>
          <w:b/>
          <w:sz w:val="24"/>
          <w:szCs w:val="24"/>
          <w:lang w:val="en-US"/>
        </w:rPr>
        <w:t>C</w:t>
      </w:r>
      <w:r w:rsidRPr="00491BB4">
        <w:rPr>
          <w:rFonts w:ascii="Book Antiqua" w:eastAsia="Arial Unicode MS" w:hAnsi="Book Antiqua" w:cs="Arial Unicode MS"/>
          <w:b/>
          <w:sz w:val="24"/>
          <w:szCs w:val="24"/>
          <w:lang w:val="en-US" w:eastAsia="zh-CN"/>
        </w:rPr>
        <w:t>ore</w:t>
      </w:r>
      <w:r w:rsidRPr="00491BB4">
        <w:rPr>
          <w:rFonts w:ascii="Book Antiqua" w:eastAsia="Arial Unicode MS" w:hAnsi="Book Antiqua" w:cs="Arial Unicode MS"/>
          <w:b/>
          <w:sz w:val="24"/>
          <w:szCs w:val="24"/>
          <w:lang w:val="en-US"/>
        </w:rPr>
        <w:t xml:space="preserve"> tip</w:t>
      </w:r>
      <w:r w:rsidRPr="00491BB4">
        <w:rPr>
          <w:rFonts w:ascii="Book Antiqua" w:hAnsi="Book Antiqua" w:cs="Arial"/>
          <w:b/>
          <w:sz w:val="24"/>
          <w:szCs w:val="24"/>
          <w:lang w:val="en-US" w:eastAsia="zh-CN"/>
        </w:rPr>
        <w:t>:</w:t>
      </w:r>
      <w:r w:rsidRPr="00491BB4">
        <w:rPr>
          <w:rFonts w:ascii="Book Antiqua" w:hAnsi="Book Antiqua"/>
          <w:sz w:val="24"/>
          <w:szCs w:val="24"/>
          <w:lang w:val="en-US"/>
        </w:rPr>
        <w:t xml:space="preserve"> </w:t>
      </w:r>
      <w:r w:rsidRPr="00491BB4">
        <w:rPr>
          <w:rFonts w:ascii="Book Antiqua" w:hAnsi="Book Antiqua" w:cs="Arial"/>
          <w:sz w:val="24"/>
          <w:szCs w:val="24"/>
          <w:lang w:val="en-US"/>
        </w:rPr>
        <w:t xml:space="preserve">This study showed that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a new </w:t>
      </w:r>
      <w:proofErr w:type="spellStart"/>
      <w:r w:rsidRPr="00491BB4">
        <w:rPr>
          <w:rFonts w:ascii="Book Antiqua" w:hAnsi="Book Antiqua" w:cs="Arial"/>
          <w:sz w:val="24"/>
          <w:szCs w:val="24"/>
          <w:lang w:val="en-US"/>
        </w:rPr>
        <w:t>aquaretic</w:t>
      </w:r>
      <w:proofErr w:type="spellEnd"/>
      <w:r w:rsidRPr="00491BB4">
        <w:rPr>
          <w:rFonts w:ascii="Book Antiqua" w:hAnsi="Book Antiqua" w:cs="Arial"/>
          <w:sz w:val="24"/>
          <w:szCs w:val="24"/>
          <w:lang w:val="en-US"/>
        </w:rPr>
        <w:t xml:space="preserve"> drug, is an effective and safe potential treatment for refractory ascites in patients with decompensated liver cirrhosis, especially in patients with further complications such as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and/or hepatocellular carcinoma.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significantly increased the serum sodium levels in patients with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w:t>
      </w:r>
    </w:p>
    <w:p w:rsidR="00C24456" w:rsidRPr="00491BB4" w:rsidRDefault="00C24456" w:rsidP="00673F07">
      <w:pPr>
        <w:snapToGrid w:val="0"/>
        <w:spacing w:line="360" w:lineRule="auto"/>
        <w:rPr>
          <w:rFonts w:ascii="Book Antiqua" w:hAnsi="Book Antiqua" w:cs="Arial"/>
          <w:sz w:val="24"/>
        </w:rPr>
      </w:pPr>
    </w:p>
    <w:p w:rsidR="00C24456" w:rsidRPr="00491BB4" w:rsidRDefault="00C24456" w:rsidP="001C41C7">
      <w:pPr>
        <w:snapToGrid w:val="0"/>
        <w:spacing w:line="360" w:lineRule="auto"/>
        <w:rPr>
          <w:rFonts w:ascii="Book Antiqua" w:hAnsi="Book Antiqua" w:cs="Arial"/>
          <w:sz w:val="24"/>
        </w:rPr>
      </w:pPr>
      <w:r w:rsidRPr="00491BB4">
        <w:rPr>
          <w:rFonts w:ascii="Book Antiqua" w:hAnsi="Book Antiqua" w:cs="Arial"/>
          <w:sz w:val="24"/>
        </w:rPr>
        <w:t>Zhang X, Wang SZ,</w:t>
      </w:r>
      <w:r w:rsidRPr="00491BB4">
        <w:rPr>
          <w:rFonts w:ascii="Book Antiqua" w:eastAsia="Gulim" w:hAnsi="Book Antiqua" w:cs="Arial"/>
          <w:sz w:val="24"/>
          <w:vertAlign w:val="superscript"/>
        </w:rPr>
        <w:t xml:space="preserve"> </w:t>
      </w:r>
      <w:r w:rsidRPr="00491BB4">
        <w:rPr>
          <w:rFonts w:ascii="Book Antiqua" w:hAnsi="Book Antiqua" w:cs="Arial"/>
          <w:sz w:val="24"/>
        </w:rPr>
        <w:t xml:space="preserve">Zheng JF, Zhao WM, Li P, Fan CL, Li B, Dong PL, Li L, Ding HG. </w:t>
      </w:r>
      <w:proofErr w:type="gramStart"/>
      <w:r w:rsidRPr="00491BB4">
        <w:rPr>
          <w:rFonts w:ascii="Book Antiqua" w:hAnsi="Book Antiqua" w:cs="Arial"/>
          <w:sz w:val="24"/>
        </w:rPr>
        <w:t xml:space="preserve">Clinical efficacy of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for treatment refractory ascites in liver cirrhosis patients.</w:t>
      </w:r>
      <w:bookmarkStart w:id="228" w:name="OLE_LINK335"/>
      <w:bookmarkStart w:id="229" w:name="OLE_LINK336"/>
      <w:bookmarkStart w:id="230" w:name="OLE_LINK87"/>
      <w:bookmarkStart w:id="231" w:name="OLE_LINK97"/>
      <w:bookmarkStart w:id="232" w:name="OLE_LINK1297"/>
      <w:bookmarkStart w:id="233" w:name="OLE_LINK1298"/>
      <w:bookmarkStart w:id="234" w:name="OLE_LINK1689"/>
      <w:bookmarkStart w:id="235" w:name="OLE_LINK144"/>
      <w:bookmarkStart w:id="236" w:name="OLE_LINK152"/>
      <w:bookmarkStart w:id="237" w:name="OLE_LINK163"/>
      <w:bookmarkStart w:id="238" w:name="OLE_LINK1895"/>
      <w:bookmarkStart w:id="239" w:name="OLE_LINK1897"/>
      <w:bookmarkStart w:id="240" w:name="OLE_LINK1937"/>
      <w:bookmarkStart w:id="241" w:name="OLE_LINK2087"/>
      <w:bookmarkStart w:id="242" w:name="OLE_LINK2088"/>
      <w:bookmarkStart w:id="243" w:name="OLE_LINK2569"/>
      <w:bookmarkStart w:id="244" w:name="OLE_LINK2570"/>
      <w:bookmarkStart w:id="245" w:name="OLE_LINK2127"/>
      <w:bookmarkStart w:id="246" w:name="OLE_LINK2128"/>
      <w:bookmarkStart w:id="247" w:name="OLE_LINK2200"/>
      <w:bookmarkStart w:id="248" w:name="OLE_LINK2113"/>
      <w:bookmarkStart w:id="249" w:name="OLE_LINK2391"/>
      <w:bookmarkStart w:id="250" w:name="OLE_LINK2392"/>
      <w:bookmarkStart w:id="251" w:name="OLE_LINK2499"/>
      <w:bookmarkStart w:id="252" w:name="OLE_LINK2782"/>
      <w:bookmarkStart w:id="253" w:name="OLE_LINK2783"/>
      <w:bookmarkStart w:id="254" w:name="OLE_LINK2667"/>
      <w:bookmarkStart w:id="255" w:name="OLE_LINK2668"/>
      <w:bookmarkStart w:id="256" w:name="OLE_LINK2766"/>
      <w:bookmarkStart w:id="257" w:name="OLE_LINK3008"/>
      <w:bookmarkStart w:id="258" w:name="OLE_LINK3156"/>
      <w:bookmarkStart w:id="259" w:name="OLE_LINK3303"/>
      <w:bookmarkStart w:id="260" w:name="OLE_LINK3304"/>
      <w:bookmarkStart w:id="261" w:name="OLE_LINK2689"/>
      <w:bookmarkStart w:id="262" w:name="OLE_LINK2588"/>
      <w:bookmarkStart w:id="263" w:name="OLE_LINK2769"/>
      <w:bookmarkStart w:id="264" w:name="OLE_LINK3019"/>
      <w:bookmarkStart w:id="265" w:name="OLE_LINK3020"/>
      <w:proofErr w:type="gramEnd"/>
      <w:r w:rsidRPr="00491BB4">
        <w:rPr>
          <w:rFonts w:ascii="Book Antiqua" w:hAnsi="Book Antiqua" w:cs="Arial"/>
          <w:sz w:val="24"/>
        </w:rPr>
        <w:t xml:space="preserve"> </w:t>
      </w:r>
      <w:r w:rsidRPr="00491BB4">
        <w:rPr>
          <w:rFonts w:ascii="Book Antiqua" w:hAnsi="Book Antiqua"/>
          <w:i/>
          <w:sz w:val="24"/>
        </w:rPr>
        <w:t xml:space="preserve">World J </w:t>
      </w:r>
      <w:proofErr w:type="spellStart"/>
      <w:r w:rsidRPr="00491BB4">
        <w:rPr>
          <w:rFonts w:ascii="Book Antiqua" w:hAnsi="Book Antiqua"/>
          <w:i/>
          <w:sz w:val="24"/>
        </w:rPr>
        <w:t>Gastroenterol</w:t>
      </w:r>
      <w:proofErr w:type="spellEnd"/>
      <w:r w:rsidRPr="00491BB4">
        <w:rPr>
          <w:rFonts w:ascii="Book Antiqua" w:hAnsi="Book Antiqua"/>
          <w:sz w:val="24"/>
        </w:rPr>
        <w:t xml:space="preserve"> </w:t>
      </w:r>
      <w:bookmarkEnd w:id="228"/>
      <w:bookmarkEnd w:id="229"/>
      <w:r w:rsidRPr="00491BB4">
        <w:rPr>
          <w:rFonts w:ascii="Book Antiqua" w:hAnsi="Book Antiqua"/>
          <w:sz w:val="24"/>
        </w:rPr>
        <w:t xml:space="preserve">2014; </w:t>
      </w:r>
      <w:proofErr w:type="gramStart"/>
      <w:r>
        <w:rPr>
          <w:rFonts w:ascii="Book Antiqua" w:hAnsi="Book Antiqua"/>
          <w:sz w:val="24"/>
        </w:rPr>
        <w:t>In</w:t>
      </w:r>
      <w:proofErr w:type="gramEnd"/>
      <w:r>
        <w:rPr>
          <w:rFonts w:ascii="Book Antiqua" w:hAnsi="Book Antiqua"/>
          <w:sz w:val="24"/>
        </w:rPr>
        <w:t xml:space="preserve"> press</w:t>
      </w:r>
      <w:r w:rsidRPr="00491BB4">
        <w:rPr>
          <w:rFonts w:ascii="Book Antiqua" w:hAnsi="Book Antiqua"/>
          <w:sz w:val="24"/>
        </w:rPr>
        <w:t xml:space="preserve"> </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rsidR="00C24456" w:rsidRPr="00491BB4" w:rsidRDefault="00C24456" w:rsidP="00F32A86">
      <w:pPr>
        <w:pStyle w:val="11"/>
        <w:snapToGrid w:val="0"/>
        <w:spacing w:line="360" w:lineRule="auto"/>
        <w:jc w:val="both"/>
        <w:rPr>
          <w:rFonts w:ascii="Book Antiqua" w:hAnsi="Book Antiqua" w:cs="Arial"/>
          <w:b/>
          <w:sz w:val="24"/>
          <w:szCs w:val="24"/>
          <w:lang w:val="en-US" w:eastAsia="zh-CN"/>
        </w:rPr>
      </w:pPr>
      <w:r w:rsidRPr="00491BB4">
        <w:rPr>
          <w:rFonts w:ascii="Book Antiqua" w:hAnsi="Book Antiqua" w:cs="Arial"/>
          <w:b/>
          <w:sz w:val="24"/>
          <w:szCs w:val="24"/>
          <w:lang w:val="en-US"/>
        </w:rPr>
        <w:br w:type="page"/>
      </w:r>
      <w:r w:rsidRPr="00491BB4">
        <w:rPr>
          <w:rFonts w:ascii="Book Antiqua" w:hAnsi="Book Antiqua" w:cs="Arial"/>
          <w:b/>
          <w:sz w:val="24"/>
          <w:szCs w:val="24"/>
          <w:lang w:val="en-US" w:eastAsia="zh-CN"/>
        </w:rPr>
        <w:lastRenderedPageBreak/>
        <w:t>INTRODUCTION</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Ascites is one of the most common complications of liver cirrhosis</w:t>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rPr>
        <w:fldChar w:fldCharType="begin"/>
      </w:r>
      <w:r w:rsidRPr="00491BB4">
        <w:rPr>
          <w:rFonts w:ascii="Book Antiqua" w:hAnsi="Book Antiqua" w:cs="Arial"/>
          <w:sz w:val="24"/>
          <w:szCs w:val="24"/>
          <w:vertAlign w:val="superscript"/>
          <w:lang w:val="en-US"/>
        </w:rPr>
        <w:instrText xml:space="preserve"> ADDIN REFMGR.CITE &lt;Refman&gt;&lt;Cite&gt;&lt;Author&gt;Gordon&lt;/Author&gt;&lt;Year&gt;2012&lt;/Year&gt;&lt;RecNum&gt;42&lt;/RecNum&gt;&lt;IDText&gt;Ascites&lt;/IDText&gt;&lt;MDL Ref_Type="Journal"&gt;&lt;Ref_Type&gt;Journal&lt;/Ref_Type&gt;&lt;Ref_ID&gt;42&lt;/Ref_ID&gt;&lt;Title_Primary&gt;Ascites&lt;/Title_Primary&gt;&lt;Authors_Primary&gt;Gordon,F.D.&lt;/Authors_Primary&gt;&lt;Date_Primary&gt;2012/5&lt;/Date_Primary&gt;&lt;Keywords&gt;Ascites&lt;/Keywords&gt;&lt;Keywords&gt;Bacterial Infections&lt;/Keywords&gt;&lt;Keywords&gt;complications&lt;/Keywords&gt;&lt;Keywords&gt;diagnosis&lt;/Keywords&gt;&lt;Keywords&gt;drug therapy&lt;/Keywords&gt;&lt;Keywords&gt;etiology&lt;/Keywords&gt;&lt;Keywords&gt;Hepatorenal Syndrome&lt;/Keywords&gt;&lt;Keywords&gt;Humans&lt;/Keywords&gt;&lt;Keywords&gt;Liver Cirrhosis&lt;/Keywords&gt;&lt;Keywords&gt;microbiology&lt;/Keywords&gt;&lt;Keywords&gt;Peritonitis&lt;/Keywords&gt;&lt;Keywords&gt;physiopathology&lt;/Keywords&gt;&lt;Keywords&gt;Prevalence&lt;/Keywords&gt;&lt;Keywords&gt;Prognosis&lt;/Keywords&gt;&lt;Keywords&gt;Risk&lt;/Keywords&gt;&lt;Keywords&gt;therapy&lt;/Keywords&gt;&lt;Reprint&gt;Not in File&lt;/Reprint&gt;&lt;Start_Page&gt;285&lt;/Start_Page&gt;&lt;End_Page&gt;299&lt;/End_Page&gt;&lt;Periodical&gt;Clin.Liver Dis.&lt;/Periodical&gt;&lt;Volume&gt;16&lt;/Volume&gt;&lt;Issue&gt;2&lt;/Issue&gt;&lt;Address&gt;Tufts Medical School, Boston, MA, USA. Fredric_D_Gordon@lahey.org&lt;/Address&gt;&lt;Web_URL&gt;PM:22541699&lt;/Web_URL&gt;&lt;ZZ_JournalStdAbbrev&gt;&lt;f name="System"&gt;Clin.Liver Dis.&lt;/f&gt;&lt;/ZZ_JournalStdAbbrev&gt;&lt;ZZ_WorkformID&gt;1&lt;/ZZ_WorkformID&gt;&lt;/MDL&gt;&lt;/Cite&gt;&lt;/Refman&gt;</w:instrText>
      </w:r>
      <w:r w:rsidRPr="00491BB4">
        <w:rPr>
          <w:rFonts w:ascii="Book Antiqua" w:hAnsi="Book Antiqua" w:cs="Arial"/>
          <w:sz w:val="24"/>
          <w:szCs w:val="24"/>
          <w:vertAlign w:val="superscript"/>
          <w:lang w:val="en-US"/>
        </w:rPr>
        <w:fldChar w:fldCharType="separate"/>
      </w:r>
      <w:r w:rsidRPr="00491BB4">
        <w:rPr>
          <w:rFonts w:ascii="Book Antiqua" w:hAnsi="Book Antiqua" w:cs="Arial"/>
          <w:sz w:val="24"/>
          <w:szCs w:val="24"/>
          <w:vertAlign w:val="superscript"/>
          <w:lang w:val="en-US"/>
        </w:rPr>
        <w:t>1</w:t>
      </w:r>
      <w:r w:rsidRPr="00491BB4">
        <w:rPr>
          <w:rFonts w:ascii="Book Antiqua" w:hAnsi="Book Antiqua" w:cs="Arial"/>
          <w:sz w:val="24"/>
          <w:szCs w:val="24"/>
          <w:vertAlign w:val="superscript"/>
          <w:lang w:val="en-US"/>
        </w:rPr>
        <w:fldChar w:fldCharType="end"/>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Refractory</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a</w:t>
      </w:r>
      <w:r w:rsidRPr="00491BB4">
        <w:rPr>
          <w:rFonts w:ascii="Book Antiqua" w:hAnsi="Book Antiqua" w:cs="Arial"/>
          <w:sz w:val="24"/>
          <w:szCs w:val="24"/>
          <w:lang w:val="en-US"/>
        </w:rPr>
        <w:t>scites</w:t>
      </w:r>
      <w:r w:rsidRPr="00491BB4">
        <w:rPr>
          <w:rFonts w:ascii="Book Antiqua" w:hAnsi="Book Antiqua" w:cs="Arial"/>
          <w:sz w:val="24"/>
          <w:szCs w:val="24"/>
          <w:lang w:val="en-US" w:eastAsia="zh-CN"/>
        </w:rPr>
        <w:t xml:space="preserve"> occurs in 15%-20% of all ascites patients and</w:t>
      </w:r>
      <w:r w:rsidRPr="00491BB4">
        <w:rPr>
          <w:rFonts w:ascii="Book Antiqua" w:hAnsi="Book Antiqua" w:cs="Arial"/>
          <w:sz w:val="24"/>
          <w:szCs w:val="24"/>
          <w:lang w:val="en-US"/>
        </w:rPr>
        <w:t xml:space="preserve"> is </w:t>
      </w:r>
      <w:r w:rsidRPr="00491BB4">
        <w:rPr>
          <w:rFonts w:ascii="Book Antiqua" w:hAnsi="Book Antiqua" w:cs="Arial"/>
          <w:sz w:val="24"/>
          <w:szCs w:val="24"/>
          <w:lang w:val="en-US" w:eastAsia="zh-CN"/>
        </w:rPr>
        <w:t>defin</w:t>
      </w:r>
      <w:r w:rsidRPr="00491BB4">
        <w:rPr>
          <w:rFonts w:ascii="Book Antiqua" w:hAnsi="Book Antiqua" w:cs="Arial"/>
          <w:sz w:val="24"/>
          <w:szCs w:val="24"/>
          <w:lang w:val="en-US"/>
        </w:rPr>
        <w:t xml:space="preserve">ed either as an unresponsiveness to restrictions on salt intake and </w:t>
      </w:r>
      <w:r w:rsidRPr="00491BB4">
        <w:rPr>
          <w:rFonts w:ascii="Book Antiqua" w:hAnsi="Book Antiqua" w:cs="Arial"/>
          <w:sz w:val="24"/>
          <w:szCs w:val="24"/>
          <w:lang w:val="en-US" w:eastAsia="zh-CN"/>
        </w:rPr>
        <w:t xml:space="preserve">high-dose </w:t>
      </w:r>
      <w:r w:rsidRPr="00491BB4">
        <w:rPr>
          <w:rFonts w:ascii="Book Antiqua" w:hAnsi="Book Antiqua" w:cs="Arial"/>
          <w:sz w:val="24"/>
          <w:szCs w:val="24"/>
          <w:lang w:val="en-US"/>
        </w:rPr>
        <w:t>diuretics or as a recurrence occurring rapidly with</w:t>
      </w:r>
      <w:r w:rsidRPr="00491BB4">
        <w:rPr>
          <w:rFonts w:ascii="Book Antiqua" w:hAnsi="Book Antiqua" w:cs="Arial"/>
          <w:sz w:val="24"/>
          <w:szCs w:val="24"/>
          <w:lang w:val="en-US" w:eastAsia="zh-CN"/>
        </w:rPr>
        <w:t xml:space="preserve">in 4 </w:t>
      </w:r>
      <w:proofErr w:type="spellStart"/>
      <w:r w:rsidRPr="00491BB4">
        <w:rPr>
          <w:rFonts w:ascii="Book Antiqua" w:hAnsi="Book Antiqua" w:cs="Arial"/>
          <w:sz w:val="24"/>
          <w:szCs w:val="24"/>
          <w:lang w:val="en-US" w:eastAsia="zh-CN"/>
        </w:rPr>
        <w:t>wk</w:t>
      </w:r>
      <w:proofErr w:type="spellEnd"/>
      <w:r w:rsidRPr="00491BB4">
        <w:rPr>
          <w:rFonts w:ascii="Book Antiqua" w:hAnsi="Book Antiqua" w:cs="Arial"/>
          <w:sz w:val="24"/>
          <w:szCs w:val="24"/>
          <w:lang w:val="en-US" w:eastAsia="zh-CN"/>
        </w:rPr>
        <w:t xml:space="preserve"> post</w:t>
      </w:r>
      <w:r w:rsidRPr="00491BB4">
        <w:rPr>
          <w:rFonts w:ascii="Book Antiqua" w:hAnsi="Book Antiqua" w:cs="Arial"/>
          <w:sz w:val="24"/>
          <w:szCs w:val="24"/>
          <w:lang w:val="en-US"/>
        </w:rPr>
        <w:t>-therapy,</w:t>
      </w:r>
      <w:r w:rsidRPr="00491BB4">
        <w:rPr>
          <w:rFonts w:ascii="Book Antiqua" w:hAnsi="Book Antiqua" w:cs="Arial"/>
          <w:sz w:val="24"/>
          <w:szCs w:val="24"/>
          <w:lang w:val="en-US" w:eastAsia="zh-CN"/>
        </w:rPr>
        <w:t xml:space="preserve"> according to the </w:t>
      </w:r>
      <w:r w:rsidRPr="00491BB4">
        <w:rPr>
          <w:rFonts w:ascii="Book Antiqua" w:hAnsi="Book Antiqua" w:cs="Arial"/>
          <w:sz w:val="24"/>
          <w:szCs w:val="24"/>
          <w:lang w:val="en-US"/>
        </w:rPr>
        <w:t>American Association for the Study of Liver Diseases (AASLD) guidelines</w:t>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rPr>
        <w:fldChar w:fldCharType="begin"/>
      </w:r>
      <w:r w:rsidRPr="00491BB4">
        <w:rPr>
          <w:rFonts w:ascii="Book Antiqua" w:hAnsi="Book Antiqua" w:cs="Arial"/>
          <w:sz w:val="24"/>
          <w:szCs w:val="24"/>
          <w:vertAlign w:val="superscript"/>
          <w:lang w:val="en-US"/>
        </w:rPr>
        <w:instrText xml:space="preserve"> ADDIN REFMGR.CITE &lt;Refman&gt;&lt;Cite&gt;&lt;Author&gt;Runyon&lt;/Author&gt;&lt;Year&gt;2013&lt;/Year&gt;&lt;RecNum&gt;23&lt;/RecNum&gt;&lt;IDText&gt;Introduction to the revised American Association for the Study of Liver Diseases Practice Guideline management of adult patients with ascites due to cirrhosis 2012&lt;/IDText&gt;&lt;MDL Ref_Type="Journal"&gt;&lt;Ref_Type&gt;Journal&lt;/Ref_Type&gt;&lt;Ref_ID&gt;23&lt;/Ref_ID&gt;&lt;Title_Primary&gt;Introduction to the revised American Association for the Study of Liver Diseases Practice Guideline management of adult patients with ascites due to cirrhosis 2012&lt;/Title_Primary&gt;&lt;Authors_Primary&gt;Runyon,B.A.&lt;/Authors_Primary&gt;&lt;Date_Primary&gt;2013/4&lt;/Date_Primary&gt;&lt;Keywords&gt;Adult&lt;/Keywords&gt;&lt;Keywords&gt;Ascites&lt;/Keywords&gt;&lt;Keywords&gt;Bacterial Infections&lt;/Keywords&gt;&lt;Keywords&gt;complications&lt;/Keywords&gt;&lt;Keywords&gt;diagnosis&lt;/Keywords&gt;&lt;Keywords&gt;Disease Management&lt;/Keywords&gt;&lt;Keywords&gt;drug therapy&lt;/Keywords&gt;&lt;Keywords&gt;etiology&lt;/Keywords&gt;&lt;Keywords&gt;Hepatorenal Syndrome&lt;/Keywords&gt;&lt;Keywords&gt;Humans&lt;/Keywords&gt;&lt;Keywords&gt;Liver Cirrhosis&lt;/Keywords&gt;&lt;Keywords&gt;Practice Guidelines as Topic&lt;/Keywords&gt;&lt;Keywords&gt;prevention &amp;amp; control&lt;/Keywords&gt;&lt;Keywords&gt;therapy&lt;/Keywords&gt;&lt;Reprint&gt;Not in File&lt;/Reprint&gt;&lt;Start_Page&gt;1651&lt;/Start_Page&gt;&lt;End_Page&gt;1653&lt;/End_Page&gt;&lt;Periodical&gt;Hepatology&lt;/Periodical&gt;&lt;Volume&gt;57&lt;/Volume&gt;&lt;Issue&gt;4&lt;/Issue&gt;&lt;Address&gt;Division of Digestive Diseases, David Geffen School of Medicine at UCLA, UCLA Santa Monica Medical Center, Santa Monica, CA 90404, USA. barunyon@mednet.ucla.edu&lt;/Address&gt;&lt;Web_URL&gt;PM:23463403&lt;/Web_URL&gt;&lt;ZZ_JournalStdAbbrev&gt;&lt;f name="System"&gt;Hepatology&lt;/f&gt;&lt;/ZZ_JournalStdAbbrev&gt;&lt;ZZ_WorkformID&gt;1&lt;/ZZ_WorkformID&gt;&lt;/MDL&gt;&lt;/Cite&gt;&lt;/Refman&gt;</w:instrText>
      </w:r>
      <w:r w:rsidRPr="00491BB4">
        <w:rPr>
          <w:rFonts w:ascii="Book Antiqua" w:hAnsi="Book Antiqua" w:cs="Arial"/>
          <w:sz w:val="24"/>
          <w:szCs w:val="24"/>
          <w:vertAlign w:val="superscript"/>
          <w:lang w:val="en-US"/>
        </w:rPr>
        <w:fldChar w:fldCharType="separate"/>
      </w:r>
      <w:r w:rsidRPr="00491BB4">
        <w:rPr>
          <w:rFonts w:ascii="Book Antiqua" w:hAnsi="Book Antiqua" w:cs="Arial"/>
          <w:sz w:val="24"/>
          <w:szCs w:val="24"/>
          <w:vertAlign w:val="superscript"/>
          <w:lang w:val="en-US"/>
        </w:rPr>
        <w:t>2</w:t>
      </w:r>
      <w:r w:rsidRPr="00491BB4">
        <w:rPr>
          <w:rFonts w:ascii="Book Antiqua" w:hAnsi="Book Antiqua" w:cs="Arial"/>
          <w:sz w:val="24"/>
          <w:szCs w:val="24"/>
          <w:vertAlign w:val="superscript"/>
          <w:lang w:val="en-US"/>
        </w:rPr>
        <w:fldChar w:fldCharType="end"/>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lang w:val="en-US" w:eastAsia="zh-CN"/>
        </w:rPr>
        <w:t>. R</w:t>
      </w:r>
      <w:r w:rsidRPr="00491BB4">
        <w:rPr>
          <w:rFonts w:ascii="Book Antiqua" w:hAnsi="Book Antiqua" w:cs="Arial"/>
          <w:sz w:val="24"/>
          <w:szCs w:val="24"/>
          <w:lang w:val="en-US"/>
        </w:rPr>
        <w:t>efractory ascites is associated with a poor prognosis, and it is difficult to treat due to the limited treatment options</w:t>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rPr>
        <w:fldChar w:fldCharType="begin"/>
      </w:r>
      <w:r w:rsidRPr="00491BB4">
        <w:rPr>
          <w:rFonts w:ascii="Book Antiqua" w:hAnsi="Book Antiqua" w:cs="Arial"/>
          <w:sz w:val="24"/>
          <w:szCs w:val="24"/>
          <w:vertAlign w:val="superscript"/>
          <w:lang w:val="en-US"/>
        </w:rPr>
        <w:instrText xml:space="preserve"> ADDIN REFMGR.CITE &lt;Refman&gt;&lt;Cite&gt;&lt;Author&gt;Bhogal&lt;/Author&gt;&lt;Year&gt;2013&lt;/Year&gt;&lt;RecNum&gt;15&lt;/RecNum&gt;&lt;IDText&gt;Treatment of Refractory Ascites&lt;/IDText&gt;&lt;MDL Ref_Type="Journal"&gt;&lt;Ref_Type&gt;Journal&lt;/Ref_Type&gt;&lt;Ref_ID&gt;15&lt;/Ref_ID&gt;&lt;Title_Primary&gt;&lt;f name="AdvTG-Roman"&gt;Treatment of Refractory Ascites&lt;/f&gt;&lt;/Title_Primary&gt;&lt;Authors_Primary&gt;Bhogal,H.&lt;/Authors_Primary&gt;&lt;Authors_Primary&gt;Sanyal,A.J.&lt;/Authors_Primary&gt;&lt;Date_Primary&gt;2013&lt;/Date_Primary&gt;&lt;Reprint&gt;Not in File&lt;/Reprint&gt;&lt;Start_Page&gt;140&lt;/Start_Page&gt;&lt;End_Page&gt;142&lt;/End_Page&gt;&lt;Periodical&gt;Clin.LiverDis.&lt;/Periodical&gt;&lt;Volume&gt;2&lt;/Volume&gt;&lt;Issue&gt;3&lt;/Issue&gt;&lt;Web_URL_Link1&gt;&lt;u&gt;http://onlinelibrary.wiley.com/doi/10.1002/cld.211/pdf&lt;/u&gt;&lt;/Web_URL_Link1&gt;&lt;ZZ_JournalStdAbbrev&gt;&lt;f name="System"&gt;Clin.LiverDis.&lt;/f&gt;&lt;/ZZ_JournalStdAbbrev&gt;&lt;ZZ_WorkformID&gt;1&lt;/ZZ_WorkformID&gt;&lt;/MDL&gt;&lt;/Cite&gt;&lt;Cite&gt;&lt;Author&gt;Gaglio&lt;/Author&gt;&lt;Year&gt;2012&lt;/Year&gt;&lt;RecNum&gt;25&lt;/RecNum&gt;&lt;IDText&gt;Hyponatremia in cirrhosis and end-stage liver disease: treatment with the vasopressin V(2)-receptor antagonist tolvaptan&lt;/IDText&gt;&lt;MDL Ref_Type="Journal"&gt;&lt;Ref_Type&gt;Journal&lt;/Ref_Type&gt;&lt;Ref_ID&gt;25&lt;/Ref_ID&gt;&lt;Title_Primary&gt;Hyponatremia in cirrhosis and end-stage liver disease: treatment with the vasopressin V(2)-receptor antagonist tolvaptan&lt;/Title_Primary&gt;&lt;Authors_Primary&gt;Gaglio,P.&lt;/Authors_Primary&gt;&lt;Authors_Primary&gt;Marfo,K.&lt;/Authors_Primary&gt;&lt;Authors_Primary&gt;Chiodo,J.,III&lt;/Authors_Primary&gt;&lt;Date_Primary&gt;2012/11&lt;/Date_Primary&gt;&lt;Keywords&gt;Arginine Vasopressin&lt;/Keywords&gt;&lt;Keywords&gt;Ascites&lt;/Keywords&gt;&lt;Keywords&gt;Benzazepines&lt;/Keywords&gt;&lt;Keywords&gt;complications&lt;/Keywords&gt;&lt;Keywords&gt;drug therapy&lt;/Keywords&gt;&lt;Keywords&gt;End Stage Liver Disease&lt;/Keywords&gt;&lt;Keywords&gt;etiology&lt;/Keywords&gt;&lt;Keywords&gt;Heart Failure&lt;/Keywords&gt;&lt;Keywords&gt;Humans&lt;/Keywords&gt;&lt;Keywords&gt;Hyponatremia&lt;/Keywords&gt;&lt;Keywords&gt;Liver Cirrhosis&lt;/Keywords&gt;&lt;Keywords&gt;Liver Transplantation&lt;/Keywords&gt;&lt;Keywords&gt;mortality&lt;/Keywords&gt;&lt;Keywords&gt;Outcome Assessment (Health Care)&lt;/Keywords&gt;&lt;Keywords&gt;Sodium&lt;/Keywords&gt;&lt;Keywords&gt;therapeutic use&lt;/Keywords&gt;&lt;Keywords&gt;Thirst&lt;/Keywords&gt;&lt;Keywords&gt;Waiting Lists&lt;/Keywords&gt;&lt;Keywords&gt;Water&lt;/Keywords&gt;&lt;Reprint&gt;Not in File&lt;/Reprint&gt;&lt;Start_Page&gt;2774&lt;/Start_Page&gt;&lt;End_Page&gt;2785&lt;/End_Page&gt;&lt;Periodical&gt;Dig.Dis.Sci.&lt;/Periodical&gt;&lt;Volume&gt;57&lt;/Volume&gt;&lt;Issue&gt;11&lt;/Issue&gt;&lt;Address&gt;Division of Hepatology, Montefiore Medical Center and Albert Einstein College of Medicine, 111 East 210th Street, Rosenthal 2 Red Zone, Bronx, NY 10467, USA. eric.justice@bioscicom.net&lt;/Address&gt;&lt;Web_URL&gt;PM:22732834&lt;/Web_URL&gt;&lt;ZZ_JournalStdAbbrev&gt;&lt;f name="System"&gt;Dig.Dis.Sci.&lt;/f&gt;&lt;/ZZ_JournalStdAbbrev&gt;&lt;ZZ_WorkformID&gt;1&lt;/ZZ_WorkformID&gt;&lt;/MDL&gt;&lt;/Cite&gt;&lt;Cite&gt;&lt;Author&gt;Moore&lt;/Author&gt;&lt;Year&gt;2013&lt;/Year&gt;&lt;RecNum&gt;22&lt;/RecNum&gt;&lt;IDText&gt;Cirrhotic ascites review: Pathophysiology, diagnosis and management&lt;/IDText&gt;&lt;MDL Ref_Type="Journal"&gt;&lt;Ref_Type&gt;Journal&lt;/Ref_Type&gt;&lt;Ref_ID&gt;22&lt;/Ref_ID&gt;&lt;Title_Primary&gt;Cirrhotic ascites review: Pathophysiology, diagnosis and management&lt;/Title_Primary&gt;&lt;Authors_Primary&gt;Moore,C.M.&lt;/Authors_Primary&gt;&lt;Authors_Primary&gt;Van Thiel,D.H.&lt;/Authors_Primary&gt;&lt;Date_Primary&gt;2013/5/27&lt;/Date_Primary&gt;&lt;Keywords&gt;Ascites&lt;/Keywords&gt;&lt;Keywords&gt;complications&lt;/Keywords&gt;&lt;Keywords&gt;diagnosis&lt;/Keywords&gt;&lt;Keywords&gt;etiology&lt;/Keywords&gt;&lt;Keywords&gt;mortality&lt;/Keywords&gt;&lt;Keywords&gt;Paracentesis&lt;/Keywords&gt;&lt;Keywords&gt;Sodium&lt;/Keywords&gt;&lt;Keywords&gt;therapy&lt;/Keywords&gt;&lt;Reprint&gt;Not in File&lt;/Reprint&gt;&lt;Start_Page&gt;251&lt;/Start_Page&gt;&lt;End_Page&gt;263&lt;/End_Page&gt;&lt;Periodical&gt;World J.Hepatol&lt;/Periodical&gt;&lt;Volume&gt;5&lt;/Volume&gt;&lt;Issue&gt;5&lt;/Issue&gt;&lt;Address&gt;Christopher M Moore, David H Van Thiel, Section of Hepatology, Department of Medicine, Rush University Medical Center, Chicago, IL 60612, United States&lt;/Address&gt;&lt;Web_URL&gt;PM:23717736&lt;/Web_URL&gt;&lt;ZZ_JournalStdAbbrev&gt;&lt;f name="System"&gt;World J.Hepatol&lt;/f&gt;&lt;/ZZ_JournalStdAbbrev&gt;&lt;ZZ_WorkformID&gt;1&lt;/ZZ_WorkformID&gt;&lt;/MDL&gt;&lt;/Cite&gt;&lt;Cite&gt;&lt;Author&gt;Palm&lt;/Author&gt;&lt;Year&gt;1999&lt;/Year&gt;&lt;RecNum&gt;46&lt;/RecNum&gt;&lt;IDText&gt;V2-vasopressin receptor antagonists-mechanism of effect and clinical implications in hyponatraemia&lt;/IDText&gt;&lt;MDL Ref_Type="Journal"&gt;&lt;Ref_Type&gt;Journal&lt;/Ref_Type&gt;&lt;Ref_ID&gt;46&lt;/Ref_ID&gt;&lt;Title_Primary&gt;V2-vasopressin receptor antagonists-mechanism of effect and clinical implications in hyponatraemia&lt;/Title_Primary&gt;&lt;Authors_Primary&gt;Palm,C.&lt;/Authors_Primary&gt;&lt;Authors_Primary&gt;Gross,P.&lt;/Authors_Primary&gt;&lt;Date_Primary&gt;1999/11&lt;/Date_Primary&gt;&lt;Keywords&gt;Animals&lt;/Keywords&gt;&lt;Keywords&gt;antagonists &amp;amp; inhibitors&lt;/Keywords&gt;&lt;Keywords&gt;Cardiac Output,Low&lt;/Keywords&gt;&lt;Keywords&gt;drug therapy&lt;/Keywords&gt;&lt;Keywords&gt;Humans&lt;/Keywords&gt;&lt;Keywords&gt;Hyponatremia&lt;/Keywords&gt;&lt;Keywords&gt;Inappropriate ADH Syndrome&lt;/Keywords&gt;&lt;Keywords&gt;Liver Cirrhosis,Experimental&lt;/Keywords&gt;&lt;Keywords&gt;physiopathology&lt;/Keywords&gt;&lt;Keywords&gt;Protein Isoforms&lt;/Keywords&gt;&lt;Keywords&gt;Receptors,Vasopressin&lt;/Keywords&gt;&lt;Reprint&gt;Not in File&lt;/Reprint&gt;&lt;Start_Page&gt;2559&lt;/Start_Page&gt;&lt;End_Page&gt;2562&lt;/End_Page&gt;&lt;Periodical&gt;Nephrol.Dial.Transplant.&lt;/Periodical&gt;&lt;Volume&gt;14&lt;/Volume&gt;&lt;Issue&gt;11&lt;/Issue&gt;&lt;Web_URL&gt;PM:10534484&lt;/Web_URL&gt;&lt;ZZ_JournalStdAbbrev&gt;&lt;f name="System"&gt;Nephrol.Dial.Transplant.&lt;/f&gt;&lt;/ZZ_JournalStdAbbrev&gt;&lt;ZZ_WorkformID&gt;1&lt;/ZZ_WorkformID&gt;&lt;/MDL&gt;&lt;/Cite&gt;&lt;/Refman&gt;</w:instrText>
      </w:r>
      <w:r w:rsidRPr="00491BB4">
        <w:rPr>
          <w:rFonts w:ascii="Book Antiqua" w:hAnsi="Book Antiqua" w:cs="Arial"/>
          <w:sz w:val="24"/>
          <w:szCs w:val="24"/>
          <w:vertAlign w:val="superscript"/>
          <w:lang w:val="en-US"/>
        </w:rPr>
        <w:fldChar w:fldCharType="separate"/>
      </w:r>
      <w:r w:rsidRPr="00491BB4">
        <w:rPr>
          <w:rFonts w:ascii="Book Antiqua" w:hAnsi="Book Antiqua" w:cs="Arial"/>
          <w:sz w:val="24"/>
          <w:szCs w:val="24"/>
          <w:vertAlign w:val="superscript"/>
          <w:lang w:val="en-US"/>
        </w:rPr>
        <w:t>3–6</w:t>
      </w:r>
      <w:r w:rsidRPr="00491BB4">
        <w:rPr>
          <w:rFonts w:ascii="Book Antiqua" w:hAnsi="Book Antiqua" w:cs="Arial"/>
          <w:sz w:val="24"/>
          <w:szCs w:val="24"/>
          <w:vertAlign w:val="superscript"/>
          <w:lang w:val="en-US"/>
        </w:rPr>
        <w:fldChar w:fldCharType="end"/>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lang w:val="en-US" w:eastAsia="zh-CN"/>
        </w:rPr>
        <w:t>.</w:t>
      </w:r>
    </w:p>
    <w:p w:rsidR="00C24456" w:rsidRPr="00491BB4" w:rsidRDefault="00C24456" w:rsidP="001C41C7">
      <w:pPr>
        <w:pStyle w:val="12"/>
        <w:snapToGrid w:val="0"/>
        <w:spacing w:after="0" w:line="360" w:lineRule="auto"/>
        <w:ind w:left="0" w:firstLineChars="50" w:firstLine="120"/>
        <w:contextualSpacing w:val="0"/>
        <w:jc w:val="both"/>
        <w:rPr>
          <w:rFonts w:ascii="Book Antiqua" w:hAnsi="Book Antiqua" w:cs="Arial"/>
          <w:sz w:val="24"/>
          <w:szCs w:val="24"/>
          <w:lang w:val="en-US"/>
        </w:rPr>
      </w:pP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is a new, oral, selective vasopressin V</w:t>
      </w:r>
      <w:r w:rsidRPr="00491BB4">
        <w:rPr>
          <w:rFonts w:ascii="Book Antiqua" w:hAnsi="Book Antiqua" w:cs="Arial"/>
          <w:sz w:val="24"/>
          <w:szCs w:val="24"/>
          <w:vertAlign w:val="subscript"/>
          <w:lang w:val="en-US"/>
        </w:rPr>
        <w:t>2</w:t>
      </w:r>
      <w:r w:rsidRPr="00491BB4">
        <w:rPr>
          <w:rFonts w:ascii="Book Antiqua" w:hAnsi="Book Antiqua" w:cs="Arial"/>
          <w:sz w:val="24"/>
          <w:szCs w:val="24"/>
          <w:lang w:val="en-US"/>
        </w:rPr>
        <w:t xml:space="preserve">-receptor antagonist approved for treating </w:t>
      </w:r>
      <w:proofErr w:type="spellStart"/>
      <w:r w:rsidRPr="00491BB4">
        <w:rPr>
          <w:rFonts w:ascii="Book Antiqua" w:hAnsi="Book Antiqua" w:cs="Arial"/>
          <w:sz w:val="24"/>
          <w:szCs w:val="24"/>
          <w:lang w:val="en-US"/>
        </w:rPr>
        <w:t>hypervolemic</w:t>
      </w:r>
      <w:proofErr w:type="spellEnd"/>
      <w:r w:rsidRPr="00491BB4">
        <w:rPr>
          <w:rFonts w:ascii="Book Antiqua" w:hAnsi="Book Antiqua" w:cs="Arial"/>
          <w:sz w:val="24"/>
          <w:szCs w:val="24"/>
          <w:lang w:val="en-US"/>
        </w:rPr>
        <w:t xml:space="preserve"> and </w:t>
      </w:r>
      <w:proofErr w:type="spellStart"/>
      <w:r w:rsidRPr="00491BB4">
        <w:rPr>
          <w:rFonts w:ascii="Book Antiqua" w:hAnsi="Book Antiqua" w:cs="Arial"/>
          <w:sz w:val="24"/>
          <w:szCs w:val="24"/>
          <w:lang w:val="en-US"/>
        </w:rPr>
        <w:t>euvolemic</w:t>
      </w:r>
      <w:proofErr w:type="spellEnd"/>
      <w:r w:rsidRPr="00491BB4">
        <w:rPr>
          <w:rFonts w:ascii="Book Antiqua" w:hAnsi="Book Antiqua" w:cs="Arial"/>
          <w:sz w:val="24"/>
          <w:szCs w:val="24"/>
          <w:lang w:val="en-US"/>
        </w:rPr>
        <w:t xml:space="preserve">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rPr>
        <w:fldChar w:fldCharType="begin"/>
      </w:r>
      <w:r w:rsidRPr="00491BB4">
        <w:rPr>
          <w:rFonts w:ascii="Book Antiqua" w:hAnsi="Book Antiqua" w:cs="Arial"/>
          <w:sz w:val="24"/>
          <w:szCs w:val="24"/>
          <w:vertAlign w:val="superscript"/>
          <w:lang w:val="en-US"/>
        </w:rPr>
        <w:instrText xml:space="preserve"> ADDIN REFMGR.CITE &lt;Refman&gt;&lt;Cite&gt;&lt;Author&gt;European Association for the Study of the Liver&lt;/Author&gt;&lt;Year&gt;2010&lt;/Year&gt;&lt;RecNum&gt;24&lt;/RecNum&gt;&lt;IDText&gt;EASL clinical practice guidelines on the management of ascites, spontaneous bacterial peritonitis, and hepatorenal syndrome in cirrhosis&lt;/IDText&gt;&lt;MDL Ref_Type="Journal"&gt;&lt;Ref_Type&gt;Journal&lt;/Ref_Type&gt;&lt;Ref_ID&gt;24&lt;/Ref_ID&gt;&lt;Title_Primary&gt;EASL clinical practice guidelines on the management of ascites, spontaneous bacterial peritonitis, and hepatorenal syndrome in cirrhosis&lt;/Title_Primary&gt;&lt;Authors_Primary&gt;European Association for the Study of the Liver&lt;/Authors_Primary&gt;&lt;Date_Primary&gt;2010/9&lt;/Date_Primary&gt;&lt;Keywords&gt;Anti-Bacterial Agents&lt;/Keywords&gt;&lt;Keywords&gt;Ascites&lt;/Keywords&gt;&lt;Keywords&gt;Bacterial Infections&lt;/Keywords&gt;&lt;Keywords&gt;complications&lt;/Keywords&gt;&lt;Keywords&gt;diagnosis&lt;/Keywords&gt;&lt;Keywords&gt;Diet,Sodium-Restricted&lt;/Keywords&gt;&lt;Keywords&gt;Diuretics&lt;/Keywords&gt;&lt;Keywords&gt;etiology&lt;/Keywords&gt;&lt;Keywords&gt;Hepatorenal Syndrome&lt;/Keywords&gt;&lt;Keywords&gt;Humans&lt;/Keywords&gt;&lt;Keywords&gt;Hyponatremia&lt;/Keywords&gt;&lt;Keywords&gt;Liver Cirrhosis&lt;/Keywords&gt;&lt;Keywords&gt;Liver Transplantation&lt;/Keywords&gt;&lt;Keywords&gt;Paracentesis&lt;/Keywords&gt;&lt;Keywords&gt;Peritonitis&lt;/Keywords&gt;&lt;Keywords&gt;Portasystemic Shunt,Transjugular Intrahepatic&lt;/Keywords&gt;&lt;Keywords&gt;Prognosis&lt;/Keywords&gt;&lt;Keywords&gt;therapeutic use&lt;/Keywords&gt;&lt;Keywords&gt;therapy&lt;/Keywords&gt;&lt;Reprint&gt;Not in File&lt;/Reprint&gt;&lt;Start_Page&gt;397&lt;/Start_Page&gt;&lt;End_Page&gt;417&lt;/End_Page&gt;&lt;Periodical&gt;J.Hepatol&lt;/Periodical&gt;&lt;Volume&gt;53&lt;/Volume&gt;&lt;Issue&gt;3&lt;/Issue&gt;&lt;Web_URL&gt;PM:20633946&lt;/Web_URL&gt;&lt;ZZ_JournalStdAbbrev&gt;&lt;f name="System"&gt;J.Hepatol&lt;/f&gt;&lt;/ZZ_JournalStdAbbrev&gt;&lt;ZZ_WorkformID&gt;1&lt;/ZZ_WorkformID&gt;&lt;/MDL&gt;&lt;/Cite&gt;&lt;/Refman&gt;</w:instrText>
      </w:r>
      <w:r w:rsidRPr="00491BB4">
        <w:rPr>
          <w:rFonts w:ascii="Book Antiqua" w:hAnsi="Book Antiqua" w:cs="Arial"/>
          <w:sz w:val="24"/>
          <w:szCs w:val="24"/>
          <w:vertAlign w:val="superscript"/>
          <w:lang w:val="en-US"/>
        </w:rPr>
        <w:fldChar w:fldCharType="separate"/>
      </w:r>
      <w:r w:rsidRPr="00491BB4">
        <w:rPr>
          <w:rFonts w:ascii="Book Antiqua" w:hAnsi="Book Antiqua" w:cs="Arial"/>
          <w:sz w:val="24"/>
          <w:szCs w:val="24"/>
          <w:vertAlign w:val="superscript"/>
          <w:lang w:val="en-US"/>
        </w:rPr>
        <w:t>7</w:t>
      </w:r>
      <w:r w:rsidRPr="00491BB4">
        <w:rPr>
          <w:rFonts w:ascii="Book Antiqua" w:hAnsi="Book Antiqua" w:cs="Arial"/>
          <w:sz w:val="24"/>
          <w:szCs w:val="24"/>
          <w:vertAlign w:val="superscript"/>
          <w:lang w:val="en-US"/>
        </w:rPr>
        <w:fldChar w:fldCharType="end"/>
      </w:r>
      <w:r w:rsidRPr="00491BB4">
        <w:rPr>
          <w:rFonts w:ascii="Book Antiqua" w:hAnsi="Book Antiqua" w:cs="Arial"/>
          <w:sz w:val="24"/>
          <w:szCs w:val="24"/>
          <w:vertAlign w:val="superscript"/>
          <w:lang w:val="en-US" w:eastAsia="zh-CN"/>
        </w:rPr>
        <w:t>,8]</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The blockage of V</w:t>
      </w:r>
      <w:r w:rsidRPr="00491BB4">
        <w:rPr>
          <w:rFonts w:ascii="Book Antiqua" w:hAnsi="Book Antiqua" w:cs="Arial"/>
          <w:sz w:val="24"/>
          <w:szCs w:val="24"/>
          <w:vertAlign w:val="subscript"/>
          <w:lang w:val="en-US"/>
        </w:rPr>
        <w:t>2</w:t>
      </w:r>
      <w:r w:rsidRPr="00491BB4">
        <w:rPr>
          <w:rFonts w:ascii="Book Antiqua" w:hAnsi="Book Antiqua" w:cs="Arial"/>
          <w:sz w:val="24"/>
          <w:szCs w:val="24"/>
          <w:lang w:val="en-US"/>
        </w:rPr>
        <w:t xml:space="preserve">-receptors by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prevents the insertion of aquaporin-2 water channels into the apical cell membrane of the collecting duct, increasing free water excretion without significantly affecting urinary sodium and potassium excretion. As a result, there is reduced water retention with elevated serum sodium levels. The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mechanism of action indicates that it is effective for treating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and has a significant role in promoting </w:t>
      </w:r>
      <w:proofErr w:type="spellStart"/>
      <w:r w:rsidRPr="00491BB4">
        <w:rPr>
          <w:rFonts w:ascii="Book Antiqua" w:hAnsi="Book Antiqua" w:cs="Arial"/>
          <w:sz w:val="24"/>
          <w:szCs w:val="24"/>
          <w:lang w:val="en-US"/>
        </w:rPr>
        <w:t>aquaresis</w:t>
      </w:r>
      <w:proofErr w:type="spellEnd"/>
      <w:r w:rsidRPr="00491BB4">
        <w:rPr>
          <w:rFonts w:ascii="Book Antiqua" w:hAnsi="Book Antiqua" w:cs="Arial"/>
          <w:sz w:val="24"/>
          <w:szCs w:val="24"/>
          <w:lang w:val="en-US"/>
        </w:rPr>
        <w:t>.</w:t>
      </w:r>
    </w:p>
    <w:p w:rsidR="00C24456" w:rsidRPr="00491BB4" w:rsidRDefault="00C24456" w:rsidP="001C41C7">
      <w:pPr>
        <w:pStyle w:val="12"/>
        <w:snapToGrid w:val="0"/>
        <w:spacing w:after="0" w:line="360" w:lineRule="auto"/>
        <w:ind w:left="0" w:firstLineChars="50" w:firstLine="120"/>
        <w:contextualSpacing w:val="0"/>
        <w:jc w:val="both"/>
        <w:rPr>
          <w:rFonts w:ascii="Book Antiqua" w:hAnsi="Book Antiqua" w:cs="Arial"/>
          <w:sz w:val="24"/>
          <w:szCs w:val="24"/>
          <w:lang w:val="en-US"/>
        </w:rPr>
      </w:pPr>
      <w:r w:rsidRPr="00491BB4">
        <w:rPr>
          <w:rFonts w:ascii="Book Antiqua" w:hAnsi="Book Antiqua" w:cs="Arial"/>
          <w:sz w:val="24"/>
          <w:szCs w:val="24"/>
          <w:lang w:val="en-US" w:eastAsia="zh-CN"/>
        </w:rPr>
        <w:t>Numerous studies have</w:t>
      </w:r>
      <w:r w:rsidRPr="00491BB4">
        <w:rPr>
          <w:rFonts w:ascii="Book Antiqua" w:hAnsi="Book Antiqua" w:cs="Arial"/>
          <w:sz w:val="24"/>
          <w:szCs w:val="24"/>
          <w:lang w:val="en-US"/>
        </w:rPr>
        <w:t xml:space="preserve"> reported on the efficacy and safety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for treating ascites and edema in patients with decompensated cirrhosis</w:t>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rPr>
        <w:fldChar w:fldCharType="begin"/>
      </w:r>
      <w:r w:rsidRPr="00491BB4">
        <w:rPr>
          <w:rFonts w:ascii="Book Antiqua" w:hAnsi="Book Antiqua" w:cs="Arial"/>
          <w:sz w:val="24"/>
          <w:szCs w:val="24"/>
          <w:vertAlign w:val="superscript"/>
          <w:lang w:val="en-US"/>
        </w:rPr>
        <w:instrText xml:space="preserve"> ADDIN REFMGR.CITE &lt;Refman&gt;&lt;Cite&gt;&lt;Author&gt;Okita&lt;/Author&gt;&lt;Year&gt;2010&lt;/Year&gt;&lt;RecNum&gt;2&lt;/RecNum&gt;&lt;IDText&gt;A multicenter, open-label, dose-ranging study to exploratively evaluate the efficacy, safety, and dose-response of tolvaptan in patients with decompensated liver cirrhosis&lt;/IDText&gt;&lt;MDL Ref_Type="Journal"&gt;&lt;Ref_Type&gt;Journal&lt;/Ref_Type&gt;&lt;Ref_ID&gt;2&lt;/Ref_ID&gt;&lt;Title_Primary&gt;A multicenter, open-label, dose-ranging study to exploratively evaluate the efficacy, safety, and dose-response of tolvaptan in patients with decompensated liver cirrhosis&lt;/Title_Primary&gt;&lt;Authors_Primary&gt;Okita,K.&lt;/Authors_Primary&gt;&lt;Authors_Primary&gt;Sakaida,I.&lt;/Authors_Primary&gt;&lt;Authors_Primary&gt;Okada,M.&lt;/Authors_Primary&gt;&lt;Authors_Primary&gt;Kaneko,A.&lt;/Authors_Primary&gt;&lt;Authors_Primary&gt;Chayama,K.&lt;/Authors_Primary&gt;&lt;Authors_Primary&gt;Kato,M.&lt;/Authors_Primary&gt;&lt;Authors_Primary&gt;Sata,M.&lt;/Authors_Primary&gt;&lt;Authors_Primary&gt;Yoshihara,H.&lt;/Authors_Primary&gt;&lt;Authors_Primary&gt;Ono,N.&lt;/Authors_Primary&gt;&lt;Authors_Primary&gt;Murawaki,Y.&lt;/Authors_Primary&gt;&lt;Date_Primary&gt;2010/9&lt;/Date_Primary&gt;&lt;Keywords&gt;administration &amp;amp; dosage&lt;/Keywords&gt;&lt;Keywords&gt;Administration,Oral&lt;/Keywords&gt;&lt;Keywords&gt;adverse effects&lt;/Keywords&gt;&lt;Keywords&gt;antagonists &amp;amp; inhibitors&lt;/Keywords&gt;&lt;Keywords&gt;Ascites&lt;/Keywords&gt;&lt;Keywords&gt;Benzazepines&lt;/Keywords&gt;&lt;Keywords&gt;Body Weight&lt;/Keywords&gt;&lt;Keywords&gt;complications&lt;/Keywords&gt;&lt;Keywords&gt;Dose-Response Relationship,Drug&lt;/Keywords&gt;&lt;Keywords&gt;drug effects&lt;/Keywords&gt;&lt;Keywords&gt;drug therapy&lt;/Keywords&gt;&lt;Keywords&gt;Edema&lt;/Keywords&gt;&lt;Keywords&gt;etiology&lt;/Keywords&gt;&lt;Keywords&gt;Female&lt;/Keywords&gt;&lt;Keywords&gt;Furosemide&lt;/Keywords&gt;&lt;Keywords&gt;Humans&lt;/Keywords&gt;&lt;Keywords&gt;Japan&lt;/Keywords&gt;&lt;Keywords&gt;Liver Cirrhosis&lt;/Keywords&gt;&lt;Keywords&gt;Lower Extremity&lt;/Keywords&gt;&lt;Keywords&gt;Male&lt;/Keywords&gt;&lt;Keywords&gt;Middle Aged&lt;/Keywords&gt;&lt;Keywords&gt;physiopathology&lt;/Keywords&gt;&lt;Keywords&gt;Receptors,Vasopressin&lt;/Keywords&gt;&lt;Keywords&gt;therapeutic use&lt;/Keywords&gt;&lt;Keywords&gt;Treatment Outcome&lt;/Keywords&gt;&lt;Keywords&gt;Waist Circumference&lt;/Keywords&gt;&lt;Reprint&gt;Not in File&lt;/Reprint&gt;&lt;Start_Page&gt;979&lt;/Start_Page&gt;&lt;End_Page&gt;987&lt;/End_Page&gt;&lt;Periodical&gt;J.Gastroenterol.&lt;/Periodical&gt;&lt;Volume&gt;45&lt;/Volume&gt;&lt;Issue&gt;9&lt;/Issue&gt;&lt;Address&gt;Social Insurance Alliance Shimonoseki Kohsei Hospital, 3-3-8 Kamishinchi-cho, Shimonoseki, Yamaguchi 750-0061, Japan. k.okita@kousei-h.jp&lt;/Address&gt;&lt;Web_URL&gt;PM:20387081&lt;/Web_URL&gt;&lt;ZZ_JournalStdAbbrev&gt;&lt;f name="System"&gt;J.Gastroenterol.&lt;/f&gt;&lt;/ZZ_JournalStdAbbrev&gt;&lt;ZZ_WorkformID&gt;1&lt;/ZZ_WorkformID&gt;&lt;/MDL&gt;&lt;/Cite&gt;&lt;/Refman&gt;</w:instrText>
      </w:r>
      <w:r w:rsidRPr="00491BB4">
        <w:rPr>
          <w:rFonts w:ascii="Book Antiqua" w:hAnsi="Book Antiqua" w:cs="Arial"/>
          <w:sz w:val="24"/>
          <w:szCs w:val="24"/>
          <w:vertAlign w:val="superscript"/>
          <w:lang w:val="en-US"/>
        </w:rPr>
        <w:fldChar w:fldCharType="separate"/>
      </w:r>
      <w:r w:rsidRPr="00491BB4">
        <w:rPr>
          <w:rFonts w:ascii="Book Antiqua" w:hAnsi="Book Antiqua" w:cs="Arial"/>
          <w:sz w:val="24"/>
          <w:szCs w:val="24"/>
          <w:vertAlign w:val="superscript"/>
          <w:lang w:val="en-US"/>
        </w:rPr>
        <w:t>8</w:t>
      </w:r>
      <w:r w:rsidRPr="00491BB4">
        <w:rPr>
          <w:rFonts w:ascii="Book Antiqua" w:hAnsi="Book Antiqua" w:cs="Arial"/>
          <w:sz w:val="24"/>
          <w:szCs w:val="24"/>
          <w:vertAlign w:val="superscript"/>
          <w:lang w:val="en-US"/>
        </w:rPr>
        <w:fldChar w:fldCharType="end"/>
      </w:r>
      <w:r w:rsidRPr="00491BB4">
        <w:rPr>
          <w:rFonts w:ascii="Book Antiqua" w:hAnsi="Book Antiqua" w:cs="Arial"/>
          <w:sz w:val="24"/>
          <w:szCs w:val="24"/>
          <w:vertAlign w:val="superscript"/>
          <w:lang w:val="en-US" w:eastAsia="zh-CN"/>
        </w:rPr>
        <w:t>-11]</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However, t</w:t>
      </w:r>
      <w:r w:rsidRPr="00491BB4">
        <w:rPr>
          <w:rFonts w:ascii="Book Antiqua" w:hAnsi="Book Antiqua" w:cs="Arial"/>
          <w:sz w:val="24"/>
          <w:szCs w:val="24"/>
          <w:lang w:val="en-US"/>
        </w:rPr>
        <w:t xml:space="preserve">he efficacy and safety of this drug for treating </w:t>
      </w:r>
      <w:r w:rsidRPr="00491BB4">
        <w:rPr>
          <w:rFonts w:ascii="Book Antiqua" w:hAnsi="Book Antiqua" w:cs="Arial"/>
          <w:sz w:val="24"/>
          <w:szCs w:val="24"/>
          <w:lang w:val="en-US" w:eastAsia="zh-CN"/>
        </w:rPr>
        <w:t xml:space="preserve">refractory </w:t>
      </w:r>
      <w:r w:rsidRPr="00491BB4">
        <w:rPr>
          <w:rFonts w:ascii="Book Antiqua" w:hAnsi="Book Antiqua" w:cs="Arial"/>
          <w:sz w:val="24"/>
          <w:szCs w:val="24"/>
          <w:lang w:val="en-US"/>
        </w:rPr>
        <w:t xml:space="preserve">ascites in cirrhotic patients remains unknown. Furthermore, the use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in the subset of patients with complications such as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and/</w:t>
      </w:r>
      <w:r w:rsidRPr="00491BB4">
        <w:rPr>
          <w:rFonts w:ascii="Book Antiqua" w:hAnsi="Book Antiqua" w:cs="Arial"/>
          <w:sz w:val="24"/>
          <w:szCs w:val="24"/>
          <w:lang w:val="en-US" w:eastAsia="zh-CN"/>
        </w:rPr>
        <w:t xml:space="preserve">or </w:t>
      </w:r>
      <w:r w:rsidRPr="00491BB4">
        <w:rPr>
          <w:rFonts w:ascii="Book Antiqua" w:hAnsi="Book Antiqua" w:cs="Arial"/>
          <w:sz w:val="24"/>
          <w:szCs w:val="24"/>
          <w:lang w:val="en-US"/>
        </w:rPr>
        <w:t>hepatocellular carcinoma</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 xml:space="preserve">has not previously been explored. </w:t>
      </w:r>
    </w:p>
    <w:p w:rsidR="00C24456" w:rsidRPr="00491BB4" w:rsidRDefault="00C24456" w:rsidP="001C41C7">
      <w:pPr>
        <w:pStyle w:val="12"/>
        <w:snapToGrid w:val="0"/>
        <w:spacing w:after="0" w:line="360" w:lineRule="auto"/>
        <w:ind w:left="0" w:firstLineChars="50" w:firstLine="12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Our principal objective was to conduct an observational study to examine the efficacy and safety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for treat</w:t>
      </w:r>
      <w:r w:rsidRPr="00491BB4">
        <w:rPr>
          <w:rFonts w:ascii="Book Antiqua" w:hAnsi="Book Antiqua" w:cs="Arial"/>
          <w:sz w:val="24"/>
          <w:szCs w:val="24"/>
          <w:lang w:val="en-US"/>
        </w:rPr>
        <w:t>ing refractory ascites and edema in decompensated</w:t>
      </w:r>
      <w:r w:rsidRPr="00491BB4">
        <w:rPr>
          <w:rFonts w:ascii="Book Antiqua" w:hAnsi="Book Antiqua" w:cs="Arial"/>
          <w:sz w:val="24"/>
          <w:szCs w:val="24"/>
          <w:lang w:val="en-US" w:eastAsia="zh-CN"/>
        </w:rPr>
        <w:t xml:space="preserve"> cirrhotic </w:t>
      </w:r>
      <w:r w:rsidRPr="00491BB4">
        <w:rPr>
          <w:rFonts w:ascii="Book Antiqua" w:hAnsi="Book Antiqua" w:cs="Arial"/>
          <w:sz w:val="24"/>
          <w:szCs w:val="24"/>
          <w:lang w:val="en-US"/>
        </w:rPr>
        <w:t>patients</w:t>
      </w:r>
      <w:r w:rsidRPr="00491BB4">
        <w:rPr>
          <w:rFonts w:ascii="Book Antiqua" w:hAnsi="Book Antiqua" w:cs="Arial"/>
          <w:sz w:val="24"/>
          <w:szCs w:val="24"/>
          <w:lang w:val="en-US" w:eastAsia="zh-CN"/>
        </w:rPr>
        <w:t xml:space="preserve"> with or without additional complications</w:t>
      </w:r>
      <w:r w:rsidRPr="00491BB4">
        <w:rPr>
          <w:rFonts w:ascii="Book Antiqua" w:hAnsi="Book Antiqua" w:cs="Arial"/>
          <w:sz w:val="24"/>
          <w:szCs w:val="24"/>
          <w:lang w:val="en-US"/>
        </w:rPr>
        <w:t xml:space="preserve">. </w:t>
      </w:r>
    </w:p>
    <w:p w:rsidR="00C24456" w:rsidRPr="00491BB4" w:rsidRDefault="00C24456" w:rsidP="00F32A86">
      <w:pPr>
        <w:pStyle w:val="11"/>
        <w:snapToGrid w:val="0"/>
        <w:spacing w:line="360" w:lineRule="auto"/>
        <w:jc w:val="both"/>
        <w:rPr>
          <w:rFonts w:ascii="Book Antiqua" w:hAnsi="Book Antiqua" w:cs="Arial"/>
          <w:b/>
          <w:sz w:val="24"/>
          <w:szCs w:val="24"/>
          <w:lang w:val="en-US"/>
        </w:rPr>
      </w:pPr>
    </w:p>
    <w:p w:rsidR="00C24456" w:rsidRPr="00491BB4" w:rsidRDefault="00C24456" w:rsidP="00F32A86">
      <w:pPr>
        <w:snapToGrid w:val="0"/>
        <w:spacing w:line="360" w:lineRule="auto"/>
        <w:rPr>
          <w:rFonts w:ascii="Book Antiqua" w:hAnsi="Book Antiqua"/>
          <w:b/>
          <w:sz w:val="24"/>
        </w:rPr>
      </w:pPr>
      <w:r w:rsidRPr="00491BB4">
        <w:rPr>
          <w:rFonts w:ascii="Book Antiqua" w:hAnsi="Book Antiqua"/>
          <w:b/>
          <w:sz w:val="24"/>
        </w:rPr>
        <w:t>MATERIALS AND METHODS</w:t>
      </w:r>
      <w:r w:rsidRPr="00491BB4">
        <w:rPr>
          <w:rFonts w:ascii="Book Antiqua" w:hAnsi="Book Antiqua" w:cs="Arial"/>
          <w:b/>
          <w:sz w:val="24"/>
        </w:rPr>
        <w:t xml:space="preserve"> </w:t>
      </w: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 xml:space="preserve">Study design </w:t>
      </w:r>
    </w:p>
    <w:p w:rsidR="00C24456" w:rsidRPr="00491BB4" w:rsidRDefault="00C24456" w:rsidP="00F32A86">
      <w:pPr>
        <w:snapToGrid w:val="0"/>
        <w:spacing w:line="360" w:lineRule="auto"/>
        <w:rPr>
          <w:rFonts w:ascii="Book Antiqua" w:hAnsi="Book Antiqua" w:cs="Arial"/>
          <w:sz w:val="24"/>
        </w:rPr>
      </w:pPr>
      <w:r w:rsidRPr="00491BB4">
        <w:rPr>
          <w:rFonts w:ascii="Book Antiqua" w:hAnsi="Book Antiqua" w:cs="Arial"/>
          <w:sz w:val="24"/>
        </w:rPr>
        <w:t xml:space="preserve">A single center, open-label, observational study was conducted in China between May 2012 and July 2013. Patients were recruited between May 2012 </w:t>
      </w:r>
      <w:r w:rsidRPr="00491BB4">
        <w:rPr>
          <w:rFonts w:ascii="Book Antiqua" w:hAnsi="Book Antiqua" w:cs="Arial"/>
          <w:sz w:val="24"/>
        </w:rPr>
        <w:lastRenderedPageBreak/>
        <w:t>and March 2013.</w:t>
      </w:r>
    </w:p>
    <w:p w:rsidR="00C24456" w:rsidRPr="00491BB4" w:rsidRDefault="00C24456" w:rsidP="00F32A86">
      <w:pPr>
        <w:snapToGrid w:val="0"/>
        <w:spacing w:line="360" w:lineRule="auto"/>
        <w:rPr>
          <w:rFonts w:ascii="Book Antiqua" w:hAnsi="Book Antiqua" w:cs="Arial"/>
          <w:sz w:val="24"/>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Inclusion criteria</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Candidates were selected for study inclusion if they met the criteria for cirrhosis and refractory ascites. A diagnostic work-up for decompensated liver cirrhosis was performed, including assessment of the clinical manifestations, physical examination and laboratory tests. The inclusion criteria were as follows: (1) history of chronic hepatitis and/or signs with various causes; (2) abnormal liver function accompanied by portal hypertension, such as ascites, encephalopathy or esophageal or gastric </w:t>
      </w:r>
      <w:proofErr w:type="spellStart"/>
      <w:r w:rsidRPr="00491BB4">
        <w:rPr>
          <w:rFonts w:ascii="Book Antiqua" w:hAnsi="Book Antiqua" w:cs="Arial"/>
          <w:sz w:val="24"/>
          <w:szCs w:val="24"/>
          <w:lang w:val="en-US"/>
        </w:rPr>
        <w:t>variceal</w:t>
      </w:r>
      <w:proofErr w:type="spellEnd"/>
      <w:r w:rsidRPr="00491BB4">
        <w:rPr>
          <w:rFonts w:ascii="Book Antiqua" w:hAnsi="Book Antiqua" w:cs="Arial"/>
          <w:sz w:val="24"/>
          <w:szCs w:val="24"/>
          <w:lang w:val="en-US"/>
        </w:rPr>
        <w:t xml:space="preserve"> bleeding; and (3) B-ultrasound scanning (LOGIQ9; GE Company, Fairfield, United States) and 4-phase </w:t>
      </w:r>
      <w:proofErr w:type="spellStart"/>
      <w:r w:rsidRPr="00491BB4">
        <w:rPr>
          <w:rFonts w:ascii="Book Antiqua" w:hAnsi="Book Antiqua" w:cs="Arial"/>
          <w:sz w:val="24"/>
          <w:szCs w:val="24"/>
          <w:lang w:val="en-US"/>
        </w:rPr>
        <w:t>multidetector</w:t>
      </w:r>
      <w:proofErr w:type="spellEnd"/>
      <w:r w:rsidRPr="00491BB4">
        <w:rPr>
          <w:rFonts w:ascii="Book Antiqua" w:hAnsi="Book Antiqua" w:cs="Arial"/>
          <w:sz w:val="24"/>
          <w:szCs w:val="24"/>
          <w:lang w:val="en-US"/>
        </w:rPr>
        <w:t xml:space="preserve"> computed tomography (CT) scan (GE HISPEED DXI; GE Company) results consistent with the signs of liver cirrhosis. </w:t>
      </w:r>
      <w:r w:rsidRPr="00491BB4">
        <w:rPr>
          <w:rFonts w:ascii="Book Antiqua" w:hAnsi="Book Antiqua" w:cs="Arial"/>
          <w:sz w:val="24"/>
          <w:szCs w:val="24"/>
          <w:lang w:val="en-US" w:eastAsia="zh-CN"/>
        </w:rPr>
        <w:t>P</w:t>
      </w:r>
      <w:r w:rsidRPr="00491BB4">
        <w:rPr>
          <w:rFonts w:ascii="Book Antiqua" w:hAnsi="Book Antiqua" w:cs="Arial"/>
          <w:sz w:val="24"/>
          <w:szCs w:val="24"/>
          <w:lang w:val="en-US"/>
        </w:rPr>
        <w:t xml:space="preserve">atients </w:t>
      </w:r>
      <w:r w:rsidRPr="00491BB4">
        <w:rPr>
          <w:rFonts w:ascii="Book Antiqua" w:hAnsi="Book Antiqua" w:cs="Arial"/>
          <w:sz w:val="24"/>
          <w:szCs w:val="24"/>
          <w:lang w:val="en-US" w:eastAsia="zh-CN"/>
        </w:rPr>
        <w:t>with</w:t>
      </w:r>
      <w:r w:rsidRPr="00491BB4">
        <w:rPr>
          <w:rFonts w:ascii="Book Antiqua" w:hAnsi="Book Antiqua" w:cs="Arial"/>
          <w:sz w:val="24"/>
          <w:szCs w:val="24"/>
          <w:lang w:val="en-US"/>
        </w:rPr>
        <w:t xml:space="preserve"> hepatocellular carcinoma</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w</w:t>
      </w:r>
      <w:r w:rsidRPr="00491BB4">
        <w:rPr>
          <w:rFonts w:ascii="Book Antiqua" w:hAnsi="Book Antiqua" w:cs="Arial"/>
          <w:sz w:val="24"/>
          <w:szCs w:val="24"/>
          <w:lang w:val="en-US" w:eastAsia="zh-CN"/>
        </w:rPr>
        <w:t>ere</w:t>
      </w:r>
      <w:r w:rsidRPr="00491BB4">
        <w:rPr>
          <w:rFonts w:ascii="Book Antiqua" w:hAnsi="Book Antiqua" w:cs="Arial"/>
          <w:sz w:val="24"/>
          <w:szCs w:val="24"/>
          <w:lang w:val="en-US"/>
        </w:rPr>
        <w:t xml:space="preserve"> diagnosed using CT or dynamic contrast-enhanced magnetic resonance imaging in accordance with the diagnostic criteria recommended in the 2010 AASLD </w:t>
      </w:r>
      <w:proofErr w:type="gramStart"/>
      <w:r w:rsidRPr="00491BB4">
        <w:rPr>
          <w:rFonts w:ascii="Book Antiqua" w:hAnsi="Book Antiqua" w:cs="Arial"/>
          <w:sz w:val="24"/>
          <w:szCs w:val="24"/>
          <w:lang w:val="en-US"/>
        </w:rPr>
        <w:t>guidelines</w:t>
      </w:r>
      <w:r w:rsidRPr="00491BB4">
        <w:rPr>
          <w:rFonts w:ascii="Book Antiqua" w:hAnsi="Book Antiqua" w:cs="Arial"/>
          <w:sz w:val="24"/>
          <w:szCs w:val="24"/>
          <w:vertAlign w:val="superscript"/>
          <w:lang w:val="en-US" w:eastAsia="zh-CN"/>
        </w:rPr>
        <w:t>[</w:t>
      </w:r>
      <w:proofErr w:type="gramEnd"/>
      <w:r w:rsidRPr="00491BB4">
        <w:rPr>
          <w:rFonts w:ascii="Book Antiqua" w:hAnsi="Book Antiqua" w:cs="Arial"/>
          <w:sz w:val="24"/>
          <w:szCs w:val="24"/>
          <w:vertAlign w:val="superscript"/>
          <w:lang w:val="en-US" w:eastAsia="zh-CN"/>
        </w:rPr>
        <w:t>12]</w:t>
      </w:r>
      <w:r w:rsidRPr="00491BB4">
        <w:rPr>
          <w:rFonts w:ascii="Book Antiqua" w:hAnsi="Book Antiqua" w:cs="Arial"/>
          <w:sz w:val="24"/>
          <w:szCs w:val="24"/>
          <w:lang w:val="en-US" w:eastAsia="zh-CN"/>
        </w:rPr>
        <w:t>.</w:t>
      </w:r>
      <w:r w:rsidRPr="00491BB4">
        <w:rPr>
          <w:rFonts w:ascii="Book Antiqua" w:hAnsi="Book Antiqua" w:cs="Arial"/>
          <w:b/>
          <w:sz w:val="24"/>
          <w:szCs w:val="24"/>
          <w:lang w:val="en-US"/>
        </w:rPr>
        <w:t xml:space="preserve"> </w:t>
      </w:r>
      <w:r w:rsidRPr="00491BB4">
        <w:rPr>
          <w:rFonts w:ascii="Book Antiqua" w:hAnsi="Book Antiqua" w:cs="Arial"/>
          <w:sz w:val="24"/>
          <w:szCs w:val="24"/>
          <w:lang w:val="en-US" w:eastAsia="zh-CN"/>
        </w:rPr>
        <w:t>The definition for r</w:t>
      </w:r>
      <w:r w:rsidRPr="00491BB4">
        <w:rPr>
          <w:rFonts w:ascii="Book Antiqua" w:hAnsi="Book Antiqua" w:cs="Arial"/>
          <w:sz w:val="24"/>
          <w:szCs w:val="24"/>
          <w:lang w:val="en-US"/>
        </w:rPr>
        <w:t>efractory ascites underwent a</w:t>
      </w:r>
      <w:r w:rsidRPr="00491BB4">
        <w:rPr>
          <w:rFonts w:ascii="Book Antiqua" w:hAnsi="Book Antiqua" w:cs="Arial"/>
          <w:sz w:val="24"/>
          <w:szCs w:val="24"/>
          <w:lang w:val="en-US" w:eastAsia="zh-CN"/>
        </w:rPr>
        <w:t xml:space="preserve"> minor revision according to the 2012 AASLD guidelines</w:t>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vertAlign w:val="superscript"/>
          <w:lang w:val="en-US" w:eastAsia="zh-CN"/>
        </w:rPr>
        <w:fldChar w:fldCharType="begin"/>
      </w:r>
      <w:r w:rsidRPr="00491BB4">
        <w:rPr>
          <w:rFonts w:ascii="Book Antiqua" w:hAnsi="Book Antiqua" w:cs="Arial"/>
          <w:sz w:val="24"/>
          <w:szCs w:val="24"/>
          <w:vertAlign w:val="superscript"/>
          <w:lang w:val="en-US" w:eastAsia="zh-CN"/>
        </w:rPr>
        <w:instrText xml:space="preserve"> ADDIN REFMGR.CITE &lt;Refman&gt;&lt;Cite&gt;&lt;Author&gt;Runyon&lt;/Author&gt;&lt;Year&gt;2013&lt;/Year&gt;&lt;RecNum&gt;23&lt;/RecNum&gt;&lt;IDText&gt;Introduction to the revised American Association for the Study of Liver Diseases Practice Guideline management of adult patients with ascites due to cirrhosis 2012&lt;/IDText&gt;&lt;MDL Ref_Type="Journal"&gt;&lt;Ref_Type&gt;Journal&lt;/Ref_Type&gt;&lt;Ref_ID&gt;23&lt;/Ref_ID&gt;&lt;Title_Primary&gt;Introduction to the revised American Association for the Study of Liver Diseases Practice Guideline management of adult patients with ascites due to cirrhosis 2012&lt;/Title_Primary&gt;&lt;Authors_Primary&gt;Runyon,B.A.&lt;/Authors_Primary&gt;&lt;Date_Primary&gt;2013/4&lt;/Date_Primary&gt;&lt;Keywords&gt;Adult&lt;/Keywords&gt;&lt;Keywords&gt;Ascites&lt;/Keywords&gt;&lt;Keywords&gt;Bacterial Infections&lt;/Keywords&gt;&lt;Keywords&gt;complications&lt;/Keywords&gt;&lt;Keywords&gt;diagnosis&lt;/Keywords&gt;&lt;Keywords&gt;Disease Management&lt;/Keywords&gt;&lt;Keywords&gt;drug therapy&lt;/Keywords&gt;&lt;Keywords&gt;etiology&lt;/Keywords&gt;&lt;Keywords&gt;Hepatorenal Syndrome&lt;/Keywords&gt;&lt;Keywords&gt;Humans&lt;/Keywords&gt;&lt;Keywords&gt;Liver Cirrhosis&lt;/Keywords&gt;&lt;Keywords&gt;Practice Guidelines as Topic&lt;/Keywords&gt;&lt;Keywords&gt;prevention &amp;amp; control&lt;/Keywords&gt;&lt;Keywords&gt;therapy&lt;/Keywords&gt;&lt;Reprint&gt;Not in File&lt;/Reprint&gt;&lt;Start_Page&gt;1651&lt;/Start_Page&gt;&lt;End_Page&gt;1653&lt;/End_Page&gt;&lt;Periodical&gt;Hepatology&lt;/Periodical&gt;&lt;Volume&gt;57&lt;/Volume&gt;&lt;Issue&gt;4&lt;/Issue&gt;&lt;Address&gt;Division of Digestive Diseases, David Geffen School of Medicine at UCLA, UCLA Santa Monica Medical Center, Santa Monica, CA 90404, USA. barunyon@mednet.ucla.edu&lt;/Address&gt;&lt;Web_URL&gt;PM:23463403&lt;/Web_URL&gt;&lt;ZZ_JournalStdAbbrev&gt;&lt;f name="System"&gt;Hepatology&lt;/f&gt;&lt;/ZZ_JournalStdAbbrev&gt;&lt;ZZ_WorkformID&gt;1&lt;/ZZ_WorkformID&gt;&lt;/MDL&gt;&lt;/Cite&gt;&lt;/Refman&gt;</w:instrText>
      </w:r>
      <w:r w:rsidRPr="00491BB4">
        <w:rPr>
          <w:rFonts w:ascii="Book Antiqua" w:hAnsi="Book Antiqua" w:cs="Arial"/>
          <w:sz w:val="24"/>
          <w:szCs w:val="24"/>
          <w:vertAlign w:val="superscript"/>
          <w:lang w:val="en-US" w:eastAsia="zh-CN"/>
        </w:rPr>
        <w:fldChar w:fldCharType="separate"/>
      </w:r>
      <w:r w:rsidRPr="00491BB4">
        <w:rPr>
          <w:rFonts w:ascii="Book Antiqua" w:hAnsi="Book Antiqua" w:cs="Arial"/>
          <w:sz w:val="24"/>
          <w:szCs w:val="24"/>
          <w:vertAlign w:val="superscript"/>
          <w:lang w:val="en-US" w:eastAsia="zh-CN"/>
        </w:rPr>
        <w:t>2</w:t>
      </w:r>
      <w:r w:rsidRPr="00491BB4">
        <w:rPr>
          <w:rFonts w:ascii="Book Antiqua" w:hAnsi="Book Antiqua" w:cs="Arial"/>
          <w:sz w:val="24"/>
          <w:szCs w:val="24"/>
          <w:vertAlign w:val="superscript"/>
          <w:lang w:val="en-US" w:eastAsia="zh-CN"/>
        </w:rPr>
        <w:fldChar w:fldCharType="end"/>
      </w:r>
      <w:r w:rsidRPr="00491BB4">
        <w:rPr>
          <w:rFonts w:ascii="Book Antiqua" w:hAnsi="Book Antiqua" w:cs="Arial"/>
          <w:sz w:val="24"/>
          <w:szCs w:val="24"/>
          <w:vertAlign w:val="superscript"/>
          <w:lang w:val="en-US" w:eastAsia="zh-CN"/>
        </w:rPr>
        <w:t>]</w:t>
      </w:r>
      <w:r w:rsidRPr="00491BB4">
        <w:rPr>
          <w:rFonts w:ascii="Book Antiqua" w:hAnsi="Book Antiqua" w:cs="Arial"/>
          <w:sz w:val="24"/>
          <w:szCs w:val="24"/>
          <w:lang w:val="en-US" w:eastAsia="zh-CN"/>
        </w:rPr>
        <w:t>. Namely, refractory ascites was defined as if</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it was not</w:t>
      </w:r>
      <w:r w:rsidRPr="00491BB4">
        <w:rPr>
          <w:rFonts w:ascii="Book Antiqua" w:hAnsi="Book Antiqua" w:cs="Arial"/>
          <w:sz w:val="24"/>
          <w:szCs w:val="24"/>
          <w:lang w:val="en-US"/>
        </w:rPr>
        <w:t xml:space="preserve"> satisfactorily controll</w:t>
      </w:r>
      <w:r w:rsidRPr="00491BB4">
        <w:rPr>
          <w:rFonts w:ascii="Book Antiqua" w:hAnsi="Book Antiqua" w:cs="Arial"/>
          <w:sz w:val="24"/>
          <w:szCs w:val="24"/>
          <w:lang w:val="en-US" w:eastAsia="zh-CN"/>
        </w:rPr>
        <w:t>ed</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after a patient had either (1)</w:t>
      </w:r>
      <w:r w:rsidRPr="00491BB4">
        <w:rPr>
          <w:rFonts w:ascii="Book Antiqua" w:hAnsi="Book Antiqua" w:cs="Arial"/>
          <w:sz w:val="24"/>
          <w:szCs w:val="24"/>
          <w:lang w:val="en-US"/>
        </w:rPr>
        <w:t xml:space="preserve"> 1 week of sodium intake restrictions (&lt; 6 g/d), intermittent albumin infusion (10</w:t>
      </w:r>
      <w:r w:rsidRPr="00491BB4">
        <w:rPr>
          <w:rFonts w:ascii="Book Antiqua" w:hAnsi="Book Antiqua" w:cs="Arial"/>
          <w:sz w:val="24"/>
          <w:szCs w:val="24"/>
          <w:lang w:val="en-US" w:eastAsia="zh-CN"/>
        </w:rPr>
        <w:t>–</w:t>
      </w:r>
      <w:r w:rsidRPr="00491BB4">
        <w:rPr>
          <w:rFonts w:ascii="Book Antiqua" w:hAnsi="Book Antiqua" w:cs="Arial"/>
          <w:sz w:val="24"/>
          <w:szCs w:val="24"/>
          <w:lang w:val="en-US"/>
        </w:rPr>
        <w:t>20 g per treatment) and high doses of diuretics (</w:t>
      </w:r>
      <w:r w:rsidRPr="00491BB4">
        <w:rPr>
          <w:rFonts w:ascii="Book Antiqua" w:hAnsi="Book Antiqua" w:cs="Arial"/>
          <w:sz w:val="24"/>
          <w:szCs w:val="24"/>
          <w:lang w:val="en-US" w:eastAsia="zh-CN"/>
        </w:rPr>
        <w:t xml:space="preserve">more than </w:t>
      </w:r>
      <w:r w:rsidRPr="00491BB4">
        <w:rPr>
          <w:rFonts w:ascii="Book Antiqua" w:hAnsi="Book Antiqua" w:cs="Arial"/>
          <w:sz w:val="24"/>
          <w:szCs w:val="24"/>
          <w:lang w:val="en-US"/>
        </w:rPr>
        <w:t>160 mg/d of furosemide and 200 mg/d of spironolactone)</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 xml:space="preserve">or (2) 2 </w:t>
      </w:r>
      <w:proofErr w:type="spellStart"/>
      <w:r w:rsidRPr="00491BB4">
        <w:rPr>
          <w:rFonts w:ascii="Book Antiqua" w:hAnsi="Book Antiqua" w:cs="Arial"/>
          <w:sz w:val="24"/>
          <w:szCs w:val="24"/>
          <w:lang w:val="en-US" w:eastAsia="zh-CN"/>
        </w:rPr>
        <w:t>wk</w:t>
      </w:r>
      <w:proofErr w:type="spellEnd"/>
      <w:r w:rsidRPr="00491BB4">
        <w:rPr>
          <w:rFonts w:ascii="Book Antiqua" w:hAnsi="Book Antiqua" w:cs="Arial"/>
          <w:sz w:val="24"/>
          <w:szCs w:val="24"/>
          <w:lang w:val="en-US" w:eastAsia="zh-CN"/>
        </w:rPr>
        <w:t xml:space="preserve"> of</w:t>
      </w:r>
      <w:r w:rsidRPr="00491BB4">
        <w:rPr>
          <w:rFonts w:ascii="Book Antiqua" w:hAnsi="Book Antiqua" w:cs="Arial"/>
          <w:sz w:val="24"/>
          <w:szCs w:val="24"/>
          <w:lang w:val="en-US"/>
        </w:rPr>
        <w:t xml:space="preserve"> therapeutic </w:t>
      </w:r>
      <w:proofErr w:type="spellStart"/>
      <w:r w:rsidRPr="00491BB4">
        <w:rPr>
          <w:rFonts w:ascii="Book Antiqua" w:hAnsi="Book Antiqua" w:cs="Arial"/>
          <w:sz w:val="24"/>
          <w:szCs w:val="24"/>
          <w:lang w:val="en-US"/>
        </w:rPr>
        <w:t>paracentesis</w:t>
      </w:r>
      <w:proofErr w:type="spellEnd"/>
      <w:r w:rsidRPr="00491BB4">
        <w:rPr>
          <w:rFonts w:ascii="Book Antiqua" w:hAnsi="Book Antiqua" w:cs="Arial"/>
          <w:sz w:val="24"/>
          <w:szCs w:val="24"/>
          <w:lang w:val="en-US"/>
        </w:rPr>
        <w:t xml:space="preserve"> (3000</w:t>
      </w:r>
      <w:r w:rsidRPr="00491BB4">
        <w:rPr>
          <w:rFonts w:ascii="Book Antiqua" w:hAnsi="Book Antiqua" w:cs="Arial"/>
          <w:sz w:val="24"/>
          <w:szCs w:val="24"/>
          <w:lang w:val="en-US" w:eastAsia="zh-CN"/>
        </w:rPr>
        <w:t>–</w:t>
      </w:r>
      <w:r w:rsidRPr="00491BB4">
        <w:rPr>
          <w:rFonts w:ascii="Book Antiqua" w:hAnsi="Book Antiqua" w:cs="Arial"/>
          <w:sz w:val="24"/>
          <w:szCs w:val="24"/>
          <w:lang w:val="en-US"/>
        </w:rPr>
        <w:t>5000 mL per treatment)</w:t>
      </w:r>
      <w:r w:rsidRPr="00491BB4">
        <w:rPr>
          <w:rFonts w:ascii="Book Antiqua" w:hAnsi="Book Antiqua" w:cs="Arial"/>
          <w:sz w:val="24"/>
          <w:szCs w:val="24"/>
          <w:lang w:val="en-US" w:eastAsia="zh-CN"/>
        </w:rPr>
        <w:t xml:space="preserve">. Hepatic encephalopathy was assessed in accordance with the guidelines developed by the American Gastroenterological </w:t>
      </w:r>
      <w:proofErr w:type="gramStart"/>
      <w:r w:rsidRPr="00491BB4">
        <w:rPr>
          <w:rFonts w:ascii="Book Antiqua" w:hAnsi="Book Antiqua" w:cs="Arial"/>
          <w:sz w:val="24"/>
          <w:szCs w:val="24"/>
          <w:lang w:val="en-US" w:eastAsia="zh-CN"/>
        </w:rPr>
        <w:t>Association</w:t>
      </w:r>
      <w:r w:rsidRPr="00491BB4">
        <w:rPr>
          <w:rFonts w:ascii="Book Antiqua" w:hAnsi="Book Antiqua" w:cs="Arial"/>
          <w:sz w:val="24"/>
          <w:szCs w:val="24"/>
          <w:vertAlign w:val="superscript"/>
          <w:lang w:val="en-US" w:eastAsia="zh-CN"/>
        </w:rPr>
        <w:t>[</w:t>
      </w:r>
      <w:proofErr w:type="gramEnd"/>
      <w:r w:rsidRPr="00491BB4">
        <w:rPr>
          <w:rFonts w:ascii="Book Antiqua" w:hAnsi="Book Antiqua" w:cs="Arial"/>
          <w:sz w:val="24"/>
          <w:szCs w:val="24"/>
          <w:vertAlign w:val="superscript"/>
          <w:lang w:val="en-US" w:eastAsia="zh-CN"/>
        </w:rPr>
        <w:t>13]</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 xml:space="preserve">Patients were diagnosed with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in accordance with the International Ascites Club </w:t>
      </w:r>
      <w:proofErr w:type="gramStart"/>
      <w:r w:rsidRPr="00491BB4">
        <w:rPr>
          <w:rFonts w:ascii="Book Antiqua" w:hAnsi="Book Antiqua" w:cs="Arial"/>
          <w:sz w:val="24"/>
          <w:szCs w:val="24"/>
          <w:lang w:val="en-US"/>
        </w:rPr>
        <w:t>guidelines</w:t>
      </w:r>
      <w:r w:rsidRPr="00491BB4">
        <w:rPr>
          <w:rFonts w:ascii="Book Antiqua" w:hAnsi="Book Antiqua" w:cs="Arial"/>
          <w:sz w:val="24"/>
          <w:szCs w:val="24"/>
          <w:vertAlign w:val="superscript"/>
          <w:lang w:val="en-US" w:eastAsia="zh-CN"/>
        </w:rPr>
        <w:t>[</w:t>
      </w:r>
      <w:proofErr w:type="gramEnd"/>
      <w:r w:rsidRPr="00491BB4">
        <w:rPr>
          <w:rFonts w:ascii="Book Antiqua" w:hAnsi="Book Antiqua" w:cs="Arial"/>
          <w:sz w:val="24"/>
          <w:szCs w:val="24"/>
          <w:vertAlign w:val="superscript"/>
          <w:lang w:val="en-US" w:eastAsia="zh-CN"/>
        </w:rPr>
        <w:t>14]</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Patients were excluded if they had severe cardiovascular, pulmonary, cerebral or hematological complications or severe mental illness.</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p>
    <w:p w:rsidR="00C24456" w:rsidRPr="00491BB4" w:rsidRDefault="00C24456" w:rsidP="00F32A86">
      <w:pPr>
        <w:pStyle w:val="12"/>
        <w:snapToGrid w:val="0"/>
        <w:spacing w:after="0" w:line="360" w:lineRule="auto"/>
        <w:ind w:left="0"/>
        <w:contextualSpacing w:val="0"/>
        <w:jc w:val="both"/>
        <w:rPr>
          <w:rFonts w:ascii="Book Antiqua" w:hAnsi="Book Antiqua"/>
          <w:b/>
          <w:i/>
          <w:sz w:val="24"/>
          <w:szCs w:val="24"/>
          <w:lang w:val="en-US" w:eastAsia="zh-CN"/>
        </w:rPr>
      </w:pPr>
      <w:r w:rsidRPr="00491BB4">
        <w:rPr>
          <w:rFonts w:ascii="Book Antiqua" w:hAnsi="Book Antiqua"/>
          <w:b/>
          <w:i/>
          <w:sz w:val="24"/>
          <w:szCs w:val="24"/>
          <w:lang w:val="en-US"/>
        </w:rPr>
        <w:t>Ethics</w:t>
      </w:r>
    </w:p>
    <w:p w:rsidR="00C24456" w:rsidRPr="00491BB4" w:rsidRDefault="00C24456" w:rsidP="00F32A86">
      <w:pPr>
        <w:pStyle w:val="12"/>
        <w:snapToGrid w:val="0"/>
        <w:spacing w:after="0" w:line="360" w:lineRule="auto"/>
        <w:ind w:left="0"/>
        <w:contextualSpacing w:val="0"/>
        <w:jc w:val="both"/>
        <w:rPr>
          <w:rFonts w:ascii="Book Antiqua" w:hAnsi="Book Antiqua" w:cs="Arial"/>
          <w:b/>
          <w:sz w:val="24"/>
          <w:szCs w:val="24"/>
          <w:lang w:val="en-US" w:eastAsia="zh-CN"/>
        </w:rPr>
      </w:pPr>
      <w:r w:rsidRPr="00491BB4">
        <w:rPr>
          <w:rFonts w:ascii="Book Antiqua" w:hAnsi="Book Antiqua" w:cs="Arial"/>
          <w:sz w:val="24"/>
          <w:szCs w:val="24"/>
          <w:lang w:val="en-US"/>
        </w:rPr>
        <w:lastRenderedPageBreak/>
        <w:t xml:space="preserve">The current study was approved by the ethics committee of Beijing </w:t>
      </w:r>
      <w:proofErr w:type="spellStart"/>
      <w:r w:rsidRPr="00491BB4">
        <w:rPr>
          <w:rFonts w:ascii="Book Antiqua" w:hAnsi="Book Antiqua" w:cs="Arial"/>
          <w:sz w:val="24"/>
          <w:szCs w:val="24"/>
          <w:lang w:val="en-US"/>
        </w:rPr>
        <w:t>You’an</w:t>
      </w:r>
      <w:proofErr w:type="spellEnd"/>
      <w:r w:rsidRPr="00491BB4">
        <w:rPr>
          <w:rFonts w:ascii="Book Antiqua" w:hAnsi="Book Antiqua" w:cs="Arial"/>
          <w:sz w:val="24"/>
          <w:szCs w:val="24"/>
          <w:lang w:val="en-US"/>
        </w:rPr>
        <w:t xml:space="preserve"> Hospital, Capital Medical University (protocol number 2011-015) and was performed in accordance with the ethical standards set forth in the 1964 Declaration of Helsinki and its later amendments. </w:t>
      </w:r>
      <w:r w:rsidRPr="00491BB4">
        <w:rPr>
          <w:rFonts w:ascii="Book Antiqua" w:hAnsi="Book Antiqua" w:cs="Arial"/>
          <w:sz w:val="24"/>
          <w:szCs w:val="24"/>
          <w:lang w:val="en-US" w:eastAsia="zh-CN"/>
        </w:rPr>
        <w:t>I</w:t>
      </w:r>
      <w:r w:rsidRPr="00491BB4">
        <w:rPr>
          <w:rFonts w:ascii="Book Antiqua" w:hAnsi="Book Antiqua" w:cs="Arial"/>
          <w:sz w:val="24"/>
          <w:szCs w:val="24"/>
          <w:lang w:val="en-US"/>
        </w:rPr>
        <w:t xml:space="preserve">nformed consent was </w:t>
      </w:r>
      <w:r w:rsidRPr="00491BB4">
        <w:rPr>
          <w:rFonts w:ascii="Book Antiqua" w:hAnsi="Book Antiqua" w:cs="Arial"/>
          <w:sz w:val="24"/>
          <w:szCs w:val="24"/>
          <w:lang w:val="en-US" w:eastAsia="zh-CN"/>
        </w:rPr>
        <w:t>obtained</w:t>
      </w:r>
      <w:r w:rsidRPr="00491BB4">
        <w:rPr>
          <w:rFonts w:ascii="Book Antiqua" w:hAnsi="Book Antiqua" w:cs="Arial"/>
          <w:sz w:val="24"/>
          <w:szCs w:val="24"/>
          <w:lang w:val="en-US"/>
        </w:rPr>
        <w:t xml:space="preserve"> from patients and their families before study participation.</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Therapeutic protocol</w:t>
      </w:r>
    </w:p>
    <w:p w:rsidR="00C24456" w:rsidRPr="00491BB4" w:rsidRDefault="00C24456" w:rsidP="00F32A86">
      <w:pPr>
        <w:snapToGrid w:val="0"/>
        <w:spacing w:line="360" w:lineRule="auto"/>
        <w:rPr>
          <w:rFonts w:ascii="Book Antiqua" w:hAnsi="Book Antiqua"/>
          <w:sz w:val="24"/>
        </w:rPr>
      </w:pPr>
      <w:r w:rsidRPr="00491BB4">
        <w:rPr>
          <w:rFonts w:ascii="Book Antiqua" w:hAnsi="Book Antiqua" w:cs="Arial"/>
          <w:sz w:val="24"/>
        </w:rPr>
        <w:t xml:space="preserve">All patients received oral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(15 mg/d for 5–14 d) in addition to a concurrent treatment regimen of sodium intake restrictions (&lt; 6 g/d), intermittent albumin infusion (10–20 g</w:t>
      </w:r>
      <w:r w:rsidRPr="00491BB4">
        <w:rPr>
          <w:rFonts w:ascii="Book Antiqua" w:hAnsi="Book Antiqua"/>
          <w:sz w:val="24"/>
        </w:rPr>
        <w:t xml:space="preserve"> </w:t>
      </w:r>
      <w:r w:rsidRPr="00491BB4">
        <w:rPr>
          <w:rFonts w:ascii="Book Antiqua" w:hAnsi="Book Antiqua" w:cs="Arial"/>
          <w:sz w:val="24"/>
        </w:rPr>
        <w:t xml:space="preserve">per treatment) and standard diuretic therapy (40–80 mg/d of furosemide and 80–160 of mg/d spironolactone). Patients with abdominal infection were given antibiotics prior to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treatment, and patients with coexisting hepatic encephalopathy also underwent a routine treatment regimen of lactulose and neomycin. A follow-up assessment was conducted 1-month post-</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treatment for all patients.</w:t>
      </w:r>
    </w:p>
    <w:p w:rsidR="00C24456" w:rsidRPr="00491BB4" w:rsidRDefault="00C24456" w:rsidP="00882BD6">
      <w:pPr>
        <w:pStyle w:val="12"/>
        <w:snapToGrid w:val="0"/>
        <w:spacing w:after="0" w:line="360" w:lineRule="auto"/>
        <w:ind w:left="0" w:firstLineChars="50" w:firstLine="12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Serum markers for hepatitis B virus and hepatitis C virus were detected </w:t>
      </w:r>
      <w:r w:rsidRPr="00491BB4">
        <w:rPr>
          <w:rFonts w:ascii="Book Antiqua" w:hAnsi="Book Antiqua" w:cs="Arial"/>
          <w:sz w:val="24"/>
          <w:szCs w:val="24"/>
          <w:lang w:val="en-US" w:eastAsia="zh-CN"/>
        </w:rPr>
        <w:t>using</w:t>
      </w:r>
      <w:r w:rsidRPr="00491BB4">
        <w:rPr>
          <w:rFonts w:ascii="Book Antiqua" w:hAnsi="Book Antiqua" w:cs="Arial"/>
          <w:sz w:val="24"/>
          <w:szCs w:val="24"/>
          <w:lang w:val="en-US"/>
        </w:rPr>
        <w:t xml:space="preserve"> an </w:t>
      </w:r>
      <w:proofErr w:type="spellStart"/>
      <w:r w:rsidRPr="00491BB4">
        <w:rPr>
          <w:rFonts w:ascii="Book Antiqua" w:hAnsi="Book Antiqua" w:cs="Arial"/>
          <w:sz w:val="24"/>
          <w:szCs w:val="24"/>
          <w:lang w:val="en-US"/>
        </w:rPr>
        <w:t>electrochemiluminescence</w:t>
      </w:r>
      <w:proofErr w:type="spellEnd"/>
      <w:r w:rsidRPr="00491BB4">
        <w:rPr>
          <w:rFonts w:ascii="Book Antiqua" w:hAnsi="Book Antiqua" w:cs="Arial"/>
          <w:sz w:val="24"/>
          <w:szCs w:val="24"/>
          <w:lang w:val="en-US"/>
        </w:rPr>
        <w:t xml:space="preserve"> immunoassay in accordance with the manufacturer’s protocol </w:t>
      </w:r>
      <w:r w:rsidRPr="00491BB4">
        <w:rPr>
          <w:rFonts w:ascii="Book Antiqua" w:hAnsi="Book Antiqua" w:cs="Arial"/>
          <w:sz w:val="24"/>
          <w:szCs w:val="24"/>
          <w:lang w:val="en-US" w:eastAsia="zh-CN"/>
        </w:rPr>
        <w:t>(</w:t>
      </w:r>
      <w:r w:rsidRPr="00491BB4">
        <w:rPr>
          <w:rFonts w:ascii="Book Antiqua" w:hAnsi="Book Antiqua" w:cs="Arial"/>
          <w:sz w:val="24"/>
          <w:szCs w:val="24"/>
          <w:lang w:val="en-US"/>
        </w:rPr>
        <w:t>Roche E170 modular immunoassay analyzer</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Roche Diagnostics, Mannheim, Germany</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L</w:t>
      </w:r>
      <w:r w:rsidRPr="00491BB4">
        <w:rPr>
          <w:rFonts w:ascii="Book Antiqua" w:hAnsi="Book Antiqua" w:cs="Arial"/>
          <w:sz w:val="24"/>
          <w:szCs w:val="24"/>
          <w:lang w:val="en-US"/>
        </w:rPr>
        <w:t>iver and renal function</w:t>
      </w:r>
      <w:r w:rsidRPr="00491BB4">
        <w:rPr>
          <w:rFonts w:ascii="Book Antiqua" w:hAnsi="Book Antiqua" w:cs="Arial"/>
          <w:sz w:val="24"/>
          <w:szCs w:val="24"/>
          <w:lang w:val="en-US" w:eastAsia="zh-CN"/>
        </w:rPr>
        <w:t>,</w:t>
      </w:r>
      <w:r w:rsidRPr="00491BB4">
        <w:rPr>
          <w:rFonts w:ascii="Book Antiqua" w:hAnsi="Book Antiqua" w:cs="Arial"/>
          <w:sz w:val="24"/>
          <w:szCs w:val="24"/>
          <w:lang w:val="en-US"/>
        </w:rPr>
        <w:t xml:space="preserve"> including the serum sodium and potassium levels, serum alanine aminotransferase, aspartate aminotransferase, total bilirubin, albumin, creatinine and urea nitrogen, </w:t>
      </w:r>
      <w:r w:rsidRPr="00491BB4">
        <w:rPr>
          <w:rFonts w:ascii="Book Antiqua" w:hAnsi="Book Antiqua" w:cs="Arial"/>
          <w:sz w:val="24"/>
          <w:szCs w:val="24"/>
          <w:lang w:val="en-US" w:eastAsia="zh-CN"/>
        </w:rPr>
        <w:t xml:space="preserve">was tested </w:t>
      </w:r>
      <w:r w:rsidRPr="00491BB4">
        <w:rPr>
          <w:rFonts w:ascii="Book Antiqua" w:hAnsi="Book Antiqua" w:cs="Arial"/>
          <w:sz w:val="24"/>
          <w:szCs w:val="24"/>
          <w:lang w:val="en-US"/>
        </w:rPr>
        <w:t xml:space="preserve">with an automatic biochemical analyzer (AU5400, Olympus, Japan). </w:t>
      </w:r>
    </w:p>
    <w:p w:rsidR="00C24456" w:rsidRPr="00491BB4" w:rsidRDefault="00C24456" w:rsidP="00882BD6">
      <w:pPr>
        <w:pStyle w:val="12"/>
        <w:snapToGrid w:val="0"/>
        <w:spacing w:after="0" w:line="360" w:lineRule="auto"/>
        <w:ind w:left="0" w:firstLineChars="50" w:firstLine="120"/>
        <w:contextualSpacing w:val="0"/>
        <w:jc w:val="both"/>
        <w:rPr>
          <w:rFonts w:ascii="Book Antiqua" w:hAnsi="Book Antiqua" w:cs="Arial"/>
          <w:sz w:val="24"/>
          <w:szCs w:val="24"/>
          <w:lang w:val="en-US" w:eastAsia="zh-CN"/>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 xml:space="preserve">Efficacy assessment </w:t>
      </w:r>
    </w:p>
    <w:p w:rsidR="00C24456" w:rsidRPr="00491BB4" w:rsidRDefault="00C24456" w:rsidP="00F32A86">
      <w:pPr>
        <w:snapToGrid w:val="0"/>
        <w:spacing w:line="360" w:lineRule="auto"/>
        <w:rPr>
          <w:rFonts w:ascii="Book Antiqua" w:hAnsi="Book Antiqua" w:cs="Arial"/>
          <w:sz w:val="24"/>
        </w:rPr>
      </w:pPr>
      <w:r w:rsidRPr="00491BB4">
        <w:rPr>
          <w:rFonts w:ascii="Book Antiqua" w:hAnsi="Book Antiqua" w:cs="Arial"/>
          <w:sz w:val="24"/>
        </w:rPr>
        <w:t xml:space="preserve">For ascites, the urine volume was measured over 24 h; we also measured the abdominal circumference and edema of the lower extremities, which were assessed in the morning while the participants had an empty stomach. The overall efficacy of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for treating ascites was assessed with a set of three evaluation indicators, which are detailed in Table 1.</w:t>
      </w:r>
    </w:p>
    <w:p w:rsidR="00C24456" w:rsidRPr="00491BB4" w:rsidRDefault="00C24456" w:rsidP="00F32A86">
      <w:pPr>
        <w:snapToGrid w:val="0"/>
        <w:spacing w:line="360" w:lineRule="auto"/>
        <w:rPr>
          <w:rFonts w:ascii="Book Antiqua" w:hAnsi="Book Antiqua"/>
          <w:sz w:val="24"/>
        </w:rPr>
      </w:pPr>
    </w:p>
    <w:p w:rsidR="00C24456" w:rsidRPr="00491BB4" w:rsidRDefault="00C24456" w:rsidP="00F32A86">
      <w:pPr>
        <w:pStyle w:val="12"/>
        <w:snapToGrid w:val="0"/>
        <w:spacing w:after="0" w:line="360" w:lineRule="auto"/>
        <w:ind w:left="0"/>
        <w:contextualSpacing w:val="0"/>
        <w:jc w:val="both"/>
        <w:rPr>
          <w:rFonts w:ascii="Book Antiqua" w:hAnsi="Book Antiqua"/>
          <w:b/>
          <w:i/>
          <w:sz w:val="24"/>
          <w:szCs w:val="24"/>
          <w:lang w:val="en-US"/>
        </w:rPr>
      </w:pPr>
      <w:r w:rsidRPr="00491BB4">
        <w:rPr>
          <w:rFonts w:ascii="Book Antiqua" w:hAnsi="Book Antiqua"/>
          <w:b/>
          <w:i/>
          <w:sz w:val="24"/>
          <w:szCs w:val="24"/>
          <w:lang w:val="en-US"/>
        </w:rPr>
        <w:t>Survival</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eastAsia="zh-CN"/>
        </w:rPr>
        <w:t>T</w:t>
      </w:r>
      <w:r w:rsidRPr="00491BB4">
        <w:rPr>
          <w:rFonts w:ascii="Book Antiqua" w:hAnsi="Book Antiqua" w:cs="Arial"/>
          <w:sz w:val="24"/>
          <w:szCs w:val="24"/>
          <w:lang w:val="en-US"/>
        </w:rPr>
        <w:t xml:space="preserve">he number of patients who survived after 1 month was recorded to examine the relationship between the short-term correction of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and the prognostic improvement. </w:t>
      </w:r>
    </w:p>
    <w:p w:rsidR="00C24456" w:rsidRPr="00491BB4" w:rsidRDefault="00C24456" w:rsidP="00F32A86">
      <w:pPr>
        <w:pStyle w:val="12"/>
        <w:snapToGrid w:val="0"/>
        <w:spacing w:after="0" w:line="360" w:lineRule="auto"/>
        <w:ind w:left="0"/>
        <w:contextualSpacing w:val="0"/>
        <w:jc w:val="both"/>
        <w:rPr>
          <w:rFonts w:ascii="Book Antiqua" w:hAnsi="Book Antiqua" w:cs="Arial"/>
          <w:b/>
          <w:sz w:val="24"/>
          <w:szCs w:val="24"/>
          <w:lang w:val="en-US" w:eastAsia="zh-CN"/>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Safety assessment</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Patients were monitored throughout the study period, and any occurrence of adverse events and deaths was recorded. </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Statistical analysis</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Parametric data</w:t>
      </w:r>
      <w:r w:rsidRPr="00491BB4">
        <w:rPr>
          <w:rFonts w:ascii="Book Antiqua" w:hAnsi="Book Antiqua" w:cs="Arial"/>
          <w:sz w:val="24"/>
          <w:szCs w:val="24"/>
          <w:lang w:val="en-US" w:eastAsia="zh-CN"/>
        </w:rPr>
        <w:t xml:space="preserve"> are </w:t>
      </w:r>
      <w:r w:rsidRPr="00491BB4">
        <w:rPr>
          <w:rFonts w:ascii="Book Antiqua" w:hAnsi="Book Antiqua" w:cs="Arial"/>
          <w:sz w:val="24"/>
          <w:szCs w:val="24"/>
          <w:lang w:val="en-US"/>
        </w:rPr>
        <w:t xml:space="preserve">expressed as a mean ± </w:t>
      </w:r>
      <w:r w:rsidRPr="00491BB4">
        <w:rPr>
          <w:rFonts w:ascii="Book Antiqua" w:hAnsi="Book Antiqua" w:cs="Arial"/>
          <w:sz w:val="24"/>
          <w:szCs w:val="24"/>
          <w:lang w:val="en-US" w:eastAsia="zh-CN"/>
        </w:rPr>
        <w:t>s</w:t>
      </w:r>
      <w:r w:rsidRPr="00491BB4">
        <w:rPr>
          <w:rFonts w:ascii="Book Antiqua" w:hAnsi="Book Antiqua" w:cs="Arial"/>
          <w:sz w:val="24"/>
          <w:szCs w:val="24"/>
          <w:lang w:val="en-US"/>
        </w:rPr>
        <w:t xml:space="preserve">tandard </w:t>
      </w:r>
      <w:r w:rsidRPr="00491BB4">
        <w:rPr>
          <w:rFonts w:ascii="Book Antiqua" w:hAnsi="Book Antiqua" w:cs="Arial"/>
          <w:sz w:val="24"/>
          <w:szCs w:val="24"/>
          <w:lang w:val="en-US" w:eastAsia="zh-CN"/>
        </w:rPr>
        <w:t>d</w:t>
      </w:r>
      <w:r w:rsidRPr="00491BB4">
        <w:rPr>
          <w:rFonts w:ascii="Book Antiqua" w:hAnsi="Book Antiqua" w:cs="Arial"/>
          <w:sz w:val="24"/>
          <w:szCs w:val="24"/>
          <w:lang w:val="en-US"/>
        </w:rPr>
        <w:t>eviation (mean ± S</w:t>
      </w:r>
      <w:r w:rsidRPr="00491BB4">
        <w:rPr>
          <w:rFonts w:ascii="Book Antiqua" w:hAnsi="Book Antiqua" w:cs="Arial"/>
          <w:sz w:val="24"/>
          <w:szCs w:val="24"/>
          <w:lang w:val="en-US" w:eastAsia="zh-CN"/>
        </w:rPr>
        <w:t>D</w:t>
      </w:r>
      <w:r w:rsidRPr="00491BB4">
        <w:rPr>
          <w:rFonts w:ascii="Book Antiqua" w:hAnsi="Book Antiqua" w:cs="Arial"/>
          <w:sz w:val="24"/>
          <w:szCs w:val="24"/>
          <w:lang w:val="en-US"/>
        </w:rPr>
        <w:t>)</w:t>
      </w:r>
      <w:r w:rsidRPr="00491BB4">
        <w:rPr>
          <w:rFonts w:ascii="Book Antiqua" w:hAnsi="Book Antiqua" w:cs="Arial"/>
          <w:sz w:val="24"/>
          <w:szCs w:val="24"/>
          <w:lang w:val="en-US" w:eastAsia="zh-CN"/>
        </w:rPr>
        <w:t xml:space="preserve"> and were assessed using </w:t>
      </w:r>
      <w:r w:rsidRPr="00491BB4">
        <w:rPr>
          <w:rFonts w:ascii="Book Antiqua" w:hAnsi="Book Antiqua" w:cs="Arial"/>
          <w:sz w:val="24"/>
          <w:szCs w:val="24"/>
          <w:lang w:val="en-US"/>
        </w:rPr>
        <w:t xml:space="preserve">two-tailed </w:t>
      </w:r>
      <w:r w:rsidRPr="00491BB4">
        <w:rPr>
          <w:rFonts w:ascii="Book Antiqua" w:hAnsi="Book Antiqua" w:cs="Arial"/>
          <w:i/>
          <w:sz w:val="24"/>
          <w:szCs w:val="24"/>
          <w:lang w:val="en-US"/>
        </w:rPr>
        <w:t>t</w:t>
      </w:r>
      <w:r w:rsidRPr="00491BB4">
        <w:rPr>
          <w:rFonts w:ascii="Book Antiqua" w:hAnsi="Book Antiqua" w:cs="Arial"/>
          <w:sz w:val="24"/>
          <w:szCs w:val="24"/>
          <w:lang w:val="en-US"/>
        </w:rPr>
        <w:t xml:space="preserve">-tests. </w:t>
      </w:r>
      <w:proofErr w:type="spellStart"/>
      <w:r w:rsidRPr="00491BB4">
        <w:rPr>
          <w:rFonts w:ascii="Book Antiqua" w:hAnsi="Book Antiqua" w:cs="Arial"/>
          <w:sz w:val="24"/>
          <w:szCs w:val="24"/>
          <w:lang w:val="en-US"/>
        </w:rPr>
        <w:t>Levene’s</w:t>
      </w:r>
      <w:proofErr w:type="spellEnd"/>
      <w:r w:rsidRPr="00491BB4">
        <w:rPr>
          <w:rFonts w:ascii="Book Antiqua" w:hAnsi="Book Antiqua" w:cs="Arial"/>
          <w:sz w:val="24"/>
          <w:szCs w:val="24"/>
          <w:lang w:val="en-US"/>
        </w:rPr>
        <w:t xml:space="preserve"> test for equality of variance was conducted concurrently for all t-tests. Categorical data were compared using the </w:t>
      </w:r>
      <w:r w:rsidRPr="00491BB4">
        <w:rPr>
          <w:rFonts w:ascii="Book Antiqua" w:hAnsi="Book Antiqua" w:cs="Arial"/>
          <w:sz w:val="24"/>
          <w:szCs w:val="24"/>
          <w:lang w:val="en-US" w:eastAsia="zh-CN"/>
        </w:rPr>
        <w:t xml:space="preserve">Pearson’s </w:t>
      </w:r>
      <w:r w:rsidRPr="00491BB4">
        <w:rPr>
          <w:rFonts w:ascii="Book Antiqua" w:hAnsi="Book Antiqua" w:cs="Arial"/>
          <w:sz w:val="24"/>
          <w:szCs w:val="24"/>
          <w:lang w:val="en-US"/>
        </w:rPr>
        <w:t>Chi-squared (</w:t>
      </w:r>
      <w:r w:rsidRPr="00491BB4">
        <w:rPr>
          <w:rFonts w:ascii="Book Antiqua" w:hAnsi="Book Antiqua" w:cs="Arial"/>
          <w:i/>
          <w:sz w:val="24"/>
          <w:szCs w:val="24"/>
          <w:lang w:val="en-US"/>
        </w:rPr>
        <w:t>χ</w:t>
      </w:r>
      <w:r w:rsidRPr="00491BB4">
        <w:rPr>
          <w:rFonts w:ascii="Book Antiqua" w:hAnsi="Book Antiqua" w:cs="Arial"/>
          <w:sz w:val="24"/>
          <w:szCs w:val="24"/>
          <w:vertAlign w:val="superscript"/>
          <w:lang w:val="en-US"/>
        </w:rPr>
        <w:t>2</w:t>
      </w:r>
      <w:r w:rsidRPr="00491BB4">
        <w:rPr>
          <w:rFonts w:ascii="Book Antiqua" w:hAnsi="Book Antiqua" w:cs="Arial"/>
          <w:sz w:val="24"/>
          <w:szCs w:val="24"/>
          <w:lang w:val="en-US"/>
        </w:rPr>
        <w:t>) test. The Kaplan–Meier method was used to estimate the 1-month cumulative patient survival,</w:t>
      </w:r>
      <w:r w:rsidRPr="00491BB4">
        <w:rPr>
          <w:rFonts w:ascii="Book Antiqua" w:hAnsi="Book Antiqua" w:cs="Arial"/>
          <w:sz w:val="24"/>
          <w:szCs w:val="24"/>
          <w:lang w:val="en-US" w:eastAsia="zh-CN"/>
        </w:rPr>
        <w:t xml:space="preserve"> and between-group differences were tested for significance using the log-rank test. </w:t>
      </w:r>
      <w:r w:rsidRPr="00491BB4">
        <w:rPr>
          <w:rFonts w:ascii="Book Antiqua" w:hAnsi="Book Antiqua" w:cs="Arial"/>
          <w:sz w:val="24"/>
          <w:szCs w:val="24"/>
          <w:lang w:val="en-US"/>
        </w:rPr>
        <w:t xml:space="preserve">All </w:t>
      </w:r>
      <w:r w:rsidRPr="00491BB4">
        <w:rPr>
          <w:rFonts w:ascii="Book Antiqua" w:hAnsi="Book Antiqua" w:cs="Arial"/>
          <w:i/>
          <w:sz w:val="24"/>
          <w:szCs w:val="24"/>
          <w:lang w:val="en-US"/>
        </w:rPr>
        <w:t>P</w:t>
      </w:r>
      <w:r w:rsidRPr="00491BB4">
        <w:rPr>
          <w:rFonts w:ascii="Book Antiqua" w:hAnsi="Book Antiqua" w:cs="Arial"/>
          <w:sz w:val="24"/>
          <w:szCs w:val="24"/>
          <w:lang w:val="en-US"/>
        </w:rPr>
        <w:t>-values &lt; 0.05 were considered statistically significant. All statistical analyses were performed using IBM SPSS Statistics software (IBM</w:t>
      </w:r>
      <w:r w:rsidRPr="00491BB4">
        <w:rPr>
          <w:rFonts w:ascii="Book Antiqua" w:hAnsi="Book Antiqua" w:cs="Arial"/>
          <w:sz w:val="24"/>
          <w:szCs w:val="24"/>
          <w:lang w:val="en-US" w:eastAsia="zh-CN"/>
        </w:rPr>
        <w:t>, version 12.0</w:t>
      </w:r>
      <w:r w:rsidRPr="00491BB4">
        <w:rPr>
          <w:rFonts w:ascii="Book Antiqua" w:hAnsi="Book Antiqua" w:cs="Arial"/>
          <w:sz w:val="24"/>
          <w:szCs w:val="24"/>
          <w:lang w:val="en-US"/>
        </w:rPr>
        <w:t>).</w:t>
      </w:r>
    </w:p>
    <w:p w:rsidR="00C24456" w:rsidRPr="00491BB4" w:rsidRDefault="00C24456" w:rsidP="00F32A86">
      <w:pPr>
        <w:pStyle w:val="11"/>
        <w:snapToGrid w:val="0"/>
        <w:spacing w:line="360" w:lineRule="auto"/>
        <w:jc w:val="both"/>
        <w:rPr>
          <w:rFonts w:ascii="Book Antiqua" w:hAnsi="Book Antiqua" w:cs="Arial"/>
          <w:b/>
          <w:sz w:val="24"/>
          <w:szCs w:val="24"/>
          <w:lang w:val="en-US"/>
        </w:rPr>
      </w:pPr>
    </w:p>
    <w:p w:rsidR="00C24456" w:rsidRPr="00491BB4" w:rsidRDefault="00C24456" w:rsidP="00F32A86">
      <w:pPr>
        <w:snapToGrid w:val="0"/>
        <w:spacing w:line="360" w:lineRule="auto"/>
        <w:rPr>
          <w:rFonts w:ascii="Book Antiqua" w:hAnsi="Book Antiqua"/>
          <w:b/>
          <w:sz w:val="24"/>
        </w:rPr>
      </w:pPr>
      <w:r w:rsidRPr="00491BB4">
        <w:rPr>
          <w:rFonts w:ascii="Book Antiqua" w:hAnsi="Book Antiqua"/>
          <w:b/>
          <w:sz w:val="24"/>
        </w:rPr>
        <w:t>RESULTS</w:t>
      </w: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Patient characteristics</w:t>
      </w:r>
    </w:p>
    <w:p w:rsidR="00C24456" w:rsidRPr="00491BB4" w:rsidRDefault="00C24456" w:rsidP="00F32A86">
      <w:pPr>
        <w:snapToGrid w:val="0"/>
        <w:spacing w:line="360" w:lineRule="auto"/>
        <w:rPr>
          <w:rFonts w:ascii="Book Antiqua" w:hAnsi="Book Antiqua" w:cs="Arial"/>
          <w:sz w:val="24"/>
        </w:rPr>
      </w:pPr>
      <w:r w:rsidRPr="00491BB4">
        <w:rPr>
          <w:rFonts w:ascii="Book Antiqua" w:hAnsi="Book Antiqua" w:cs="Arial"/>
          <w:sz w:val="24"/>
        </w:rPr>
        <w:t>Thirty-nine patients who met the study’s eligibility requirements were included.</w:t>
      </w:r>
      <w:r w:rsidRPr="00491BB4" w:rsidDel="00CF0CDB">
        <w:rPr>
          <w:rFonts w:ascii="Book Antiqua" w:hAnsi="Book Antiqua" w:cs="Arial"/>
          <w:sz w:val="24"/>
        </w:rPr>
        <w:t xml:space="preserve"> </w:t>
      </w:r>
      <w:r w:rsidRPr="00491BB4">
        <w:rPr>
          <w:rFonts w:ascii="Book Antiqua" w:hAnsi="Book Antiqua" w:cs="Arial"/>
          <w:sz w:val="24"/>
        </w:rPr>
        <w:t>The demographics and other baseline characteristics of these patients are detailed in Table 2.</w:t>
      </w:r>
    </w:p>
    <w:p w:rsidR="00C24456" w:rsidRPr="00491BB4" w:rsidRDefault="00C24456" w:rsidP="00F32A86">
      <w:pPr>
        <w:snapToGrid w:val="0"/>
        <w:spacing w:line="360" w:lineRule="auto"/>
        <w:rPr>
          <w:rFonts w:ascii="Book Antiqua" w:hAnsi="Book Antiqua"/>
          <w:b/>
          <w:i/>
          <w:sz w:val="24"/>
        </w:rPr>
      </w:pPr>
    </w:p>
    <w:p w:rsidR="00C24456" w:rsidRPr="00491BB4" w:rsidRDefault="00C24456" w:rsidP="00F32A86">
      <w:pPr>
        <w:snapToGrid w:val="0"/>
        <w:spacing w:line="360" w:lineRule="auto"/>
        <w:rPr>
          <w:rFonts w:ascii="Book Antiqua" w:hAnsi="Book Antiqua"/>
          <w:b/>
          <w:i/>
          <w:sz w:val="24"/>
          <w:lang w:eastAsia="en-US"/>
        </w:rPr>
      </w:pPr>
      <w:r w:rsidRPr="00491BB4">
        <w:rPr>
          <w:rFonts w:ascii="Book Antiqua" w:hAnsi="Book Antiqua"/>
          <w:b/>
          <w:i/>
          <w:sz w:val="24"/>
          <w:lang w:eastAsia="en-US"/>
        </w:rPr>
        <w:t>Ascites and edema</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The administration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resulted in a significant increase in the mean urine excretion volume from 1</w:t>
      </w:r>
      <w:r w:rsidRPr="00491BB4">
        <w:rPr>
          <w:rFonts w:ascii="Book Antiqua" w:hAnsi="Book Antiqua" w:cs="Arial"/>
          <w:sz w:val="24"/>
          <w:szCs w:val="24"/>
          <w:lang w:val="en-US" w:eastAsia="zh-CN"/>
        </w:rPr>
        <w:t>969</w:t>
      </w:r>
      <w:r w:rsidRPr="00491BB4">
        <w:rPr>
          <w:rFonts w:ascii="Book Antiqua" w:hAnsi="Book Antiqua" w:cs="Arial"/>
          <w:sz w:val="24"/>
          <w:szCs w:val="24"/>
          <w:lang w:val="en-US"/>
        </w:rPr>
        <w:t>.</w:t>
      </w:r>
      <w:r w:rsidRPr="00491BB4">
        <w:rPr>
          <w:rFonts w:ascii="Book Antiqua" w:hAnsi="Book Antiqua" w:cs="Arial"/>
          <w:sz w:val="24"/>
          <w:szCs w:val="24"/>
          <w:lang w:val="en-US" w:eastAsia="zh-CN"/>
        </w:rPr>
        <w:t>2</w:t>
      </w:r>
      <w:r w:rsidRPr="00491BB4">
        <w:rPr>
          <w:rFonts w:ascii="Book Antiqua" w:hAnsi="Book Antiqua" w:cs="Arial"/>
          <w:sz w:val="24"/>
          <w:szCs w:val="24"/>
          <w:lang w:val="en-US"/>
        </w:rPr>
        <w:t xml:space="preserve"> ± </w:t>
      </w:r>
      <w:r w:rsidRPr="00491BB4">
        <w:rPr>
          <w:rFonts w:ascii="Book Antiqua" w:hAnsi="Book Antiqua" w:cs="Arial"/>
          <w:sz w:val="24"/>
          <w:szCs w:val="24"/>
          <w:lang w:val="en-US" w:eastAsia="zh-CN"/>
        </w:rPr>
        <w:t>355</w:t>
      </w:r>
      <w:r w:rsidRPr="00491BB4">
        <w:rPr>
          <w:rFonts w:ascii="Book Antiqua" w:hAnsi="Book Antiqua" w:cs="Arial"/>
          <w:sz w:val="24"/>
          <w:szCs w:val="24"/>
          <w:lang w:val="en-US"/>
        </w:rPr>
        <w:t>.</w:t>
      </w:r>
      <w:r w:rsidRPr="00491BB4">
        <w:rPr>
          <w:rFonts w:ascii="Book Antiqua" w:hAnsi="Book Antiqua" w:cs="Arial"/>
          <w:sz w:val="24"/>
          <w:szCs w:val="24"/>
          <w:lang w:val="en-US" w:eastAsia="zh-CN"/>
        </w:rPr>
        <w:t>55</w:t>
      </w:r>
      <w:r w:rsidRPr="00491BB4">
        <w:rPr>
          <w:rFonts w:ascii="Book Antiqua" w:hAnsi="Book Antiqua" w:cs="Arial"/>
          <w:sz w:val="24"/>
          <w:szCs w:val="24"/>
          <w:lang w:val="en-US"/>
        </w:rPr>
        <w:t xml:space="preserve"> mL pre-treatment to 3</w:t>
      </w:r>
      <w:r w:rsidRPr="00491BB4">
        <w:rPr>
          <w:rFonts w:ascii="Book Antiqua" w:hAnsi="Book Antiqua" w:cs="Arial"/>
          <w:sz w:val="24"/>
          <w:szCs w:val="24"/>
          <w:lang w:val="en-US" w:eastAsia="zh-CN"/>
        </w:rPr>
        <w:t>410</w:t>
      </w:r>
      <w:r w:rsidRPr="00491BB4">
        <w:rPr>
          <w:rFonts w:ascii="Book Antiqua" w:hAnsi="Book Antiqua" w:cs="Arial"/>
          <w:sz w:val="24"/>
          <w:szCs w:val="24"/>
          <w:lang w:val="en-US"/>
        </w:rPr>
        <w:t xml:space="preserve">.3 ± </w:t>
      </w:r>
      <w:r w:rsidRPr="00491BB4">
        <w:rPr>
          <w:rFonts w:ascii="Book Antiqua" w:hAnsi="Book Antiqua" w:cs="Arial"/>
          <w:sz w:val="24"/>
          <w:szCs w:val="24"/>
          <w:lang w:val="en-US" w:eastAsia="zh-CN"/>
        </w:rPr>
        <w:t>974.1</w:t>
      </w:r>
      <w:r w:rsidRPr="00491BB4">
        <w:rPr>
          <w:rFonts w:ascii="Book Antiqua" w:hAnsi="Book Antiqua" w:cs="Arial"/>
          <w:sz w:val="24"/>
          <w:szCs w:val="24"/>
          <w:lang w:val="en-US"/>
        </w:rPr>
        <w:t xml:space="preserve"> mL post-treatment [</w:t>
      </w:r>
      <w:r w:rsidRPr="00491BB4">
        <w:rPr>
          <w:rFonts w:ascii="Book Antiqua" w:hAnsi="Book Antiqua" w:cs="Arial"/>
          <w:i/>
          <w:sz w:val="24"/>
          <w:szCs w:val="24"/>
          <w:lang w:val="en-US"/>
        </w:rPr>
        <w:t>t</w:t>
      </w:r>
      <w:r w:rsidRPr="00491BB4">
        <w:rPr>
          <w:rFonts w:ascii="Book Antiqua" w:hAnsi="Book Antiqua" w:cs="Arial"/>
          <w:sz w:val="24"/>
          <w:szCs w:val="24"/>
          <w:lang w:val="en-US"/>
        </w:rPr>
        <w:t xml:space="preserve">(48) = -8.679, </w:t>
      </w:r>
      <w:r w:rsidRPr="00491BB4">
        <w:rPr>
          <w:rFonts w:ascii="Book Antiqua" w:hAnsi="Book Antiqua" w:cs="Arial"/>
          <w:i/>
          <w:sz w:val="24"/>
          <w:szCs w:val="24"/>
          <w:lang w:val="en-US"/>
        </w:rPr>
        <w:t>P</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&lt; 0.001</w:t>
      </w:r>
      <w:r w:rsidRPr="00491BB4">
        <w:rPr>
          <w:rFonts w:ascii="Book Antiqua" w:hAnsi="Book Antiqua" w:cs="Arial"/>
          <w:sz w:val="24"/>
          <w:szCs w:val="24"/>
          <w:lang w:val="en-US"/>
        </w:rPr>
        <w:t xml:space="preserve">; </w:t>
      </w:r>
      <w:r w:rsidRPr="00491BB4">
        <w:rPr>
          <w:rFonts w:ascii="Book Antiqua" w:hAnsi="Book Antiqua" w:cs="Arial"/>
          <w:i/>
          <w:sz w:val="24"/>
          <w:szCs w:val="24"/>
          <w:lang w:val="en-US"/>
        </w:rPr>
        <w:t>n</w:t>
      </w:r>
      <w:r w:rsidRPr="00491BB4">
        <w:rPr>
          <w:rFonts w:ascii="Book Antiqua" w:hAnsi="Book Antiqua" w:cs="Arial"/>
          <w:sz w:val="24"/>
          <w:szCs w:val="24"/>
          <w:lang w:val="en-US"/>
        </w:rPr>
        <w:t xml:space="preserve"> = 39]</w:t>
      </w:r>
      <w:r w:rsidRPr="00491BB4">
        <w:rPr>
          <w:rFonts w:ascii="Book Antiqua" w:hAnsi="Book Antiqua" w:cs="Arial"/>
          <w:sz w:val="24"/>
          <w:szCs w:val="24"/>
          <w:lang w:val="en-US" w:eastAsia="zh-CN"/>
        </w:rPr>
        <w:t xml:space="preserve">. </w:t>
      </w:r>
      <w:proofErr w:type="spellStart"/>
      <w:r w:rsidRPr="00491BB4">
        <w:rPr>
          <w:rFonts w:ascii="Book Antiqua" w:hAnsi="Book Antiqua" w:cs="Arial"/>
          <w:sz w:val="24"/>
          <w:szCs w:val="24"/>
          <w:lang w:val="en-US"/>
        </w:rPr>
        <w:t>Levene’s</w:t>
      </w:r>
      <w:proofErr w:type="spellEnd"/>
      <w:r w:rsidRPr="00491BB4">
        <w:rPr>
          <w:rFonts w:ascii="Book Antiqua" w:hAnsi="Book Antiqua" w:cs="Arial"/>
          <w:sz w:val="24"/>
          <w:szCs w:val="24"/>
          <w:lang w:val="en-US"/>
        </w:rPr>
        <w:t xml:space="preserve"> test </w:t>
      </w:r>
      <w:r w:rsidRPr="00491BB4">
        <w:rPr>
          <w:rFonts w:ascii="Book Antiqua" w:hAnsi="Book Antiqua" w:cs="Arial"/>
          <w:sz w:val="24"/>
          <w:szCs w:val="24"/>
          <w:lang w:val="en-US"/>
        </w:rPr>
        <w:lastRenderedPageBreak/>
        <w:t>indicated that there were unequal variances in the data sets (</w:t>
      </w:r>
      <w:r w:rsidRPr="00491BB4">
        <w:rPr>
          <w:rFonts w:ascii="Book Antiqua" w:hAnsi="Book Antiqua" w:cs="Arial"/>
          <w:i/>
          <w:sz w:val="24"/>
          <w:szCs w:val="24"/>
          <w:lang w:val="en-US"/>
        </w:rPr>
        <w:t>F</w:t>
      </w:r>
      <w:r w:rsidRPr="00491BB4">
        <w:rPr>
          <w:rFonts w:ascii="Book Antiqua" w:hAnsi="Book Antiqua" w:cs="Arial"/>
          <w:sz w:val="24"/>
          <w:szCs w:val="24"/>
          <w:lang w:val="en-US"/>
        </w:rPr>
        <w:t xml:space="preserve"> = 27.115, </w:t>
      </w:r>
      <w:r w:rsidRPr="00491BB4">
        <w:rPr>
          <w:rFonts w:ascii="Book Antiqua" w:hAnsi="Book Antiqua" w:cs="Arial"/>
          <w:i/>
          <w:sz w:val="24"/>
          <w:szCs w:val="24"/>
          <w:lang w:val="en-US"/>
        </w:rPr>
        <w:t>P</w:t>
      </w:r>
      <w:r w:rsidRPr="00491BB4">
        <w:rPr>
          <w:rFonts w:ascii="Book Antiqua" w:hAnsi="Book Antiqua" w:cs="Arial"/>
          <w:sz w:val="24"/>
          <w:szCs w:val="24"/>
          <w:lang w:val="en-US"/>
        </w:rPr>
        <w:t xml:space="preserve"> &lt; 0.001); as a result, the degrees of freedom were adjusted from 76 to 48. The combination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with diuretics was effective in increasing the urine output in 89.</w:t>
      </w:r>
      <w:r w:rsidRPr="00491BB4">
        <w:rPr>
          <w:rFonts w:ascii="Book Antiqua" w:hAnsi="Book Antiqua" w:cs="Arial"/>
          <w:sz w:val="24"/>
          <w:szCs w:val="24"/>
          <w:lang w:val="en-US" w:eastAsia="zh-CN"/>
        </w:rPr>
        <w:t>7</w:t>
      </w:r>
      <w:r w:rsidRPr="00491BB4">
        <w:rPr>
          <w:rFonts w:ascii="Book Antiqua" w:hAnsi="Book Antiqua" w:cs="Arial"/>
          <w:sz w:val="24"/>
          <w:szCs w:val="24"/>
          <w:lang w:val="en-US"/>
        </w:rPr>
        <w:t>% of patients</w:t>
      </w:r>
      <w:r w:rsidRPr="00491BB4">
        <w:rPr>
          <w:rFonts w:ascii="Book Antiqua" w:hAnsi="Book Antiqua" w:cs="Arial"/>
          <w:sz w:val="24"/>
          <w:szCs w:val="24"/>
          <w:lang w:val="en-US" w:eastAsia="zh-CN"/>
        </w:rPr>
        <w:t xml:space="preserve"> with refractory ascites (Table 3)</w:t>
      </w:r>
      <w:r w:rsidRPr="00491BB4">
        <w:rPr>
          <w:rFonts w:ascii="Book Antiqua" w:hAnsi="Book Antiqua" w:cs="Arial"/>
          <w:sz w:val="24"/>
          <w:szCs w:val="24"/>
          <w:lang w:val="en-US"/>
        </w:rPr>
        <w:t xml:space="preserve">. The abdominal circumference </w:t>
      </w:r>
      <w:r w:rsidRPr="00491BB4">
        <w:rPr>
          <w:rFonts w:ascii="Book Antiqua" w:hAnsi="Book Antiqua" w:cs="Arial"/>
          <w:sz w:val="24"/>
          <w:szCs w:val="24"/>
          <w:lang w:val="en-US" w:eastAsia="zh-CN"/>
        </w:rPr>
        <w:t xml:space="preserve">was reduced in 82% of patients, </w:t>
      </w:r>
      <w:r w:rsidRPr="00491BB4">
        <w:rPr>
          <w:rFonts w:ascii="Book Antiqua" w:hAnsi="Book Antiqua" w:cs="Arial"/>
          <w:sz w:val="24"/>
          <w:szCs w:val="24"/>
          <w:lang w:val="en-US"/>
        </w:rPr>
        <w:t>and edema was also improved in</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91.7% of</w:t>
      </w:r>
      <w:r w:rsidRPr="00491BB4">
        <w:rPr>
          <w:rFonts w:ascii="Book Antiqua" w:hAnsi="Book Antiqua" w:cs="Arial"/>
          <w:sz w:val="24"/>
          <w:szCs w:val="24"/>
          <w:lang w:val="en-US" w:eastAsia="zh-CN"/>
        </w:rPr>
        <w:t xml:space="preserve"> </w:t>
      </w:r>
      <w:r w:rsidRPr="00491BB4">
        <w:rPr>
          <w:rFonts w:ascii="Book Antiqua" w:hAnsi="Book Antiqua" w:cs="Arial"/>
          <w:sz w:val="24"/>
          <w:szCs w:val="24"/>
          <w:lang w:val="en-US"/>
        </w:rPr>
        <w:t>patients (Table 3).</w:t>
      </w:r>
    </w:p>
    <w:p w:rsidR="00C24456" w:rsidRPr="00491BB4" w:rsidRDefault="00C24456" w:rsidP="00DC094F">
      <w:pPr>
        <w:pStyle w:val="12"/>
        <w:snapToGrid w:val="0"/>
        <w:spacing w:after="0" w:line="360" w:lineRule="auto"/>
        <w:ind w:left="0" w:firstLineChars="50" w:firstLine="12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The overall efficacy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was 89.7%</w:t>
      </w:r>
      <w:r w:rsidRPr="00491BB4">
        <w:rPr>
          <w:rFonts w:ascii="Book Antiqua" w:hAnsi="Book Antiqua" w:cs="Arial"/>
          <w:sz w:val="24"/>
          <w:szCs w:val="24"/>
          <w:lang w:val="en-US" w:eastAsia="zh-CN"/>
        </w:rPr>
        <w:t xml:space="preserve"> (</w:t>
      </w:r>
      <w:r w:rsidRPr="00491BB4">
        <w:rPr>
          <w:rFonts w:ascii="Book Antiqua" w:hAnsi="Book Antiqua" w:cs="Arial"/>
          <w:i/>
          <w:sz w:val="24"/>
          <w:szCs w:val="24"/>
          <w:lang w:val="en-US" w:eastAsia="zh-CN"/>
        </w:rPr>
        <w:t>n</w:t>
      </w:r>
      <w:r w:rsidRPr="00491BB4">
        <w:rPr>
          <w:rFonts w:ascii="Book Antiqua" w:hAnsi="Book Antiqua" w:cs="Arial"/>
          <w:sz w:val="24"/>
          <w:szCs w:val="24"/>
          <w:lang w:val="en-US" w:eastAsia="zh-CN"/>
        </w:rPr>
        <w:t xml:space="preserve"> = 35) in all patients, and 46.2% (</w:t>
      </w:r>
      <w:r w:rsidRPr="00491BB4">
        <w:rPr>
          <w:rFonts w:ascii="Book Antiqua" w:hAnsi="Book Antiqua" w:cs="Arial"/>
          <w:i/>
          <w:sz w:val="24"/>
          <w:szCs w:val="24"/>
          <w:lang w:val="en-US" w:eastAsia="zh-CN"/>
        </w:rPr>
        <w:t>n</w:t>
      </w:r>
      <w:r w:rsidRPr="00491BB4">
        <w:rPr>
          <w:rFonts w:ascii="Book Antiqua" w:hAnsi="Book Antiqua" w:cs="Arial"/>
          <w:sz w:val="24"/>
          <w:szCs w:val="24"/>
          <w:lang w:val="en-US" w:eastAsia="zh-CN"/>
        </w:rPr>
        <w:t xml:space="preserve"> = 18) of these patients had</w:t>
      </w:r>
      <w:r w:rsidRPr="00491BB4">
        <w:rPr>
          <w:rFonts w:ascii="Book Antiqua" w:hAnsi="Book Antiqua" w:cs="Arial"/>
          <w:sz w:val="24"/>
          <w:szCs w:val="24"/>
          <w:lang w:val="en-US"/>
        </w:rPr>
        <w:t xml:space="preserve"> significant improvement (Table 3 and Figure 1). Subgroup analyses indicated that the overall efficacy of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in patients with coexisting hepatocellular carcinoma was 84.2% (</w:t>
      </w:r>
      <w:r w:rsidRPr="00491BB4">
        <w:rPr>
          <w:rFonts w:ascii="Book Antiqua" w:hAnsi="Book Antiqua" w:cs="Arial"/>
          <w:i/>
          <w:sz w:val="24"/>
          <w:szCs w:val="24"/>
          <w:lang w:val="en-US"/>
        </w:rPr>
        <w:t>n</w:t>
      </w:r>
      <w:r w:rsidRPr="00491BB4">
        <w:rPr>
          <w:rFonts w:ascii="Book Antiqua" w:hAnsi="Book Antiqua" w:cs="Arial"/>
          <w:sz w:val="24"/>
          <w:szCs w:val="24"/>
          <w:lang w:val="en-US"/>
        </w:rPr>
        <w:t xml:space="preserve"> = 19) and that the efficacy for patients with coexisting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 was 77.8% (</w:t>
      </w:r>
      <w:r w:rsidRPr="00491BB4">
        <w:rPr>
          <w:rFonts w:ascii="Book Antiqua" w:hAnsi="Book Antiqua" w:cs="Arial"/>
          <w:i/>
          <w:sz w:val="24"/>
          <w:szCs w:val="24"/>
          <w:lang w:val="en-US"/>
        </w:rPr>
        <w:t>n</w:t>
      </w:r>
      <w:r w:rsidRPr="00491BB4">
        <w:rPr>
          <w:rFonts w:ascii="Book Antiqua" w:hAnsi="Book Antiqua" w:cs="Arial"/>
          <w:sz w:val="24"/>
          <w:szCs w:val="24"/>
          <w:lang w:val="en-US"/>
        </w:rPr>
        <w:t xml:space="preserve"> = 9; Table 3 and Figure 1).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was not effective for treating refractory ascites in patients with coexisting Type 1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w:t>
      </w:r>
    </w:p>
    <w:p w:rsidR="00C24456" w:rsidRPr="00491BB4" w:rsidRDefault="00C24456" w:rsidP="00DC094F">
      <w:pPr>
        <w:pStyle w:val="12"/>
        <w:snapToGrid w:val="0"/>
        <w:spacing w:after="0" w:line="360" w:lineRule="auto"/>
        <w:ind w:left="0" w:firstLineChars="50" w:firstLine="120"/>
        <w:contextualSpacing w:val="0"/>
        <w:jc w:val="both"/>
        <w:rPr>
          <w:rFonts w:ascii="Book Antiqua" w:hAnsi="Book Antiqua" w:cs="Arial"/>
          <w:b/>
          <w:sz w:val="24"/>
          <w:szCs w:val="24"/>
          <w:lang w:val="en-US" w:eastAsia="zh-CN"/>
        </w:rPr>
      </w:pPr>
    </w:p>
    <w:p w:rsidR="00C24456" w:rsidRPr="00491BB4" w:rsidRDefault="00C24456" w:rsidP="00F32A86">
      <w:pPr>
        <w:snapToGrid w:val="0"/>
        <w:spacing w:line="360" w:lineRule="auto"/>
        <w:rPr>
          <w:rFonts w:ascii="Book Antiqua" w:hAnsi="Book Antiqua"/>
          <w:b/>
          <w:i/>
          <w:sz w:val="24"/>
          <w:lang w:eastAsia="en-US"/>
        </w:rPr>
      </w:pPr>
      <w:proofErr w:type="spellStart"/>
      <w:r w:rsidRPr="00491BB4">
        <w:rPr>
          <w:rFonts w:ascii="Book Antiqua" w:hAnsi="Book Antiqua"/>
          <w:b/>
          <w:i/>
          <w:sz w:val="24"/>
          <w:lang w:eastAsia="en-US"/>
        </w:rPr>
        <w:t>Hyponatremia</w:t>
      </w:r>
      <w:proofErr w:type="spellEnd"/>
      <w:r w:rsidRPr="00491BB4">
        <w:rPr>
          <w:rFonts w:ascii="Book Antiqua" w:hAnsi="Book Antiqua"/>
          <w:b/>
          <w:i/>
          <w:sz w:val="24"/>
          <w:lang w:eastAsia="en-US"/>
        </w:rPr>
        <w:t xml:space="preserve"> </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The incidence of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(defined as a serum sodium concentration &lt; 135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/L) was 53</w:t>
      </w:r>
      <w:r w:rsidRPr="00491BB4">
        <w:rPr>
          <w:rFonts w:ascii="Book Antiqua" w:hAnsi="Book Antiqua" w:cs="Arial"/>
          <w:sz w:val="24"/>
          <w:szCs w:val="24"/>
          <w:lang w:val="en-US" w:eastAsia="zh-CN"/>
        </w:rPr>
        <w:t>.8% (</w:t>
      </w:r>
      <w:r w:rsidRPr="00491BB4">
        <w:rPr>
          <w:rFonts w:ascii="Book Antiqua" w:hAnsi="Book Antiqua" w:cs="Arial"/>
          <w:sz w:val="24"/>
          <w:szCs w:val="24"/>
          <w:lang w:val="en-US"/>
        </w:rPr>
        <w:t>21</w:t>
      </w:r>
      <w:r w:rsidRPr="00491BB4">
        <w:rPr>
          <w:rFonts w:ascii="Book Antiqua" w:hAnsi="Book Antiqua" w:cs="Arial"/>
          <w:sz w:val="24"/>
          <w:szCs w:val="24"/>
          <w:lang w:val="en-US" w:eastAsia="zh-CN"/>
        </w:rPr>
        <w:t xml:space="preserve"> of 39 patients) in </w:t>
      </w:r>
      <w:r w:rsidRPr="00491BB4">
        <w:rPr>
          <w:rFonts w:ascii="Book Antiqua" w:hAnsi="Book Antiqua" w:cs="Arial"/>
          <w:sz w:val="24"/>
          <w:szCs w:val="24"/>
          <w:lang w:val="en-US"/>
        </w:rPr>
        <w:t xml:space="preserve">cirrhotic patients with refractory ascites.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caused a significant increase in the serum sodium concentration in patients with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(from 128.1 ± 4.2</w:t>
      </w:r>
      <w:r w:rsidRPr="00491BB4">
        <w:rPr>
          <w:rFonts w:ascii="Book Antiqua" w:hAnsi="Book Antiqua" w:cs="Arial"/>
          <w:sz w:val="24"/>
          <w:szCs w:val="24"/>
          <w:lang w:val="en-US" w:eastAsia="zh-CN"/>
        </w:rPr>
        <w:t>2</w:t>
      </w:r>
      <w:r w:rsidRPr="00491BB4">
        <w:rPr>
          <w:rFonts w:ascii="Book Antiqua" w:hAnsi="Book Antiqua" w:cs="Arial"/>
          <w:sz w:val="24"/>
          <w:szCs w:val="24"/>
          <w:lang w:val="en-US"/>
        </w:rPr>
        <w:t xml:space="preserve"> to 13</w:t>
      </w:r>
      <w:r w:rsidRPr="00491BB4">
        <w:rPr>
          <w:rFonts w:ascii="Book Antiqua" w:hAnsi="Book Antiqua" w:cs="Arial"/>
          <w:sz w:val="24"/>
          <w:szCs w:val="24"/>
          <w:lang w:val="en-US" w:eastAsia="zh-CN"/>
        </w:rPr>
        <w:t>3</w:t>
      </w:r>
      <w:r w:rsidRPr="00491BB4">
        <w:rPr>
          <w:rFonts w:ascii="Book Antiqua" w:hAnsi="Book Antiqua" w:cs="Arial"/>
          <w:sz w:val="24"/>
          <w:szCs w:val="24"/>
          <w:lang w:val="en-US"/>
        </w:rPr>
        <w:t>.</w:t>
      </w:r>
      <w:r w:rsidRPr="00491BB4">
        <w:rPr>
          <w:rFonts w:ascii="Book Antiqua" w:hAnsi="Book Antiqua" w:cs="Arial"/>
          <w:sz w:val="24"/>
          <w:szCs w:val="24"/>
          <w:lang w:val="en-US" w:eastAsia="zh-CN"/>
        </w:rPr>
        <w:t>1</w:t>
      </w:r>
      <w:r w:rsidRPr="00491BB4">
        <w:rPr>
          <w:rFonts w:ascii="Book Antiqua" w:hAnsi="Book Antiqua" w:cs="Arial"/>
          <w:sz w:val="24"/>
          <w:szCs w:val="24"/>
          <w:lang w:val="en-US"/>
        </w:rPr>
        <w:t xml:space="preserve"> ± </w:t>
      </w:r>
      <w:r w:rsidRPr="00491BB4">
        <w:rPr>
          <w:rFonts w:ascii="Book Antiqua" w:hAnsi="Book Antiqua" w:cs="Arial"/>
          <w:sz w:val="24"/>
          <w:szCs w:val="24"/>
          <w:lang w:val="en-US" w:eastAsia="zh-CN"/>
        </w:rPr>
        <w:t xml:space="preserve">3.8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 xml:space="preserve">/L; Figure 2). There was no significant change in the serum sodium concentration for patients lacking </w:t>
      </w:r>
      <w:proofErr w:type="spellStart"/>
      <w:r w:rsidRPr="00491BB4">
        <w:rPr>
          <w:rFonts w:ascii="Book Antiqua" w:hAnsi="Book Antiqua" w:cs="Arial"/>
          <w:sz w:val="24"/>
          <w:szCs w:val="24"/>
          <w:lang w:val="en-US"/>
        </w:rPr>
        <w:t>hyponatremia</w:t>
      </w:r>
      <w:proofErr w:type="spellEnd"/>
      <w:r w:rsidRPr="00491BB4">
        <w:rPr>
          <w:rFonts w:ascii="Book Antiqua" w:hAnsi="Book Antiqua" w:cs="Arial"/>
          <w:sz w:val="24"/>
          <w:szCs w:val="24"/>
          <w:lang w:val="en-US"/>
        </w:rPr>
        <w:t xml:space="preserve"> after </w:t>
      </w:r>
      <w:proofErr w:type="spellStart"/>
      <w:r w:rsidRPr="00491BB4">
        <w:rPr>
          <w:rFonts w:ascii="Book Antiqua" w:hAnsi="Book Antiqua" w:cs="Arial"/>
          <w:sz w:val="24"/>
          <w:szCs w:val="24"/>
          <w:lang w:val="en-US"/>
        </w:rPr>
        <w:t>tolvaptan</w:t>
      </w:r>
      <w:proofErr w:type="spellEnd"/>
      <w:r w:rsidRPr="00491BB4">
        <w:rPr>
          <w:rFonts w:ascii="Book Antiqua" w:hAnsi="Book Antiqua" w:cs="Arial"/>
          <w:sz w:val="24"/>
          <w:szCs w:val="24"/>
          <w:lang w:val="en-US"/>
        </w:rPr>
        <w:t xml:space="preserve"> treatment (137.8 ± </w:t>
      </w:r>
      <w:r w:rsidRPr="00491BB4">
        <w:rPr>
          <w:rFonts w:ascii="Book Antiqua" w:hAnsi="Book Antiqua" w:cs="Arial"/>
          <w:sz w:val="24"/>
          <w:szCs w:val="24"/>
          <w:lang w:val="en-US" w:eastAsia="zh-CN"/>
        </w:rPr>
        <w:t>3.02</w:t>
      </w:r>
      <w:r w:rsidRPr="00491BB4">
        <w:rPr>
          <w:rFonts w:ascii="Book Antiqua" w:hAnsi="Book Antiqua" w:cs="Arial"/>
          <w:sz w:val="24"/>
          <w:szCs w:val="24"/>
          <w:lang w:val="en-US"/>
        </w:rPr>
        <w:t xml:space="preserve">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 xml:space="preserve">/L before treatment and 136.9 ± </w:t>
      </w:r>
      <w:r w:rsidRPr="00491BB4">
        <w:rPr>
          <w:rFonts w:ascii="Book Antiqua" w:hAnsi="Book Antiqua" w:cs="Arial"/>
          <w:sz w:val="24"/>
          <w:szCs w:val="24"/>
          <w:lang w:val="en-US" w:eastAsia="zh-CN"/>
        </w:rPr>
        <w:t>3.18</w:t>
      </w:r>
      <w:r w:rsidRPr="00491BB4">
        <w:rPr>
          <w:rFonts w:ascii="Book Antiqua" w:hAnsi="Book Antiqua" w:cs="Arial"/>
          <w:sz w:val="24"/>
          <w:szCs w:val="24"/>
          <w:lang w:val="en-US"/>
        </w:rPr>
        <w:t xml:space="preserve"> </w:t>
      </w:r>
      <w:proofErr w:type="spellStart"/>
      <w:r w:rsidRPr="00491BB4">
        <w:rPr>
          <w:rFonts w:ascii="Book Antiqua" w:hAnsi="Book Antiqua" w:cs="Arial"/>
          <w:sz w:val="24"/>
          <w:szCs w:val="24"/>
          <w:lang w:val="en-US"/>
        </w:rPr>
        <w:t>mEq</w:t>
      </w:r>
      <w:proofErr w:type="spellEnd"/>
      <w:r w:rsidRPr="00491BB4">
        <w:rPr>
          <w:rFonts w:ascii="Book Antiqua" w:hAnsi="Book Antiqua" w:cs="Arial"/>
          <w:sz w:val="24"/>
          <w:szCs w:val="24"/>
          <w:lang w:val="en-US"/>
        </w:rPr>
        <w:t>/L after treatment; Figure 2). T</w:t>
      </w:r>
      <w:r w:rsidRPr="00491BB4">
        <w:rPr>
          <w:rFonts w:ascii="Book Antiqua" w:hAnsi="Book Antiqua" w:cs="Arial"/>
          <w:sz w:val="24"/>
          <w:szCs w:val="24"/>
          <w:lang w:val="en-US" w:eastAsia="zh-CN"/>
        </w:rPr>
        <w:t xml:space="preserve">here was </w:t>
      </w:r>
      <w:r w:rsidRPr="00491BB4">
        <w:rPr>
          <w:rFonts w:ascii="Book Antiqua" w:hAnsi="Book Antiqua" w:cs="Arial"/>
          <w:sz w:val="24"/>
          <w:szCs w:val="24"/>
          <w:lang w:val="en-US"/>
        </w:rPr>
        <w:t xml:space="preserve">no significant relationship between the short-term correction of </w:t>
      </w:r>
      <w:proofErr w:type="spellStart"/>
      <w:r w:rsidRPr="00491BB4">
        <w:rPr>
          <w:rFonts w:ascii="Book Antiqua" w:hAnsi="Book Antiqua" w:cs="Arial"/>
          <w:sz w:val="24"/>
          <w:szCs w:val="24"/>
          <w:lang w:val="en-US" w:eastAsia="zh-CN"/>
        </w:rPr>
        <w:t>hyponatremia</w:t>
      </w:r>
      <w:proofErr w:type="spellEnd"/>
      <w:r w:rsidRPr="00491BB4">
        <w:rPr>
          <w:rFonts w:ascii="Book Antiqua" w:hAnsi="Book Antiqua" w:cs="Arial"/>
          <w:sz w:val="24"/>
          <w:szCs w:val="24"/>
          <w:lang w:val="en-US"/>
        </w:rPr>
        <w:t xml:space="preserve"> and the 1-month patient survival</w:t>
      </w:r>
      <w:r w:rsidRPr="00491BB4">
        <w:rPr>
          <w:rFonts w:ascii="Book Antiqua" w:hAnsi="Book Antiqua" w:cs="Arial"/>
          <w:sz w:val="24"/>
          <w:szCs w:val="24"/>
          <w:lang w:val="en-US" w:eastAsia="zh-CN"/>
        </w:rPr>
        <w:t xml:space="preserve"> rate [Figure 3; </w:t>
      </w:r>
      <w:r w:rsidRPr="00491BB4">
        <w:rPr>
          <w:rFonts w:ascii="Book Antiqua" w:hAnsi="Book Antiqua" w:cs="Arial"/>
          <w:i/>
          <w:sz w:val="24"/>
          <w:szCs w:val="24"/>
          <w:lang w:val="en-US"/>
        </w:rPr>
        <w:t>χ</w:t>
      </w:r>
      <w:r w:rsidRPr="00491BB4">
        <w:rPr>
          <w:rFonts w:ascii="Book Antiqua" w:hAnsi="Book Antiqua" w:cs="Arial"/>
          <w:sz w:val="24"/>
          <w:szCs w:val="24"/>
          <w:vertAlign w:val="superscript"/>
          <w:lang w:val="en-US"/>
        </w:rPr>
        <w:t>2</w:t>
      </w:r>
      <w:r w:rsidRPr="00491BB4">
        <w:rPr>
          <w:rFonts w:ascii="Book Antiqua" w:hAnsi="Book Antiqua" w:cs="Arial"/>
          <w:sz w:val="24"/>
          <w:szCs w:val="24"/>
          <w:lang w:val="en-US"/>
        </w:rPr>
        <w:t xml:space="preserve"> (2, </w:t>
      </w:r>
      <w:r w:rsidRPr="00491BB4">
        <w:rPr>
          <w:rFonts w:ascii="Book Antiqua" w:hAnsi="Book Antiqua" w:cs="Arial"/>
          <w:i/>
          <w:sz w:val="24"/>
          <w:szCs w:val="24"/>
          <w:lang w:val="en-US"/>
        </w:rPr>
        <w:t>n</w:t>
      </w:r>
      <w:r w:rsidRPr="00491BB4">
        <w:rPr>
          <w:rFonts w:ascii="Book Antiqua" w:hAnsi="Book Antiqua" w:cs="Arial"/>
          <w:sz w:val="24"/>
          <w:szCs w:val="24"/>
          <w:lang w:val="en-US"/>
        </w:rPr>
        <w:t xml:space="preserve"> = 39) = 0.454, </w:t>
      </w:r>
      <w:r w:rsidRPr="00491BB4">
        <w:rPr>
          <w:rFonts w:ascii="Book Antiqua" w:hAnsi="Book Antiqua" w:cs="Arial"/>
          <w:i/>
          <w:sz w:val="24"/>
          <w:szCs w:val="24"/>
          <w:lang w:val="en-US"/>
        </w:rPr>
        <w:t>P</w:t>
      </w:r>
      <w:r w:rsidRPr="00491BB4">
        <w:rPr>
          <w:rFonts w:ascii="Book Antiqua" w:hAnsi="Book Antiqua" w:cs="Arial"/>
          <w:sz w:val="24"/>
          <w:szCs w:val="24"/>
          <w:lang w:val="en-US"/>
        </w:rPr>
        <w:t xml:space="preserve"> &gt; 0.05</w:t>
      </w:r>
      <w:r w:rsidRPr="00491BB4">
        <w:rPr>
          <w:rFonts w:ascii="Book Antiqua" w:hAnsi="Book Antiqua" w:cs="Arial"/>
          <w:sz w:val="24"/>
          <w:szCs w:val="24"/>
          <w:lang w:val="en-US" w:eastAsia="zh-CN"/>
        </w:rPr>
        <w:t>]</w:t>
      </w:r>
      <w:r w:rsidRPr="00491BB4">
        <w:rPr>
          <w:rFonts w:ascii="Book Antiqua" w:hAnsi="Book Antiqua" w:cs="Arial"/>
          <w:sz w:val="24"/>
          <w:szCs w:val="24"/>
          <w:lang w:val="en-US"/>
        </w:rPr>
        <w:t>.</w:t>
      </w:r>
    </w:p>
    <w:p w:rsidR="00C24456" w:rsidRPr="00491BB4" w:rsidRDefault="00C24456" w:rsidP="00F32A86">
      <w:pPr>
        <w:pStyle w:val="12"/>
        <w:snapToGrid w:val="0"/>
        <w:spacing w:after="0" w:line="360" w:lineRule="auto"/>
        <w:ind w:left="0"/>
        <w:contextualSpacing w:val="0"/>
        <w:jc w:val="both"/>
        <w:rPr>
          <w:rFonts w:ascii="Book Antiqua" w:hAnsi="Book Antiqua"/>
          <w:sz w:val="24"/>
          <w:szCs w:val="24"/>
          <w:lang w:val="en-US" w:eastAsia="zh-CN"/>
        </w:rPr>
      </w:pPr>
    </w:p>
    <w:p w:rsidR="00C24456" w:rsidRPr="00491BB4" w:rsidRDefault="00C24456" w:rsidP="00F32A86">
      <w:pPr>
        <w:pStyle w:val="a7"/>
        <w:snapToGrid w:val="0"/>
        <w:spacing w:line="360" w:lineRule="auto"/>
        <w:jc w:val="both"/>
        <w:rPr>
          <w:rFonts w:ascii="Book Antiqua" w:hAnsi="Book Antiqua"/>
          <w:b/>
          <w:i/>
          <w:sz w:val="24"/>
          <w:szCs w:val="24"/>
          <w:lang w:eastAsia="en-US"/>
        </w:rPr>
      </w:pPr>
      <w:r w:rsidRPr="00491BB4">
        <w:rPr>
          <w:rFonts w:ascii="Book Antiqua" w:hAnsi="Book Antiqua"/>
          <w:b/>
          <w:i/>
          <w:sz w:val="24"/>
          <w:szCs w:val="24"/>
          <w:lang w:eastAsia="en-US"/>
        </w:rPr>
        <w:t>Adverse events</w:t>
      </w:r>
    </w:p>
    <w:p w:rsidR="00C24456" w:rsidRPr="00491BB4" w:rsidRDefault="00C24456" w:rsidP="00F32A86">
      <w:pPr>
        <w:pStyle w:val="a7"/>
        <w:snapToGrid w:val="0"/>
        <w:spacing w:line="360" w:lineRule="auto"/>
        <w:jc w:val="both"/>
        <w:rPr>
          <w:rFonts w:ascii="Book Antiqua" w:hAnsi="Book Antiqua" w:cs="Arial"/>
          <w:sz w:val="24"/>
          <w:szCs w:val="24"/>
        </w:rPr>
      </w:pPr>
      <w:r w:rsidRPr="00491BB4">
        <w:rPr>
          <w:rFonts w:ascii="Book Antiqua" w:hAnsi="Book Antiqua" w:cs="Arial"/>
          <w:sz w:val="24"/>
          <w:szCs w:val="24"/>
        </w:rPr>
        <w:t xml:space="preserve">The mild adverse events of thirst and dry mouth associated with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treatment were reported in 4 and 2 patients, respectively. No other drug-related adverse events </w:t>
      </w:r>
      <w:r w:rsidRPr="00491BB4">
        <w:rPr>
          <w:rFonts w:ascii="Book Antiqua" w:hAnsi="Book Antiqua" w:cs="Arial"/>
          <w:sz w:val="24"/>
          <w:szCs w:val="24"/>
          <w:lang w:eastAsia="zh-CN"/>
        </w:rPr>
        <w:t xml:space="preserve">or liver function abnormalities </w:t>
      </w:r>
      <w:r w:rsidRPr="00491BB4">
        <w:rPr>
          <w:rFonts w:ascii="Book Antiqua" w:hAnsi="Book Antiqua" w:cs="Arial"/>
          <w:sz w:val="24"/>
          <w:szCs w:val="24"/>
        </w:rPr>
        <w:t>were</w:t>
      </w:r>
      <w:r w:rsidRPr="00491BB4">
        <w:rPr>
          <w:rFonts w:ascii="Book Antiqua" w:hAnsi="Book Antiqua" w:cs="Arial"/>
          <w:sz w:val="24"/>
          <w:szCs w:val="24"/>
          <w:lang w:eastAsia="zh-CN"/>
        </w:rPr>
        <w:t xml:space="preserve"> observed</w:t>
      </w:r>
      <w:r w:rsidRPr="00491BB4">
        <w:rPr>
          <w:rFonts w:ascii="Book Antiqua" w:hAnsi="Book Antiqua" w:cs="Arial"/>
          <w:sz w:val="24"/>
          <w:szCs w:val="24"/>
        </w:rPr>
        <w:t xml:space="preserve"> in this study. Improvements were observed in 11 of 13 patients who had </w:t>
      </w:r>
      <w:r w:rsidRPr="00491BB4">
        <w:rPr>
          <w:rFonts w:ascii="Book Antiqua" w:hAnsi="Book Antiqua" w:cs="Arial"/>
          <w:sz w:val="24"/>
          <w:szCs w:val="24"/>
        </w:rPr>
        <w:lastRenderedPageBreak/>
        <w:t xml:space="preserve">coexisting hepatic encephalopathy. In patients with </w:t>
      </w:r>
      <w:proofErr w:type="spellStart"/>
      <w:r w:rsidRPr="00491BB4">
        <w:rPr>
          <w:rFonts w:ascii="Book Antiqua" w:hAnsi="Book Antiqua" w:cs="Arial"/>
          <w:sz w:val="24"/>
          <w:szCs w:val="24"/>
        </w:rPr>
        <w:t>hepatorenal</w:t>
      </w:r>
      <w:proofErr w:type="spellEnd"/>
      <w:r w:rsidRPr="00491BB4">
        <w:rPr>
          <w:rFonts w:ascii="Book Antiqua" w:hAnsi="Book Antiqua" w:cs="Arial"/>
          <w:sz w:val="24"/>
          <w:szCs w:val="24"/>
        </w:rPr>
        <w:t xml:space="preserve"> syndrome, 5 of 7 patients with Type 2 syndrome showed improvements during treatment, while 2 patients with coexisting Type 1 syndrome experienced continuous deterioration of their renal function. </w:t>
      </w:r>
    </w:p>
    <w:p w:rsidR="00C24456" w:rsidRPr="00491BB4" w:rsidRDefault="00C24456" w:rsidP="00F32A86">
      <w:pPr>
        <w:pStyle w:val="a7"/>
        <w:snapToGrid w:val="0"/>
        <w:spacing w:line="360" w:lineRule="auto"/>
        <w:jc w:val="both"/>
        <w:rPr>
          <w:rFonts w:ascii="Book Antiqua" w:hAnsi="Book Antiqua" w:cs="Arial"/>
          <w:b/>
          <w:sz w:val="24"/>
          <w:szCs w:val="24"/>
        </w:rPr>
      </w:pPr>
    </w:p>
    <w:p w:rsidR="00C24456" w:rsidRPr="00491BB4" w:rsidRDefault="00C24456" w:rsidP="00F32A86">
      <w:pPr>
        <w:pStyle w:val="a7"/>
        <w:snapToGrid w:val="0"/>
        <w:spacing w:line="360" w:lineRule="auto"/>
        <w:jc w:val="both"/>
        <w:rPr>
          <w:rFonts w:ascii="Book Antiqua" w:hAnsi="Book Antiqua"/>
          <w:b/>
          <w:sz w:val="24"/>
          <w:szCs w:val="24"/>
          <w:lang w:eastAsia="zh-CN"/>
        </w:rPr>
      </w:pPr>
      <w:r w:rsidRPr="00491BB4">
        <w:rPr>
          <w:rFonts w:ascii="Book Antiqua" w:hAnsi="Book Antiqua"/>
          <w:b/>
          <w:sz w:val="24"/>
          <w:szCs w:val="24"/>
        </w:rPr>
        <w:t>DISCUSSION</w:t>
      </w:r>
    </w:p>
    <w:p w:rsidR="00C24456" w:rsidRPr="00491BB4" w:rsidRDefault="00C24456" w:rsidP="00F32A86">
      <w:pPr>
        <w:pStyle w:val="a7"/>
        <w:snapToGrid w:val="0"/>
        <w:spacing w:line="360" w:lineRule="auto"/>
        <w:jc w:val="both"/>
        <w:rPr>
          <w:rFonts w:ascii="Book Antiqua" w:hAnsi="Book Antiqua" w:cs="Arial"/>
          <w:sz w:val="24"/>
          <w:szCs w:val="24"/>
          <w:lang w:eastAsia="zh-CN"/>
        </w:rPr>
      </w:pPr>
      <w:r w:rsidRPr="00491BB4">
        <w:rPr>
          <w:rFonts w:ascii="Book Antiqua" w:hAnsi="Book Antiqua" w:cs="Arial"/>
          <w:sz w:val="24"/>
          <w:szCs w:val="24"/>
        </w:rPr>
        <w:t>The current theory for the development of ascites is complex and has recently evolved to include previously proposed mechanisms</w:t>
      </w:r>
      <w:r w:rsidRPr="00491BB4">
        <w:rPr>
          <w:rFonts w:ascii="Book Antiqua" w:hAnsi="Book Antiqua" w:cs="Arial"/>
          <w:sz w:val="24"/>
          <w:szCs w:val="24"/>
          <w:vertAlign w:val="superscript"/>
          <w:lang w:eastAsia="zh-CN"/>
        </w:rPr>
        <w:t>[</w:t>
      </w:r>
      <w:r w:rsidRPr="00491BB4">
        <w:rPr>
          <w:rFonts w:ascii="Book Antiqua" w:hAnsi="Book Antiqua" w:cs="Arial"/>
          <w:sz w:val="24"/>
          <w:szCs w:val="24"/>
          <w:vertAlign w:val="superscript"/>
        </w:rPr>
        <w:fldChar w:fldCharType="begin"/>
      </w:r>
      <w:r w:rsidRPr="00491BB4">
        <w:rPr>
          <w:rFonts w:ascii="Book Antiqua" w:hAnsi="Book Antiqua" w:cs="Arial"/>
          <w:sz w:val="24"/>
          <w:szCs w:val="24"/>
          <w:vertAlign w:val="superscript"/>
        </w:rPr>
        <w:instrText xml:space="preserve"> ADDIN REFMGR.CITE &lt;Refman&gt;&lt;Cite&gt;&lt;Author&gt;Moore&lt;/Author&gt;&lt;Year&gt;2013&lt;/Year&gt;&lt;RecNum&gt;22&lt;/RecNum&gt;&lt;IDText&gt;Cirrhotic ascites review: Pathophysiology, diagnosis and management&lt;/IDText&gt;&lt;MDL Ref_Type="Journal"&gt;&lt;Ref_Type&gt;Journal&lt;/Ref_Type&gt;&lt;Ref_ID&gt;22&lt;/Ref_ID&gt;&lt;Title_Primary&gt;Cirrhotic ascites review: Pathophysiology, diagnosis and management&lt;/Title_Primary&gt;&lt;Authors_Primary&gt;Moore,C.M.&lt;/Authors_Primary&gt;&lt;Authors_Primary&gt;Van Thiel,D.H.&lt;/Authors_Primary&gt;&lt;Date_Primary&gt;2013/5/27&lt;/Date_Primary&gt;&lt;Keywords&gt;Ascites&lt;/Keywords&gt;&lt;Keywords&gt;complications&lt;/Keywords&gt;&lt;Keywords&gt;diagnosis&lt;/Keywords&gt;&lt;Keywords&gt;etiology&lt;/Keywords&gt;&lt;Keywords&gt;mortality&lt;/Keywords&gt;&lt;Keywords&gt;Paracentesis&lt;/Keywords&gt;&lt;Keywords&gt;Sodium&lt;/Keywords&gt;&lt;Keywords&gt;therapy&lt;/Keywords&gt;&lt;Reprint&gt;Not in File&lt;/Reprint&gt;&lt;Start_Page&gt;251&lt;/Start_Page&gt;&lt;End_Page&gt;263&lt;/End_Page&gt;&lt;Periodical&gt;World J.Hepatol&lt;/Periodical&gt;&lt;Volume&gt;5&lt;/Volume&gt;&lt;Issue&gt;5&lt;/Issue&gt;&lt;Address&gt;Christopher M Moore, David H Van Thiel, Section of Hepatology, Department of Medicine, Rush University Medical Center, Chicago, IL 60612, United States&lt;/Address&gt;&lt;Web_URL&gt;PM:23717736&lt;/Web_URL&gt;&lt;ZZ_JournalStdAbbrev&gt;&lt;f name="System"&gt;World J.Hepatol&lt;/f&gt;&lt;/ZZ_JournalStdAbbrev&gt;&lt;ZZ_WorkformID&gt;1&lt;/ZZ_WorkformID&gt;&lt;/MDL&gt;&lt;/Cite&gt;&lt;/Refman&gt;</w:instrText>
      </w:r>
      <w:r w:rsidRPr="00491BB4">
        <w:rPr>
          <w:rFonts w:ascii="Book Antiqua" w:hAnsi="Book Antiqua" w:cs="Arial"/>
          <w:sz w:val="24"/>
          <w:szCs w:val="24"/>
          <w:vertAlign w:val="superscript"/>
        </w:rPr>
        <w:fldChar w:fldCharType="separate"/>
      </w:r>
      <w:r w:rsidRPr="00491BB4">
        <w:rPr>
          <w:rFonts w:ascii="Book Antiqua" w:hAnsi="Book Antiqua" w:cs="Arial"/>
          <w:sz w:val="24"/>
          <w:szCs w:val="24"/>
          <w:vertAlign w:val="superscript"/>
        </w:rPr>
        <w:t>5</w:t>
      </w:r>
      <w:r w:rsidRPr="00491BB4">
        <w:rPr>
          <w:rFonts w:ascii="Book Antiqua" w:hAnsi="Book Antiqua" w:cs="Arial"/>
          <w:sz w:val="24"/>
          <w:szCs w:val="24"/>
          <w:vertAlign w:val="superscript"/>
        </w:rPr>
        <w:fldChar w:fldCharType="end"/>
      </w:r>
      <w:r w:rsidRPr="00491BB4">
        <w:rPr>
          <w:rFonts w:ascii="Book Antiqua" w:hAnsi="Book Antiqua" w:cs="Arial"/>
          <w:sz w:val="24"/>
          <w:szCs w:val="24"/>
          <w:vertAlign w:val="superscript"/>
          <w:lang w:eastAsia="zh-CN"/>
        </w:rPr>
        <w:t>]</w:t>
      </w:r>
      <w:r w:rsidRPr="00491BB4">
        <w:rPr>
          <w:rFonts w:ascii="Book Antiqua" w:hAnsi="Book Antiqua" w:cs="Arial"/>
          <w:sz w:val="24"/>
          <w:szCs w:val="24"/>
          <w:lang w:eastAsia="zh-CN"/>
        </w:rPr>
        <w:t>.</w:t>
      </w:r>
      <w:r w:rsidRPr="00491BB4">
        <w:rPr>
          <w:rFonts w:ascii="Book Antiqua" w:hAnsi="Book Antiqua" w:cs="Arial"/>
          <w:sz w:val="24"/>
          <w:szCs w:val="24"/>
        </w:rPr>
        <w:t xml:space="preserve"> However, to fully understand how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affects refractory ascites, the pathogenesis of ascites needs to be briefly explored.</w:t>
      </w:r>
    </w:p>
    <w:p w:rsidR="00C24456" w:rsidRPr="00491BB4" w:rsidRDefault="00C24456" w:rsidP="000319CE">
      <w:pPr>
        <w:pStyle w:val="a7"/>
        <w:snapToGrid w:val="0"/>
        <w:spacing w:line="360" w:lineRule="auto"/>
        <w:ind w:firstLineChars="50" w:firstLine="120"/>
        <w:jc w:val="both"/>
        <w:rPr>
          <w:rFonts w:ascii="Book Antiqua" w:hAnsi="Book Antiqua" w:cs="Arial"/>
          <w:sz w:val="24"/>
          <w:szCs w:val="24"/>
          <w:lang w:eastAsia="zh-CN"/>
        </w:rPr>
      </w:pPr>
      <w:r w:rsidRPr="00491BB4">
        <w:rPr>
          <w:rFonts w:ascii="Book Antiqua" w:hAnsi="Book Antiqua" w:cs="Arial"/>
          <w:sz w:val="24"/>
          <w:szCs w:val="24"/>
        </w:rPr>
        <w:t xml:space="preserve">The formation of ascites involves an increase in the hepatic portal vein pressure, which may cause systemic arterial vasodilation, resulting in a decrease in the effective blood </w:t>
      </w:r>
      <w:proofErr w:type="gramStart"/>
      <w:r w:rsidRPr="00491BB4">
        <w:rPr>
          <w:rFonts w:ascii="Book Antiqua" w:hAnsi="Book Antiqua" w:cs="Arial"/>
          <w:sz w:val="24"/>
          <w:szCs w:val="24"/>
        </w:rPr>
        <w:t>volume</w:t>
      </w:r>
      <w:r w:rsidRPr="00491BB4">
        <w:rPr>
          <w:rFonts w:ascii="Book Antiqua" w:hAnsi="Book Antiqua" w:cs="Arial"/>
          <w:sz w:val="24"/>
          <w:szCs w:val="24"/>
          <w:vertAlign w:val="superscript"/>
          <w:lang w:eastAsia="zh-CN"/>
        </w:rPr>
        <w:t>[</w:t>
      </w:r>
      <w:proofErr w:type="gramEnd"/>
      <w:r w:rsidRPr="00491BB4">
        <w:rPr>
          <w:rFonts w:ascii="Book Antiqua" w:hAnsi="Book Antiqua" w:cs="Arial"/>
          <w:sz w:val="24"/>
          <w:szCs w:val="24"/>
          <w:vertAlign w:val="superscript"/>
          <w:lang w:eastAsia="zh-CN"/>
        </w:rPr>
        <w:t>15-17]</w:t>
      </w:r>
      <w:r w:rsidRPr="00491BB4">
        <w:rPr>
          <w:rFonts w:ascii="Book Antiqua" w:hAnsi="Book Antiqua" w:cs="Arial"/>
          <w:sz w:val="24"/>
          <w:szCs w:val="24"/>
          <w:lang w:eastAsia="zh-CN"/>
        </w:rPr>
        <w:t>.</w:t>
      </w:r>
      <w:r w:rsidRPr="00491BB4">
        <w:rPr>
          <w:rFonts w:ascii="Book Antiqua" w:hAnsi="Book Antiqua" w:cs="Arial"/>
          <w:sz w:val="24"/>
          <w:szCs w:val="24"/>
        </w:rPr>
        <w:t xml:space="preserve"> This</w:t>
      </w:r>
      <w:r w:rsidRPr="00491BB4">
        <w:rPr>
          <w:rFonts w:ascii="Book Antiqua" w:hAnsi="Book Antiqua" w:cs="Arial"/>
          <w:sz w:val="24"/>
          <w:szCs w:val="24"/>
          <w:lang w:eastAsia="zh-CN"/>
        </w:rPr>
        <w:t xml:space="preserve"> decrease in blood volume </w:t>
      </w:r>
      <w:r w:rsidRPr="00491BB4">
        <w:rPr>
          <w:rFonts w:ascii="Book Antiqua" w:hAnsi="Book Antiqua" w:cs="Arial"/>
          <w:sz w:val="24"/>
          <w:szCs w:val="24"/>
        </w:rPr>
        <w:t xml:space="preserve">triggers the activation of the sympathetic nervous system and renin-angiotensin system, and the resultant cascade of events causes the release of arginine vasopressin (AVP, which is alternatively termed antidiuretic hormone). AVP plays a critical role in water reabsorption in the renal collecting </w:t>
      </w:r>
      <w:proofErr w:type="gramStart"/>
      <w:r w:rsidRPr="00491BB4">
        <w:rPr>
          <w:rFonts w:ascii="Book Antiqua" w:hAnsi="Book Antiqua" w:cs="Arial"/>
          <w:sz w:val="24"/>
          <w:szCs w:val="24"/>
        </w:rPr>
        <w:t>ducts</w:t>
      </w:r>
      <w:r w:rsidRPr="00491BB4">
        <w:rPr>
          <w:rFonts w:ascii="Book Antiqua" w:hAnsi="Book Antiqua" w:cs="Arial"/>
          <w:sz w:val="24"/>
          <w:szCs w:val="24"/>
          <w:vertAlign w:val="superscript"/>
          <w:lang w:eastAsia="zh-CN"/>
        </w:rPr>
        <w:t>[</w:t>
      </w:r>
      <w:proofErr w:type="gramEnd"/>
      <w:r w:rsidRPr="00491BB4">
        <w:rPr>
          <w:rFonts w:ascii="Book Antiqua" w:hAnsi="Book Antiqua" w:cs="Arial"/>
          <w:sz w:val="24"/>
          <w:szCs w:val="24"/>
          <w:vertAlign w:val="superscript"/>
          <w:lang w:eastAsia="zh-CN"/>
        </w:rPr>
        <w:t>5,8]</w:t>
      </w:r>
      <w:r w:rsidRPr="00491BB4">
        <w:rPr>
          <w:rFonts w:ascii="Book Antiqua" w:hAnsi="Book Antiqua" w:cs="Arial"/>
          <w:sz w:val="24"/>
          <w:szCs w:val="24"/>
          <w:lang w:eastAsia="zh-CN"/>
        </w:rPr>
        <w:t>.</w:t>
      </w:r>
      <w:r w:rsidRPr="00491BB4">
        <w:rPr>
          <w:rFonts w:ascii="Book Antiqua" w:hAnsi="Book Antiqua" w:cs="Arial"/>
          <w:sz w:val="24"/>
          <w:szCs w:val="24"/>
        </w:rPr>
        <w:t xml:space="preserve"> However, as mentioned previously, the treatments for refractory ascites are limited. A diet of controlled salt intake, adequate diuretics treatment, large-volume </w:t>
      </w:r>
      <w:proofErr w:type="spellStart"/>
      <w:r w:rsidRPr="00491BB4">
        <w:rPr>
          <w:rFonts w:ascii="Book Antiqua" w:hAnsi="Book Antiqua" w:cs="Arial"/>
          <w:sz w:val="24"/>
          <w:szCs w:val="24"/>
        </w:rPr>
        <w:t>paracentesis</w:t>
      </w:r>
      <w:proofErr w:type="spellEnd"/>
      <w:r w:rsidRPr="00491BB4">
        <w:rPr>
          <w:rFonts w:ascii="Book Antiqua" w:hAnsi="Book Antiqua" w:cs="Arial"/>
          <w:sz w:val="24"/>
          <w:szCs w:val="24"/>
        </w:rPr>
        <w:t xml:space="preserve">, </w:t>
      </w:r>
      <w:proofErr w:type="spellStart"/>
      <w:r w:rsidRPr="00491BB4">
        <w:rPr>
          <w:rFonts w:ascii="Book Antiqua" w:hAnsi="Book Antiqua" w:cs="Arial"/>
          <w:sz w:val="24"/>
          <w:szCs w:val="24"/>
        </w:rPr>
        <w:t>transjugular</w:t>
      </w:r>
      <w:proofErr w:type="spellEnd"/>
      <w:r w:rsidRPr="00491BB4">
        <w:rPr>
          <w:rFonts w:ascii="Book Antiqua" w:hAnsi="Book Antiqua" w:cs="Arial"/>
          <w:sz w:val="24"/>
          <w:szCs w:val="24"/>
        </w:rPr>
        <w:t xml:space="preserve"> intrahepatic </w:t>
      </w:r>
      <w:proofErr w:type="spellStart"/>
      <w:r w:rsidRPr="00491BB4">
        <w:rPr>
          <w:rFonts w:ascii="Book Antiqua" w:hAnsi="Book Antiqua" w:cs="Arial"/>
          <w:sz w:val="24"/>
          <w:szCs w:val="24"/>
        </w:rPr>
        <w:t>portosystemic</w:t>
      </w:r>
      <w:proofErr w:type="spellEnd"/>
      <w:r w:rsidRPr="00491BB4">
        <w:rPr>
          <w:rFonts w:ascii="Book Antiqua" w:hAnsi="Book Antiqua" w:cs="Arial"/>
          <w:sz w:val="24"/>
          <w:szCs w:val="24"/>
        </w:rPr>
        <w:t xml:space="preserve"> shunting and liver transplantation are the current clinical recommendations</w:t>
      </w:r>
      <w:r w:rsidRPr="00491BB4">
        <w:rPr>
          <w:rFonts w:ascii="Book Antiqua" w:hAnsi="Book Antiqua" w:cs="Arial"/>
          <w:sz w:val="24"/>
          <w:szCs w:val="24"/>
          <w:vertAlign w:val="superscript"/>
          <w:lang w:eastAsia="zh-CN"/>
        </w:rPr>
        <w:t>[3,18]</w:t>
      </w:r>
      <w:r w:rsidRPr="00491BB4">
        <w:rPr>
          <w:rFonts w:ascii="Book Antiqua" w:hAnsi="Book Antiqua" w:cs="Arial"/>
          <w:sz w:val="24"/>
          <w:szCs w:val="24"/>
        </w:rPr>
        <w:t xml:space="preserve"> However, targeting the AVP mechanism presents a potential novel treatment approach for refractory ascites.</w:t>
      </w:r>
    </w:p>
    <w:p w:rsidR="00C24456" w:rsidRPr="00491BB4" w:rsidRDefault="00C24456" w:rsidP="000319CE">
      <w:pPr>
        <w:pStyle w:val="a7"/>
        <w:snapToGrid w:val="0"/>
        <w:spacing w:line="360" w:lineRule="auto"/>
        <w:ind w:firstLineChars="50" w:firstLine="120"/>
        <w:jc w:val="both"/>
        <w:rPr>
          <w:rFonts w:ascii="Book Antiqua" w:hAnsi="Book Antiqua" w:cs="Arial"/>
          <w:sz w:val="24"/>
          <w:szCs w:val="24"/>
          <w:lang w:eastAsia="zh-CN"/>
        </w:rPr>
      </w:pP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has been shown to improve ascites and edema in patients with decompensated liver disease, but its efficacy has not previously been explored in the subset of patients with refractory ascites. In the current study, the combination of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with diuretics was effective in increasing urine output, decreasing abdominal circumference and reducing edema in patients with refractory ascites.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was effective at treating a substantial proportion of all patients, and 46.2% of the responders experienced significant improvement. Therefore, this study shows that the combination of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w:t>
      </w:r>
      <w:r w:rsidRPr="00491BB4">
        <w:rPr>
          <w:rFonts w:ascii="Book Antiqua" w:hAnsi="Book Antiqua" w:cs="Arial"/>
          <w:sz w:val="24"/>
          <w:szCs w:val="24"/>
        </w:rPr>
        <w:lastRenderedPageBreak/>
        <w:t>with diuretics is more effective than standard options for treating refractory ascites in decompensated cirrhotic patients with or without further complications, such an hepatocellular carcinoma and</w:t>
      </w:r>
      <w:r w:rsidRPr="00491BB4">
        <w:rPr>
          <w:rFonts w:ascii="Book Antiqua" w:hAnsi="Book Antiqua" w:cs="Arial"/>
          <w:sz w:val="24"/>
          <w:szCs w:val="24"/>
          <w:lang w:eastAsia="zh-CN"/>
        </w:rPr>
        <w:t>/</w:t>
      </w:r>
      <w:r w:rsidRPr="00491BB4">
        <w:rPr>
          <w:rFonts w:ascii="Book Antiqua" w:hAnsi="Book Antiqua" w:cs="Arial"/>
          <w:sz w:val="24"/>
          <w:szCs w:val="24"/>
        </w:rPr>
        <w:t xml:space="preserve">or </w:t>
      </w:r>
      <w:proofErr w:type="spellStart"/>
      <w:r w:rsidRPr="00491BB4">
        <w:rPr>
          <w:rFonts w:ascii="Book Antiqua" w:hAnsi="Book Antiqua" w:cs="Arial"/>
          <w:sz w:val="24"/>
          <w:szCs w:val="24"/>
        </w:rPr>
        <w:t>hepatorenal</w:t>
      </w:r>
      <w:proofErr w:type="spellEnd"/>
      <w:r w:rsidRPr="00491BB4">
        <w:rPr>
          <w:rFonts w:ascii="Book Antiqua" w:hAnsi="Book Antiqua" w:cs="Arial"/>
          <w:sz w:val="24"/>
          <w:szCs w:val="24"/>
        </w:rPr>
        <w:t xml:space="preserve"> syndrome. </w:t>
      </w:r>
    </w:p>
    <w:p w:rsidR="00C24456" w:rsidRPr="00491BB4" w:rsidRDefault="00C24456" w:rsidP="000319CE">
      <w:pPr>
        <w:pStyle w:val="a7"/>
        <w:snapToGrid w:val="0"/>
        <w:spacing w:line="360" w:lineRule="auto"/>
        <w:ind w:firstLineChars="50" w:firstLine="120"/>
        <w:jc w:val="both"/>
        <w:rPr>
          <w:rFonts w:ascii="Book Antiqua" w:hAnsi="Book Antiqua" w:cs="Arial"/>
          <w:sz w:val="24"/>
          <w:szCs w:val="24"/>
        </w:rPr>
      </w:pPr>
      <w:r w:rsidRPr="00491BB4">
        <w:rPr>
          <w:rFonts w:ascii="Book Antiqua" w:hAnsi="Book Antiqua" w:cs="Arial"/>
          <w:sz w:val="24"/>
          <w:szCs w:val="24"/>
        </w:rPr>
        <w:t xml:space="preserve">A number of studies have demonstrated the efficacy of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for treating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vertAlign w:val="superscript"/>
          <w:lang w:eastAsia="zh-CN"/>
        </w:rPr>
        <w:t>[</w:t>
      </w:r>
      <w:r w:rsidRPr="00491BB4">
        <w:rPr>
          <w:rFonts w:ascii="Book Antiqua" w:hAnsi="Book Antiqua" w:cs="Arial"/>
          <w:sz w:val="24"/>
          <w:szCs w:val="24"/>
          <w:vertAlign w:val="superscript"/>
        </w:rPr>
        <w:fldChar w:fldCharType="begin"/>
      </w:r>
      <w:r w:rsidRPr="00491BB4">
        <w:rPr>
          <w:rFonts w:ascii="Book Antiqua" w:hAnsi="Book Antiqua" w:cs="Arial"/>
          <w:sz w:val="24"/>
          <w:szCs w:val="24"/>
          <w:vertAlign w:val="superscript"/>
        </w:rPr>
        <w:instrText xml:space="preserve"> ADDIN REFMGR.CITE &lt;Refman&gt;&lt;Cite&gt;&lt;Author&gt;Berl&lt;/Author&gt;&lt;Year&gt;2010&lt;/Year&gt;&lt;RecNum&gt;18&lt;/RecNum&gt;&lt;IDText&gt;Oral tolvaptan is safe and effective in chronic hyponatremia&lt;/IDText&gt;&lt;MDL Ref_Type="Journal"&gt;&lt;Ref_Type&gt;Journal&lt;/Ref_Type&gt;&lt;Ref_ID&gt;18&lt;/Ref_ID&gt;&lt;Title_Primary&gt;Oral tolvaptan is safe and effective in chronic hyponatremia&lt;/Title_Primary&gt;&lt;Authors_Primary&gt;Berl,T.&lt;/Authors_Primary&gt;&lt;Authors_Primary&gt;Quittnat-Pelletier,F.&lt;/Authors_Primary&gt;&lt;Authors_Primary&gt;Verbalis,J.G.&lt;/Authors_Primary&gt;&lt;Authors_Primary&gt;Schrier,R.W.&lt;/Authors_Primary&gt;&lt;Authors_Primary&gt;Bichet,D.G.&lt;/Authors_Primary&gt;&lt;Authors_Primary&gt;Ouyang,J.&lt;/Authors_Primary&gt;&lt;Authors_Primary&gt;Czerwiec,F.S.&lt;/Authors_Primary&gt;&lt;Date_Primary&gt;2010/4&lt;/Date_Primary&gt;&lt;Keywords&gt;administration &amp;amp; dosage&lt;/Keywords&gt;&lt;Keywords&gt;Administration,Oral&lt;/Keywords&gt;&lt;Keywords&gt;adverse effects&lt;/Keywords&gt;&lt;Keywords&gt;antagonists &amp;amp; inhibitors&lt;/Keywords&gt;&lt;Keywords&gt;Benzazepines&lt;/Keywords&gt;&lt;Keywords&gt;Chronic Disease&lt;/Keywords&gt;&lt;Keywords&gt;drug therapy&lt;/Keywords&gt;&lt;Keywords&gt;Female&lt;/Keywords&gt;&lt;Keywords&gt;Heart Failure&lt;/Keywords&gt;&lt;Keywords&gt;Humans&lt;/Keywords&gt;&lt;Keywords&gt;Hyponatremia&lt;/Keywords&gt;&lt;Keywords&gt;Male&lt;/Keywords&gt;&lt;Keywords&gt;Middle Aged&lt;/Keywords&gt;&lt;Keywords&gt;Receptors,Vasopressin&lt;/Keywords&gt;&lt;Keywords&gt;Sodium&lt;/Keywords&gt;&lt;Keywords&gt;Thirst&lt;/Keywords&gt;&lt;Reprint&gt;Not in File&lt;/Reprint&gt;&lt;Start_Page&gt;705&lt;/Start_Page&gt;&lt;End_Page&gt;712&lt;/End_Page&gt;&lt;Periodical&gt;J.Am.Soc.Nephrol.&lt;/Periodical&gt;&lt;Volume&gt;21&lt;/Volume&gt;&lt;Issue&gt;4&lt;/Issue&gt;&lt;Address&gt;University of Colorado Denver, Division of Renal Diseases and Hypertension, Aurora, CO 80045, USA. tomas.berl@ucdenver.edu&lt;/Address&gt;&lt;Web_URL&gt;PM:20185637&lt;/Web_URL&gt;&lt;ZZ_JournalStdAbbrev&gt;&lt;f name="System"&gt;J.Am.Soc.Nephrol.&lt;/f&gt;&lt;/ZZ_JournalStdAbbrev&gt;&lt;ZZ_WorkformID&gt;1&lt;/ZZ_WorkformID&gt;&lt;/MDL&gt;&lt;/Cite&gt;&lt;Cite&gt;&lt;Author&gt;Cardenas&lt;/Author&gt;&lt;Year&gt;2012&lt;/Year&gt;&lt;RecNum&gt;10&lt;/RecNum&gt;&lt;IDText&gt;Tolvaptan, an oral vasopressin antagonist, in the treatment of hyponatremia in cirrhosis&lt;/IDText&gt;&lt;MDL Ref_Type="Journal"&gt;&lt;Ref_Type&gt;Journal&lt;/Ref_Type&gt;&lt;Ref_ID&gt;10&lt;/Ref_ID&gt;&lt;Title_Primary&gt;Tolvaptan, an oral vasopressin antagonist, in the treatment of hyponatremia in cirrhosis&lt;/Title_Primary&gt;&lt;Authors_Primary&gt;Cardenas,A.&lt;/Authors_Primary&gt;&lt;Authors_Primary&gt;Gines,P.&lt;/Authors_Primary&gt;&lt;Authors_Primary&gt;Marotta,P.&lt;/Authors_Primary&gt;&lt;Authors_Primary&gt;Czerwiec,F.&lt;/Authors_Primary&gt;&lt;Authors_Primary&gt;Oyuang,J.&lt;/Authors_Primary&gt;&lt;Authors_Primary&gt;Guevara,M.&lt;/Authors_Primary&gt;&lt;Authors_Primary&gt;Afdhal,N.H.&lt;/Authors_Primary&gt;&lt;Date_Primary&gt;2012/3&lt;/Date_Primary&gt;&lt;Keywords&gt;administration &amp;amp; dosage&lt;/Keywords&gt;&lt;Keywords&gt;Administration,Oral&lt;/Keywords&gt;&lt;Keywords&gt;adverse effects&lt;/Keywords&gt;&lt;Keywords&gt;antagonists &amp;amp; inhibitors&lt;/Keywords&gt;&lt;Keywords&gt;Ascites&lt;/Keywords&gt;&lt;Keywords&gt;Benzazepines&lt;/Keywords&gt;&lt;Keywords&gt;blood&lt;/Keywords&gt;&lt;Keywords&gt;Chronic Disease&lt;/Keywords&gt;&lt;Keywords&gt;complications&lt;/Keywords&gt;&lt;Keywords&gt;drug therapy&lt;/Keywords&gt;&lt;Keywords&gt;etiology&lt;/Keywords&gt;&lt;Keywords&gt;Female&lt;/Keywords&gt;&lt;Keywords&gt;Glomerular Filtration Rate&lt;/Keywords&gt;&lt;Keywords&gt;Health Surveys&lt;/Keywords&gt;&lt;Keywords&gt;Humans&lt;/Keywords&gt;&lt;Keywords&gt;Hyponatremia&lt;/Keywords&gt;&lt;Keywords&gt;Liver Cirrhosis&lt;/Keywords&gt;&lt;Keywords&gt;Male&lt;/Keywords&gt;&lt;Keywords&gt;Middle Aged&lt;/Keywords&gt;&lt;Keywords&gt;Prospective Studies&lt;/Keywords&gt;&lt;Keywords&gt;Receptors,Vasopressin&lt;/Keywords&gt;&lt;Keywords&gt;Recurrence&lt;/Keywords&gt;&lt;Keywords&gt;Sodium&lt;/Keywords&gt;&lt;Keywords&gt;Treatment Outcome&lt;/Keywords&gt;&lt;Keywords&gt;Water&lt;/Keywords&gt;&lt;Reprint&gt;Not in File&lt;/Reprint&gt;&lt;Start_Page&gt;571&lt;/Start_Page&gt;&lt;End_Page&gt;578&lt;/End_Page&gt;&lt;Periodical&gt;J.Hepatol&lt;/Periodical&gt;&lt;Volume&gt;56&lt;/Volume&gt;&lt;Issue&gt;3&lt;/Issue&gt;&lt;Address&gt;GI Unit, Institut de Malalties Digestives i Metaboliques, Hospital Clinic, University of Barcelona, Barcelona, Catalunya, Spain. acardena@clinic.ub.es&lt;/Address&gt;&lt;Web_URL&gt;PM:22027579&lt;/Web_URL&gt;&lt;ZZ_JournalStdAbbrev&gt;&lt;f name="System"&gt;J.Hepatol&lt;/f&gt;&lt;/ZZ_JournalStdAbbrev&gt;&lt;ZZ_WorkformID&gt;1&lt;/ZZ_WorkformID&gt;&lt;/MDL&gt;&lt;/Cite&gt;&lt;Cite&gt;&lt;Author&gt;Schrier&lt;/Author&gt;&lt;Year&gt;2006&lt;/Year&gt;&lt;RecNum&gt;38&lt;/RecNum&gt;&lt;IDText&gt;Tolvaptan, a selective oral vasopressin V2-receptor antagonist, for hyponatremia&lt;/IDText&gt;&lt;MDL Ref_Type="Journal"&gt;&lt;Ref_Type&gt;Journal&lt;/Ref_Type&gt;&lt;Ref_ID&gt;38&lt;/Ref_ID&gt;&lt;Title_Primary&gt;Tolvaptan, a selective oral vasopressin V2-receptor antagonist, for hyponatremia&lt;/Title_Primary&gt;&lt;Authors_Primary&gt;Schrier,R.W.&lt;/Authors_Primary&gt;&lt;Authors_Primary&gt;Gross,P.&lt;/Authors_Primary&gt;&lt;Authors_Primary&gt;Gheorghiade,M.&lt;/Authors_Primary&gt;&lt;Authors_Primary&gt;Berl,T.&lt;/Authors_Primary&gt;&lt;Authors_Primary&gt;Verbalis,J.G.&lt;/Authors_Primary&gt;&lt;Authors_Primary&gt;Czerwiec,F.S.&lt;/Authors_Primary&gt;&lt;Authors_Primary&gt;Orlandi,C.&lt;/Authors_Primary&gt;&lt;Date_Primary&gt;2006/11/16&lt;/Date_Primary&gt;&lt;Keywords&gt;Administration,Oral&lt;/Keywords&gt;&lt;Keywords&gt;Adolescent&lt;/Keywords&gt;&lt;Keywords&gt;Adult&lt;/Keywords&gt;&lt;Keywords&gt;adverse effects&lt;/Keywords&gt;&lt;Keywords&gt;Aged&lt;/Keywords&gt;&lt;Keywords&gt;Aged,80 and over&lt;/Keywords&gt;&lt;Keywords&gt;antagonists &amp;amp; inhibitors&lt;/Keywords&gt;&lt;Keywords&gt;Area Under Curve&lt;/Keywords&gt;&lt;Keywords&gt;Benzazepines&lt;/Keywords&gt;&lt;Keywords&gt;blood&lt;/Keywords&gt;&lt;Keywords&gt;complications&lt;/Keywords&gt;&lt;Keywords&gt;Double-Blind Method&lt;/Keywords&gt;&lt;Keywords&gt;drug therapy&lt;/Keywords&gt;&lt;Keywords&gt;etiology&lt;/Keywords&gt;&lt;Keywords&gt;Female&lt;/Keywords&gt;&lt;Keywords&gt;Heart Failure&lt;/Keywords&gt;&lt;Keywords&gt;Humans&lt;/Keywords&gt;&lt;Keywords&gt;Hyponatremia&lt;/Keywords&gt;&lt;Keywords&gt;Inappropriate ADH Syndrome&lt;/Keywords&gt;&lt;Keywords&gt;Liver Cirrhosis&lt;/Keywords&gt;&lt;Keywords&gt;Male&lt;/Keywords&gt;&lt;Keywords&gt;methods&lt;/Keywords&gt;&lt;Keywords&gt;Middle Aged&lt;/Keywords&gt;&lt;Keywords&gt;Receptors,Vasopressin&lt;/Keywords&gt;&lt;Keywords&gt;Sodium&lt;/Keywords&gt;&lt;Keywords&gt;therapeutic use&lt;/Keywords&gt;&lt;Keywords&gt;therapy&lt;/Keywords&gt;&lt;Keywords&gt;Thirst&lt;/Keywords&gt;&lt;Keywords&gt;Urination&lt;/Keywords&gt;&lt;Reprint&gt;Not in File&lt;/Reprint&gt;&lt;Start_Page&gt;2099&lt;/Start_Page&gt;&lt;End_Page&gt;2112&lt;/End_Page&gt;&lt;Periodical&gt;N.Engl.J Med.&lt;/Periodical&gt;&lt;Volume&gt;355&lt;/Volume&gt;&lt;Issue&gt;20&lt;/Issue&gt;&lt;Address&gt;University of Colorado, Denver, USA. robert.schrier@uchsc.edu&lt;/Address&gt;&lt;Web_URL&gt;PM:17105757&lt;/Web_URL&gt;&lt;ZZ_JournalStdAbbrev&gt;&lt;f name="System"&gt;N.Engl.J Med.&lt;/f&gt;&lt;/ZZ_JournalStdAbbrev&gt;&lt;ZZ_WorkformID&gt;1&lt;/ZZ_WorkformID&gt;&lt;/MDL&gt;&lt;/Cite&gt;&lt;/Refman&gt;</w:instrText>
      </w:r>
      <w:r w:rsidRPr="00491BB4">
        <w:rPr>
          <w:rFonts w:ascii="Book Antiqua" w:hAnsi="Book Antiqua" w:cs="Arial"/>
          <w:sz w:val="24"/>
          <w:szCs w:val="24"/>
          <w:vertAlign w:val="superscript"/>
        </w:rPr>
        <w:fldChar w:fldCharType="separate"/>
      </w:r>
      <w:r w:rsidRPr="00491BB4">
        <w:rPr>
          <w:rFonts w:ascii="Book Antiqua" w:hAnsi="Book Antiqua" w:cs="Arial"/>
          <w:sz w:val="24"/>
          <w:szCs w:val="24"/>
          <w:vertAlign w:val="superscript"/>
          <w:lang w:eastAsia="zh-CN"/>
        </w:rPr>
        <w:t>19-23</w:t>
      </w:r>
      <w:r w:rsidRPr="00491BB4">
        <w:rPr>
          <w:rFonts w:ascii="Book Antiqua" w:hAnsi="Book Antiqua" w:cs="Arial"/>
          <w:sz w:val="24"/>
          <w:szCs w:val="24"/>
          <w:vertAlign w:val="superscript"/>
        </w:rPr>
        <w:fldChar w:fldCharType="end"/>
      </w:r>
      <w:r w:rsidRPr="00491BB4">
        <w:rPr>
          <w:rFonts w:ascii="Book Antiqua" w:hAnsi="Book Antiqua" w:cs="Arial"/>
          <w:sz w:val="24"/>
          <w:szCs w:val="24"/>
          <w:vertAlign w:val="superscript"/>
          <w:lang w:eastAsia="zh-CN"/>
        </w:rPr>
        <w:t>]</w:t>
      </w:r>
      <w:r w:rsidRPr="00491BB4">
        <w:rPr>
          <w:rFonts w:ascii="Book Antiqua" w:hAnsi="Book Antiqua" w:cs="Arial"/>
          <w:sz w:val="24"/>
          <w:szCs w:val="24"/>
          <w:lang w:eastAsia="zh-CN"/>
        </w:rPr>
        <w:t>.</w:t>
      </w:r>
      <w:r w:rsidRPr="00491BB4">
        <w:rPr>
          <w:rFonts w:ascii="Book Antiqua" w:hAnsi="Book Antiqua" w:cs="Arial"/>
          <w:sz w:val="24"/>
          <w:szCs w:val="24"/>
        </w:rPr>
        <w:t xml:space="preserve"> In this study,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significantly increased the serum sodium levels of patients with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while no significant difference was observed for patients lacking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supporting the efficacy of this drug in end-stage cirrhotic patients who have refractory ascites and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A 1-month follow-up assessment revealed that our treatment regimen corrected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in 9 of 21 patients (42.9%). This observation is supported by reports from </w:t>
      </w:r>
      <w:proofErr w:type="spellStart"/>
      <w:r w:rsidRPr="00491BB4">
        <w:rPr>
          <w:rFonts w:ascii="Book Antiqua" w:hAnsi="Book Antiqua" w:cs="Arial"/>
          <w:sz w:val="24"/>
          <w:szCs w:val="24"/>
        </w:rPr>
        <w:t>Berl</w:t>
      </w:r>
      <w:proofErr w:type="spellEnd"/>
      <w:r w:rsidRPr="00491BB4">
        <w:rPr>
          <w:rFonts w:ascii="Book Antiqua" w:hAnsi="Book Antiqua" w:cs="Arial"/>
          <w:sz w:val="24"/>
          <w:szCs w:val="24"/>
        </w:rPr>
        <w:t xml:space="preserve"> </w:t>
      </w:r>
      <w:r w:rsidRPr="00491BB4">
        <w:rPr>
          <w:rFonts w:ascii="Book Antiqua" w:hAnsi="Book Antiqua" w:cs="Arial"/>
          <w:i/>
          <w:sz w:val="24"/>
          <w:szCs w:val="24"/>
        </w:rPr>
        <w:t xml:space="preserve">et </w:t>
      </w:r>
      <w:proofErr w:type="gramStart"/>
      <w:r w:rsidRPr="00491BB4">
        <w:rPr>
          <w:rFonts w:ascii="Book Antiqua" w:hAnsi="Book Antiqua" w:cs="Arial"/>
          <w:i/>
          <w:sz w:val="24"/>
          <w:szCs w:val="24"/>
        </w:rPr>
        <w:t>al</w:t>
      </w:r>
      <w:r w:rsidRPr="00491BB4">
        <w:rPr>
          <w:rFonts w:ascii="Book Antiqua" w:hAnsi="Book Antiqua" w:cs="Arial"/>
          <w:sz w:val="24"/>
          <w:szCs w:val="24"/>
          <w:vertAlign w:val="superscript"/>
          <w:lang w:eastAsia="zh-CN"/>
        </w:rPr>
        <w:t>[</w:t>
      </w:r>
      <w:proofErr w:type="gramEnd"/>
      <w:r w:rsidRPr="00491BB4">
        <w:rPr>
          <w:rFonts w:ascii="Book Antiqua" w:hAnsi="Book Antiqua" w:cs="Arial"/>
          <w:sz w:val="24"/>
          <w:szCs w:val="24"/>
          <w:vertAlign w:val="superscript"/>
          <w:lang w:eastAsia="zh-CN"/>
        </w:rPr>
        <w:t>19]</w:t>
      </w:r>
      <w:r w:rsidRPr="00491BB4">
        <w:rPr>
          <w:rFonts w:ascii="Book Antiqua" w:hAnsi="Book Antiqua" w:cs="Arial"/>
          <w:sz w:val="24"/>
          <w:szCs w:val="24"/>
          <w:lang w:eastAsia="zh-CN"/>
        </w:rPr>
        <w:t xml:space="preserve">. </w:t>
      </w:r>
      <w:r w:rsidRPr="00491BB4">
        <w:rPr>
          <w:rFonts w:ascii="Book Antiqua" w:hAnsi="Book Antiqua" w:cs="Arial"/>
          <w:sz w:val="24"/>
          <w:szCs w:val="24"/>
        </w:rPr>
        <w:t xml:space="preserve">While the relationship between the short-term correction of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and survival was not statistically significant, this study had a small sample size. As a result, further studies are warranted to validate this finding. Further investigations are also warranted for definitively assessing the clinical use of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for treating refractory ascites in patients with decompensated liver cirrhosis. </w:t>
      </w:r>
    </w:p>
    <w:p w:rsidR="00C24456" w:rsidRPr="00491BB4" w:rsidRDefault="00C24456" w:rsidP="000319CE">
      <w:pPr>
        <w:pStyle w:val="a7"/>
        <w:snapToGrid w:val="0"/>
        <w:spacing w:line="360" w:lineRule="auto"/>
        <w:ind w:firstLineChars="50" w:firstLine="120"/>
        <w:jc w:val="both"/>
        <w:rPr>
          <w:rFonts w:ascii="Book Antiqua" w:hAnsi="Book Antiqua" w:cs="Arial"/>
          <w:sz w:val="24"/>
          <w:szCs w:val="24"/>
          <w:lang w:eastAsia="zh-CN"/>
        </w:rPr>
      </w:pPr>
      <w:r w:rsidRPr="00491BB4">
        <w:rPr>
          <w:rFonts w:ascii="Book Antiqua" w:hAnsi="Book Antiqua" w:cs="Arial"/>
          <w:sz w:val="24"/>
          <w:szCs w:val="24"/>
        </w:rPr>
        <w:t>In January 2013, the US FDA issued a warning</w:t>
      </w:r>
      <w:r w:rsidRPr="00491BB4">
        <w:rPr>
          <w:rFonts w:ascii="Book Antiqua" w:hAnsi="Book Antiqua" w:cs="Arial"/>
          <w:sz w:val="24"/>
          <w:szCs w:val="24"/>
          <w:lang w:eastAsia="zh-CN"/>
        </w:rPr>
        <w:t xml:space="preserve"> for</w:t>
      </w:r>
      <w:r w:rsidRPr="00491BB4">
        <w:rPr>
          <w:rFonts w:ascii="Book Antiqua" w:hAnsi="Book Antiqua" w:cs="Arial"/>
          <w:sz w:val="24"/>
          <w:szCs w:val="24"/>
        </w:rPr>
        <w:t xml:space="preserve">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use</w:t>
      </w:r>
      <w:r w:rsidRPr="00491BB4">
        <w:rPr>
          <w:rFonts w:ascii="Book Antiqua" w:hAnsi="Book Antiqua" w:cs="Arial"/>
          <w:sz w:val="24"/>
          <w:szCs w:val="24"/>
          <w:lang w:eastAsia="zh-CN"/>
        </w:rPr>
        <w:t xml:space="preserve"> because of </w:t>
      </w:r>
      <w:r w:rsidRPr="00491BB4">
        <w:rPr>
          <w:rFonts w:ascii="Book Antiqua" w:hAnsi="Book Antiqua" w:cs="Arial"/>
          <w:sz w:val="24"/>
          <w:szCs w:val="24"/>
        </w:rPr>
        <w:t>the potential risks of liver injury</w:t>
      </w:r>
      <w:r w:rsidRPr="00491BB4">
        <w:rPr>
          <w:rFonts w:ascii="Book Antiqua" w:hAnsi="Book Antiqua" w:cs="Arial"/>
          <w:sz w:val="24"/>
          <w:szCs w:val="24"/>
          <w:lang w:eastAsia="zh-CN"/>
        </w:rPr>
        <w:t xml:space="preserve"> that were identified during clinical trial testing of the use of</w:t>
      </w:r>
      <w:r w:rsidRPr="00491BB4">
        <w:rPr>
          <w:rFonts w:ascii="Book Antiqua" w:hAnsi="Book Antiqua" w:cs="Arial"/>
          <w:sz w:val="24"/>
          <w:szCs w:val="24"/>
        </w:rPr>
        <w:t xml:space="preserve">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treatment for autosomal dominant polycystic kidney disease. The study </w:t>
      </w:r>
      <w:r w:rsidRPr="00491BB4">
        <w:rPr>
          <w:rFonts w:ascii="Book Antiqua" w:hAnsi="Book Antiqua" w:cs="Arial"/>
          <w:sz w:val="24"/>
          <w:szCs w:val="24"/>
          <w:lang w:eastAsia="zh-CN"/>
        </w:rPr>
        <w:t xml:space="preserve">found that 3 of </w:t>
      </w:r>
      <w:r w:rsidRPr="00491BB4">
        <w:rPr>
          <w:rFonts w:ascii="Book Antiqua" w:hAnsi="Book Antiqua" w:cs="Arial"/>
          <w:sz w:val="24"/>
          <w:szCs w:val="24"/>
        </w:rPr>
        <w:t xml:space="preserve">1445 cases treated with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had significantly higher </w:t>
      </w:r>
      <w:r w:rsidRPr="00491BB4">
        <w:rPr>
          <w:rFonts w:ascii="Book Antiqua" w:hAnsi="Book Antiqua" w:cs="Arial"/>
          <w:sz w:val="24"/>
          <w:szCs w:val="24"/>
          <w:lang w:eastAsia="zh-CN"/>
        </w:rPr>
        <w:t>serum b</w:t>
      </w:r>
      <w:r w:rsidRPr="00491BB4">
        <w:rPr>
          <w:rFonts w:ascii="Book Antiqua" w:hAnsi="Book Antiqua" w:cs="Arial"/>
          <w:sz w:val="24"/>
          <w:szCs w:val="24"/>
        </w:rPr>
        <w:t>ilirubin</w:t>
      </w:r>
      <w:r w:rsidRPr="00491BB4">
        <w:rPr>
          <w:rFonts w:ascii="Book Antiqua" w:hAnsi="Book Antiqua" w:cs="Arial"/>
          <w:sz w:val="24"/>
          <w:szCs w:val="24"/>
          <w:lang w:eastAsia="zh-CN"/>
        </w:rPr>
        <w:t xml:space="preserve"> and </w:t>
      </w:r>
      <w:r w:rsidRPr="00491BB4">
        <w:rPr>
          <w:rFonts w:ascii="Book Antiqua" w:hAnsi="Book Antiqua" w:cs="Arial"/>
          <w:sz w:val="24"/>
          <w:szCs w:val="24"/>
        </w:rPr>
        <w:t xml:space="preserve">ALT. </w:t>
      </w:r>
      <w:r w:rsidRPr="00491BB4">
        <w:rPr>
          <w:rFonts w:ascii="Book Antiqua" w:hAnsi="Book Antiqua" w:cs="Arial"/>
          <w:sz w:val="24"/>
          <w:szCs w:val="24"/>
          <w:lang w:eastAsia="zh-CN"/>
        </w:rPr>
        <w:t xml:space="preserve">However, the clinical trial </w:t>
      </w:r>
      <w:proofErr w:type="spellStart"/>
      <w:r w:rsidRPr="00491BB4">
        <w:rPr>
          <w:rFonts w:ascii="Book Antiqua" w:hAnsi="Book Antiqua" w:cs="Arial"/>
          <w:sz w:val="24"/>
          <w:szCs w:val="24"/>
          <w:lang w:eastAsia="zh-CN"/>
        </w:rPr>
        <w:t>tolvaptan</w:t>
      </w:r>
      <w:proofErr w:type="spellEnd"/>
      <w:r w:rsidRPr="00491BB4">
        <w:rPr>
          <w:rFonts w:ascii="Book Antiqua" w:hAnsi="Book Antiqua" w:cs="Arial"/>
          <w:sz w:val="24"/>
          <w:szCs w:val="24"/>
          <w:lang w:eastAsia="zh-CN"/>
        </w:rPr>
        <w:t xml:space="preserve"> dose</w:t>
      </w:r>
      <w:r w:rsidRPr="00491BB4">
        <w:rPr>
          <w:rFonts w:ascii="Book Antiqua" w:hAnsi="Book Antiqua" w:cs="Arial"/>
          <w:sz w:val="24"/>
          <w:szCs w:val="24"/>
        </w:rPr>
        <w:t xml:space="preserve"> </w:t>
      </w:r>
      <w:r w:rsidRPr="00491BB4">
        <w:rPr>
          <w:rFonts w:ascii="Book Antiqua" w:hAnsi="Book Antiqua" w:cs="Arial"/>
          <w:sz w:val="24"/>
          <w:szCs w:val="24"/>
          <w:lang w:eastAsia="zh-CN"/>
        </w:rPr>
        <w:t>(</w:t>
      </w:r>
      <w:r w:rsidRPr="00491BB4">
        <w:rPr>
          <w:rFonts w:ascii="Book Antiqua" w:hAnsi="Book Antiqua" w:cs="Arial"/>
          <w:sz w:val="24"/>
          <w:szCs w:val="24"/>
        </w:rPr>
        <w:t>120 mg/d</w:t>
      </w:r>
      <w:r w:rsidRPr="00491BB4">
        <w:rPr>
          <w:rFonts w:ascii="Book Antiqua" w:hAnsi="Book Antiqua" w:cs="Arial"/>
          <w:sz w:val="24"/>
          <w:szCs w:val="24"/>
          <w:lang w:eastAsia="zh-CN"/>
        </w:rPr>
        <w:t xml:space="preserve"> for 3 years) was significantly</w:t>
      </w:r>
      <w:r w:rsidRPr="00491BB4">
        <w:rPr>
          <w:rFonts w:ascii="Book Antiqua" w:hAnsi="Book Antiqua" w:cs="Arial"/>
          <w:sz w:val="24"/>
          <w:szCs w:val="24"/>
        </w:rPr>
        <w:t xml:space="preserve"> higher, </w:t>
      </w:r>
      <w:r w:rsidRPr="00491BB4">
        <w:rPr>
          <w:rFonts w:ascii="Book Antiqua" w:hAnsi="Book Antiqua" w:cs="Arial"/>
          <w:sz w:val="24"/>
          <w:szCs w:val="24"/>
          <w:lang w:eastAsia="zh-CN"/>
        </w:rPr>
        <w:t xml:space="preserve">and the administration duration was longer </w:t>
      </w:r>
      <w:r w:rsidRPr="00491BB4">
        <w:rPr>
          <w:rFonts w:ascii="Book Antiqua" w:hAnsi="Book Antiqua" w:cs="Arial"/>
          <w:sz w:val="24"/>
          <w:szCs w:val="24"/>
        </w:rPr>
        <w:t xml:space="preserve">than the recommended dosing strategy </w:t>
      </w:r>
      <w:r w:rsidRPr="00491BB4">
        <w:rPr>
          <w:rFonts w:ascii="Book Antiqua" w:hAnsi="Book Antiqua" w:cs="Arial"/>
          <w:sz w:val="24"/>
          <w:szCs w:val="24"/>
          <w:lang w:eastAsia="zh-CN"/>
        </w:rPr>
        <w:t>(</w:t>
      </w:r>
      <w:r w:rsidRPr="00491BB4">
        <w:rPr>
          <w:rFonts w:ascii="Book Antiqua" w:hAnsi="Book Antiqua" w:cs="Arial"/>
          <w:sz w:val="24"/>
          <w:szCs w:val="24"/>
        </w:rPr>
        <w:t>15-60 mg</w:t>
      </w:r>
      <w:r w:rsidRPr="00491BB4">
        <w:rPr>
          <w:rFonts w:ascii="Book Antiqua" w:hAnsi="Book Antiqua" w:cs="Arial"/>
          <w:sz w:val="24"/>
          <w:szCs w:val="24"/>
          <w:lang w:eastAsia="zh-CN"/>
        </w:rPr>
        <w:t>/d for 7-30 d)</w:t>
      </w:r>
      <w:r w:rsidRPr="00491BB4">
        <w:rPr>
          <w:rFonts w:ascii="Book Antiqua" w:hAnsi="Book Antiqua" w:cs="Arial"/>
          <w:sz w:val="24"/>
          <w:szCs w:val="24"/>
        </w:rPr>
        <w:t xml:space="preserve"> for treating </w:t>
      </w:r>
      <w:proofErr w:type="spellStart"/>
      <w:r w:rsidRPr="00491BB4">
        <w:rPr>
          <w:rFonts w:ascii="Book Antiqua" w:hAnsi="Book Antiqua" w:cs="Arial"/>
          <w:sz w:val="24"/>
          <w:szCs w:val="24"/>
        </w:rPr>
        <w:t>hyponatremia</w:t>
      </w:r>
      <w:proofErr w:type="spellEnd"/>
      <w:r w:rsidRPr="00491BB4">
        <w:rPr>
          <w:rFonts w:ascii="Book Antiqua" w:hAnsi="Book Antiqua" w:cs="Arial"/>
          <w:sz w:val="24"/>
          <w:szCs w:val="24"/>
        </w:rPr>
        <w:t xml:space="preserve"> </w:t>
      </w:r>
      <w:r w:rsidRPr="00491BB4">
        <w:rPr>
          <w:rFonts w:ascii="Book Antiqua" w:hAnsi="Book Antiqua" w:cs="Arial"/>
          <w:sz w:val="24"/>
          <w:szCs w:val="24"/>
          <w:lang w:eastAsia="zh-CN"/>
        </w:rPr>
        <w:t xml:space="preserve">or </w:t>
      </w:r>
      <w:proofErr w:type="gramStart"/>
      <w:r w:rsidRPr="00491BB4">
        <w:rPr>
          <w:rFonts w:ascii="Book Antiqua" w:hAnsi="Book Antiqua" w:cs="Arial"/>
          <w:sz w:val="24"/>
          <w:szCs w:val="24"/>
          <w:lang w:eastAsia="zh-CN"/>
        </w:rPr>
        <w:t>ascites</w:t>
      </w:r>
      <w:r w:rsidRPr="00491BB4">
        <w:rPr>
          <w:rFonts w:ascii="Book Antiqua" w:hAnsi="Book Antiqua" w:cs="Arial"/>
          <w:sz w:val="24"/>
          <w:szCs w:val="24"/>
          <w:vertAlign w:val="superscript"/>
          <w:lang w:eastAsia="zh-CN"/>
        </w:rPr>
        <w:t>[</w:t>
      </w:r>
      <w:proofErr w:type="gramEnd"/>
      <w:r w:rsidRPr="00491BB4">
        <w:rPr>
          <w:rFonts w:ascii="Book Antiqua" w:hAnsi="Book Antiqua" w:cs="Arial"/>
          <w:sz w:val="24"/>
          <w:szCs w:val="24"/>
          <w:vertAlign w:val="superscript"/>
          <w:lang w:eastAsia="zh-CN"/>
        </w:rPr>
        <w:t>24-26]</w:t>
      </w:r>
      <w:r w:rsidRPr="00491BB4">
        <w:rPr>
          <w:rFonts w:ascii="Book Antiqua" w:hAnsi="Book Antiqua" w:cs="Arial"/>
          <w:sz w:val="24"/>
          <w:szCs w:val="24"/>
          <w:lang w:eastAsia="zh-CN"/>
        </w:rPr>
        <w:t xml:space="preserve">.The </w:t>
      </w:r>
      <w:r w:rsidRPr="00491BB4">
        <w:rPr>
          <w:rFonts w:ascii="Book Antiqua" w:hAnsi="Book Antiqua" w:cs="Arial"/>
          <w:sz w:val="24"/>
          <w:szCs w:val="24"/>
        </w:rPr>
        <w:t xml:space="preserve">United States, Japan and Europe are the main regions using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lang w:eastAsia="zh-CN"/>
        </w:rPr>
        <w:t xml:space="preserve"> in the clinic</w:t>
      </w:r>
      <w:r w:rsidRPr="00491BB4">
        <w:rPr>
          <w:rFonts w:ascii="Book Antiqua" w:hAnsi="Book Antiqua" w:cs="Arial"/>
          <w:sz w:val="24"/>
          <w:szCs w:val="24"/>
        </w:rPr>
        <w:t xml:space="preserve">. </w:t>
      </w:r>
      <w:r w:rsidRPr="00491BB4">
        <w:rPr>
          <w:rFonts w:ascii="Book Antiqua" w:hAnsi="Book Antiqua" w:cs="Arial"/>
          <w:sz w:val="24"/>
          <w:szCs w:val="24"/>
          <w:lang w:eastAsia="zh-CN"/>
        </w:rPr>
        <w:t xml:space="preserve">Currently, there are only 311 cases of </w:t>
      </w:r>
      <w:r w:rsidRPr="00491BB4">
        <w:rPr>
          <w:rFonts w:ascii="Book Antiqua" w:hAnsi="Book Antiqua" w:cs="Arial"/>
          <w:sz w:val="24"/>
          <w:szCs w:val="24"/>
        </w:rPr>
        <w:t>self-reported adverse events,</w:t>
      </w:r>
      <w:r w:rsidRPr="00491BB4">
        <w:rPr>
          <w:rFonts w:ascii="Book Antiqua" w:hAnsi="Book Antiqua" w:cs="Arial"/>
          <w:sz w:val="24"/>
          <w:szCs w:val="24"/>
          <w:lang w:eastAsia="zh-CN"/>
        </w:rPr>
        <w:t xml:space="preserve"> and</w:t>
      </w:r>
      <w:r w:rsidRPr="00491BB4">
        <w:rPr>
          <w:rFonts w:ascii="Book Antiqua" w:hAnsi="Book Antiqua" w:cs="Arial"/>
          <w:sz w:val="24"/>
          <w:szCs w:val="24"/>
        </w:rPr>
        <w:t xml:space="preserve"> </w:t>
      </w:r>
      <w:r w:rsidRPr="00491BB4">
        <w:rPr>
          <w:rFonts w:ascii="Book Antiqua" w:hAnsi="Book Antiqua" w:cs="Arial"/>
          <w:sz w:val="24"/>
          <w:szCs w:val="24"/>
          <w:lang w:eastAsia="zh-CN"/>
        </w:rPr>
        <w:t xml:space="preserve">there are </w:t>
      </w:r>
      <w:r w:rsidRPr="00491BB4">
        <w:rPr>
          <w:rFonts w:ascii="Book Antiqua" w:hAnsi="Book Antiqua" w:cs="Arial"/>
          <w:sz w:val="24"/>
          <w:szCs w:val="24"/>
        </w:rPr>
        <w:t xml:space="preserve">no reports of liver </w:t>
      </w:r>
      <w:r w:rsidRPr="00491BB4">
        <w:rPr>
          <w:rFonts w:ascii="Book Antiqua" w:hAnsi="Book Antiqua" w:cs="Arial"/>
          <w:sz w:val="24"/>
          <w:szCs w:val="24"/>
          <w:lang w:eastAsia="zh-CN"/>
        </w:rPr>
        <w:t>injury.</w:t>
      </w:r>
      <w:r w:rsidRPr="00491BB4">
        <w:rPr>
          <w:rFonts w:ascii="Book Antiqua" w:hAnsi="Book Antiqua"/>
          <w:sz w:val="24"/>
          <w:szCs w:val="24"/>
        </w:rPr>
        <w:t xml:space="preserve"> </w:t>
      </w:r>
      <w:r w:rsidRPr="00491BB4">
        <w:rPr>
          <w:rFonts w:ascii="Book Antiqua" w:hAnsi="Book Antiqua"/>
          <w:sz w:val="24"/>
          <w:szCs w:val="24"/>
          <w:lang w:eastAsia="zh-CN"/>
        </w:rPr>
        <w:t xml:space="preserve">Therefore, administering a lower dose of </w:t>
      </w:r>
      <w:proofErr w:type="spellStart"/>
      <w:r w:rsidRPr="00491BB4">
        <w:rPr>
          <w:rFonts w:ascii="Book Antiqua" w:hAnsi="Book Antiqua" w:cs="Arial"/>
          <w:sz w:val="24"/>
          <w:szCs w:val="24"/>
          <w:lang w:eastAsia="zh-CN"/>
        </w:rPr>
        <w:t>tolvaptan</w:t>
      </w:r>
      <w:proofErr w:type="spellEnd"/>
      <w:r w:rsidRPr="00491BB4">
        <w:rPr>
          <w:rFonts w:ascii="Book Antiqua" w:hAnsi="Book Antiqua" w:cs="Arial"/>
          <w:sz w:val="24"/>
          <w:szCs w:val="24"/>
          <w:lang w:eastAsia="zh-CN"/>
        </w:rPr>
        <w:t xml:space="preserve"> </w:t>
      </w:r>
      <w:r w:rsidRPr="00491BB4">
        <w:rPr>
          <w:rFonts w:ascii="Book Antiqua" w:hAnsi="Book Antiqua"/>
          <w:sz w:val="24"/>
          <w:szCs w:val="24"/>
          <w:lang w:eastAsia="zh-CN"/>
        </w:rPr>
        <w:t>over a shorter treatment regimen</w:t>
      </w:r>
      <w:r w:rsidRPr="00491BB4" w:rsidDel="00B42345">
        <w:rPr>
          <w:rFonts w:ascii="Book Antiqua" w:hAnsi="Book Antiqua" w:cs="Arial"/>
          <w:sz w:val="24"/>
          <w:szCs w:val="24"/>
          <w:lang w:eastAsia="zh-CN"/>
        </w:rPr>
        <w:t xml:space="preserve"> </w:t>
      </w:r>
      <w:r w:rsidRPr="00491BB4">
        <w:rPr>
          <w:rFonts w:ascii="Book Antiqua" w:hAnsi="Book Antiqua" w:cs="Arial"/>
          <w:sz w:val="24"/>
          <w:szCs w:val="24"/>
          <w:lang w:eastAsia="zh-CN"/>
        </w:rPr>
        <w:t>does not affect liver function in patients with preexisting liver disease, such as liver cirrhosis.</w:t>
      </w:r>
    </w:p>
    <w:p w:rsidR="00C24456" w:rsidRPr="00491BB4" w:rsidRDefault="00C24456" w:rsidP="000319CE">
      <w:pPr>
        <w:pStyle w:val="a7"/>
        <w:snapToGrid w:val="0"/>
        <w:spacing w:line="360" w:lineRule="auto"/>
        <w:ind w:firstLineChars="50" w:firstLine="120"/>
        <w:jc w:val="both"/>
        <w:rPr>
          <w:rFonts w:ascii="Book Antiqua" w:hAnsi="Book Antiqua" w:cs="Arial"/>
          <w:sz w:val="24"/>
          <w:szCs w:val="24"/>
        </w:rPr>
      </w:pPr>
      <w:r w:rsidRPr="00491BB4">
        <w:rPr>
          <w:rFonts w:ascii="Book Antiqua" w:hAnsi="Book Antiqua" w:cs="Arial"/>
          <w:sz w:val="24"/>
          <w:szCs w:val="24"/>
        </w:rPr>
        <w:lastRenderedPageBreak/>
        <w:t xml:space="preserve">In summary, the results of this observational study show that </w:t>
      </w:r>
      <w:proofErr w:type="spellStart"/>
      <w:r w:rsidRPr="00491BB4">
        <w:rPr>
          <w:rFonts w:ascii="Book Antiqua" w:hAnsi="Book Antiqua" w:cs="Arial"/>
          <w:sz w:val="24"/>
          <w:szCs w:val="24"/>
        </w:rPr>
        <w:t>tolvaptan</w:t>
      </w:r>
      <w:proofErr w:type="spellEnd"/>
      <w:r w:rsidRPr="00491BB4">
        <w:rPr>
          <w:rFonts w:ascii="Book Antiqua" w:hAnsi="Book Antiqua" w:cs="Arial"/>
          <w:sz w:val="24"/>
          <w:szCs w:val="24"/>
        </w:rPr>
        <w:t xml:space="preserve"> is effective for treating refractory ascites and</w:t>
      </w:r>
      <w:r w:rsidRPr="00491BB4">
        <w:rPr>
          <w:rFonts w:ascii="Book Antiqua" w:hAnsi="Book Antiqua" w:cs="Arial"/>
          <w:sz w:val="24"/>
          <w:szCs w:val="24"/>
          <w:lang w:eastAsia="zh-CN"/>
        </w:rPr>
        <w:t>/</w:t>
      </w:r>
      <w:r w:rsidRPr="00491BB4">
        <w:rPr>
          <w:rFonts w:ascii="Book Antiqua" w:hAnsi="Book Antiqua" w:cs="Arial"/>
          <w:sz w:val="24"/>
          <w:szCs w:val="24"/>
        </w:rPr>
        <w:t xml:space="preserve">or edema in decompensated cirrhotic patients and that it is therefore a promising </w:t>
      </w:r>
      <w:proofErr w:type="spellStart"/>
      <w:r w:rsidRPr="00491BB4">
        <w:rPr>
          <w:rFonts w:ascii="Book Antiqua" w:hAnsi="Book Antiqua" w:cs="Arial"/>
          <w:sz w:val="24"/>
          <w:szCs w:val="24"/>
        </w:rPr>
        <w:t>aquaretic</w:t>
      </w:r>
      <w:proofErr w:type="spellEnd"/>
      <w:r w:rsidRPr="00491BB4">
        <w:rPr>
          <w:rFonts w:ascii="Book Antiqua" w:hAnsi="Book Antiqua" w:cs="Arial"/>
          <w:sz w:val="24"/>
          <w:szCs w:val="24"/>
        </w:rPr>
        <w:t xml:space="preserve"> agent.</w:t>
      </w:r>
      <w:r w:rsidRPr="00491BB4" w:rsidDel="00431DDF">
        <w:rPr>
          <w:rFonts w:ascii="Book Antiqua" w:hAnsi="Book Antiqua" w:cs="Arial"/>
          <w:sz w:val="24"/>
          <w:szCs w:val="24"/>
        </w:rPr>
        <w:t xml:space="preserve"> </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p>
    <w:p w:rsidR="00C24456" w:rsidRPr="00491BB4" w:rsidRDefault="00C24456" w:rsidP="00F32A86">
      <w:pPr>
        <w:pStyle w:val="12"/>
        <w:snapToGrid w:val="0"/>
        <w:spacing w:after="0" w:line="360" w:lineRule="auto"/>
        <w:ind w:left="0"/>
        <w:contextualSpacing w:val="0"/>
        <w:jc w:val="both"/>
        <w:rPr>
          <w:rFonts w:ascii="Book Antiqua" w:hAnsi="Book Antiqua" w:cs="Arial"/>
          <w:b/>
          <w:sz w:val="24"/>
          <w:szCs w:val="24"/>
          <w:lang w:val="en-US"/>
        </w:rPr>
      </w:pPr>
      <w:r w:rsidRPr="00491BB4">
        <w:rPr>
          <w:rFonts w:ascii="Book Antiqua" w:hAnsi="Book Antiqua"/>
          <w:b/>
          <w:sz w:val="24"/>
          <w:szCs w:val="24"/>
          <w:lang w:val="en-US" w:eastAsia="zh-CN"/>
        </w:rPr>
        <w:t xml:space="preserve">ACKNOWLEDGMENTS </w:t>
      </w: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The authors would like to acknowledge Health Interactions Asia Pacific </w:t>
      </w:r>
      <w:proofErr w:type="spellStart"/>
      <w:r w:rsidRPr="00491BB4">
        <w:rPr>
          <w:rFonts w:ascii="Book Antiqua" w:hAnsi="Book Antiqua" w:cs="Arial"/>
          <w:sz w:val="24"/>
          <w:szCs w:val="24"/>
          <w:lang w:val="en-US"/>
        </w:rPr>
        <w:t>Pte</w:t>
      </w:r>
      <w:proofErr w:type="spellEnd"/>
      <w:r w:rsidRPr="00491BB4">
        <w:rPr>
          <w:rFonts w:ascii="Book Antiqua" w:hAnsi="Book Antiqua" w:cs="Arial"/>
          <w:sz w:val="24"/>
          <w:szCs w:val="24"/>
          <w:lang w:val="en-US"/>
        </w:rPr>
        <w:t xml:space="preserve"> Ltd for </w:t>
      </w:r>
      <w:r w:rsidRPr="00491BB4">
        <w:rPr>
          <w:rFonts w:ascii="Book Antiqua" w:hAnsi="Book Antiqua" w:cs="Arial"/>
          <w:sz w:val="24"/>
          <w:szCs w:val="24"/>
          <w:lang w:val="en-US" w:eastAsia="zh-CN"/>
        </w:rPr>
        <w:t xml:space="preserve">language polishing and </w:t>
      </w:r>
      <w:r w:rsidRPr="00491BB4">
        <w:rPr>
          <w:rFonts w:ascii="Book Antiqua" w:hAnsi="Book Antiqua" w:cs="Arial"/>
          <w:sz w:val="24"/>
          <w:szCs w:val="24"/>
          <w:lang w:val="en-US"/>
        </w:rPr>
        <w:t>the writing assistance</w:t>
      </w:r>
      <w:r w:rsidRPr="00491BB4">
        <w:rPr>
          <w:rFonts w:ascii="Book Antiqua" w:hAnsi="Book Antiqua" w:cs="Arial"/>
          <w:sz w:val="24"/>
          <w:szCs w:val="24"/>
          <w:lang w:val="en-US" w:eastAsia="zh-CN"/>
        </w:rPr>
        <w:t xml:space="preserve"> of the Korea Otsuka Pharmaceutical Co., Ltd. We also thank Ms. YJ Park for her support in acting as a liaison for medical writing assistance.</w:t>
      </w:r>
      <w:r w:rsidRPr="00491BB4">
        <w:rPr>
          <w:rFonts w:ascii="Book Antiqua" w:hAnsi="Book Antiqua" w:cs="Arial"/>
          <w:sz w:val="24"/>
          <w:szCs w:val="24"/>
          <w:lang w:val="en-US"/>
        </w:rPr>
        <w:t xml:space="preserve"> </w:t>
      </w:r>
    </w:p>
    <w:p w:rsidR="00C24456" w:rsidRPr="00491BB4" w:rsidRDefault="00C24456" w:rsidP="00F32A86">
      <w:pPr>
        <w:adjustRightInd w:val="0"/>
        <w:snapToGrid w:val="0"/>
        <w:spacing w:line="360" w:lineRule="auto"/>
        <w:rPr>
          <w:rFonts w:ascii="Book Antiqua" w:hAnsi="Book Antiqua"/>
          <w:color w:val="FF0000"/>
          <w:sz w:val="24"/>
        </w:rPr>
      </w:pPr>
      <w:bookmarkStart w:id="266" w:name="OLE_LINK1290"/>
      <w:bookmarkStart w:id="267" w:name="OLE_LINK1291"/>
      <w:bookmarkStart w:id="268" w:name="OLE_LINK534"/>
    </w:p>
    <w:p w:rsidR="00C24456" w:rsidRPr="00491BB4" w:rsidRDefault="00C24456" w:rsidP="00F32A86">
      <w:pPr>
        <w:snapToGrid w:val="0"/>
        <w:spacing w:line="360" w:lineRule="auto"/>
        <w:rPr>
          <w:rFonts w:ascii="Book Antiqua" w:hAnsi="Book Antiqua"/>
          <w:b/>
          <w:sz w:val="24"/>
        </w:rPr>
      </w:pPr>
      <w:r w:rsidRPr="00491BB4">
        <w:rPr>
          <w:rFonts w:ascii="Book Antiqua" w:hAnsi="Book Antiqua"/>
          <w:b/>
          <w:sz w:val="24"/>
        </w:rPr>
        <w:t>COMMENTS</w:t>
      </w: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Background</w:t>
      </w:r>
    </w:p>
    <w:p w:rsidR="00C24456" w:rsidRPr="00491BB4" w:rsidRDefault="00C24456" w:rsidP="00F32A86">
      <w:pPr>
        <w:snapToGrid w:val="0"/>
        <w:spacing w:line="360" w:lineRule="auto"/>
        <w:rPr>
          <w:rFonts w:ascii="Book Antiqua" w:hAnsi="Book Antiqua"/>
          <w:sz w:val="24"/>
        </w:rPr>
      </w:pPr>
      <w:proofErr w:type="spellStart"/>
      <w:r w:rsidRPr="00491BB4">
        <w:rPr>
          <w:rFonts w:ascii="Book Antiqua" w:hAnsi="Book Antiqua"/>
          <w:sz w:val="24"/>
        </w:rPr>
        <w:t>Tolvaptan</w:t>
      </w:r>
      <w:proofErr w:type="spellEnd"/>
      <w:r w:rsidRPr="00491BB4">
        <w:rPr>
          <w:rFonts w:ascii="Book Antiqua" w:hAnsi="Book Antiqua"/>
          <w:sz w:val="24"/>
        </w:rPr>
        <w:t>, a new oral, selective vasopressin V</w:t>
      </w:r>
      <w:r w:rsidRPr="00491BB4">
        <w:rPr>
          <w:rFonts w:ascii="Book Antiqua" w:hAnsi="Book Antiqua"/>
          <w:sz w:val="24"/>
          <w:vertAlign w:val="subscript"/>
        </w:rPr>
        <w:t>2</w:t>
      </w:r>
      <w:r w:rsidRPr="00491BB4">
        <w:rPr>
          <w:rFonts w:ascii="Book Antiqua" w:hAnsi="Book Antiqua"/>
          <w:sz w:val="24"/>
        </w:rPr>
        <w:t xml:space="preserve">-receptor antagonist, is reported as an effective treatment for </w:t>
      </w:r>
      <w:proofErr w:type="spellStart"/>
      <w:r w:rsidRPr="00491BB4">
        <w:rPr>
          <w:rFonts w:ascii="Book Antiqua" w:hAnsi="Book Antiqua"/>
          <w:sz w:val="24"/>
        </w:rPr>
        <w:t>hyponatremia</w:t>
      </w:r>
      <w:proofErr w:type="spellEnd"/>
      <w:r w:rsidRPr="00491BB4">
        <w:rPr>
          <w:rFonts w:ascii="Book Antiqua" w:hAnsi="Book Antiqua"/>
          <w:sz w:val="24"/>
        </w:rPr>
        <w:t xml:space="preserve">. </w:t>
      </w:r>
      <w:proofErr w:type="spellStart"/>
      <w:r w:rsidRPr="00491BB4">
        <w:rPr>
          <w:rFonts w:ascii="Book Antiqua" w:hAnsi="Book Antiqua"/>
          <w:sz w:val="24"/>
        </w:rPr>
        <w:t>Tolvaptan</w:t>
      </w:r>
      <w:proofErr w:type="spellEnd"/>
      <w:r w:rsidRPr="00491BB4">
        <w:rPr>
          <w:rFonts w:ascii="Book Antiqua" w:hAnsi="Book Antiqua"/>
          <w:sz w:val="24"/>
        </w:rPr>
        <w:t xml:space="preserve"> has a significant role in promoting </w:t>
      </w:r>
      <w:proofErr w:type="spellStart"/>
      <w:r w:rsidRPr="00491BB4">
        <w:rPr>
          <w:rFonts w:ascii="Book Antiqua" w:hAnsi="Book Antiqua"/>
          <w:sz w:val="24"/>
        </w:rPr>
        <w:t>aquaresis</w:t>
      </w:r>
      <w:proofErr w:type="spellEnd"/>
      <w:r w:rsidRPr="00491BB4">
        <w:rPr>
          <w:rFonts w:ascii="Book Antiqua" w:hAnsi="Book Antiqua"/>
          <w:sz w:val="24"/>
        </w:rPr>
        <w:t xml:space="preserve"> in patients with decompensated cirrhosis. However, the efficacy and safety of this drug for treating refractory ascites in cirrhotic patients and the effect(s) of </w:t>
      </w:r>
      <w:proofErr w:type="spellStart"/>
      <w:r w:rsidRPr="00491BB4">
        <w:rPr>
          <w:rFonts w:ascii="Book Antiqua" w:hAnsi="Book Antiqua"/>
          <w:sz w:val="24"/>
        </w:rPr>
        <w:t>tolvaptan</w:t>
      </w:r>
      <w:proofErr w:type="spellEnd"/>
      <w:r w:rsidRPr="00491BB4">
        <w:rPr>
          <w:rFonts w:ascii="Book Antiqua" w:hAnsi="Book Antiqua"/>
          <w:sz w:val="24"/>
        </w:rPr>
        <w:t xml:space="preserve"> use in patients with </w:t>
      </w:r>
      <w:proofErr w:type="spellStart"/>
      <w:r w:rsidRPr="00491BB4">
        <w:rPr>
          <w:rFonts w:ascii="Book Antiqua" w:hAnsi="Book Antiqua"/>
          <w:sz w:val="24"/>
        </w:rPr>
        <w:t>hepatorenal</w:t>
      </w:r>
      <w:proofErr w:type="spellEnd"/>
      <w:r w:rsidRPr="00491BB4">
        <w:rPr>
          <w:rFonts w:ascii="Book Antiqua" w:hAnsi="Book Antiqua"/>
          <w:sz w:val="24"/>
        </w:rPr>
        <w:t xml:space="preserve"> syndrome and/or hepatocellular carcinoma have not been previously studied. </w:t>
      </w:r>
    </w:p>
    <w:p w:rsidR="00C24456" w:rsidRPr="00491BB4" w:rsidRDefault="00C24456" w:rsidP="00F32A86">
      <w:pPr>
        <w:snapToGrid w:val="0"/>
        <w:spacing w:line="360" w:lineRule="auto"/>
        <w:rPr>
          <w:rFonts w:ascii="Book Antiqua" w:hAnsi="Book Antiqua"/>
          <w:b/>
          <w:i/>
          <w:sz w:val="24"/>
        </w:rPr>
      </w:pP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Research frontiers</w:t>
      </w:r>
    </w:p>
    <w:p w:rsidR="00C24456" w:rsidRPr="00491BB4" w:rsidRDefault="00C24456" w:rsidP="00F32A86">
      <w:pPr>
        <w:snapToGrid w:val="0"/>
        <w:spacing w:line="360" w:lineRule="auto"/>
        <w:rPr>
          <w:rFonts w:ascii="Book Antiqua" w:hAnsi="Book Antiqua"/>
          <w:sz w:val="24"/>
        </w:rPr>
      </w:pPr>
      <w:r w:rsidRPr="00491BB4">
        <w:rPr>
          <w:rFonts w:ascii="Book Antiqua" w:hAnsi="Book Antiqua"/>
          <w:sz w:val="24"/>
        </w:rPr>
        <w:t xml:space="preserve">Numerous studies have reported on the efficacy and safety of </w:t>
      </w:r>
      <w:proofErr w:type="spellStart"/>
      <w:r w:rsidRPr="00491BB4">
        <w:rPr>
          <w:rFonts w:ascii="Book Antiqua" w:hAnsi="Book Antiqua"/>
          <w:sz w:val="24"/>
        </w:rPr>
        <w:t>tolvaptan</w:t>
      </w:r>
      <w:proofErr w:type="spellEnd"/>
      <w:r w:rsidRPr="00491BB4">
        <w:rPr>
          <w:rFonts w:ascii="Book Antiqua" w:hAnsi="Book Antiqua"/>
          <w:sz w:val="24"/>
        </w:rPr>
        <w:t xml:space="preserve"> for the treatment of ascites and edema and have demonstrated the efficacy of </w:t>
      </w:r>
      <w:proofErr w:type="spellStart"/>
      <w:r w:rsidRPr="00491BB4">
        <w:rPr>
          <w:rFonts w:ascii="Book Antiqua" w:hAnsi="Book Antiqua"/>
          <w:sz w:val="24"/>
        </w:rPr>
        <w:t>tolvaptan</w:t>
      </w:r>
      <w:proofErr w:type="spellEnd"/>
      <w:r w:rsidRPr="00491BB4">
        <w:rPr>
          <w:rFonts w:ascii="Book Antiqua" w:hAnsi="Book Antiqua"/>
          <w:sz w:val="24"/>
        </w:rPr>
        <w:t xml:space="preserve"> for treating </w:t>
      </w:r>
      <w:proofErr w:type="spellStart"/>
      <w:r w:rsidRPr="00491BB4">
        <w:rPr>
          <w:rFonts w:ascii="Book Antiqua" w:hAnsi="Book Antiqua"/>
          <w:sz w:val="24"/>
        </w:rPr>
        <w:t>hyponatremia</w:t>
      </w:r>
      <w:proofErr w:type="spellEnd"/>
      <w:r w:rsidRPr="00491BB4">
        <w:rPr>
          <w:rFonts w:ascii="Book Antiqua" w:hAnsi="Book Antiqua"/>
          <w:sz w:val="24"/>
        </w:rPr>
        <w:t xml:space="preserve"> in patients with decompensated cirrhosis.</w:t>
      </w:r>
    </w:p>
    <w:p w:rsidR="00C24456" w:rsidRPr="00491BB4" w:rsidRDefault="00C24456" w:rsidP="00F32A86">
      <w:pPr>
        <w:snapToGrid w:val="0"/>
        <w:spacing w:line="360" w:lineRule="auto"/>
        <w:rPr>
          <w:rFonts w:ascii="Book Antiqua" w:hAnsi="Book Antiqua"/>
          <w:sz w:val="24"/>
        </w:rPr>
      </w:pP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Innovations and breakthroughs</w:t>
      </w:r>
    </w:p>
    <w:p w:rsidR="00C24456" w:rsidRPr="00491BB4" w:rsidRDefault="00C24456" w:rsidP="00F32A86">
      <w:pPr>
        <w:snapToGrid w:val="0"/>
        <w:spacing w:line="360" w:lineRule="auto"/>
        <w:rPr>
          <w:rFonts w:ascii="Book Antiqua" w:hAnsi="Book Antiqua"/>
          <w:sz w:val="24"/>
        </w:rPr>
      </w:pPr>
      <w:r w:rsidRPr="00491BB4">
        <w:rPr>
          <w:rFonts w:ascii="Book Antiqua" w:hAnsi="Book Antiqua"/>
          <w:sz w:val="24"/>
        </w:rPr>
        <w:t xml:space="preserve">This study shows that the combination of </w:t>
      </w:r>
      <w:proofErr w:type="spellStart"/>
      <w:r w:rsidRPr="00491BB4">
        <w:rPr>
          <w:rFonts w:ascii="Book Antiqua" w:hAnsi="Book Antiqua"/>
          <w:sz w:val="24"/>
        </w:rPr>
        <w:t>tolvaptan</w:t>
      </w:r>
      <w:proofErr w:type="spellEnd"/>
      <w:r w:rsidRPr="00491BB4">
        <w:rPr>
          <w:rFonts w:ascii="Book Antiqua" w:hAnsi="Book Antiqua"/>
          <w:sz w:val="24"/>
        </w:rPr>
        <w:t xml:space="preserve"> with diuretics is more effective than standard treatment approaches for refractory ascites in decompensated cirrhotic patients with or without further complications, such an hepatocellular carcinoma and/or </w:t>
      </w:r>
      <w:proofErr w:type="spellStart"/>
      <w:r w:rsidRPr="00491BB4">
        <w:rPr>
          <w:rFonts w:ascii="Book Antiqua" w:hAnsi="Book Antiqua"/>
          <w:sz w:val="24"/>
        </w:rPr>
        <w:t>hepatorenal</w:t>
      </w:r>
      <w:proofErr w:type="spellEnd"/>
      <w:r w:rsidRPr="00491BB4">
        <w:rPr>
          <w:rFonts w:ascii="Book Antiqua" w:hAnsi="Book Antiqua"/>
          <w:sz w:val="24"/>
        </w:rPr>
        <w:t xml:space="preserve"> syndrome.</w:t>
      </w:r>
      <w:r w:rsidRPr="00491BB4">
        <w:rPr>
          <w:rFonts w:ascii="Book Antiqua" w:hAnsi="Book Antiqua" w:cs="Arial"/>
          <w:sz w:val="24"/>
        </w:rPr>
        <w:t xml:space="preserve"> </w:t>
      </w:r>
    </w:p>
    <w:p w:rsidR="00C24456" w:rsidRPr="00491BB4" w:rsidRDefault="00C24456" w:rsidP="00F32A86">
      <w:pPr>
        <w:snapToGrid w:val="0"/>
        <w:spacing w:line="360" w:lineRule="auto"/>
        <w:rPr>
          <w:rFonts w:ascii="Book Antiqua" w:hAnsi="Book Antiqua"/>
          <w:b/>
          <w:i/>
          <w:sz w:val="24"/>
        </w:rPr>
      </w:pP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Applications</w:t>
      </w:r>
    </w:p>
    <w:p w:rsidR="00C24456" w:rsidRPr="00491BB4" w:rsidRDefault="00C24456" w:rsidP="00F32A86">
      <w:pPr>
        <w:snapToGrid w:val="0"/>
        <w:spacing w:line="360" w:lineRule="auto"/>
        <w:rPr>
          <w:rFonts w:ascii="Book Antiqua" w:hAnsi="Book Antiqua"/>
          <w:sz w:val="24"/>
        </w:rPr>
      </w:pPr>
      <w:proofErr w:type="spellStart"/>
      <w:r w:rsidRPr="00491BB4">
        <w:rPr>
          <w:rFonts w:ascii="Book Antiqua" w:hAnsi="Book Antiqua"/>
          <w:sz w:val="24"/>
        </w:rPr>
        <w:t>Tolvaptan</w:t>
      </w:r>
      <w:proofErr w:type="spellEnd"/>
      <w:r w:rsidRPr="00491BB4">
        <w:rPr>
          <w:rFonts w:ascii="Book Antiqua" w:hAnsi="Book Antiqua"/>
          <w:sz w:val="24"/>
        </w:rPr>
        <w:t xml:space="preserve"> is a promising </w:t>
      </w:r>
      <w:proofErr w:type="spellStart"/>
      <w:r w:rsidRPr="00491BB4">
        <w:rPr>
          <w:rFonts w:ascii="Book Antiqua" w:hAnsi="Book Antiqua"/>
          <w:sz w:val="24"/>
        </w:rPr>
        <w:t>aquaretic</w:t>
      </w:r>
      <w:proofErr w:type="spellEnd"/>
      <w:r w:rsidRPr="00491BB4">
        <w:rPr>
          <w:rFonts w:ascii="Book Antiqua" w:hAnsi="Book Antiqua"/>
          <w:sz w:val="24"/>
        </w:rPr>
        <w:t xml:space="preserve"> agent that can be used for the treatment of refractory ascites and/or edema in decompensated cirrhotic patients.</w:t>
      </w:r>
    </w:p>
    <w:p w:rsidR="00C24456" w:rsidRPr="00491BB4" w:rsidRDefault="00C24456" w:rsidP="00F32A86">
      <w:pPr>
        <w:snapToGrid w:val="0"/>
        <w:spacing w:line="360" w:lineRule="auto"/>
        <w:rPr>
          <w:rFonts w:ascii="Book Antiqua" w:hAnsi="Book Antiqua"/>
          <w:b/>
          <w:i/>
          <w:sz w:val="24"/>
        </w:rPr>
      </w:pP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Terminology</w:t>
      </w:r>
    </w:p>
    <w:p w:rsidR="00C24456" w:rsidRPr="00491BB4" w:rsidRDefault="00C24456" w:rsidP="00F32A86">
      <w:pPr>
        <w:snapToGrid w:val="0"/>
        <w:spacing w:line="360" w:lineRule="auto"/>
        <w:rPr>
          <w:rFonts w:ascii="Book Antiqua" w:hAnsi="Book Antiqua"/>
          <w:sz w:val="24"/>
        </w:rPr>
      </w:pPr>
      <w:r w:rsidRPr="00491BB4">
        <w:rPr>
          <w:rFonts w:ascii="Book Antiqua" w:hAnsi="Book Antiqua"/>
          <w:sz w:val="24"/>
        </w:rPr>
        <w:t xml:space="preserve">Refractory ascites is defined as 1 week of unresponsiveness to restrictions on salt intake and high-dose diuretics (more than 160 mg/d of furosemide and 200 mg/d of spironolactone) or recurrence occurring within 2 </w:t>
      </w:r>
      <w:proofErr w:type="spellStart"/>
      <w:r w:rsidRPr="00491BB4">
        <w:rPr>
          <w:rFonts w:ascii="Book Antiqua" w:hAnsi="Book Antiqua"/>
          <w:sz w:val="24"/>
        </w:rPr>
        <w:t>wk</w:t>
      </w:r>
      <w:proofErr w:type="spellEnd"/>
      <w:r w:rsidRPr="00491BB4">
        <w:rPr>
          <w:rFonts w:ascii="Book Antiqua" w:hAnsi="Book Antiqua"/>
          <w:sz w:val="24"/>
        </w:rPr>
        <w:t xml:space="preserve"> post-therapeutic </w:t>
      </w:r>
      <w:proofErr w:type="spellStart"/>
      <w:r w:rsidRPr="00491BB4">
        <w:rPr>
          <w:rFonts w:ascii="Book Antiqua" w:hAnsi="Book Antiqua"/>
          <w:sz w:val="24"/>
        </w:rPr>
        <w:t>paracentesis</w:t>
      </w:r>
      <w:proofErr w:type="spellEnd"/>
      <w:r w:rsidRPr="00491BB4">
        <w:rPr>
          <w:rFonts w:ascii="Book Antiqua" w:hAnsi="Book Antiqua"/>
          <w:sz w:val="24"/>
        </w:rPr>
        <w:t xml:space="preserve"> (removal of 3000–5000 mL of ascites per treatment) and intermittent albumin infusion. </w:t>
      </w:r>
    </w:p>
    <w:p w:rsidR="00C24456" w:rsidRPr="00491BB4" w:rsidRDefault="00C24456" w:rsidP="00F32A86">
      <w:pPr>
        <w:snapToGrid w:val="0"/>
        <w:spacing w:line="360" w:lineRule="auto"/>
        <w:rPr>
          <w:rFonts w:ascii="Book Antiqua" w:hAnsi="Book Antiqua"/>
          <w:sz w:val="24"/>
        </w:rPr>
      </w:pPr>
    </w:p>
    <w:p w:rsidR="00C24456" w:rsidRPr="00491BB4" w:rsidRDefault="00C24456" w:rsidP="00F32A86">
      <w:pPr>
        <w:snapToGrid w:val="0"/>
        <w:spacing w:line="360" w:lineRule="auto"/>
        <w:rPr>
          <w:rFonts w:ascii="Book Antiqua" w:hAnsi="Book Antiqua"/>
          <w:b/>
          <w:i/>
          <w:sz w:val="24"/>
        </w:rPr>
      </w:pPr>
      <w:r w:rsidRPr="00491BB4">
        <w:rPr>
          <w:rFonts w:ascii="Book Antiqua" w:hAnsi="Book Antiqua"/>
          <w:b/>
          <w:i/>
          <w:sz w:val="24"/>
        </w:rPr>
        <w:t>Peer review</w:t>
      </w:r>
    </w:p>
    <w:p w:rsidR="00C24456" w:rsidRPr="00491BB4" w:rsidRDefault="00C24456" w:rsidP="00900F12">
      <w:pPr>
        <w:tabs>
          <w:tab w:val="left" w:pos="0"/>
          <w:tab w:val="right" w:pos="360"/>
        </w:tabs>
        <w:snapToGrid w:val="0"/>
        <w:spacing w:line="360" w:lineRule="auto"/>
        <w:rPr>
          <w:rFonts w:ascii="Book Antiqua" w:hAnsi="Book Antiqua"/>
          <w:sz w:val="24"/>
        </w:rPr>
      </w:pPr>
      <w:r w:rsidRPr="00491BB4">
        <w:rPr>
          <w:rFonts w:ascii="Book Antiqua" w:hAnsi="Book Antiqua"/>
          <w:sz w:val="24"/>
        </w:rPr>
        <w:t xml:space="preserve">This manuscript is the first reported open study showing that a short term (4-15 d) therapy with 15 mg/d of </w:t>
      </w:r>
      <w:proofErr w:type="spellStart"/>
      <w:r w:rsidRPr="00491BB4">
        <w:rPr>
          <w:rFonts w:ascii="Book Antiqua" w:hAnsi="Book Antiqua"/>
          <w:sz w:val="24"/>
        </w:rPr>
        <w:t>tolvaptan</w:t>
      </w:r>
      <w:proofErr w:type="spellEnd"/>
      <w:r w:rsidRPr="00491BB4">
        <w:rPr>
          <w:rFonts w:ascii="Book Antiqua" w:hAnsi="Book Antiqua"/>
          <w:sz w:val="24"/>
        </w:rPr>
        <w:t xml:space="preserve"> for refractory ascites in decompensated cirrhotic patients, as well as in patients with </w:t>
      </w:r>
      <w:proofErr w:type="spellStart"/>
      <w:r w:rsidRPr="00491BB4">
        <w:rPr>
          <w:rFonts w:ascii="Book Antiqua" w:hAnsi="Book Antiqua"/>
          <w:sz w:val="24"/>
        </w:rPr>
        <w:t>hepatorenal</w:t>
      </w:r>
      <w:proofErr w:type="spellEnd"/>
      <w:r w:rsidRPr="00491BB4">
        <w:rPr>
          <w:rFonts w:ascii="Book Antiqua" w:hAnsi="Book Antiqua"/>
          <w:sz w:val="24"/>
        </w:rPr>
        <w:t xml:space="preserve"> syndrome type 2 and hepatocellular carcinoma, is effective and safe. </w:t>
      </w:r>
      <w:bookmarkEnd w:id="266"/>
      <w:bookmarkEnd w:id="267"/>
      <w:bookmarkEnd w:id="268"/>
      <w:r w:rsidRPr="00491BB4">
        <w:rPr>
          <w:rFonts w:ascii="Book Antiqua" w:hAnsi="Book Antiqua"/>
          <w:sz w:val="24"/>
        </w:rPr>
        <w:t>This is an interesting study.</w:t>
      </w:r>
    </w:p>
    <w:p w:rsidR="00C24456" w:rsidRPr="00491BB4" w:rsidRDefault="00C24456" w:rsidP="00900F12">
      <w:pPr>
        <w:tabs>
          <w:tab w:val="left" w:pos="0"/>
          <w:tab w:val="right" w:pos="360"/>
        </w:tabs>
        <w:snapToGrid w:val="0"/>
        <w:spacing w:line="360" w:lineRule="auto"/>
        <w:rPr>
          <w:rFonts w:ascii="Book Antiqua" w:hAnsi="Book Antiqua"/>
          <w:sz w:val="24"/>
        </w:rPr>
      </w:pPr>
    </w:p>
    <w:p w:rsidR="00C24456" w:rsidRPr="00491BB4" w:rsidRDefault="00C24456" w:rsidP="00900F12">
      <w:pPr>
        <w:tabs>
          <w:tab w:val="left" w:pos="0"/>
          <w:tab w:val="right" w:pos="360"/>
        </w:tabs>
        <w:snapToGrid w:val="0"/>
        <w:spacing w:line="360" w:lineRule="auto"/>
        <w:rPr>
          <w:rFonts w:ascii="Book Antiqua" w:hAnsi="Book Antiqua"/>
          <w:b/>
          <w:sz w:val="24"/>
        </w:rPr>
      </w:pPr>
      <w:r w:rsidRPr="00491BB4">
        <w:rPr>
          <w:rFonts w:ascii="Book Antiqua" w:hAnsi="Book Antiqua"/>
          <w:b/>
          <w:sz w:val="24"/>
        </w:rPr>
        <w:t>REFERENCES</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1 </w:t>
      </w:r>
      <w:r w:rsidRPr="00491BB4">
        <w:rPr>
          <w:rFonts w:ascii="Book Antiqua" w:hAnsi="Book Antiqua" w:cs="宋体"/>
          <w:b/>
          <w:bCs/>
          <w:color w:val="000000"/>
          <w:kern w:val="0"/>
          <w:sz w:val="24"/>
        </w:rPr>
        <w:t>Gordon FD</w:t>
      </w:r>
      <w:r w:rsidRPr="00491BB4">
        <w:rPr>
          <w:rFonts w:ascii="Book Antiqua" w:hAnsi="Book Antiqua" w:cs="宋体"/>
          <w:color w:val="000000"/>
          <w:kern w:val="0"/>
          <w:sz w:val="24"/>
        </w:rPr>
        <w:t>.</w:t>
      </w:r>
      <w:proofErr w:type="gramEnd"/>
      <w:r w:rsidRPr="00491BB4">
        <w:rPr>
          <w:rFonts w:ascii="Book Antiqua" w:hAnsi="Book Antiqua" w:cs="宋体"/>
          <w:color w:val="000000"/>
          <w:kern w:val="0"/>
          <w:sz w:val="24"/>
        </w:rPr>
        <w:t xml:space="preserve"> </w:t>
      </w:r>
      <w:proofErr w:type="gramStart"/>
      <w:r w:rsidRPr="00491BB4">
        <w:rPr>
          <w:rFonts w:ascii="Book Antiqua" w:hAnsi="Book Antiqua" w:cs="宋体"/>
          <w:color w:val="000000"/>
          <w:kern w:val="0"/>
          <w:sz w:val="24"/>
        </w:rPr>
        <w:t>Ascites.</w:t>
      </w:r>
      <w:proofErr w:type="gramEnd"/>
      <w:r w:rsidRPr="00491BB4">
        <w:rPr>
          <w:rFonts w:ascii="Book Antiqua" w:hAnsi="Book Antiqua" w:cs="宋体"/>
          <w:color w:val="000000"/>
          <w:kern w:val="0"/>
          <w:sz w:val="24"/>
        </w:rPr>
        <w:t> </w:t>
      </w:r>
      <w:proofErr w:type="spellStart"/>
      <w:r w:rsidRPr="00491BB4">
        <w:rPr>
          <w:rFonts w:ascii="Book Antiqua" w:hAnsi="Book Antiqua" w:cs="宋体"/>
          <w:i/>
          <w:iCs/>
          <w:color w:val="000000"/>
          <w:kern w:val="0"/>
          <w:sz w:val="24"/>
        </w:rPr>
        <w:t>Clin</w:t>
      </w:r>
      <w:proofErr w:type="spellEnd"/>
      <w:r w:rsidRPr="00491BB4">
        <w:rPr>
          <w:rFonts w:ascii="Book Antiqua" w:hAnsi="Book Antiqua" w:cs="宋体"/>
          <w:i/>
          <w:iCs/>
          <w:color w:val="000000"/>
          <w:kern w:val="0"/>
          <w:sz w:val="24"/>
        </w:rPr>
        <w:t xml:space="preserve"> Liver Dis</w:t>
      </w:r>
      <w:r w:rsidRPr="00491BB4">
        <w:rPr>
          <w:rFonts w:ascii="Book Antiqua" w:hAnsi="Book Antiqua" w:cs="宋体"/>
          <w:color w:val="000000"/>
          <w:kern w:val="0"/>
          <w:sz w:val="24"/>
        </w:rPr>
        <w:t> 2012; </w:t>
      </w:r>
      <w:r w:rsidRPr="00491BB4">
        <w:rPr>
          <w:rFonts w:ascii="Book Antiqua" w:hAnsi="Book Antiqua" w:cs="宋体"/>
          <w:b/>
          <w:bCs/>
          <w:color w:val="000000"/>
          <w:kern w:val="0"/>
          <w:sz w:val="24"/>
        </w:rPr>
        <w:t>16</w:t>
      </w:r>
      <w:r w:rsidRPr="00491BB4">
        <w:rPr>
          <w:rFonts w:ascii="Book Antiqua" w:hAnsi="Book Antiqua" w:cs="宋体"/>
          <w:color w:val="000000"/>
          <w:kern w:val="0"/>
          <w:sz w:val="24"/>
        </w:rPr>
        <w:t>: 285-299 [PMID: 22541699 DOI: 10.1016/j.cld.2012.03.004]</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2 </w:t>
      </w:r>
      <w:r w:rsidRPr="00491BB4">
        <w:rPr>
          <w:rFonts w:ascii="Book Antiqua" w:hAnsi="Book Antiqua" w:cs="宋体"/>
          <w:b/>
          <w:bCs/>
          <w:color w:val="000000"/>
          <w:kern w:val="0"/>
          <w:sz w:val="24"/>
        </w:rPr>
        <w:t>Runyon BA</w:t>
      </w:r>
      <w:r w:rsidRPr="00491BB4">
        <w:rPr>
          <w:rFonts w:ascii="Book Antiqua" w:hAnsi="Book Antiqua" w:cs="宋体"/>
          <w:color w:val="000000"/>
          <w:kern w:val="0"/>
          <w:sz w:val="24"/>
        </w:rPr>
        <w:t>; AASLD.</w:t>
      </w:r>
      <w:proofErr w:type="gramEnd"/>
      <w:r w:rsidRPr="00491BB4">
        <w:rPr>
          <w:rFonts w:ascii="Book Antiqua" w:hAnsi="Book Antiqua" w:cs="宋体"/>
          <w:color w:val="000000"/>
          <w:kern w:val="0"/>
          <w:sz w:val="24"/>
        </w:rPr>
        <w:t xml:space="preserve"> </w:t>
      </w:r>
      <w:proofErr w:type="gramStart"/>
      <w:r w:rsidRPr="00491BB4">
        <w:rPr>
          <w:rFonts w:ascii="Book Antiqua" w:hAnsi="Book Antiqua" w:cs="宋体"/>
          <w:color w:val="000000"/>
          <w:kern w:val="0"/>
          <w:sz w:val="24"/>
        </w:rPr>
        <w:t>Introduction to the revised American Association for the Study of Liver Diseases Practice Guideline management of adult patients with ascites due to cirrhosis 2012.</w:t>
      </w:r>
      <w:proofErr w:type="gramEnd"/>
      <w:r w:rsidRPr="00491BB4">
        <w:rPr>
          <w:rFonts w:ascii="Book Antiqua" w:hAnsi="Book Antiqua" w:cs="宋体"/>
          <w:color w:val="000000"/>
          <w:kern w:val="0"/>
          <w:sz w:val="24"/>
        </w:rPr>
        <w:t> </w:t>
      </w:r>
      <w:proofErr w:type="spellStart"/>
      <w:r w:rsidRPr="00491BB4">
        <w:rPr>
          <w:rFonts w:ascii="Book Antiqua" w:hAnsi="Book Antiqua" w:cs="宋体"/>
          <w:i/>
          <w:iCs/>
          <w:color w:val="000000"/>
          <w:kern w:val="0"/>
          <w:sz w:val="24"/>
        </w:rPr>
        <w:t>Hepatology</w:t>
      </w:r>
      <w:proofErr w:type="spellEnd"/>
      <w:r w:rsidRPr="00491BB4">
        <w:rPr>
          <w:rFonts w:ascii="Book Antiqua" w:hAnsi="Book Antiqua" w:cs="宋体"/>
          <w:color w:val="000000"/>
          <w:kern w:val="0"/>
          <w:sz w:val="24"/>
        </w:rPr>
        <w:t> 2013; </w:t>
      </w:r>
      <w:r w:rsidRPr="00491BB4">
        <w:rPr>
          <w:rFonts w:ascii="Book Antiqua" w:hAnsi="Book Antiqua" w:cs="宋体"/>
          <w:b/>
          <w:bCs/>
          <w:color w:val="000000"/>
          <w:kern w:val="0"/>
          <w:sz w:val="24"/>
        </w:rPr>
        <w:t>57</w:t>
      </w:r>
      <w:r w:rsidRPr="00491BB4">
        <w:rPr>
          <w:rFonts w:ascii="Book Antiqua" w:hAnsi="Book Antiqua" w:cs="宋体"/>
          <w:color w:val="000000"/>
          <w:kern w:val="0"/>
          <w:sz w:val="24"/>
        </w:rPr>
        <w:t>: 1651-1653 [PMID: 23463403 DOI: 10.1002/hep.26359]</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 xml:space="preserve">3 </w:t>
      </w:r>
      <w:proofErr w:type="spellStart"/>
      <w:r w:rsidRPr="00491BB4">
        <w:rPr>
          <w:rFonts w:ascii="Book Antiqua" w:hAnsi="Book Antiqua" w:cs="宋体"/>
          <w:b/>
          <w:color w:val="000000"/>
          <w:kern w:val="0"/>
          <w:sz w:val="24"/>
        </w:rPr>
        <w:t>Bhogal</w:t>
      </w:r>
      <w:proofErr w:type="spellEnd"/>
      <w:r w:rsidRPr="00491BB4">
        <w:rPr>
          <w:rFonts w:ascii="Book Antiqua" w:hAnsi="Book Antiqua" w:cs="宋体"/>
          <w:b/>
          <w:color w:val="000000"/>
          <w:kern w:val="0"/>
          <w:sz w:val="24"/>
        </w:rPr>
        <w:t xml:space="preserve"> H</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Sanyal</w:t>
      </w:r>
      <w:proofErr w:type="spellEnd"/>
      <w:r w:rsidRPr="00491BB4">
        <w:rPr>
          <w:rFonts w:ascii="Book Antiqua" w:hAnsi="Book Antiqua" w:cs="宋体"/>
          <w:color w:val="000000"/>
          <w:kern w:val="0"/>
          <w:sz w:val="24"/>
        </w:rPr>
        <w:t xml:space="preserve"> AJ. </w:t>
      </w:r>
      <w:proofErr w:type="gramStart"/>
      <w:r w:rsidRPr="00491BB4">
        <w:rPr>
          <w:rFonts w:ascii="Book Antiqua" w:hAnsi="Book Antiqua" w:cs="宋体"/>
          <w:color w:val="000000"/>
          <w:kern w:val="0"/>
          <w:sz w:val="24"/>
        </w:rPr>
        <w:t>Treatment of refractory ascites.</w:t>
      </w:r>
      <w:proofErr w:type="gramEnd"/>
      <w:r w:rsidRPr="00491BB4">
        <w:rPr>
          <w:rFonts w:ascii="Book Antiqua" w:hAnsi="Book Antiqua" w:cs="宋体"/>
          <w:color w:val="000000"/>
          <w:kern w:val="0"/>
          <w:sz w:val="24"/>
        </w:rPr>
        <w:t xml:space="preserve"> </w:t>
      </w:r>
      <w:proofErr w:type="spellStart"/>
      <w:r w:rsidRPr="00491BB4">
        <w:rPr>
          <w:rFonts w:ascii="Book Antiqua" w:hAnsi="Book Antiqua" w:cs="宋体"/>
          <w:i/>
          <w:color w:val="000000"/>
          <w:kern w:val="0"/>
          <w:sz w:val="24"/>
        </w:rPr>
        <w:t>Clin</w:t>
      </w:r>
      <w:proofErr w:type="spellEnd"/>
      <w:r w:rsidRPr="00491BB4">
        <w:rPr>
          <w:rFonts w:ascii="Book Antiqua" w:hAnsi="Book Antiqua" w:cs="宋体"/>
          <w:i/>
          <w:color w:val="000000"/>
          <w:kern w:val="0"/>
          <w:sz w:val="24"/>
        </w:rPr>
        <w:t xml:space="preserve"> Liver Dis</w:t>
      </w:r>
      <w:r w:rsidRPr="00491BB4">
        <w:rPr>
          <w:rFonts w:ascii="Book Antiqua" w:hAnsi="Book Antiqua" w:cs="宋体"/>
          <w:color w:val="000000"/>
          <w:kern w:val="0"/>
          <w:sz w:val="24"/>
        </w:rPr>
        <w:t xml:space="preserve"> 2013; </w:t>
      </w:r>
      <w:r w:rsidRPr="00491BB4">
        <w:rPr>
          <w:rFonts w:ascii="Book Antiqua" w:hAnsi="Book Antiqua" w:cs="宋体"/>
          <w:b/>
          <w:color w:val="000000"/>
          <w:kern w:val="0"/>
          <w:sz w:val="24"/>
        </w:rPr>
        <w:t>2</w:t>
      </w:r>
      <w:r w:rsidRPr="00491BB4">
        <w:rPr>
          <w:rFonts w:ascii="Book Antiqua" w:hAnsi="Book Antiqua" w:cs="宋体"/>
          <w:color w:val="000000"/>
          <w:kern w:val="0"/>
          <w:sz w:val="24"/>
        </w:rPr>
        <w:t xml:space="preserve">: 140–142 </w:t>
      </w:r>
      <w:proofErr w:type="spellStart"/>
      <w:r w:rsidRPr="00491BB4">
        <w:rPr>
          <w:rFonts w:ascii="Book Antiqua" w:hAnsi="Book Antiqua" w:cs="宋体"/>
          <w:color w:val="000000"/>
          <w:kern w:val="0"/>
          <w:sz w:val="24"/>
        </w:rPr>
        <w:t>doi</w:t>
      </w:r>
      <w:proofErr w:type="spellEnd"/>
      <w:r w:rsidRPr="00491BB4">
        <w:rPr>
          <w:rFonts w:ascii="Book Antiqua" w:hAnsi="Book Antiqua" w:cs="宋体"/>
          <w:color w:val="000000"/>
          <w:kern w:val="0"/>
          <w:sz w:val="24"/>
        </w:rPr>
        <w:t>: 10.1002/cld.211</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4 </w:t>
      </w:r>
      <w:proofErr w:type="spellStart"/>
      <w:r w:rsidRPr="00491BB4">
        <w:rPr>
          <w:rFonts w:ascii="Book Antiqua" w:hAnsi="Book Antiqua" w:cs="宋体"/>
          <w:b/>
          <w:bCs/>
          <w:color w:val="000000"/>
          <w:kern w:val="0"/>
          <w:sz w:val="24"/>
        </w:rPr>
        <w:t>Singhal</w:t>
      </w:r>
      <w:proofErr w:type="spellEnd"/>
      <w:r w:rsidRPr="00491BB4">
        <w:rPr>
          <w:rFonts w:ascii="Book Antiqua" w:hAnsi="Book Antiqua" w:cs="宋体"/>
          <w:b/>
          <w:bCs/>
          <w:color w:val="000000"/>
          <w:kern w:val="0"/>
          <w:sz w:val="24"/>
        </w:rPr>
        <w:t xml:space="preserve"> S</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Baikati</w:t>
      </w:r>
      <w:proofErr w:type="spellEnd"/>
      <w:r w:rsidRPr="00491BB4">
        <w:rPr>
          <w:rFonts w:ascii="Book Antiqua" w:hAnsi="Book Antiqua" w:cs="宋体"/>
          <w:color w:val="000000"/>
          <w:kern w:val="0"/>
          <w:sz w:val="24"/>
        </w:rPr>
        <w:t xml:space="preserve"> KK, </w:t>
      </w:r>
      <w:proofErr w:type="spellStart"/>
      <w:r w:rsidRPr="00491BB4">
        <w:rPr>
          <w:rFonts w:ascii="Book Antiqua" w:hAnsi="Book Antiqua" w:cs="宋体"/>
          <w:color w:val="000000"/>
          <w:kern w:val="0"/>
          <w:sz w:val="24"/>
        </w:rPr>
        <w:t>Jabbour</w:t>
      </w:r>
      <w:proofErr w:type="spellEnd"/>
      <w:r w:rsidRPr="00491BB4">
        <w:rPr>
          <w:rFonts w:ascii="Book Antiqua" w:hAnsi="Book Antiqua" w:cs="宋体"/>
          <w:color w:val="000000"/>
          <w:kern w:val="0"/>
          <w:sz w:val="24"/>
        </w:rPr>
        <w:t xml:space="preserve"> II, </w:t>
      </w:r>
      <w:proofErr w:type="spellStart"/>
      <w:r w:rsidRPr="00491BB4">
        <w:rPr>
          <w:rFonts w:ascii="Book Antiqua" w:hAnsi="Book Antiqua" w:cs="宋体"/>
          <w:color w:val="000000"/>
          <w:kern w:val="0"/>
          <w:sz w:val="24"/>
        </w:rPr>
        <w:t>Anand</w:t>
      </w:r>
      <w:proofErr w:type="spellEnd"/>
      <w:r w:rsidRPr="00491BB4">
        <w:rPr>
          <w:rFonts w:ascii="Book Antiqua" w:hAnsi="Book Antiqua" w:cs="宋体"/>
          <w:color w:val="000000"/>
          <w:kern w:val="0"/>
          <w:sz w:val="24"/>
        </w:rPr>
        <w:t xml:space="preserve"> S. Management of refractory ascites. </w:t>
      </w:r>
      <w:r w:rsidRPr="00491BB4">
        <w:rPr>
          <w:rFonts w:ascii="Book Antiqua" w:hAnsi="Book Antiqua" w:cs="宋体"/>
          <w:i/>
          <w:iCs/>
          <w:color w:val="000000"/>
          <w:kern w:val="0"/>
          <w:sz w:val="24"/>
        </w:rPr>
        <w:t xml:space="preserve">Am J </w:t>
      </w:r>
      <w:proofErr w:type="spellStart"/>
      <w:r w:rsidRPr="00491BB4">
        <w:rPr>
          <w:rFonts w:ascii="Book Antiqua" w:hAnsi="Book Antiqua" w:cs="宋体"/>
          <w:i/>
          <w:iCs/>
          <w:color w:val="000000"/>
          <w:kern w:val="0"/>
          <w:sz w:val="24"/>
        </w:rPr>
        <w:t>Ther</w:t>
      </w:r>
      <w:proofErr w:type="spellEnd"/>
      <w:r w:rsidRPr="00491BB4">
        <w:rPr>
          <w:rFonts w:ascii="Book Antiqua" w:hAnsi="Book Antiqua" w:cs="宋体"/>
          <w:color w:val="000000"/>
          <w:kern w:val="0"/>
          <w:sz w:val="24"/>
        </w:rPr>
        <w:t> 2012; </w:t>
      </w:r>
      <w:r w:rsidRPr="00491BB4">
        <w:rPr>
          <w:rFonts w:ascii="Book Antiqua" w:hAnsi="Book Antiqua" w:cs="宋体"/>
          <w:b/>
          <w:bCs/>
          <w:color w:val="000000"/>
          <w:kern w:val="0"/>
          <w:sz w:val="24"/>
        </w:rPr>
        <w:t>19</w:t>
      </w:r>
      <w:r w:rsidRPr="00491BB4">
        <w:rPr>
          <w:rFonts w:ascii="Book Antiqua" w:hAnsi="Book Antiqua" w:cs="宋体"/>
          <w:color w:val="000000"/>
          <w:kern w:val="0"/>
          <w:sz w:val="24"/>
        </w:rPr>
        <w:t>: 121-132 [PMID: 21192246 DOI: 10.1097/MJT.0b013e3181ff7a8b]</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5 </w:t>
      </w:r>
      <w:r w:rsidRPr="00491BB4">
        <w:rPr>
          <w:rFonts w:ascii="Book Antiqua" w:hAnsi="Book Antiqua" w:cs="宋体"/>
          <w:b/>
          <w:bCs/>
          <w:color w:val="000000"/>
          <w:kern w:val="0"/>
          <w:sz w:val="24"/>
        </w:rPr>
        <w:t>Moore CM</w:t>
      </w:r>
      <w:r w:rsidRPr="00491BB4">
        <w:rPr>
          <w:rFonts w:ascii="Book Antiqua" w:hAnsi="Book Antiqua" w:cs="宋体"/>
          <w:color w:val="000000"/>
          <w:kern w:val="0"/>
          <w:sz w:val="24"/>
        </w:rPr>
        <w:t>, Van Thiel DH.</w:t>
      </w:r>
      <w:proofErr w:type="gramEnd"/>
      <w:r w:rsidRPr="00491BB4">
        <w:rPr>
          <w:rFonts w:ascii="Book Antiqua" w:hAnsi="Book Antiqua" w:cs="宋体"/>
          <w:color w:val="000000"/>
          <w:kern w:val="0"/>
          <w:sz w:val="24"/>
        </w:rPr>
        <w:t xml:space="preserve"> Cirrhotic ascites review: Pathophysiology, diagnosis and management. </w:t>
      </w:r>
      <w:r w:rsidRPr="00491BB4">
        <w:rPr>
          <w:rFonts w:ascii="Book Antiqua" w:hAnsi="Book Antiqua" w:cs="宋体"/>
          <w:i/>
          <w:iCs/>
          <w:color w:val="000000"/>
          <w:kern w:val="0"/>
          <w:sz w:val="24"/>
        </w:rPr>
        <w:t xml:space="preserve">World J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color w:val="000000"/>
          <w:kern w:val="0"/>
          <w:sz w:val="24"/>
        </w:rPr>
        <w:t> 2013; </w:t>
      </w:r>
      <w:r w:rsidRPr="00491BB4">
        <w:rPr>
          <w:rFonts w:ascii="Book Antiqua" w:hAnsi="Book Antiqua" w:cs="宋体"/>
          <w:b/>
          <w:bCs/>
          <w:color w:val="000000"/>
          <w:kern w:val="0"/>
          <w:sz w:val="24"/>
        </w:rPr>
        <w:t>5</w:t>
      </w:r>
      <w:r w:rsidRPr="00491BB4">
        <w:rPr>
          <w:rFonts w:ascii="Book Antiqua" w:hAnsi="Book Antiqua" w:cs="宋体"/>
          <w:color w:val="000000"/>
          <w:kern w:val="0"/>
          <w:sz w:val="24"/>
        </w:rPr>
        <w:t>: 251-263 [PMID: 23717736 DOI: 10.4254/wjh.v5.i5.251]</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6 </w:t>
      </w:r>
      <w:r w:rsidRPr="00491BB4">
        <w:rPr>
          <w:rFonts w:ascii="Book Antiqua" w:hAnsi="Book Antiqua" w:cs="宋体"/>
          <w:b/>
          <w:bCs/>
          <w:color w:val="000000"/>
          <w:kern w:val="0"/>
          <w:sz w:val="24"/>
        </w:rPr>
        <w:t>Yu C</w:t>
      </w:r>
      <w:r w:rsidRPr="00491BB4">
        <w:rPr>
          <w:rFonts w:ascii="Book Antiqua" w:hAnsi="Book Antiqua" w:cs="宋体"/>
          <w:color w:val="000000"/>
          <w:kern w:val="0"/>
          <w:sz w:val="24"/>
        </w:rPr>
        <w:t xml:space="preserve">, Sharma N, Saab S.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 clinical associations, prognosis, and treatment in cirrhosis. </w:t>
      </w:r>
      <w:proofErr w:type="spellStart"/>
      <w:r w:rsidRPr="00491BB4">
        <w:rPr>
          <w:rFonts w:ascii="Book Antiqua" w:hAnsi="Book Antiqua" w:cs="宋体"/>
          <w:i/>
          <w:iCs/>
          <w:color w:val="000000"/>
          <w:kern w:val="0"/>
          <w:sz w:val="24"/>
        </w:rPr>
        <w:t>Exp</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Clin</w:t>
      </w:r>
      <w:proofErr w:type="spellEnd"/>
      <w:r w:rsidRPr="00491BB4">
        <w:rPr>
          <w:rFonts w:ascii="Book Antiqua" w:hAnsi="Book Antiqua" w:cs="宋体"/>
          <w:i/>
          <w:iCs/>
          <w:color w:val="000000"/>
          <w:kern w:val="0"/>
          <w:sz w:val="24"/>
        </w:rPr>
        <w:t xml:space="preserve"> Transplant</w:t>
      </w:r>
      <w:r w:rsidRPr="00491BB4">
        <w:rPr>
          <w:rFonts w:ascii="Book Antiqua" w:hAnsi="Book Antiqua" w:cs="宋体"/>
          <w:color w:val="000000"/>
          <w:kern w:val="0"/>
          <w:sz w:val="24"/>
        </w:rPr>
        <w:t> 2013; </w:t>
      </w:r>
      <w:r w:rsidRPr="00491BB4">
        <w:rPr>
          <w:rFonts w:ascii="Book Antiqua" w:hAnsi="Book Antiqua" w:cs="宋体"/>
          <w:b/>
          <w:bCs/>
          <w:color w:val="000000"/>
          <w:kern w:val="0"/>
          <w:sz w:val="24"/>
        </w:rPr>
        <w:t>11</w:t>
      </w:r>
      <w:r w:rsidRPr="00491BB4">
        <w:rPr>
          <w:rFonts w:ascii="Book Antiqua" w:hAnsi="Book Antiqua" w:cs="宋体"/>
          <w:color w:val="000000"/>
          <w:kern w:val="0"/>
          <w:sz w:val="24"/>
        </w:rPr>
        <w:t>: 3-11 [PMID: 23387536]</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lastRenderedPageBreak/>
        <w:t>7 </w:t>
      </w:r>
      <w:proofErr w:type="spellStart"/>
      <w:r w:rsidRPr="00491BB4">
        <w:rPr>
          <w:rFonts w:ascii="Book Antiqua" w:hAnsi="Book Antiqua" w:cs="宋体"/>
          <w:b/>
          <w:bCs/>
          <w:color w:val="000000"/>
          <w:kern w:val="0"/>
          <w:sz w:val="24"/>
        </w:rPr>
        <w:t>Josiassen</w:t>
      </w:r>
      <w:proofErr w:type="spellEnd"/>
      <w:r w:rsidRPr="00491BB4">
        <w:rPr>
          <w:rFonts w:ascii="Book Antiqua" w:hAnsi="Book Antiqua" w:cs="宋体"/>
          <w:b/>
          <w:bCs/>
          <w:color w:val="000000"/>
          <w:kern w:val="0"/>
          <w:sz w:val="24"/>
        </w:rPr>
        <w:t xml:space="preserve"> RC</w:t>
      </w:r>
      <w:r w:rsidRPr="00491BB4">
        <w:rPr>
          <w:rFonts w:ascii="Book Antiqua" w:hAnsi="Book Antiqua" w:cs="宋体"/>
          <w:color w:val="000000"/>
          <w:kern w:val="0"/>
          <w:sz w:val="24"/>
        </w:rPr>
        <w:t xml:space="preserve">, Curtis J, </w:t>
      </w:r>
      <w:proofErr w:type="spellStart"/>
      <w:r w:rsidRPr="00491BB4">
        <w:rPr>
          <w:rFonts w:ascii="Book Antiqua" w:hAnsi="Book Antiqua" w:cs="宋体"/>
          <w:color w:val="000000"/>
          <w:kern w:val="0"/>
          <w:sz w:val="24"/>
        </w:rPr>
        <w:t>Filmyer</w:t>
      </w:r>
      <w:proofErr w:type="spellEnd"/>
      <w:r w:rsidRPr="00491BB4">
        <w:rPr>
          <w:rFonts w:ascii="Book Antiqua" w:hAnsi="Book Antiqua" w:cs="宋体"/>
          <w:color w:val="000000"/>
          <w:kern w:val="0"/>
          <w:sz w:val="24"/>
        </w:rPr>
        <w:t xml:space="preserve"> DM, </w:t>
      </w:r>
      <w:proofErr w:type="spellStart"/>
      <w:r w:rsidRPr="00491BB4">
        <w:rPr>
          <w:rFonts w:ascii="Book Antiqua" w:hAnsi="Book Antiqua" w:cs="宋体"/>
          <w:color w:val="000000"/>
          <w:kern w:val="0"/>
          <w:sz w:val="24"/>
        </w:rPr>
        <w:t>Audino</w:t>
      </w:r>
      <w:proofErr w:type="spellEnd"/>
      <w:r w:rsidRPr="00491BB4">
        <w:rPr>
          <w:rFonts w:ascii="Book Antiqua" w:hAnsi="Book Antiqua" w:cs="宋体"/>
          <w:color w:val="000000"/>
          <w:kern w:val="0"/>
          <w:sz w:val="24"/>
        </w:rPr>
        <w:t xml:space="preserve"> B, </w:t>
      </w:r>
      <w:proofErr w:type="spellStart"/>
      <w:r w:rsidRPr="00491BB4">
        <w:rPr>
          <w:rFonts w:ascii="Book Antiqua" w:hAnsi="Book Antiqua" w:cs="宋体"/>
          <w:color w:val="000000"/>
          <w:kern w:val="0"/>
          <w:sz w:val="24"/>
        </w:rPr>
        <w:t>Skuban</w:t>
      </w:r>
      <w:proofErr w:type="spellEnd"/>
      <w:r w:rsidRPr="00491BB4">
        <w:rPr>
          <w:rFonts w:ascii="Book Antiqua" w:hAnsi="Book Antiqua" w:cs="宋体"/>
          <w:color w:val="000000"/>
          <w:kern w:val="0"/>
          <w:sz w:val="24"/>
        </w:rPr>
        <w:t xml:space="preserve"> N, Shaughnessy RA.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a new tool for the effective treatment of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 xml:space="preserve"> in psychotic disorders. </w:t>
      </w:r>
      <w:r w:rsidRPr="00491BB4">
        <w:rPr>
          <w:rFonts w:ascii="Book Antiqua" w:hAnsi="Book Antiqua" w:cs="宋体"/>
          <w:i/>
          <w:iCs/>
          <w:color w:val="000000"/>
          <w:kern w:val="0"/>
          <w:sz w:val="24"/>
        </w:rPr>
        <w:t xml:space="preserve">Expert </w:t>
      </w:r>
      <w:proofErr w:type="spellStart"/>
      <w:r w:rsidRPr="00491BB4">
        <w:rPr>
          <w:rFonts w:ascii="Book Antiqua" w:hAnsi="Book Antiqua" w:cs="宋体"/>
          <w:i/>
          <w:iCs/>
          <w:color w:val="000000"/>
          <w:kern w:val="0"/>
          <w:sz w:val="24"/>
        </w:rPr>
        <w:t>Opin</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Pharmacother</w:t>
      </w:r>
      <w:proofErr w:type="spellEnd"/>
      <w:r w:rsidRPr="00491BB4">
        <w:rPr>
          <w:rFonts w:ascii="Book Antiqua" w:hAnsi="Book Antiqua" w:cs="宋体"/>
          <w:color w:val="000000"/>
          <w:kern w:val="0"/>
          <w:sz w:val="24"/>
        </w:rPr>
        <w:t> 2010; </w:t>
      </w:r>
      <w:r w:rsidRPr="00491BB4">
        <w:rPr>
          <w:rFonts w:ascii="Book Antiqua" w:hAnsi="Book Antiqua" w:cs="宋体"/>
          <w:b/>
          <w:bCs/>
          <w:color w:val="000000"/>
          <w:kern w:val="0"/>
          <w:sz w:val="24"/>
        </w:rPr>
        <w:t>11</w:t>
      </w:r>
      <w:r w:rsidRPr="00491BB4">
        <w:rPr>
          <w:rFonts w:ascii="Book Antiqua" w:hAnsi="Book Antiqua" w:cs="宋体"/>
          <w:color w:val="000000"/>
          <w:kern w:val="0"/>
          <w:sz w:val="24"/>
        </w:rPr>
        <w:t>: 637-648 [PMID: 20163274 DOI: 10.1517/14656561003610656</w:t>
      </w:r>
      <w:r>
        <w:rPr>
          <w:rFonts w:ascii="Book Antiqua" w:hAnsi="Book Antiqua" w:cs="宋体"/>
          <w:color w:val="000000"/>
          <w:kern w:val="0"/>
          <w:sz w:val="24"/>
        </w:rPr>
        <w:t>]</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8 </w:t>
      </w:r>
      <w:proofErr w:type="spellStart"/>
      <w:r w:rsidRPr="00491BB4">
        <w:rPr>
          <w:rFonts w:ascii="Book Antiqua" w:hAnsi="Book Antiqua" w:cs="宋体"/>
          <w:b/>
          <w:bCs/>
          <w:color w:val="000000"/>
          <w:kern w:val="0"/>
          <w:sz w:val="24"/>
        </w:rPr>
        <w:t>Gaglio</w:t>
      </w:r>
      <w:proofErr w:type="spellEnd"/>
      <w:r w:rsidRPr="00491BB4">
        <w:rPr>
          <w:rFonts w:ascii="Book Antiqua" w:hAnsi="Book Antiqua" w:cs="宋体"/>
          <w:b/>
          <w:bCs/>
          <w:color w:val="000000"/>
          <w:kern w:val="0"/>
          <w:sz w:val="24"/>
        </w:rPr>
        <w:t xml:space="preserve"> P</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Marfo</w:t>
      </w:r>
      <w:proofErr w:type="spellEnd"/>
      <w:r w:rsidRPr="00491BB4">
        <w:rPr>
          <w:rFonts w:ascii="Book Antiqua" w:hAnsi="Book Antiqua" w:cs="宋体"/>
          <w:color w:val="000000"/>
          <w:kern w:val="0"/>
          <w:sz w:val="24"/>
        </w:rPr>
        <w:t xml:space="preserve"> K, </w:t>
      </w:r>
      <w:proofErr w:type="spellStart"/>
      <w:r w:rsidRPr="00491BB4">
        <w:rPr>
          <w:rFonts w:ascii="Book Antiqua" w:hAnsi="Book Antiqua" w:cs="宋体"/>
          <w:color w:val="000000"/>
          <w:kern w:val="0"/>
          <w:sz w:val="24"/>
        </w:rPr>
        <w:t>Chiodo</w:t>
      </w:r>
      <w:proofErr w:type="spellEnd"/>
      <w:r w:rsidRPr="00491BB4">
        <w:rPr>
          <w:rFonts w:ascii="Book Antiqua" w:hAnsi="Book Antiqua" w:cs="宋体"/>
          <w:color w:val="000000"/>
          <w:kern w:val="0"/>
          <w:sz w:val="24"/>
        </w:rPr>
        <w:t xml:space="preserve"> J.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 xml:space="preserve"> in cirrhosis and end-stage liver disease: treatment with the vasopressin V</w:t>
      </w:r>
      <w:r w:rsidRPr="00491BB4">
        <w:rPr>
          <w:rFonts w:ascii="Cambria Math" w:hAnsi="Cambria Math" w:cs="Cambria Math"/>
          <w:color w:val="000000"/>
          <w:kern w:val="0"/>
          <w:sz w:val="24"/>
        </w:rPr>
        <w:t>₂</w:t>
      </w:r>
      <w:r w:rsidRPr="00491BB4">
        <w:rPr>
          <w:rFonts w:ascii="Book Antiqua" w:hAnsi="Book Antiqua"/>
          <w:color w:val="000000"/>
          <w:kern w:val="0"/>
          <w:sz w:val="24"/>
        </w:rPr>
        <w:t xml:space="preserve">-receptor antagonist </w:t>
      </w:r>
      <w:proofErr w:type="spellStart"/>
      <w:r w:rsidRPr="00491BB4">
        <w:rPr>
          <w:rFonts w:ascii="Book Antiqua" w:hAnsi="Book Antiqua"/>
          <w:color w:val="000000"/>
          <w:kern w:val="0"/>
          <w:sz w:val="24"/>
        </w:rPr>
        <w:t>tolvaptan</w:t>
      </w:r>
      <w:proofErr w:type="spellEnd"/>
      <w:r w:rsidRPr="00491BB4">
        <w:rPr>
          <w:rFonts w:ascii="Book Antiqua" w:hAnsi="Book Antiqua"/>
          <w:color w:val="000000"/>
          <w:kern w:val="0"/>
          <w:sz w:val="24"/>
        </w:rPr>
        <w:t>.</w:t>
      </w:r>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Dig Dis </w:t>
      </w:r>
      <w:proofErr w:type="spellStart"/>
      <w:r w:rsidRPr="00491BB4">
        <w:rPr>
          <w:rFonts w:ascii="Book Antiqua" w:hAnsi="Book Antiqua" w:cs="宋体"/>
          <w:i/>
          <w:iCs/>
          <w:color w:val="000000"/>
          <w:kern w:val="0"/>
          <w:sz w:val="24"/>
        </w:rPr>
        <w:t>Sci</w:t>
      </w:r>
      <w:proofErr w:type="spellEnd"/>
      <w:r w:rsidRPr="00491BB4">
        <w:rPr>
          <w:rFonts w:ascii="Book Antiqua" w:hAnsi="Book Antiqua" w:cs="宋体"/>
          <w:color w:val="000000"/>
          <w:kern w:val="0"/>
          <w:sz w:val="24"/>
        </w:rPr>
        <w:t> 2012; </w:t>
      </w:r>
      <w:r w:rsidRPr="00491BB4">
        <w:rPr>
          <w:rFonts w:ascii="Book Antiqua" w:hAnsi="Book Antiqua" w:cs="宋体"/>
          <w:b/>
          <w:bCs/>
          <w:color w:val="000000"/>
          <w:kern w:val="0"/>
          <w:sz w:val="24"/>
        </w:rPr>
        <w:t>57</w:t>
      </w:r>
      <w:r w:rsidRPr="00491BB4">
        <w:rPr>
          <w:rFonts w:ascii="Book Antiqua" w:hAnsi="Book Antiqua" w:cs="宋体"/>
          <w:color w:val="000000"/>
          <w:kern w:val="0"/>
          <w:sz w:val="24"/>
        </w:rPr>
        <w:t>: 2774-2785 [PMID: 22732834 DOI: 10.1007/s10620-012-2276-3]</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9 </w:t>
      </w:r>
      <w:proofErr w:type="spellStart"/>
      <w:r w:rsidRPr="00491BB4">
        <w:rPr>
          <w:rFonts w:ascii="Book Antiqua" w:hAnsi="Book Antiqua" w:cs="宋体"/>
          <w:b/>
          <w:bCs/>
          <w:color w:val="000000"/>
          <w:kern w:val="0"/>
          <w:sz w:val="24"/>
        </w:rPr>
        <w:t>Sakaida</w:t>
      </w:r>
      <w:proofErr w:type="spellEnd"/>
      <w:r w:rsidRPr="00491BB4">
        <w:rPr>
          <w:rFonts w:ascii="Book Antiqua" w:hAnsi="Book Antiqua" w:cs="宋体"/>
          <w:b/>
          <w:bCs/>
          <w:color w:val="000000"/>
          <w:kern w:val="0"/>
          <w:sz w:val="24"/>
        </w:rPr>
        <w:t xml:space="preserve"> I</w:t>
      </w:r>
      <w:r w:rsidRPr="00491BB4">
        <w:rPr>
          <w:rFonts w:ascii="Book Antiqua" w:hAnsi="Book Antiqua" w:cs="宋体"/>
          <w:color w:val="000000"/>
          <w:kern w:val="0"/>
          <w:sz w:val="24"/>
        </w:rPr>
        <w:t xml:space="preserve">, Yamashita S, Kobayashi T, Komatsu M, Sakai T, </w:t>
      </w:r>
      <w:proofErr w:type="spellStart"/>
      <w:r w:rsidRPr="00491BB4">
        <w:rPr>
          <w:rFonts w:ascii="Book Antiqua" w:hAnsi="Book Antiqua" w:cs="宋体"/>
          <w:color w:val="000000"/>
          <w:kern w:val="0"/>
          <w:sz w:val="24"/>
        </w:rPr>
        <w:t>Komorizono</w:t>
      </w:r>
      <w:proofErr w:type="spellEnd"/>
      <w:r w:rsidRPr="00491BB4">
        <w:rPr>
          <w:rFonts w:ascii="Book Antiqua" w:hAnsi="Book Antiqua" w:cs="宋体"/>
          <w:color w:val="000000"/>
          <w:kern w:val="0"/>
          <w:sz w:val="24"/>
        </w:rPr>
        <w:t xml:space="preserve"> Y, Okada M, </w:t>
      </w:r>
      <w:proofErr w:type="spellStart"/>
      <w:r w:rsidRPr="00491BB4">
        <w:rPr>
          <w:rFonts w:ascii="Book Antiqua" w:hAnsi="Book Antiqua" w:cs="宋体"/>
          <w:color w:val="000000"/>
          <w:kern w:val="0"/>
          <w:sz w:val="24"/>
        </w:rPr>
        <w:t>Okita</w:t>
      </w:r>
      <w:proofErr w:type="spellEnd"/>
      <w:r w:rsidRPr="00491BB4">
        <w:rPr>
          <w:rFonts w:ascii="Book Antiqua" w:hAnsi="Book Antiqua" w:cs="宋体"/>
          <w:color w:val="000000"/>
          <w:kern w:val="0"/>
          <w:sz w:val="24"/>
        </w:rPr>
        <w:t xml:space="preserve"> K. Efficacy and safety of a 14-day administration of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in the treatment of patients with ascites in hepatic </w:t>
      </w:r>
      <w:proofErr w:type="spellStart"/>
      <w:r w:rsidRPr="00491BB4">
        <w:rPr>
          <w:rFonts w:ascii="Book Antiqua" w:hAnsi="Book Antiqua" w:cs="宋体"/>
          <w:color w:val="000000"/>
          <w:kern w:val="0"/>
          <w:sz w:val="24"/>
        </w:rPr>
        <w:t>oedema</w:t>
      </w:r>
      <w:proofErr w:type="spell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J </w:t>
      </w:r>
      <w:proofErr w:type="spellStart"/>
      <w:r w:rsidRPr="00491BB4">
        <w:rPr>
          <w:rFonts w:ascii="Book Antiqua" w:hAnsi="Book Antiqua" w:cs="宋体"/>
          <w:i/>
          <w:iCs/>
          <w:color w:val="000000"/>
          <w:kern w:val="0"/>
          <w:sz w:val="24"/>
        </w:rPr>
        <w:t>Int</w:t>
      </w:r>
      <w:proofErr w:type="spellEnd"/>
      <w:r w:rsidRPr="00491BB4">
        <w:rPr>
          <w:rFonts w:ascii="Book Antiqua" w:hAnsi="Book Antiqua" w:cs="宋体"/>
          <w:i/>
          <w:iCs/>
          <w:color w:val="000000"/>
          <w:kern w:val="0"/>
          <w:sz w:val="24"/>
        </w:rPr>
        <w:t xml:space="preserve"> Med Res</w:t>
      </w:r>
      <w:r w:rsidRPr="00491BB4">
        <w:rPr>
          <w:rFonts w:ascii="Book Antiqua" w:hAnsi="Book Antiqua" w:cs="宋体"/>
          <w:color w:val="000000"/>
          <w:kern w:val="0"/>
          <w:sz w:val="24"/>
        </w:rPr>
        <w:t> 2013; </w:t>
      </w:r>
      <w:r w:rsidRPr="00491BB4">
        <w:rPr>
          <w:rFonts w:ascii="Book Antiqua" w:hAnsi="Book Antiqua" w:cs="宋体"/>
          <w:b/>
          <w:bCs/>
          <w:color w:val="000000"/>
          <w:kern w:val="0"/>
          <w:sz w:val="24"/>
        </w:rPr>
        <w:t>41</w:t>
      </w:r>
      <w:r w:rsidRPr="00491BB4">
        <w:rPr>
          <w:rFonts w:ascii="Book Antiqua" w:hAnsi="Book Antiqua" w:cs="宋体"/>
          <w:color w:val="000000"/>
          <w:kern w:val="0"/>
          <w:sz w:val="24"/>
        </w:rPr>
        <w:t>: 835-847 [PMID: 23685892 DOI: 10.1177/0300060513480089]</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10 </w:t>
      </w:r>
      <w:proofErr w:type="spellStart"/>
      <w:r w:rsidRPr="00491BB4">
        <w:rPr>
          <w:rFonts w:ascii="Book Antiqua" w:hAnsi="Book Antiqua" w:cs="宋体"/>
          <w:b/>
          <w:bCs/>
          <w:color w:val="000000"/>
          <w:kern w:val="0"/>
          <w:sz w:val="24"/>
        </w:rPr>
        <w:t>Okita</w:t>
      </w:r>
      <w:proofErr w:type="spellEnd"/>
      <w:r w:rsidRPr="00491BB4">
        <w:rPr>
          <w:rFonts w:ascii="Book Antiqua" w:hAnsi="Book Antiqua" w:cs="宋体"/>
          <w:b/>
          <w:bCs/>
          <w:color w:val="000000"/>
          <w:kern w:val="0"/>
          <w:sz w:val="24"/>
        </w:rPr>
        <w:t xml:space="preserve"> K</w:t>
      </w:r>
      <w:r w:rsidRPr="00491BB4">
        <w:rPr>
          <w:rFonts w:ascii="Book Antiqua" w:hAnsi="Book Antiqua" w:cs="宋体"/>
          <w:color w:val="000000"/>
          <w:kern w:val="0"/>
          <w:sz w:val="24"/>
        </w:rPr>
        <w:t xml:space="preserve">, Kawazoe S, </w:t>
      </w:r>
      <w:proofErr w:type="spellStart"/>
      <w:r w:rsidRPr="00491BB4">
        <w:rPr>
          <w:rFonts w:ascii="Book Antiqua" w:hAnsi="Book Antiqua" w:cs="宋体"/>
          <w:color w:val="000000"/>
          <w:kern w:val="0"/>
          <w:sz w:val="24"/>
        </w:rPr>
        <w:t>Hasebe</w:t>
      </w:r>
      <w:proofErr w:type="spellEnd"/>
      <w:r w:rsidRPr="00491BB4">
        <w:rPr>
          <w:rFonts w:ascii="Book Antiqua" w:hAnsi="Book Antiqua" w:cs="宋体"/>
          <w:color w:val="000000"/>
          <w:kern w:val="0"/>
          <w:sz w:val="24"/>
        </w:rPr>
        <w:t xml:space="preserve"> C, </w:t>
      </w:r>
      <w:proofErr w:type="spellStart"/>
      <w:r w:rsidRPr="00491BB4">
        <w:rPr>
          <w:rFonts w:ascii="Book Antiqua" w:hAnsi="Book Antiqua" w:cs="宋体"/>
          <w:color w:val="000000"/>
          <w:kern w:val="0"/>
          <w:sz w:val="24"/>
        </w:rPr>
        <w:t>Kajimura</w:t>
      </w:r>
      <w:proofErr w:type="spellEnd"/>
      <w:r w:rsidRPr="00491BB4">
        <w:rPr>
          <w:rFonts w:ascii="Book Antiqua" w:hAnsi="Book Antiqua" w:cs="宋体"/>
          <w:color w:val="000000"/>
          <w:kern w:val="0"/>
          <w:sz w:val="24"/>
        </w:rPr>
        <w:t xml:space="preserve"> K, Kaneko A, Okada M, </w:t>
      </w:r>
      <w:proofErr w:type="spellStart"/>
      <w:r w:rsidRPr="00491BB4">
        <w:rPr>
          <w:rFonts w:ascii="Book Antiqua" w:hAnsi="Book Antiqua" w:cs="宋体"/>
          <w:color w:val="000000"/>
          <w:kern w:val="0"/>
          <w:sz w:val="24"/>
        </w:rPr>
        <w:t>Sakaida</w:t>
      </w:r>
      <w:proofErr w:type="spellEnd"/>
      <w:r w:rsidRPr="00491BB4">
        <w:rPr>
          <w:rFonts w:ascii="Book Antiqua" w:hAnsi="Book Antiqua" w:cs="宋体"/>
          <w:color w:val="000000"/>
          <w:kern w:val="0"/>
          <w:sz w:val="24"/>
        </w:rPr>
        <w:t xml:space="preserve"> I. Dose-finding trial of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in liver cirrhosis patients with hepatic edema: A randomized, double-blind, placebo-controlled trial.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i/>
          <w:iCs/>
          <w:color w:val="000000"/>
          <w:kern w:val="0"/>
          <w:sz w:val="24"/>
        </w:rPr>
        <w:t xml:space="preserve"> Res</w:t>
      </w:r>
      <w:r w:rsidRPr="00491BB4">
        <w:rPr>
          <w:rFonts w:ascii="Book Antiqua" w:hAnsi="Book Antiqua" w:cs="宋体"/>
          <w:color w:val="000000"/>
          <w:kern w:val="0"/>
          <w:sz w:val="24"/>
        </w:rPr>
        <w:t> 2014; </w:t>
      </w:r>
      <w:r w:rsidRPr="00491BB4">
        <w:rPr>
          <w:rFonts w:ascii="Book Antiqua" w:hAnsi="Book Antiqua" w:cs="宋体"/>
          <w:b/>
          <w:bCs/>
          <w:color w:val="000000"/>
          <w:kern w:val="0"/>
          <w:sz w:val="24"/>
        </w:rPr>
        <w:t>44</w:t>
      </w:r>
      <w:r w:rsidRPr="00491BB4">
        <w:rPr>
          <w:rFonts w:ascii="Book Antiqua" w:hAnsi="Book Antiqua" w:cs="宋体"/>
          <w:color w:val="000000"/>
          <w:kern w:val="0"/>
          <w:sz w:val="24"/>
        </w:rPr>
        <w:t>: 83-91 [PMID: 23530991 DOI: 10.1111/hepr.12099]</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11 </w:t>
      </w:r>
      <w:proofErr w:type="spellStart"/>
      <w:r w:rsidRPr="00491BB4">
        <w:rPr>
          <w:rFonts w:ascii="Book Antiqua" w:hAnsi="Book Antiqua" w:cs="宋体"/>
          <w:b/>
          <w:bCs/>
          <w:color w:val="000000"/>
          <w:kern w:val="0"/>
          <w:sz w:val="24"/>
        </w:rPr>
        <w:t>Sakaida</w:t>
      </w:r>
      <w:proofErr w:type="spellEnd"/>
      <w:r w:rsidRPr="00491BB4">
        <w:rPr>
          <w:rFonts w:ascii="Book Antiqua" w:hAnsi="Book Antiqua" w:cs="宋体"/>
          <w:b/>
          <w:bCs/>
          <w:color w:val="000000"/>
          <w:kern w:val="0"/>
          <w:sz w:val="24"/>
        </w:rPr>
        <w:t xml:space="preserve"> I</w:t>
      </w:r>
      <w:r w:rsidRPr="00491BB4">
        <w:rPr>
          <w:rFonts w:ascii="Book Antiqua" w:hAnsi="Book Antiqua" w:cs="宋体"/>
          <w:color w:val="000000"/>
          <w:kern w:val="0"/>
          <w:sz w:val="24"/>
        </w:rPr>
        <w:t xml:space="preserve">, Kawazoe S, </w:t>
      </w:r>
      <w:proofErr w:type="spellStart"/>
      <w:r w:rsidRPr="00491BB4">
        <w:rPr>
          <w:rFonts w:ascii="Book Antiqua" w:hAnsi="Book Antiqua" w:cs="宋体"/>
          <w:color w:val="000000"/>
          <w:kern w:val="0"/>
          <w:sz w:val="24"/>
        </w:rPr>
        <w:t>Kajimura</w:t>
      </w:r>
      <w:proofErr w:type="spellEnd"/>
      <w:r w:rsidRPr="00491BB4">
        <w:rPr>
          <w:rFonts w:ascii="Book Antiqua" w:hAnsi="Book Antiqua" w:cs="宋体"/>
          <w:color w:val="000000"/>
          <w:kern w:val="0"/>
          <w:sz w:val="24"/>
        </w:rPr>
        <w:t xml:space="preserve"> K, Saito T, </w:t>
      </w:r>
      <w:proofErr w:type="spellStart"/>
      <w:r w:rsidRPr="00491BB4">
        <w:rPr>
          <w:rFonts w:ascii="Book Antiqua" w:hAnsi="Book Antiqua" w:cs="宋体"/>
          <w:color w:val="000000"/>
          <w:kern w:val="0"/>
          <w:sz w:val="24"/>
        </w:rPr>
        <w:t>Okuse</w:t>
      </w:r>
      <w:proofErr w:type="spellEnd"/>
      <w:r w:rsidRPr="00491BB4">
        <w:rPr>
          <w:rFonts w:ascii="Book Antiqua" w:hAnsi="Book Antiqua" w:cs="宋体"/>
          <w:color w:val="000000"/>
          <w:kern w:val="0"/>
          <w:sz w:val="24"/>
        </w:rPr>
        <w:t xml:space="preserve"> C, </w:t>
      </w:r>
      <w:proofErr w:type="spellStart"/>
      <w:r w:rsidRPr="00491BB4">
        <w:rPr>
          <w:rFonts w:ascii="Book Antiqua" w:hAnsi="Book Antiqua" w:cs="宋体"/>
          <w:color w:val="000000"/>
          <w:kern w:val="0"/>
          <w:sz w:val="24"/>
        </w:rPr>
        <w:t>Takaguchi</w:t>
      </w:r>
      <w:proofErr w:type="spellEnd"/>
      <w:r w:rsidRPr="00491BB4">
        <w:rPr>
          <w:rFonts w:ascii="Book Antiqua" w:hAnsi="Book Antiqua" w:cs="宋体"/>
          <w:color w:val="000000"/>
          <w:kern w:val="0"/>
          <w:sz w:val="24"/>
        </w:rPr>
        <w:t xml:space="preserve"> K, Okada M, </w:t>
      </w:r>
      <w:proofErr w:type="spellStart"/>
      <w:r w:rsidRPr="00491BB4">
        <w:rPr>
          <w:rFonts w:ascii="Book Antiqua" w:hAnsi="Book Antiqua" w:cs="宋体"/>
          <w:color w:val="000000"/>
          <w:kern w:val="0"/>
          <w:sz w:val="24"/>
        </w:rPr>
        <w:t>Okita</w:t>
      </w:r>
      <w:proofErr w:type="spellEnd"/>
      <w:r w:rsidRPr="00491BB4">
        <w:rPr>
          <w:rFonts w:ascii="Book Antiqua" w:hAnsi="Book Antiqua" w:cs="宋体"/>
          <w:color w:val="000000"/>
          <w:kern w:val="0"/>
          <w:sz w:val="24"/>
        </w:rPr>
        <w:t xml:space="preserve"> K.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for improvement of hepatic edema: A phase 3, multicenter, randomized, double-blind, placebo-controlled trial.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i/>
          <w:iCs/>
          <w:color w:val="000000"/>
          <w:kern w:val="0"/>
          <w:sz w:val="24"/>
        </w:rPr>
        <w:t xml:space="preserve"> Res</w:t>
      </w:r>
      <w:r w:rsidRPr="00491BB4">
        <w:rPr>
          <w:rFonts w:ascii="Book Antiqua" w:hAnsi="Book Antiqua" w:cs="宋体"/>
          <w:color w:val="000000"/>
          <w:kern w:val="0"/>
          <w:sz w:val="24"/>
        </w:rPr>
        <w:t> 2014; </w:t>
      </w:r>
      <w:r w:rsidRPr="00491BB4">
        <w:rPr>
          <w:rFonts w:ascii="Book Antiqua" w:hAnsi="Book Antiqua" w:cs="宋体"/>
          <w:b/>
          <w:bCs/>
          <w:color w:val="000000"/>
          <w:kern w:val="0"/>
          <w:sz w:val="24"/>
        </w:rPr>
        <w:t>44</w:t>
      </w:r>
      <w:r w:rsidRPr="00491BB4">
        <w:rPr>
          <w:rFonts w:ascii="Book Antiqua" w:hAnsi="Book Antiqua" w:cs="宋体"/>
          <w:color w:val="000000"/>
          <w:kern w:val="0"/>
          <w:sz w:val="24"/>
        </w:rPr>
        <w:t>: 73-82 [PMID: 23551935 DOI: 10.1111/hepr.12098]</w:t>
      </w:r>
    </w:p>
    <w:p w:rsidR="00C24456" w:rsidRPr="00491BB4" w:rsidRDefault="00C24456" w:rsidP="00491BB4">
      <w:pPr>
        <w:widowControl/>
        <w:jc w:val="left"/>
        <w:rPr>
          <w:rFonts w:ascii="Book Antiqua" w:hAnsi="Book Antiqua" w:cs="宋体"/>
          <w:color w:val="000000"/>
          <w:kern w:val="0"/>
          <w:sz w:val="24"/>
        </w:rPr>
      </w:pPr>
      <w:r w:rsidRPr="00491BB4">
        <w:rPr>
          <w:rFonts w:ascii="Book Antiqua" w:hAnsi="Book Antiqua" w:cs="宋体"/>
          <w:color w:val="000000"/>
          <w:kern w:val="0"/>
          <w:sz w:val="24"/>
        </w:rPr>
        <w:t>12 </w:t>
      </w:r>
      <w:proofErr w:type="spellStart"/>
      <w:r w:rsidRPr="00491BB4">
        <w:rPr>
          <w:rFonts w:ascii="Book Antiqua" w:hAnsi="Book Antiqua" w:cs="宋体"/>
          <w:b/>
          <w:bCs/>
          <w:color w:val="000000"/>
          <w:kern w:val="0"/>
          <w:sz w:val="24"/>
        </w:rPr>
        <w:t>Bruix</w:t>
      </w:r>
      <w:proofErr w:type="spellEnd"/>
      <w:r w:rsidRPr="00491BB4">
        <w:rPr>
          <w:rFonts w:ascii="Book Antiqua" w:hAnsi="Book Antiqua" w:cs="宋体"/>
          <w:b/>
          <w:bCs/>
          <w:color w:val="000000"/>
          <w:kern w:val="0"/>
          <w:sz w:val="24"/>
        </w:rPr>
        <w:t xml:space="preserve"> J</w:t>
      </w:r>
      <w:r w:rsidRPr="00491BB4">
        <w:rPr>
          <w:rFonts w:ascii="Book Antiqua" w:hAnsi="Book Antiqua" w:cs="宋体"/>
          <w:color w:val="000000"/>
          <w:kern w:val="0"/>
          <w:sz w:val="24"/>
        </w:rPr>
        <w:t>, Sherman M. Management of hepatocellular carcinoma: an update. </w:t>
      </w:r>
      <w:proofErr w:type="spellStart"/>
      <w:r w:rsidRPr="00491BB4">
        <w:rPr>
          <w:rFonts w:ascii="Book Antiqua" w:hAnsi="Book Antiqua" w:cs="宋体"/>
          <w:i/>
          <w:iCs/>
          <w:color w:val="000000"/>
          <w:kern w:val="0"/>
          <w:sz w:val="24"/>
        </w:rPr>
        <w:t>Hepatology</w:t>
      </w:r>
      <w:proofErr w:type="spellEnd"/>
      <w:r w:rsidRPr="00491BB4">
        <w:rPr>
          <w:rFonts w:ascii="Book Antiqua" w:hAnsi="Book Antiqua" w:cs="宋体"/>
          <w:color w:val="000000"/>
          <w:kern w:val="0"/>
          <w:sz w:val="24"/>
        </w:rPr>
        <w:t> 2011; </w:t>
      </w:r>
      <w:r w:rsidRPr="00491BB4">
        <w:rPr>
          <w:rFonts w:ascii="Book Antiqua" w:hAnsi="Book Antiqua" w:cs="宋体"/>
          <w:b/>
          <w:bCs/>
          <w:color w:val="000000"/>
          <w:kern w:val="0"/>
          <w:sz w:val="24"/>
        </w:rPr>
        <w:t>53</w:t>
      </w:r>
      <w:r w:rsidRPr="00491BB4">
        <w:rPr>
          <w:rFonts w:ascii="Book Antiqua" w:hAnsi="Book Antiqua" w:cs="宋体"/>
          <w:color w:val="000000"/>
          <w:kern w:val="0"/>
          <w:sz w:val="24"/>
        </w:rPr>
        <w:t>: 1020-1022 [PMID: 21374666 DOI: 10.1002/hep.24199]</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13 </w:t>
      </w:r>
      <w:proofErr w:type="spellStart"/>
      <w:r w:rsidRPr="00491BB4">
        <w:rPr>
          <w:rFonts w:ascii="Book Antiqua" w:hAnsi="Book Antiqua" w:cs="宋体"/>
          <w:b/>
          <w:bCs/>
          <w:color w:val="000000"/>
          <w:kern w:val="0"/>
          <w:sz w:val="24"/>
        </w:rPr>
        <w:t>Blei</w:t>
      </w:r>
      <w:proofErr w:type="spellEnd"/>
      <w:r w:rsidRPr="00491BB4">
        <w:rPr>
          <w:rFonts w:ascii="Book Antiqua" w:hAnsi="Book Antiqua" w:cs="宋体"/>
          <w:b/>
          <w:bCs/>
          <w:color w:val="000000"/>
          <w:kern w:val="0"/>
          <w:sz w:val="24"/>
        </w:rPr>
        <w:t xml:space="preserve"> AT</w:t>
      </w:r>
      <w:r w:rsidRPr="00491BB4">
        <w:rPr>
          <w:rFonts w:ascii="Book Antiqua" w:hAnsi="Book Antiqua" w:cs="宋体"/>
          <w:color w:val="000000"/>
          <w:kern w:val="0"/>
          <w:sz w:val="24"/>
        </w:rPr>
        <w:t>, Córdoba J. Hepatic Encephalopathy.</w:t>
      </w:r>
      <w:proofErr w:type="gram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Am J </w:t>
      </w:r>
      <w:proofErr w:type="spellStart"/>
      <w:r w:rsidRPr="00491BB4">
        <w:rPr>
          <w:rFonts w:ascii="Book Antiqua" w:hAnsi="Book Antiqua" w:cs="宋体"/>
          <w:i/>
          <w:iCs/>
          <w:color w:val="000000"/>
          <w:kern w:val="0"/>
          <w:sz w:val="24"/>
        </w:rPr>
        <w:t>Gastroenterol</w:t>
      </w:r>
      <w:proofErr w:type="spellEnd"/>
      <w:r w:rsidRPr="00491BB4">
        <w:rPr>
          <w:rFonts w:ascii="Book Antiqua" w:hAnsi="Book Antiqua" w:cs="宋体"/>
          <w:color w:val="000000"/>
          <w:kern w:val="0"/>
          <w:sz w:val="24"/>
        </w:rPr>
        <w:t> 2001; </w:t>
      </w:r>
      <w:r w:rsidRPr="00491BB4">
        <w:rPr>
          <w:rFonts w:ascii="Book Antiqua" w:hAnsi="Book Antiqua" w:cs="宋体"/>
          <w:b/>
          <w:bCs/>
          <w:color w:val="000000"/>
          <w:kern w:val="0"/>
          <w:sz w:val="24"/>
        </w:rPr>
        <w:t>96</w:t>
      </w:r>
      <w:r w:rsidRPr="00491BB4">
        <w:rPr>
          <w:rFonts w:ascii="Book Antiqua" w:hAnsi="Book Antiqua" w:cs="宋体"/>
          <w:color w:val="000000"/>
          <w:kern w:val="0"/>
          <w:sz w:val="24"/>
        </w:rPr>
        <w:t>: 1968-1976 [PMID: 11467622 DOI: 10.1111/j.1572-0241.2001.03964.x]</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14 </w:t>
      </w:r>
      <w:r w:rsidRPr="00491BB4">
        <w:rPr>
          <w:rFonts w:ascii="Book Antiqua" w:hAnsi="Book Antiqua" w:cs="宋体"/>
          <w:b/>
          <w:bCs/>
          <w:color w:val="000000"/>
          <w:kern w:val="0"/>
          <w:sz w:val="24"/>
        </w:rPr>
        <w:t>Salerno F</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Gerbes</w:t>
      </w:r>
      <w:proofErr w:type="spellEnd"/>
      <w:r w:rsidRPr="00491BB4">
        <w:rPr>
          <w:rFonts w:ascii="Book Antiqua" w:hAnsi="Book Antiqua" w:cs="宋体"/>
          <w:color w:val="000000"/>
          <w:kern w:val="0"/>
          <w:sz w:val="24"/>
        </w:rPr>
        <w:t xml:space="preserve"> A, </w:t>
      </w:r>
      <w:proofErr w:type="spellStart"/>
      <w:r w:rsidRPr="00491BB4">
        <w:rPr>
          <w:rFonts w:ascii="Book Antiqua" w:hAnsi="Book Antiqua" w:cs="宋体"/>
          <w:color w:val="000000"/>
          <w:kern w:val="0"/>
          <w:sz w:val="24"/>
        </w:rPr>
        <w:t>Ginès</w:t>
      </w:r>
      <w:proofErr w:type="spellEnd"/>
      <w:r w:rsidRPr="00491BB4">
        <w:rPr>
          <w:rFonts w:ascii="Book Antiqua" w:hAnsi="Book Antiqua" w:cs="宋体"/>
          <w:color w:val="000000"/>
          <w:kern w:val="0"/>
          <w:sz w:val="24"/>
        </w:rPr>
        <w:t xml:space="preserve"> P, Wong F, Arroyo V. Diagnosis, prevention and treatment of </w:t>
      </w:r>
      <w:proofErr w:type="spellStart"/>
      <w:r w:rsidRPr="00491BB4">
        <w:rPr>
          <w:rFonts w:ascii="Book Antiqua" w:hAnsi="Book Antiqua" w:cs="宋体"/>
          <w:color w:val="000000"/>
          <w:kern w:val="0"/>
          <w:sz w:val="24"/>
        </w:rPr>
        <w:t>hepatorenal</w:t>
      </w:r>
      <w:proofErr w:type="spellEnd"/>
      <w:r w:rsidRPr="00491BB4">
        <w:rPr>
          <w:rFonts w:ascii="Book Antiqua" w:hAnsi="Book Antiqua" w:cs="宋体"/>
          <w:color w:val="000000"/>
          <w:kern w:val="0"/>
          <w:sz w:val="24"/>
        </w:rPr>
        <w:t xml:space="preserve"> syndrome in cirrhosis. </w:t>
      </w:r>
      <w:r w:rsidRPr="00491BB4">
        <w:rPr>
          <w:rFonts w:ascii="Book Antiqua" w:hAnsi="Book Antiqua" w:cs="宋体"/>
          <w:i/>
          <w:iCs/>
          <w:color w:val="000000"/>
          <w:kern w:val="0"/>
          <w:sz w:val="24"/>
        </w:rPr>
        <w:t>Gut</w:t>
      </w:r>
      <w:r w:rsidRPr="00491BB4">
        <w:rPr>
          <w:rFonts w:ascii="Book Antiqua" w:hAnsi="Book Antiqua" w:cs="宋体"/>
          <w:color w:val="000000"/>
          <w:kern w:val="0"/>
          <w:sz w:val="24"/>
        </w:rPr>
        <w:t> 2007; </w:t>
      </w:r>
      <w:r w:rsidRPr="00491BB4">
        <w:rPr>
          <w:rFonts w:ascii="Book Antiqua" w:hAnsi="Book Antiqua" w:cs="宋体"/>
          <w:b/>
          <w:bCs/>
          <w:color w:val="000000"/>
          <w:kern w:val="0"/>
          <w:sz w:val="24"/>
        </w:rPr>
        <w:t>56</w:t>
      </w:r>
      <w:r w:rsidRPr="00491BB4">
        <w:rPr>
          <w:rFonts w:ascii="Book Antiqua" w:hAnsi="Book Antiqua" w:cs="宋体"/>
          <w:color w:val="000000"/>
          <w:kern w:val="0"/>
          <w:sz w:val="24"/>
        </w:rPr>
        <w:t>: 1310-1318 [PMID: 17389705]</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15 </w:t>
      </w:r>
      <w:proofErr w:type="spellStart"/>
      <w:r w:rsidRPr="00491BB4">
        <w:rPr>
          <w:rFonts w:ascii="Book Antiqua" w:hAnsi="Book Antiqua" w:cs="宋体"/>
          <w:b/>
          <w:bCs/>
          <w:color w:val="000000"/>
          <w:kern w:val="0"/>
          <w:sz w:val="24"/>
        </w:rPr>
        <w:t>Leiva</w:t>
      </w:r>
      <w:proofErr w:type="spellEnd"/>
      <w:r w:rsidRPr="00491BB4">
        <w:rPr>
          <w:rFonts w:ascii="Book Antiqua" w:hAnsi="Book Antiqua" w:cs="宋体"/>
          <w:b/>
          <w:bCs/>
          <w:color w:val="000000"/>
          <w:kern w:val="0"/>
          <w:sz w:val="24"/>
        </w:rPr>
        <w:t xml:space="preserve"> JG</w:t>
      </w:r>
      <w:r w:rsidRPr="00491BB4">
        <w:rPr>
          <w:rFonts w:ascii="Book Antiqua" w:hAnsi="Book Antiqua" w:cs="宋体"/>
          <w:color w:val="000000"/>
          <w:kern w:val="0"/>
          <w:sz w:val="24"/>
        </w:rPr>
        <w:t xml:space="preserve">, Salgado JM, </w:t>
      </w:r>
      <w:proofErr w:type="spellStart"/>
      <w:r w:rsidRPr="00491BB4">
        <w:rPr>
          <w:rFonts w:ascii="Book Antiqua" w:hAnsi="Book Antiqua" w:cs="宋体"/>
          <w:color w:val="000000"/>
          <w:kern w:val="0"/>
          <w:sz w:val="24"/>
        </w:rPr>
        <w:t>Estradas</w:t>
      </w:r>
      <w:proofErr w:type="spellEnd"/>
      <w:r w:rsidRPr="00491BB4">
        <w:rPr>
          <w:rFonts w:ascii="Book Antiqua" w:hAnsi="Book Antiqua" w:cs="宋体"/>
          <w:color w:val="000000"/>
          <w:kern w:val="0"/>
          <w:sz w:val="24"/>
        </w:rPr>
        <w:t xml:space="preserve"> J, Torre A, Uribe M. Pathophysiology of ascites and </w:t>
      </w:r>
      <w:proofErr w:type="spellStart"/>
      <w:r w:rsidRPr="00491BB4">
        <w:rPr>
          <w:rFonts w:ascii="Book Antiqua" w:hAnsi="Book Antiqua" w:cs="宋体"/>
          <w:color w:val="000000"/>
          <w:kern w:val="0"/>
          <w:sz w:val="24"/>
        </w:rPr>
        <w:t>dilutional</w:t>
      </w:r>
      <w:proofErr w:type="spellEnd"/>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 xml:space="preserve">: contemporary use of </w:t>
      </w:r>
      <w:proofErr w:type="spellStart"/>
      <w:r w:rsidRPr="00491BB4">
        <w:rPr>
          <w:rFonts w:ascii="Book Antiqua" w:hAnsi="Book Antiqua" w:cs="宋体"/>
          <w:color w:val="000000"/>
          <w:kern w:val="0"/>
          <w:sz w:val="24"/>
        </w:rPr>
        <w:t>aquaretic</w:t>
      </w:r>
      <w:proofErr w:type="spellEnd"/>
      <w:r w:rsidRPr="00491BB4">
        <w:rPr>
          <w:rFonts w:ascii="Book Antiqua" w:hAnsi="Book Antiqua" w:cs="宋体"/>
          <w:color w:val="000000"/>
          <w:kern w:val="0"/>
          <w:sz w:val="24"/>
        </w:rPr>
        <w:t xml:space="preserve"> agents. </w:t>
      </w:r>
      <w:r w:rsidRPr="00491BB4">
        <w:rPr>
          <w:rFonts w:ascii="Book Antiqua" w:hAnsi="Book Antiqua" w:cs="宋体"/>
          <w:i/>
          <w:iCs/>
          <w:color w:val="000000"/>
          <w:kern w:val="0"/>
          <w:sz w:val="24"/>
        </w:rPr>
        <w:t xml:space="preserve">Ann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color w:val="000000"/>
          <w:kern w:val="0"/>
          <w:sz w:val="24"/>
        </w:rPr>
        <w:t> 2007; </w:t>
      </w:r>
      <w:r w:rsidRPr="00491BB4">
        <w:rPr>
          <w:rFonts w:ascii="Book Antiqua" w:hAnsi="Book Antiqua" w:cs="宋体"/>
          <w:b/>
          <w:bCs/>
          <w:color w:val="000000"/>
          <w:kern w:val="0"/>
          <w:sz w:val="24"/>
        </w:rPr>
        <w:t>6</w:t>
      </w:r>
      <w:r w:rsidRPr="00491BB4">
        <w:rPr>
          <w:rFonts w:ascii="Book Antiqua" w:hAnsi="Book Antiqua" w:cs="宋体"/>
          <w:color w:val="000000"/>
          <w:kern w:val="0"/>
          <w:sz w:val="24"/>
        </w:rPr>
        <w:t>: 214-221 [PMID: 18007550]</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16 </w:t>
      </w:r>
      <w:proofErr w:type="spellStart"/>
      <w:r w:rsidRPr="00491BB4">
        <w:rPr>
          <w:rFonts w:ascii="Book Antiqua" w:hAnsi="Book Antiqua" w:cs="宋体"/>
          <w:b/>
          <w:bCs/>
          <w:color w:val="000000"/>
          <w:kern w:val="0"/>
          <w:sz w:val="24"/>
        </w:rPr>
        <w:t>Schrier</w:t>
      </w:r>
      <w:proofErr w:type="spellEnd"/>
      <w:r w:rsidRPr="00491BB4">
        <w:rPr>
          <w:rFonts w:ascii="Book Antiqua" w:hAnsi="Book Antiqua" w:cs="宋体"/>
          <w:b/>
          <w:bCs/>
          <w:color w:val="000000"/>
          <w:kern w:val="0"/>
          <w:sz w:val="24"/>
        </w:rPr>
        <w:t xml:space="preserve"> RW</w:t>
      </w:r>
      <w:r w:rsidRPr="00491BB4">
        <w:rPr>
          <w:rFonts w:ascii="Book Antiqua" w:hAnsi="Book Antiqua" w:cs="宋体"/>
          <w:color w:val="000000"/>
          <w:kern w:val="0"/>
          <w:sz w:val="24"/>
        </w:rPr>
        <w:t>.</w:t>
      </w:r>
      <w:proofErr w:type="gramEnd"/>
      <w:r w:rsidRPr="00491BB4">
        <w:rPr>
          <w:rFonts w:ascii="Book Antiqua" w:hAnsi="Book Antiqua" w:cs="宋体"/>
          <w:color w:val="000000"/>
          <w:kern w:val="0"/>
          <w:sz w:val="24"/>
        </w:rPr>
        <w:t xml:space="preserve"> Decreased effective blood volume in edematous disorders: what does this mean? </w:t>
      </w:r>
      <w:r w:rsidRPr="00491BB4">
        <w:rPr>
          <w:rFonts w:ascii="Book Antiqua" w:hAnsi="Book Antiqua" w:cs="宋体"/>
          <w:i/>
          <w:iCs/>
          <w:color w:val="000000"/>
          <w:kern w:val="0"/>
          <w:sz w:val="24"/>
        </w:rPr>
        <w:t xml:space="preserve">J Am </w:t>
      </w:r>
      <w:proofErr w:type="spellStart"/>
      <w:r w:rsidRPr="00491BB4">
        <w:rPr>
          <w:rFonts w:ascii="Book Antiqua" w:hAnsi="Book Antiqua" w:cs="宋体"/>
          <w:i/>
          <w:iCs/>
          <w:color w:val="000000"/>
          <w:kern w:val="0"/>
          <w:sz w:val="24"/>
        </w:rPr>
        <w:t>Soc</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Nephrol</w:t>
      </w:r>
      <w:proofErr w:type="spellEnd"/>
      <w:r w:rsidRPr="00491BB4">
        <w:rPr>
          <w:rFonts w:ascii="Book Antiqua" w:hAnsi="Book Antiqua" w:cs="宋体"/>
          <w:color w:val="000000"/>
          <w:kern w:val="0"/>
          <w:sz w:val="24"/>
        </w:rPr>
        <w:t> 2007; </w:t>
      </w:r>
      <w:r w:rsidRPr="00491BB4">
        <w:rPr>
          <w:rFonts w:ascii="Book Antiqua" w:hAnsi="Book Antiqua" w:cs="宋体"/>
          <w:b/>
          <w:bCs/>
          <w:color w:val="000000"/>
          <w:kern w:val="0"/>
          <w:sz w:val="24"/>
        </w:rPr>
        <w:t>18</w:t>
      </w:r>
      <w:r w:rsidRPr="00491BB4">
        <w:rPr>
          <w:rFonts w:ascii="Book Antiqua" w:hAnsi="Book Antiqua" w:cs="宋体"/>
          <w:color w:val="000000"/>
          <w:kern w:val="0"/>
          <w:sz w:val="24"/>
        </w:rPr>
        <w:t>: 2028-2031 [PMID: 17568020 DOI: 10.1681/ASN.2006111302]</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17 </w:t>
      </w:r>
      <w:proofErr w:type="spellStart"/>
      <w:r w:rsidRPr="00491BB4">
        <w:rPr>
          <w:rFonts w:ascii="Book Antiqua" w:hAnsi="Book Antiqua" w:cs="宋体"/>
          <w:b/>
          <w:bCs/>
          <w:color w:val="000000"/>
          <w:kern w:val="0"/>
          <w:sz w:val="24"/>
        </w:rPr>
        <w:t>Hou</w:t>
      </w:r>
      <w:proofErr w:type="spellEnd"/>
      <w:r w:rsidRPr="00491BB4">
        <w:rPr>
          <w:rFonts w:ascii="Book Antiqua" w:hAnsi="Book Antiqua" w:cs="宋体"/>
          <w:b/>
          <w:bCs/>
          <w:color w:val="000000"/>
          <w:kern w:val="0"/>
          <w:sz w:val="24"/>
        </w:rPr>
        <w:t xml:space="preserve"> W</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Sanyal</w:t>
      </w:r>
      <w:proofErr w:type="spellEnd"/>
      <w:r w:rsidRPr="00491BB4">
        <w:rPr>
          <w:rFonts w:ascii="Book Antiqua" w:hAnsi="Book Antiqua" w:cs="宋体"/>
          <w:color w:val="000000"/>
          <w:kern w:val="0"/>
          <w:sz w:val="24"/>
        </w:rPr>
        <w:t xml:space="preserve"> AJ. Ascites: diagnosis and management. </w:t>
      </w:r>
      <w:r w:rsidRPr="00491BB4">
        <w:rPr>
          <w:rFonts w:ascii="Book Antiqua" w:hAnsi="Book Antiqua" w:cs="宋体"/>
          <w:i/>
          <w:iCs/>
          <w:color w:val="000000"/>
          <w:kern w:val="0"/>
          <w:sz w:val="24"/>
        </w:rPr>
        <w:t xml:space="preserve">Med </w:t>
      </w:r>
      <w:proofErr w:type="spellStart"/>
      <w:r w:rsidRPr="00491BB4">
        <w:rPr>
          <w:rFonts w:ascii="Book Antiqua" w:hAnsi="Book Antiqua" w:cs="宋体"/>
          <w:i/>
          <w:iCs/>
          <w:color w:val="000000"/>
          <w:kern w:val="0"/>
          <w:sz w:val="24"/>
        </w:rPr>
        <w:t>Clin</w:t>
      </w:r>
      <w:proofErr w:type="spellEnd"/>
      <w:r w:rsidRPr="00491BB4">
        <w:rPr>
          <w:rFonts w:ascii="Book Antiqua" w:hAnsi="Book Antiqua" w:cs="宋体"/>
          <w:i/>
          <w:iCs/>
          <w:color w:val="000000"/>
          <w:kern w:val="0"/>
          <w:sz w:val="24"/>
        </w:rPr>
        <w:t xml:space="preserve"> North Am</w:t>
      </w:r>
      <w:r w:rsidRPr="00491BB4">
        <w:rPr>
          <w:rFonts w:ascii="Book Antiqua" w:hAnsi="Book Antiqua" w:cs="宋体"/>
          <w:color w:val="000000"/>
          <w:kern w:val="0"/>
          <w:sz w:val="24"/>
        </w:rPr>
        <w:t> 2009; </w:t>
      </w:r>
      <w:r w:rsidRPr="00491BB4">
        <w:rPr>
          <w:rFonts w:ascii="Book Antiqua" w:hAnsi="Book Antiqua" w:cs="宋体"/>
          <w:b/>
          <w:bCs/>
          <w:color w:val="000000"/>
          <w:kern w:val="0"/>
          <w:sz w:val="24"/>
        </w:rPr>
        <w:t>93</w:t>
      </w:r>
      <w:r w:rsidRPr="00491BB4">
        <w:rPr>
          <w:rFonts w:ascii="Book Antiqua" w:hAnsi="Book Antiqua" w:cs="宋体"/>
          <w:color w:val="000000"/>
          <w:kern w:val="0"/>
          <w:sz w:val="24"/>
        </w:rPr>
        <w:t>: 801-17, vii [PMID: 19577115 DOI: 10.1016/j.mcna.2009.03.007]</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18 </w:t>
      </w:r>
      <w:r w:rsidRPr="00491BB4">
        <w:rPr>
          <w:rFonts w:ascii="Book Antiqua" w:hAnsi="Book Antiqua" w:cs="宋体"/>
          <w:b/>
          <w:bCs/>
          <w:color w:val="000000"/>
          <w:kern w:val="0"/>
          <w:sz w:val="24"/>
        </w:rPr>
        <w:t>Chen RP</w:t>
      </w:r>
      <w:r w:rsidRPr="00491BB4">
        <w:rPr>
          <w:rFonts w:ascii="Book Antiqua" w:hAnsi="Book Antiqua" w:cs="宋体"/>
          <w:color w:val="000000"/>
          <w:kern w:val="0"/>
          <w:sz w:val="24"/>
        </w:rPr>
        <w:t xml:space="preserve">, Zhu Ge XJ, Huang ZM, Ye XH, Hu CY, Lu GR, Lu de Y, </w:t>
      </w:r>
      <w:proofErr w:type="spellStart"/>
      <w:r w:rsidRPr="00491BB4">
        <w:rPr>
          <w:rFonts w:ascii="Book Antiqua" w:hAnsi="Book Antiqua" w:cs="宋体"/>
          <w:color w:val="000000"/>
          <w:kern w:val="0"/>
          <w:sz w:val="24"/>
        </w:rPr>
        <w:t>Phemba</w:t>
      </w:r>
      <w:proofErr w:type="spellEnd"/>
      <w:r w:rsidRPr="00491BB4">
        <w:rPr>
          <w:rFonts w:ascii="Book Antiqua" w:hAnsi="Book Antiqua" w:cs="宋体"/>
          <w:color w:val="000000"/>
          <w:kern w:val="0"/>
          <w:sz w:val="24"/>
        </w:rPr>
        <w:t xml:space="preserve"> IL. Prophylactic use of </w:t>
      </w:r>
      <w:proofErr w:type="spellStart"/>
      <w:r w:rsidRPr="00491BB4">
        <w:rPr>
          <w:rFonts w:ascii="Book Antiqua" w:hAnsi="Book Antiqua" w:cs="宋体"/>
          <w:color w:val="000000"/>
          <w:kern w:val="0"/>
          <w:sz w:val="24"/>
        </w:rPr>
        <w:t>transjugular</w:t>
      </w:r>
      <w:proofErr w:type="spellEnd"/>
      <w:r w:rsidRPr="00491BB4">
        <w:rPr>
          <w:rFonts w:ascii="Book Antiqua" w:hAnsi="Book Antiqua" w:cs="宋体"/>
          <w:color w:val="000000"/>
          <w:kern w:val="0"/>
          <w:sz w:val="24"/>
        </w:rPr>
        <w:t xml:space="preserve"> intrahepatic </w:t>
      </w:r>
      <w:proofErr w:type="spellStart"/>
      <w:r w:rsidRPr="00491BB4">
        <w:rPr>
          <w:rFonts w:ascii="Book Antiqua" w:hAnsi="Book Antiqua" w:cs="宋体"/>
          <w:color w:val="000000"/>
          <w:kern w:val="0"/>
          <w:sz w:val="24"/>
        </w:rPr>
        <w:t>portosystemic</w:t>
      </w:r>
      <w:proofErr w:type="spellEnd"/>
      <w:r w:rsidRPr="00491BB4">
        <w:rPr>
          <w:rFonts w:ascii="Book Antiqua" w:hAnsi="Book Antiqua" w:cs="宋体"/>
          <w:color w:val="000000"/>
          <w:kern w:val="0"/>
          <w:sz w:val="24"/>
        </w:rPr>
        <w:t xml:space="preserve"> shunt aids in the treatment of refractory ascites: </w:t>
      </w:r>
      <w:proofErr w:type="spellStart"/>
      <w:r w:rsidRPr="00491BB4">
        <w:rPr>
          <w:rFonts w:ascii="Book Antiqua" w:hAnsi="Book Antiqua" w:cs="宋体"/>
          <w:color w:val="000000"/>
          <w:kern w:val="0"/>
          <w:sz w:val="24"/>
        </w:rPr>
        <w:t>metaregression</w:t>
      </w:r>
      <w:proofErr w:type="spellEnd"/>
      <w:r w:rsidRPr="00491BB4">
        <w:rPr>
          <w:rFonts w:ascii="Book Antiqua" w:hAnsi="Book Antiqua" w:cs="宋体"/>
          <w:color w:val="000000"/>
          <w:kern w:val="0"/>
          <w:sz w:val="24"/>
        </w:rPr>
        <w:t xml:space="preserve"> and trial sequential meta-analysis. </w:t>
      </w:r>
      <w:r w:rsidRPr="00491BB4">
        <w:rPr>
          <w:rFonts w:ascii="Book Antiqua" w:hAnsi="Book Antiqua" w:cs="宋体"/>
          <w:i/>
          <w:iCs/>
          <w:color w:val="000000"/>
          <w:kern w:val="0"/>
          <w:sz w:val="24"/>
        </w:rPr>
        <w:t xml:space="preserve">J </w:t>
      </w:r>
      <w:proofErr w:type="spellStart"/>
      <w:r w:rsidRPr="00491BB4">
        <w:rPr>
          <w:rFonts w:ascii="Book Antiqua" w:hAnsi="Book Antiqua" w:cs="宋体"/>
          <w:i/>
          <w:iCs/>
          <w:color w:val="000000"/>
          <w:kern w:val="0"/>
          <w:sz w:val="24"/>
        </w:rPr>
        <w:t>Clin</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Gastroenterol</w:t>
      </w:r>
      <w:proofErr w:type="spellEnd"/>
      <w:r w:rsidRPr="00491BB4">
        <w:rPr>
          <w:rFonts w:ascii="Book Antiqua" w:hAnsi="Book Antiqua" w:cs="宋体"/>
          <w:color w:val="000000"/>
          <w:kern w:val="0"/>
          <w:sz w:val="24"/>
        </w:rPr>
        <w:t> 2014; </w:t>
      </w:r>
      <w:r w:rsidRPr="00491BB4">
        <w:rPr>
          <w:rFonts w:ascii="Book Antiqua" w:hAnsi="Book Antiqua" w:cs="宋体"/>
          <w:b/>
          <w:bCs/>
          <w:color w:val="000000"/>
          <w:kern w:val="0"/>
          <w:sz w:val="24"/>
        </w:rPr>
        <w:t>48</w:t>
      </w:r>
      <w:r w:rsidRPr="00491BB4">
        <w:rPr>
          <w:rFonts w:ascii="Book Antiqua" w:hAnsi="Book Antiqua" w:cs="宋体"/>
          <w:color w:val="000000"/>
          <w:kern w:val="0"/>
          <w:sz w:val="24"/>
        </w:rPr>
        <w:t>: 290-299 [PMID: 24030734 DOI: 10.1097/MCG.0b013e3182a115e9]</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19 </w:t>
      </w:r>
      <w:proofErr w:type="spellStart"/>
      <w:r w:rsidRPr="00491BB4">
        <w:rPr>
          <w:rFonts w:ascii="Book Antiqua" w:hAnsi="Book Antiqua" w:cs="宋体"/>
          <w:b/>
          <w:bCs/>
          <w:color w:val="000000"/>
          <w:kern w:val="0"/>
          <w:sz w:val="24"/>
        </w:rPr>
        <w:t>Berl</w:t>
      </w:r>
      <w:proofErr w:type="spellEnd"/>
      <w:r w:rsidRPr="00491BB4">
        <w:rPr>
          <w:rFonts w:ascii="Book Antiqua" w:hAnsi="Book Antiqua" w:cs="宋体"/>
          <w:b/>
          <w:bCs/>
          <w:color w:val="000000"/>
          <w:kern w:val="0"/>
          <w:sz w:val="24"/>
        </w:rPr>
        <w:t xml:space="preserve"> T</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Quittnat</w:t>
      </w:r>
      <w:proofErr w:type="spellEnd"/>
      <w:r w:rsidRPr="00491BB4">
        <w:rPr>
          <w:rFonts w:ascii="Book Antiqua" w:hAnsi="Book Antiqua" w:cs="宋体"/>
          <w:color w:val="000000"/>
          <w:kern w:val="0"/>
          <w:sz w:val="24"/>
        </w:rPr>
        <w:t xml:space="preserve">-Pelletier F, </w:t>
      </w:r>
      <w:proofErr w:type="spellStart"/>
      <w:r w:rsidRPr="00491BB4">
        <w:rPr>
          <w:rFonts w:ascii="Book Antiqua" w:hAnsi="Book Antiqua" w:cs="宋体"/>
          <w:color w:val="000000"/>
          <w:kern w:val="0"/>
          <w:sz w:val="24"/>
        </w:rPr>
        <w:t>Verbalis</w:t>
      </w:r>
      <w:proofErr w:type="spellEnd"/>
      <w:r w:rsidRPr="00491BB4">
        <w:rPr>
          <w:rFonts w:ascii="Book Antiqua" w:hAnsi="Book Antiqua" w:cs="宋体"/>
          <w:color w:val="000000"/>
          <w:kern w:val="0"/>
          <w:sz w:val="24"/>
        </w:rPr>
        <w:t xml:space="preserve"> JG, </w:t>
      </w:r>
      <w:proofErr w:type="spellStart"/>
      <w:r w:rsidRPr="00491BB4">
        <w:rPr>
          <w:rFonts w:ascii="Book Antiqua" w:hAnsi="Book Antiqua" w:cs="宋体"/>
          <w:color w:val="000000"/>
          <w:kern w:val="0"/>
          <w:sz w:val="24"/>
        </w:rPr>
        <w:t>Schrier</w:t>
      </w:r>
      <w:proofErr w:type="spellEnd"/>
      <w:r w:rsidRPr="00491BB4">
        <w:rPr>
          <w:rFonts w:ascii="Book Antiqua" w:hAnsi="Book Antiqua" w:cs="宋体"/>
          <w:color w:val="000000"/>
          <w:kern w:val="0"/>
          <w:sz w:val="24"/>
        </w:rPr>
        <w:t xml:space="preserve"> RW, </w:t>
      </w:r>
      <w:proofErr w:type="spellStart"/>
      <w:r w:rsidRPr="00491BB4">
        <w:rPr>
          <w:rFonts w:ascii="Book Antiqua" w:hAnsi="Book Antiqua" w:cs="宋体"/>
          <w:color w:val="000000"/>
          <w:kern w:val="0"/>
          <w:sz w:val="24"/>
        </w:rPr>
        <w:t>Bichet</w:t>
      </w:r>
      <w:proofErr w:type="spellEnd"/>
      <w:r w:rsidRPr="00491BB4">
        <w:rPr>
          <w:rFonts w:ascii="Book Antiqua" w:hAnsi="Book Antiqua" w:cs="宋体"/>
          <w:color w:val="000000"/>
          <w:kern w:val="0"/>
          <w:sz w:val="24"/>
        </w:rPr>
        <w:t xml:space="preserve"> DG, Ouyang J, </w:t>
      </w:r>
      <w:proofErr w:type="spellStart"/>
      <w:r w:rsidRPr="00491BB4">
        <w:rPr>
          <w:rFonts w:ascii="Book Antiqua" w:hAnsi="Book Antiqua" w:cs="宋体"/>
          <w:color w:val="000000"/>
          <w:kern w:val="0"/>
          <w:sz w:val="24"/>
        </w:rPr>
        <w:t>Czerwiec</w:t>
      </w:r>
      <w:proofErr w:type="spellEnd"/>
      <w:r w:rsidRPr="00491BB4">
        <w:rPr>
          <w:rFonts w:ascii="Book Antiqua" w:hAnsi="Book Antiqua" w:cs="宋体"/>
          <w:color w:val="000000"/>
          <w:kern w:val="0"/>
          <w:sz w:val="24"/>
        </w:rPr>
        <w:t xml:space="preserve"> FS; SALTWATER Investigators. Oral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is safe and effective in chronic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J Am </w:t>
      </w:r>
      <w:proofErr w:type="spellStart"/>
      <w:r w:rsidRPr="00491BB4">
        <w:rPr>
          <w:rFonts w:ascii="Book Antiqua" w:hAnsi="Book Antiqua" w:cs="宋体"/>
          <w:i/>
          <w:iCs/>
          <w:color w:val="000000"/>
          <w:kern w:val="0"/>
          <w:sz w:val="24"/>
        </w:rPr>
        <w:t>Soc</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Nephrol</w:t>
      </w:r>
      <w:proofErr w:type="spellEnd"/>
      <w:r w:rsidRPr="00491BB4">
        <w:rPr>
          <w:rFonts w:ascii="Book Antiqua" w:hAnsi="Book Antiqua" w:cs="宋体"/>
          <w:color w:val="000000"/>
          <w:kern w:val="0"/>
          <w:sz w:val="24"/>
        </w:rPr>
        <w:t> 2010; </w:t>
      </w:r>
      <w:r w:rsidRPr="00491BB4">
        <w:rPr>
          <w:rFonts w:ascii="Book Antiqua" w:hAnsi="Book Antiqua" w:cs="宋体"/>
          <w:b/>
          <w:bCs/>
          <w:color w:val="000000"/>
          <w:kern w:val="0"/>
          <w:sz w:val="24"/>
        </w:rPr>
        <w:t>21</w:t>
      </w:r>
      <w:r w:rsidRPr="00491BB4">
        <w:rPr>
          <w:rFonts w:ascii="Book Antiqua" w:hAnsi="Book Antiqua" w:cs="宋体"/>
          <w:color w:val="000000"/>
          <w:kern w:val="0"/>
          <w:sz w:val="24"/>
        </w:rPr>
        <w:t>: 705-712 [PMID: 20185637 DOI: 10.1681/ASN.2009080857]</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20 </w:t>
      </w:r>
      <w:r w:rsidRPr="00491BB4">
        <w:rPr>
          <w:rFonts w:ascii="Book Antiqua" w:hAnsi="Book Antiqua" w:cs="宋体"/>
          <w:b/>
          <w:bCs/>
          <w:color w:val="000000"/>
          <w:kern w:val="0"/>
          <w:sz w:val="24"/>
        </w:rPr>
        <w:t>Cárdenas A</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Ginès</w:t>
      </w:r>
      <w:proofErr w:type="spellEnd"/>
      <w:r w:rsidRPr="00491BB4">
        <w:rPr>
          <w:rFonts w:ascii="Book Antiqua" w:hAnsi="Book Antiqua" w:cs="宋体"/>
          <w:color w:val="000000"/>
          <w:kern w:val="0"/>
          <w:sz w:val="24"/>
        </w:rPr>
        <w:t xml:space="preserve"> P, </w:t>
      </w:r>
      <w:proofErr w:type="spellStart"/>
      <w:r w:rsidRPr="00491BB4">
        <w:rPr>
          <w:rFonts w:ascii="Book Antiqua" w:hAnsi="Book Antiqua" w:cs="宋体"/>
          <w:color w:val="000000"/>
          <w:kern w:val="0"/>
          <w:sz w:val="24"/>
        </w:rPr>
        <w:t>Marotta</w:t>
      </w:r>
      <w:proofErr w:type="spellEnd"/>
      <w:r w:rsidRPr="00491BB4">
        <w:rPr>
          <w:rFonts w:ascii="Book Antiqua" w:hAnsi="Book Antiqua" w:cs="宋体"/>
          <w:color w:val="000000"/>
          <w:kern w:val="0"/>
          <w:sz w:val="24"/>
        </w:rPr>
        <w:t xml:space="preserve"> P, </w:t>
      </w:r>
      <w:proofErr w:type="spellStart"/>
      <w:r w:rsidRPr="00491BB4">
        <w:rPr>
          <w:rFonts w:ascii="Book Antiqua" w:hAnsi="Book Antiqua" w:cs="宋体"/>
          <w:color w:val="000000"/>
          <w:kern w:val="0"/>
          <w:sz w:val="24"/>
        </w:rPr>
        <w:t>Czerwiec</w:t>
      </w:r>
      <w:proofErr w:type="spellEnd"/>
      <w:r w:rsidRPr="00491BB4">
        <w:rPr>
          <w:rFonts w:ascii="Book Antiqua" w:hAnsi="Book Antiqua" w:cs="宋体"/>
          <w:color w:val="000000"/>
          <w:kern w:val="0"/>
          <w:sz w:val="24"/>
        </w:rPr>
        <w:t xml:space="preserve"> F, </w:t>
      </w:r>
      <w:proofErr w:type="spellStart"/>
      <w:r w:rsidRPr="00491BB4">
        <w:rPr>
          <w:rFonts w:ascii="Book Antiqua" w:hAnsi="Book Antiqua" w:cs="宋体"/>
          <w:color w:val="000000"/>
          <w:kern w:val="0"/>
          <w:sz w:val="24"/>
        </w:rPr>
        <w:t>Oyuang</w:t>
      </w:r>
      <w:proofErr w:type="spellEnd"/>
      <w:r w:rsidRPr="00491BB4">
        <w:rPr>
          <w:rFonts w:ascii="Book Antiqua" w:hAnsi="Book Antiqua" w:cs="宋体"/>
          <w:color w:val="000000"/>
          <w:kern w:val="0"/>
          <w:sz w:val="24"/>
        </w:rPr>
        <w:t xml:space="preserve"> J, Guevara M, </w:t>
      </w:r>
      <w:proofErr w:type="spellStart"/>
      <w:r w:rsidRPr="00491BB4">
        <w:rPr>
          <w:rFonts w:ascii="Book Antiqua" w:hAnsi="Book Antiqua" w:cs="宋体"/>
          <w:color w:val="000000"/>
          <w:kern w:val="0"/>
          <w:sz w:val="24"/>
        </w:rPr>
        <w:t>Afdhal</w:t>
      </w:r>
      <w:proofErr w:type="spellEnd"/>
      <w:r w:rsidRPr="00491BB4">
        <w:rPr>
          <w:rFonts w:ascii="Book Antiqua" w:hAnsi="Book Antiqua" w:cs="宋体"/>
          <w:color w:val="000000"/>
          <w:kern w:val="0"/>
          <w:sz w:val="24"/>
        </w:rPr>
        <w:t xml:space="preserve"> NH. </w:t>
      </w:r>
      <w:proofErr w:type="spellStart"/>
      <w:proofErr w:type="gram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an oral vasopressin antagonist, in the treatment of </w:t>
      </w:r>
      <w:proofErr w:type="spellStart"/>
      <w:r w:rsidRPr="00491BB4">
        <w:rPr>
          <w:rFonts w:ascii="Book Antiqua" w:hAnsi="Book Antiqua" w:cs="宋体"/>
          <w:color w:val="000000"/>
          <w:kern w:val="0"/>
          <w:sz w:val="24"/>
        </w:rPr>
        <w:lastRenderedPageBreak/>
        <w:t>hyponatremia</w:t>
      </w:r>
      <w:proofErr w:type="spellEnd"/>
      <w:r w:rsidRPr="00491BB4">
        <w:rPr>
          <w:rFonts w:ascii="Book Antiqua" w:hAnsi="Book Antiqua" w:cs="宋体"/>
          <w:color w:val="000000"/>
          <w:kern w:val="0"/>
          <w:sz w:val="24"/>
        </w:rPr>
        <w:t xml:space="preserve"> in cirrhosis.</w:t>
      </w:r>
      <w:proofErr w:type="gram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J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color w:val="000000"/>
          <w:kern w:val="0"/>
          <w:sz w:val="24"/>
        </w:rPr>
        <w:t> 2012; </w:t>
      </w:r>
      <w:r w:rsidRPr="00491BB4">
        <w:rPr>
          <w:rFonts w:ascii="Book Antiqua" w:hAnsi="Book Antiqua" w:cs="宋体"/>
          <w:b/>
          <w:bCs/>
          <w:color w:val="000000"/>
          <w:kern w:val="0"/>
          <w:sz w:val="24"/>
        </w:rPr>
        <w:t>56</w:t>
      </w:r>
      <w:r w:rsidRPr="00491BB4">
        <w:rPr>
          <w:rFonts w:ascii="Book Antiqua" w:hAnsi="Book Antiqua" w:cs="宋体"/>
          <w:color w:val="000000"/>
          <w:kern w:val="0"/>
          <w:sz w:val="24"/>
        </w:rPr>
        <w:t>: 571-578 [PMID: 22027579 DOI: 10.1016/j.jhep.2011.08.020]</w:t>
      </w:r>
    </w:p>
    <w:p w:rsidR="00C24456" w:rsidRPr="00491BB4" w:rsidRDefault="00C24456" w:rsidP="0040072C">
      <w:pPr>
        <w:widowControl/>
        <w:jc w:val="left"/>
        <w:rPr>
          <w:rFonts w:ascii="Book Antiqua" w:hAnsi="Book Antiqua" w:cs="宋体"/>
          <w:color w:val="000000"/>
          <w:kern w:val="0"/>
          <w:sz w:val="24"/>
        </w:rPr>
      </w:pPr>
      <w:proofErr w:type="gramStart"/>
      <w:r w:rsidRPr="00491BB4">
        <w:rPr>
          <w:rFonts w:ascii="Book Antiqua" w:hAnsi="Book Antiqua" w:cs="宋体"/>
          <w:color w:val="000000"/>
          <w:kern w:val="0"/>
          <w:sz w:val="24"/>
        </w:rPr>
        <w:t>21 </w:t>
      </w:r>
      <w:proofErr w:type="spellStart"/>
      <w:r w:rsidRPr="00491BB4">
        <w:rPr>
          <w:rFonts w:ascii="Book Antiqua" w:hAnsi="Book Antiqua" w:cs="宋体"/>
          <w:b/>
          <w:bCs/>
          <w:color w:val="000000"/>
          <w:kern w:val="0"/>
          <w:sz w:val="24"/>
        </w:rPr>
        <w:t>Schrier</w:t>
      </w:r>
      <w:proofErr w:type="spellEnd"/>
      <w:r w:rsidRPr="00491BB4">
        <w:rPr>
          <w:rFonts w:ascii="Book Antiqua" w:hAnsi="Book Antiqua" w:cs="宋体"/>
          <w:b/>
          <w:bCs/>
          <w:color w:val="000000"/>
          <w:kern w:val="0"/>
          <w:sz w:val="24"/>
        </w:rPr>
        <w:t xml:space="preserve"> RW</w:t>
      </w:r>
      <w:r w:rsidRPr="00491BB4">
        <w:rPr>
          <w:rFonts w:ascii="Book Antiqua" w:hAnsi="Book Antiqua" w:cs="宋体"/>
          <w:color w:val="000000"/>
          <w:kern w:val="0"/>
          <w:sz w:val="24"/>
        </w:rPr>
        <w:t xml:space="preserve">, Gross P, </w:t>
      </w:r>
      <w:proofErr w:type="spellStart"/>
      <w:r w:rsidRPr="00491BB4">
        <w:rPr>
          <w:rFonts w:ascii="Book Antiqua" w:hAnsi="Book Antiqua" w:cs="宋体"/>
          <w:color w:val="000000"/>
          <w:kern w:val="0"/>
          <w:sz w:val="24"/>
        </w:rPr>
        <w:t>Gheorghiade</w:t>
      </w:r>
      <w:proofErr w:type="spellEnd"/>
      <w:r w:rsidRPr="00491BB4">
        <w:rPr>
          <w:rFonts w:ascii="Book Antiqua" w:hAnsi="Book Antiqua" w:cs="宋体"/>
          <w:color w:val="000000"/>
          <w:kern w:val="0"/>
          <w:sz w:val="24"/>
        </w:rPr>
        <w:t xml:space="preserve"> M, </w:t>
      </w:r>
      <w:proofErr w:type="spellStart"/>
      <w:r w:rsidRPr="00491BB4">
        <w:rPr>
          <w:rFonts w:ascii="Book Antiqua" w:hAnsi="Book Antiqua" w:cs="宋体"/>
          <w:color w:val="000000"/>
          <w:kern w:val="0"/>
          <w:sz w:val="24"/>
        </w:rPr>
        <w:t>Berl</w:t>
      </w:r>
      <w:proofErr w:type="spellEnd"/>
      <w:r w:rsidRPr="00491BB4">
        <w:rPr>
          <w:rFonts w:ascii="Book Antiqua" w:hAnsi="Book Antiqua" w:cs="宋体"/>
          <w:color w:val="000000"/>
          <w:kern w:val="0"/>
          <w:sz w:val="24"/>
        </w:rPr>
        <w:t xml:space="preserve"> T, </w:t>
      </w:r>
      <w:proofErr w:type="spellStart"/>
      <w:r w:rsidRPr="00491BB4">
        <w:rPr>
          <w:rFonts w:ascii="Book Antiqua" w:hAnsi="Book Antiqua" w:cs="宋体"/>
          <w:color w:val="000000"/>
          <w:kern w:val="0"/>
          <w:sz w:val="24"/>
        </w:rPr>
        <w:t>Verbalis</w:t>
      </w:r>
      <w:proofErr w:type="spellEnd"/>
      <w:r w:rsidRPr="00491BB4">
        <w:rPr>
          <w:rFonts w:ascii="Book Antiqua" w:hAnsi="Book Antiqua" w:cs="宋体"/>
          <w:color w:val="000000"/>
          <w:kern w:val="0"/>
          <w:sz w:val="24"/>
        </w:rPr>
        <w:t xml:space="preserve"> JG, </w:t>
      </w:r>
      <w:proofErr w:type="spellStart"/>
      <w:r w:rsidRPr="00491BB4">
        <w:rPr>
          <w:rFonts w:ascii="Book Antiqua" w:hAnsi="Book Antiqua" w:cs="宋体"/>
          <w:color w:val="000000"/>
          <w:kern w:val="0"/>
          <w:sz w:val="24"/>
        </w:rPr>
        <w:t>Czerwiec</w:t>
      </w:r>
      <w:proofErr w:type="spellEnd"/>
      <w:r w:rsidRPr="00491BB4">
        <w:rPr>
          <w:rFonts w:ascii="Book Antiqua" w:hAnsi="Book Antiqua" w:cs="宋体"/>
          <w:color w:val="000000"/>
          <w:kern w:val="0"/>
          <w:sz w:val="24"/>
        </w:rPr>
        <w:t xml:space="preserve"> FS, </w:t>
      </w:r>
      <w:proofErr w:type="spellStart"/>
      <w:r w:rsidRPr="00491BB4">
        <w:rPr>
          <w:rFonts w:ascii="Book Antiqua" w:hAnsi="Book Antiqua" w:cs="宋体"/>
          <w:color w:val="000000"/>
          <w:kern w:val="0"/>
          <w:sz w:val="24"/>
        </w:rPr>
        <w:t>Orlandi</w:t>
      </w:r>
      <w:proofErr w:type="spellEnd"/>
      <w:r w:rsidRPr="00491BB4">
        <w:rPr>
          <w:rFonts w:ascii="Book Antiqua" w:hAnsi="Book Antiqua" w:cs="宋体"/>
          <w:color w:val="000000"/>
          <w:kern w:val="0"/>
          <w:sz w:val="24"/>
        </w:rPr>
        <w:t xml:space="preserve"> C; SALT Investigators.</w:t>
      </w:r>
      <w:proofErr w:type="gramEnd"/>
      <w:r w:rsidRPr="00491BB4">
        <w:rPr>
          <w:rFonts w:ascii="Book Antiqua" w:hAnsi="Book Antiqua" w:cs="宋体"/>
          <w:color w:val="000000"/>
          <w:kern w:val="0"/>
          <w:sz w:val="24"/>
        </w:rPr>
        <w:t xml:space="preserve"> </w:t>
      </w:r>
      <w:proofErr w:type="spellStart"/>
      <w:proofErr w:type="gram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a selective oral vasopressin V2-receptor antagonist, for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w:t>
      </w:r>
      <w:proofErr w:type="gram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N </w:t>
      </w:r>
      <w:proofErr w:type="spellStart"/>
      <w:r w:rsidRPr="00491BB4">
        <w:rPr>
          <w:rFonts w:ascii="Book Antiqua" w:hAnsi="Book Antiqua" w:cs="宋体"/>
          <w:i/>
          <w:iCs/>
          <w:color w:val="000000"/>
          <w:kern w:val="0"/>
          <w:sz w:val="24"/>
        </w:rPr>
        <w:t>Engl</w:t>
      </w:r>
      <w:proofErr w:type="spellEnd"/>
      <w:r w:rsidRPr="00491BB4">
        <w:rPr>
          <w:rFonts w:ascii="Book Antiqua" w:hAnsi="Book Antiqua" w:cs="宋体"/>
          <w:i/>
          <w:iCs/>
          <w:color w:val="000000"/>
          <w:kern w:val="0"/>
          <w:sz w:val="24"/>
        </w:rPr>
        <w:t xml:space="preserve"> J Med</w:t>
      </w:r>
      <w:r w:rsidRPr="00491BB4">
        <w:rPr>
          <w:rFonts w:ascii="Book Antiqua" w:hAnsi="Book Antiqua" w:cs="宋体"/>
          <w:color w:val="000000"/>
          <w:kern w:val="0"/>
          <w:sz w:val="24"/>
        </w:rPr>
        <w:t> 2006; </w:t>
      </w:r>
      <w:r w:rsidRPr="00491BB4">
        <w:rPr>
          <w:rFonts w:ascii="Book Antiqua" w:hAnsi="Book Antiqua" w:cs="宋体"/>
          <w:b/>
          <w:bCs/>
          <w:color w:val="000000"/>
          <w:kern w:val="0"/>
          <w:sz w:val="24"/>
        </w:rPr>
        <w:t>355</w:t>
      </w:r>
      <w:r w:rsidRPr="00491BB4">
        <w:rPr>
          <w:rFonts w:ascii="Book Antiqua" w:hAnsi="Book Antiqua" w:cs="宋体"/>
          <w:color w:val="000000"/>
          <w:kern w:val="0"/>
          <w:sz w:val="24"/>
        </w:rPr>
        <w:t>: 2099-2112 [PMID: 17105757 DOI: 10.1056/NEJMoa065181]</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22 </w:t>
      </w:r>
      <w:r w:rsidRPr="00491BB4">
        <w:rPr>
          <w:rFonts w:ascii="Book Antiqua" w:hAnsi="Book Antiqua" w:cs="宋体"/>
          <w:b/>
          <w:bCs/>
          <w:color w:val="000000"/>
          <w:kern w:val="0"/>
          <w:sz w:val="24"/>
        </w:rPr>
        <w:t>Miyazaki T</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Fujiki</w:t>
      </w:r>
      <w:proofErr w:type="spellEnd"/>
      <w:r w:rsidRPr="00491BB4">
        <w:rPr>
          <w:rFonts w:ascii="Book Antiqua" w:hAnsi="Book Antiqua" w:cs="宋体"/>
          <w:color w:val="000000"/>
          <w:kern w:val="0"/>
          <w:sz w:val="24"/>
        </w:rPr>
        <w:t xml:space="preserve"> H, Yamamura Y.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an orally active non-peptide arginine vasopressin V2 receptor antagonist, reduces ascites in rats with chronic liver injury.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i/>
          <w:iCs/>
          <w:color w:val="000000"/>
          <w:kern w:val="0"/>
          <w:sz w:val="24"/>
        </w:rPr>
        <w:t xml:space="preserve"> Res</w:t>
      </w:r>
      <w:r w:rsidRPr="00491BB4">
        <w:rPr>
          <w:rFonts w:ascii="Book Antiqua" w:hAnsi="Book Antiqua" w:cs="宋体"/>
          <w:color w:val="000000"/>
          <w:kern w:val="0"/>
          <w:sz w:val="24"/>
        </w:rPr>
        <w:t> 2013; </w:t>
      </w:r>
      <w:r w:rsidRPr="00491BB4">
        <w:rPr>
          <w:rFonts w:ascii="Book Antiqua" w:hAnsi="Book Antiqua" w:cs="宋体"/>
          <w:b/>
          <w:bCs/>
          <w:color w:val="000000"/>
          <w:kern w:val="0"/>
          <w:sz w:val="24"/>
        </w:rPr>
        <w:t>43</w:t>
      </w:r>
      <w:r w:rsidRPr="00491BB4">
        <w:rPr>
          <w:rFonts w:ascii="Book Antiqua" w:hAnsi="Book Antiqua" w:cs="宋体"/>
          <w:color w:val="000000"/>
          <w:kern w:val="0"/>
          <w:sz w:val="24"/>
        </w:rPr>
        <w:t>: 1224-1230 [PMID: 23413814 DOI: 10.1111/hepr.12073]</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23 </w:t>
      </w:r>
      <w:r w:rsidRPr="00491BB4">
        <w:rPr>
          <w:rFonts w:ascii="Book Antiqua" w:hAnsi="Book Antiqua" w:cs="宋体"/>
          <w:b/>
          <w:bCs/>
          <w:color w:val="000000"/>
          <w:kern w:val="0"/>
          <w:sz w:val="24"/>
        </w:rPr>
        <w:t>Habib S</w:t>
      </w:r>
      <w:r w:rsidRPr="00491BB4">
        <w:rPr>
          <w:rFonts w:ascii="Book Antiqua" w:hAnsi="Book Antiqua" w:cs="宋体"/>
          <w:color w:val="000000"/>
          <w:kern w:val="0"/>
          <w:sz w:val="24"/>
        </w:rPr>
        <w:t xml:space="preserve">, Boyer TD. </w:t>
      </w:r>
      <w:proofErr w:type="gramStart"/>
      <w:r w:rsidRPr="00491BB4">
        <w:rPr>
          <w:rFonts w:ascii="Book Antiqua" w:hAnsi="Book Antiqua" w:cs="宋体"/>
          <w:color w:val="000000"/>
          <w:kern w:val="0"/>
          <w:sz w:val="24"/>
        </w:rPr>
        <w:t xml:space="preserve">Vasopressin V2-receptor antagonists in patients with cirrhosis, ascites and </w:t>
      </w:r>
      <w:proofErr w:type="spellStart"/>
      <w:r w:rsidRPr="00491BB4">
        <w:rPr>
          <w:rFonts w:ascii="Book Antiqua" w:hAnsi="Book Antiqua" w:cs="宋体"/>
          <w:color w:val="000000"/>
          <w:kern w:val="0"/>
          <w:sz w:val="24"/>
        </w:rPr>
        <w:t>hyponatremia</w:t>
      </w:r>
      <w:proofErr w:type="spellEnd"/>
      <w:r w:rsidRPr="00491BB4">
        <w:rPr>
          <w:rFonts w:ascii="Book Antiqua" w:hAnsi="Book Antiqua" w:cs="宋体"/>
          <w:color w:val="000000"/>
          <w:kern w:val="0"/>
          <w:sz w:val="24"/>
        </w:rPr>
        <w:t>.</w:t>
      </w:r>
      <w:proofErr w:type="gramEnd"/>
      <w:r w:rsidRPr="00491BB4">
        <w:rPr>
          <w:rFonts w:ascii="Book Antiqua" w:hAnsi="Book Antiqua" w:cs="宋体"/>
          <w:color w:val="000000"/>
          <w:kern w:val="0"/>
          <w:sz w:val="24"/>
        </w:rPr>
        <w:t> </w:t>
      </w:r>
      <w:proofErr w:type="spellStart"/>
      <w:r w:rsidRPr="00491BB4">
        <w:rPr>
          <w:rFonts w:ascii="Book Antiqua" w:hAnsi="Book Antiqua" w:cs="宋体"/>
          <w:i/>
          <w:iCs/>
          <w:color w:val="000000"/>
          <w:kern w:val="0"/>
          <w:sz w:val="24"/>
        </w:rPr>
        <w:t>Therap</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Adv</w:t>
      </w:r>
      <w:proofErr w:type="spellEnd"/>
      <w:r w:rsidRPr="00491BB4">
        <w:rPr>
          <w:rFonts w:ascii="Book Antiqua" w:hAnsi="Book Antiqua" w:cs="宋体"/>
          <w:i/>
          <w:iCs/>
          <w:color w:val="000000"/>
          <w:kern w:val="0"/>
          <w:sz w:val="24"/>
        </w:rPr>
        <w:t xml:space="preserve"> </w:t>
      </w:r>
      <w:proofErr w:type="spellStart"/>
      <w:r w:rsidRPr="00491BB4">
        <w:rPr>
          <w:rFonts w:ascii="Book Antiqua" w:hAnsi="Book Antiqua" w:cs="宋体"/>
          <w:i/>
          <w:iCs/>
          <w:color w:val="000000"/>
          <w:kern w:val="0"/>
          <w:sz w:val="24"/>
        </w:rPr>
        <w:t>Gastroenterol</w:t>
      </w:r>
      <w:proofErr w:type="spellEnd"/>
      <w:r w:rsidRPr="00491BB4">
        <w:rPr>
          <w:rFonts w:ascii="Book Antiqua" w:hAnsi="Book Antiqua" w:cs="宋体"/>
          <w:color w:val="000000"/>
          <w:kern w:val="0"/>
          <w:sz w:val="24"/>
        </w:rPr>
        <w:t> 2012; </w:t>
      </w:r>
      <w:r w:rsidRPr="00491BB4">
        <w:rPr>
          <w:rFonts w:ascii="Book Antiqua" w:hAnsi="Book Antiqua" w:cs="宋体"/>
          <w:b/>
          <w:bCs/>
          <w:color w:val="000000"/>
          <w:kern w:val="0"/>
          <w:sz w:val="24"/>
        </w:rPr>
        <w:t>5</w:t>
      </w:r>
      <w:r w:rsidRPr="00491BB4">
        <w:rPr>
          <w:rFonts w:ascii="Book Antiqua" w:hAnsi="Book Antiqua" w:cs="宋体"/>
          <w:color w:val="000000"/>
          <w:kern w:val="0"/>
          <w:sz w:val="24"/>
        </w:rPr>
        <w:t>: 189-197 [PMID: 22570679 DOI: 10.1177/1756283X12437357]</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24 </w:t>
      </w:r>
      <w:r w:rsidRPr="00491BB4">
        <w:rPr>
          <w:rFonts w:ascii="Book Antiqua" w:hAnsi="Book Antiqua" w:cs="宋体"/>
          <w:b/>
          <w:bCs/>
          <w:color w:val="000000"/>
          <w:kern w:val="0"/>
          <w:sz w:val="24"/>
        </w:rPr>
        <w:t>Torres VE</w:t>
      </w:r>
      <w:r w:rsidRPr="00491BB4">
        <w:rPr>
          <w:rFonts w:ascii="Book Antiqua" w:hAnsi="Book Antiqua" w:cs="宋体"/>
          <w:color w:val="000000"/>
          <w:kern w:val="0"/>
          <w:sz w:val="24"/>
        </w:rPr>
        <w:t xml:space="preserve">, Chapman AB, </w:t>
      </w:r>
      <w:proofErr w:type="spellStart"/>
      <w:r w:rsidRPr="00491BB4">
        <w:rPr>
          <w:rFonts w:ascii="Book Antiqua" w:hAnsi="Book Antiqua" w:cs="宋体"/>
          <w:color w:val="000000"/>
          <w:kern w:val="0"/>
          <w:sz w:val="24"/>
        </w:rPr>
        <w:t>Devuyst</w:t>
      </w:r>
      <w:proofErr w:type="spellEnd"/>
      <w:r w:rsidRPr="00491BB4">
        <w:rPr>
          <w:rFonts w:ascii="Book Antiqua" w:hAnsi="Book Antiqua" w:cs="宋体"/>
          <w:color w:val="000000"/>
          <w:kern w:val="0"/>
          <w:sz w:val="24"/>
        </w:rPr>
        <w:t xml:space="preserve"> O, Gansevoort RT, Grantham JJ, </w:t>
      </w:r>
      <w:proofErr w:type="spellStart"/>
      <w:r w:rsidRPr="00491BB4">
        <w:rPr>
          <w:rFonts w:ascii="Book Antiqua" w:hAnsi="Book Antiqua" w:cs="宋体"/>
          <w:color w:val="000000"/>
          <w:kern w:val="0"/>
          <w:sz w:val="24"/>
        </w:rPr>
        <w:t>Higashihara</w:t>
      </w:r>
      <w:proofErr w:type="spellEnd"/>
      <w:r w:rsidRPr="00491BB4">
        <w:rPr>
          <w:rFonts w:ascii="Book Antiqua" w:hAnsi="Book Antiqua" w:cs="宋体"/>
          <w:color w:val="000000"/>
          <w:kern w:val="0"/>
          <w:sz w:val="24"/>
        </w:rPr>
        <w:t xml:space="preserve"> E, </w:t>
      </w:r>
      <w:proofErr w:type="spellStart"/>
      <w:r w:rsidRPr="00491BB4">
        <w:rPr>
          <w:rFonts w:ascii="Book Antiqua" w:hAnsi="Book Antiqua" w:cs="宋体"/>
          <w:color w:val="000000"/>
          <w:kern w:val="0"/>
          <w:sz w:val="24"/>
        </w:rPr>
        <w:t>Perrone</w:t>
      </w:r>
      <w:proofErr w:type="spellEnd"/>
      <w:r w:rsidRPr="00491BB4">
        <w:rPr>
          <w:rFonts w:ascii="Book Antiqua" w:hAnsi="Book Antiqua" w:cs="宋体"/>
          <w:color w:val="000000"/>
          <w:kern w:val="0"/>
          <w:sz w:val="24"/>
        </w:rPr>
        <w:t xml:space="preserve"> RD, </w:t>
      </w:r>
      <w:proofErr w:type="spellStart"/>
      <w:r w:rsidRPr="00491BB4">
        <w:rPr>
          <w:rFonts w:ascii="Book Antiqua" w:hAnsi="Book Antiqua" w:cs="宋体"/>
          <w:color w:val="000000"/>
          <w:kern w:val="0"/>
          <w:sz w:val="24"/>
        </w:rPr>
        <w:t>Krasa</w:t>
      </w:r>
      <w:proofErr w:type="spellEnd"/>
      <w:r w:rsidRPr="00491BB4">
        <w:rPr>
          <w:rFonts w:ascii="Book Antiqua" w:hAnsi="Book Antiqua" w:cs="宋体"/>
          <w:color w:val="000000"/>
          <w:kern w:val="0"/>
          <w:sz w:val="24"/>
        </w:rPr>
        <w:t xml:space="preserve"> HB, Ouyang J, </w:t>
      </w:r>
      <w:proofErr w:type="spellStart"/>
      <w:r w:rsidRPr="00491BB4">
        <w:rPr>
          <w:rFonts w:ascii="Book Antiqua" w:hAnsi="Book Antiqua" w:cs="宋体"/>
          <w:color w:val="000000"/>
          <w:kern w:val="0"/>
          <w:sz w:val="24"/>
        </w:rPr>
        <w:t>Czerwiec</w:t>
      </w:r>
      <w:proofErr w:type="spellEnd"/>
      <w:r w:rsidRPr="00491BB4">
        <w:rPr>
          <w:rFonts w:ascii="Book Antiqua" w:hAnsi="Book Antiqua" w:cs="宋体"/>
          <w:color w:val="000000"/>
          <w:kern w:val="0"/>
          <w:sz w:val="24"/>
        </w:rPr>
        <w:t xml:space="preserve"> FS. </w:t>
      </w:r>
      <w:proofErr w:type="spellStart"/>
      <w:proofErr w:type="gram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in patients with autosomal dominant polycystic kidney disease.</w:t>
      </w:r>
      <w:proofErr w:type="gramEnd"/>
      <w:r w:rsidRPr="00491BB4">
        <w:rPr>
          <w:rFonts w:ascii="Book Antiqua" w:hAnsi="Book Antiqua" w:cs="宋体"/>
          <w:color w:val="000000"/>
          <w:kern w:val="0"/>
          <w:sz w:val="24"/>
        </w:rPr>
        <w:t> </w:t>
      </w:r>
      <w:r w:rsidRPr="00491BB4">
        <w:rPr>
          <w:rFonts w:ascii="Book Antiqua" w:hAnsi="Book Antiqua" w:cs="宋体"/>
          <w:i/>
          <w:iCs/>
          <w:color w:val="000000"/>
          <w:kern w:val="0"/>
          <w:sz w:val="24"/>
        </w:rPr>
        <w:t xml:space="preserve">N </w:t>
      </w:r>
      <w:proofErr w:type="spellStart"/>
      <w:r w:rsidRPr="00491BB4">
        <w:rPr>
          <w:rFonts w:ascii="Book Antiqua" w:hAnsi="Book Antiqua" w:cs="宋体"/>
          <w:i/>
          <w:iCs/>
          <w:color w:val="000000"/>
          <w:kern w:val="0"/>
          <w:sz w:val="24"/>
        </w:rPr>
        <w:t>Engl</w:t>
      </w:r>
      <w:proofErr w:type="spellEnd"/>
      <w:r w:rsidRPr="00491BB4">
        <w:rPr>
          <w:rFonts w:ascii="Book Antiqua" w:hAnsi="Book Antiqua" w:cs="宋体"/>
          <w:i/>
          <w:iCs/>
          <w:color w:val="000000"/>
          <w:kern w:val="0"/>
          <w:sz w:val="24"/>
        </w:rPr>
        <w:t xml:space="preserve"> J Med</w:t>
      </w:r>
      <w:r w:rsidRPr="00491BB4">
        <w:rPr>
          <w:rFonts w:ascii="Book Antiqua" w:hAnsi="Book Antiqua" w:cs="宋体"/>
          <w:color w:val="000000"/>
          <w:kern w:val="0"/>
          <w:sz w:val="24"/>
        </w:rPr>
        <w:t> 2012; </w:t>
      </w:r>
      <w:r w:rsidRPr="00491BB4">
        <w:rPr>
          <w:rFonts w:ascii="Book Antiqua" w:hAnsi="Book Antiqua" w:cs="宋体"/>
          <w:b/>
          <w:bCs/>
          <w:color w:val="000000"/>
          <w:kern w:val="0"/>
          <w:sz w:val="24"/>
        </w:rPr>
        <w:t>367</w:t>
      </w:r>
      <w:r w:rsidRPr="00491BB4">
        <w:rPr>
          <w:rFonts w:ascii="Book Antiqua" w:hAnsi="Book Antiqua" w:cs="宋体"/>
          <w:color w:val="000000"/>
          <w:kern w:val="0"/>
          <w:sz w:val="24"/>
        </w:rPr>
        <w:t>: 2407-2418 [PMID: 23121377 DOI: 10.1056/NEJMoa1205511</w:t>
      </w:r>
      <w:r>
        <w:rPr>
          <w:rFonts w:ascii="Book Antiqua" w:hAnsi="Book Antiqua" w:cs="宋体"/>
          <w:color w:val="000000"/>
          <w:kern w:val="0"/>
          <w:sz w:val="24"/>
        </w:rPr>
        <w:t>]</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25 </w:t>
      </w:r>
      <w:proofErr w:type="spellStart"/>
      <w:r w:rsidRPr="00491BB4">
        <w:rPr>
          <w:rFonts w:ascii="Book Antiqua" w:hAnsi="Book Antiqua" w:cs="宋体"/>
          <w:b/>
          <w:bCs/>
          <w:color w:val="000000"/>
          <w:kern w:val="0"/>
          <w:sz w:val="24"/>
        </w:rPr>
        <w:t>Okita</w:t>
      </w:r>
      <w:proofErr w:type="spellEnd"/>
      <w:r w:rsidRPr="00491BB4">
        <w:rPr>
          <w:rFonts w:ascii="Book Antiqua" w:hAnsi="Book Antiqua" w:cs="宋体"/>
          <w:b/>
          <w:bCs/>
          <w:color w:val="000000"/>
          <w:kern w:val="0"/>
          <w:sz w:val="24"/>
        </w:rPr>
        <w:t xml:space="preserve"> K</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Sakaida</w:t>
      </w:r>
      <w:proofErr w:type="spellEnd"/>
      <w:r w:rsidRPr="00491BB4">
        <w:rPr>
          <w:rFonts w:ascii="Book Antiqua" w:hAnsi="Book Antiqua" w:cs="宋体"/>
          <w:color w:val="000000"/>
          <w:kern w:val="0"/>
          <w:sz w:val="24"/>
        </w:rPr>
        <w:t xml:space="preserve"> I, Okada M, Kaneko A, </w:t>
      </w:r>
      <w:proofErr w:type="spellStart"/>
      <w:r w:rsidRPr="00491BB4">
        <w:rPr>
          <w:rFonts w:ascii="Book Antiqua" w:hAnsi="Book Antiqua" w:cs="宋体"/>
          <w:color w:val="000000"/>
          <w:kern w:val="0"/>
          <w:sz w:val="24"/>
        </w:rPr>
        <w:t>Chayama</w:t>
      </w:r>
      <w:proofErr w:type="spellEnd"/>
      <w:r w:rsidRPr="00491BB4">
        <w:rPr>
          <w:rFonts w:ascii="Book Antiqua" w:hAnsi="Book Antiqua" w:cs="宋体"/>
          <w:color w:val="000000"/>
          <w:kern w:val="0"/>
          <w:sz w:val="24"/>
        </w:rPr>
        <w:t xml:space="preserve"> K, Kato M, </w:t>
      </w:r>
      <w:proofErr w:type="spellStart"/>
      <w:r w:rsidRPr="00491BB4">
        <w:rPr>
          <w:rFonts w:ascii="Book Antiqua" w:hAnsi="Book Antiqua" w:cs="宋体"/>
          <w:color w:val="000000"/>
          <w:kern w:val="0"/>
          <w:sz w:val="24"/>
        </w:rPr>
        <w:t>Sata</w:t>
      </w:r>
      <w:proofErr w:type="spellEnd"/>
      <w:r w:rsidRPr="00491BB4">
        <w:rPr>
          <w:rFonts w:ascii="Book Antiqua" w:hAnsi="Book Antiqua" w:cs="宋体"/>
          <w:color w:val="000000"/>
          <w:kern w:val="0"/>
          <w:sz w:val="24"/>
        </w:rPr>
        <w:t xml:space="preserve"> M, Yoshihara H, Ono N, </w:t>
      </w:r>
      <w:proofErr w:type="spellStart"/>
      <w:r w:rsidRPr="00491BB4">
        <w:rPr>
          <w:rFonts w:ascii="Book Antiqua" w:hAnsi="Book Antiqua" w:cs="宋体"/>
          <w:color w:val="000000"/>
          <w:kern w:val="0"/>
          <w:sz w:val="24"/>
        </w:rPr>
        <w:t>Murawaki</w:t>
      </w:r>
      <w:proofErr w:type="spellEnd"/>
      <w:r w:rsidRPr="00491BB4">
        <w:rPr>
          <w:rFonts w:ascii="Book Antiqua" w:hAnsi="Book Antiqua" w:cs="宋体"/>
          <w:color w:val="000000"/>
          <w:kern w:val="0"/>
          <w:sz w:val="24"/>
        </w:rPr>
        <w:t xml:space="preserve"> Y. A multicenter, open-label, dose-ranging study to </w:t>
      </w:r>
      <w:proofErr w:type="spellStart"/>
      <w:r w:rsidRPr="00491BB4">
        <w:rPr>
          <w:rFonts w:ascii="Book Antiqua" w:hAnsi="Book Antiqua" w:cs="宋体"/>
          <w:color w:val="000000"/>
          <w:kern w:val="0"/>
          <w:sz w:val="24"/>
        </w:rPr>
        <w:t>exploratively</w:t>
      </w:r>
      <w:proofErr w:type="spellEnd"/>
      <w:r w:rsidRPr="00491BB4">
        <w:rPr>
          <w:rFonts w:ascii="Book Antiqua" w:hAnsi="Book Antiqua" w:cs="宋体"/>
          <w:color w:val="000000"/>
          <w:kern w:val="0"/>
          <w:sz w:val="24"/>
        </w:rPr>
        <w:t xml:space="preserve"> evaluate the efficacy, safety, and dose-response of </w:t>
      </w:r>
      <w:proofErr w:type="spellStart"/>
      <w:r w:rsidRPr="00491BB4">
        <w:rPr>
          <w:rFonts w:ascii="Book Antiqua" w:hAnsi="Book Antiqua" w:cs="宋体"/>
          <w:color w:val="000000"/>
          <w:kern w:val="0"/>
          <w:sz w:val="24"/>
        </w:rPr>
        <w:t>tolvaptan</w:t>
      </w:r>
      <w:proofErr w:type="spellEnd"/>
      <w:r w:rsidRPr="00491BB4">
        <w:rPr>
          <w:rFonts w:ascii="Book Antiqua" w:hAnsi="Book Antiqua" w:cs="宋体"/>
          <w:color w:val="000000"/>
          <w:kern w:val="0"/>
          <w:sz w:val="24"/>
        </w:rPr>
        <w:t xml:space="preserve"> in patients with decompensated liver cirrhosis. </w:t>
      </w:r>
      <w:r w:rsidRPr="00491BB4">
        <w:rPr>
          <w:rFonts w:ascii="Book Antiqua" w:hAnsi="Book Antiqua" w:cs="宋体"/>
          <w:i/>
          <w:iCs/>
          <w:color w:val="000000"/>
          <w:kern w:val="0"/>
          <w:sz w:val="24"/>
        </w:rPr>
        <w:t xml:space="preserve">J </w:t>
      </w:r>
      <w:proofErr w:type="spellStart"/>
      <w:r w:rsidRPr="00491BB4">
        <w:rPr>
          <w:rFonts w:ascii="Book Antiqua" w:hAnsi="Book Antiqua" w:cs="宋体"/>
          <w:i/>
          <w:iCs/>
          <w:color w:val="000000"/>
          <w:kern w:val="0"/>
          <w:sz w:val="24"/>
        </w:rPr>
        <w:t>Gastroenterol</w:t>
      </w:r>
      <w:proofErr w:type="spellEnd"/>
      <w:r w:rsidRPr="00491BB4">
        <w:rPr>
          <w:rFonts w:ascii="Book Antiqua" w:hAnsi="Book Antiqua" w:cs="宋体"/>
          <w:color w:val="000000"/>
          <w:kern w:val="0"/>
          <w:sz w:val="24"/>
        </w:rPr>
        <w:t> 2010; </w:t>
      </w:r>
      <w:r w:rsidRPr="00491BB4">
        <w:rPr>
          <w:rFonts w:ascii="Book Antiqua" w:hAnsi="Book Antiqua" w:cs="宋体"/>
          <w:b/>
          <w:bCs/>
          <w:color w:val="000000"/>
          <w:kern w:val="0"/>
          <w:sz w:val="24"/>
        </w:rPr>
        <w:t>45</w:t>
      </w:r>
      <w:r w:rsidRPr="00491BB4">
        <w:rPr>
          <w:rFonts w:ascii="Book Antiqua" w:hAnsi="Book Antiqua" w:cs="宋体"/>
          <w:color w:val="000000"/>
          <w:kern w:val="0"/>
          <w:sz w:val="24"/>
        </w:rPr>
        <w:t>: 979-987 [PMID: 20387081 DOI: 10.1007/s00535-010-0240-6]</w:t>
      </w:r>
    </w:p>
    <w:p w:rsidR="00C24456" w:rsidRPr="00491BB4" w:rsidRDefault="00C24456" w:rsidP="0040072C">
      <w:pPr>
        <w:widowControl/>
        <w:jc w:val="left"/>
        <w:rPr>
          <w:rFonts w:ascii="Book Antiqua" w:hAnsi="Book Antiqua" w:cs="宋体"/>
          <w:color w:val="000000"/>
          <w:kern w:val="0"/>
          <w:sz w:val="24"/>
        </w:rPr>
      </w:pPr>
      <w:r w:rsidRPr="00491BB4">
        <w:rPr>
          <w:rFonts w:ascii="Book Antiqua" w:hAnsi="Book Antiqua" w:cs="宋体"/>
          <w:color w:val="000000"/>
          <w:kern w:val="0"/>
          <w:sz w:val="24"/>
        </w:rPr>
        <w:t xml:space="preserve">26 </w:t>
      </w:r>
      <w:proofErr w:type="spellStart"/>
      <w:r w:rsidRPr="00491BB4">
        <w:rPr>
          <w:rFonts w:ascii="Book Antiqua" w:hAnsi="Book Antiqua" w:cs="宋体"/>
          <w:b/>
          <w:color w:val="000000"/>
          <w:kern w:val="0"/>
          <w:sz w:val="24"/>
        </w:rPr>
        <w:t>Sakaida</w:t>
      </w:r>
      <w:proofErr w:type="spellEnd"/>
      <w:r w:rsidRPr="00491BB4">
        <w:rPr>
          <w:rFonts w:ascii="Book Antiqua" w:hAnsi="Book Antiqua" w:cs="宋体"/>
          <w:b/>
          <w:color w:val="000000"/>
          <w:kern w:val="0"/>
          <w:sz w:val="24"/>
        </w:rPr>
        <w:t xml:space="preserve"> I</w:t>
      </w:r>
      <w:r w:rsidRPr="00491BB4">
        <w:rPr>
          <w:rFonts w:ascii="Book Antiqua" w:hAnsi="Book Antiqua" w:cs="宋体"/>
          <w:color w:val="000000"/>
          <w:kern w:val="0"/>
          <w:sz w:val="24"/>
        </w:rPr>
        <w:t xml:space="preserve">, </w:t>
      </w:r>
      <w:proofErr w:type="spellStart"/>
      <w:r w:rsidRPr="00491BB4">
        <w:rPr>
          <w:rFonts w:ascii="Book Antiqua" w:hAnsi="Book Antiqua" w:cs="宋体"/>
          <w:color w:val="000000"/>
          <w:kern w:val="0"/>
          <w:sz w:val="24"/>
        </w:rPr>
        <w:t>Okita</w:t>
      </w:r>
      <w:proofErr w:type="spellEnd"/>
      <w:r w:rsidRPr="00491BB4">
        <w:rPr>
          <w:rFonts w:ascii="Book Antiqua" w:hAnsi="Book Antiqua" w:cs="宋体"/>
          <w:color w:val="000000"/>
          <w:kern w:val="0"/>
          <w:sz w:val="24"/>
        </w:rPr>
        <w:t xml:space="preserve"> K.</w:t>
      </w:r>
      <w:r w:rsidRPr="00491BB4">
        <w:rPr>
          <w:rFonts w:ascii="Book Antiqua" w:hAnsi="Book Antiqua"/>
          <w:color w:val="000000"/>
          <w:sz w:val="24"/>
        </w:rPr>
        <w:t xml:space="preserve"> </w:t>
      </w:r>
      <w:r w:rsidRPr="00491BB4">
        <w:rPr>
          <w:rFonts w:ascii="Book Antiqua" w:hAnsi="Book Antiqua" w:cs="宋体"/>
          <w:color w:val="000000"/>
          <w:kern w:val="0"/>
          <w:sz w:val="24"/>
        </w:rPr>
        <w:t>Correlation between changes in bodyweight and changes in ascites volume in liver cirrhosis patients with hepatic edema in short-term diuretic therapy. </w:t>
      </w:r>
      <w:proofErr w:type="spellStart"/>
      <w:r w:rsidRPr="00491BB4">
        <w:rPr>
          <w:rFonts w:ascii="Book Antiqua" w:hAnsi="Book Antiqua" w:cs="宋体"/>
          <w:i/>
          <w:iCs/>
          <w:color w:val="000000"/>
          <w:kern w:val="0"/>
          <w:sz w:val="24"/>
        </w:rPr>
        <w:t>Hepatol</w:t>
      </w:r>
      <w:proofErr w:type="spellEnd"/>
      <w:r w:rsidRPr="00491BB4">
        <w:rPr>
          <w:rFonts w:ascii="Book Antiqua" w:hAnsi="Book Antiqua" w:cs="宋体"/>
          <w:i/>
          <w:iCs/>
          <w:color w:val="000000"/>
          <w:kern w:val="0"/>
          <w:sz w:val="24"/>
        </w:rPr>
        <w:t xml:space="preserve"> Res</w:t>
      </w:r>
      <w:r w:rsidRPr="00491BB4">
        <w:rPr>
          <w:rFonts w:ascii="Book Antiqua" w:hAnsi="Book Antiqua" w:cs="宋体"/>
          <w:color w:val="000000"/>
          <w:kern w:val="0"/>
          <w:sz w:val="24"/>
        </w:rPr>
        <w:t> 2013; </w:t>
      </w:r>
      <w:proofErr w:type="gramStart"/>
      <w:r w:rsidRPr="00491BB4">
        <w:rPr>
          <w:rFonts w:ascii="Book Antiqua" w:hAnsi="Book Antiqua" w:cs="宋体"/>
          <w:color w:val="000000"/>
          <w:kern w:val="0"/>
          <w:sz w:val="24"/>
        </w:rPr>
        <w:t>In</w:t>
      </w:r>
      <w:proofErr w:type="gramEnd"/>
      <w:r w:rsidRPr="00491BB4">
        <w:rPr>
          <w:rFonts w:ascii="Book Antiqua" w:hAnsi="Book Antiqua" w:cs="宋体"/>
          <w:color w:val="000000"/>
          <w:kern w:val="0"/>
          <w:sz w:val="24"/>
        </w:rPr>
        <w:t xml:space="preserve"> press [PMID: 23711300 DOI: 10.1111/hepr.12171]</w:t>
      </w:r>
    </w:p>
    <w:p w:rsidR="00C24456" w:rsidRPr="00491BB4" w:rsidRDefault="00C24456" w:rsidP="00900F12">
      <w:pPr>
        <w:tabs>
          <w:tab w:val="left" w:pos="0"/>
          <w:tab w:val="right" w:pos="360"/>
        </w:tabs>
        <w:snapToGrid w:val="0"/>
        <w:spacing w:line="360" w:lineRule="auto"/>
        <w:rPr>
          <w:rFonts w:ascii="Book Antiqua" w:hAnsi="Book Antiqua" w:cs="Arial"/>
          <w:b/>
          <w:sz w:val="24"/>
        </w:rPr>
      </w:pPr>
    </w:p>
    <w:p w:rsidR="00C24456" w:rsidRPr="00491BB4" w:rsidRDefault="00C24456" w:rsidP="004921BD">
      <w:pPr>
        <w:tabs>
          <w:tab w:val="left" w:pos="180"/>
          <w:tab w:val="left" w:pos="360"/>
        </w:tabs>
        <w:adjustRightInd w:val="0"/>
        <w:snapToGrid w:val="0"/>
        <w:spacing w:line="360" w:lineRule="auto"/>
        <w:jc w:val="right"/>
        <w:rPr>
          <w:rFonts w:ascii="Book Antiqua" w:hAnsi="Book Antiqua" w:cs="Tahoma"/>
          <w:b/>
          <w:color w:val="000000"/>
          <w:sz w:val="24"/>
        </w:rPr>
      </w:pPr>
      <w:bookmarkStart w:id="269" w:name="OLE_LINK874"/>
      <w:bookmarkStart w:id="270" w:name="OLE_LINK875"/>
      <w:bookmarkStart w:id="271" w:name="OLE_LINK347"/>
      <w:bookmarkStart w:id="272" w:name="OLE_LINK384"/>
      <w:bookmarkStart w:id="273" w:name="OLE_LINK557"/>
      <w:bookmarkStart w:id="274" w:name="OLE_LINK558"/>
      <w:bookmarkStart w:id="275" w:name="OLE_LINK631"/>
      <w:bookmarkStart w:id="276" w:name="OLE_LINK632"/>
      <w:bookmarkStart w:id="277" w:name="OLE_LINK386"/>
      <w:bookmarkStart w:id="278" w:name="OLE_LINK431"/>
      <w:bookmarkStart w:id="279" w:name="OLE_LINK564"/>
      <w:bookmarkStart w:id="280" w:name="OLE_LINK493"/>
      <w:bookmarkStart w:id="281" w:name="OLE_LINK442"/>
      <w:bookmarkStart w:id="282" w:name="OLE_LINK551"/>
      <w:bookmarkStart w:id="283" w:name="OLE_LINK668"/>
      <w:bookmarkStart w:id="284" w:name="OLE_LINK669"/>
      <w:bookmarkStart w:id="285" w:name="OLE_LINK725"/>
      <w:bookmarkStart w:id="286" w:name="OLE_LINK489"/>
      <w:bookmarkStart w:id="287" w:name="OLE_LINK602"/>
      <w:bookmarkStart w:id="288" w:name="OLE_LINK658"/>
      <w:bookmarkStart w:id="289" w:name="OLE_LINK747"/>
      <w:bookmarkStart w:id="290" w:name="OLE_LINK897"/>
      <w:bookmarkStart w:id="291" w:name="OLE_LINK1138"/>
      <w:bookmarkStart w:id="292" w:name="OLE_LINK1139"/>
      <w:bookmarkStart w:id="293" w:name="OLE_LINK882"/>
      <w:bookmarkStart w:id="294" w:name="OLE_LINK1095"/>
      <w:bookmarkStart w:id="295" w:name="OLE_LINK1305"/>
      <w:bookmarkStart w:id="296" w:name="OLE_LINK1390"/>
      <w:bookmarkStart w:id="297" w:name="OLE_LINK964"/>
      <w:bookmarkStart w:id="298" w:name="OLE_LINK1190"/>
      <w:bookmarkStart w:id="299" w:name="OLE_LINK1314"/>
      <w:bookmarkStart w:id="300" w:name="OLE_LINK1031"/>
      <w:bookmarkStart w:id="301" w:name="OLE_LINK1092"/>
      <w:bookmarkStart w:id="302" w:name="OLE_LINK1258"/>
      <w:bookmarkStart w:id="303" w:name="OLE_LINK1259"/>
      <w:bookmarkStart w:id="304" w:name="OLE_LINK1337"/>
      <w:bookmarkStart w:id="305" w:name="OLE_LINK1338"/>
      <w:bookmarkStart w:id="306" w:name="OLE_LINK1363"/>
      <w:bookmarkStart w:id="307" w:name="OLE_LINK1364"/>
      <w:bookmarkStart w:id="308" w:name="OLE_LINK86"/>
      <w:bookmarkStart w:id="309" w:name="OLE_LINK1595"/>
      <w:bookmarkStart w:id="310" w:name="OLE_LINK1613"/>
      <w:bookmarkStart w:id="311" w:name="OLE_LINK1708"/>
      <w:bookmarkStart w:id="312" w:name="OLE_LINK1774"/>
      <w:bookmarkStart w:id="313" w:name="OLE_LINK1872"/>
      <w:bookmarkStart w:id="314" w:name="OLE_LINK1899"/>
      <w:bookmarkStart w:id="315" w:name="OLE_LINK1492"/>
      <w:bookmarkStart w:id="316" w:name="OLE_LINK1497"/>
      <w:bookmarkStart w:id="317" w:name="OLE_LINK1498"/>
      <w:bookmarkStart w:id="318" w:name="OLE_LINK1589"/>
      <w:bookmarkStart w:id="319" w:name="OLE_LINK1666"/>
      <w:bookmarkStart w:id="320" w:name="OLE_LINK1752"/>
      <w:bookmarkStart w:id="321" w:name="OLE_LINK1616"/>
      <w:bookmarkStart w:id="322" w:name="OLE_LINK1696"/>
      <w:bookmarkStart w:id="323" w:name="OLE_LINK1855"/>
      <w:bookmarkStart w:id="324" w:name="OLE_LINK1942"/>
      <w:bookmarkStart w:id="325" w:name="OLE_LINK1943"/>
      <w:bookmarkStart w:id="326" w:name="OLE_LINK1573"/>
      <w:bookmarkStart w:id="327" w:name="OLE_LINK1574"/>
      <w:bookmarkStart w:id="328" w:name="OLE_LINK1575"/>
      <w:bookmarkStart w:id="329" w:name="OLE_LINK1739"/>
      <w:bookmarkStart w:id="330" w:name="OLE_LINK1761"/>
      <w:bookmarkStart w:id="331" w:name="OLE_LINK1743"/>
      <w:bookmarkStart w:id="332" w:name="OLE_LINK1841"/>
      <w:bookmarkStart w:id="333" w:name="OLE_LINK1858"/>
      <w:bookmarkStart w:id="334" w:name="OLE_LINK1890"/>
      <w:bookmarkStart w:id="335" w:name="OLE_LINK1915"/>
      <w:bookmarkStart w:id="336" w:name="OLE_LINK1980"/>
      <w:bookmarkStart w:id="337" w:name="OLE_LINK1883"/>
      <w:bookmarkStart w:id="338" w:name="OLE_LINK1935"/>
      <w:bookmarkStart w:id="339" w:name="OLE_LINK1936"/>
      <w:bookmarkStart w:id="340" w:name="OLE_LINK1952"/>
      <w:bookmarkStart w:id="341" w:name="OLE_LINK1953"/>
      <w:bookmarkStart w:id="342" w:name="OLE_LINK1999"/>
      <w:bookmarkStart w:id="343" w:name="OLE_LINK2050"/>
      <w:bookmarkStart w:id="344" w:name="OLE_LINK1862"/>
      <w:bookmarkStart w:id="345" w:name="OLE_LINK1963"/>
      <w:bookmarkStart w:id="346" w:name="OLE_LINK2052"/>
      <w:bookmarkStart w:id="347" w:name="OLE_LINK1906"/>
      <w:bookmarkStart w:id="348" w:name="OLE_LINK2031"/>
      <w:bookmarkStart w:id="349" w:name="OLE_LINK2032"/>
      <w:bookmarkStart w:id="350" w:name="OLE_LINK1907"/>
      <w:bookmarkStart w:id="351" w:name="OLE_LINK2004"/>
      <w:bookmarkStart w:id="352" w:name="OLE_LINK2238"/>
      <w:bookmarkStart w:id="353" w:name="OLE_LINK2239"/>
      <w:bookmarkStart w:id="354" w:name="OLE_LINK2163"/>
      <w:bookmarkStart w:id="355" w:name="OLE_LINK2207"/>
      <w:bookmarkStart w:id="356" w:name="OLE_LINK2341"/>
      <w:bookmarkStart w:id="357" w:name="OLE_LINK2417"/>
      <w:bookmarkStart w:id="358" w:name="OLE_LINK2509"/>
      <w:bookmarkStart w:id="359" w:name="OLE_LINK2510"/>
      <w:bookmarkStart w:id="360" w:name="OLE_LINK2511"/>
      <w:bookmarkStart w:id="361" w:name="OLE_LINK2512"/>
      <w:bookmarkStart w:id="362" w:name="OLE_LINK2513"/>
      <w:bookmarkStart w:id="363" w:name="OLE_LINK2514"/>
      <w:bookmarkStart w:id="364" w:name="OLE_LINK2515"/>
      <w:bookmarkStart w:id="365" w:name="OLE_LINK2516"/>
      <w:bookmarkStart w:id="366" w:name="OLE_LINK2517"/>
      <w:bookmarkStart w:id="367" w:name="OLE_LINK2518"/>
      <w:bookmarkStart w:id="368" w:name="OLE_LINK2519"/>
      <w:bookmarkStart w:id="369" w:name="OLE_LINK2520"/>
      <w:bookmarkStart w:id="370" w:name="OLE_LINK2521"/>
      <w:bookmarkStart w:id="371" w:name="OLE_LINK2522"/>
      <w:bookmarkStart w:id="372" w:name="OLE_LINK2523"/>
      <w:bookmarkStart w:id="373" w:name="OLE_LINK2524"/>
      <w:bookmarkStart w:id="374" w:name="OLE_LINK2051"/>
      <w:bookmarkStart w:id="375" w:name="OLE_LINK2109"/>
      <w:bookmarkStart w:id="376" w:name="OLE_LINK2165"/>
      <w:bookmarkStart w:id="377" w:name="OLE_LINK2385"/>
      <w:bookmarkStart w:id="378" w:name="OLE_LINK2593"/>
      <w:bookmarkStart w:id="379" w:name="OLE_LINK2332"/>
      <w:bookmarkStart w:id="380" w:name="OLE_LINK2448"/>
      <w:bookmarkStart w:id="381" w:name="OLE_LINK2525"/>
      <w:bookmarkStart w:id="382" w:name="OLE_LINK2506"/>
      <w:bookmarkStart w:id="383" w:name="OLE_LINK2507"/>
      <w:bookmarkStart w:id="384" w:name="OLE_LINK2291"/>
      <w:bookmarkStart w:id="385" w:name="OLE_LINK2294"/>
      <w:bookmarkStart w:id="386" w:name="OLE_LINK2298"/>
      <w:bookmarkStart w:id="387" w:name="OLE_LINK2300"/>
      <w:bookmarkStart w:id="388" w:name="OLE_LINK2301"/>
      <w:bookmarkStart w:id="389" w:name="OLE_LINK2546"/>
      <w:bookmarkStart w:id="390" w:name="OLE_LINK2756"/>
      <w:bookmarkStart w:id="391" w:name="OLE_LINK2757"/>
      <w:bookmarkStart w:id="392" w:name="OLE_LINK2736"/>
      <w:bookmarkStart w:id="393" w:name="OLE_LINK2923"/>
      <w:bookmarkStart w:id="394" w:name="OLE_LINK2974"/>
      <w:bookmarkStart w:id="395" w:name="OLE_LINK3125"/>
      <w:bookmarkStart w:id="396" w:name="OLE_LINK3218"/>
      <w:bookmarkStart w:id="397" w:name="OLE_LINK2575"/>
      <w:bookmarkStart w:id="398" w:name="OLE_LINK2687"/>
      <w:bookmarkStart w:id="399" w:name="OLE_LINK2688"/>
      <w:bookmarkStart w:id="400" w:name="OLE_LINK2700"/>
      <w:bookmarkStart w:id="401" w:name="OLE_LINK2576"/>
      <w:bookmarkStart w:id="402" w:name="OLE_LINK2674"/>
      <w:bookmarkStart w:id="403" w:name="OLE_LINK2738"/>
      <w:bookmarkStart w:id="404" w:name="OLE_LINK2983"/>
      <w:bookmarkStart w:id="405" w:name="OLE_LINK76"/>
      <w:bookmarkStart w:id="406" w:name="OLE_LINK115"/>
      <w:bookmarkStart w:id="407" w:name="OLE_LINK155"/>
      <w:r w:rsidRPr="00491BB4">
        <w:rPr>
          <w:rFonts w:ascii="Book Antiqua" w:hAnsi="Book Antiqua" w:cs="Tahoma"/>
          <w:b/>
          <w:color w:val="000000"/>
          <w:sz w:val="24"/>
        </w:rPr>
        <w:t xml:space="preserve">P-Reviewers: </w:t>
      </w:r>
      <w:proofErr w:type="spellStart"/>
      <w:r w:rsidRPr="00B01D15">
        <w:rPr>
          <w:rFonts w:ascii="Book Antiqua" w:hAnsi="Book Antiqua" w:cs="Tahoma"/>
          <w:color w:val="000000"/>
          <w:sz w:val="24"/>
        </w:rPr>
        <w:t>Guglielmi</w:t>
      </w:r>
      <w:proofErr w:type="spellEnd"/>
      <w:r w:rsidRPr="00B01D15">
        <w:rPr>
          <w:rFonts w:ascii="Book Antiqua" w:hAnsi="Book Antiqua" w:cs="Tahoma"/>
          <w:color w:val="000000"/>
          <w:sz w:val="24"/>
        </w:rPr>
        <w:t xml:space="preserve"> FW, </w:t>
      </w:r>
      <w:proofErr w:type="spellStart"/>
      <w:r w:rsidRPr="00B01D15">
        <w:rPr>
          <w:rFonts w:ascii="Book Antiqua" w:hAnsi="Book Antiqua" w:cs="Tahoma"/>
          <w:color w:val="000000"/>
          <w:sz w:val="24"/>
        </w:rPr>
        <w:t>Satapathy</w:t>
      </w:r>
      <w:proofErr w:type="spellEnd"/>
      <w:r w:rsidRPr="00B01D15">
        <w:rPr>
          <w:rFonts w:ascii="Book Antiqua" w:hAnsi="Book Antiqua" w:cs="Tahoma"/>
          <w:color w:val="000000"/>
          <w:sz w:val="24"/>
        </w:rPr>
        <w:t xml:space="preserve"> SK, </w:t>
      </w:r>
      <w:proofErr w:type="spellStart"/>
      <w:r w:rsidRPr="00B01D15">
        <w:rPr>
          <w:rFonts w:ascii="Book Antiqua" w:hAnsi="Book Antiqua" w:cs="Tahoma"/>
          <w:color w:val="000000"/>
          <w:sz w:val="24"/>
        </w:rPr>
        <w:t>Trapero-Marugan</w:t>
      </w:r>
      <w:proofErr w:type="spellEnd"/>
      <w:r w:rsidRPr="00B01D15">
        <w:rPr>
          <w:rFonts w:ascii="Book Antiqua" w:hAnsi="Book Antiqua" w:cs="Tahoma"/>
          <w:color w:val="000000"/>
          <w:sz w:val="24"/>
        </w:rPr>
        <w:t xml:space="preserve"> M, Wong GLH</w:t>
      </w:r>
      <w:r>
        <w:rPr>
          <w:rFonts w:ascii="Book Antiqua" w:hAnsi="Book Antiqua" w:cs="Tahoma"/>
          <w:b/>
          <w:color w:val="000000"/>
          <w:sz w:val="24"/>
        </w:rPr>
        <w:t xml:space="preserve"> </w:t>
      </w:r>
      <w:r w:rsidRPr="00491BB4">
        <w:rPr>
          <w:rFonts w:ascii="Book Antiqua" w:hAnsi="Book Antiqua" w:cs="Tahoma"/>
          <w:b/>
          <w:color w:val="000000"/>
          <w:sz w:val="24"/>
        </w:rPr>
        <w:t xml:space="preserve">S-Editor: </w:t>
      </w:r>
      <w:r w:rsidRPr="00491BB4">
        <w:rPr>
          <w:rFonts w:ascii="Book Antiqua" w:hAnsi="Book Antiqua" w:cs="Tahoma"/>
          <w:color w:val="000000"/>
          <w:sz w:val="24"/>
        </w:rPr>
        <w:t xml:space="preserve">Gou SX </w:t>
      </w:r>
      <w:r w:rsidRPr="00491BB4">
        <w:rPr>
          <w:rFonts w:ascii="Book Antiqua" w:hAnsi="Book Antiqua" w:cs="Tahoma"/>
          <w:b/>
          <w:color w:val="000000"/>
          <w:sz w:val="24"/>
        </w:rPr>
        <w:t xml:space="preserve">  L-Editor:    E-Edito</w:t>
      </w:r>
      <w:bookmarkEnd w:id="269"/>
      <w:bookmarkEnd w:id="270"/>
      <w:r w:rsidRPr="00491BB4">
        <w:rPr>
          <w:rFonts w:ascii="Book Antiqua" w:hAnsi="Book Antiqua" w:cs="Tahoma"/>
          <w:b/>
          <w:color w:val="000000"/>
          <w:sz w:val="24"/>
        </w:rPr>
        <w:t>r:</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rsidR="00C24456" w:rsidRPr="00491BB4" w:rsidRDefault="00C24456" w:rsidP="00900F12">
      <w:pPr>
        <w:tabs>
          <w:tab w:val="left" w:pos="0"/>
          <w:tab w:val="right" w:pos="360"/>
        </w:tabs>
        <w:snapToGrid w:val="0"/>
        <w:spacing w:line="360" w:lineRule="auto"/>
        <w:rPr>
          <w:rFonts w:ascii="Book Antiqua" w:hAnsi="Book Antiqua" w:cs="Arial"/>
          <w:b/>
          <w:sz w:val="24"/>
        </w:rPr>
      </w:pPr>
    </w:p>
    <w:p w:rsidR="00C24456" w:rsidRPr="00491BB4" w:rsidRDefault="00C24456" w:rsidP="00F32A86">
      <w:pPr>
        <w:pStyle w:val="a7"/>
        <w:snapToGrid w:val="0"/>
        <w:spacing w:line="360" w:lineRule="auto"/>
        <w:jc w:val="both"/>
        <w:rPr>
          <w:rFonts w:ascii="Book Antiqua" w:hAnsi="Book Antiqua" w:cs="Arial"/>
          <w:b/>
          <w:sz w:val="24"/>
          <w:szCs w:val="24"/>
        </w:rPr>
      </w:pPr>
      <w:r w:rsidRPr="00491BB4">
        <w:rPr>
          <w:rFonts w:ascii="Book Antiqua" w:hAnsi="Book Antiqua" w:cs="Arial"/>
          <w:b/>
          <w:sz w:val="24"/>
          <w:szCs w:val="24"/>
        </w:rPr>
        <w:br w:type="page"/>
      </w:r>
    </w:p>
    <w:p w:rsidR="00C24456" w:rsidRPr="00491BB4" w:rsidRDefault="00C24456" w:rsidP="00F32A86">
      <w:pPr>
        <w:snapToGrid w:val="0"/>
        <w:spacing w:line="360" w:lineRule="auto"/>
        <w:rPr>
          <w:rFonts w:ascii="Book Antiqua" w:hAnsi="Book Antiqua" w:cs="Arial"/>
          <w:b/>
          <w:sz w:val="24"/>
        </w:rPr>
      </w:pPr>
      <w:r w:rsidRPr="00491BB4">
        <w:rPr>
          <w:rFonts w:ascii="Book Antiqua" w:hAnsi="Book Antiqua" w:cs="Arial"/>
          <w:b/>
          <w:sz w:val="24"/>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66.95pt" o:ole="">
            <v:imagedata r:id="rId9" o:title=""/>
          </v:shape>
          <o:OLEObject Type="Embed" ProgID="PowerPoint.Slide.12" ShapeID="_x0000_i1025" DrawAspect="Content" ObjectID="_1461440829" r:id="rId10"/>
        </w:object>
      </w:r>
    </w:p>
    <w:p w:rsidR="00C24456" w:rsidRPr="00491BB4" w:rsidRDefault="00C24456" w:rsidP="00AD4ECA">
      <w:pPr>
        <w:snapToGrid w:val="0"/>
        <w:spacing w:line="360" w:lineRule="auto"/>
        <w:rPr>
          <w:rFonts w:ascii="Book Antiqua" w:hAnsi="Book Antiqua" w:cs="Arial"/>
          <w:sz w:val="24"/>
        </w:rPr>
      </w:pPr>
      <w:r w:rsidRPr="00491BB4">
        <w:rPr>
          <w:rFonts w:ascii="Book Antiqua" w:hAnsi="Book Antiqua" w:cs="Arial"/>
          <w:b/>
          <w:bCs/>
          <w:sz w:val="24"/>
        </w:rPr>
        <w:t xml:space="preserve">Figure 1 </w:t>
      </w:r>
      <w:r w:rsidRPr="00491BB4">
        <w:rPr>
          <w:rFonts w:ascii="Book Antiqua" w:hAnsi="Book Antiqua" w:cs="Arial"/>
          <w:b/>
          <w:sz w:val="24"/>
        </w:rPr>
        <w:t xml:space="preserve">Overall efficacy of 15 mg/d </w:t>
      </w:r>
      <w:proofErr w:type="spellStart"/>
      <w:r w:rsidRPr="00491BB4">
        <w:rPr>
          <w:rFonts w:ascii="Book Antiqua" w:hAnsi="Book Antiqua" w:cs="Arial"/>
          <w:b/>
          <w:sz w:val="24"/>
        </w:rPr>
        <w:t>tolvaptan</w:t>
      </w:r>
      <w:proofErr w:type="spellEnd"/>
      <w:r w:rsidRPr="00491BB4">
        <w:rPr>
          <w:rFonts w:ascii="Book Antiqua" w:hAnsi="Book Antiqua" w:cs="Arial"/>
          <w:b/>
          <w:sz w:val="24"/>
        </w:rPr>
        <w:t xml:space="preserve">. </w:t>
      </w:r>
      <w:r w:rsidRPr="00491BB4">
        <w:rPr>
          <w:rFonts w:ascii="Book Antiqua" w:hAnsi="Book Antiqua" w:cs="Arial"/>
          <w:sz w:val="24"/>
        </w:rPr>
        <w:t xml:space="preserve">Overall efficacy of 15 mg/d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for 5–14 d in all patients as well as in subgroups of patients with coexisting hepatocellular carcinoma (HCC) and </w:t>
      </w:r>
      <w:proofErr w:type="spellStart"/>
      <w:r w:rsidRPr="00491BB4">
        <w:rPr>
          <w:rFonts w:ascii="Book Antiqua" w:hAnsi="Book Antiqua" w:cs="Arial"/>
          <w:sz w:val="24"/>
        </w:rPr>
        <w:t>hepatorenal</w:t>
      </w:r>
      <w:proofErr w:type="spellEnd"/>
      <w:r w:rsidRPr="00491BB4">
        <w:rPr>
          <w:rFonts w:ascii="Book Antiqua" w:hAnsi="Book Antiqua" w:cs="Arial"/>
          <w:sz w:val="24"/>
        </w:rPr>
        <w:t xml:space="preserve"> syndrome (HRS) post-</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treatment. </w:t>
      </w:r>
    </w:p>
    <w:p w:rsidR="00C24456" w:rsidRPr="00491BB4" w:rsidRDefault="00C24456" w:rsidP="00AD4ECA">
      <w:pPr>
        <w:snapToGrid w:val="0"/>
        <w:spacing w:line="360" w:lineRule="auto"/>
        <w:rPr>
          <w:rFonts w:ascii="Book Antiqua" w:hAnsi="Book Antiqua" w:cs="Arial"/>
          <w:b/>
          <w:sz w:val="24"/>
        </w:rPr>
      </w:pPr>
      <w:r w:rsidRPr="00F15F12">
        <w:rPr>
          <w:rFonts w:ascii="Book Antiqua" w:hAnsi="Book Antiqua" w:cs="Arial"/>
          <w:b/>
          <w:sz w:val="24"/>
        </w:rPr>
        <w:object w:dxaOrig="7181" w:dyaOrig="5401">
          <v:shape id="_x0000_i1026" type="#_x0000_t75" style="width:359.3pt;height:266.95pt" o:ole="">
            <v:imagedata r:id="rId11" o:title=""/>
          </v:shape>
          <o:OLEObject Type="Embed" ProgID="PowerPoint.Slide.12" ShapeID="_x0000_i1026" DrawAspect="Content" ObjectID="_1461440830" r:id="rId12"/>
        </w:object>
      </w:r>
    </w:p>
    <w:p w:rsidR="00C24456" w:rsidRPr="00491BB4" w:rsidRDefault="00C24456" w:rsidP="00AD4ECA">
      <w:pPr>
        <w:snapToGrid w:val="0"/>
        <w:spacing w:line="360" w:lineRule="auto"/>
        <w:rPr>
          <w:rFonts w:ascii="Book Antiqua" w:hAnsi="Book Antiqua" w:cs="Arial"/>
          <w:sz w:val="24"/>
          <w:lang w:val="en-SG"/>
        </w:rPr>
      </w:pPr>
      <w:r w:rsidRPr="00491BB4">
        <w:rPr>
          <w:rFonts w:ascii="Book Antiqua" w:hAnsi="Book Antiqua" w:cs="Arial"/>
          <w:b/>
          <w:bCs/>
          <w:sz w:val="24"/>
        </w:rPr>
        <w:t xml:space="preserve">Figure 2 </w:t>
      </w:r>
      <w:proofErr w:type="gramStart"/>
      <w:r w:rsidRPr="00491BB4">
        <w:rPr>
          <w:rFonts w:ascii="Book Antiqua" w:hAnsi="Book Antiqua" w:cs="Arial"/>
          <w:b/>
          <w:sz w:val="24"/>
        </w:rPr>
        <w:t>The</w:t>
      </w:r>
      <w:proofErr w:type="gramEnd"/>
      <w:r w:rsidRPr="00491BB4">
        <w:rPr>
          <w:rFonts w:ascii="Book Antiqua" w:hAnsi="Book Antiqua" w:cs="Arial"/>
          <w:b/>
          <w:sz w:val="24"/>
        </w:rPr>
        <w:t xml:space="preserve"> effects of </w:t>
      </w:r>
      <w:proofErr w:type="spellStart"/>
      <w:r w:rsidRPr="00491BB4">
        <w:rPr>
          <w:rFonts w:ascii="Book Antiqua" w:hAnsi="Book Antiqua" w:cs="Arial"/>
          <w:b/>
          <w:sz w:val="24"/>
        </w:rPr>
        <w:t>tolvaptan</w:t>
      </w:r>
      <w:proofErr w:type="spellEnd"/>
      <w:r w:rsidRPr="00491BB4">
        <w:rPr>
          <w:rFonts w:ascii="Book Antiqua" w:hAnsi="Book Antiqua" w:cs="Arial"/>
          <w:b/>
          <w:sz w:val="24"/>
        </w:rPr>
        <w:t xml:space="preserve"> on serum sodium (mean ± SE) in patients with and without </w:t>
      </w:r>
      <w:proofErr w:type="spellStart"/>
      <w:r w:rsidRPr="00491BB4">
        <w:rPr>
          <w:rFonts w:ascii="Book Antiqua" w:hAnsi="Book Antiqua" w:cs="Arial"/>
          <w:b/>
          <w:sz w:val="24"/>
        </w:rPr>
        <w:t>hyponatremia</w:t>
      </w:r>
      <w:proofErr w:type="spellEnd"/>
      <w:r w:rsidRPr="00491BB4">
        <w:rPr>
          <w:rFonts w:ascii="Book Antiqua" w:hAnsi="Book Antiqua" w:cs="Arial"/>
          <w:b/>
          <w:sz w:val="24"/>
        </w:rPr>
        <w:t xml:space="preserve"> (</w:t>
      </w:r>
      <w:r w:rsidRPr="00491BB4">
        <w:rPr>
          <w:rFonts w:ascii="Book Antiqua" w:hAnsi="Book Antiqua" w:cs="Arial"/>
          <w:b/>
          <w:i/>
          <w:iCs/>
          <w:sz w:val="24"/>
        </w:rPr>
        <w:t>n</w:t>
      </w:r>
      <w:r w:rsidRPr="00491BB4">
        <w:rPr>
          <w:rFonts w:ascii="Book Antiqua" w:hAnsi="Book Antiqua" w:cs="Arial"/>
          <w:b/>
          <w:sz w:val="24"/>
        </w:rPr>
        <w:t xml:space="preserve"> = 21 and </w:t>
      </w:r>
      <w:r w:rsidRPr="00491BB4">
        <w:rPr>
          <w:rFonts w:ascii="Book Antiqua" w:hAnsi="Book Antiqua" w:cs="Arial"/>
          <w:b/>
          <w:i/>
          <w:iCs/>
          <w:sz w:val="24"/>
        </w:rPr>
        <w:t>n</w:t>
      </w:r>
      <w:r w:rsidRPr="00491BB4">
        <w:rPr>
          <w:rFonts w:ascii="Book Antiqua" w:hAnsi="Book Antiqua" w:cs="Arial"/>
          <w:b/>
          <w:sz w:val="24"/>
        </w:rPr>
        <w:t xml:space="preserve"> = 18, respectively).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w:t>
      </w:r>
      <w:r w:rsidRPr="00491BB4">
        <w:rPr>
          <w:rFonts w:ascii="Book Antiqua" w:hAnsi="Book Antiqua" w:cs="Arial"/>
          <w:sz w:val="24"/>
        </w:rPr>
        <w:lastRenderedPageBreak/>
        <w:t>(15 mg/d, 5–14 d) treatment (black column) significantly increased serum sodium concentration [</w:t>
      </w:r>
      <w:proofErr w:type="gramStart"/>
      <w:r w:rsidRPr="00491BB4">
        <w:rPr>
          <w:rFonts w:ascii="Book Antiqua" w:hAnsi="Book Antiqua" w:cs="Arial"/>
          <w:i/>
          <w:iCs/>
          <w:sz w:val="24"/>
        </w:rPr>
        <w:t>t</w:t>
      </w:r>
      <w:r w:rsidRPr="00491BB4">
        <w:rPr>
          <w:rFonts w:ascii="Book Antiqua" w:hAnsi="Book Antiqua" w:cs="Arial"/>
          <w:sz w:val="24"/>
        </w:rPr>
        <w:t>(</w:t>
      </w:r>
      <w:proofErr w:type="gramEnd"/>
      <w:r w:rsidRPr="00491BB4">
        <w:rPr>
          <w:rFonts w:ascii="Book Antiqua" w:hAnsi="Book Antiqua" w:cs="Arial"/>
          <w:sz w:val="24"/>
        </w:rPr>
        <w:t xml:space="preserve">40) = -4.029, </w:t>
      </w:r>
      <w:proofErr w:type="spellStart"/>
      <w:r w:rsidRPr="00491BB4">
        <w:rPr>
          <w:rFonts w:ascii="Book Antiqua" w:hAnsi="Book Antiqua" w:cs="Arial"/>
          <w:sz w:val="24"/>
          <w:vertAlign w:val="superscript"/>
        </w:rPr>
        <w:t>b</w:t>
      </w:r>
      <w:r w:rsidRPr="00491BB4">
        <w:rPr>
          <w:rFonts w:ascii="Book Antiqua" w:hAnsi="Book Antiqua" w:cs="Arial"/>
          <w:i/>
          <w:iCs/>
          <w:sz w:val="24"/>
        </w:rPr>
        <w:t>P</w:t>
      </w:r>
      <w:proofErr w:type="spellEnd"/>
      <w:r w:rsidRPr="00491BB4">
        <w:rPr>
          <w:rFonts w:ascii="Book Antiqua" w:hAnsi="Book Antiqua" w:cs="Arial"/>
          <w:sz w:val="24"/>
        </w:rPr>
        <w:t xml:space="preserve"> &lt; 0.01 </w:t>
      </w:r>
      <w:r w:rsidRPr="00491BB4">
        <w:rPr>
          <w:rFonts w:ascii="Book Antiqua" w:hAnsi="Book Antiqua" w:cs="Arial"/>
          <w:i/>
          <w:sz w:val="24"/>
        </w:rPr>
        <w:t>vs</w:t>
      </w:r>
      <w:r w:rsidRPr="00491BB4">
        <w:rPr>
          <w:rFonts w:ascii="Book Antiqua" w:hAnsi="Book Antiqua" w:cs="Arial"/>
          <w:sz w:val="24"/>
        </w:rPr>
        <w:t xml:space="preserve"> before treatment group] in patients with </w:t>
      </w:r>
      <w:proofErr w:type="spellStart"/>
      <w:r w:rsidRPr="00491BB4">
        <w:rPr>
          <w:rFonts w:ascii="Book Antiqua" w:hAnsi="Book Antiqua" w:cs="Arial"/>
          <w:sz w:val="24"/>
        </w:rPr>
        <w:t>hyponatremia</w:t>
      </w:r>
      <w:proofErr w:type="spellEnd"/>
      <w:r w:rsidRPr="00491BB4">
        <w:rPr>
          <w:rFonts w:ascii="Book Antiqua" w:hAnsi="Book Antiqua" w:cs="Arial"/>
          <w:sz w:val="24"/>
        </w:rPr>
        <w:t xml:space="preserve">, but not in patients without </w:t>
      </w:r>
      <w:proofErr w:type="spellStart"/>
      <w:r w:rsidRPr="00491BB4">
        <w:rPr>
          <w:rFonts w:ascii="Book Antiqua" w:hAnsi="Book Antiqua" w:cs="Arial"/>
          <w:sz w:val="24"/>
        </w:rPr>
        <w:t>hyponatremia</w:t>
      </w:r>
      <w:proofErr w:type="spellEnd"/>
      <w:r w:rsidRPr="00491BB4">
        <w:rPr>
          <w:rFonts w:ascii="Book Antiqua" w:hAnsi="Book Antiqua" w:cs="Arial"/>
          <w:sz w:val="24"/>
        </w:rPr>
        <w:t xml:space="preserve"> [</w:t>
      </w:r>
      <w:r w:rsidRPr="00491BB4">
        <w:rPr>
          <w:rFonts w:ascii="Book Antiqua" w:hAnsi="Book Antiqua" w:cs="Arial"/>
          <w:i/>
          <w:iCs/>
          <w:sz w:val="24"/>
        </w:rPr>
        <w:t>t</w:t>
      </w:r>
      <w:r w:rsidRPr="00491BB4">
        <w:rPr>
          <w:rFonts w:ascii="Book Antiqua" w:hAnsi="Book Antiqua" w:cs="Arial"/>
          <w:sz w:val="24"/>
        </w:rPr>
        <w:t xml:space="preserve">(32) = 1.545, </w:t>
      </w:r>
      <w:r w:rsidRPr="00491BB4">
        <w:rPr>
          <w:rFonts w:ascii="Book Antiqua" w:hAnsi="Book Antiqua" w:cs="Arial"/>
          <w:i/>
          <w:iCs/>
          <w:sz w:val="24"/>
        </w:rPr>
        <w:t>P</w:t>
      </w:r>
      <w:r w:rsidRPr="00491BB4">
        <w:rPr>
          <w:rFonts w:ascii="Book Antiqua" w:hAnsi="Book Antiqua" w:cs="Arial"/>
          <w:sz w:val="24"/>
        </w:rPr>
        <w:t xml:space="preserve"> &gt; 0.05 (NS)].</w:t>
      </w:r>
      <w:r w:rsidRPr="00491BB4">
        <w:rPr>
          <w:rFonts w:ascii="Book Antiqua" w:hAnsi="Book Antiqua" w:cs="Arial"/>
          <w:sz w:val="24"/>
          <w:lang w:val="en-SG"/>
        </w:rPr>
        <w:t xml:space="preserve"> </w:t>
      </w:r>
    </w:p>
    <w:p w:rsidR="00C24456" w:rsidRPr="00491BB4" w:rsidRDefault="00C24456" w:rsidP="00AD4ECA">
      <w:pPr>
        <w:snapToGrid w:val="0"/>
        <w:spacing w:line="360" w:lineRule="auto"/>
        <w:rPr>
          <w:rFonts w:ascii="Book Antiqua" w:hAnsi="Book Antiqua" w:cs="Arial"/>
          <w:sz w:val="24"/>
        </w:rPr>
      </w:pPr>
      <w:r w:rsidRPr="00491BB4">
        <w:rPr>
          <w:rFonts w:ascii="Book Antiqua" w:hAnsi="Book Antiqua" w:cs="Arial"/>
          <w:sz w:val="24"/>
        </w:rPr>
        <w:object w:dxaOrig="7181" w:dyaOrig="5401">
          <v:shape id="_x0000_i1027" type="#_x0000_t75" style="width:359.3pt;height:266.95pt" o:ole="">
            <v:imagedata r:id="rId13" o:title=""/>
          </v:shape>
          <o:OLEObject Type="Embed" ProgID="PowerPoint.Slide.12" ShapeID="_x0000_i1027" DrawAspect="Content" ObjectID="_1461440831" r:id="rId14"/>
        </w:object>
      </w:r>
    </w:p>
    <w:p w:rsidR="00C24456" w:rsidRPr="00491BB4" w:rsidRDefault="00C24456" w:rsidP="00AD4ECA">
      <w:pPr>
        <w:snapToGrid w:val="0"/>
        <w:spacing w:line="360" w:lineRule="auto"/>
        <w:rPr>
          <w:rFonts w:ascii="Book Antiqua" w:hAnsi="Book Antiqua" w:cs="Arial"/>
          <w:sz w:val="24"/>
        </w:rPr>
      </w:pPr>
      <w:r w:rsidRPr="00491BB4">
        <w:rPr>
          <w:rFonts w:ascii="Book Antiqua" w:hAnsi="Book Antiqua" w:cs="Arial"/>
          <w:b/>
          <w:bCs/>
          <w:sz w:val="24"/>
        </w:rPr>
        <w:t xml:space="preserve">Figure 3 </w:t>
      </w:r>
      <w:proofErr w:type="spellStart"/>
      <w:r w:rsidRPr="00491BB4">
        <w:rPr>
          <w:rFonts w:ascii="Book Antiqua" w:hAnsi="Book Antiqua" w:cs="Arial"/>
          <w:b/>
          <w:sz w:val="24"/>
        </w:rPr>
        <w:t>Tolvaptan</w:t>
      </w:r>
      <w:proofErr w:type="spellEnd"/>
      <w:r w:rsidRPr="00491BB4">
        <w:rPr>
          <w:rFonts w:ascii="Book Antiqua" w:hAnsi="Book Antiqua" w:cs="Arial"/>
          <w:b/>
          <w:sz w:val="24"/>
        </w:rPr>
        <w:t xml:space="preserve"> does not affective liver function elements. </w:t>
      </w:r>
      <w:r w:rsidRPr="00491BB4">
        <w:rPr>
          <w:rFonts w:ascii="Book Antiqua" w:hAnsi="Book Antiqua" w:cs="Arial"/>
          <w:sz w:val="24"/>
        </w:rPr>
        <w:t xml:space="preserve">A: </w:t>
      </w:r>
      <w:proofErr w:type="spellStart"/>
      <w:r w:rsidRPr="00491BB4">
        <w:rPr>
          <w:rFonts w:ascii="Book Antiqua" w:hAnsi="Book Antiqua" w:cs="Arial"/>
          <w:sz w:val="24"/>
        </w:rPr>
        <w:t>Tolvaptan</w:t>
      </w:r>
      <w:proofErr w:type="spellEnd"/>
      <w:r w:rsidRPr="00491BB4">
        <w:rPr>
          <w:rFonts w:ascii="Book Antiqua" w:hAnsi="Book Antiqua" w:cs="Arial"/>
          <w:sz w:val="24"/>
        </w:rPr>
        <w:t xml:space="preserve"> (15 mg/d for 5–14 d) does not affective liver function elements [model for end-stage liver disease (MELD) score, alanine aminotransferase (ALT) and aspartate aminotransferase (AST)] in patients with preexisting liver cirrhosis (</w:t>
      </w:r>
      <w:r w:rsidRPr="00491BB4">
        <w:rPr>
          <w:rFonts w:ascii="Book Antiqua" w:hAnsi="Book Antiqua" w:cs="Arial"/>
          <w:i/>
          <w:iCs/>
          <w:sz w:val="24"/>
        </w:rPr>
        <w:t>P</w:t>
      </w:r>
      <w:r w:rsidRPr="00491BB4">
        <w:rPr>
          <w:rFonts w:ascii="Book Antiqua" w:hAnsi="Book Antiqua" w:cs="Arial"/>
          <w:sz w:val="24"/>
        </w:rPr>
        <w:t xml:space="preserve"> &gt; 0.05); B:</w:t>
      </w:r>
      <w:r w:rsidRPr="00491BB4">
        <w:rPr>
          <w:rFonts w:ascii="Book Antiqua" w:hAnsi="Book Antiqua" w:cs="Arial"/>
          <w:b/>
          <w:sz w:val="24"/>
        </w:rPr>
        <w:t xml:space="preserve"> </w:t>
      </w:r>
      <w:r w:rsidRPr="00491BB4">
        <w:rPr>
          <w:rFonts w:ascii="Book Antiqua" w:hAnsi="Book Antiqua" w:cs="Arial"/>
          <w:sz w:val="24"/>
        </w:rPr>
        <w:t xml:space="preserve">Kaplan–Meier analysis of the 1-mo survival of patients without </w:t>
      </w:r>
      <w:proofErr w:type="spellStart"/>
      <w:r w:rsidRPr="00491BB4">
        <w:rPr>
          <w:rFonts w:ascii="Book Antiqua" w:hAnsi="Book Antiqua" w:cs="Arial"/>
          <w:sz w:val="24"/>
        </w:rPr>
        <w:t>hyponatremia</w:t>
      </w:r>
      <w:proofErr w:type="spellEnd"/>
      <w:r w:rsidRPr="00491BB4">
        <w:rPr>
          <w:rFonts w:ascii="Book Antiqua" w:hAnsi="Book Antiqua" w:cs="Arial"/>
          <w:sz w:val="24"/>
        </w:rPr>
        <w:t xml:space="preserve"> as well as with and without short-term correction of </w:t>
      </w:r>
      <w:proofErr w:type="spellStart"/>
      <w:r w:rsidRPr="00491BB4">
        <w:rPr>
          <w:rFonts w:ascii="Book Antiqua" w:hAnsi="Book Antiqua" w:cs="Arial"/>
          <w:sz w:val="24"/>
        </w:rPr>
        <w:t>hyponatremia</w:t>
      </w:r>
      <w:proofErr w:type="spellEnd"/>
      <w:r w:rsidRPr="00491BB4">
        <w:rPr>
          <w:rFonts w:ascii="Book Antiqua" w:hAnsi="Book Antiqua" w:cs="Arial"/>
          <w:sz w:val="24"/>
        </w:rPr>
        <w:t xml:space="preserve"> did not show any significant difference between patient groups.</w:t>
      </w:r>
      <w:r w:rsidRPr="00491BB4">
        <w:rPr>
          <w:rFonts w:ascii="Book Antiqua" w:hAnsi="Book Antiqua" w:cs="Arial"/>
          <w:b/>
          <w:sz w:val="24"/>
          <w:lang w:val="en-SG"/>
        </w:rPr>
        <w:t xml:space="preserve"> </w:t>
      </w:r>
    </w:p>
    <w:p w:rsidR="00C24456" w:rsidRPr="00491BB4" w:rsidRDefault="00C24456" w:rsidP="00F32A86">
      <w:pPr>
        <w:pStyle w:val="a7"/>
        <w:snapToGrid w:val="0"/>
        <w:spacing w:line="360" w:lineRule="auto"/>
        <w:jc w:val="both"/>
        <w:rPr>
          <w:rFonts w:ascii="Book Antiqua" w:hAnsi="Book Antiqua" w:cs="Arial"/>
          <w:b/>
          <w:sz w:val="24"/>
          <w:szCs w:val="24"/>
        </w:rPr>
      </w:pPr>
      <w:r w:rsidRPr="00491BB4">
        <w:rPr>
          <w:rFonts w:ascii="Book Antiqua" w:hAnsi="Book Antiqua" w:cs="Arial"/>
          <w:b/>
          <w:sz w:val="24"/>
          <w:szCs w:val="24"/>
        </w:rPr>
        <w:br w:type="page"/>
      </w:r>
    </w:p>
    <w:p w:rsidR="00C24456" w:rsidRPr="00491BB4" w:rsidRDefault="00C24456" w:rsidP="00F32A86">
      <w:pPr>
        <w:snapToGrid w:val="0"/>
        <w:spacing w:line="360" w:lineRule="auto"/>
        <w:rPr>
          <w:rFonts w:ascii="Book Antiqua" w:hAnsi="Book Antiqua" w:cs="Arial"/>
          <w:b/>
          <w:sz w:val="24"/>
        </w:rPr>
      </w:pPr>
      <w:r w:rsidRPr="00491BB4">
        <w:rPr>
          <w:rFonts w:ascii="Book Antiqua" w:hAnsi="Book Antiqua" w:cs="Arial"/>
          <w:b/>
          <w:sz w:val="24"/>
        </w:rPr>
        <w:t xml:space="preserve">Table 1 Definitions for grades, which represent the measures of improvement for the urine excretion volume, ascites and edema </w:t>
      </w:r>
    </w:p>
    <w:tbl>
      <w:tblPr>
        <w:tblW w:w="9214" w:type="dxa"/>
        <w:tblBorders>
          <w:top w:val="single" w:sz="4" w:space="0" w:color="000000"/>
          <w:bottom w:val="single" w:sz="4" w:space="0" w:color="000000"/>
        </w:tblBorders>
        <w:tblLook w:val="00A0" w:firstRow="1" w:lastRow="0" w:firstColumn="1" w:lastColumn="0" w:noHBand="0" w:noVBand="0"/>
      </w:tblPr>
      <w:tblGrid>
        <w:gridCol w:w="2031"/>
        <w:gridCol w:w="2394"/>
        <w:gridCol w:w="2394"/>
        <w:gridCol w:w="2395"/>
      </w:tblGrid>
      <w:tr w:rsidR="00C24456" w:rsidRPr="00491BB4" w:rsidTr="00D349A8">
        <w:tc>
          <w:tcPr>
            <w:tcW w:w="2031" w:type="dxa"/>
            <w:tcBorders>
              <w:top w:val="single" w:sz="4" w:space="0" w:color="000000"/>
            </w:tcBorders>
          </w:tcPr>
          <w:p w:rsidR="00C24456" w:rsidRPr="00491BB4" w:rsidRDefault="00C24456" w:rsidP="003A5325">
            <w:pPr>
              <w:pStyle w:val="12"/>
              <w:snapToGrid w:val="0"/>
              <w:spacing w:after="0" w:line="360" w:lineRule="auto"/>
              <w:ind w:left="0"/>
              <w:contextualSpacing w:val="0"/>
              <w:rPr>
                <w:rFonts w:ascii="Book Antiqua" w:hAnsi="Book Antiqua" w:cs="Arial"/>
                <w:iCs/>
                <w:sz w:val="24"/>
                <w:szCs w:val="24"/>
                <w:lang w:val="en-US"/>
              </w:rPr>
            </w:pPr>
          </w:p>
        </w:tc>
        <w:tc>
          <w:tcPr>
            <w:tcW w:w="7183" w:type="dxa"/>
            <w:gridSpan w:val="3"/>
            <w:tcBorders>
              <w:top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b/>
                <w:iCs/>
                <w:sz w:val="24"/>
                <w:szCs w:val="24"/>
                <w:lang w:val="en-US"/>
              </w:rPr>
            </w:pPr>
            <w:r w:rsidRPr="00491BB4">
              <w:rPr>
                <w:rFonts w:ascii="Book Antiqua" w:hAnsi="Book Antiqua" w:cs="Arial"/>
                <w:b/>
                <w:iCs/>
                <w:sz w:val="24"/>
                <w:szCs w:val="24"/>
                <w:lang w:val="en-US"/>
              </w:rPr>
              <w:t>Measure of improvement</w:t>
            </w:r>
          </w:p>
        </w:tc>
      </w:tr>
      <w:tr w:rsidR="00C24456" w:rsidRPr="00491BB4" w:rsidTr="00D349A8">
        <w:tc>
          <w:tcPr>
            <w:tcW w:w="2031" w:type="dxa"/>
          </w:tcPr>
          <w:p w:rsidR="00C24456" w:rsidRPr="00491BB4" w:rsidRDefault="00C24456" w:rsidP="003A5325">
            <w:pPr>
              <w:pStyle w:val="12"/>
              <w:snapToGrid w:val="0"/>
              <w:spacing w:after="0" w:line="360" w:lineRule="auto"/>
              <w:ind w:left="0"/>
              <w:contextualSpacing w:val="0"/>
              <w:rPr>
                <w:rFonts w:ascii="Book Antiqua" w:hAnsi="Book Antiqua" w:cs="Arial"/>
                <w:b/>
                <w:sz w:val="24"/>
                <w:szCs w:val="24"/>
                <w:lang w:val="en-US"/>
              </w:rPr>
            </w:pPr>
          </w:p>
        </w:tc>
        <w:tc>
          <w:tcPr>
            <w:tcW w:w="2394" w:type="dxa"/>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Significant improvement</w:t>
            </w:r>
          </w:p>
        </w:tc>
        <w:tc>
          <w:tcPr>
            <w:tcW w:w="2394" w:type="dxa"/>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Improvement</w:t>
            </w:r>
          </w:p>
        </w:tc>
        <w:tc>
          <w:tcPr>
            <w:tcW w:w="2395" w:type="dxa"/>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No improvement</w:t>
            </w:r>
          </w:p>
        </w:tc>
      </w:tr>
      <w:tr w:rsidR="00C24456" w:rsidRPr="00491BB4" w:rsidTr="00D349A8">
        <w:tc>
          <w:tcPr>
            <w:tcW w:w="2031" w:type="dxa"/>
          </w:tcPr>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rPr>
            </w:pPr>
          </w:p>
        </w:tc>
        <w:tc>
          <w:tcPr>
            <w:tcW w:w="7183" w:type="dxa"/>
            <w:gridSpan w:val="3"/>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Grade</w:t>
            </w:r>
          </w:p>
        </w:tc>
      </w:tr>
      <w:tr w:rsidR="00C24456" w:rsidRPr="00491BB4" w:rsidTr="003A5325">
        <w:tc>
          <w:tcPr>
            <w:tcW w:w="2031" w:type="dxa"/>
            <w:tcBorders>
              <w:bottom w:val="single" w:sz="4" w:space="0" w:color="000000"/>
            </w:tcBorders>
          </w:tcPr>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rPr>
            </w:pPr>
          </w:p>
        </w:tc>
        <w:tc>
          <w:tcPr>
            <w:tcW w:w="2394"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A</w:t>
            </w:r>
          </w:p>
        </w:tc>
        <w:tc>
          <w:tcPr>
            <w:tcW w:w="2394"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B</w:t>
            </w:r>
          </w:p>
        </w:tc>
        <w:tc>
          <w:tcPr>
            <w:tcW w:w="2395"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b/>
                <w:sz w:val="24"/>
                <w:szCs w:val="24"/>
                <w:lang w:val="en-US"/>
              </w:rPr>
            </w:pPr>
            <w:r w:rsidRPr="00491BB4">
              <w:rPr>
                <w:rFonts w:ascii="Book Antiqua" w:hAnsi="Book Antiqua" w:cs="Arial"/>
                <w:b/>
                <w:sz w:val="24"/>
                <w:szCs w:val="24"/>
                <w:lang w:val="en-US"/>
              </w:rPr>
              <w:t>C</w:t>
            </w:r>
          </w:p>
        </w:tc>
      </w:tr>
      <w:tr w:rsidR="00C24456" w:rsidRPr="00491BB4" w:rsidTr="003A5325">
        <w:tc>
          <w:tcPr>
            <w:tcW w:w="2031" w:type="dxa"/>
            <w:tcBorders>
              <w:top w:val="single" w:sz="4" w:space="0" w:color="000000"/>
              <w:bottom w:val="nil"/>
            </w:tcBorders>
          </w:tcPr>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rPr>
            </w:pPr>
            <w:r w:rsidRPr="00491BB4">
              <w:rPr>
                <w:rFonts w:ascii="Book Antiqua" w:hAnsi="Book Antiqua" w:cs="Arial"/>
                <w:sz w:val="24"/>
                <w:szCs w:val="24"/>
                <w:lang w:val="en-US"/>
              </w:rPr>
              <w:t>Volume of urine excretion</w:t>
            </w:r>
          </w:p>
        </w:tc>
        <w:tc>
          <w:tcPr>
            <w:tcW w:w="2394" w:type="dxa"/>
            <w:tcBorders>
              <w:top w:val="single" w:sz="4" w:space="0" w:color="000000"/>
              <w:bottom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Increase</w:t>
            </w:r>
            <w:r w:rsidRPr="00491BB4">
              <w:rPr>
                <w:rFonts w:ascii="Book Antiqua" w:hAnsi="Book Antiqua" w:cs="Arial"/>
                <w:sz w:val="24"/>
                <w:szCs w:val="24"/>
                <w:lang w:val="en-US" w:eastAsia="zh-CN"/>
              </w:rPr>
              <w:t>d</w:t>
            </w:r>
            <w:r w:rsidRPr="00491BB4">
              <w:rPr>
                <w:rFonts w:ascii="Book Antiqua" w:hAnsi="Book Antiqua" w:cs="Arial"/>
                <w:sz w:val="24"/>
                <w:szCs w:val="24"/>
                <w:lang w:val="en-US"/>
              </w:rPr>
              <w:t xml:space="preserve"> by &gt;1000 mL</w:t>
            </w:r>
            <w:r w:rsidRPr="00491BB4">
              <w:rPr>
                <w:rFonts w:ascii="Book Antiqua" w:hAnsi="Book Antiqua" w:cs="Arial"/>
                <w:sz w:val="24"/>
                <w:szCs w:val="24"/>
                <w:lang w:val="en-US" w:eastAsia="zh-CN"/>
              </w:rPr>
              <w:t>/24 h</w:t>
            </w:r>
          </w:p>
        </w:tc>
        <w:tc>
          <w:tcPr>
            <w:tcW w:w="2394" w:type="dxa"/>
            <w:tcBorders>
              <w:top w:val="single" w:sz="4" w:space="0" w:color="000000"/>
              <w:bottom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Increase</w:t>
            </w:r>
            <w:r w:rsidRPr="00491BB4">
              <w:rPr>
                <w:rFonts w:ascii="Book Antiqua" w:hAnsi="Book Antiqua" w:cs="Arial"/>
                <w:sz w:val="24"/>
                <w:szCs w:val="24"/>
                <w:lang w:val="en-US" w:eastAsia="zh-CN"/>
              </w:rPr>
              <w:t>d</w:t>
            </w:r>
            <w:r w:rsidRPr="00491BB4">
              <w:rPr>
                <w:rFonts w:ascii="Book Antiqua" w:hAnsi="Book Antiqua" w:cs="Arial"/>
                <w:sz w:val="24"/>
                <w:szCs w:val="24"/>
                <w:lang w:val="en-US"/>
              </w:rPr>
              <w:t xml:space="preserve"> by 500</w:t>
            </w:r>
            <w:r w:rsidRPr="00491BB4">
              <w:rPr>
                <w:rFonts w:ascii="Book Antiqua" w:hAnsi="Book Antiqua" w:cs="Arial"/>
                <w:sz w:val="24"/>
                <w:szCs w:val="24"/>
                <w:lang w:val="en-US" w:eastAsia="zh-CN"/>
              </w:rPr>
              <w:t>–</w:t>
            </w:r>
            <w:r w:rsidRPr="00491BB4">
              <w:rPr>
                <w:rFonts w:ascii="Book Antiqua" w:hAnsi="Book Antiqua" w:cs="Arial"/>
                <w:sz w:val="24"/>
                <w:szCs w:val="24"/>
                <w:lang w:val="en-US"/>
              </w:rPr>
              <w:t>1000 mL</w:t>
            </w:r>
            <w:r w:rsidRPr="00491BB4">
              <w:rPr>
                <w:rFonts w:ascii="Book Antiqua" w:hAnsi="Book Antiqua" w:cs="Arial"/>
                <w:sz w:val="24"/>
                <w:szCs w:val="24"/>
                <w:lang w:val="en-US" w:eastAsia="zh-CN"/>
              </w:rPr>
              <w:t>/24 h</w:t>
            </w:r>
          </w:p>
        </w:tc>
        <w:tc>
          <w:tcPr>
            <w:tcW w:w="2395" w:type="dxa"/>
            <w:tcBorders>
              <w:top w:val="single" w:sz="4" w:space="0" w:color="000000"/>
              <w:bottom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Increase</w:t>
            </w:r>
            <w:r w:rsidRPr="00491BB4">
              <w:rPr>
                <w:rFonts w:ascii="Book Antiqua" w:hAnsi="Book Antiqua" w:cs="Arial"/>
                <w:sz w:val="24"/>
                <w:szCs w:val="24"/>
                <w:lang w:val="en-US" w:eastAsia="zh-CN"/>
              </w:rPr>
              <w:t>d</w:t>
            </w:r>
            <w:r w:rsidRPr="00491BB4">
              <w:rPr>
                <w:rFonts w:ascii="Book Antiqua" w:hAnsi="Book Antiqua" w:cs="Arial"/>
                <w:sz w:val="24"/>
                <w:szCs w:val="24"/>
                <w:lang w:val="en-US"/>
              </w:rPr>
              <w:t xml:space="preserve"> by &lt; 500 mL</w:t>
            </w:r>
            <w:r w:rsidRPr="00491BB4">
              <w:rPr>
                <w:rFonts w:ascii="Book Antiqua" w:hAnsi="Book Antiqua" w:cs="Arial"/>
                <w:sz w:val="24"/>
                <w:szCs w:val="24"/>
                <w:lang w:val="en-US" w:eastAsia="zh-CN"/>
              </w:rPr>
              <w:t>/24 h</w:t>
            </w:r>
          </w:p>
        </w:tc>
      </w:tr>
      <w:tr w:rsidR="00C24456" w:rsidRPr="00491BB4" w:rsidTr="003A5325">
        <w:tc>
          <w:tcPr>
            <w:tcW w:w="2031" w:type="dxa"/>
            <w:tcBorders>
              <w:top w:val="nil"/>
            </w:tcBorders>
          </w:tcPr>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rPr>
            </w:pPr>
            <w:r w:rsidRPr="00491BB4">
              <w:rPr>
                <w:rFonts w:ascii="Book Antiqua" w:hAnsi="Book Antiqua" w:cs="Arial"/>
                <w:sz w:val="24"/>
                <w:szCs w:val="24"/>
                <w:lang w:val="en-US"/>
              </w:rPr>
              <w:t>Abdominal circumference</w:t>
            </w:r>
          </w:p>
        </w:tc>
        <w:tc>
          <w:tcPr>
            <w:tcW w:w="2394" w:type="dxa"/>
            <w:tcBorders>
              <w:top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Decrease</w:t>
            </w:r>
            <w:r w:rsidRPr="00491BB4">
              <w:rPr>
                <w:rFonts w:ascii="Book Antiqua" w:hAnsi="Book Antiqua" w:cs="Arial"/>
                <w:sz w:val="24"/>
                <w:szCs w:val="24"/>
                <w:lang w:val="en-US" w:eastAsia="zh-CN"/>
              </w:rPr>
              <w:t>d</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by</w:t>
            </w:r>
            <w:r w:rsidRPr="00491BB4">
              <w:rPr>
                <w:rFonts w:ascii="Book Antiqua" w:hAnsi="Book Antiqua" w:cs="Arial"/>
                <w:sz w:val="24"/>
                <w:szCs w:val="24"/>
                <w:lang w:val="en-US"/>
              </w:rPr>
              <w:t xml:space="preserve"> &gt; 2 cm</w:t>
            </w:r>
          </w:p>
        </w:tc>
        <w:tc>
          <w:tcPr>
            <w:tcW w:w="2394" w:type="dxa"/>
            <w:tcBorders>
              <w:top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r w:rsidRPr="00491BB4">
              <w:rPr>
                <w:rFonts w:ascii="Book Antiqua" w:hAnsi="Book Antiqua" w:cs="Arial"/>
                <w:sz w:val="24"/>
                <w:szCs w:val="24"/>
                <w:lang w:val="en-US"/>
              </w:rPr>
              <w:t>Decrease</w:t>
            </w:r>
            <w:r w:rsidRPr="00491BB4">
              <w:rPr>
                <w:rFonts w:ascii="Book Antiqua" w:hAnsi="Book Antiqua" w:cs="Arial"/>
                <w:sz w:val="24"/>
                <w:szCs w:val="24"/>
                <w:lang w:val="en-US" w:eastAsia="zh-CN"/>
              </w:rPr>
              <w:t>d</w:t>
            </w:r>
            <w:r w:rsidRPr="00491BB4">
              <w:rPr>
                <w:rFonts w:ascii="Book Antiqua" w:hAnsi="Book Antiqua" w:cs="Arial"/>
                <w:sz w:val="24"/>
                <w:szCs w:val="24"/>
                <w:lang w:val="en-US"/>
              </w:rPr>
              <w:t xml:space="preserve"> </w:t>
            </w:r>
            <w:r w:rsidRPr="00491BB4">
              <w:rPr>
                <w:rFonts w:ascii="Book Antiqua" w:hAnsi="Book Antiqua" w:cs="Arial"/>
                <w:sz w:val="24"/>
                <w:szCs w:val="24"/>
                <w:lang w:val="en-US" w:eastAsia="zh-CN"/>
              </w:rPr>
              <w:t xml:space="preserve">by </w:t>
            </w:r>
            <w:r w:rsidRPr="00491BB4">
              <w:rPr>
                <w:rFonts w:ascii="Book Antiqua" w:hAnsi="Book Antiqua" w:cs="Arial"/>
                <w:sz w:val="24"/>
                <w:szCs w:val="24"/>
                <w:lang w:val="en-US"/>
              </w:rPr>
              <w:t>0</w:t>
            </w:r>
            <w:r w:rsidRPr="00491BB4">
              <w:rPr>
                <w:rFonts w:ascii="Book Antiqua" w:hAnsi="Book Antiqua" w:cs="Arial"/>
                <w:sz w:val="24"/>
                <w:szCs w:val="24"/>
                <w:lang w:val="en-US" w:eastAsia="zh-CN"/>
              </w:rPr>
              <w:t>–</w:t>
            </w:r>
            <w:r w:rsidRPr="00491BB4">
              <w:rPr>
                <w:rFonts w:ascii="Book Antiqua" w:hAnsi="Book Antiqua" w:cs="Arial"/>
                <w:sz w:val="24"/>
                <w:szCs w:val="24"/>
                <w:lang w:val="en-US"/>
              </w:rPr>
              <w:t>2 cm</w:t>
            </w:r>
          </w:p>
        </w:tc>
        <w:tc>
          <w:tcPr>
            <w:tcW w:w="2395" w:type="dxa"/>
            <w:tcBorders>
              <w:top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No change</w:t>
            </w:r>
          </w:p>
        </w:tc>
      </w:tr>
      <w:tr w:rsidR="00C24456" w:rsidRPr="00491BB4" w:rsidTr="00D349A8">
        <w:tc>
          <w:tcPr>
            <w:tcW w:w="2031" w:type="dxa"/>
            <w:tcBorders>
              <w:bottom w:val="single" w:sz="4" w:space="0" w:color="000000"/>
            </w:tcBorders>
          </w:tcPr>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eastAsia="zh-CN"/>
              </w:rPr>
            </w:pPr>
            <w:r w:rsidRPr="00491BB4">
              <w:rPr>
                <w:rFonts w:ascii="Book Antiqua" w:hAnsi="Book Antiqua" w:cs="Arial"/>
                <w:sz w:val="24"/>
                <w:szCs w:val="24"/>
                <w:lang w:val="en-US"/>
              </w:rPr>
              <w:t>Edema</w:t>
            </w:r>
          </w:p>
          <w:p w:rsidR="00C24456" w:rsidRPr="00491BB4" w:rsidRDefault="00C24456" w:rsidP="003A5325">
            <w:pPr>
              <w:pStyle w:val="12"/>
              <w:snapToGrid w:val="0"/>
              <w:spacing w:after="0" w:line="360" w:lineRule="auto"/>
              <w:ind w:left="0"/>
              <w:contextualSpacing w:val="0"/>
              <w:rPr>
                <w:rFonts w:ascii="Book Antiqua" w:hAnsi="Book Antiqua" w:cs="Arial"/>
                <w:sz w:val="24"/>
                <w:szCs w:val="24"/>
                <w:lang w:val="en-US" w:eastAsia="zh-CN"/>
              </w:rPr>
            </w:pPr>
            <w:r w:rsidRPr="00491BB4">
              <w:rPr>
                <w:rFonts w:ascii="Book Antiqua" w:hAnsi="Book Antiqua" w:cs="Arial"/>
                <w:sz w:val="24"/>
                <w:szCs w:val="24"/>
                <w:lang w:val="en-US"/>
              </w:rPr>
              <w:t>(lower extremities)</w:t>
            </w:r>
          </w:p>
        </w:tc>
        <w:tc>
          <w:tcPr>
            <w:tcW w:w="2394"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A lack of visible pitting</w:t>
            </w:r>
          </w:p>
        </w:tc>
        <w:tc>
          <w:tcPr>
            <w:tcW w:w="2394"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Presence of visible pitting</w:t>
            </w:r>
          </w:p>
        </w:tc>
        <w:tc>
          <w:tcPr>
            <w:tcW w:w="2395" w:type="dxa"/>
            <w:tcBorders>
              <w:bottom w:val="single" w:sz="4" w:space="0" w:color="000000"/>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p>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Distinctly visible pitting</w:t>
            </w:r>
          </w:p>
        </w:tc>
      </w:tr>
    </w:tbl>
    <w:p w:rsidR="00C24456" w:rsidRPr="00491BB4" w:rsidRDefault="00C24456" w:rsidP="00F32A86">
      <w:pPr>
        <w:snapToGrid w:val="0"/>
        <w:spacing w:line="360" w:lineRule="auto"/>
        <w:rPr>
          <w:rFonts w:ascii="Book Antiqua" w:hAnsi="Book Antiqua" w:cs="Arial"/>
          <w:b/>
          <w:sz w:val="24"/>
        </w:rPr>
      </w:pPr>
    </w:p>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b/>
          <w:sz w:val="24"/>
          <w:szCs w:val="24"/>
          <w:lang w:val="en-US"/>
        </w:rPr>
        <w:br w:type="page"/>
      </w:r>
      <w:r w:rsidRPr="00491BB4">
        <w:rPr>
          <w:rFonts w:ascii="Book Antiqua" w:hAnsi="Book Antiqua" w:cs="Arial"/>
          <w:b/>
          <w:sz w:val="24"/>
          <w:szCs w:val="24"/>
          <w:lang w:val="en-US"/>
        </w:rPr>
        <w:lastRenderedPageBreak/>
        <w:t>Table 2</w:t>
      </w:r>
      <w:r w:rsidRPr="00491BB4">
        <w:rPr>
          <w:rFonts w:ascii="Book Antiqua" w:hAnsi="Book Antiqua" w:cs="Arial"/>
          <w:sz w:val="24"/>
          <w:szCs w:val="24"/>
          <w:lang w:val="en-US"/>
        </w:rPr>
        <w:t xml:space="preserve"> </w:t>
      </w:r>
      <w:r w:rsidRPr="00491BB4">
        <w:rPr>
          <w:rFonts w:ascii="Book Antiqua" w:hAnsi="Book Antiqua" w:cs="Arial"/>
          <w:b/>
          <w:sz w:val="24"/>
          <w:szCs w:val="24"/>
          <w:lang w:val="en-US"/>
        </w:rPr>
        <w:t>Baseline characteristics of the cirrhotic patients with refractory ascites who were included in the study</w:t>
      </w:r>
      <w:r w:rsidRPr="00491BB4">
        <w:rPr>
          <w:rFonts w:ascii="Book Antiqua" w:hAnsi="Book Antiqua" w:cs="Arial"/>
          <w:i/>
          <w:sz w:val="24"/>
          <w:szCs w:val="24"/>
          <w:lang w:val="en-US"/>
        </w:rPr>
        <w:t xml:space="preserve"> </w:t>
      </w:r>
      <w:r w:rsidRPr="00491BB4">
        <w:rPr>
          <w:rFonts w:ascii="Book Antiqua" w:hAnsi="Book Antiqua" w:cs="Arial"/>
          <w:b/>
          <w:i/>
          <w:sz w:val="24"/>
          <w:szCs w:val="24"/>
          <w:lang w:val="en-US"/>
        </w:rPr>
        <w:t>n</w:t>
      </w:r>
      <w:r w:rsidRPr="00491BB4">
        <w:rPr>
          <w:rFonts w:ascii="Book Antiqua" w:hAnsi="Book Antiqua" w:cs="Arial"/>
          <w:b/>
          <w:sz w:val="24"/>
          <w:szCs w:val="24"/>
          <w:lang w:val="en-US"/>
        </w:rPr>
        <w:t xml:space="preserve"> (%)</w:t>
      </w:r>
    </w:p>
    <w:tbl>
      <w:tblPr>
        <w:tblW w:w="9268" w:type="dxa"/>
        <w:tblBorders>
          <w:top w:val="single" w:sz="4" w:space="0" w:color="auto"/>
          <w:bottom w:val="single" w:sz="4" w:space="0" w:color="auto"/>
        </w:tblBorders>
        <w:tblLook w:val="00A0" w:firstRow="1" w:lastRow="0" w:firstColumn="1" w:lastColumn="0" w:noHBand="0" w:noVBand="0"/>
      </w:tblPr>
      <w:tblGrid>
        <w:gridCol w:w="4219"/>
        <w:gridCol w:w="3402"/>
        <w:gridCol w:w="1647"/>
      </w:tblGrid>
      <w:tr w:rsidR="00C24456" w:rsidRPr="00491BB4" w:rsidTr="003A5325">
        <w:tc>
          <w:tcPr>
            <w:tcW w:w="7621" w:type="dxa"/>
            <w:gridSpan w:val="2"/>
            <w:tcBorders>
              <w:top w:val="single" w:sz="4" w:space="0" w:color="auto"/>
              <w:bottom w:val="single" w:sz="4" w:space="0" w:color="auto"/>
            </w:tcBorders>
          </w:tcPr>
          <w:p w:rsidR="00C24456" w:rsidRPr="00491BB4" w:rsidRDefault="00C24456" w:rsidP="00F32A86">
            <w:pPr>
              <w:pStyle w:val="12"/>
              <w:snapToGrid w:val="0"/>
              <w:spacing w:after="0" w:line="360" w:lineRule="auto"/>
              <w:ind w:left="0"/>
              <w:contextualSpacing w:val="0"/>
              <w:jc w:val="both"/>
              <w:rPr>
                <w:rFonts w:ascii="Book Antiqua" w:hAnsi="Book Antiqua" w:cs="Arial"/>
                <w:b/>
                <w:iCs/>
                <w:sz w:val="24"/>
                <w:szCs w:val="24"/>
                <w:lang w:val="en-US"/>
              </w:rPr>
            </w:pPr>
            <w:r w:rsidRPr="00491BB4">
              <w:rPr>
                <w:rFonts w:ascii="Book Antiqua" w:hAnsi="Book Antiqua" w:cs="Arial"/>
                <w:b/>
                <w:sz w:val="24"/>
                <w:szCs w:val="24"/>
                <w:lang w:val="en-US"/>
              </w:rPr>
              <w:t>Baseline characteristics</w:t>
            </w:r>
          </w:p>
        </w:tc>
        <w:tc>
          <w:tcPr>
            <w:tcW w:w="1647" w:type="dxa"/>
            <w:tcBorders>
              <w:top w:val="single" w:sz="4" w:space="0" w:color="auto"/>
              <w:bottom w:val="single" w:sz="4" w:space="0" w:color="auto"/>
            </w:tcBorders>
          </w:tcPr>
          <w:p w:rsidR="00C24456" w:rsidRPr="00491BB4" w:rsidRDefault="00C24456" w:rsidP="00B771F6">
            <w:pPr>
              <w:pStyle w:val="12"/>
              <w:snapToGrid w:val="0"/>
              <w:spacing w:after="0" w:line="360" w:lineRule="auto"/>
              <w:ind w:left="0"/>
              <w:contextualSpacing w:val="0"/>
              <w:jc w:val="center"/>
              <w:rPr>
                <w:rFonts w:ascii="Book Antiqua" w:hAnsi="Book Antiqua" w:cs="Arial"/>
                <w:b/>
                <w:iCs/>
                <w:sz w:val="24"/>
                <w:szCs w:val="24"/>
                <w:lang w:val="en-US" w:eastAsia="zh-CN"/>
              </w:rPr>
            </w:pPr>
            <w:r w:rsidRPr="00491BB4">
              <w:rPr>
                <w:rFonts w:ascii="Book Antiqua" w:hAnsi="Book Antiqua" w:cs="Arial"/>
                <w:b/>
                <w:iCs/>
                <w:sz w:val="24"/>
                <w:szCs w:val="24"/>
                <w:lang w:val="en-US" w:eastAsia="zh-CN"/>
              </w:rPr>
              <w:t>Value</w:t>
            </w:r>
          </w:p>
        </w:tc>
      </w:tr>
      <w:tr w:rsidR="00C24456" w:rsidRPr="00491BB4" w:rsidTr="003A5325">
        <w:tc>
          <w:tcPr>
            <w:tcW w:w="7621" w:type="dxa"/>
            <w:gridSpan w:val="2"/>
            <w:tcBorders>
              <w:top w:val="single" w:sz="4" w:space="0" w:color="auto"/>
              <w:bottom w:val="nil"/>
            </w:tcBorders>
          </w:tcPr>
          <w:p w:rsidR="00C24456" w:rsidRPr="00491BB4" w:rsidRDefault="00C24456" w:rsidP="00F32A86">
            <w:pPr>
              <w:pStyle w:val="12"/>
              <w:snapToGrid w:val="0"/>
              <w:spacing w:after="0" w:line="360" w:lineRule="auto"/>
              <w:ind w:left="0"/>
              <w:contextualSpacing w:val="0"/>
              <w:jc w:val="both"/>
              <w:rPr>
                <w:rFonts w:ascii="Book Antiqua" w:hAnsi="Book Antiqua" w:cs="Arial"/>
                <w:iCs/>
                <w:sz w:val="24"/>
                <w:szCs w:val="24"/>
                <w:lang w:val="en-US"/>
              </w:rPr>
            </w:pPr>
            <w:r w:rsidRPr="00491BB4">
              <w:rPr>
                <w:rFonts w:ascii="Book Antiqua" w:hAnsi="Book Antiqua" w:cs="Arial"/>
                <w:iCs/>
                <w:sz w:val="24"/>
                <w:szCs w:val="24"/>
                <w:lang w:val="en-US"/>
              </w:rPr>
              <w:t>Total number of patients</w:t>
            </w:r>
          </w:p>
        </w:tc>
        <w:tc>
          <w:tcPr>
            <w:tcW w:w="1647" w:type="dxa"/>
            <w:tcBorders>
              <w:top w:val="single" w:sz="4" w:space="0" w:color="auto"/>
              <w:bottom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iCs/>
                <w:sz w:val="24"/>
                <w:szCs w:val="24"/>
                <w:lang w:val="en-US"/>
              </w:rPr>
            </w:pPr>
            <w:r w:rsidRPr="00491BB4">
              <w:rPr>
                <w:rFonts w:ascii="Book Antiqua" w:hAnsi="Book Antiqua" w:cs="Arial"/>
                <w:iCs/>
                <w:sz w:val="24"/>
                <w:szCs w:val="24"/>
                <w:lang w:val="en-US"/>
              </w:rPr>
              <w:t>39</w:t>
            </w:r>
          </w:p>
        </w:tc>
      </w:tr>
      <w:tr w:rsidR="00C24456" w:rsidRPr="00491BB4" w:rsidTr="003A5325">
        <w:tc>
          <w:tcPr>
            <w:tcW w:w="7621" w:type="dxa"/>
            <w:gridSpan w:val="2"/>
            <w:tcBorders>
              <w:top w:val="nil"/>
            </w:tcBorders>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Age (</w:t>
            </w:r>
            <w:proofErr w:type="spellStart"/>
            <w:r w:rsidRPr="00491BB4">
              <w:rPr>
                <w:rFonts w:ascii="Book Antiqua" w:hAnsi="Book Antiqua" w:cs="Arial"/>
                <w:sz w:val="24"/>
                <w:szCs w:val="24"/>
                <w:lang w:val="en-US"/>
              </w:rPr>
              <w:t>yr</w:t>
            </w:r>
            <w:proofErr w:type="spellEnd"/>
            <w:r w:rsidRPr="00491BB4">
              <w:rPr>
                <w:rFonts w:ascii="Book Antiqua" w:hAnsi="Book Antiqua" w:cs="Arial"/>
                <w:sz w:val="24"/>
                <w:szCs w:val="24"/>
                <w:lang w:val="en-US"/>
              </w:rPr>
              <w:t>)</w:t>
            </w:r>
            <w:r w:rsidRPr="00491BB4">
              <w:rPr>
                <w:rFonts w:ascii="Book Antiqua" w:eastAsia="Gulim" w:hAnsi="Book Antiqua" w:cs="Arial"/>
                <w:sz w:val="24"/>
                <w:szCs w:val="24"/>
                <w:vertAlign w:val="superscript"/>
                <w:lang w:val="en-US"/>
              </w:rPr>
              <w:t xml:space="preserve"> †</w:t>
            </w:r>
          </w:p>
        </w:tc>
        <w:tc>
          <w:tcPr>
            <w:tcW w:w="1647" w:type="dxa"/>
            <w:tcBorders>
              <w:top w:val="nil"/>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55.0 ± 12.4</w:t>
            </w:r>
          </w:p>
        </w:tc>
      </w:tr>
      <w:tr w:rsidR="00C24456" w:rsidRPr="00491BB4" w:rsidTr="003A5325">
        <w:tc>
          <w:tcPr>
            <w:tcW w:w="4219"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Sex </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Male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32 (82.0)</w:t>
            </w:r>
          </w:p>
        </w:tc>
      </w:tr>
      <w:tr w:rsidR="00C24456" w:rsidRPr="00491BB4" w:rsidTr="003A5325">
        <w:tc>
          <w:tcPr>
            <w:tcW w:w="4219" w:type="dxa"/>
          </w:tcPr>
          <w:p w:rsidR="00C24456" w:rsidRPr="00491BB4" w:rsidRDefault="00C24456" w:rsidP="00F32A86">
            <w:pPr>
              <w:pStyle w:val="12"/>
              <w:snapToGrid w:val="0"/>
              <w:spacing w:after="0" w:line="360" w:lineRule="auto"/>
              <w:ind w:left="0"/>
              <w:contextualSpacing w:val="0"/>
              <w:jc w:val="both"/>
              <w:rPr>
                <w:rFonts w:ascii="Book Antiqua" w:hAnsi="Book Antiqua" w:cs="Arial"/>
                <w:i/>
                <w:sz w:val="24"/>
                <w:szCs w:val="24"/>
                <w:lang w:val="en-US"/>
              </w:rPr>
            </w:pP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i/>
                <w:sz w:val="24"/>
                <w:szCs w:val="24"/>
                <w:lang w:val="en-US"/>
              </w:rPr>
            </w:pPr>
            <w:r w:rsidRPr="00491BB4">
              <w:rPr>
                <w:rFonts w:ascii="Book Antiqua" w:hAnsi="Book Antiqua" w:cs="Arial"/>
                <w:sz w:val="24"/>
                <w:szCs w:val="24"/>
                <w:lang w:val="en-US"/>
              </w:rPr>
              <w:t xml:space="preserve">Female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7 (17.9)</w:t>
            </w:r>
          </w:p>
        </w:tc>
      </w:tr>
      <w:tr w:rsidR="00C24456" w:rsidRPr="00491BB4" w:rsidTr="003A5325">
        <w:tc>
          <w:tcPr>
            <w:tcW w:w="4219" w:type="dxa"/>
            <w:vMerge w:val="restart"/>
          </w:tcPr>
          <w:p w:rsidR="00C24456" w:rsidRPr="00491BB4" w:rsidRDefault="00C24456" w:rsidP="003A5325">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Underlying liver disease </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Cirrhosis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20 (51.3)</w:t>
            </w:r>
          </w:p>
        </w:tc>
      </w:tr>
      <w:tr w:rsidR="00C24456" w:rsidRPr="00491BB4" w:rsidTr="003A5325">
        <w:tc>
          <w:tcPr>
            <w:tcW w:w="4219" w:type="dxa"/>
            <w:vMerge/>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Cirrhosis with hepatocellular carcinoma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19 (48.7)</w:t>
            </w:r>
          </w:p>
        </w:tc>
      </w:tr>
      <w:tr w:rsidR="00C24456" w:rsidRPr="00491BB4" w:rsidTr="003A5325">
        <w:tc>
          <w:tcPr>
            <w:tcW w:w="4219" w:type="dxa"/>
            <w:vMerge w:val="restart"/>
          </w:tcPr>
          <w:p w:rsidR="00C24456" w:rsidRPr="00491BB4" w:rsidRDefault="00C24456" w:rsidP="003A5325">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Liver disease pathogenesis </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HBV infection</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27 (69.2)</w:t>
            </w:r>
          </w:p>
        </w:tc>
      </w:tr>
      <w:tr w:rsidR="00C24456" w:rsidRPr="00491BB4" w:rsidTr="003A5325">
        <w:tc>
          <w:tcPr>
            <w:tcW w:w="4219" w:type="dxa"/>
            <w:vMerge/>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HCV infection</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3 (7.69)</w:t>
            </w:r>
          </w:p>
        </w:tc>
      </w:tr>
      <w:tr w:rsidR="00C24456" w:rsidRPr="00491BB4" w:rsidTr="003A5325">
        <w:tc>
          <w:tcPr>
            <w:tcW w:w="4219" w:type="dxa"/>
            <w:vMerge/>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Alcoholic cirrhosis</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9 (23.1)</w:t>
            </w:r>
          </w:p>
        </w:tc>
      </w:tr>
      <w:tr w:rsidR="00C24456" w:rsidRPr="00491BB4" w:rsidTr="003A5325">
        <w:tc>
          <w:tcPr>
            <w:tcW w:w="4219" w:type="dxa"/>
          </w:tcPr>
          <w:p w:rsidR="00C24456" w:rsidRPr="00491BB4" w:rsidRDefault="00C24456" w:rsidP="003A5325">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Coexisting </w:t>
            </w:r>
            <w:proofErr w:type="spellStart"/>
            <w:r w:rsidRPr="00491BB4">
              <w:rPr>
                <w:rFonts w:ascii="Book Antiqua" w:hAnsi="Book Antiqua" w:cs="Arial"/>
                <w:sz w:val="24"/>
                <w:szCs w:val="24"/>
                <w:lang w:val="en-US"/>
              </w:rPr>
              <w:t>hepatorenal</w:t>
            </w:r>
            <w:proofErr w:type="spellEnd"/>
            <w:r w:rsidRPr="00491BB4">
              <w:rPr>
                <w:rFonts w:ascii="Book Antiqua" w:hAnsi="Book Antiqua" w:cs="Arial"/>
                <w:sz w:val="24"/>
                <w:szCs w:val="24"/>
                <w:lang w:val="en-US"/>
              </w:rPr>
              <w:t xml:space="preserve"> syndrome</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Type 1</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2 (5.13)</w:t>
            </w:r>
          </w:p>
        </w:tc>
      </w:tr>
      <w:tr w:rsidR="00C24456" w:rsidRPr="00491BB4" w:rsidTr="003A5325">
        <w:tc>
          <w:tcPr>
            <w:tcW w:w="4219"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Type 2</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7 (17.9)</w:t>
            </w:r>
          </w:p>
        </w:tc>
      </w:tr>
      <w:tr w:rsidR="00C24456" w:rsidRPr="00491BB4" w:rsidTr="003A5325">
        <w:tc>
          <w:tcPr>
            <w:tcW w:w="7621" w:type="dxa"/>
            <w:gridSpan w:val="2"/>
          </w:tcPr>
          <w:p w:rsidR="00C24456" w:rsidRPr="00491BB4" w:rsidRDefault="00C24456" w:rsidP="003A5325">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Coexisting hepatic encephalopathy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13 (33.3)</w:t>
            </w:r>
          </w:p>
        </w:tc>
      </w:tr>
      <w:tr w:rsidR="00C24456" w:rsidRPr="00491BB4" w:rsidTr="003A5325">
        <w:tc>
          <w:tcPr>
            <w:tcW w:w="4219" w:type="dxa"/>
          </w:tcPr>
          <w:p w:rsidR="00C24456" w:rsidRPr="00491BB4" w:rsidRDefault="00C24456" w:rsidP="00B771F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rPr>
              <w:t xml:space="preserve">Child–Pugh score </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Class C</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39 (11.8 ± 1.5)</w:t>
            </w:r>
          </w:p>
        </w:tc>
      </w:tr>
      <w:tr w:rsidR="00C24456" w:rsidRPr="00491BB4" w:rsidTr="003A5325">
        <w:tc>
          <w:tcPr>
            <w:tcW w:w="4219"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eastAsia="zh-CN"/>
              </w:rPr>
            </w:pPr>
            <w:r w:rsidRPr="00491BB4">
              <w:rPr>
                <w:rFonts w:ascii="Book Antiqua" w:hAnsi="Book Antiqua" w:cs="Arial"/>
                <w:sz w:val="24"/>
                <w:szCs w:val="24"/>
                <w:lang w:val="en-US" w:eastAsia="zh-CN"/>
              </w:rPr>
              <w:t>MELD score</w:t>
            </w:r>
            <w:r w:rsidRPr="00491BB4">
              <w:rPr>
                <w:rFonts w:ascii="Book Antiqua" w:eastAsia="Gulim" w:hAnsi="Book Antiqua" w:cs="Arial"/>
                <w:sz w:val="24"/>
                <w:szCs w:val="24"/>
                <w:vertAlign w:val="superscript"/>
                <w:lang w:val="en-US"/>
              </w:rPr>
              <w:t xml:space="preserve"> </w:t>
            </w:r>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eastAsia="zh-CN"/>
              </w:rPr>
            </w:pPr>
            <w:r w:rsidRPr="00491BB4">
              <w:rPr>
                <w:rFonts w:ascii="Book Antiqua" w:hAnsi="Book Antiqua" w:cs="Arial"/>
                <w:sz w:val="24"/>
                <w:szCs w:val="24"/>
                <w:lang w:val="en-US" w:eastAsia="zh-CN"/>
              </w:rPr>
              <w:t>39 (</w:t>
            </w:r>
            <w:r w:rsidRPr="00491BB4">
              <w:rPr>
                <w:rFonts w:ascii="Book Antiqua" w:hAnsi="Book Antiqua" w:cs="Arial"/>
                <w:sz w:val="24"/>
                <w:szCs w:val="24"/>
                <w:lang w:val="en-US"/>
              </w:rPr>
              <w:t>37.5 ± 5.6</w:t>
            </w:r>
            <w:r w:rsidRPr="00491BB4">
              <w:rPr>
                <w:rFonts w:ascii="Book Antiqua" w:hAnsi="Book Antiqua" w:cs="Arial"/>
                <w:sz w:val="24"/>
                <w:szCs w:val="24"/>
                <w:lang w:val="en-US" w:eastAsia="zh-CN"/>
              </w:rPr>
              <w:t>)</w:t>
            </w:r>
          </w:p>
        </w:tc>
      </w:tr>
      <w:tr w:rsidR="00C24456" w:rsidRPr="00491BB4" w:rsidTr="003A5325">
        <w:tc>
          <w:tcPr>
            <w:tcW w:w="7621" w:type="dxa"/>
            <w:gridSpan w:val="2"/>
          </w:tcPr>
          <w:p w:rsidR="00C24456" w:rsidRPr="00491BB4" w:rsidRDefault="00C24456" w:rsidP="00B771F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 xml:space="preserve">Coexisting diabetes </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9 (23.1)</w:t>
            </w:r>
          </w:p>
        </w:tc>
      </w:tr>
      <w:tr w:rsidR="00C24456" w:rsidRPr="00491BB4" w:rsidTr="003A5325">
        <w:tc>
          <w:tcPr>
            <w:tcW w:w="4219"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roofErr w:type="spellStart"/>
            <w:r w:rsidRPr="00491BB4">
              <w:rPr>
                <w:rFonts w:ascii="Book Antiqua" w:hAnsi="Book Antiqua" w:cs="Arial"/>
                <w:sz w:val="24"/>
                <w:szCs w:val="24"/>
                <w:lang w:val="en-US"/>
              </w:rPr>
              <w:t>Hyponatremia</w:t>
            </w:r>
            <w:proofErr w:type="spellEnd"/>
          </w:p>
        </w:tc>
        <w:tc>
          <w:tcPr>
            <w:tcW w:w="3402" w:type="dxa"/>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Yes</w:t>
            </w:r>
          </w:p>
        </w:tc>
        <w:tc>
          <w:tcPr>
            <w:tcW w:w="1647" w:type="dxa"/>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21 (53.8)</w:t>
            </w:r>
          </w:p>
        </w:tc>
      </w:tr>
      <w:tr w:rsidR="00C24456" w:rsidRPr="00491BB4" w:rsidTr="003A5325">
        <w:tc>
          <w:tcPr>
            <w:tcW w:w="4219" w:type="dxa"/>
            <w:tcBorders>
              <w:bottom w:val="single" w:sz="4" w:space="0" w:color="auto"/>
            </w:tcBorders>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p>
        </w:tc>
        <w:tc>
          <w:tcPr>
            <w:tcW w:w="3402" w:type="dxa"/>
            <w:tcBorders>
              <w:bottom w:val="single" w:sz="4" w:space="0" w:color="auto"/>
            </w:tcBorders>
          </w:tcPr>
          <w:p w:rsidR="00C24456" w:rsidRPr="00491BB4" w:rsidRDefault="00C24456" w:rsidP="00F32A86">
            <w:pPr>
              <w:pStyle w:val="12"/>
              <w:snapToGrid w:val="0"/>
              <w:spacing w:after="0" w:line="360" w:lineRule="auto"/>
              <w:ind w:left="0"/>
              <w:contextualSpacing w:val="0"/>
              <w:jc w:val="both"/>
              <w:rPr>
                <w:rFonts w:ascii="Book Antiqua" w:hAnsi="Book Antiqua" w:cs="Arial"/>
                <w:sz w:val="24"/>
                <w:szCs w:val="24"/>
                <w:lang w:val="en-US"/>
              </w:rPr>
            </w:pPr>
            <w:r w:rsidRPr="00491BB4">
              <w:rPr>
                <w:rFonts w:ascii="Book Antiqua" w:hAnsi="Book Antiqua" w:cs="Arial"/>
                <w:sz w:val="24"/>
                <w:szCs w:val="24"/>
                <w:lang w:val="en-US"/>
              </w:rPr>
              <w:t>No</w:t>
            </w:r>
          </w:p>
        </w:tc>
        <w:tc>
          <w:tcPr>
            <w:tcW w:w="1647" w:type="dxa"/>
            <w:tcBorders>
              <w:bottom w:val="single" w:sz="4" w:space="0" w:color="auto"/>
            </w:tcBorders>
          </w:tcPr>
          <w:p w:rsidR="00C24456" w:rsidRPr="00491BB4" w:rsidRDefault="00C24456" w:rsidP="003A5325">
            <w:pPr>
              <w:pStyle w:val="12"/>
              <w:snapToGrid w:val="0"/>
              <w:spacing w:after="0" w:line="360" w:lineRule="auto"/>
              <w:ind w:left="0"/>
              <w:contextualSpacing w:val="0"/>
              <w:jc w:val="center"/>
              <w:rPr>
                <w:rFonts w:ascii="Book Antiqua" w:hAnsi="Book Antiqua" w:cs="Arial"/>
                <w:sz w:val="24"/>
                <w:szCs w:val="24"/>
                <w:lang w:val="en-US"/>
              </w:rPr>
            </w:pPr>
            <w:r w:rsidRPr="00491BB4">
              <w:rPr>
                <w:rFonts w:ascii="Book Antiqua" w:hAnsi="Book Antiqua" w:cs="Arial"/>
                <w:sz w:val="24"/>
                <w:szCs w:val="24"/>
                <w:lang w:val="en-US"/>
              </w:rPr>
              <w:t>18 (46.2)</w:t>
            </w:r>
          </w:p>
        </w:tc>
      </w:tr>
    </w:tbl>
    <w:p w:rsidR="00C24456" w:rsidRPr="00491BB4" w:rsidRDefault="00C24456" w:rsidP="00B771F6">
      <w:pPr>
        <w:adjustRightInd w:val="0"/>
        <w:snapToGrid w:val="0"/>
        <w:spacing w:line="360" w:lineRule="auto"/>
        <w:rPr>
          <w:rFonts w:ascii="Book Antiqua" w:hAnsi="Book Antiqua"/>
          <w:sz w:val="24"/>
        </w:rPr>
      </w:pPr>
      <w:r w:rsidRPr="00491BB4">
        <w:rPr>
          <w:rFonts w:ascii="Book Antiqua" w:hAnsi="Book Antiqua"/>
          <w:sz w:val="24"/>
        </w:rPr>
        <w:t xml:space="preserve">Data are expressed as absolute numbers (percentage) or mean ± SD. </w:t>
      </w:r>
      <w:r w:rsidRPr="00491BB4">
        <w:rPr>
          <w:rFonts w:ascii="Book Antiqua" w:hAnsi="Book Antiqua" w:cs="Arial"/>
          <w:sz w:val="24"/>
        </w:rPr>
        <w:t>HBV: Hepatitis B virus; HCV: Hepatitis C virus; MELD:</w:t>
      </w:r>
      <w:r w:rsidRPr="00491BB4">
        <w:rPr>
          <w:rFonts w:ascii="Book Antiqua" w:hAnsi="Book Antiqua"/>
          <w:sz w:val="24"/>
        </w:rPr>
        <w:t xml:space="preserve"> </w:t>
      </w:r>
      <w:r w:rsidRPr="00491BB4">
        <w:rPr>
          <w:rFonts w:ascii="Book Antiqua" w:hAnsi="Book Antiqua" w:cs="Arial"/>
          <w:sz w:val="24"/>
        </w:rPr>
        <w:t>Model for end-stage liver disease.</w:t>
      </w:r>
    </w:p>
    <w:p w:rsidR="00C24456" w:rsidRPr="00491BB4" w:rsidRDefault="00C24456" w:rsidP="00F32A86">
      <w:pPr>
        <w:pStyle w:val="12"/>
        <w:snapToGrid w:val="0"/>
        <w:spacing w:after="0" w:line="360" w:lineRule="auto"/>
        <w:ind w:left="0"/>
        <w:contextualSpacing w:val="0"/>
        <w:jc w:val="both"/>
        <w:rPr>
          <w:rFonts w:ascii="Book Antiqua" w:hAnsi="Book Antiqua" w:cs="Arial"/>
          <w:b/>
          <w:sz w:val="24"/>
          <w:szCs w:val="24"/>
          <w:lang w:val="en-US"/>
        </w:rPr>
        <w:sectPr w:rsidR="00C24456" w:rsidRPr="00491BB4" w:rsidSect="00B873F9">
          <w:pgSz w:w="11907" w:h="16840" w:code="9"/>
          <w:pgMar w:top="1440" w:right="1797" w:bottom="1440" w:left="1797" w:header="720" w:footer="720" w:gutter="0"/>
          <w:cols w:space="425"/>
          <w:docGrid w:linePitch="312"/>
        </w:sectPr>
      </w:pPr>
      <w:r w:rsidRPr="00491BB4">
        <w:rPr>
          <w:rFonts w:ascii="Book Antiqua" w:hAnsi="Book Antiqua" w:cs="Arial"/>
          <w:b/>
          <w:sz w:val="24"/>
          <w:szCs w:val="24"/>
          <w:lang w:val="en-US"/>
        </w:rPr>
        <w:br w:type="page"/>
      </w:r>
    </w:p>
    <w:p w:rsidR="00C24456" w:rsidRPr="00491BB4" w:rsidRDefault="00C24456" w:rsidP="00F32A86">
      <w:pPr>
        <w:pStyle w:val="12"/>
        <w:snapToGrid w:val="0"/>
        <w:spacing w:after="0" w:line="360" w:lineRule="auto"/>
        <w:ind w:left="0"/>
        <w:contextualSpacing w:val="0"/>
        <w:jc w:val="both"/>
        <w:rPr>
          <w:rFonts w:ascii="Book Antiqua" w:hAnsi="Book Antiqua" w:cs="Arial"/>
          <w:b/>
          <w:sz w:val="24"/>
          <w:szCs w:val="24"/>
          <w:lang w:val="en-US"/>
        </w:rPr>
      </w:pPr>
      <w:r w:rsidRPr="00491BB4">
        <w:rPr>
          <w:rFonts w:ascii="Book Antiqua" w:hAnsi="Book Antiqua" w:cs="Arial"/>
          <w:b/>
          <w:sz w:val="24"/>
          <w:szCs w:val="24"/>
          <w:lang w:val="en-US"/>
        </w:rPr>
        <w:lastRenderedPageBreak/>
        <w:t>Table 3</w:t>
      </w:r>
      <w:r w:rsidRPr="00491BB4">
        <w:rPr>
          <w:rFonts w:ascii="Book Antiqua" w:hAnsi="Book Antiqua" w:cs="Arial"/>
          <w:b/>
          <w:sz w:val="24"/>
          <w:szCs w:val="24"/>
          <w:lang w:val="en-US" w:eastAsia="zh-CN"/>
        </w:rPr>
        <w:t xml:space="preserve"> </w:t>
      </w:r>
      <w:r w:rsidRPr="00491BB4">
        <w:rPr>
          <w:rFonts w:ascii="Book Antiqua" w:hAnsi="Book Antiqua" w:cs="Arial"/>
          <w:b/>
          <w:sz w:val="24"/>
          <w:szCs w:val="24"/>
          <w:lang w:val="en-US"/>
        </w:rPr>
        <w:t xml:space="preserve">Summary of the improvement in the urine excretion, ascites and edema </w:t>
      </w:r>
      <w:r w:rsidRPr="00491BB4">
        <w:rPr>
          <w:rFonts w:ascii="Book Antiqua" w:hAnsi="Book Antiqua" w:cs="Arial"/>
          <w:b/>
          <w:sz w:val="24"/>
          <w:szCs w:val="24"/>
          <w:lang w:val="en-US" w:eastAsia="zh-CN"/>
        </w:rPr>
        <w:t xml:space="preserve">after </w:t>
      </w:r>
      <w:proofErr w:type="spellStart"/>
      <w:r w:rsidRPr="00491BB4">
        <w:rPr>
          <w:rFonts w:ascii="Book Antiqua" w:hAnsi="Book Antiqua" w:cs="Arial"/>
          <w:b/>
          <w:sz w:val="24"/>
          <w:szCs w:val="24"/>
          <w:lang w:val="en-US"/>
        </w:rPr>
        <w:t>tolvaptan</w:t>
      </w:r>
      <w:proofErr w:type="spellEnd"/>
      <w:r w:rsidRPr="00491BB4">
        <w:rPr>
          <w:rFonts w:ascii="Book Antiqua" w:hAnsi="Book Antiqua" w:cs="Arial"/>
          <w:b/>
          <w:sz w:val="24"/>
          <w:szCs w:val="24"/>
          <w:lang w:val="en-US"/>
        </w:rPr>
        <w:t xml:space="preserve"> treatment, according to grading criteria, and in the overall improvement</w:t>
      </w:r>
      <w:r w:rsidRPr="00491BB4">
        <w:rPr>
          <w:rFonts w:ascii="Book Antiqua" w:hAnsi="Book Antiqua" w:cs="Arial"/>
          <w:b/>
          <w:i/>
          <w:iCs/>
          <w:sz w:val="24"/>
          <w:szCs w:val="24"/>
          <w:lang w:val="en-US"/>
        </w:rPr>
        <w:t xml:space="preserve"> n</w:t>
      </w:r>
      <w:r w:rsidRPr="00491BB4">
        <w:rPr>
          <w:rFonts w:ascii="Book Antiqua" w:hAnsi="Book Antiqua" w:cs="Arial"/>
          <w:b/>
          <w:iCs/>
          <w:sz w:val="24"/>
          <w:szCs w:val="24"/>
          <w:lang w:val="en-US"/>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6629"/>
        <w:gridCol w:w="703"/>
        <w:gridCol w:w="2611"/>
        <w:gridCol w:w="1710"/>
        <w:gridCol w:w="1979"/>
      </w:tblGrid>
      <w:tr w:rsidR="00C24456" w:rsidRPr="00491BB4" w:rsidTr="00C4239C">
        <w:tc>
          <w:tcPr>
            <w:tcW w:w="6629" w:type="dxa"/>
            <w:tcBorders>
              <w:top w:val="single" w:sz="4" w:space="0" w:color="auto"/>
              <w:bottom w:val="single" w:sz="4" w:space="0" w:color="auto"/>
            </w:tcBorders>
            <w:vAlign w:val="center"/>
          </w:tcPr>
          <w:p w:rsidR="00C24456" w:rsidRPr="00491BB4" w:rsidRDefault="00C24456" w:rsidP="00C4239C">
            <w:pPr>
              <w:snapToGrid w:val="0"/>
              <w:spacing w:line="360" w:lineRule="auto"/>
              <w:jc w:val="left"/>
              <w:rPr>
                <w:rFonts w:ascii="Book Antiqua" w:hAnsi="Book Antiqua" w:cs="Arial"/>
                <w:i/>
                <w:iCs/>
                <w:sz w:val="24"/>
              </w:rPr>
            </w:pPr>
          </w:p>
        </w:tc>
        <w:tc>
          <w:tcPr>
            <w:tcW w:w="703" w:type="dxa"/>
            <w:tcBorders>
              <w:top w:val="single" w:sz="4" w:space="0" w:color="auto"/>
              <w:bottom w:val="single" w:sz="4" w:space="0" w:color="auto"/>
            </w:tcBorders>
            <w:vAlign w:val="bottom"/>
          </w:tcPr>
          <w:p w:rsidR="00C24456" w:rsidRPr="00491BB4" w:rsidRDefault="00C24456" w:rsidP="00F622EA">
            <w:pPr>
              <w:snapToGrid w:val="0"/>
              <w:spacing w:line="360" w:lineRule="auto"/>
              <w:jc w:val="center"/>
              <w:rPr>
                <w:rFonts w:ascii="Book Antiqua" w:hAnsi="Book Antiqua" w:cs="Arial"/>
                <w:b/>
                <w:iCs/>
                <w:sz w:val="24"/>
              </w:rPr>
            </w:pPr>
            <w:r w:rsidRPr="00491BB4">
              <w:rPr>
                <w:rFonts w:ascii="Book Antiqua" w:hAnsi="Book Antiqua" w:cs="Arial"/>
                <w:b/>
                <w:i/>
                <w:iCs/>
                <w:sz w:val="24"/>
              </w:rPr>
              <w:t>n</w:t>
            </w:r>
          </w:p>
        </w:tc>
        <w:tc>
          <w:tcPr>
            <w:tcW w:w="0" w:type="auto"/>
            <w:tcBorders>
              <w:top w:val="single" w:sz="4" w:space="0" w:color="auto"/>
              <w:bottom w:val="single" w:sz="4" w:space="0" w:color="auto"/>
            </w:tcBorders>
            <w:vAlign w:val="bottom"/>
          </w:tcPr>
          <w:p w:rsidR="00C24456" w:rsidRPr="00491BB4" w:rsidRDefault="00C24456" w:rsidP="00F622EA">
            <w:pPr>
              <w:snapToGrid w:val="0"/>
              <w:spacing w:line="360" w:lineRule="auto"/>
              <w:jc w:val="center"/>
              <w:rPr>
                <w:rFonts w:ascii="Book Antiqua" w:hAnsi="Book Antiqua" w:cs="Arial"/>
                <w:b/>
                <w:iCs/>
                <w:sz w:val="24"/>
              </w:rPr>
            </w:pPr>
            <w:r w:rsidRPr="00491BB4">
              <w:rPr>
                <w:rFonts w:ascii="Book Antiqua" w:hAnsi="Book Antiqua" w:cs="Arial"/>
                <w:b/>
                <w:iCs/>
                <w:sz w:val="24"/>
              </w:rPr>
              <w:t>Significant improvement</w:t>
            </w:r>
          </w:p>
          <w:p w:rsidR="00C24456" w:rsidRPr="00491BB4" w:rsidRDefault="00C24456" w:rsidP="00F622EA">
            <w:pPr>
              <w:snapToGrid w:val="0"/>
              <w:spacing w:line="360" w:lineRule="auto"/>
              <w:jc w:val="center"/>
              <w:rPr>
                <w:rFonts w:ascii="Book Antiqua" w:hAnsi="Book Antiqua" w:cs="Arial"/>
                <w:b/>
                <w:iCs/>
                <w:sz w:val="24"/>
              </w:rPr>
            </w:pPr>
          </w:p>
        </w:tc>
        <w:tc>
          <w:tcPr>
            <w:tcW w:w="0" w:type="auto"/>
            <w:tcBorders>
              <w:top w:val="single" w:sz="4" w:space="0" w:color="auto"/>
              <w:bottom w:val="single" w:sz="4" w:space="0" w:color="auto"/>
            </w:tcBorders>
            <w:vAlign w:val="bottom"/>
          </w:tcPr>
          <w:p w:rsidR="00C24456" w:rsidRPr="00491BB4" w:rsidRDefault="00C24456" w:rsidP="00F622EA">
            <w:pPr>
              <w:snapToGrid w:val="0"/>
              <w:spacing w:line="360" w:lineRule="auto"/>
              <w:jc w:val="center"/>
              <w:rPr>
                <w:rFonts w:ascii="Book Antiqua" w:hAnsi="Book Antiqua" w:cs="Arial"/>
                <w:b/>
                <w:iCs/>
                <w:sz w:val="24"/>
              </w:rPr>
            </w:pPr>
            <w:r w:rsidRPr="00491BB4">
              <w:rPr>
                <w:rFonts w:ascii="Book Antiqua" w:hAnsi="Book Antiqua" w:cs="Arial"/>
                <w:b/>
                <w:iCs/>
                <w:sz w:val="24"/>
              </w:rPr>
              <w:t>Improvement</w:t>
            </w:r>
          </w:p>
          <w:p w:rsidR="00C24456" w:rsidRPr="00491BB4" w:rsidRDefault="00C24456" w:rsidP="00F622EA">
            <w:pPr>
              <w:snapToGrid w:val="0"/>
              <w:spacing w:line="360" w:lineRule="auto"/>
              <w:jc w:val="center"/>
              <w:rPr>
                <w:rFonts w:ascii="Book Antiqua" w:hAnsi="Book Antiqua" w:cs="Arial"/>
                <w:b/>
                <w:iCs/>
                <w:sz w:val="24"/>
              </w:rPr>
            </w:pPr>
          </w:p>
          <w:p w:rsidR="00C24456" w:rsidRPr="00491BB4" w:rsidRDefault="00C24456" w:rsidP="00F622EA">
            <w:pPr>
              <w:snapToGrid w:val="0"/>
              <w:spacing w:line="360" w:lineRule="auto"/>
              <w:jc w:val="center"/>
              <w:rPr>
                <w:rFonts w:ascii="Book Antiqua" w:hAnsi="Book Antiqua" w:cs="Arial"/>
                <w:b/>
                <w:iCs/>
                <w:sz w:val="24"/>
              </w:rPr>
            </w:pPr>
          </w:p>
        </w:tc>
        <w:tc>
          <w:tcPr>
            <w:tcW w:w="0" w:type="auto"/>
            <w:tcBorders>
              <w:top w:val="single" w:sz="4" w:space="0" w:color="auto"/>
              <w:bottom w:val="single" w:sz="4" w:space="0" w:color="auto"/>
            </w:tcBorders>
            <w:vAlign w:val="bottom"/>
          </w:tcPr>
          <w:p w:rsidR="00C24456" w:rsidRPr="00491BB4" w:rsidRDefault="00C24456" w:rsidP="00F622EA">
            <w:pPr>
              <w:snapToGrid w:val="0"/>
              <w:spacing w:line="360" w:lineRule="auto"/>
              <w:jc w:val="center"/>
              <w:rPr>
                <w:rFonts w:ascii="Book Antiqua" w:hAnsi="Book Antiqua" w:cs="Arial"/>
                <w:b/>
                <w:iCs/>
                <w:sz w:val="24"/>
              </w:rPr>
            </w:pPr>
            <w:r w:rsidRPr="00491BB4">
              <w:rPr>
                <w:rFonts w:ascii="Book Antiqua" w:hAnsi="Book Antiqua" w:cs="Arial"/>
                <w:b/>
                <w:iCs/>
                <w:sz w:val="24"/>
              </w:rPr>
              <w:t>No improvement</w:t>
            </w:r>
          </w:p>
          <w:p w:rsidR="00C24456" w:rsidRPr="00491BB4" w:rsidRDefault="00C24456" w:rsidP="00F622EA">
            <w:pPr>
              <w:snapToGrid w:val="0"/>
              <w:spacing w:line="360" w:lineRule="auto"/>
              <w:jc w:val="center"/>
              <w:rPr>
                <w:rFonts w:ascii="Book Antiqua" w:hAnsi="Book Antiqua" w:cs="Arial"/>
                <w:b/>
                <w:iCs/>
                <w:sz w:val="24"/>
              </w:rPr>
            </w:pPr>
          </w:p>
        </w:tc>
      </w:tr>
      <w:tr w:rsidR="00C24456" w:rsidRPr="00491BB4" w:rsidTr="00C4239C">
        <w:tc>
          <w:tcPr>
            <w:tcW w:w="6629" w:type="dxa"/>
            <w:tcBorders>
              <w:top w:val="single" w:sz="4" w:space="0" w:color="auto"/>
              <w:bottom w:val="nil"/>
            </w:tcBorders>
            <w:vAlign w:val="center"/>
          </w:tcPr>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 xml:space="preserve">Urine excretion </w:t>
            </w:r>
          </w:p>
        </w:tc>
        <w:tc>
          <w:tcPr>
            <w:tcW w:w="703" w:type="dxa"/>
            <w:tcBorders>
              <w:top w:val="single" w:sz="4" w:space="0" w:color="auto"/>
              <w:bottom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39</w:t>
            </w:r>
          </w:p>
        </w:tc>
        <w:tc>
          <w:tcPr>
            <w:tcW w:w="0" w:type="auto"/>
            <w:tcBorders>
              <w:top w:val="single" w:sz="4" w:space="0" w:color="auto"/>
              <w:bottom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26 (66.7)</w:t>
            </w:r>
          </w:p>
        </w:tc>
        <w:tc>
          <w:tcPr>
            <w:tcW w:w="0" w:type="auto"/>
            <w:tcBorders>
              <w:top w:val="single" w:sz="4" w:space="0" w:color="auto"/>
              <w:bottom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9 (23.1)</w:t>
            </w:r>
          </w:p>
        </w:tc>
        <w:tc>
          <w:tcPr>
            <w:tcW w:w="0" w:type="auto"/>
            <w:tcBorders>
              <w:top w:val="single" w:sz="4" w:space="0" w:color="auto"/>
              <w:bottom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4 (10.3)</w:t>
            </w:r>
          </w:p>
        </w:tc>
      </w:tr>
      <w:tr w:rsidR="00C24456" w:rsidRPr="00491BB4" w:rsidTr="00C4239C">
        <w:tc>
          <w:tcPr>
            <w:tcW w:w="6629" w:type="dxa"/>
            <w:tcBorders>
              <w:top w:val="nil"/>
            </w:tcBorders>
            <w:vAlign w:val="center"/>
          </w:tcPr>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 xml:space="preserve">Abdominal circumference </w:t>
            </w:r>
          </w:p>
        </w:tc>
        <w:tc>
          <w:tcPr>
            <w:tcW w:w="703" w:type="dxa"/>
            <w:tcBorders>
              <w:top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39</w:t>
            </w:r>
          </w:p>
        </w:tc>
        <w:tc>
          <w:tcPr>
            <w:tcW w:w="0" w:type="auto"/>
            <w:tcBorders>
              <w:top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19 (48.7)</w:t>
            </w:r>
          </w:p>
        </w:tc>
        <w:tc>
          <w:tcPr>
            <w:tcW w:w="0" w:type="auto"/>
            <w:tcBorders>
              <w:top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13 (33.3)</w:t>
            </w:r>
          </w:p>
        </w:tc>
        <w:tc>
          <w:tcPr>
            <w:tcW w:w="0" w:type="auto"/>
            <w:tcBorders>
              <w:top w:val="nil"/>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7 (17.9)</w:t>
            </w:r>
          </w:p>
        </w:tc>
      </w:tr>
      <w:tr w:rsidR="00C24456" w:rsidRPr="00491BB4" w:rsidTr="00C4239C">
        <w:tc>
          <w:tcPr>
            <w:tcW w:w="6629" w:type="dxa"/>
            <w:vAlign w:val="center"/>
          </w:tcPr>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Edema</w:t>
            </w:r>
          </w:p>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 xml:space="preserve">(lower extremities) </w:t>
            </w:r>
          </w:p>
        </w:tc>
        <w:tc>
          <w:tcPr>
            <w:tcW w:w="703" w:type="dxa"/>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24</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17 (70.8)</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5 (20.8)</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 (8.3)</w:t>
            </w:r>
          </w:p>
        </w:tc>
      </w:tr>
      <w:tr w:rsidR="00C24456" w:rsidRPr="00491BB4" w:rsidTr="00C4239C">
        <w:tc>
          <w:tcPr>
            <w:tcW w:w="6629" w:type="dxa"/>
            <w:vAlign w:val="center"/>
          </w:tcPr>
          <w:p w:rsidR="00C24456" w:rsidRPr="00491BB4" w:rsidRDefault="00C24456" w:rsidP="00F622EA">
            <w:pPr>
              <w:snapToGrid w:val="0"/>
              <w:spacing w:line="360" w:lineRule="auto"/>
              <w:jc w:val="left"/>
              <w:rPr>
                <w:rFonts w:ascii="Book Antiqua" w:hAnsi="Book Antiqua" w:cs="Arial"/>
                <w:sz w:val="24"/>
              </w:rPr>
            </w:pPr>
            <w:r w:rsidRPr="00491BB4">
              <w:rPr>
                <w:rFonts w:ascii="Book Antiqua" w:hAnsi="Book Antiqua" w:cs="Arial"/>
                <w:sz w:val="24"/>
              </w:rPr>
              <w:t>Overall improvement for all patients</w:t>
            </w:r>
            <w:r w:rsidRPr="00491BB4">
              <w:rPr>
                <w:rFonts w:ascii="Book Antiqua" w:hAnsi="Book Antiqua" w:cs="Arial"/>
                <w:sz w:val="24"/>
                <w:vertAlign w:val="superscript"/>
              </w:rPr>
              <w:t>1</w:t>
            </w:r>
          </w:p>
        </w:tc>
        <w:tc>
          <w:tcPr>
            <w:tcW w:w="703" w:type="dxa"/>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39</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18 (46.2)</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17 (43.6)</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4 (10.2)</w:t>
            </w:r>
          </w:p>
        </w:tc>
      </w:tr>
      <w:tr w:rsidR="00C24456" w:rsidRPr="00491BB4" w:rsidTr="00C4239C">
        <w:tc>
          <w:tcPr>
            <w:tcW w:w="6629" w:type="dxa"/>
            <w:vAlign w:val="center"/>
          </w:tcPr>
          <w:p w:rsidR="00C24456" w:rsidRPr="00491BB4" w:rsidRDefault="00C24456" w:rsidP="00C4239C">
            <w:pPr>
              <w:snapToGrid w:val="0"/>
              <w:spacing w:line="360" w:lineRule="auto"/>
              <w:jc w:val="left"/>
              <w:rPr>
                <w:rFonts w:ascii="Book Antiqua" w:hAnsi="Book Antiqua" w:cs="Arial"/>
                <w:sz w:val="24"/>
              </w:rPr>
            </w:pPr>
          </w:p>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Overall improvement in patients with coexisting hepatocellular carcinoma</w:t>
            </w:r>
            <w:r w:rsidRPr="00491BB4">
              <w:rPr>
                <w:rFonts w:ascii="Book Antiqua" w:hAnsi="Book Antiqua" w:cs="Arial"/>
                <w:sz w:val="24"/>
                <w:vertAlign w:val="superscript"/>
              </w:rPr>
              <w:t>1</w:t>
            </w:r>
          </w:p>
        </w:tc>
        <w:tc>
          <w:tcPr>
            <w:tcW w:w="703" w:type="dxa"/>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19</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9 (47.4)</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7 (36.8)</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3 (15.8)</w:t>
            </w:r>
          </w:p>
        </w:tc>
      </w:tr>
      <w:tr w:rsidR="00C24456" w:rsidRPr="00491BB4" w:rsidTr="00C4239C">
        <w:tc>
          <w:tcPr>
            <w:tcW w:w="6629" w:type="dxa"/>
            <w:vAlign w:val="center"/>
          </w:tcPr>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 xml:space="preserve">Overall improvement in patients with coexisting </w:t>
            </w:r>
            <w:proofErr w:type="spellStart"/>
            <w:r w:rsidRPr="00491BB4">
              <w:rPr>
                <w:rFonts w:ascii="Book Antiqua" w:hAnsi="Book Antiqua" w:cs="Arial"/>
                <w:sz w:val="24"/>
              </w:rPr>
              <w:t>hepatorenal</w:t>
            </w:r>
            <w:proofErr w:type="spellEnd"/>
            <w:r w:rsidRPr="00491BB4">
              <w:rPr>
                <w:rFonts w:ascii="Book Antiqua" w:hAnsi="Book Antiqua" w:cs="Arial"/>
                <w:sz w:val="24"/>
              </w:rPr>
              <w:t xml:space="preserve"> syndrome (Type 1)</w:t>
            </w:r>
            <w:r w:rsidRPr="00491BB4">
              <w:rPr>
                <w:rFonts w:ascii="Book Antiqua" w:hAnsi="Book Antiqua" w:cs="Arial"/>
                <w:sz w:val="24"/>
                <w:vertAlign w:val="superscript"/>
              </w:rPr>
              <w:t>1</w:t>
            </w:r>
          </w:p>
        </w:tc>
        <w:tc>
          <w:tcPr>
            <w:tcW w:w="703" w:type="dxa"/>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0 (0)</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0 (0)</w:t>
            </w:r>
          </w:p>
        </w:tc>
        <w:tc>
          <w:tcPr>
            <w:tcW w:w="0" w:type="auto"/>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 (100.0)</w:t>
            </w:r>
          </w:p>
        </w:tc>
      </w:tr>
      <w:tr w:rsidR="00C24456" w:rsidRPr="00491BB4" w:rsidTr="00C4239C">
        <w:tc>
          <w:tcPr>
            <w:tcW w:w="6629" w:type="dxa"/>
            <w:tcBorders>
              <w:bottom w:val="single" w:sz="4" w:space="0" w:color="auto"/>
            </w:tcBorders>
            <w:vAlign w:val="center"/>
          </w:tcPr>
          <w:p w:rsidR="00C24456" w:rsidRPr="00491BB4" w:rsidRDefault="00C24456" w:rsidP="00C4239C">
            <w:pPr>
              <w:snapToGrid w:val="0"/>
              <w:spacing w:line="360" w:lineRule="auto"/>
              <w:jc w:val="left"/>
              <w:rPr>
                <w:rFonts w:ascii="Book Antiqua" w:hAnsi="Book Antiqua" w:cs="Arial"/>
                <w:sz w:val="24"/>
              </w:rPr>
            </w:pPr>
            <w:r w:rsidRPr="00491BB4">
              <w:rPr>
                <w:rFonts w:ascii="Book Antiqua" w:hAnsi="Book Antiqua" w:cs="Arial"/>
                <w:sz w:val="24"/>
              </w:rPr>
              <w:t xml:space="preserve">Overall improvement in patients with coexisting </w:t>
            </w:r>
            <w:proofErr w:type="spellStart"/>
            <w:r w:rsidRPr="00491BB4">
              <w:rPr>
                <w:rFonts w:ascii="Book Antiqua" w:hAnsi="Book Antiqua" w:cs="Arial"/>
                <w:sz w:val="24"/>
              </w:rPr>
              <w:t>hepatorenal</w:t>
            </w:r>
            <w:proofErr w:type="spellEnd"/>
            <w:r w:rsidRPr="00491BB4">
              <w:rPr>
                <w:rFonts w:ascii="Book Antiqua" w:hAnsi="Book Antiqua" w:cs="Arial"/>
                <w:sz w:val="24"/>
              </w:rPr>
              <w:t xml:space="preserve"> syndrome (Type 2)</w:t>
            </w:r>
            <w:r w:rsidRPr="00491BB4">
              <w:rPr>
                <w:rFonts w:ascii="Book Antiqua" w:hAnsi="Book Antiqua" w:cs="Arial"/>
                <w:sz w:val="24"/>
                <w:vertAlign w:val="superscript"/>
              </w:rPr>
              <w:t>1</w:t>
            </w:r>
          </w:p>
        </w:tc>
        <w:tc>
          <w:tcPr>
            <w:tcW w:w="703" w:type="dxa"/>
            <w:tcBorders>
              <w:bottom w:val="single" w:sz="4" w:space="0" w:color="auto"/>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7</w:t>
            </w:r>
          </w:p>
        </w:tc>
        <w:tc>
          <w:tcPr>
            <w:tcW w:w="0" w:type="auto"/>
            <w:tcBorders>
              <w:bottom w:val="single" w:sz="4" w:space="0" w:color="auto"/>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2 (28.6)</w:t>
            </w:r>
          </w:p>
        </w:tc>
        <w:tc>
          <w:tcPr>
            <w:tcW w:w="0" w:type="auto"/>
            <w:tcBorders>
              <w:bottom w:val="single" w:sz="4" w:space="0" w:color="auto"/>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5 (71.4)</w:t>
            </w:r>
          </w:p>
        </w:tc>
        <w:tc>
          <w:tcPr>
            <w:tcW w:w="0" w:type="auto"/>
            <w:tcBorders>
              <w:bottom w:val="single" w:sz="4" w:space="0" w:color="auto"/>
            </w:tcBorders>
            <w:vAlign w:val="center"/>
          </w:tcPr>
          <w:p w:rsidR="00C24456" w:rsidRPr="00491BB4" w:rsidRDefault="00C24456" w:rsidP="00F622EA">
            <w:pPr>
              <w:snapToGrid w:val="0"/>
              <w:spacing w:line="360" w:lineRule="auto"/>
              <w:jc w:val="center"/>
              <w:rPr>
                <w:rFonts w:ascii="Book Antiqua" w:hAnsi="Book Antiqua" w:cs="Arial"/>
                <w:sz w:val="24"/>
              </w:rPr>
            </w:pPr>
            <w:r w:rsidRPr="00491BB4">
              <w:rPr>
                <w:rFonts w:ascii="Book Antiqua" w:hAnsi="Book Antiqua" w:cs="Arial"/>
                <w:sz w:val="24"/>
              </w:rPr>
              <w:t>0 (0)</w:t>
            </w:r>
          </w:p>
        </w:tc>
      </w:tr>
    </w:tbl>
    <w:p w:rsidR="00C24456" w:rsidRPr="00491BB4" w:rsidRDefault="00C24456" w:rsidP="00F32A86">
      <w:pPr>
        <w:snapToGrid w:val="0"/>
        <w:spacing w:line="360" w:lineRule="auto"/>
        <w:rPr>
          <w:rFonts w:ascii="Book Antiqua" w:hAnsi="Book Antiqua"/>
          <w:sz w:val="24"/>
        </w:rPr>
      </w:pPr>
      <w:r w:rsidRPr="00491BB4">
        <w:rPr>
          <w:rFonts w:ascii="Book Antiqua" w:hAnsi="Book Antiqua" w:cs="Arial"/>
          <w:sz w:val="24"/>
          <w:vertAlign w:val="superscript"/>
        </w:rPr>
        <w:t>1</w:t>
      </w:r>
      <w:r w:rsidRPr="00491BB4">
        <w:rPr>
          <w:rFonts w:ascii="Book Antiqua" w:hAnsi="Book Antiqua" w:cs="Arial"/>
          <w:sz w:val="24"/>
        </w:rPr>
        <w:t>Overall improvement definitions: Significant improvement = grade of A for urine excretion, ascites and edema; Improvement = grade of B for urine excretion and a grade of improvement for ascites or edema; No improvement = grade of C for urine excretion.</w:t>
      </w:r>
    </w:p>
    <w:sectPr w:rsidR="00C24456" w:rsidRPr="00491BB4" w:rsidSect="00C4239C">
      <w:pgSz w:w="17010" w:h="16840" w:code="9"/>
      <w:pgMar w:top="1440" w:right="1797" w:bottom="1440" w:left="1797" w:header="720" w:footer="72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47" w:rsidRDefault="004D2447" w:rsidP="00575FC7">
      <w:r>
        <w:separator/>
      </w:r>
    </w:p>
  </w:endnote>
  <w:endnote w:type="continuationSeparator" w:id="0">
    <w:p w:rsidR="004D2447" w:rsidRDefault="004D2447" w:rsidP="0057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47" w:rsidRDefault="004D2447" w:rsidP="00575FC7">
      <w:r>
        <w:separator/>
      </w:r>
    </w:p>
  </w:footnote>
  <w:footnote w:type="continuationSeparator" w:id="0">
    <w:p w:rsidR="004D2447" w:rsidRDefault="004D2447" w:rsidP="00575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A2EF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864EE"/>
    <w:multiLevelType w:val="hybridMultilevel"/>
    <w:tmpl w:val="E4B208B2"/>
    <w:lvl w:ilvl="0" w:tplc="EAD21094">
      <w:start w:val="1"/>
      <w:numFmt w:val="upperRoman"/>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22D0A"/>
    <w:multiLevelType w:val="hybridMultilevel"/>
    <w:tmpl w:val="165C17E8"/>
    <w:lvl w:ilvl="0" w:tplc="81C83D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965789"/>
    <w:multiLevelType w:val="hybridMultilevel"/>
    <w:tmpl w:val="CF242D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E8D786B"/>
    <w:multiLevelType w:val="hybridMultilevel"/>
    <w:tmpl w:val="E8546A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49A10E8"/>
    <w:multiLevelType w:val="hybridMultilevel"/>
    <w:tmpl w:val="752EC4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4D02973"/>
    <w:multiLevelType w:val="hybridMultilevel"/>
    <w:tmpl w:val="D37C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0333F"/>
    <w:multiLevelType w:val="hybridMultilevel"/>
    <w:tmpl w:val="822418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8B3097F"/>
    <w:multiLevelType w:val="hybridMultilevel"/>
    <w:tmpl w:val="2FEE2D9E"/>
    <w:lvl w:ilvl="0" w:tplc="6D6AD314">
      <w:start w:val="1"/>
      <w:numFmt w:val="lowerLetter"/>
      <w:lvlText w:val="%1."/>
      <w:lvlJc w:val="left"/>
      <w:pPr>
        <w:ind w:left="1800" w:hanging="360"/>
      </w:pPr>
      <w:rPr>
        <w:rFonts w:cs="Times New Roman" w:hint="default"/>
      </w:rPr>
    </w:lvl>
    <w:lvl w:ilvl="1" w:tplc="48090019">
      <w:start w:val="1"/>
      <w:numFmt w:val="lowerLetter"/>
      <w:lvlText w:val="%2."/>
      <w:lvlJc w:val="left"/>
      <w:pPr>
        <w:ind w:left="2520" w:hanging="360"/>
      </w:pPr>
      <w:rPr>
        <w:rFonts w:cs="Times New Roman"/>
      </w:rPr>
    </w:lvl>
    <w:lvl w:ilvl="2" w:tplc="4809001B" w:tentative="1">
      <w:start w:val="1"/>
      <w:numFmt w:val="lowerRoman"/>
      <w:lvlText w:val="%3."/>
      <w:lvlJc w:val="right"/>
      <w:pPr>
        <w:ind w:left="3240" w:hanging="180"/>
      </w:pPr>
      <w:rPr>
        <w:rFonts w:cs="Times New Roman"/>
      </w:rPr>
    </w:lvl>
    <w:lvl w:ilvl="3" w:tplc="4809000F" w:tentative="1">
      <w:start w:val="1"/>
      <w:numFmt w:val="decimal"/>
      <w:lvlText w:val="%4."/>
      <w:lvlJc w:val="left"/>
      <w:pPr>
        <w:ind w:left="3960" w:hanging="360"/>
      </w:pPr>
      <w:rPr>
        <w:rFonts w:cs="Times New Roman"/>
      </w:rPr>
    </w:lvl>
    <w:lvl w:ilvl="4" w:tplc="48090019" w:tentative="1">
      <w:start w:val="1"/>
      <w:numFmt w:val="lowerLetter"/>
      <w:lvlText w:val="%5."/>
      <w:lvlJc w:val="left"/>
      <w:pPr>
        <w:ind w:left="4680" w:hanging="360"/>
      </w:pPr>
      <w:rPr>
        <w:rFonts w:cs="Times New Roman"/>
      </w:rPr>
    </w:lvl>
    <w:lvl w:ilvl="5" w:tplc="4809001B" w:tentative="1">
      <w:start w:val="1"/>
      <w:numFmt w:val="lowerRoman"/>
      <w:lvlText w:val="%6."/>
      <w:lvlJc w:val="right"/>
      <w:pPr>
        <w:ind w:left="5400" w:hanging="180"/>
      </w:pPr>
      <w:rPr>
        <w:rFonts w:cs="Times New Roman"/>
      </w:rPr>
    </w:lvl>
    <w:lvl w:ilvl="6" w:tplc="4809000F" w:tentative="1">
      <w:start w:val="1"/>
      <w:numFmt w:val="decimal"/>
      <w:lvlText w:val="%7."/>
      <w:lvlJc w:val="left"/>
      <w:pPr>
        <w:ind w:left="6120" w:hanging="360"/>
      </w:pPr>
      <w:rPr>
        <w:rFonts w:cs="Times New Roman"/>
      </w:rPr>
    </w:lvl>
    <w:lvl w:ilvl="7" w:tplc="48090019" w:tentative="1">
      <w:start w:val="1"/>
      <w:numFmt w:val="lowerLetter"/>
      <w:lvlText w:val="%8."/>
      <w:lvlJc w:val="left"/>
      <w:pPr>
        <w:ind w:left="6840" w:hanging="360"/>
      </w:pPr>
      <w:rPr>
        <w:rFonts w:cs="Times New Roman"/>
      </w:rPr>
    </w:lvl>
    <w:lvl w:ilvl="8" w:tplc="4809001B" w:tentative="1">
      <w:start w:val="1"/>
      <w:numFmt w:val="lowerRoman"/>
      <w:lvlText w:val="%9."/>
      <w:lvlJc w:val="right"/>
      <w:pPr>
        <w:ind w:left="7560" w:hanging="180"/>
      </w:pPr>
      <w:rPr>
        <w:rFonts w:cs="Times New Roman"/>
      </w:rPr>
    </w:lvl>
  </w:abstractNum>
  <w:abstractNum w:abstractNumId="9">
    <w:nsid w:val="33E34422"/>
    <w:multiLevelType w:val="hybridMultilevel"/>
    <w:tmpl w:val="0FE6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72D34"/>
    <w:multiLevelType w:val="hybridMultilevel"/>
    <w:tmpl w:val="EE7821B8"/>
    <w:lvl w:ilvl="0" w:tplc="0F941856">
      <w:start w:val="1"/>
      <w:numFmt w:val="upperRoman"/>
      <w:lvlText w:val="%1."/>
      <w:lvlJc w:val="left"/>
      <w:pPr>
        <w:ind w:left="1440" w:hanging="720"/>
      </w:pPr>
      <w:rPr>
        <w:rFonts w:cs="Times New Roman" w:hint="default"/>
      </w:rPr>
    </w:lvl>
    <w:lvl w:ilvl="1" w:tplc="0E8C62A8">
      <w:start w:val="1"/>
      <w:numFmt w:val="lowerLetter"/>
      <w:lvlText w:val="%2."/>
      <w:lvlJc w:val="left"/>
      <w:pPr>
        <w:ind w:left="1800" w:hanging="360"/>
      </w:pPr>
      <w:rPr>
        <w:rFonts w:cs="Times New Roman"/>
        <w:b w:val="0"/>
      </w:rPr>
    </w:lvl>
    <w:lvl w:ilvl="2" w:tplc="2EEC64EC">
      <w:start w:val="1"/>
      <w:numFmt w:val="lowerRoman"/>
      <w:lvlText w:val="%3."/>
      <w:lvlJc w:val="right"/>
      <w:pPr>
        <w:ind w:left="2520" w:hanging="180"/>
      </w:pPr>
      <w:rPr>
        <w:rFonts w:cs="Times New Roman"/>
        <w:b w:val="0"/>
      </w:rPr>
    </w:lvl>
    <w:lvl w:ilvl="3" w:tplc="48090001">
      <w:start w:val="1"/>
      <w:numFmt w:val="bullet"/>
      <w:lvlText w:val=""/>
      <w:lvlJc w:val="left"/>
      <w:pPr>
        <w:ind w:left="3240" w:hanging="360"/>
      </w:pPr>
      <w:rPr>
        <w:rFonts w:ascii="Symbol" w:hAnsi="Symbol" w:hint="default"/>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1">
    <w:nsid w:val="366F7A5B"/>
    <w:multiLevelType w:val="hybridMultilevel"/>
    <w:tmpl w:val="84FC2570"/>
    <w:lvl w:ilvl="0" w:tplc="48090019">
      <w:start w:val="1"/>
      <w:numFmt w:val="lowerLetter"/>
      <w:lvlText w:val="%1."/>
      <w:lvlJc w:val="left"/>
      <w:pPr>
        <w:ind w:left="1800" w:hanging="360"/>
      </w:pPr>
      <w:rPr>
        <w:rFonts w:cs="Times New Roman"/>
      </w:rPr>
    </w:lvl>
    <w:lvl w:ilvl="1" w:tplc="48090019" w:tentative="1">
      <w:start w:val="1"/>
      <w:numFmt w:val="lowerLetter"/>
      <w:lvlText w:val="%2."/>
      <w:lvlJc w:val="left"/>
      <w:pPr>
        <w:ind w:left="2520" w:hanging="360"/>
      </w:pPr>
      <w:rPr>
        <w:rFonts w:cs="Times New Roman"/>
      </w:rPr>
    </w:lvl>
    <w:lvl w:ilvl="2" w:tplc="4809001B" w:tentative="1">
      <w:start w:val="1"/>
      <w:numFmt w:val="lowerRoman"/>
      <w:lvlText w:val="%3."/>
      <w:lvlJc w:val="right"/>
      <w:pPr>
        <w:ind w:left="3240" w:hanging="180"/>
      </w:pPr>
      <w:rPr>
        <w:rFonts w:cs="Times New Roman"/>
      </w:rPr>
    </w:lvl>
    <w:lvl w:ilvl="3" w:tplc="4809000F" w:tentative="1">
      <w:start w:val="1"/>
      <w:numFmt w:val="decimal"/>
      <w:lvlText w:val="%4."/>
      <w:lvlJc w:val="left"/>
      <w:pPr>
        <w:ind w:left="3960" w:hanging="360"/>
      </w:pPr>
      <w:rPr>
        <w:rFonts w:cs="Times New Roman"/>
      </w:rPr>
    </w:lvl>
    <w:lvl w:ilvl="4" w:tplc="48090019" w:tentative="1">
      <w:start w:val="1"/>
      <w:numFmt w:val="lowerLetter"/>
      <w:lvlText w:val="%5."/>
      <w:lvlJc w:val="left"/>
      <w:pPr>
        <w:ind w:left="4680" w:hanging="360"/>
      </w:pPr>
      <w:rPr>
        <w:rFonts w:cs="Times New Roman"/>
      </w:rPr>
    </w:lvl>
    <w:lvl w:ilvl="5" w:tplc="4809001B" w:tentative="1">
      <w:start w:val="1"/>
      <w:numFmt w:val="lowerRoman"/>
      <w:lvlText w:val="%6."/>
      <w:lvlJc w:val="right"/>
      <w:pPr>
        <w:ind w:left="5400" w:hanging="180"/>
      </w:pPr>
      <w:rPr>
        <w:rFonts w:cs="Times New Roman"/>
      </w:rPr>
    </w:lvl>
    <w:lvl w:ilvl="6" w:tplc="4809000F" w:tentative="1">
      <w:start w:val="1"/>
      <w:numFmt w:val="decimal"/>
      <w:lvlText w:val="%7."/>
      <w:lvlJc w:val="left"/>
      <w:pPr>
        <w:ind w:left="6120" w:hanging="360"/>
      </w:pPr>
      <w:rPr>
        <w:rFonts w:cs="Times New Roman"/>
      </w:rPr>
    </w:lvl>
    <w:lvl w:ilvl="7" w:tplc="48090019" w:tentative="1">
      <w:start w:val="1"/>
      <w:numFmt w:val="lowerLetter"/>
      <w:lvlText w:val="%8."/>
      <w:lvlJc w:val="left"/>
      <w:pPr>
        <w:ind w:left="6840" w:hanging="360"/>
      </w:pPr>
      <w:rPr>
        <w:rFonts w:cs="Times New Roman"/>
      </w:rPr>
    </w:lvl>
    <w:lvl w:ilvl="8" w:tplc="4809001B" w:tentative="1">
      <w:start w:val="1"/>
      <w:numFmt w:val="lowerRoman"/>
      <w:lvlText w:val="%9."/>
      <w:lvlJc w:val="right"/>
      <w:pPr>
        <w:ind w:left="7560" w:hanging="180"/>
      </w:pPr>
      <w:rPr>
        <w:rFonts w:cs="Times New Roman"/>
      </w:rPr>
    </w:lvl>
  </w:abstractNum>
  <w:abstractNum w:abstractNumId="12">
    <w:nsid w:val="38140865"/>
    <w:multiLevelType w:val="multilevel"/>
    <w:tmpl w:val="E2243E86"/>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C065D1"/>
    <w:multiLevelType w:val="hybridMultilevel"/>
    <w:tmpl w:val="A2DECB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6B666CA"/>
    <w:multiLevelType w:val="hybridMultilevel"/>
    <w:tmpl w:val="25687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47374E61"/>
    <w:multiLevelType w:val="hybridMultilevel"/>
    <w:tmpl w:val="3F66A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7FD7738"/>
    <w:multiLevelType w:val="hybridMultilevel"/>
    <w:tmpl w:val="10B65D3C"/>
    <w:lvl w:ilvl="0" w:tplc="DBDAC676">
      <w:start w:val="1"/>
      <w:numFmt w:val="lowerRoman"/>
      <w:lvlText w:val="%1."/>
      <w:lvlJc w:val="right"/>
      <w:pPr>
        <w:ind w:left="3060" w:hanging="360"/>
      </w:pPr>
      <w:rPr>
        <w:rFonts w:cs="Times New Roman"/>
      </w:rPr>
    </w:lvl>
    <w:lvl w:ilvl="1" w:tplc="48090019" w:tentative="1">
      <w:start w:val="1"/>
      <w:numFmt w:val="lowerLetter"/>
      <w:lvlText w:val="%2."/>
      <w:lvlJc w:val="left"/>
      <w:pPr>
        <w:ind w:left="3780" w:hanging="360"/>
      </w:pPr>
      <w:rPr>
        <w:rFonts w:cs="Times New Roman"/>
      </w:rPr>
    </w:lvl>
    <w:lvl w:ilvl="2" w:tplc="4809001B" w:tentative="1">
      <w:start w:val="1"/>
      <w:numFmt w:val="lowerRoman"/>
      <w:lvlText w:val="%3."/>
      <w:lvlJc w:val="right"/>
      <w:pPr>
        <w:ind w:left="4500" w:hanging="180"/>
      </w:pPr>
      <w:rPr>
        <w:rFonts w:cs="Times New Roman"/>
      </w:rPr>
    </w:lvl>
    <w:lvl w:ilvl="3" w:tplc="4809000F" w:tentative="1">
      <w:start w:val="1"/>
      <w:numFmt w:val="decimal"/>
      <w:lvlText w:val="%4."/>
      <w:lvlJc w:val="left"/>
      <w:pPr>
        <w:ind w:left="5220" w:hanging="360"/>
      </w:pPr>
      <w:rPr>
        <w:rFonts w:cs="Times New Roman"/>
      </w:rPr>
    </w:lvl>
    <w:lvl w:ilvl="4" w:tplc="48090019" w:tentative="1">
      <w:start w:val="1"/>
      <w:numFmt w:val="lowerLetter"/>
      <w:lvlText w:val="%5."/>
      <w:lvlJc w:val="left"/>
      <w:pPr>
        <w:ind w:left="5940" w:hanging="360"/>
      </w:pPr>
      <w:rPr>
        <w:rFonts w:cs="Times New Roman"/>
      </w:rPr>
    </w:lvl>
    <w:lvl w:ilvl="5" w:tplc="4809001B" w:tentative="1">
      <w:start w:val="1"/>
      <w:numFmt w:val="lowerRoman"/>
      <w:lvlText w:val="%6."/>
      <w:lvlJc w:val="right"/>
      <w:pPr>
        <w:ind w:left="6660" w:hanging="180"/>
      </w:pPr>
      <w:rPr>
        <w:rFonts w:cs="Times New Roman"/>
      </w:rPr>
    </w:lvl>
    <w:lvl w:ilvl="6" w:tplc="4809000F" w:tentative="1">
      <w:start w:val="1"/>
      <w:numFmt w:val="decimal"/>
      <w:lvlText w:val="%7."/>
      <w:lvlJc w:val="left"/>
      <w:pPr>
        <w:ind w:left="7380" w:hanging="360"/>
      </w:pPr>
      <w:rPr>
        <w:rFonts w:cs="Times New Roman"/>
      </w:rPr>
    </w:lvl>
    <w:lvl w:ilvl="7" w:tplc="48090019" w:tentative="1">
      <w:start w:val="1"/>
      <w:numFmt w:val="lowerLetter"/>
      <w:lvlText w:val="%8."/>
      <w:lvlJc w:val="left"/>
      <w:pPr>
        <w:ind w:left="8100" w:hanging="360"/>
      </w:pPr>
      <w:rPr>
        <w:rFonts w:cs="Times New Roman"/>
      </w:rPr>
    </w:lvl>
    <w:lvl w:ilvl="8" w:tplc="4809001B" w:tentative="1">
      <w:start w:val="1"/>
      <w:numFmt w:val="lowerRoman"/>
      <w:lvlText w:val="%9."/>
      <w:lvlJc w:val="right"/>
      <w:pPr>
        <w:ind w:left="8820" w:hanging="180"/>
      </w:pPr>
      <w:rPr>
        <w:rFonts w:cs="Times New Roman"/>
      </w:rPr>
    </w:lvl>
  </w:abstractNum>
  <w:abstractNum w:abstractNumId="17">
    <w:nsid w:val="4EB66F1A"/>
    <w:multiLevelType w:val="hybridMultilevel"/>
    <w:tmpl w:val="1138D6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51D50F27"/>
    <w:multiLevelType w:val="hybridMultilevel"/>
    <w:tmpl w:val="2EA61780"/>
    <w:lvl w:ilvl="0" w:tplc="102E1872">
      <w:start w:val="1"/>
      <w:numFmt w:val="upperRoman"/>
      <w:lvlText w:val="%1."/>
      <w:lvlJc w:val="left"/>
      <w:pPr>
        <w:ind w:left="1440" w:hanging="72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19">
    <w:nsid w:val="563C029D"/>
    <w:multiLevelType w:val="hybridMultilevel"/>
    <w:tmpl w:val="BC30FB98"/>
    <w:lvl w:ilvl="0" w:tplc="88C2E4DE">
      <w:start w:val="1"/>
      <w:numFmt w:val="lowerRoman"/>
      <w:lvlText w:val="%1."/>
      <w:lvlJc w:val="left"/>
      <w:pPr>
        <w:ind w:left="1440" w:hanging="72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20">
    <w:nsid w:val="57D959A0"/>
    <w:multiLevelType w:val="hybridMultilevel"/>
    <w:tmpl w:val="12EEB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648E6481"/>
    <w:multiLevelType w:val="hybridMultilevel"/>
    <w:tmpl w:val="2084DBA0"/>
    <w:lvl w:ilvl="0" w:tplc="DF2C5AF0">
      <w:start w:val="1"/>
      <w:numFmt w:val="upperRoman"/>
      <w:lvlText w:val="%1."/>
      <w:lvlJc w:val="left"/>
      <w:pPr>
        <w:ind w:left="1440" w:hanging="72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1">
      <w:start w:val="1"/>
      <w:numFmt w:val="bullet"/>
      <w:lvlText w:val=""/>
      <w:lvlJc w:val="left"/>
      <w:pPr>
        <w:ind w:left="3240" w:hanging="360"/>
      </w:pPr>
      <w:rPr>
        <w:rFonts w:ascii="Symbol" w:hAnsi="Symbol" w:hint="default"/>
      </w:rPr>
    </w:lvl>
    <w:lvl w:ilvl="4" w:tplc="42D8BB26">
      <w:start w:val="1"/>
      <w:numFmt w:val="bullet"/>
      <w:lvlText w:val="-"/>
      <w:lvlJc w:val="left"/>
      <w:pPr>
        <w:ind w:left="3960" w:hanging="360"/>
      </w:pPr>
      <w:rPr>
        <w:rFonts w:ascii="Courier New" w:hAnsi="Courier New" w:hint="default"/>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22">
    <w:nsid w:val="64B77BE0"/>
    <w:multiLevelType w:val="hybridMultilevel"/>
    <w:tmpl w:val="1F44E514"/>
    <w:lvl w:ilvl="0" w:tplc="0E8C62A8">
      <w:start w:val="1"/>
      <w:numFmt w:val="lowerLetter"/>
      <w:lvlText w:val="%1."/>
      <w:lvlJc w:val="left"/>
      <w:pPr>
        <w:ind w:left="180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6A546728"/>
    <w:multiLevelType w:val="hybridMultilevel"/>
    <w:tmpl w:val="FB16FDBA"/>
    <w:lvl w:ilvl="0" w:tplc="71320CC4">
      <w:start w:val="1"/>
      <w:numFmt w:val="upperRoman"/>
      <w:lvlText w:val="%1."/>
      <w:lvlJc w:val="left"/>
      <w:pPr>
        <w:ind w:left="1440" w:hanging="72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24">
    <w:nsid w:val="6F3770B3"/>
    <w:multiLevelType w:val="hybridMultilevel"/>
    <w:tmpl w:val="8ECC8C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73EF6B24"/>
    <w:multiLevelType w:val="hybridMultilevel"/>
    <w:tmpl w:val="263C34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nsid w:val="74FD669F"/>
    <w:multiLevelType w:val="hybridMultilevel"/>
    <w:tmpl w:val="2F88DF4E"/>
    <w:lvl w:ilvl="0" w:tplc="C0FABC60">
      <w:start w:val="1"/>
      <w:numFmt w:val="lowerRoman"/>
      <w:lvlText w:val="%1."/>
      <w:lvlJc w:val="left"/>
      <w:pPr>
        <w:ind w:left="1440" w:hanging="720"/>
      </w:pPr>
      <w:rPr>
        <w:rFonts w:cs="Times New Roman" w:hint="default"/>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27">
    <w:nsid w:val="7D0A325A"/>
    <w:multiLevelType w:val="hybridMultilevel"/>
    <w:tmpl w:val="A1ACD708"/>
    <w:lvl w:ilvl="0" w:tplc="0E8C62A8">
      <w:start w:val="1"/>
      <w:numFmt w:val="lowerLetter"/>
      <w:lvlText w:val="%1."/>
      <w:lvlJc w:val="left"/>
      <w:pPr>
        <w:ind w:left="360" w:hanging="360"/>
      </w:pPr>
      <w:rPr>
        <w:rFonts w:cs="Times New Roman"/>
        <w:b w:val="0"/>
      </w:rPr>
    </w:lvl>
    <w:lvl w:ilvl="1" w:tplc="0C090019" w:tentative="1">
      <w:start w:val="1"/>
      <w:numFmt w:val="lowerLetter"/>
      <w:lvlText w:val="%2."/>
      <w:lvlJc w:val="left"/>
      <w:pPr>
        <w:ind w:hanging="360"/>
      </w:pPr>
      <w:rPr>
        <w:rFonts w:cs="Times New Roman"/>
      </w:rPr>
    </w:lvl>
    <w:lvl w:ilvl="2" w:tplc="0C09001B" w:tentative="1">
      <w:start w:val="1"/>
      <w:numFmt w:val="lowerRoman"/>
      <w:lvlText w:val="%3."/>
      <w:lvlJc w:val="right"/>
      <w:pPr>
        <w:ind w:left="720" w:hanging="180"/>
      </w:pPr>
      <w:rPr>
        <w:rFonts w:cs="Times New Roman"/>
      </w:rPr>
    </w:lvl>
    <w:lvl w:ilvl="3" w:tplc="0C09000F" w:tentative="1">
      <w:start w:val="1"/>
      <w:numFmt w:val="decimal"/>
      <w:lvlText w:val="%4."/>
      <w:lvlJc w:val="left"/>
      <w:pPr>
        <w:ind w:left="1440" w:hanging="360"/>
      </w:pPr>
      <w:rPr>
        <w:rFonts w:cs="Times New Roman"/>
      </w:rPr>
    </w:lvl>
    <w:lvl w:ilvl="4" w:tplc="0C090019" w:tentative="1">
      <w:start w:val="1"/>
      <w:numFmt w:val="lowerLetter"/>
      <w:lvlText w:val="%5."/>
      <w:lvlJc w:val="left"/>
      <w:pPr>
        <w:ind w:left="2160" w:hanging="360"/>
      </w:pPr>
      <w:rPr>
        <w:rFonts w:cs="Times New Roman"/>
      </w:rPr>
    </w:lvl>
    <w:lvl w:ilvl="5" w:tplc="0C09001B" w:tentative="1">
      <w:start w:val="1"/>
      <w:numFmt w:val="lowerRoman"/>
      <w:lvlText w:val="%6."/>
      <w:lvlJc w:val="right"/>
      <w:pPr>
        <w:ind w:left="2880" w:hanging="180"/>
      </w:pPr>
      <w:rPr>
        <w:rFonts w:cs="Times New Roman"/>
      </w:rPr>
    </w:lvl>
    <w:lvl w:ilvl="6" w:tplc="0C09000F" w:tentative="1">
      <w:start w:val="1"/>
      <w:numFmt w:val="decimal"/>
      <w:lvlText w:val="%7."/>
      <w:lvlJc w:val="left"/>
      <w:pPr>
        <w:ind w:left="3600" w:hanging="360"/>
      </w:pPr>
      <w:rPr>
        <w:rFonts w:cs="Times New Roman"/>
      </w:rPr>
    </w:lvl>
    <w:lvl w:ilvl="7" w:tplc="0C090019" w:tentative="1">
      <w:start w:val="1"/>
      <w:numFmt w:val="lowerLetter"/>
      <w:lvlText w:val="%8."/>
      <w:lvlJc w:val="left"/>
      <w:pPr>
        <w:ind w:left="4320" w:hanging="360"/>
      </w:pPr>
      <w:rPr>
        <w:rFonts w:cs="Times New Roman"/>
      </w:rPr>
    </w:lvl>
    <w:lvl w:ilvl="8" w:tplc="0C09001B" w:tentative="1">
      <w:start w:val="1"/>
      <w:numFmt w:val="lowerRoman"/>
      <w:lvlText w:val="%9."/>
      <w:lvlJc w:val="right"/>
      <w:pPr>
        <w:ind w:left="5040" w:hanging="180"/>
      </w:pPr>
      <w:rPr>
        <w:rFonts w:cs="Times New Roman"/>
      </w:rPr>
    </w:lvl>
  </w:abstractNum>
  <w:abstractNum w:abstractNumId="28">
    <w:nsid w:val="7DC12B0A"/>
    <w:multiLevelType w:val="hybridMultilevel"/>
    <w:tmpl w:val="C6EC00F0"/>
    <w:lvl w:ilvl="0" w:tplc="48090019">
      <w:start w:val="1"/>
      <w:numFmt w:val="lowerLetter"/>
      <w:lvlText w:val="%1."/>
      <w:lvlJc w:val="left"/>
      <w:pPr>
        <w:ind w:left="180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E28298D"/>
    <w:multiLevelType w:val="hybridMultilevel"/>
    <w:tmpl w:val="9908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26"/>
  </w:num>
  <w:num w:numId="5">
    <w:abstractNumId w:val="21"/>
  </w:num>
  <w:num w:numId="6">
    <w:abstractNumId w:val="15"/>
  </w:num>
  <w:num w:numId="7">
    <w:abstractNumId w:val="10"/>
  </w:num>
  <w:num w:numId="8">
    <w:abstractNumId w:val="8"/>
  </w:num>
  <w:num w:numId="9">
    <w:abstractNumId w:val="18"/>
  </w:num>
  <w:num w:numId="10">
    <w:abstractNumId w:val="13"/>
  </w:num>
  <w:num w:numId="11">
    <w:abstractNumId w:val="23"/>
  </w:num>
  <w:num w:numId="12">
    <w:abstractNumId w:val="14"/>
  </w:num>
  <w:num w:numId="13">
    <w:abstractNumId w:val="11"/>
  </w:num>
  <w:num w:numId="14">
    <w:abstractNumId w:val="5"/>
  </w:num>
  <w:num w:numId="15">
    <w:abstractNumId w:val="20"/>
  </w:num>
  <w:num w:numId="16">
    <w:abstractNumId w:val="3"/>
  </w:num>
  <w:num w:numId="17">
    <w:abstractNumId w:val="7"/>
  </w:num>
  <w:num w:numId="18">
    <w:abstractNumId w:val="17"/>
  </w:num>
  <w:num w:numId="19">
    <w:abstractNumId w:val="24"/>
  </w:num>
  <w:num w:numId="20">
    <w:abstractNumId w:val="29"/>
  </w:num>
  <w:num w:numId="21">
    <w:abstractNumId w:val="25"/>
  </w:num>
  <w:num w:numId="22">
    <w:abstractNumId w:val="9"/>
  </w:num>
  <w:num w:numId="23">
    <w:abstractNumId w:val="6"/>
  </w:num>
  <w:num w:numId="24">
    <w:abstractNumId w:val="22"/>
  </w:num>
  <w:num w:numId="25">
    <w:abstractNumId w:val="27"/>
  </w:num>
  <w:num w:numId="26">
    <w:abstractNumId w:val="2"/>
  </w:num>
  <w:num w:numId="27">
    <w:abstractNumId w:val="1"/>
  </w:num>
  <w:num w:numId="28">
    <w:abstractNumId w:val="28"/>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C7"/>
    <w:rsid w:val="00007BCA"/>
    <w:rsid w:val="00027F1D"/>
    <w:rsid w:val="000319CE"/>
    <w:rsid w:val="0004604E"/>
    <w:rsid w:val="00063F83"/>
    <w:rsid w:val="000D4602"/>
    <w:rsid w:val="000E49B0"/>
    <w:rsid w:val="001360B2"/>
    <w:rsid w:val="00154113"/>
    <w:rsid w:val="001A39E9"/>
    <w:rsid w:val="001C41C7"/>
    <w:rsid w:val="001E3DDA"/>
    <w:rsid w:val="00230068"/>
    <w:rsid w:val="0025560B"/>
    <w:rsid w:val="00264C3C"/>
    <w:rsid w:val="00367D6E"/>
    <w:rsid w:val="00380998"/>
    <w:rsid w:val="003A5325"/>
    <w:rsid w:val="0040072C"/>
    <w:rsid w:val="00431DDF"/>
    <w:rsid w:val="00475653"/>
    <w:rsid w:val="00485639"/>
    <w:rsid w:val="00491BB4"/>
    <w:rsid w:val="004921BD"/>
    <w:rsid w:val="004D2447"/>
    <w:rsid w:val="004D3D68"/>
    <w:rsid w:val="004F765A"/>
    <w:rsid w:val="00575FC7"/>
    <w:rsid w:val="00673F07"/>
    <w:rsid w:val="006C5D00"/>
    <w:rsid w:val="00713E8D"/>
    <w:rsid w:val="00744E56"/>
    <w:rsid w:val="0079144F"/>
    <w:rsid w:val="0079552A"/>
    <w:rsid w:val="007A3701"/>
    <w:rsid w:val="007E5C7C"/>
    <w:rsid w:val="0083797C"/>
    <w:rsid w:val="00860E90"/>
    <w:rsid w:val="00882BD6"/>
    <w:rsid w:val="008A3947"/>
    <w:rsid w:val="008C0CB4"/>
    <w:rsid w:val="00900F12"/>
    <w:rsid w:val="009534D7"/>
    <w:rsid w:val="00996A60"/>
    <w:rsid w:val="009D2C12"/>
    <w:rsid w:val="00A657D4"/>
    <w:rsid w:val="00A818FC"/>
    <w:rsid w:val="00AD4ECA"/>
    <w:rsid w:val="00AE39F0"/>
    <w:rsid w:val="00B01D15"/>
    <w:rsid w:val="00B42345"/>
    <w:rsid w:val="00B771F6"/>
    <w:rsid w:val="00B873F9"/>
    <w:rsid w:val="00BC7DE0"/>
    <w:rsid w:val="00C24456"/>
    <w:rsid w:val="00C4239C"/>
    <w:rsid w:val="00CF0CDB"/>
    <w:rsid w:val="00D349A8"/>
    <w:rsid w:val="00D624EA"/>
    <w:rsid w:val="00DC094F"/>
    <w:rsid w:val="00ED2D07"/>
    <w:rsid w:val="00F15F12"/>
    <w:rsid w:val="00F32A86"/>
    <w:rsid w:val="00F622EA"/>
    <w:rsid w:val="00F7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C7"/>
    <w:pPr>
      <w:widowControl w:val="0"/>
      <w:jc w:val="both"/>
    </w:pPr>
    <w:rPr>
      <w:rFonts w:ascii="Times New Roman" w:hAnsi="Times New Roman" w:cs="Times New Roman"/>
      <w:szCs w:val="24"/>
    </w:rPr>
  </w:style>
  <w:style w:type="paragraph" w:styleId="1">
    <w:name w:val="heading 1"/>
    <w:basedOn w:val="a"/>
    <w:link w:val="1Char"/>
    <w:uiPriority w:val="99"/>
    <w:qFormat/>
    <w:rsid w:val="00A818FC"/>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rsid w:val="00A818FC"/>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A818FC"/>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A818F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818FC"/>
    <w:rPr>
      <w:rFonts w:ascii="Times New Roman" w:hAnsi="Times New Roman" w:cs="Times New Roman"/>
      <w:b/>
      <w:bCs/>
      <w:kern w:val="36"/>
      <w:sz w:val="48"/>
      <w:szCs w:val="48"/>
    </w:rPr>
  </w:style>
  <w:style w:type="character" w:customStyle="1" w:styleId="2Char">
    <w:name w:val="标题 2 Char"/>
    <w:basedOn w:val="a0"/>
    <w:link w:val="2"/>
    <w:uiPriority w:val="99"/>
    <w:locked/>
    <w:rsid w:val="00A818FC"/>
    <w:rPr>
      <w:rFonts w:ascii="Cambria" w:hAnsi="Cambria" w:cs="Times New Roman"/>
      <w:b/>
      <w:bCs/>
      <w:color w:val="4F81BD"/>
      <w:sz w:val="26"/>
      <w:szCs w:val="26"/>
    </w:rPr>
  </w:style>
  <w:style w:type="character" w:customStyle="1" w:styleId="3Char">
    <w:name w:val="标题 3 Char"/>
    <w:basedOn w:val="a0"/>
    <w:link w:val="3"/>
    <w:uiPriority w:val="99"/>
    <w:locked/>
    <w:rsid w:val="00A818FC"/>
    <w:rPr>
      <w:rFonts w:ascii="Cambria" w:hAnsi="Cambria" w:cs="Times New Roman"/>
      <w:b/>
      <w:bCs/>
      <w:color w:val="4F81BD"/>
    </w:rPr>
  </w:style>
  <w:style w:type="character" w:customStyle="1" w:styleId="4Char">
    <w:name w:val="标题 4 Char"/>
    <w:basedOn w:val="a0"/>
    <w:link w:val="4"/>
    <w:uiPriority w:val="99"/>
    <w:locked/>
    <w:rsid w:val="00A818FC"/>
    <w:rPr>
      <w:rFonts w:ascii="Cambria" w:hAnsi="Cambria" w:cs="Times New Roman"/>
      <w:b/>
      <w:bCs/>
      <w:i/>
      <w:iCs/>
      <w:color w:val="4F81BD"/>
    </w:rPr>
  </w:style>
  <w:style w:type="paragraph" w:customStyle="1" w:styleId="10">
    <w:name w:val="样式1"/>
    <w:basedOn w:val="a"/>
    <w:link w:val="1Char0"/>
    <w:uiPriority w:val="99"/>
    <w:rsid w:val="00264C3C"/>
    <w:pPr>
      <w:snapToGrid w:val="0"/>
      <w:spacing w:line="360" w:lineRule="auto"/>
    </w:pPr>
    <w:rPr>
      <w:rFonts w:ascii="Book Antiqua" w:hAnsi="Book Antiqua"/>
      <w:noProof/>
      <w:sz w:val="24"/>
      <w:vertAlign w:val="superscript"/>
    </w:rPr>
  </w:style>
  <w:style w:type="character" w:customStyle="1" w:styleId="1Char0">
    <w:name w:val="样式1 Char"/>
    <w:basedOn w:val="a0"/>
    <w:link w:val="10"/>
    <w:uiPriority w:val="99"/>
    <w:locked/>
    <w:rsid w:val="00264C3C"/>
    <w:rPr>
      <w:rFonts w:ascii="Book Antiqua" w:hAnsi="Book Antiqua" w:cs="Arial"/>
      <w:noProof/>
      <w:sz w:val="24"/>
      <w:szCs w:val="24"/>
      <w:vertAlign w:val="superscript"/>
    </w:rPr>
  </w:style>
  <w:style w:type="paragraph" w:styleId="a3">
    <w:name w:val="List Paragraph"/>
    <w:basedOn w:val="a"/>
    <w:uiPriority w:val="99"/>
    <w:qFormat/>
    <w:rsid w:val="00A818FC"/>
    <w:pPr>
      <w:ind w:left="720"/>
      <w:contextualSpacing/>
    </w:pPr>
  </w:style>
  <w:style w:type="paragraph" w:styleId="a4">
    <w:name w:val="header"/>
    <w:basedOn w:val="a"/>
    <w:link w:val="Char"/>
    <w:uiPriority w:val="99"/>
    <w:rsid w:val="00575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75FC7"/>
    <w:rPr>
      <w:rFonts w:cs="Times New Roman"/>
      <w:sz w:val="18"/>
      <w:szCs w:val="18"/>
    </w:rPr>
  </w:style>
  <w:style w:type="paragraph" w:styleId="a5">
    <w:name w:val="footer"/>
    <w:basedOn w:val="a"/>
    <w:link w:val="Char0"/>
    <w:uiPriority w:val="99"/>
    <w:rsid w:val="00575FC7"/>
    <w:pPr>
      <w:tabs>
        <w:tab w:val="center" w:pos="4153"/>
        <w:tab w:val="right" w:pos="8306"/>
      </w:tabs>
      <w:snapToGrid w:val="0"/>
    </w:pPr>
    <w:rPr>
      <w:sz w:val="18"/>
      <w:szCs w:val="18"/>
    </w:rPr>
  </w:style>
  <w:style w:type="character" w:customStyle="1" w:styleId="Char0">
    <w:name w:val="页脚 Char"/>
    <w:basedOn w:val="a0"/>
    <w:link w:val="a5"/>
    <w:uiPriority w:val="99"/>
    <w:locked/>
    <w:rsid w:val="00575FC7"/>
    <w:rPr>
      <w:rFonts w:cs="Times New Roman"/>
      <w:sz w:val="18"/>
      <w:szCs w:val="18"/>
    </w:rPr>
  </w:style>
  <w:style w:type="paragraph" w:customStyle="1" w:styleId="p0">
    <w:name w:val="p0"/>
    <w:basedOn w:val="a"/>
    <w:uiPriority w:val="99"/>
    <w:rsid w:val="00575FC7"/>
    <w:pPr>
      <w:widowControl/>
      <w:spacing w:line="240" w:lineRule="atLeast"/>
      <w:jc w:val="left"/>
    </w:pPr>
    <w:rPr>
      <w:rFonts w:ascii="Century" w:hAnsi="Century" w:cs="宋体"/>
      <w:kern w:val="0"/>
      <w:szCs w:val="21"/>
    </w:rPr>
  </w:style>
  <w:style w:type="character" w:styleId="a6">
    <w:name w:val="Hyperlink"/>
    <w:basedOn w:val="a0"/>
    <w:uiPriority w:val="99"/>
    <w:rsid w:val="00F32A86"/>
    <w:rPr>
      <w:rFonts w:cs="Times New Roman"/>
      <w:color w:val="0000FF"/>
      <w:u w:val="single"/>
    </w:rPr>
  </w:style>
  <w:style w:type="paragraph" w:customStyle="1" w:styleId="Minutesbodytext">
    <w:name w:val="Minutes body text"/>
    <w:link w:val="MinutesbodytextChar"/>
    <w:uiPriority w:val="99"/>
    <w:rsid w:val="00F32A86"/>
    <w:pPr>
      <w:spacing w:after="120"/>
      <w:jc w:val="both"/>
    </w:pPr>
    <w:rPr>
      <w:rFonts w:ascii="Arial" w:eastAsia="Arial Unicode MS" w:hAnsi="Arial"/>
      <w:kern w:val="0"/>
      <w:sz w:val="22"/>
      <w:lang w:val="en-GB"/>
    </w:rPr>
  </w:style>
  <w:style w:type="character" w:customStyle="1" w:styleId="MinutesbodytextChar">
    <w:name w:val="Minutes body text Char"/>
    <w:link w:val="Minutesbodytext"/>
    <w:uiPriority w:val="99"/>
    <w:locked/>
    <w:rsid w:val="00F32A86"/>
    <w:rPr>
      <w:rFonts w:ascii="Arial" w:eastAsia="Arial Unicode MS" w:hAnsi="Arial"/>
      <w:sz w:val="22"/>
      <w:lang w:val="en-GB" w:eastAsia="zh-CN"/>
    </w:rPr>
  </w:style>
  <w:style w:type="paragraph" w:customStyle="1" w:styleId="Non-TOCheading1">
    <w:name w:val="Non-TOC heading 1"/>
    <w:basedOn w:val="a"/>
    <w:next w:val="Minutesbodytext"/>
    <w:uiPriority w:val="99"/>
    <w:rsid w:val="00F32A86"/>
    <w:pPr>
      <w:widowControl/>
      <w:spacing w:after="120"/>
    </w:pPr>
    <w:rPr>
      <w:rFonts w:ascii="Arial" w:hAnsi="Arial"/>
      <w:b/>
      <w:kern w:val="0"/>
      <w:sz w:val="32"/>
      <w:szCs w:val="32"/>
      <w:lang w:val="en-GB"/>
    </w:rPr>
  </w:style>
  <w:style w:type="paragraph" w:customStyle="1" w:styleId="Non-TOCheading2">
    <w:name w:val="Non-TOC heading 2"/>
    <w:basedOn w:val="a"/>
    <w:next w:val="Minutesbodytext"/>
    <w:uiPriority w:val="99"/>
    <w:rsid w:val="00F32A86"/>
    <w:pPr>
      <w:widowControl/>
      <w:spacing w:after="120"/>
    </w:pPr>
    <w:rPr>
      <w:rFonts w:ascii="Arial" w:hAnsi="Arial"/>
      <w:b/>
      <w:kern w:val="0"/>
      <w:sz w:val="24"/>
      <w:lang w:val="en-GB"/>
    </w:rPr>
  </w:style>
  <w:style w:type="paragraph" w:customStyle="1" w:styleId="Meetingtitle">
    <w:name w:val="Meeting title"/>
    <w:basedOn w:val="a"/>
    <w:next w:val="a"/>
    <w:uiPriority w:val="99"/>
    <w:rsid w:val="00F32A86"/>
    <w:pPr>
      <w:widowControl/>
      <w:spacing w:after="120"/>
    </w:pPr>
    <w:rPr>
      <w:rFonts w:ascii="Arial" w:hAnsi="Arial"/>
      <w:b/>
      <w:kern w:val="0"/>
      <w:sz w:val="48"/>
      <w:szCs w:val="48"/>
      <w:lang w:val="en-GB"/>
    </w:rPr>
  </w:style>
  <w:style w:type="paragraph" w:styleId="a7">
    <w:name w:val="annotation text"/>
    <w:basedOn w:val="a"/>
    <w:link w:val="Char1"/>
    <w:uiPriority w:val="99"/>
    <w:rsid w:val="00F32A86"/>
    <w:pPr>
      <w:widowControl/>
      <w:jc w:val="left"/>
    </w:pPr>
    <w:rPr>
      <w:rFonts w:ascii="Arial" w:hAnsi="Arial"/>
      <w:kern w:val="0"/>
      <w:sz w:val="20"/>
      <w:szCs w:val="20"/>
      <w:lang w:eastAsia="ko-KR"/>
    </w:rPr>
  </w:style>
  <w:style w:type="character" w:customStyle="1" w:styleId="Char1">
    <w:name w:val="批注文字 Char"/>
    <w:basedOn w:val="a0"/>
    <w:link w:val="a7"/>
    <w:uiPriority w:val="99"/>
    <w:locked/>
    <w:rsid w:val="00F32A86"/>
    <w:rPr>
      <w:rFonts w:ascii="Arial" w:hAnsi="Arial" w:cs="Times New Roman"/>
      <w:sz w:val="20"/>
      <w:szCs w:val="20"/>
      <w:lang w:eastAsia="ko-KR" w:bidi="ar-SA"/>
    </w:rPr>
  </w:style>
  <w:style w:type="character" w:styleId="a8">
    <w:name w:val="annotation reference"/>
    <w:basedOn w:val="a0"/>
    <w:uiPriority w:val="99"/>
    <w:rsid w:val="00F32A86"/>
    <w:rPr>
      <w:rFonts w:cs="Times New Roman"/>
      <w:sz w:val="16"/>
    </w:rPr>
  </w:style>
  <w:style w:type="character" w:styleId="a9">
    <w:name w:val="page number"/>
    <w:basedOn w:val="a0"/>
    <w:uiPriority w:val="99"/>
    <w:rsid w:val="00F32A86"/>
    <w:rPr>
      <w:rFonts w:cs="Times New Roman"/>
    </w:rPr>
  </w:style>
  <w:style w:type="paragraph" w:styleId="aa">
    <w:name w:val="annotation subject"/>
    <w:basedOn w:val="a7"/>
    <w:next w:val="a7"/>
    <w:link w:val="Char2"/>
    <w:uiPriority w:val="99"/>
    <w:rsid w:val="00F32A86"/>
    <w:rPr>
      <w:b/>
      <w:bCs/>
      <w:lang w:val="en-AU"/>
    </w:rPr>
  </w:style>
  <w:style w:type="character" w:customStyle="1" w:styleId="Char2">
    <w:name w:val="批注主题 Char"/>
    <w:basedOn w:val="Char1"/>
    <w:link w:val="aa"/>
    <w:uiPriority w:val="99"/>
    <w:locked/>
    <w:rsid w:val="00F32A86"/>
    <w:rPr>
      <w:rFonts w:ascii="Arial" w:hAnsi="Arial" w:cs="Times New Roman"/>
      <w:b/>
      <w:bCs/>
      <w:sz w:val="20"/>
      <w:szCs w:val="20"/>
      <w:lang w:val="en-AU" w:eastAsia="ko-KR" w:bidi="ar-SA"/>
    </w:rPr>
  </w:style>
  <w:style w:type="paragraph" w:styleId="ab">
    <w:name w:val="Balloon Text"/>
    <w:basedOn w:val="a"/>
    <w:link w:val="Char3"/>
    <w:uiPriority w:val="99"/>
    <w:rsid w:val="00F32A86"/>
    <w:pPr>
      <w:widowControl/>
      <w:jc w:val="left"/>
    </w:pPr>
    <w:rPr>
      <w:rFonts w:ascii="Tahoma" w:hAnsi="Tahoma"/>
      <w:kern w:val="0"/>
      <w:sz w:val="16"/>
      <w:szCs w:val="16"/>
      <w:lang w:eastAsia="ko-KR"/>
    </w:rPr>
  </w:style>
  <w:style w:type="character" w:customStyle="1" w:styleId="Char3">
    <w:name w:val="批注框文本 Char"/>
    <w:basedOn w:val="a0"/>
    <w:link w:val="ab"/>
    <w:uiPriority w:val="99"/>
    <w:locked/>
    <w:rsid w:val="00F32A86"/>
    <w:rPr>
      <w:rFonts w:ascii="Tahoma" w:hAnsi="Tahoma" w:cs="Times New Roman"/>
      <w:sz w:val="16"/>
      <w:szCs w:val="16"/>
      <w:lang w:eastAsia="ko-KR" w:bidi="ar-SA"/>
    </w:rPr>
  </w:style>
  <w:style w:type="table" w:styleId="ac">
    <w:name w:val="Table Grid"/>
    <w:basedOn w:val="a1"/>
    <w:uiPriority w:val="99"/>
    <w:rsid w:val="00F32A86"/>
    <w:rPr>
      <w:rFonts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link w:val="MediumGrid2Char"/>
    <w:uiPriority w:val="99"/>
    <w:rsid w:val="00F32A86"/>
    <w:rPr>
      <w:rFonts w:cs="Times New Roman"/>
      <w:kern w:val="0"/>
      <w:sz w:val="22"/>
      <w:lang w:eastAsia="ja-JP"/>
    </w:rPr>
  </w:style>
  <w:style w:type="character" w:customStyle="1" w:styleId="MediumGrid2Char">
    <w:name w:val="Medium Grid 2 Char"/>
    <w:link w:val="21"/>
    <w:uiPriority w:val="99"/>
    <w:locked/>
    <w:rsid w:val="00F32A86"/>
    <w:rPr>
      <w:sz w:val="22"/>
      <w:lang w:eastAsia="ja-JP"/>
    </w:rPr>
  </w:style>
  <w:style w:type="paragraph" w:customStyle="1" w:styleId="11">
    <w:name w:val="无间隔1"/>
    <w:uiPriority w:val="99"/>
    <w:rsid w:val="00F32A86"/>
    <w:rPr>
      <w:rFonts w:cs="Times New Roman"/>
      <w:kern w:val="0"/>
      <w:sz w:val="22"/>
      <w:lang w:val="en-AU" w:eastAsia="en-US"/>
    </w:rPr>
  </w:style>
  <w:style w:type="paragraph" w:customStyle="1" w:styleId="12">
    <w:name w:val="列出段落1"/>
    <w:basedOn w:val="a"/>
    <w:uiPriority w:val="99"/>
    <w:rsid w:val="00F32A86"/>
    <w:pPr>
      <w:widowControl/>
      <w:spacing w:after="200" w:line="276" w:lineRule="auto"/>
      <w:ind w:left="720"/>
      <w:contextualSpacing/>
      <w:jc w:val="left"/>
    </w:pPr>
    <w:rPr>
      <w:rFonts w:ascii="Calibri" w:hAnsi="Calibri"/>
      <w:kern w:val="0"/>
      <w:sz w:val="22"/>
      <w:szCs w:val="22"/>
      <w:lang w:val="en-AU" w:eastAsia="en-US"/>
    </w:rPr>
  </w:style>
  <w:style w:type="character" w:customStyle="1" w:styleId="highlight">
    <w:name w:val="highlight"/>
    <w:uiPriority w:val="99"/>
    <w:rsid w:val="00F32A86"/>
  </w:style>
  <w:style w:type="paragraph" w:styleId="ad">
    <w:name w:val="Normal (Web)"/>
    <w:basedOn w:val="a"/>
    <w:uiPriority w:val="99"/>
    <w:rsid w:val="00F32A86"/>
    <w:pPr>
      <w:widowControl/>
      <w:spacing w:before="100" w:beforeAutospacing="1" w:after="100" w:afterAutospacing="1"/>
      <w:jc w:val="left"/>
    </w:pPr>
    <w:rPr>
      <w:kern w:val="0"/>
      <w:sz w:val="24"/>
      <w:lang w:val="en-SG" w:eastAsia="en-SG"/>
    </w:rPr>
  </w:style>
  <w:style w:type="paragraph" w:customStyle="1" w:styleId="13">
    <w:name w:val="修订1"/>
    <w:hidden/>
    <w:uiPriority w:val="99"/>
    <w:semiHidden/>
    <w:rsid w:val="00F32A86"/>
    <w:rPr>
      <w:rFonts w:cs="Times New Roman"/>
      <w:kern w:val="0"/>
      <w:sz w:val="22"/>
      <w:lang w:val="en-AU" w:eastAsia="en-US"/>
    </w:rPr>
  </w:style>
  <w:style w:type="table" w:styleId="14">
    <w:name w:val="Table Classic 1"/>
    <w:basedOn w:val="a1"/>
    <w:uiPriority w:val="99"/>
    <w:rsid w:val="00F32A86"/>
    <w:rPr>
      <w:rFonts w:ascii="Arial" w:hAnsi="Arial"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uiPriority w:val="99"/>
    <w:rsid w:val="00F32A86"/>
  </w:style>
  <w:style w:type="character" w:customStyle="1" w:styleId="apple-converted-space">
    <w:name w:val="apple-converted-space"/>
    <w:basedOn w:val="a0"/>
    <w:uiPriority w:val="99"/>
    <w:rsid w:val="00F32A86"/>
    <w:rPr>
      <w:rFonts w:cs="Times New Roman"/>
    </w:rPr>
  </w:style>
  <w:style w:type="character" w:customStyle="1" w:styleId="Char10">
    <w:name w:val="批注文字 Char1"/>
    <w:uiPriority w:val="99"/>
    <w:semiHidden/>
    <w:rsid w:val="00F32A86"/>
    <w:rPr>
      <w:rFonts w:eastAsia="宋体"/>
      <w:kern w:val="2"/>
      <w:sz w:val="24"/>
      <w:lang w:val="en-US" w:eastAsia="zh-CN"/>
    </w:rPr>
  </w:style>
  <w:style w:type="character" w:styleId="ae">
    <w:name w:val="FollowedHyperlink"/>
    <w:basedOn w:val="a0"/>
    <w:uiPriority w:val="99"/>
    <w:rsid w:val="00F32A86"/>
    <w:rPr>
      <w:rFonts w:cs="Times New Roman"/>
      <w:color w:val="800080"/>
      <w:u w:val="single"/>
    </w:rPr>
  </w:style>
  <w:style w:type="character" w:customStyle="1" w:styleId="trans">
    <w:name w:val="trans"/>
    <w:basedOn w:val="a0"/>
    <w:uiPriority w:val="99"/>
    <w:rsid w:val="00F32A86"/>
    <w:rPr>
      <w:rFonts w:cs="Times New Roman"/>
    </w:rPr>
  </w:style>
  <w:style w:type="character" w:customStyle="1" w:styleId="webdict">
    <w:name w:val="webdict"/>
    <w:basedOn w:val="a0"/>
    <w:uiPriority w:val="99"/>
    <w:rsid w:val="00F32A86"/>
    <w:rPr>
      <w:rFonts w:cs="Times New Roman"/>
    </w:rPr>
  </w:style>
  <w:style w:type="numbering" w:customStyle="1" w:styleId="Style2">
    <w:name w:val="Style2"/>
    <w:rsid w:val="0017768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C7"/>
    <w:pPr>
      <w:widowControl w:val="0"/>
      <w:jc w:val="both"/>
    </w:pPr>
    <w:rPr>
      <w:rFonts w:ascii="Times New Roman" w:hAnsi="Times New Roman" w:cs="Times New Roman"/>
      <w:szCs w:val="24"/>
    </w:rPr>
  </w:style>
  <w:style w:type="paragraph" w:styleId="1">
    <w:name w:val="heading 1"/>
    <w:basedOn w:val="a"/>
    <w:link w:val="1Char"/>
    <w:uiPriority w:val="99"/>
    <w:qFormat/>
    <w:rsid w:val="00A818FC"/>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rsid w:val="00A818FC"/>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A818FC"/>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A818F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818FC"/>
    <w:rPr>
      <w:rFonts w:ascii="Times New Roman" w:hAnsi="Times New Roman" w:cs="Times New Roman"/>
      <w:b/>
      <w:bCs/>
      <w:kern w:val="36"/>
      <w:sz w:val="48"/>
      <w:szCs w:val="48"/>
    </w:rPr>
  </w:style>
  <w:style w:type="character" w:customStyle="1" w:styleId="2Char">
    <w:name w:val="标题 2 Char"/>
    <w:basedOn w:val="a0"/>
    <w:link w:val="2"/>
    <w:uiPriority w:val="99"/>
    <w:locked/>
    <w:rsid w:val="00A818FC"/>
    <w:rPr>
      <w:rFonts w:ascii="Cambria" w:hAnsi="Cambria" w:cs="Times New Roman"/>
      <w:b/>
      <w:bCs/>
      <w:color w:val="4F81BD"/>
      <w:sz w:val="26"/>
      <w:szCs w:val="26"/>
    </w:rPr>
  </w:style>
  <w:style w:type="character" w:customStyle="1" w:styleId="3Char">
    <w:name w:val="标题 3 Char"/>
    <w:basedOn w:val="a0"/>
    <w:link w:val="3"/>
    <w:uiPriority w:val="99"/>
    <w:locked/>
    <w:rsid w:val="00A818FC"/>
    <w:rPr>
      <w:rFonts w:ascii="Cambria" w:hAnsi="Cambria" w:cs="Times New Roman"/>
      <w:b/>
      <w:bCs/>
      <w:color w:val="4F81BD"/>
    </w:rPr>
  </w:style>
  <w:style w:type="character" w:customStyle="1" w:styleId="4Char">
    <w:name w:val="标题 4 Char"/>
    <w:basedOn w:val="a0"/>
    <w:link w:val="4"/>
    <w:uiPriority w:val="99"/>
    <w:locked/>
    <w:rsid w:val="00A818FC"/>
    <w:rPr>
      <w:rFonts w:ascii="Cambria" w:hAnsi="Cambria" w:cs="Times New Roman"/>
      <w:b/>
      <w:bCs/>
      <w:i/>
      <w:iCs/>
      <w:color w:val="4F81BD"/>
    </w:rPr>
  </w:style>
  <w:style w:type="paragraph" w:customStyle="1" w:styleId="10">
    <w:name w:val="样式1"/>
    <w:basedOn w:val="a"/>
    <w:link w:val="1Char0"/>
    <w:uiPriority w:val="99"/>
    <w:rsid w:val="00264C3C"/>
    <w:pPr>
      <w:snapToGrid w:val="0"/>
      <w:spacing w:line="360" w:lineRule="auto"/>
    </w:pPr>
    <w:rPr>
      <w:rFonts w:ascii="Book Antiqua" w:hAnsi="Book Antiqua"/>
      <w:noProof/>
      <w:sz w:val="24"/>
      <w:vertAlign w:val="superscript"/>
    </w:rPr>
  </w:style>
  <w:style w:type="character" w:customStyle="1" w:styleId="1Char0">
    <w:name w:val="样式1 Char"/>
    <w:basedOn w:val="a0"/>
    <w:link w:val="10"/>
    <w:uiPriority w:val="99"/>
    <w:locked/>
    <w:rsid w:val="00264C3C"/>
    <w:rPr>
      <w:rFonts w:ascii="Book Antiqua" w:hAnsi="Book Antiqua" w:cs="Arial"/>
      <w:noProof/>
      <w:sz w:val="24"/>
      <w:szCs w:val="24"/>
      <w:vertAlign w:val="superscript"/>
    </w:rPr>
  </w:style>
  <w:style w:type="paragraph" w:styleId="a3">
    <w:name w:val="List Paragraph"/>
    <w:basedOn w:val="a"/>
    <w:uiPriority w:val="99"/>
    <w:qFormat/>
    <w:rsid w:val="00A818FC"/>
    <w:pPr>
      <w:ind w:left="720"/>
      <w:contextualSpacing/>
    </w:pPr>
  </w:style>
  <w:style w:type="paragraph" w:styleId="a4">
    <w:name w:val="header"/>
    <w:basedOn w:val="a"/>
    <w:link w:val="Char"/>
    <w:uiPriority w:val="99"/>
    <w:rsid w:val="00575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75FC7"/>
    <w:rPr>
      <w:rFonts w:cs="Times New Roman"/>
      <w:sz w:val="18"/>
      <w:szCs w:val="18"/>
    </w:rPr>
  </w:style>
  <w:style w:type="paragraph" w:styleId="a5">
    <w:name w:val="footer"/>
    <w:basedOn w:val="a"/>
    <w:link w:val="Char0"/>
    <w:uiPriority w:val="99"/>
    <w:rsid w:val="00575FC7"/>
    <w:pPr>
      <w:tabs>
        <w:tab w:val="center" w:pos="4153"/>
        <w:tab w:val="right" w:pos="8306"/>
      </w:tabs>
      <w:snapToGrid w:val="0"/>
    </w:pPr>
    <w:rPr>
      <w:sz w:val="18"/>
      <w:szCs w:val="18"/>
    </w:rPr>
  </w:style>
  <w:style w:type="character" w:customStyle="1" w:styleId="Char0">
    <w:name w:val="页脚 Char"/>
    <w:basedOn w:val="a0"/>
    <w:link w:val="a5"/>
    <w:uiPriority w:val="99"/>
    <w:locked/>
    <w:rsid w:val="00575FC7"/>
    <w:rPr>
      <w:rFonts w:cs="Times New Roman"/>
      <w:sz w:val="18"/>
      <w:szCs w:val="18"/>
    </w:rPr>
  </w:style>
  <w:style w:type="paragraph" w:customStyle="1" w:styleId="p0">
    <w:name w:val="p0"/>
    <w:basedOn w:val="a"/>
    <w:uiPriority w:val="99"/>
    <w:rsid w:val="00575FC7"/>
    <w:pPr>
      <w:widowControl/>
      <w:spacing w:line="240" w:lineRule="atLeast"/>
      <w:jc w:val="left"/>
    </w:pPr>
    <w:rPr>
      <w:rFonts w:ascii="Century" w:hAnsi="Century" w:cs="宋体"/>
      <w:kern w:val="0"/>
      <w:szCs w:val="21"/>
    </w:rPr>
  </w:style>
  <w:style w:type="character" w:styleId="a6">
    <w:name w:val="Hyperlink"/>
    <w:basedOn w:val="a0"/>
    <w:uiPriority w:val="99"/>
    <w:rsid w:val="00F32A86"/>
    <w:rPr>
      <w:rFonts w:cs="Times New Roman"/>
      <w:color w:val="0000FF"/>
      <w:u w:val="single"/>
    </w:rPr>
  </w:style>
  <w:style w:type="paragraph" w:customStyle="1" w:styleId="Minutesbodytext">
    <w:name w:val="Minutes body text"/>
    <w:link w:val="MinutesbodytextChar"/>
    <w:uiPriority w:val="99"/>
    <w:rsid w:val="00F32A86"/>
    <w:pPr>
      <w:spacing w:after="120"/>
      <w:jc w:val="both"/>
    </w:pPr>
    <w:rPr>
      <w:rFonts w:ascii="Arial" w:eastAsia="Arial Unicode MS" w:hAnsi="Arial"/>
      <w:kern w:val="0"/>
      <w:sz w:val="22"/>
      <w:lang w:val="en-GB"/>
    </w:rPr>
  </w:style>
  <w:style w:type="character" w:customStyle="1" w:styleId="MinutesbodytextChar">
    <w:name w:val="Minutes body text Char"/>
    <w:link w:val="Minutesbodytext"/>
    <w:uiPriority w:val="99"/>
    <w:locked/>
    <w:rsid w:val="00F32A86"/>
    <w:rPr>
      <w:rFonts w:ascii="Arial" w:eastAsia="Arial Unicode MS" w:hAnsi="Arial"/>
      <w:sz w:val="22"/>
      <w:lang w:val="en-GB" w:eastAsia="zh-CN"/>
    </w:rPr>
  </w:style>
  <w:style w:type="paragraph" w:customStyle="1" w:styleId="Non-TOCheading1">
    <w:name w:val="Non-TOC heading 1"/>
    <w:basedOn w:val="a"/>
    <w:next w:val="Minutesbodytext"/>
    <w:uiPriority w:val="99"/>
    <w:rsid w:val="00F32A86"/>
    <w:pPr>
      <w:widowControl/>
      <w:spacing w:after="120"/>
    </w:pPr>
    <w:rPr>
      <w:rFonts w:ascii="Arial" w:hAnsi="Arial"/>
      <w:b/>
      <w:kern w:val="0"/>
      <w:sz w:val="32"/>
      <w:szCs w:val="32"/>
      <w:lang w:val="en-GB"/>
    </w:rPr>
  </w:style>
  <w:style w:type="paragraph" w:customStyle="1" w:styleId="Non-TOCheading2">
    <w:name w:val="Non-TOC heading 2"/>
    <w:basedOn w:val="a"/>
    <w:next w:val="Minutesbodytext"/>
    <w:uiPriority w:val="99"/>
    <w:rsid w:val="00F32A86"/>
    <w:pPr>
      <w:widowControl/>
      <w:spacing w:after="120"/>
    </w:pPr>
    <w:rPr>
      <w:rFonts w:ascii="Arial" w:hAnsi="Arial"/>
      <w:b/>
      <w:kern w:val="0"/>
      <w:sz w:val="24"/>
      <w:lang w:val="en-GB"/>
    </w:rPr>
  </w:style>
  <w:style w:type="paragraph" w:customStyle="1" w:styleId="Meetingtitle">
    <w:name w:val="Meeting title"/>
    <w:basedOn w:val="a"/>
    <w:next w:val="a"/>
    <w:uiPriority w:val="99"/>
    <w:rsid w:val="00F32A86"/>
    <w:pPr>
      <w:widowControl/>
      <w:spacing w:after="120"/>
    </w:pPr>
    <w:rPr>
      <w:rFonts w:ascii="Arial" w:hAnsi="Arial"/>
      <w:b/>
      <w:kern w:val="0"/>
      <w:sz w:val="48"/>
      <w:szCs w:val="48"/>
      <w:lang w:val="en-GB"/>
    </w:rPr>
  </w:style>
  <w:style w:type="paragraph" w:styleId="a7">
    <w:name w:val="annotation text"/>
    <w:basedOn w:val="a"/>
    <w:link w:val="Char1"/>
    <w:uiPriority w:val="99"/>
    <w:rsid w:val="00F32A86"/>
    <w:pPr>
      <w:widowControl/>
      <w:jc w:val="left"/>
    </w:pPr>
    <w:rPr>
      <w:rFonts w:ascii="Arial" w:hAnsi="Arial"/>
      <w:kern w:val="0"/>
      <w:sz w:val="20"/>
      <w:szCs w:val="20"/>
      <w:lang w:eastAsia="ko-KR"/>
    </w:rPr>
  </w:style>
  <w:style w:type="character" w:customStyle="1" w:styleId="Char1">
    <w:name w:val="批注文字 Char"/>
    <w:basedOn w:val="a0"/>
    <w:link w:val="a7"/>
    <w:uiPriority w:val="99"/>
    <w:locked/>
    <w:rsid w:val="00F32A86"/>
    <w:rPr>
      <w:rFonts w:ascii="Arial" w:hAnsi="Arial" w:cs="Times New Roman"/>
      <w:sz w:val="20"/>
      <w:szCs w:val="20"/>
      <w:lang w:eastAsia="ko-KR" w:bidi="ar-SA"/>
    </w:rPr>
  </w:style>
  <w:style w:type="character" w:styleId="a8">
    <w:name w:val="annotation reference"/>
    <w:basedOn w:val="a0"/>
    <w:uiPriority w:val="99"/>
    <w:rsid w:val="00F32A86"/>
    <w:rPr>
      <w:rFonts w:cs="Times New Roman"/>
      <w:sz w:val="16"/>
    </w:rPr>
  </w:style>
  <w:style w:type="character" w:styleId="a9">
    <w:name w:val="page number"/>
    <w:basedOn w:val="a0"/>
    <w:uiPriority w:val="99"/>
    <w:rsid w:val="00F32A86"/>
    <w:rPr>
      <w:rFonts w:cs="Times New Roman"/>
    </w:rPr>
  </w:style>
  <w:style w:type="paragraph" w:styleId="aa">
    <w:name w:val="annotation subject"/>
    <w:basedOn w:val="a7"/>
    <w:next w:val="a7"/>
    <w:link w:val="Char2"/>
    <w:uiPriority w:val="99"/>
    <w:rsid w:val="00F32A86"/>
    <w:rPr>
      <w:b/>
      <w:bCs/>
      <w:lang w:val="en-AU"/>
    </w:rPr>
  </w:style>
  <w:style w:type="character" w:customStyle="1" w:styleId="Char2">
    <w:name w:val="批注主题 Char"/>
    <w:basedOn w:val="Char1"/>
    <w:link w:val="aa"/>
    <w:uiPriority w:val="99"/>
    <w:locked/>
    <w:rsid w:val="00F32A86"/>
    <w:rPr>
      <w:rFonts w:ascii="Arial" w:hAnsi="Arial" w:cs="Times New Roman"/>
      <w:b/>
      <w:bCs/>
      <w:sz w:val="20"/>
      <w:szCs w:val="20"/>
      <w:lang w:val="en-AU" w:eastAsia="ko-KR" w:bidi="ar-SA"/>
    </w:rPr>
  </w:style>
  <w:style w:type="paragraph" w:styleId="ab">
    <w:name w:val="Balloon Text"/>
    <w:basedOn w:val="a"/>
    <w:link w:val="Char3"/>
    <w:uiPriority w:val="99"/>
    <w:rsid w:val="00F32A86"/>
    <w:pPr>
      <w:widowControl/>
      <w:jc w:val="left"/>
    </w:pPr>
    <w:rPr>
      <w:rFonts w:ascii="Tahoma" w:hAnsi="Tahoma"/>
      <w:kern w:val="0"/>
      <w:sz w:val="16"/>
      <w:szCs w:val="16"/>
      <w:lang w:eastAsia="ko-KR"/>
    </w:rPr>
  </w:style>
  <w:style w:type="character" w:customStyle="1" w:styleId="Char3">
    <w:name w:val="批注框文本 Char"/>
    <w:basedOn w:val="a0"/>
    <w:link w:val="ab"/>
    <w:uiPriority w:val="99"/>
    <w:locked/>
    <w:rsid w:val="00F32A86"/>
    <w:rPr>
      <w:rFonts w:ascii="Tahoma" w:hAnsi="Tahoma" w:cs="Times New Roman"/>
      <w:sz w:val="16"/>
      <w:szCs w:val="16"/>
      <w:lang w:eastAsia="ko-KR" w:bidi="ar-SA"/>
    </w:rPr>
  </w:style>
  <w:style w:type="table" w:styleId="ac">
    <w:name w:val="Table Grid"/>
    <w:basedOn w:val="a1"/>
    <w:uiPriority w:val="99"/>
    <w:rsid w:val="00F32A86"/>
    <w:rPr>
      <w:rFonts w:cs="Times New Roman"/>
      <w:kern w:val="0"/>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link w:val="MediumGrid2Char"/>
    <w:uiPriority w:val="99"/>
    <w:rsid w:val="00F32A86"/>
    <w:rPr>
      <w:rFonts w:cs="Times New Roman"/>
      <w:kern w:val="0"/>
      <w:sz w:val="22"/>
      <w:lang w:eastAsia="ja-JP"/>
    </w:rPr>
  </w:style>
  <w:style w:type="character" w:customStyle="1" w:styleId="MediumGrid2Char">
    <w:name w:val="Medium Grid 2 Char"/>
    <w:link w:val="21"/>
    <w:uiPriority w:val="99"/>
    <w:locked/>
    <w:rsid w:val="00F32A86"/>
    <w:rPr>
      <w:sz w:val="22"/>
      <w:lang w:eastAsia="ja-JP"/>
    </w:rPr>
  </w:style>
  <w:style w:type="paragraph" w:customStyle="1" w:styleId="11">
    <w:name w:val="无间隔1"/>
    <w:uiPriority w:val="99"/>
    <w:rsid w:val="00F32A86"/>
    <w:rPr>
      <w:rFonts w:cs="Times New Roman"/>
      <w:kern w:val="0"/>
      <w:sz w:val="22"/>
      <w:lang w:val="en-AU" w:eastAsia="en-US"/>
    </w:rPr>
  </w:style>
  <w:style w:type="paragraph" w:customStyle="1" w:styleId="12">
    <w:name w:val="列出段落1"/>
    <w:basedOn w:val="a"/>
    <w:uiPriority w:val="99"/>
    <w:rsid w:val="00F32A86"/>
    <w:pPr>
      <w:widowControl/>
      <w:spacing w:after="200" w:line="276" w:lineRule="auto"/>
      <w:ind w:left="720"/>
      <w:contextualSpacing/>
      <w:jc w:val="left"/>
    </w:pPr>
    <w:rPr>
      <w:rFonts w:ascii="Calibri" w:hAnsi="Calibri"/>
      <w:kern w:val="0"/>
      <w:sz w:val="22"/>
      <w:szCs w:val="22"/>
      <w:lang w:val="en-AU" w:eastAsia="en-US"/>
    </w:rPr>
  </w:style>
  <w:style w:type="character" w:customStyle="1" w:styleId="highlight">
    <w:name w:val="highlight"/>
    <w:uiPriority w:val="99"/>
    <w:rsid w:val="00F32A86"/>
  </w:style>
  <w:style w:type="paragraph" w:styleId="ad">
    <w:name w:val="Normal (Web)"/>
    <w:basedOn w:val="a"/>
    <w:uiPriority w:val="99"/>
    <w:rsid w:val="00F32A86"/>
    <w:pPr>
      <w:widowControl/>
      <w:spacing w:before="100" w:beforeAutospacing="1" w:after="100" w:afterAutospacing="1"/>
      <w:jc w:val="left"/>
    </w:pPr>
    <w:rPr>
      <w:kern w:val="0"/>
      <w:sz w:val="24"/>
      <w:lang w:val="en-SG" w:eastAsia="en-SG"/>
    </w:rPr>
  </w:style>
  <w:style w:type="paragraph" w:customStyle="1" w:styleId="13">
    <w:name w:val="修订1"/>
    <w:hidden/>
    <w:uiPriority w:val="99"/>
    <w:semiHidden/>
    <w:rsid w:val="00F32A86"/>
    <w:rPr>
      <w:rFonts w:cs="Times New Roman"/>
      <w:kern w:val="0"/>
      <w:sz w:val="22"/>
      <w:lang w:val="en-AU" w:eastAsia="en-US"/>
    </w:rPr>
  </w:style>
  <w:style w:type="table" w:styleId="14">
    <w:name w:val="Table Classic 1"/>
    <w:basedOn w:val="a1"/>
    <w:uiPriority w:val="99"/>
    <w:rsid w:val="00F32A86"/>
    <w:rPr>
      <w:rFonts w:ascii="Arial" w:hAnsi="Arial"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uiPriority w:val="99"/>
    <w:rsid w:val="00F32A86"/>
  </w:style>
  <w:style w:type="character" w:customStyle="1" w:styleId="apple-converted-space">
    <w:name w:val="apple-converted-space"/>
    <w:basedOn w:val="a0"/>
    <w:uiPriority w:val="99"/>
    <w:rsid w:val="00F32A86"/>
    <w:rPr>
      <w:rFonts w:cs="Times New Roman"/>
    </w:rPr>
  </w:style>
  <w:style w:type="character" w:customStyle="1" w:styleId="Char10">
    <w:name w:val="批注文字 Char1"/>
    <w:uiPriority w:val="99"/>
    <w:semiHidden/>
    <w:rsid w:val="00F32A86"/>
    <w:rPr>
      <w:rFonts w:eastAsia="宋体"/>
      <w:kern w:val="2"/>
      <w:sz w:val="24"/>
      <w:lang w:val="en-US" w:eastAsia="zh-CN"/>
    </w:rPr>
  </w:style>
  <w:style w:type="character" w:styleId="ae">
    <w:name w:val="FollowedHyperlink"/>
    <w:basedOn w:val="a0"/>
    <w:uiPriority w:val="99"/>
    <w:rsid w:val="00F32A86"/>
    <w:rPr>
      <w:rFonts w:cs="Times New Roman"/>
      <w:color w:val="800080"/>
      <w:u w:val="single"/>
    </w:rPr>
  </w:style>
  <w:style w:type="character" w:customStyle="1" w:styleId="trans">
    <w:name w:val="trans"/>
    <w:basedOn w:val="a0"/>
    <w:uiPriority w:val="99"/>
    <w:rsid w:val="00F32A86"/>
    <w:rPr>
      <w:rFonts w:cs="Times New Roman"/>
    </w:rPr>
  </w:style>
  <w:style w:type="character" w:customStyle="1" w:styleId="webdict">
    <w:name w:val="webdict"/>
    <w:basedOn w:val="a0"/>
    <w:uiPriority w:val="99"/>
    <w:rsid w:val="00F32A86"/>
    <w:rPr>
      <w:rFonts w:cs="Times New Roman"/>
    </w:rPr>
  </w:style>
  <w:style w:type="numbering" w:customStyle="1" w:styleId="Style2">
    <w:name w:val="Style2"/>
    <w:rsid w:val="0017768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6026">
      <w:marLeft w:val="0"/>
      <w:marRight w:val="0"/>
      <w:marTop w:val="0"/>
      <w:marBottom w:val="0"/>
      <w:divBdr>
        <w:top w:val="none" w:sz="0" w:space="0" w:color="auto"/>
        <w:left w:val="none" w:sz="0" w:space="0" w:color="auto"/>
        <w:bottom w:val="none" w:sz="0" w:space="0" w:color="auto"/>
        <w:right w:val="none" w:sz="0" w:space="0" w:color="auto"/>
      </w:divBdr>
      <w:divsChild>
        <w:div w:id="1044256030">
          <w:marLeft w:val="0"/>
          <w:marRight w:val="0"/>
          <w:marTop w:val="0"/>
          <w:marBottom w:val="0"/>
          <w:divBdr>
            <w:top w:val="none" w:sz="0" w:space="0" w:color="auto"/>
            <w:left w:val="none" w:sz="0" w:space="0" w:color="auto"/>
            <w:bottom w:val="none" w:sz="0" w:space="0" w:color="auto"/>
            <w:right w:val="none" w:sz="0" w:space="0" w:color="auto"/>
          </w:divBdr>
        </w:div>
      </w:divsChild>
    </w:div>
    <w:div w:id="1044256032">
      <w:marLeft w:val="0"/>
      <w:marRight w:val="0"/>
      <w:marTop w:val="0"/>
      <w:marBottom w:val="0"/>
      <w:divBdr>
        <w:top w:val="none" w:sz="0" w:space="0" w:color="auto"/>
        <w:left w:val="none" w:sz="0" w:space="0" w:color="auto"/>
        <w:bottom w:val="none" w:sz="0" w:space="0" w:color="auto"/>
        <w:right w:val="none" w:sz="0" w:space="0" w:color="auto"/>
      </w:divBdr>
    </w:div>
    <w:div w:id="1044256034">
      <w:marLeft w:val="0"/>
      <w:marRight w:val="0"/>
      <w:marTop w:val="0"/>
      <w:marBottom w:val="0"/>
      <w:divBdr>
        <w:top w:val="none" w:sz="0" w:space="0" w:color="auto"/>
        <w:left w:val="none" w:sz="0" w:space="0" w:color="auto"/>
        <w:bottom w:val="none" w:sz="0" w:space="0" w:color="auto"/>
        <w:right w:val="none" w:sz="0" w:space="0" w:color="auto"/>
      </w:divBdr>
    </w:div>
    <w:div w:id="1044256041">
      <w:marLeft w:val="0"/>
      <w:marRight w:val="0"/>
      <w:marTop w:val="0"/>
      <w:marBottom w:val="0"/>
      <w:divBdr>
        <w:top w:val="none" w:sz="0" w:space="0" w:color="auto"/>
        <w:left w:val="none" w:sz="0" w:space="0" w:color="auto"/>
        <w:bottom w:val="none" w:sz="0" w:space="0" w:color="auto"/>
        <w:right w:val="none" w:sz="0" w:space="0" w:color="auto"/>
      </w:divBdr>
    </w:div>
    <w:div w:id="1044256045">
      <w:marLeft w:val="0"/>
      <w:marRight w:val="0"/>
      <w:marTop w:val="0"/>
      <w:marBottom w:val="0"/>
      <w:divBdr>
        <w:top w:val="none" w:sz="0" w:space="0" w:color="auto"/>
        <w:left w:val="none" w:sz="0" w:space="0" w:color="auto"/>
        <w:bottom w:val="none" w:sz="0" w:space="0" w:color="auto"/>
        <w:right w:val="none" w:sz="0" w:space="0" w:color="auto"/>
      </w:divBdr>
    </w:div>
    <w:div w:id="1044256051">
      <w:marLeft w:val="0"/>
      <w:marRight w:val="0"/>
      <w:marTop w:val="0"/>
      <w:marBottom w:val="0"/>
      <w:divBdr>
        <w:top w:val="none" w:sz="0" w:space="0" w:color="auto"/>
        <w:left w:val="none" w:sz="0" w:space="0" w:color="auto"/>
        <w:bottom w:val="none" w:sz="0" w:space="0" w:color="auto"/>
        <w:right w:val="none" w:sz="0" w:space="0" w:color="auto"/>
      </w:divBdr>
      <w:divsChild>
        <w:div w:id="1044256023">
          <w:marLeft w:val="0"/>
          <w:marRight w:val="0"/>
          <w:marTop w:val="0"/>
          <w:marBottom w:val="0"/>
          <w:divBdr>
            <w:top w:val="none" w:sz="0" w:space="0" w:color="auto"/>
            <w:left w:val="none" w:sz="0" w:space="0" w:color="auto"/>
            <w:bottom w:val="none" w:sz="0" w:space="0" w:color="auto"/>
            <w:right w:val="none" w:sz="0" w:space="0" w:color="auto"/>
          </w:divBdr>
        </w:div>
        <w:div w:id="1044256024">
          <w:marLeft w:val="0"/>
          <w:marRight w:val="0"/>
          <w:marTop w:val="0"/>
          <w:marBottom w:val="0"/>
          <w:divBdr>
            <w:top w:val="none" w:sz="0" w:space="0" w:color="auto"/>
            <w:left w:val="none" w:sz="0" w:space="0" w:color="auto"/>
            <w:bottom w:val="none" w:sz="0" w:space="0" w:color="auto"/>
            <w:right w:val="none" w:sz="0" w:space="0" w:color="auto"/>
          </w:divBdr>
        </w:div>
        <w:div w:id="1044256025">
          <w:marLeft w:val="0"/>
          <w:marRight w:val="0"/>
          <w:marTop w:val="0"/>
          <w:marBottom w:val="0"/>
          <w:divBdr>
            <w:top w:val="none" w:sz="0" w:space="0" w:color="auto"/>
            <w:left w:val="none" w:sz="0" w:space="0" w:color="auto"/>
            <w:bottom w:val="none" w:sz="0" w:space="0" w:color="auto"/>
            <w:right w:val="none" w:sz="0" w:space="0" w:color="auto"/>
          </w:divBdr>
        </w:div>
        <w:div w:id="1044256027">
          <w:marLeft w:val="0"/>
          <w:marRight w:val="0"/>
          <w:marTop w:val="0"/>
          <w:marBottom w:val="0"/>
          <w:divBdr>
            <w:top w:val="none" w:sz="0" w:space="0" w:color="auto"/>
            <w:left w:val="none" w:sz="0" w:space="0" w:color="auto"/>
            <w:bottom w:val="none" w:sz="0" w:space="0" w:color="auto"/>
            <w:right w:val="none" w:sz="0" w:space="0" w:color="auto"/>
          </w:divBdr>
        </w:div>
        <w:div w:id="1044256028">
          <w:marLeft w:val="0"/>
          <w:marRight w:val="0"/>
          <w:marTop w:val="0"/>
          <w:marBottom w:val="0"/>
          <w:divBdr>
            <w:top w:val="none" w:sz="0" w:space="0" w:color="auto"/>
            <w:left w:val="none" w:sz="0" w:space="0" w:color="auto"/>
            <w:bottom w:val="none" w:sz="0" w:space="0" w:color="auto"/>
            <w:right w:val="none" w:sz="0" w:space="0" w:color="auto"/>
          </w:divBdr>
        </w:div>
        <w:div w:id="1044256029">
          <w:marLeft w:val="0"/>
          <w:marRight w:val="0"/>
          <w:marTop w:val="0"/>
          <w:marBottom w:val="0"/>
          <w:divBdr>
            <w:top w:val="none" w:sz="0" w:space="0" w:color="auto"/>
            <w:left w:val="none" w:sz="0" w:space="0" w:color="auto"/>
            <w:bottom w:val="none" w:sz="0" w:space="0" w:color="auto"/>
            <w:right w:val="none" w:sz="0" w:space="0" w:color="auto"/>
          </w:divBdr>
        </w:div>
        <w:div w:id="1044256031">
          <w:marLeft w:val="0"/>
          <w:marRight w:val="0"/>
          <w:marTop w:val="0"/>
          <w:marBottom w:val="0"/>
          <w:divBdr>
            <w:top w:val="none" w:sz="0" w:space="0" w:color="auto"/>
            <w:left w:val="none" w:sz="0" w:space="0" w:color="auto"/>
            <w:bottom w:val="none" w:sz="0" w:space="0" w:color="auto"/>
            <w:right w:val="none" w:sz="0" w:space="0" w:color="auto"/>
          </w:divBdr>
        </w:div>
        <w:div w:id="1044256033">
          <w:marLeft w:val="0"/>
          <w:marRight w:val="0"/>
          <w:marTop w:val="0"/>
          <w:marBottom w:val="0"/>
          <w:divBdr>
            <w:top w:val="none" w:sz="0" w:space="0" w:color="auto"/>
            <w:left w:val="none" w:sz="0" w:space="0" w:color="auto"/>
            <w:bottom w:val="none" w:sz="0" w:space="0" w:color="auto"/>
            <w:right w:val="none" w:sz="0" w:space="0" w:color="auto"/>
          </w:divBdr>
        </w:div>
        <w:div w:id="1044256035">
          <w:marLeft w:val="0"/>
          <w:marRight w:val="0"/>
          <w:marTop w:val="0"/>
          <w:marBottom w:val="0"/>
          <w:divBdr>
            <w:top w:val="none" w:sz="0" w:space="0" w:color="auto"/>
            <w:left w:val="none" w:sz="0" w:space="0" w:color="auto"/>
            <w:bottom w:val="none" w:sz="0" w:space="0" w:color="auto"/>
            <w:right w:val="none" w:sz="0" w:space="0" w:color="auto"/>
          </w:divBdr>
        </w:div>
        <w:div w:id="1044256036">
          <w:marLeft w:val="0"/>
          <w:marRight w:val="0"/>
          <w:marTop w:val="0"/>
          <w:marBottom w:val="0"/>
          <w:divBdr>
            <w:top w:val="none" w:sz="0" w:space="0" w:color="auto"/>
            <w:left w:val="none" w:sz="0" w:space="0" w:color="auto"/>
            <w:bottom w:val="none" w:sz="0" w:space="0" w:color="auto"/>
            <w:right w:val="none" w:sz="0" w:space="0" w:color="auto"/>
          </w:divBdr>
        </w:div>
        <w:div w:id="1044256037">
          <w:marLeft w:val="0"/>
          <w:marRight w:val="0"/>
          <w:marTop w:val="0"/>
          <w:marBottom w:val="0"/>
          <w:divBdr>
            <w:top w:val="none" w:sz="0" w:space="0" w:color="auto"/>
            <w:left w:val="none" w:sz="0" w:space="0" w:color="auto"/>
            <w:bottom w:val="none" w:sz="0" w:space="0" w:color="auto"/>
            <w:right w:val="none" w:sz="0" w:space="0" w:color="auto"/>
          </w:divBdr>
        </w:div>
        <w:div w:id="1044256038">
          <w:marLeft w:val="0"/>
          <w:marRight w:val="0"/>
          <w:marTop w:val="0"/>
          <w:marBottom w:val="0"/>
          <w:divBdr>
            <w:top w:val="none" w:sz="0" w:space="0" w:color="auto"/>
            <w:left w:val="none" w:sz="0" w:space="0" w:color="auto"/>
            <w:bottom w:val="none" w:sz="0" w:space="0" w:color="auto"/>
            <w:right w:val="none" w:sz="0" w:space="0" w:color="auto"/>
          </w:divBdr>
        </w:div>
        <w:div w:id="1044256039">
          <w:marLeft w:val="0"/>
          <w:marRight w:val="0"/>
          <w:marTop w:val="0"/>
          <w:marBottom w:val="0"/>
          <w:divBdr>
            <w:top w:val="none" w:sz="0" w:space="0" w:color="auto"/>
            <w:left w:val="none" w:sz="0" w:space="0" w:color="auto"/>
            <w:bottom w:val="none" w:sz="0" w:space="0" w:color="auto"/>
            <w:right w:val="none" w:sz="0" w:space="0" w:color="auto"/>
          </w:divBdr>
        </w:div>
        <w:div w:id="1044256040">
          <w:marLeft w:val="0"/>
          <w:marRight w:val="0"/>
          <w:marTop w:val="0"/>
          <w:marBottom w:val="0"/>
          <w:divBdr>
            <w:top w:val="none" w:sz="0" w:space="0" w:color="auto"/>
            <w:left w:val="none" w:sz="0" w:space="0" w:color="auto"/>
            <w:bottom w:val="none" w:sz="0" w:space="0" w:color="auto"/>
            <w:right w:val="none" w:sz="0" w:space="0" w:color="auto"/>
          </w:divBdr>
        </w:div>
        <w:div w:id="1044256042">
          <w:marLeft w:val="0"/>
          <w:marRight w:val="0"/>
          <w:marTop w:val="0"/>
          <w:marBottom w:val="0"/>
          <w:divBdr>
            <w:top w:val="none" w:sz="0" w:space="0" w:color="auto"/>
            <w:left w:val="none" w:sz="0" w:space="0" w:color="auto"/>
            <w:bottom w:val="none" w:sz="0" w:space="0" w:color="auto"/>
            <w:right w:val="none" w:sz="0" w:space="0" w:color="auto"/>
          </w:divBdr>
        </w:div>
        <w:div w:id="1044256043">
          <w:marLeft w:val="0"/>
          <w:marRight w:val="0"/>
          <w:marTop w:val="0"/>
          <w:marBottom w:val="0"/>
          <w:divBdr>
            <w:top w:val="none" w:sz="0" w:space="0" w:color="auto"/>
            <w:left w:val="none" w:sz="0" w:space="0" w:color="auto"/>
            <w:bottom w:val="none" w:sz="0" w:space="0" w:color="auto"/>
            <w:right w:val="none" w:sz="0" w:space="0" w:color="auto"/>
          </w:divBdr>
        </w:div>
        <w:div w:id="1044256044">
          <w:marLeft w:val="0"/>
          <w:marRight w:val="0"/>
          <w:marTop w:val="0"/>
          <w:marBottom w:val="0"/>
          <w:divBdr>
            <w:top w:val="none" w:sz="0" w:space="0" w:color="auto"/>
            <w:left w:val="none" w:sz="0" w:space="0" w:color="auto"/>
            <w:bottom w:val="none" w:sz="0" w:space="0" w:color="auto"/>
            <w:right w:val="none" w:sz="0" w:space="0" w:color="auto"/>
          </w:divBdr>
        </w:div>
        <w:div w:id="1044256046">
          <w:marLeft w:val="0"/>
          <w:marRight w:val="0"/>
          <w:marTop w:val="0"/>
          <w:marBottom w:val="0"/>
          <w:divBdr>
            <w:top w:val="none" w:sz="0" w:space="0" w:color="auto"/>
            <w:left w:val="none" w:sz="0" w:space="0" w:color="auto"/>
            <w:bottom w:val="none" w:sz="0" w:space="0" w:color="auto"/>
            <w:right w:val="none" w:sz="0" w:space="0" w:color="auto"/>
          </w:divBdr>
        </w:div>
        <w:div w:id="1044256047">
          <w:marLeft w:val="0"/>
          <w:marRight w:val="0"/>
          <w:marTop w:val="0"/>
          <w:marBottom w:val="0"/>
          <w:divBdr>
            <w:top w:val="none" w:sz="0" w:space="0" w:color="auto"/>
            <w:left w:val="none" w:sz="0" w:space="0" w:color="auto"/>
            <w:bottom w:val="none" w:sz="0" w:space="0" w:color="auto"/>
            <w:right w:val="none" w:sz="0" w:space="0" w:color="auto"/>
          </w:divBdr>
        </w:div>
        <w:div w:id="1044256048">
          <w:marLeft w:val="0"/>
          <w:marRight w:val="0"/>
          <w:marTop w:val="0"/>
          <w:marBottom w:val="0"/>
          <w:divBdr>
            <w:top w:val="none" w:sz="0" w:space="0" w:color="auto"/>
            <w:left w:val="none" w:sz="0" w:space="0" w:color="auto"/>
            <w:bottom w:val="none" w:sz="0" w:space="0" w:color="auto"/>
            <w:right w:val="none" w:sz="0" w:space="0" w:color="auto"/>
          </w:divBdr>
        </w:div>
        <w:div w:id="1044256049">
          <w:marLeft w:val="0"/>
          <w:marRight w:val="0"/>
          <w:marTop w:val="0"/>
          <w:marBottom w:val="0"/>
          <w:divBdr>
            <w:top w:val="none" w:sz="0" w:space="0" w:color="auto"/>
            <w:left w:val="none" w:sz="0" w:space="0" w:color="auto"/>
            <w:bottom w:val="none" w:sz="0" w:space="0" w:color="auto"/>
            <w:right w:val="none" w:sz="0" w:space="0" w:color="auto"/>
          </w:divBdr>
        </w:div>
        <w:div w:id="1044256050">
          <w:marLeft w:val="0"/>
          <w:marRight w:val="0"/>
          <w:marTop w:val="0"/>
          <w:marBottom w:val="0"/>
          <w:divBdr>
            <w:top w:val="none" w:sz="0" w:space="0" w:color="auto"/>
            <w:left w:val="none" w:sz="0" w:space="0" w:color="auto"/>
            <w:bottom w:val="none" w:sz="0" w:space="0" w:color="auto"/>
            <w:right w:val="none" w:sz="0" w:space="0" w:color="auto"/>
          </w:divBdr>
        </w:div>
        <w:div w:id="1044256052">
          <w:marLeft w:val="0"/>
          <w:marRight w:val="0"/>
          <w:marTop w:val="0"/>
          <w:marBottom w:val="0"/>
          <w:divBdr>
            <w:top w:val="none" w:sz="0" w:space="0" w:color="auto"/>
            <w:left w:val="none" w:sz="0" w:space="0" w:color="auto"/>
            <w:bottom w:val="none" w:sz="0" w:space="0" w:color="auto"/>
            <w:right w:val="none" w:sz="0" w:space="0" w:color="auto"/>
          </w:divBdr>
        </w:div>
        <w:div w:id="1044256053">
          <w:marLeft w:val="0"/>
          <w:marRight w:val="0"/>
          <w:marTop w:val="0"/>
          <w:marBottom w:val="0"/>
          <w:divBdr>
            <w:top w:val="none" w:sz="0" w:space="0" w:color="auto"/>
            <w:left w:val="none" w:sz="0" w:space="0" w:color="auto"/>
            <w:bottom w:val="none" w:sz="0" w:space="0" w:color="auto"/>
            <w:right w:val="none" w:sz="0" w:space="0" w:color="auto"/>
          </w:divBdr>
        </w:div>
        <w:div w:id="1044256054">
          <w:marLeft w:val="0"/>
          <w:marRight w:val="0"/>
          <w:marTop w:val="0"/>
          <w:marBottom w:val="0"/>
          <w:divBdr>
            <w:top w:val="none" w:sz="0" w:space="0" w:color="auto"/>
            <w:left w:val="none" w:sz="0" w:space="0" w:color="auto"/>
            <w:bottom w:val="none" w:sz="0" w:space="0" w:color="auto"/>
            <w:right w:val="none" w:sz="0" w:space="0" w:color="auto"/>
          </w:divBdr>
        </w:div>
        <w:div w:id="104425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ghuiguo@medmail.com.cn" TargetMode="Externa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PowerPoint_Slide2.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PowerPoint_Slide3.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7427</Words>
  <Characters>42335</Characters>
  <Application>Microsoft Office Word</Application>
  <DocSecurity>0</DocSecurity>
  <Lines>352</Lines>
  <Paragraphs>99</Paragraphs>
  <ScaleCrop>false</ScaleCrop>
  <Company>微软中国</Company>
  <LinksUpToDate>false</LinksUpToDate>
  <CharactersWithSpaces>49663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s.x.gou@wjgnet.com</dc:creator>
  <cp:lastModifiedBy>LS Ma</cp:lastModifiedBy>
  <cp:revision>2</cp:revision>
  <dcterms:created xsi:type="dcterms:W3CDTF">2014-05-12T15:00:00Z</dcterms:created>
  <dcterms:modified xsi:type="dcterms:W3CDTF">2014-05-12T15:00:00Z</dcterms:modified>
</cp:coreProperties>
</file>