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1334D" w:rsidRPr="005A0661" w:rsidRDefault="0001334D" w:rsidP="009973EA">
      <w:pPr>
        <w:pStyle w:val="p0"/>
        <w:adjustRightInd w:val="0"/>
        <w:snapToGrid w:val="0"/>
        <w:spacing w:line="360" w:lineRule="auto"/>
        <w:rPr>
          <w:rFonts w:ascii="Book Antiqua" w:hAnsi="Book Antiqua"/>
          <w:color w:val="000000"/>
        </w:rPr>
      </w:pPr>
      <w:r w:rsidRPr="005A0661">
        <w:rPr>
          <w:rFonts w:ascii="Book Antiqua" w:hAnsi="Book Antiqua"/>
          <w:b/>
          <w:color w:val="0033CC"/>
          <w:sz w:val="24"/>
        </w:rPr>
        <w:t>Name of journal:</w:t>
      </w:r>
      <w:r w:rsidRPr="005A0661">
        <w:rPr>
          <w:rFonts w:ascii="Book Antiqua" w:hAnsi="Book Antiqua"/>
          <w:b/>
          <w:color w:val="000000"/>
          <w:sz w:val="24"/>
        </w:rPr>
        <w:t xml:space="preserve"> </w:t>
      </w:r>
      <w:bookmarkStart w:id="0" w:name="OLE_LINK718"/>
      <w:bookmarkStart w:id="1" w:name="OLE_LINK719"/>
      <w:r w:rsidRPr="005A0661">
        <w:rPr>
          <w:rFonts w:ascii="Book Antiqua" w:hAnsi="Book Antiqua"/>
          <w:i/>
          <w:color w:val="000000"/>
          <w:sz w:val="24"/>
        </w:rPr>
        <w:t>World Journal of Gastroenterology</w:t>
      </w:r>
      <w:bookmarkEnd w:id="0"/>
      <w:bookmarkEnd w:id="1"/>
    </w:p>
    <w:p w:rsidR="0001334D" w:rsidRPr="005A0661" w:rsidRDefault="0001334D" w:rsidP="009973EA">
      <w:pPr>
        <w:adjustRightInd w:val="0"/>
        <w:snapToGrid w:val="0"/>
        <w:spacing w:line="360" w:lineRule="auto"/>
        <w:rPr>
          <w:rFonts w:ascii="Book Antiqua" w:hAnsi="Book Antiqua" w:cs="宋体"/>
          <w:b/>
          <w:i/>
          <w:color w:val="000000"/>
          <w:sz w:val="24"/>
        </w:rPr>
      </w:pPr>
      <w:r w:rsidRPr="005A0661">
        <w:rPr>
          <w:rFonts w:ascii="Book Antiqua" w:hAnsi="Book Antiqua" w:cs="Arial"/>
          <w:b/>
          <w:color w:val="0033CC"/>
          <w:sz w:val="24"/>
        </w:rPr>
        <w:t>ESPS Manuscript NO:</w:t>
      </w:r>
      <w:r w:rsidRPr="005A0661">
        <w:rPr>
          <w:rFonts w:ascii="Book Antiqua" w:hAnsi="Book Antiqua" w:cs="Arial"/>
          <w:b/>
          <w:color w:val="222222"/>
          <w:sz w:val="24"/>
        </w:rPr>
        <w:t xml:space="preserve"> 9337</w:t>
      </w:r>
    </w:p>
    <w:p w:rsidR="0001334D" w:rsidRPr="005A0661" w:rsidRDefault="0001334D" w:rsidP="009973EA">
      <w:pPr>
        <w:suppressAutoHyphens/>
        <w:autoSpaceDE w:val="0"/>
        <w:autoSpaceDN w:val="0"/>
        <w:adjustRightInd w:val="0"/>
        <w:snapToGrid w:val="0"/>
        <w:spacing w:line="360" w:lineRule="auto"/>
        <w:rPr>
          <w:rFonts w:ascii="Book Antiqua" w:hAnsi="Book Antiqua"/>
          <w:b/>
          <w:color w:val="000000"/>
          <w:kern w:val="0"/>
          <w:sz w:val="24"/>
        </w:rPr>
      </w:pPr>
      <w:r w:rsidRPr="005A0661">
        <w:rPr>
          <w:rFonts w:ascii="Book Antiqua" w:hAnsi="Book Antiqua"/>
          <w:b/>
          <w:color w:val="0033CC"/>
          <w:kern w:val="0"/>
          <w:sz w:val="24"/>
        </w:rPr>
        <w:t>Columns:</w:t>
      </w:r>
      <w:r w:rsidRPr="005A0661">
        <w:rPr>
          <w:rFonts w:ascii="Book Antiqua" w:hAnsi="Book Antiqua"/>
          <w:b/>
          <w:color w:val="000000"/>
          <w:kern w:val="0"/>
          <w:sz w:val="24"/>
        </w:rPr>
        <w:t xml:space="preserve"> </w:t>
      </w:r>
      <w:r w:rsidRPr="005A0661">
        <w:rPr>
          <w:rFonts w:ascii="Book Antiqua" w:hAnsi="Book Antiqua"/>
          <w:b/>
          <w:color w:val="000000"/>
          <w:sz w:val="24"/>
        </w:rPr>
        <w:t>CASE REPORT</w:t>
      </w:r>
    </w:p>
    <w:p w:rsidR="0001334D" w:rsidRPr="005A0661" w:rsidRDefault="0001334D" w:rsidP="009973EA">
      <w:pPr>
        <w:autoSpaceDE w:val="0"/>
        <w:autoSpaceDN w:val="0"/>
        <w:adjustRightInd w:val="0"/>
        <w:snapToGrid w:val="0"/>
        <w:spacing w:line="360" w:lineRule="auto"/>
        <w:rPr>
          <w:rFonts w:ascii="Book Antiqua" w:hAnsi="Book Antiqua"/>
          <w:b/>
          <w:bCs/>
          <w:color w:val="000000"/>
          <w:sz w:val="24"/>
          <w:szCs w:val="24"/>
        </w:rPr>
      </w:pPr>
    </w:p>
    <w:p w:rsidR="0001334D" w:rsidRPr="005A0661" w:rsidRDefault="0001334D" w:rsidP="009973EA">
      <w:pPr>
        <w:autoSpaceDE w:val="0"/>
        <w:autoSpaceDN w:val="0"/>
        <w:adjustRightInd w:val="0"/>
        <w:snapToGrid w:val="0"/>
        <w:spacing w:line="360" w:lineRule="auto"/>
        <w:rPr>
          <w:rFonts w:ascii="Book Antiqua" w:hAnsi="Book Antiqua"/>
          <w:b/>
          <w:color w:val="000000"/>
          <w:sz w:val="24"/>
          <w:szCs w:val="24"/>
        </w:rPr>
      </w:pPr>
      <w:r w:rsidRPr="005A0661">
        <w:rPr>
          <w:rFonts w:ascii="Book Antiqua" w:hAnsi="Book Antiqua"/>
          <w:b/>
          <w:color w:val="000000"/>
          <w:sz w:val="24"/>
          <w:szCs w:val="24"/>
        </w:rPr>
        <w:t xml:space="preserve">Surgical resection of </w:t>
      </w:r>
      <w:r w:rsidRPr="005A0661">
        <w:rPr>
          <w:rFonts w:ascii="Book Antiqua" w:hAnsi="Book Antiqua"/>
          <w:b/>
          <w:sz w:val="24"/>
          <w:szCs w:val="24"/>
        </w:rPr>
        <w:t>advanced</w:t>
      </w:r>
      <w:r w:rsidRPr="005A0661">
        <w:rPr>
          <w:rFonts w:ascii="Book Antiqua" w:hAnsi="Book Antiqua"/>
          <w:b/>
          <w:color w:val="000000"/>
          <w:sz w:val="24"/>
          <w:szCs w:val="24"/>
        </w:rPr>
        <w:t xml:space="preserve"> gastric </w:t>
      </w:r>
      <w:r w:rsidRPr="005A0661">
        <w:rPr>
          <w:rFonts w:ascii="Book Antiqua" w:hAnsi="Book Antiqua"/>
          <w:b/>
          <w:sz w:val="24"/>
          <w:szCs w:val="24"/>
        </w:rPr>
        <w:t>cancer following</w:t>
      </w:r>
      <w:r w:rsidRPr="005A0661">
        <w:rPr>
          <w:rFonts w:ascii="Book Antiqua" w:hAnsi="Book Antiqua"/>
          <w:b/>
          <w:color w:val="000000"/>
          <w:sz w:val="24"/>
          <w:szCs w:val="24"/>
        </w:rPr>
        <w:t xml:space="preserve"> trastuzumab</w:t>
      </w:r>
      <w:r w:rsidRPr="005A0661">
        <w:rPr>
          <w:rFonts w:ascii="Book Antiqua" w:hAnsi="Book Antiqua"/>
          <w:b/>
          <w:sz w:val="24"/>
          <w:szCs w:val="24"/>
        </w:rPr>
        <w:t xml:space="preserve">/ </w:t>
      </w:r>
      <w:r w:rsidRPr="005A0661">
        <w:rPr>
          <w:rFonts w:ascii="Book Antiqua" w:hAnsi="Book Antiqua"/>
          <w:b/>
          <w:color w:val="000000"/>
          <w:sz w:val="24"/>
          <w:szCs w:val="24"/>
        </w:rPr>
        <w:t>oxaliplatin</w:t>
      </w:r>
      <w:r w:rsidRPr="005A0661">
        <w:rPr>
          <w:rFonts w:ascii="Book Antiqua" w:hAnsi="Book Antiqua"/>
          <w:b/>
          <w:sz w:val="24"/>
          <w:szCs w:val="24"/>
        </w:rPr>
        <w:t>/</w:t>
      </w:r>
      <w:r w:rsidRPr="005A0661">
        <w:rPr>
          <w:rFonts w:ascii="Book Antiqua" w:hAnsi="Book Antiqua"/>
          <w:b/>
          <w:color w:val="000000"/>
          <w:sz w:val="24"/>
          <w:szCs w:val="24"/>
        </w:rPr>
        <w:t xml:space="preserve">capecitabine </w:t>
      </w:r>
      <w:r w:rsidRPr="005A0661">
        <w:rPr>
          <w:rFonts w:ascii="Book Antiqua" w:hAnsi="Book Antiqua"/>
          <w:b/>
          <w:sz w:val="24"/>
          <w:szCs w:val="24"/>
        </w:rPr>
        <w:t>combination therapy</w:t>
      </w:r>
    </w:p>
    <w:p w:rsidR="0001334D" w:rsidRPr="005A0661" w:rsidRDefault="0001334D" w:rsidP="009973EA">
      <w:pPr>
        <w:snapToGrid w:val="0"/>
        <w:spacing w:line="360" w:lineRule="auto"/>
        <w:rPr>
          <w:rFonts w:ascii="Book Antiqua" w:hAnsi="Book Antiqua"/>
          <w:b/>
          <w:color w:val="000000"/>
          <w:sz w:val="24"/>
          <w:szCs w:val="24"/>
        </w:rPr>
      </w:pPr>
    </w:p>
    <w:p w:rsidR="0001334D" w:rsidRPr="005A0661" w:rsidRDefault="0001334D" w:rsidP="009973EA">
      <w:pPr>
        <w:snapToGrid w:val="0"/>
        <w:spacing w:line="360" w:lineRule="auto"/>
        <w:rPr>
          <w:rFonts w:ascii="Book Antiqua" w:hAnsi="Book Antiqua"/>
          <w:color w:val="000000"/>
          <w:sz w:val="24"/>
          <w:szCs w:val="24"/>
        </w:rPr>
      </w:pPr>
      <w:r w:rsidRPr="005A0661">
        <w:rPr>
          <w:rFonts w:ascii="Book Antiqua" w:hAnsi="Book Antiqua"/>
          <w:color w:val="000000"/>
          <w:sz w:val="24"/>
          <w:szCs w:val="24"/>
        </w:rPr>
        <w:t xml:space="preserve">Dong CX </w:t>
      </w:r>
      <w:r w:rsidRPr="005A0661">
        <w:rPr>
          <w:rFonts w:ascii="Book Antiqua" w:hAnsi="Book Antiqua"/>
          <w:i/>
          <w:color w:val="000000"/>
          <w:sz w:val="24"/>
          <w:szCs w:val="24"/>
        </w:rPr>
        <w:t>et al</w:t>
      </w:r>
      <w:r w:rsidRPr="005A0661">
        <w:rPr>
          <w:rFonts w:ascii="Book Antiqua" w:hAnsi="Book Antiqua"/>
          <w:color w:val="000000"/>
          <w:sz w:val="24"/>
          <w:szCs w:val="24"/>
        </w:rPr>
        <w:t xml:space="preserve"> Targeting HER</w:t>
      </w:r>
      <w:smartTag w:uri="urn:schemas-microsoft-com:office:smarttags" w:element="chmetcnv">
        <w:smartTagPr>
          <w:attr w:name="TCSC" w:val="0"/>
          <w:attr w:name="NumberType" w:val="1"/>
          <w:attr w:name="Negative" w:val="False"/>
          <w:attr w:name="HasSpace" w:val="True"/>
          <w:attr w:name="SourceValue" w:val="2"/>
          <w:attr w:name="UnitName" w:val="in"/>
        </w:smartTagPr>
        <w:r w:rsidRPr="005A0661">
          <w:rPr>
            <w:rFonts w:ascii="Book Antiqua" w:hAnsi="Book Antiqua"/>
            <w:color w:val="000000"/>
            <w:sz w:val="24"/>
            <w:szCs w:val="24"/>
          </w:rPr>
          <w:t>2 in</w:t>
        </w:r>
      </w:smartTag>
      <w:r w:rsidRPr="005A0661">
        <w:rPr>
          <w:rFonts w:ascii="Book Antiqua" w:hAnsi="Book Antiqua"/>
          <w:color w:val="000000"/>
          <w:sz w:val="24"/>
          <w:szCs w:val="24"/>
        </w:rPr>
        <w:t xml:space="preserve"> perioperative regimens</w:t>
      </w:r>
    </w:p>
    <w:p w:rsidR="0001334D" w:rsidRPr="005A0661" w:rsidRDefault="0001334D" w:rsidP="009973EA">
      <w:pPr>
        <w:snapToGrid w:val="0"/>
        <w:spacing w:line="360" w:lineRule="auto"/>
        <w:rPr>
          <w:rFonts w:ascii="Book Antiqua" w:hAnsi="Book Antiqua"/>
          <w:color w:val="000000"/>
          <w:sz w:val="24"/>
          <w:szCs w:val="24"/>
        </w:rPr>
      </w:pPr>
    </w:p>
    <w:p w:rsidR="0001334D" w:rsidRPr="005A0661" w:rsidRDefault="0001334D" w:rsidP="009973EA">
      <w:pPr>
        <w:snapToGrid w:val="0"/>
        <w:spacing w:line="360" w:lineRule="auto"/>
        <w:rPr>
          <w:rFonts w:ascii="Book Antiqua" w:hAnsi="Book Antiqua"/>
          <w:color w:val="000000"/>
          <w:sz w:val="24"/>
          <w:szCs w:val="24"/>
        </w:rPr>
      </w:pPr>
      <w:r w:rsidRPr="005A0661">
        <w:rPr>
          <w:rFonts w:ascii="Book Antiqua" w:hAnsi="Book Antiqua"/>
          <w:color w:val="000000"/>
          <w:sz w:val="24"/>
          <w:szCs w:val="24"/>
        </w:rPr>
        <w:t>Cai-Xia Dong, Jian-Fei Fu, Xian-Yun Ye, Xiao-Fen Li, Xian Zhong, Ying Yuan</w:t>
      </w:r>
    </w:p>
    <w:p w:rsidR="0001334D" w:rsidRPr="005A0661" w:rsidRDefault="0001334D" w:rsidP="009973EA">
      <w:pPr>
        <w:snapToGrid w:val="0"/>
        <w:spacing w:line="360" w:lineRule="auto"/>
        <w:rPr>
          <w:rFonts w:ascii="Book Antiqua" w:hAnsi="Book Antiqua"/>
          <w:color w:val="000000"/>
          <w:sz w:val="24"/>
          <w:szCs w:val="24"/>
        </w:rPr>
      </w:pPr>
    </w:p>
    <w:p w:rsidR="0001334D" w:rsidRPr="005A0661" w:rsidRDefault="0001334D" w:rsidP="009973EA">
      <w:pPr>
        <w:snapToGrid w:val="0"/>
        <w:spacing w:line="360" w:lineRule="auto"/>
        <w:rPr>
          <w:rFonts w:ascii="Book Antiqua" w:hAnsi="Book Antiqua"/>
          <w:color w:val="000000"/>
          <w:sz w:val="24"/>
          <w:szCs w:val="24"/>
        </w:rPr>
      </w:pPr>
      <w:r w:rsidRPr="005A0661">
        <w:rPr>
          <w:rFonts w:ascii="Book Antiqua" w:hAnsi="Book Antiqua"/>
          <w:b/>
          <w:color w:val="000000"/>
          <w:sz w:val="24"/>
          <w:szCs w:val="24"/>
        </w:rPr>
        <w:t xml:space="preserve">Cai-Xia Dong, Xian-Yun Ye, Xiao-Fen Li, Ying Yuan, </w:t>
      </w:r>
      <w:r w:rsidRPr="005A0661">
        <w:rPr>
          <w:rFonts w:ascii="Book Antiqua" w:hAnsi="Book Antiqua"/>
          <w:color w:val="000000"/>
          <w:sz w:val="24"/>
          <w:szCs w:val="24"/>
        </w:rPr>
        <w:t>Department of Medical Oncology, 2nd Hospital of Zhejiang University College of Medicine, Hangzhou 310009, Zhejiang Province, China</w:t>
      </w:r>
    </w:p>
    <w:p w:rsidR="0001334D" w:rsidRPr="005A0661" w:rsidRDefault="0001334D" w:rsidP="009973EA">
      <w:pPr>
        <w:snapToGrid w:val="0"/>
        <w:spacing w:line="360" w:lineRule="auto"/>
        <w:rPr>
          <w:rFonts w:ascii="Book Antiqua" w:hAnsi="Book Antiqua"/>
          <w:color w:val="000000"/>
          <w:sz w:val="24"/>
          <w:szCs w:val="24"/>
        </w:rPr>
      </w:pPr>
    </w:p>
    <w:p w:rsidR="0001334D" w:rsidRPr="005A0661" w:rsidRDefault="0001334D" w:rsidP="009973EA">
      <w:pPr>
        <w:snapToGrid w:val="0"/>
        <w:spacing w:line="360" w:lineRule="auto"/>
        <w:rPr>
          <w:rFonts w:ascii="Book Antiqua" w:hAnsi="Book Antiqua"/>
          <w:color w:val="000000"/>
          <w:sz w:val="24"/>
          <w:szCs w:val="24"/>
        </w:rPr>
      </w:pPr>
      <w:r w:rsidRPr="005A0661">
        <w:rPr>
          <w:rFonts w:ascii="Book Antiqua" w:hAnsi="Book Antiqua"/>
          <w:b/>
          <w:color w:val="000000"/>
          <w:sz w:val="24"/>
          <w:szCs w:val="24"/>
        </w:rPr>
        <w:t>Jianfei Fu,</w:t>
      </w:r>
      <w:r w:rsidRPr="005A0661">
        <w:rPr>
          <w:rFonts w:ascii="Book Antiqua" w:hAnsi="Book Antiqua"/>
          <w:color w:val="000000"/>
          <w:sz w:val="24"/>
          <w:szCs w:val="24"/>
        </w:rPr>
        <w:t xml:space="preserve"> Department of Oncology, Jinhua Central Hospital, Jinhua 321000, Zhejiang Province, China</w:t>
      </w:r>
    </w:p>
    <w:p w:rsidR="0001334D" w:rsidRPr="005A0661" w:rsidRDefault="0001334D" w:rsidP="009973EA">
      <w:pPr>
        <w:snapToGrid w:val="0"/>
        <w:spacing w:line="360" w:lineRule="auto"/>
        <w:rPr>
          <w:rFonts w:ascii="Book Antiqua" w:hAnsi="Book Antiqua"/>
          <w:color w:val="000000"/>
          <w:sz w:val="24"/>
          <w:szCs w:val="24"/>
        </w:rPr>
      </w:pPr>
    </w:p>
    <w:p w:rsidR="0001334D" w:rsidRPr="005A0661" w:rsidRDefault="0001334D" w:rsidP="009973EA">
      <w:pPr>
        <w:snapToGrid w:val="0"/>
        <w:spacing w:line="360" w:lineRule="auto"/>
        <w:rPr>
          <w:rFonts w:ascii="Book Antiqua" w:hAnsi="Book Antiqua"/>
          <w:sz w:val="24"/>
          <w:szCs w:val="24"/>
        </w:rPr>
      </w:pPr>
      <w:r w:rsidRPr="005A0661">
        <w:rPr>
          <w:rFonts w:ascii="Book Antiqua" w:hAnsi="Book Antiqua"/>
          <w:b/>
          <w:color w:val="000000"/>
          <w:sz w:val="24"/>
          <w:szCs w:val="24"/>
        </w:rPr>
        <w:t xml:space="preserve">Xian Zhong, </w:t>
      </w:r>
      <w:r w:rsidRPr="005A0661">
        <w:rPr>
          <w:rFonts w:ascii="Book Antiqua" w:hAnsi="Book Antiqua"/>
          <w:color w:val="000000"/>
          <w:sz w:val="24"/>
          <w:szCs w:val="24"/>
        </w:rPr>
        <w:t>Department of Medical Oncology, Hangzhou Binjiang</w:t>
      </w:r>
      <w:r w:rsidRPr="005A0661">
        <w:rPr>
          <w:rFonts w:ascii="Book Antiqua" w:hAnsi="Book Antiqua"/>
          <w:sz w:val="24"/>
          <w:szCs w:val="24"/>
        </w:rPr>
        <w:t xml:space="preserve"> Hospital, Hangzhou 310052, </w:t>
      </w:r>
      <w:r w:rsidRPr="005A0661">
        <w:rPr>
          <w:rFonts w:ascii="Book Antiqua" w:hAnsi="Book Antiqua"/>
          <w:color w:val="000000"/>
          <w:sz w:val="24"/>
          <w:szCs w:val="24"/>
        </w:rPr>
        <w:t xml:space="preserve">Zhejiang Province, </w:t>
      </w:r>
      <w:r w:rsidRPr="005A0661">
        <w:rPr>
          <w:rFonts w:ascii="Book Antiqua" w:hAnsi="Book Antiqua"/>
          <w:sz w:val="24"/>
          <w:szCs w:val="24"/>
        </w:rPr>
        <w:t>China</w:t>
      </w:r>
    </w:p>
    <w:p w:rsidR="0001334D" w:rsidRPr="005A0661" w:rsidRDefault="0001334D" w:rsidP="009973EA">
      <w:pPr>
        <w:snapToGrid w:val="0"/>
        <w:spacing w:line="360" w:lineRule="auto"/>
        <w:rPr>
          <w:rFonts w:ascii="Book Antiqua" w:hAnsi="Book Antiqua"/>
          <w:b/>
          <w:bCs/>
          <w:sz w:val="24"/>
          <w:szCs w:val="24"/>
        </w:rPr>
      </w:pPr>
    </w:p>
    <w:p w:rsidR="0001334D" w:rsidRPr="005A0661" w:rsidRDefault="0001334D" w:rsidP="009973EA">
      <w:pPr>
        <w:snapToGrid w:val="0"/>
        <w:spacing w:line="360" w:lineRule="auto"/>
        <w:rPr>
          <w:rFonts w:ascii="Book Antiqua" w:hAnsi="Book Antiqua"/>
          <w:b/>
          <w:bCs/>
          <w:sz w:val="24"/>
          <w:szCs w:val="24"/>
        </w:rPr>
      </w:pPr>
      <w:r w:rsidRPr="005A0661">
        <w:rPr>
          <w:rFonts w:ascii="Book Antiqua" w:hAnsi="Book Antiqua"/>
          <w:b/>
          <w:bCs/>
          <w:sz w:val="24"/>
          <w:szCs w:val="24"/>
        </w:rPr>
        <w:t xml:space="preserve">Author contributions: </w:t>
      </w:r>
      <w:r w:rsidRPr="005A0661">
        <w:rPr>
          <w:rFonts w:ascii="Book Antiqua" w:hAnsi="Book Antiqua"/>
          <w:color w:val="000000"/>
          <w:sz w:val="24"/>
          <w:szCs w:val="24"/>
        </w:rPr>
        <w:t>Dong CX</w:t>
      </w:r>
      <w:r w:rsidRPr="005A0661">
        <w:rPr>
          <w:rFonts w:ascii="Book Antiqua" w:hAnsi="Book Antiqua"/>
          <w:bCs/>
          <w:sz w:val="24"/>
          <w:szCs w:val="24"/>
        </w:rPr>
        <w:t xml:space="preserve"> and </w:t>
      </w:r>
      <w:r w:rsidRPr="005A0661">
        <w:rPr>
          <w:rFonts w:ascii="Book Antiqua" w:hAnsi="Book Antiqua"/>
          <w:color w:val="000000"/>
          <w:sz w:val="24"/>
          <w:szCs w:val="24"/>
        </w:rPr>
        <w:t>Yuan Y</w:t>
      </w:r>
      <w:r w:rsidRPr="005A0661">
        <w:rPr>
          <w:rFonts w:ascii="Book Antiqua" w:hAnsi="Book Antiqua"/>
          <w:bCs/>
          <w:sz w:val="24"/>
          <w:szCs w:val="24"/>
        </w:rPr>
        <w:t xml:space="preserve"> designed the research; </w:t>
      </w:r>
      <w:r w:rsidRPr="005A0661">
        <w:rPr>
          <w:rFonts w:ascii="Book Antiqua" w:hAnsi="Book Antiqua"/>
          <w:color w:val="000000"/>
          <w:sz w:val="24"/>
          <w:szCs w:val="24"/>
        </w:rPr>
        <w:t>Dong CX, Fu JF, Ye XY,</w:t>
      </w:r>
      <w:r w:rsidRPr="005A0661">
        <w:rPr>
          <w:rFonts w:ascii="Book Antiqua" w:hAnsi="Book Antiqua"/>
          <w:bCs/>
          <w:sz w:val="24"/>
          <w:szCs w:val="24"/>
        </w:rPr>
        <w:t xml:space="preserve"> performed the research; </w:t>
      </w:r>
      <w:r w:rsidRPr="005A0661">
        <w:rPr>
          <w:rFonts w:ascii="Book Antiqua" w:hAnsi="Book Antiqua"/>
          <w:color w:val="000000"/>
          <w:sz w:val="24"/>
          <w:szCs w:val="24"/>
        </w:rPr>
        <w:t>Dong CX, Li XF, Zhong X and Yuan Y</w:t>
      </w:r>
      <w:r w:rsidRPr="005A0661">
        <w:rPr>
          <w:rFonts w:ascii="Book Antiqua" w:hAnsi="Book Antiqua"/>
          <w:bCs/>
          <w:sz w:val="24"/>
          <w:szCs w:val="24"/>
        </w:rPr>
        <w:t xml:space="preserve"> analyzed the data; </w:t>
      </w:r>
      <w:r w:rsidRPr="005A0661">
        <w:rPr>
          <w:rFonts w:ascii="Book Antiqua" w:hAnsi="Book Antiqua"/>
          <w:color w:val="000000"/>
          <w:sz w:val="24"/>
          <w:szCs w:val="24"/>
        </w:rPr>
        <w:t>Dong CX</w:t>
      </w:r>
      <w:r w:rsidRPr="005A0661">
        <w:rPr>
          <w:rFonts w:ascii="Book Antiqua" w:hAnsi="Book Antiqua"/>
          <w:bCs/>
          <w:sz w:val="24"/>
          <w:szCs w:val="24"/>
        </w:rPr>
        <w:t xml:space="preserve"> and </w:t>
      </w:r>
      <w:r w:rsidRPr="005A0661">
        <w:rPr>
          <w:rFonts w:ascii="Book Antiqua" w:hAnsi="Book Antiqua"/>
          <w:color w:val="000000"/>
          <w:sz w:val="24"/>
          <w:szCs w:val="24"/>
        </w:rPr>
        <w:t>Yuan Y</w:t>
      </w:r>
      <w:r w:rsidRPr="005A0661">
        <w:rPr>
          <w:rFonts w:ascii="Book Antiqua" w:hAnsi="Book Antiqua"/>
          <w:bCs/>
          <w:sz w:val="24"/>
          <w:szCs w:val="24"/>
        </w:rPr>
        <w:t xml:space="preserve"> wrote the paper.</w:t>
      </w:r>
    </w:p>
    <w:p w:rsidR="0001334D" w:rsidRPr="005A0661" w:rsidRDefault="0001334D" w:rsidP="009973EA">
      <w:pPr>
        <w:snapToGrid w:val="0"/>
        <w:spacing w:line="360" w:lineRule="auto"/>
        <w:rPr>
          <w:rFonts w:ascii="Book Antiqua" w:hAnsi="Book Antiqua"/>
          <w:b/>
          <w:color w:val="000000"/>
          <w:sz w:val="24"/>
          <w:szCs w:val="24"/>
        </w:rPr>
      </w:pPr>
    </w:p>
    <w:p w:rsidR="0001334D" w:rsidRPr="005A0661" w:rsidRDefault="0001334D" w:rsidP="009973EA">
      <w:pPr>
        <w:snapToGrid w:val="0"/>
        <w:spacing w:line="360" w:lineRule="auto"/>
        <w:rPr>
          <w:rFonts w:ascii="Book Antiqua" w:hAnsi="Book Antiqua"/>
          <w:color w:val="000000"/>
          <w:sz w:val="24"/>
          <w:szCs w:val="24"/>
        </w:rPr>
      </w:pPr>
      <w:r w:rsidRPr="005A0661">
        <w:rPr>
          <w:rFonts w:ascii="Book Antiqua" w:hAnsi="Book Antiqua" w:cs="Gulim"/>
          <w:b/>
          <w:kern w:val="0"/>
          <w:sz w:val="24"/>
        </w:rPr>
        <w:t>Correspondence</w:t>
      </w:r>
      <w:r w:rsidRPr="005A0661">
        <w:rPr>
          <w:rFonts w:ascii="Book Antiqua" w:hAnsi="Book Antiqua"/>
          <w:b/>
          <w:color w:val="000000"/>
          <w:sz w:val="24"/>
          <w:szCs w:val="24"/>
        </w:rPr>
        <w:t xml:space="preserve"> to:</w:t>
      </w:r>
      <w:r w:rsidRPr="005A0661">
        <w:rPr>
          <w:rFonts w:ascii="Book Antiqua" w:hAnsi="Book Antiqua"/>
          <w:color w:val="000000"/>
          <w:sz w:val="24"/>
          <w:szCs w:val="24"/>
        </w:rPr>
        <w:t xml:space="preserve"> </w:t>
      </w:r>
      <w:r w:rsidRPr="005A0661">
        <w:rPr>
          <w:rFonts w:ascii="Book Antiqua" w:hAnsi="Book Antiqua"/>
          <w:b/>
          <w:color w:val="000000"/>
          <w:sz w:val="24"/>
          <w:szCs w:val="24"/>
        </w:rPr>
        <w:t xml:space="preserve">Ying Yuan, MD, </w:t>
      </w:r>
      <w:bookmarkStart w:id="2" w:name="OLE_LINK9"/>
      <w:bookmarkStart w:id="3" w:name="OLE_LINK10"/>
      <w:r w:rsidRPr="005A0661">
        <w:rPr>
          <w:rFonts w:ascii="Book Antiqua" w:hAnsi="Book Antiqua"/>
          <w:color w:val="000000"/>
          <w:sz w:val="24"/>
          <w:szCs w:val="24"/>
        </w:rPr>
        <w:t xml:space="preserve">Department of Medical Oncology, 2nd Hospital of Zhejiang University College of Medicine, </w:t>
      </w:r>
      <w:smartTag w:uri="urn:schemas-microsoft-com:office:smarttags" w:element="chmetcnv">
        <w:smartTagPr>
          <w:attr w:name="TCSC" w:val="0"/>
          <w:attr w:name="NumberType" w:val="1"/>
          <w:attr w:name="Negative" w:val="False"/>
          <w:attr w:name="HasSpace" w:val="True"/>
          <w:attr w:name="SourceValue" w:val="101"/>
          <w:attr w:name="UnitName" w:val="g"/>
        </w:smartTagPr>
        <w:r w:rsidRPr="005A0661">
          <w:rPr>
            <w:rFonts w:ascii="Book Antiqua" w:hAnsi="Book Antiqua"/>
            <w:color w:val="000000"/>
            <w:sz w:val="24"/>
            <w:szCs w:val="24"/>
          </w:rPr>
          <w:t xml:space="preserve">No. 88 Jiefang Road, </w:t>
        </w:r>
        <w:smartTag w:uri="urn:schemas-microsoft-com:office:smarttags" w:element="chmetcnv">
          <w:smartTagPr>
            <w:attr w:name="TCSC" w:val="0"/>
            <w:attr w:name="NumberType" w:val="1"/>
            <w:attr w:name="Negative" w:val="False"/>
            <w:attr w:name="HasSpace" w:val="True"/>
            <w:attr w:name="SourceValue" w:val="101"/>
            <w:attr w:name="UnitName" w:val="g"/>
          </w:smartTagPr>
          <w:r w:rsidRPr="005A0661">
            <w:rPr>
              <w:rFonts w:ascii="Book Antiqua" w:hAnsi="Book Antiqua"/>
              <w:color w:val="000000"/>
              <w:sz w:val="24"/>
              <w:szCs w:val="24"/>
            </w:rPr>
            <w:t>Hangzhou</w:t>
          </w:r>
        </w:smartTag>
      </w:smartTag>
      <w:r w:rsidRPr="005A0661">
        <w:rPr>
          <w:rFonts w:ascii="Book Antiqua" w:hAnsi="Book Antiqua"/>
          <w:color w:val="000000"/>
          <w:sz w:val="24"/>
          <w:szCs w:val="24"/>
        </w:rPr>
        <w:t xml:space="preserve"> 310009, Zhejiang Province, China. </w:t>
      </w:r>
      <w:hyperlink r:id="rId8" w:history="1">
        <w:r w:rsidRPr="005A0661">
          <w:rPr>
            <w:rStyle w:val="a5"/>
            <w:rFonts w:ascii="Book Antiqua" w:hAnsi="Book Antiqua"/>
            <w:color w:val="000000"/>
            <w:szCs w:val="24"/>
          </w:rPr>
          <w:t>yuanying1999@zju.edu.cn</w:t>
        </w:r>
      </w:hyperlink>
    </w:p>
    <w:p w:rsidR="0001334D" w:rsidRPr="005A0661" w:rsidRDefault="0001334D" w:rsidP="009973EA">
      <w:pPr>
        <w:snapToGrid w:val="0"/>
        <w:spacing w:line="360" w:lineRule="auto"/>
        <w:rPr>
          <w:rFonts w:ascii="Book Antiqua" w:hAnsi="Book Antiqua"/>
          <w:color w:val="000000"/>
          <w:sz w:val="24"/>
          <w:szCs w:val="24"/>
        </w:rPr>
      </w:pPr>
    </w:p>
    <w:p w:rsidR="0001334D" w:rsidRPr="005A0661" w:rsidRDefault="0001334D" w:rsidP="00B66E32">
      <w:pPr>
        <w:autoSpaceDE w:val="0"/>
        <w:autoSpaceDN w:val="0"/>
        <w:adjustRightInd w:val="0"/>
        <w:snapToGrid w:val="0"/>
        <w:spacing w:line="360" w:lineRule="auto"/>
        <w:rPr>
          <w:rFonts w:ascii="Book Antiqua" w:hAnsi="Book Antiqua"/>
          <w:color w:val="000000"/>
          <w:kern w:val="0"/>
          <w:sz w:val="24"/>
        </w:rPr>
      </w:pPr>
      <w:r w:rsidRPr="005A0661">
        <w:rPr>
          <w:rFonts w:ascii="Book Antiqua" w:hAnsi="Book Antiqua"/>
          <w:b/>
          <w:bCs/>
          <w:color w:val="000000"/>
          <w:kern w:val="0"/>
          <w:sz w:val="24"/>
        </w:rPr>
        <w:t xml:space="preserve">Telephone: </w:t>
      </w:r>
      <w:bookmarkStart w:id="4" w:name="OLE_LINK1415"/>
      <w:bookmarkStart w:id="5" w:name="OLE_LINK1416"/>
      <w:bookmarkStart w:id="6" w:name="OLE_LINK1417"/>
      <w:r w:rsidRPr="005A0661">
        <w:rPr>
          <w:rFonts w:ascii="Book Antiqua" w:hAnsi="Book Antiqua"/>
          <w:color w:val="000000"/>
          <w:kern w:val="0"/>
          <w:sz w:val="24"/>
        </w:rPr>
        <w:t>+</w:t>
      </w:r>
      <w:bookmarkStart w:id="7" w:name="OLE_LINK42"/>
      <w:bookmarkStart w:id="8" w:name="OLE_LINK128"/>
      <w:bookmarkStart w:id="9" w:name="OLE_LINK440"/>
      <w:bookmarkStart w:id="10" w:name="OLE_LINK951"/>
      <w:bookmarkStart w:id="11" w:name="OLE_LINK955"/>
      <w:bookmarkEnd w:id="4"/>
      <w:bookmarkEnd w:id="5"/>
      <w:bookmarkEnd w:id="6"/>
      <w:r w:rsidRPr="005A0661">
        <w:rPr>
          <w:rFonts w:ascii="Book Antiqua" w:hAnsi="Book Antiqua"/>
          <w:color w:val="000000"/>
          <w:sz w:val="24"/>
          <w:szCs w:val="24"/>
        </w:rPr>
        <w:t xml:space="preserve">86-571-87784795     </w:t>
      </w:r>
      <w:r w:rsidRPr="005A0661">
        <w:rPr>
          <w:rFonts w:ascii="Book Antiqua" w:hAnsi="Book Antiqua"/>
          <w:b/>
          <w:bCs/>
          <w:color w:val="000000"/>
          <w:kern w:val="0"/>
          <w:sz w:val="24"/>
        </w:rPr>
        <w:t>Fax:</w:t>
      </w:r>
      <w:r w:rsidRPr="005A0661">
        <w:rPr>
          <w:rFonts w:ascii="Book Antiqua" w:hAnsi="Book Antiqua"/>
          <w:color w:val="000000"/>
          <w:kern w:val="0"/>
          <w:sz w:val="24"/>
        </w:rPr>
        <w:t xml:space="preserve"> +</w:t>
      </w:r>
      <w:bookmarkEnd w:id="7"/>
      <w:bookmarkEnd w:id="8"/>
      <w:bookmarkEnd w:id="9"/>
      <w:r w:rsidRPr="005A0661">
        <w:rPr>
          <w:rFonts w:ascii="Book Antiqua" w:hAnsi="Book Antiqua"/>
          <w:color w:val="000000"/>
          <w:sz w:val="24"/>
          <w:szCs w:val="24"/>
        </w:rPr>
        <w:t>86-571-87767088</w:t>
      </w:r>
    </w:p>
    <w:p w:rsidR="0001334D" w:rsidRPr="005A0661" w:rsidRDefault="0001334D" w:rsidP="00B66E32">
      <w:pPr>
        <w:adjustRightInd w:val="0"/>
        <w:snapToGrid w:val="0"/>
        <w:spacing w:line="360" w:lineRule="auto"/>
        <w:rPr>
          <w:rFonts w:ascii="Book Antiqua" w:hAnsi="Book Antiqua"/>
          <w:sz w:val="24"/>
        </w:rPr>
      </w:pPr>
      <w:bookmarkStart w:id="12" w:name="OLE_LINK25"/>
      <w:bookmarkStart w:id="13" w:name="OLE_LINK26"/>
      <w:bookmarkStart w:id="14" w:name="OLE_LINK145"/>
      <w:bookmarkStart w:id="15" w:name="OLE_LINK215"/>
      <w:bookmarkStart w:id="16" w:name="OLE_LINK352"/>
      <w:bookmarkStart w:id="17" w:name="OLE_LINK364"/>
      <w:bookmarkStart w:id="18" w:name="OLE_LINK383"/>
      <w:bookmarkStart w:id="19" w:name="OLE_LINK361"/>
      <w:bookmarkStart w:id="20" w:name="OLE_LINK444"/>
      <w:bookmarkStart w:id="21" w:name="OLE_LINK501"/>
      <w:bookmarkStart w:id="22" w:name="OLE_LINK572"/>
      <w:bookmarkStart w:id="23" w:name="OLE_LINK573"/>
      <w:bookmarkStart w:id="24" w:name="OLE_LINK756"/>
      <w:bookmarkStart w:id="25" w:name="OLE_LINK757"/>
      <w:bookmarkStart w:id="26" w:name="OLE_LINK805"/>
      <w:bookmarkStart w:id="27" w:name="OLE_LINK806"/>
      <w:bookmarkStart w:id="28" w:name="OLE_LINK958"/>
      <w:bookmarkStart w:id="29" w:name="OLE_LINK1018"/>
      <w:bookmarkStart w:id="30" w:name="OLE_LINK1059"/>
      <w:bookmarkStart w:id="31" w:name="OLE_LINK1122"/>
      <w:bookmarkStart w:id="32" w:name="OLE_LINK1123"/>
      <w:bookmarkStart w:id="33" w:name="OLE_LINK1402"/>
      <w:bookmarkStart w:id="34" w:name="OLE_LINK1750"/>
      <w:bookmarkStart w:id="35" w:name="OLE_LINK1751"/>
      <w:bookmarkStart w:id="36" w:name="OLE_LINK1832"/>
      <w:bookmarkStart w:id="37" w:name="OLE_LINK1878"/>
      <w:bookmarkStart w:id="38" w:name="OLE_LINK1917"/>
      <w:bookmarkStart w:id="39" w:name="OLE_LINK1918"/>
      <w:bookmarkStart w:id="40" w:name="OLE_LINK1985"/>
      <w:bookmarkStart w:id="41" w:name="OLE_LINK1986"/>
      <w:bookmarkStart w:id="42" w:name="OLE_LINK1927"/>
      <w:bookmarkStart w:id="43" w:name="OLE_LINK1928"/>
      <w:bookmarkStart w:id="44" w:name="OLE_LINK2044"/>
      <w:bookmarkStart w:id="45" w:name="OLE_LINK2352"/>
      <w:bookmarkStart w:id="46" w:name="OLE_LINK2220"/>
      <w:bookmarkStart w:id="47" w:name="OLE_LINK2344"/>
      <w:bookmarkStart w:id="48" w:name="OLE_LINK2347"/>
      <w:bookmarkStart w:id="49" w:name="OLE_LINK2626"/>
      <w:bookmarkStart w:id="50" w:name="OLE_LINK2390"/>
      <w:bookmarkStart w:id="51" w:name="OLE_LINK2752"/>
      <w:bookmarkStart w:id="52" w:name="OLE_LINK2753"/>
      <w:bookmarkStart w:id="53" w:name="OLE_LINK2855"/>
      <w:bookmarkStart w:id="54" w:name="OLE_LINK2992"/>
      <w:bookmarkStart w:id="55" w:name="OLE_LINK3241"/>
      <w:bookmarkStart w:id="56" w:name="OLE_LINK2682"/>
      <w:r w:rsidRPr="005A0661">
        <w:rPr>
          <w:rFonts w:ascii="Book Antiqua" w:hAnsi="Book Antiqua"/>
          <w:b/>
          <w:sz w:val="24"/>
        </w:rPr>
        <w:t xml:space="preserve">Received: </w:t>
      </w:r>
      <w:r w:rsidRPr="005A0661">
        <w:rPr>
          <w:rFonts w:ascii="Book Antiqua" w:hAnsi="Book Antiqua"/>
          <w:sz w:val="24"/>
        </w:rPr>
        <w:t>January 10, 2014</w:t>
      </w:r>
      <w:r w:rsidRPr="005A0661">
        <w:rPr>
          <w:rFonts w:ascii="Book Antiqua" w:hAnsi="Book Antiqua"/>
          <w:b/>
          <w:sz w:val="24"/>
        </w:rPr>
        <w:t xml:space="preserve">        Revised:</w:t>
      </w:r>
      <w:bookmarkStart w:id="57" w:name="OLE_LINK103"/>
      <w:bookmarkStart w:id="58" w:name="OLE_LINK104"/>
      <w:bookmarkStart w:id="59" w:name="OLE_LINK69"/>
      <w:bookmarkStart w:id="60" w:name="OLE_LINK70"/>
      <w:bookmarkEnd w:id="12"/>
      <w:bookmarkEnd w:id="13"/>
      <w:r w:rsidRPr="005A0661">
        <w:rPr>
          <w:rFonts w:ascii="Book Antiqua" w:hAnsi="Book Antiqua"/>
          <w:b/>
          <w:sz w:val="24"/>
        </w:rPr>
        <w:t xml:space="preserve"> </w:t>
      </w:r>
      <w:r w:rsidRPr="005A0661">
        <w:rPr>
          <w:rFonts w:ascii="Book Antiqua" w:hAnsi="Book Antiqua"/>
          <w:sz w:val="24"/>
        </w:rPr>
        <w:t>March 20, 2014</w:t>
      </w:r>
    </w:p>
    <w:p w:rsidR="006E5030" w:rsidRPr="00737869" w:rsidRDefault="0001334D" w:rsidP="006E5030">
      <w:pPr>
        <w:rPr>
          <w:rFonts w:ascii="Book Antiqua" w:hAnsi="Book Antiqua"/>
          <w:sz w:val="24"/>
          <w:szCs w:val="24"/>
        </w:rPr>
      </w:pPr>
      <w:bookmarkStart w:id="61" w:name="OLE_LINK303"/>
      <w:bookmarkStart w:id="62" w:name="OLE_LINK304"/>
      <w:bookmarkStart w:id="63" w:name="OLE_LINK1382"/>
      <w:bookmarkStart w:id="64" w:name="OLE_LINK2188"/>
      <w:bookmarkStart w:id="65" w:name="OLE_LINK2189"/>
      <w:bookmarkStart w:id="66" w:name="OLE_LINK2615"/>
      <w:r w:rsidRPr="005A0661">
        <w:rPr>
          <w:rFonts w:ascii="Book Antiqua" w:hAnsi="Book Antiqua"/>
          <w:b/>
          <w:sz w:val="24"/>
        </w:rPr>
        <w:lastRenderedPageBreak/>
        <w:t>Accepted:</w:t>
      </w:r>
      <w:r w:rsidR="006E5030" w:rsidRPr="006E5030">
        <w:rPr>
          <w:rFonts w:ascii="Book Antiqua" w:hAnsi="Book Antiqua"/>
          <w:sz w:val="24"/>
          <w:szCs w:val="24"/>
        </w:rPr>
        <w:t xml:space="preserve"> </w:t>
      </w:r>
      <w:r w:rsidR="006E5030" w:rsidRPr="00737869">
        <w:rPr>
          <w:rFonts w:ascii="Book Antiqua" w:hAnsi="Book Antiqua"/>
          <w:sz w:val="24"/>
          <w:szCs w:val="24"/>
        </w:rPr>
        <w:t>May 12, 2014</w:t>
      </w:r>
    </w:p>
    <w:p w:rsidR="0001334D" w:rsidRPr="005A0661" w:rsidRDefault="0001334D" w:rsidP="00B66E32">
      <w:pPr>
        <w:adjustRightInd w:val="0"/>
        <w:snapToGrid w:val="0"/>
        <w:spacing w:line="360" w:lineRule="auto"/>
        <w:rPr>
          <w:rFonts w:ascii="Book Antiqua" w:hAnsi="Book Antiqua"/>
          <w:b/>
          <w:sz w:val="24"/>
        </w:rPr>
      </w:pPr>
      <w:bookmarkStart w:id="67" w:name="_GoBack"/>
      <w:bookmarkEnd w:id="67"/>
      <w:r w:rsidRPr="005A0661">
        <w:rPr>
          <w:rFonts w:ascii="Book Antiqua" w:hAnsi="Book Antiqua"/>
          <w:b/>
          <w:sz w:val="24"/>
        </w:rPr>
        <w:t xml:space="preserve">  </w:t>
      </w:r>
    </w:p>
    <w:p w:rsidR="0001334D" w:rsidRPr="005A0661" w:rsidRDefault="0001334D" w:rsidP="00B66E32">
      <w:pPr>
        <w:adjustRightInd w:val="0"/>
        <w:snapToGrid w:val="0"/>
        <w:spacing w:line="360" w:lineRule="auto"/>
        <w:rPr>
          <w:rFonts w:ascii="Book Antiqua" w:hAnsi="Book Antiqua"/>
          <w:b/>
          <w:sz w:val="24"/>
        </w:rPr>
      </w:pPr>
      <w:r w:rsidRPr="005A0661">
        <w:rPr>
          <w:rFonts w:ascii="Book Antiqua" w:hAnsi="Book Antiqua"/>
          <w:b/>
          <w:sz w:val="24"/>
        </w:rPr>
        <w:t xml:space="preserve">Published online: </w:t>
      </w:r>
      <w:bookmarkEnd w:id="57"/>
      <w:bookmarkEnd w:id="58"/>
    </w:p>
    <w:bookmarkEnd w:id="10"/>
    <w:bookmarkEnd w:id="11"/>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9"/>
    <w:bookmarkEnd w:id="60"/>
    <w:bookmarkEnd w:id="61"/>
    <w:bookmarkEnd w:id="62"/>
    <w:bookmarkEnd w:id="63"/>
    <w:bookmarkEnd w:id="64"/>
    <w:bookmarkEnd w:id="65"/>
    <w:bookmarkEnd w:id="66"/>
    <w:p w:rsidR="0001334D" w:rsidRPr="005A0661" w:rsidRDefault="0001334D" w:rsidP="009973EA">
      <w:pPr>
        <w:snapToGrid w:val="0"/>
        <w:spacing w:line="360" w:lineRule="auto"/>
        <w:rPr>
          <w:rFonts w:ascii="Book Antiqua" w:hAnsi="Book Antiqua"/>
          <w:color w:val="000000"/>
          <w:sz w:val="24"/>
          <w:szCs w:val="24"/>
        </w:rPr>
      </w:pPr>
    </w:p>
    <w:bookmarkEnd w:id="2"/>
    <w:bookmarkEnd w:id="3"/>
    <w:p w:rsidR="0001334D" w:rsidRPr="005A0661" w:rsidRDefault="0001334D" w:rsidP="009973EA">
      <w:pPr>
        <w:snapToGrid w:val="0"/>
        <w:spacing w:line="360" w:lineRule="auto"/>
        <w:rPr>
          <w:rFonts w:ascii="Book Antiqua" w:hAnsi="Book Antiqua"/>
          <w:b/>
          <w:color w:val="000000"/>
          <w:sz w:val="24"/>
          <w:szCs w:val="24"/>
        </w:rPr>
      </w:pPr>
      <w:r w:rsidRPr="005A0661">
        <w:rPr>
          <w:rFonts w:ascii="Book Antiqua" w:hAnsi="Book Antiqua"/>
          <w:b/>
          <w:color w:val="000000"/>
          <w:sz w:val="24"/>
          <w:szCs w:val="24"/>
        </w:rPr>
        <w:br w:type="page"/>
      </w:r>
      <w:r w:rsidRPr="005A0661">
        <w:rPr>
          <w:rFonts w:ascii="Book Antiqua" w:hAnsi="Book Antiqua"/>
          <w:b/>
          <w:color w:val="000000"/>
          <w:sz w:val="24"/>
          <w:szCs w:val="24"/>
        </w:rPr>
        <w:lastRenderedPageBreak/>
        <w:t>Abstract</w:t>
      </w:r>
    </w:p>
    <w:p w:rsidR="0001334D" w:rsidRPr="005A0661" w:rsidRDefault="0001334D" w:rsidP="009973EA">
      <w:pPr>
        <w:snapToGrid w:val="0"/>
        <w:spacing w:line="360" w:lineRule="auto"/>
        <w:rPr>
          <w:rFonts w:ascii="Book Antiqua" w:hAnsi="Book Antiqua"/>
          <w:color w:val="000000"/>
          <w:sz w:val="24"/>
          <w:szCs w:val="24"/>
        </w:rPr>
      </w:pPr>
      <w:r w:rsidRPr="005A0661">
        <w:rPr>
          <w:rFonts w:ascii="Book Antiqua" w:hAnsi="Book Antiqua"/>
          <w:color w:val="000000"/>
          <w:sz w:val="24"/>
          <w:szCs w:val="24"/>
        </w:rPr>
        <w:t>Late-stage gastric adenocarcinoma patients have a poor prognosis due to high recurrence rates. In order to improve long-term outcomes, perioperative chemotherapies are combined with surgery. Since human epidermal growth factor receptor 2 (HER2) overexpression had been noted in gastric cancer, trastuzumab has been used occasionally in this setting. A 63-year-old Chinese male patient, who was diagnosed with adenocarcinoma in the gastric antrum, as well as lymph node metastases along the left gastric and hepatic artery and left adrenal area, was admitted to our hospital. HER2 expression was positive, and cluster amplification was detected in a</w:t>
      </w:r>
      <w:r w:rsidRPr="005A0661">
        <w:rPr>
          <w:rFonts w:ascii="Book Antiqua" w:hAnsi="Book Antiqua"/>
        </w:rPr>
        <w:t xml:space="preserve"> </w:t>
      </w:r>
      <w:r w:rsidRPr="005A0661">
        <w:rPr>
          <w:rFonts w:ascii="Book Antiqua" w:hAnsi="Book Antiqua"/>
          <w:color w:val="000000"/>
          <w:sz w:val="24"/>
          <w:szCs w:val="24"/>
        </w:rPr>
        <w:t xml:space="preserve">fluorescence </w:t>
      </w:r>
      <w:r w:rsidRPr="005A0661">
        <w:rPr>
          <w:rFonts w:ascii="Book Antiqua" w:hAnsi="Book Antiqua"/>
          <w:i/>
          <w:color w:val="000000"/>
          <w:sz w:val="24"/>
          <w:szCs w:val="24"/>
        </w:rPr>
        <w:t>in situ</w:t>
      </w:r>
      <w:r w:rsidRPr="005A0661">
        <w:rPr>
          <w:rFonts w:ascii="Book Antiqua" w:hAnsi="Book Antiqua"/>
          <w:color w:val="000000"/>
          <w:sz w:val="24"/>
          <w:szCs w:val="24"/>
        </w:rPr>
        <w:t xml:space="preserve"> hybridization assay. The patient received 3 cycles of a neoadjuvant trastuzumab/oxaliplatin /capecitabine regimen. He subsequently underwent distal gastrectomy, D2+ lymphadenectomy, left adrenalectomy, cholecystectomy, and Billroth II anastomosis. Treatment was continued with another 5 postoperative cycles of the same medication and trastuzumab application for 1 year. No recurrence has been observed 18 mo after the operation. Trastuzumab as perioperative and adjuvant medication, in combination with oxaliplatin and capecitabine for a HER2-overexpressing advanced gastric adenocarcinoma led to recurrence-free survival of at least 18 mo after surgery.</w:t>
      </w:r>
    </w:p>
    <w:p w:rsidR="0001334D" w:rsidRPr="005A0661" w:rsidRDefault="0001334D" w:rsidP="009973EA">
      <w:pPr>
        <w:snapToGrid w:val="0"/>
        <w:spacing w:line="360" w:lineRule="auto"/>
        <w:rPr>
          <w:rFonts w:ascii="Book Antiqua" w:hAnsi="Book Antiqua"/>
          <w:b/>
          <w:color w:val="000000"/>
          <w:sz w:val="24"/>
          <w:szCs w:val="24"/>
        </w:rPr>
      </w:pPr>
    </w:p>
    <w:p w:rsidR="0001334D" w:rsidRPr="005A0661" w:rsidRDefault="0001334D" w:rsidP="00F80B9D">
      <w:pPr>
        <w:adjustRightInd w:val="0"/>
        <w:snapToGrid w:val="0"/>
        <w:spacing w:line="360" w:lineRule="auto"/>
        <w:rPr>
          <w:rFonts w:ascii="Book Antiqua" w:hAnsi="Book Antiqua"/>
          <w:sz w:val="24"/>
        </w:rPr>
      </w:pPr>
      <w:bookmarkStart w:id="68" w:name="OLE_LINK98"/>
      <w:bookmarkStart w:id="69" w:name="OLE_LINK156"/>
      <w:bookmarkStart w:id="70" w:name="OLE_LINK196"/>
      <w:bookmarkStart w:id="71" w:name="OLE_LINK217"/>
      <w:bookmarkStart w:id="72" w:name="OLE_LINK242"/>
      <w:bookmarkStart w:id="73" w:name="OLE_LINK247"/>
      <w:bookmarkStart w:id="74" w:name="OLE_LINK311"/>
      <w:bookmarkStart w:id="75" w:name="OLE_LINK312"/>
      <w:bookmarkStart w:id="76" w:name="OLE_LINK325"/>
      <w:bookmarkStart w:id="77" w:name="OLE_LINK330"/>
      <w:bookmarkStart w:id="78" w:name="OLE_LINK513"/>
      <w:bookmarkStart w:id="79" w:name="OLE_LINK514"/>
      <w:bookmarkStart w:id="80" w:name="OLE_LINK464"/>
      <w:bookmarkStart w:id="81" w:name="OLE_LINK465"/>
      <w:bookmarkStart w:id="82" w:name="OLE_LINK466"/>
      <w:bookmarkStart w:id="83" w:name="OLE_LINK470"/>
      <w:bookmarkStart w:id="84" w:name="OLE_LINK471"/>
      <w:bookmarkStart w:id="85" w:name="OLE_LINK472"/>
      <w:bookmarkStart w:id="86" w:name="OLE_LINK474"/>
      <w:bookmarkStart w:id="87" w:name="OLE_LINK512"/>
      <w:bookmarkStart w:id="88" w:name="OLE_LINK800"/>
      <w:bookmarkStart w:id="89" w:name="OLE_LINK982"/>
      <w:bookmarkStart w:id="90" w:name="OLE_LINK1027"/>
      <w:bookmarkStart w:id="91" w:name="OLE_LINK504"/>
      <w:bookmarkStart w:id="92" w:name="OLE_LINK546"/>
      <w:bookmarkStart w:id="93" w:name="OLE_LINK547"/>
      <w:bookmarkStart w:id="94" w:name="OLE_LINK575"/>
      <w:bookmarkStart w:id="95" w:name="OLE_LINK640"/>
      <w:bookmarkStart w:id="96" w:name="OLE_LINK672"/>
      <w:bookmarkStart w:id="97" w:name="OLE_LINK714"/>
      <w:bookmarkStart w:id="98" w:name="OLE_LINK651"/>
      <w:bookmarkStart w:id="99" w:name="OLE_LINK652"/>
      <w:bookmarkStart w:id="100" w:name="OLE_LINK744"/>
      <w:bookmarkStart w:id="101" w:name="OLE_LINK758"/>
      <w:bookmarkStart w:id="102" w:name="OLE_LINK787"/>
      <w:bookmarkStart w:id="103" w:name="OLE_LINK807"/>
      <w:bookmarkStart w:id="104" w:name="OLE_LINK820"/>
      <w:bookmarkStart w:id="105" w:name="OLE_LINK862"/>
      <w:bookmarkStart w:id="106" w:name="OLE_LINK879"/>
      <w:bookmarkStart w:id="107" w:name="OLE_LINK906"/>
      <w:bookmarkStart w:id="108" w:name="OLE_LINK928"/>
      <w:bookmarkStart w:id="109" w:name="OLE_LINK960"/>
      <w:bookmarkStart w:id="110" w:name="OLE_LINK861"/>
      <w:bookmarkStart w:id="111" w:name="OLE_LINK983"/>
      <w:bookmarkStart w:id="112" w:name="OLE_LINK1334"/>
      <w:bookmarkStart w:id="113" w:name="OLE_LINK1029"/>
      <w:bookmarkStart w:id="114" w:name="OLE_LINK1060"/>
      <w:bookmarkStart w:id="115" w:name="OLE_LINK1061"/>
      <w:bookmarkStart w:id="116" w:name="OLE_LINK1348"/>
      <w:bookmarkStart w:id="117" w:name="OLE_LINK1086"/>
      <w:bookmarkStart w:id="118" w:name="OLE_LINK1100"/>
      <w:bookmarkStart w:id="119" w:name="OLE_LINK1125"/>
      <w:bookmarkStart w:id="120" w:name="OLE_LINK1163"/>
      <w:bookmarkStart w:id="121" w:name="OLE_LINK1193"/>
      <w:bookmarkStart w:id="122" w:name="OLE_LINK1219"/>
      <w:bookmarkStart w:id="123" w:name="OLE_LINK1247"/>
      <w:bookmarkStart w:id="124" w:name="OLE_LINK1284"/>
      <w:bookmarkStart w:id="125" w:name="OLE_LINK1313"/>
      <w:bookmarkStart w:id="126" w:name="OLE_LINK1361"/>
      <w:bookmarkStart w:id="127" w:name="OLE_LINK1384"/>
      <w:bookmarkStart w:id="128" w:name="OLE_LINK1403"/>
      <w:bookmarkStart w:id="129" w:name="OLE_LINK1437"/>
      <w:bookmarkStart w:id="130" w:name="OLE_LINK1454"/>
      <w:bookmarkStart w:id="131" w:name="OLE_LINK1480"/>
      <w:bookmarkStart w:id="132" w:name="OLE_LINK1504"/>
      <w:bookmarkStart w:id="133" w:name="OLE_LINK1516"/>
      <w:bookmarkStart w:id="134" w:name="OLE_LINK135"/>
      <w:bookmarkStart w:id="135" w:name="OLE_LINK216"/>
      <w:bookmarkStart w:id="136" w:name="OLE_LINK259"/>
      <w:bookmarkStart w:id="137" w:name="OLE_LINK1186"/>
      <w:bookmarkStart w:id="138" w:name="OLE_LINK1265"/>
      <w:bookmarkStart w:id="139" w:name="OLE_LINK1373"/>
      <w:bookmarkStart w:id="140" w:name="OLE_LINK1478"/>
      <w:bookmarkStart w:id="141" w:name="OLE_LINK1644"/>
      <w:bookmarkStart w:id="142" w:name="OLE_LINK1884"/>
      <w:bookmarkStart w:id="143" w:name="OLE_LINK1885"/>
      <w:bookmarkStart w:id="144" w:name="OLE_LINK1538"/>
      <w:bookmarkStart w:id="145" w:name="OLE_LINK1539"/>
      <w:bookmarkStart w:id="146" w:name="OLE_LINK1543"/>
      <w:bookmarkStart w:id="147" w:name="OLE_LINK1549"/>
      <w:bookmarkStart w:id="148" w:name="OLE_LINK1778"/>
      <w:bookmarkStart w:id="149" w:name="OLE_LINK1756"/>
      <w:bookmarkStart w:id="150" w:name="OLE_LINK1776"/>
      <w:bookmarkStart w:id="151" w:name="OLE_LINK1777"/>
      <w:bookmarkStart w:id="152" w:name="OLE_LINK1868"/>
      <w:bookmarkStart w:id="153" w:name="OLE_LINK1744"/>
      <w:bookmarkStart w:id="154" w:name="OLE_LINK1817"/>
      <w:bookmarkStart w:id="155" w:name="OLE_LINK1835"/>
      <w:bookmarkStart w:id="156" w:name="OLE_LINK1866"/>
      <w:bookmarkStart w:id="157" w:name="OLE_LINK1882"/>
      <w:bookmarkStart w:id="158" w:name="OLE_LINK1901"/>
      <w:bookmarkStart w:id="159" w:name="OLE_LINK1902"/>
      <w:bookmarkStart w:id="160" w:name="OLE_LINK2013"/>
      <w:bookmarkStart w:id="161" w:name="OLE_LINK1894"/>
      <w:bookmarkStart w:id="162" w:name="OLE_LINK1929"/>
      <w:bookmarkStart w:id="163" w:name="OLE_LINK1941"/>
      <w:bookmarkStart w:id="164" w:name="OLE_LINK1995"/>
      <w:bookmarkStart w:id="165" w:name="OLE_LINK1938"/>
      <w:bookmarkStart w:id="166" w:name="OLE_LINK2081"/>
      <w:bookmarkStart w:id="167" w:name="OLE_LINK2082"/>
      <w:bookmarkStart w:id="168" w:name="OLE_LINK2292"/>
      <w:bookmarkStart w:id="169" w:name="OLE_LINK1931"/>
      <w:bookmarkStart w:id="170" w:name="OLE_LINK1964"/>
      <w:bookmarkStart w:id="171" w:name="OLE_LINK2020"/>
      <w:bookmarkStart w:id="172" w:name="OLE_LINK2071"/>
      <w:bookmarkStart w:id="173" w:name="OLE_LINK2134"/>
      <w:bookmarkStart w:id="174" w:name="OLE_LINK2265"/>
      <w:bookmarkStart w:id="175" w:name="OLE_LINK2562"/>
      <w:bookmarkStart w:id="176" w:name="OLE_LINK1923"/>
      <w:bookmarkStart w:id="177" w:name="OLE_LINK2192"/>
      <w:bookmarkStart w:id="178" w:name="OLE_LINK2110"/>
      <w:bookmarkStart w:id="179" w:name="OLE_LINK2445"/>
      <w:bookmarkStart w:id="180" w:name="OLE_LINK2446"/>
      <w:bookmarkStart w:id="181" w:name="OLE_LINK2169"/>
      <w:bookmarkStart w:id="182" w:name="OLE_LINK2190"/>
      <w:bookmarkStart w:id="183" w:name="OLE_LINK2331"/>
      <w:bookmarkStart w:id="184" w:name="OLE_LINK2345"/>
      <w:bookmarkStart w:id="185" w:name="OLE_LINK2467"/>
      <w:bookmarkStart w:id="186" w:name="OLE_LINK2484"/>
      <w:bookmarkStart w:id="187" w:name="OLE_LINK2157"/>
      <w:bookmarkStart w:id="188" w:name="OLE_LINK2221"/>
      <w:bookmarkStart w:id="189" w:name="OLE_LINK2252"/>
      <w:bookmarkStart w:id="190" w:name="OLE_LINK2348"/>
      <w:bookmarkStart w:id="191" w:name="OLE_LINK2451"/>
      <w:bookmarkStart w:id="192" w:name="OLE_LINK2627"/>
      <w:bookmarkStart w:id="193" w:name="OLE_LINK2482"/>
      <w:bookmarkStart w:id="194" w:name="OLE_LINK2663"/>
      <w:bookmarkStart w:id="195" w:name="OLE_LINK2761"/>
      <w:bookmarkStart w:id="196" w:name="OLE_LINK2856"/>
      <w:bookmarkStart w:id="197" w:name="OLE_LINK2993"/>
      <w:bookmarkStart w:id="198" w:name="OLE_LINK2643"/>
      <w:bookmarkStart w:id="199" w:name="OLE_LINK2583"/>
      <w:bookmarkStart w:id="200" w:name="OLE_LINK2762"/>
      <w:bookmarkStart w:id="201" w:name="OLE_LINK2962"/>
      <w:bookmarkStart w:id="202" w:name="OLE_LINK2582"/>
      <w:r w:rsidRPr="007813C4">
        <w:rPr>
          <w:rFonts w:ascii="Book Antiqua" w:hAnsi="Book Antiqua"/>
          <w:sz w:val="24"/>
        </w:rPr>
        <w:t>© 2014 Baishideng Publishing Group Inc. All rights reserved.</w:t>
      </w:r>
      <w:r w:rsidRPr="005A0661">
        <w:rPr>
          <w:rFonts w:ascii="Book Antiqua" w:hAnsi="Book Antiqua"/>
          <w:sz w:val="24"/>
        </w:rPr>
        <w:t xml:space="preserve"> </w:t>
      </w:r>
    </w:p>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rsidR="0001334D" w:rsidRPr="005A0661" w:rsidRDefault="0001334D" w:rsidP="009973EA">
      <w:pPr>
        <w:snapToGrid w:val="0"/>
        <w:spacing w:line="360" w:lineRule="auto"/>
        <w:rPr>
          <w:rFonts w:ascii="Book Antiqua" w:hAnsi="Book Antiqua"/>
          <w:b/>
          <w:color w:val="000000"/>
          <w:sz w:val="24"/>
          <w:szCs w:val="24"/>
        </w:rPr>
      </w:pPr>
    </w:p>
    <w:p w:rsidR="0001334D" w:rsidRPr="005A0661" w:rsidRDefault="0001334D" w:rsidP="009973EA">
      <w:pPr>
        <w:snapToGrid w:val="0"/>
        <w:spacing w:line="360" w:lineRule="auto"/>
        <w:rPr>
          <w:rFonts w:ascii="Book Antiqua" w:hAnsi="Book Antiqua"/>
          <w:b/>
          <w:color w:val="000000"/>
          <w:sz w:val="24"/>
          <w:szCs w:val="24"/>
        </w:rPr>
      </w:pPr>
      <w:r w:rsidRPr="005A0661">
        <w:rPr>
          <w:rFonts w:ascii="Book Antiqua" w:hAnsi="Book Antiqua"/>
          <w:b/>
          <w:color w:val="000000"/>
          <w:sz w:val="24"/>
          <w:szCs w:val="24"/>
        </w:rPr>
        <w:t xml:space="preserve">Key words: </w:t>
      </w:r>
      <w:r w:rsidRPr="005A0661">
        <w:rPr>
          <w:rFonts w:ascii="Book Antiqua" w:hAnsi="Book Antiqua"/>
          <w:color w:val="000000"/>
          <w:sz w:val="24"/>
          <w:szCs w:val="24"/>
        </w:rPr>
        <w:t>Gastric adenocarcinoma; Trastuzumab; Oxaliplatin; Capecitabine; Neoadjuvant medication</w:t>
      </w:r>
    </w:p>
    <w:p w:rsidR="0001334D" w:rsidRPr="005A0661" w:rsidRDefault="0001334D" w:rsidP="009973EA">
      <w:pPr>
        <w:snapToGrid w:val="0"/>
        <w:spacing w:line="360" w:lineRule="auto"/>
        <w:rPr>
          <w:rFonts w:ascii="Book Antiqua" w:hAnsi="Book Antiqua"/>
          <w:color w:val="000000"/>
          <w:sz w:val="24"/>
          <w:szCs w:val="24"/>
        </w:rPr>
      </w:pPr>
    </w:p>
    <w:p w:rsidR="0001334D" w:rsidRPr="005A0661" w:rsidRDefault="0001334D" w:rsidP="009973EA">
      <w:pPr>
        <w:snapToGrid w:val="0"/>
        <w:spacing w:line="360" w:lineRule="auto"/>
        <w:rPr>
          <w:rFonts w:ascii="Book Antiqua" w:hAnsi="Book Antiqua"/>
          <w:bCs/>
          <w:color w:val="000000"/>
          <w:sz w:val="24"/>
          <w:szCs w:val="24"/>
        </w:rPr>
      </w:pPr>
      <w:r w:rsidRPr="005A0661">
        <w:rPr>
          <w:rFonts w:ascii="Book Antiqua" w:hAnsi="Book Antiqua"/>
          <w:b/>
          <w:sz w:val="24"/>
          <w:szCs w:val="24"/>
        </w:rPr>
        <w:t xml:space="preserve">Core tip: </w:t>
      </w:r>
      <w:bookmarkStart w:id="203" w:name="OLE_LINK7"/>
      <w:bookmarkStart w:id="204" w:name="OLE_LINK8"/>
      <w:r w:rsidRPr="005A0661">
        <w:rPr>
          <w:rFonts w:ascii="Book Antiqua" w:hAnsi="Book Antiqua"/>
          <w:color w:val="000000"/>
          <w:sz w:val="24"/>
          <w:szCs w:val="24"/>
        </w:rPr>
        <w:t xml:space="preserve">Surgical resection of gastric cancer in advanced stages is accompanied by a high frequency of recurrences and </w:t>
      </w:r>
      <w:r w:rsidRPr="005A0661">
        <w:rPr>
          <w:rFonts w:ascii="Book Antiqua" w:hAnsi="Book Antiqua"/>
          <w:bCs/>
          <w:color w:val="000000"/>
          <w:sz w:val="24"/>
          <w:szCs w:val="24"/>
        </w:rPr>
        <w:t>metastases. In order to curb cancerous cell growth, cytostatic medications are commonly used, but tumor cell-specific drugs are increasingly</w:t>
      </w:r>
      <w:r w:rsidRPr="005A0661" w:rsidDel="00116A59">
        <w:rPr>
          <w:rFonts w:ascii="Book Antiqua" w:hAnsi="Book Antiqua"/>
          <w:bCs/>
          <w:color w:val="000000"/>
          <w:sz w:val="24"/>
          <w:szCs w:val="24"/>
        </w:rPr>
        <w:t xml:space="preserve"> </w:t>
      </w:r>
      <w:r w:rsidRPr="005A0661">
        <w:rPr>
          <w:rFonts w:ascii="Book Antiqua" w:hAnsi="Book Antiqua"/>
          <w:bCs/>
          <w:color w:val="000000"/>
          <w:sz w:val="24"/>
          <w:szCs w:val="24"/>
        </w:rPr>
        <w:t xml:space="preserve">being researched as well. </w:t>
      </w:r>
      <w:r w:rsidRPr="005A0661">
        <w:rPr>
          <w:rFonts w:ascii="Book Antiqua" w:hAnsi="Book Antiqua"/>
          <w:color w:val="000000"/>
          <w:sz w:val="24"/>
          <w:szCs w:val="24"/>
        </w:rPr>
        <w:t>Human epidermal growth factor receptor 2 (HER2)</w:t>
      </w:r>
      <w:r w:rsidRPr="005A0661">
        <w:rPr>
          <w:rFonts w:ascii="Book Antiqua" w:hAnsi="Book Antiqua"/>
          <w:bCs/>
          <w:color w:val="000000"/>
          <w:sz w:val="24"/>
          <w:szCs w:val="24"/>
        </w:rPr>
        <w:t xml:space="preserve"> has been recognized as a target for breast cancer medications, and the application of the monoclonal antibody </w:t>
      </w:r>
      <w:r w:rsidRPr="005A0661">
        <w:rPr>
          <w:rFonts w:ascii="Book Antiqua" w:hAnsi="Book Antiqua"/>
          <w:bCs/>
          <w:color w:val="000000"/>
          <w:sz w:val="24"/>
          <w:szCs w:val="24"/>
        </w:rPr>
        <w:lastRenderedPageBreak/>
        <w:t>trastuzumab led to remissions of HER2-positive breast cancers, which comprise about 30% of all cases. Since HER2 overexpression was also detected in gastric cancers, trastuzumab as adjuvant or neoadjuvant therapy has also been used as a new approach for treating these tumors.</w:t>
      </w:r>
      <w:bookmarkEnd w:id="203"/>
      <w:bookmarkEnd w:id="204"/>
    </w:p>
    <w:p w:rsidR="0001334D" w:rsidRPr="005A0661" w:rsidRDefault="0001334D" w:rsidP="009973EA">
      <w:pPr>
        <w:snapToGrid w:val="0"/>
        <w:spacing w:line="360" w:lineRule="auto"/>
        <w:rPr>
          <w:rFonts w:ascii="Book Antiqua" w:hAnsi="Book Antiqua"/>
          <w:b/>
          <w:color w:val="000000"/>
          <w:sz w:val="24"/>
          <w:szCs w:val="24"/>
        </w:rPr>
      </w:pPr>
    </w:p>
    <w:p w:rsidR="0001334D" w:rsidRPr="007813C4" w:rsidRDefault="0001334D" w:rsidP="007813C4">
      <w:pPr>
        <w:autoSpaceDE w:val="0"/>
        <w:autoSpaceDN w:val="0"/>
        <w:adjustRightInd w:val="0"/>
        <w:snapToGrid w:val="0"/>
        <w:spacing w:line="360" w:lineRule="auto"/>
        <w:rPr>
          <w:rFonts w:ascii="Book Antiqua" w:hAnsi="Book Antiqua"/>
          <w:bCs/>
          <w:color w:val="000000"/>
          <w:sz w:val="24"/>
          <w:szCs w:val="24"/>
        </w:rPr>
      </w:pPr>
      <w:r w:rsidRPr="005A0661">
        <w:rPr>
          <w:rFonts w:ascii="Book Antiqua" w:hAnsi="Book Antiqua"/>
          <w:color w:val="000000"/>
          <w:sz w:val="24"/>
          <w:szCs w:val="24"/>
        </w:rPr>
        <w:t xml:space="preserve">Dong CX, Fu JF, Ye XY, Li, XF, Zhong X, Yuan Y. Surgical resection of </w:t>
      </w:r>
      <w:r w:rsidRPr="005A0661">
        <w:rPr>
          <w:rFonts w:ascii="Book Antiqua" w:hAnsi="Book Antiqua"/>
          <w:sz w:val="24"/>
          <w:szCs w:val="24"/>
        </w:rPr>
        <w:t>advanced</w:t>
      </w:r>
      <w:r w:rsidRPr="005A0661">
        <w:rPr>
          <w:rFonts w:ascii="Book Antiqua" w:hAnsi="Book Antiqua"/>
          <w:color w:val="000000"/>
          <w:sz w:val="24"/>
          <w:szCs w:val="24"/>
        </w:rPr>
        <w:t xml:space="preserve"> gastric </w:t>
      </w:r>
      <w:r w:rsidRPr="005A0661">
        <w:rPr>
          <w:rFonts w:ascii="Book Antiqua" w:hAnsi="Book Antiqua"/>
          <w:sz w:val="24"/>
          <w:szCs w:val="24"/>
        </w:rPr>
        <w:t>cancer following</w:t>
      </w:r>
      <w:r w:rsidRPr="005A0661">
        <w:rPr>
          <w:rFonts w:ascii="Book Antiqua" w:hAnsi="Book Antiqua"/>
          <w:color w:val="000000"/>
          <w:sz w:val="24"/>
          <w:szCs w:val="24"/>
        </w:rPr>
        <w:t xml:space="preserve"> trastuzumab</w:t>
      </w:r>
      <w:r w:rsidRPr="005A0661">
        <w:rPr>
          <w:rFonts w:ascii="Book Antiqua" w:hAnsi="Book Antiqua"/>
          <w:sz w:val="24"/>
          <w:szCs w:val="24"/>
        </w:rPr>
        <w:t>/</w:t>
      </w:r>
      <w:r w:rsidRPr="005A0661">
        <w:rPr>
          <w:rFonts w:ascii="Book Antiqua" w:hAnsi="Book Antiqua"/>
          <w:color w:val="000000"/>
          <w:sz w:val="24"/>
          <w:szCs w:val="24"/>
        </w:rPr>
        <w:t>oxaliplatin</w:t>
      </w:r>
      <w:r w:rsidRPr="005A0661">
        <w:rPr>
          <w:rFonts w:ascii="Book Antiqua" w:hAnsi="Book Antiqua"/>
          <w:sz w:val="24"/>
          <w:szCs w:val="24"/>
        </w:rPr>
        <w:t>/</w:t>
      </w:r>
      <w:r w:rsidRPr="005A0661">
        <w:rPr>
          <w:rFonts w:ascii="Book Antiqua" w:hAnsi="Book Antiqua"/>
          <w:color w:val="000000"/>
          <w:sz w:val="24"/>
          <w:szCs w:val="24"/>
        </w:rPr>
        <w:t xml:space="preserve">capecitabine </w:t>
      </w:r>
      <w:r w:rsidRPr="005A0661">
        <w:rPr>
          <w:rFonts w:ascii="Book Antiqua" w:hAnsi="Book Antiqua"/>
          <w:sz w:val="24"/>
          <w:szCs w:val="24"/>
        </w:rPr>
        <w:t>combination therapy</w:t>
      </w:r>
      <w:r w:rsidRPr="005A0661">
        <w:rPr>
          <w:rFonts w:ascii="Book Antiqua" w:hAnsi="Book Antiqua"/>
          <w:color w:val="000000"/>
          <w:sz w:val="24"/>
          <w:szCs w:val="24"/>
        </w:rPr>
        <w:t>.</w:t>
      </w:r>
      <w:r w:rsidRPr="005A0661">
        <w:rPr>
          <w:rFonts w:ascii="Book Antiqua" w:hAnsi="Book Antiqua"/>
          <w:b/>
          <w:color w:val="000000"/>
          <w:sz w:val="24"/>
          <w:szCs w:val="24"/>
        </w:rPr>
        <w:t xml:space="preserve"> </w:t>
      </w:r>
      <w:r w:rsidRPr="005A0661">
        <w:rPr>
          <w:rFonts w:ascii="Book Antiqua" w:hAnsi="Book Antiqua"/>
          <w:i/>
          <w:sz w:val="24"/>
          <w:szCs w:val="24"/>
        </w:rPr>
        <w:t>World J Gastroenterol</w:t>
      </w:r>
      <w:r w:rsidRPr="005A0661">
        <w:rPr>
          <w:rFonts w:ascii="Book Antiqua" w:hAnsi="Book Antiqua"/>
          <w:sz w:val="24"/>
          <w:szCs w:val="24"/>
        </w:rPr>
        <w:t xml:space="preserve"> 2014; </w:t>
      </w:r>
      <w:r>
        <w:rPr>
          <w:rFonts w:ascii="Book Antiqua" w:hAnsi="Book Antiqua"/>
          <w:sz w:val="24"/>
          <w:szCs w:val="24"/>
        </w:rPr>
        <w:t>In press</w:t>
      </w:r>
      <w:r w:rsidRPr="005A0661">
        <w:rPr>
          <w:rFonts w:ascii="Book Antiqua" w:hAnsi="Book Antiqua"/>
          <w:sz w:val="24"/>
          <w:szCs w:val="24"/>
        </w:rPr>
        <w:t xml:space="preserve"> </w:t>
      </w:r>
    </w:p>
    <w:p w:rsidR="0001334D" w:rsidRPr="005A0661" w:rsidRDefault="0001334D" w:rsidP="009973EA">
      <w:pPr>
        <w:snapToGrid w:val="0"/>
        <w:spacing w:line="360" w:lineRule="auto"/>
        <w:rPr>
          <w:rFonts w:ascii="Book Antiqua" w:hAnsi="Book Antiqua"/>
          <w:b/>
          <w:color w:val="000000"/>
          <w:sz w:val="24"/>
          <w:szCs w:val="24"/>
        </w:rPr>
      </w:pPr>
      <w:r w:rsidRPr="005A0661">
        <w:rPr>
          <w:rFonts w:ascii="Book Antiqua" w:hAnsi="Book Antiqua"/>
          <w:b/>
          <w:color w:val="000000"/>
          <w:sz w:val="24"/>
          <w:szCs w:val="24"/>
        </w:rPr>
        <w:br w:type="page"/>
      </w:r>
      <w:r w:rsidRPr="005A0661">
        <w:rPr>
          <w:rFonts w:ascii="Book Antiqua" w:hAnsi="Book Antiqua"/>
          <w:b/>
          <w:color w:val="000000"/>
          <w:sz w:val="24"/>
          <w:szCs w:val="24"/>
        </w:rPr>
        <w:lastRenderedPageBreak/>
        <w:t>INTRODUCTION</w:t>
      </w:r>
    </w:p>
    <w:p w:rsidR="0001334D" w:rsidRPr="005A0661" w:rsidRDefault="0001334D" w:rsidP="009973EA">
      <w:pPr>
        <w:autoSpaceDE w:val="0"/>
        <w:autoSpaceDN w:val="0"/>
        <w:adjustRightInd w:val="0"/>
        <w:snapToGrid w:val="0"/>
        <w:spacing w:line="360" w:lineRule="auto"/>
        <w:rPr>
          <w:rFonts w:ascii="Book Antiqua" w:hAnsi="Book Antiqua"/>
          <w:color w:val="000000"/>
          <w:sz w:val="24"/>
          <w:szCs w:val="24"/>
        </w:rPr>
      </w:pPr>
      <w:r w:rsidRPr="005A0661">
        <w:rPr>
          <w:rFonts w:ascii="Book Antiqua" w:hAnsi="Book Antiqua"/>
          <w:color w:val="000000"/>
          <w:sz w:val="24"/>
          <w:szCs w:val="24"/>
        </w:rPr>
        <w:t xml:space="preserve">Surgical resection of early gastric cancer is very effective, but in advanced stages, the overall postoperative </w:t>
      </w:r>
      <w:r w:rsidRPr="005A0661">
        <w:rPr>
          <w:rFonts w:ascii="Book Antiqua" w:hAnsi="Book Antiqua"/>
          <w:kern w:val="0"/>
          <w:sz w:val="24"/>
          <w:szCs w:val="24"/>
        </w:rPr>
        <w:t>5-year survival</w:t>
      </w:r>
      <w:r w:rsidRPr="005A0661">
        <w:rPr>
          <w:rFonts w:ascii="Book Antiqua" w:hAnsi="Book Antiqua"/>
          <w:color w:val="000000"/>
          <w:sz w:val="24"/>
          <w:szCs w:val="24"/>
        </w:rPr>
        <w:t xml:space="preserve"> rate is reduced to 5%-20%,</w:t>
      </w:r>
      <w:r w:rsidRPr="005A0661">
        <w:rPr>
          <w:rFonts w:ascii="Book Antiqua" w:hAnsi="Book Antiqua"/>
          <w:kern w:val="0"/>
          <w:sz w:val="24"/>
          <w:szCs w:val="24"/>
        </w:rPr>
        <w:t xml:space="preserve"> due to high frequencies of locoregional recurrences and distant </w:t>
      </w:r>
      <w:r w:rsidRPr="005A0661">
        <w:rPr>
          <w:rFonts w:ascii="Book Antiqua" w:hAnsi="Book Antiqua"/>
          <w:color w:val="000000"/>
          <w:sz w:val="24"/>
          <w:szCs w:val="24"/>
        </w:rPr>
        <w:t>metastases</w:t>
      </w:r>
      <w:r w:rsidRPr="005A0661">
        <w:rPr>
          <w:rFonts w:ascii="Book Antiqua" w:hAnsi="Book Antiqua"/>
          <w:bCs/>
          <w:color w:val="000000"/>
          <w:sz w:val="24"/>
          <w:szCs w:val="24"/>
          <w:vertAlign w:val="superscript"/>
        </w:rPr>
        <w:fldChar w:fldCharType="begin"/>
      </w:r>
      <w:r w:rsidRPr="005A0661">
        <w:rPr>
          <w:rFonts w:ascii="Book Antiqua" w:hAnsi="Book Antiqua"/>
          <w:bCs/>
          <w:color w:val="000000"/>
          <w:sz w:val="24"/>
          <w:szCs w:val="24"/>
          <w:vertAlign w:val="superscript"/>
        </w:rPr>
        <w:instrText xml:space="preserve"> ADDIN EN.CITE &lt;EndNote&gt;&lt;Cite&gt;&lt;Author&gt;Kamangar&lt;/Author&gt;&lt;Year&gt;2006&lt;/Year&gt;&lt;RecNum&gt;73&lt;/RecNum&gt;&lt;DisplayText&gt;[1]&lt;/DisplayText&gt;&lt;record&gt;&lt;rec-number&gt;73&lt;/rec-number&gt;&lt;foreign-keys&gt;&lt;key app="EN" db-id="ep2wp9ddcafpazefx0k5ver85spx0vrda5rv"&gt;73&lt;/key&gt;&lt;/foreign-keys&gt;&lt;ref-type name="Journal Article"&gt;17&lt;/ref-type&gt;&lt;contributors&gt;&lt;authors&gt;&lt;author&gt;Kamangar, F.&lt;/author&gt;&lt;author&gt;Dores, G. M.&lt;/author&gt;&lt;author&gt;Anderson, W. F.&lt;/author&gt;&lt;/authors&gt;&lt;/contributors&gt;&lt;auth-address&gt;Nutritional Epidemiology and Biostatistics Branches, Division of Cancer Epidemiology and Genetics, National Institutes of Health, Department of Health and Human Services, Rockville, MD 20852-7244, USA.&lt;/auth-address&gt;&lt;titles&gt;&lt;title&gt;Patterns of cancer incidence, mortality, and prevalence across five continents: defining priorities to reduce cancer disparities in different geographic regions of the world&lt;/title&gt;&lt;secondary-title&gt;J Clin Oncol&lt;/secondary-title&gt;&lt;/titles&gt;&lt;periodical&gt;&lt;full-title&gt;J Clin Oncol&lt;/full-title&gt;&lt;/periodical&gt;&lt;pages&gt;2137-50&lt;/pages&gt;&lt;volume&gt;24&lt;/volume&gt;&lt;number&gt;14&lt;/number&gt;&lt;edition&gt;2006/05/10&lt;/edition&gt;&lt;keywords&gt;&lt;keyword&gt;Cost of Illness&lt;/keyword&gt;&lt;keyword&gt;Health Services Accessibility&lt;/keyword&gt;&lt;keyword&gt;Humans&lt;/keyword&gt;&lt;keyword&gt;Incidence&lt;/keyword&gt;&lt;keyword&gt;Neoplasms/*epidemiology/mortality/prevention &amp;amp; control&lt;/keyword&gt;&lt;keyword&gt;Prevalence&lt;/keyword&gt;&lt;keyword&gt;Risk Factors&lt;/keyword&gt;&lt;keyword&gt;*World Health&lt;/keyword&gt;&lt;/keywords&gt;&lt;dates&gt;&lt;year&gt;2006&lt;/year&gt;&lt;pub-dates&gt;&lt;date&gt;May 10&lt;/date&gt;&lt;/pub-dates&gt;&lt;/dates&gt;&lt;isbn&gt;1527-7755 (Electronic)&amp;#xD;0732-183X (Linking)&lt;/isbn&gt;&lt;accession-num&gt;16682732&lt;/accession-num&gt;&lt;urls&gt;&lt;related-urls&gt;&lt;url&gt;http://www.ncbi.nlm.nih.gov/pubmed/16682732&lt;/url&gt;&lt;/related-urls&gt;&lt;/urls&gt;&lt;electronic-resource-num&gt;24/14/2137 [pii]&amp;#xD;10.1200/JCO.2005.05.2308&lt;/electronic-resource-num&gt;&lt;language&gt;eng&lt;/language&gt;&lt;/record&gt;&lt;/Cite&gt;&lt;/EndNote&gt;</w:instrText>
      </w:r>
      <w:r w:rsidRPr="005A0661">
        <w:rPr>
          <w:rFonts w:ascii="Book Antiqua" w:hAnsi="Book Antiqua"/>
          <w:bCs/>
          <w:color w:val="000000"/>
          <w:sz w:val="24"/>
          <w:szCs w:val="24"/>
          <w:vertAlign w:val="superscript"/>
        </w:rPr>
        <w:fldChar w:fldCharType="separate"/>
      </w:r>
      <w:r w:rsidRPr="005A0661">
        <w:rPr>
          <w:rFonts w:ascii="Book Antiqua" w:hAnsi="Book Antiqua"/>
          <w:bCs/>
          <w:noProof/>
          <w:color w:val="000000"/>
          <w:sz w:val="24"/>
          <w:szCs w:val="24"/>
          <w:vertAlign w:val="superscript"/>
        </w:rPr>
        <w:t>[</w:t>
      </w:r>
      <w:hyperlink w:anchor="_ENREF_1" w:tooltip="Kamangar, 2006 #73" w:history="1">
        <w:r w:rsidRPr="005A0661">
          <w:rPr>
            <w:rFonts w:ascii="Book Antiqua" w:hAnsi="Book Antiqua"/>
            <w:bCs/>
            <w:noProof/>
            <w:color w:val="000000"/>
            <w:sz w:val="24"/>
            <w:szCs w:val="24"/>
            <w:vertAlign w:val="superscript"/>
          </w:rPr>
          <w:t>1</w:t>
        </w:r>
      </w:hyperlink>
      <w:r w:rsidRPr="005A0661">
        <w:rPr>
          <w:rFonts w:ascii="Book Antiqua" w:hAnsi="Book Antiqua"/>
          <w:bCs/>
          <w:noProof/>
          <w:color w:val="000000"/>
          <w:sz w:val="24"/>
          <w:szCs w:val="24"/>
          <w:vertAlign w:val="superscript"/>
        </w:rPr>
        <w:t>]</w:t>
      </w:r>
      <w:r w:rsidRPr="005A0661">
        <w:rPr>
          <w:rFonts w:ascii="Book Antiqua" w:hAnsi="Book Antiqua"/>
          <w:bCs/>
          <w:color w:val="000000"/>
          <w:sz w:val="24"/>
          <w:szCs w:val="24"/>
          <w:vertAlign w:val="superscript"/>
        </w:rPr>
        <w:fldChar w:fldCharType="end"/>
      </w:r>
      <w:r w:rsidRPr="005A0661">
        <w:rPr>
          <w:rFonts w:ascii="Book Antiqua" w:hAnsi="Book Antiqua"/>
          <w:bCs/>
          <w:color w:val="000000"/>
          <w:sz w:val="24"/>
          <w:szCs w:val="24"/>
        </w:rPr>
        <w:t>.</w:t>
      </w:r>
      <w:r w:rsidRPr="005A0661">
        <w:rPr>
          <w:rFonts w:ascii="Book Antiqua" w:hAnsi="Book Antiqua"/>
          <w:color w:val="000000"/>
          <w:sz w:val="24"/>
          <w:szCs w:val="24"/>
        </w:rPr>
        <w:t xml:space="preserve"> In order to improve the treatment outcomes of operable gastric cancers in later stages, perioperative chemotherapies </w:t>
      </w:r>
      <w:r w:rsidRPr="005A0661">
        <w:rPr>
          <w:rFonts w:ascii="Book Antiqua" w:hAnsi="Book Antiqua"/>
          <w:bCs/>
          <w:color w:val="000000"/>
          <w:sz w:val="24"/>
          <w:szCs w:val="24"/>
        </w:rPr>
        <w:t>have been</w:t>
      </w:r>
      <w:r w:rsidRPr="005A0661">
        <w:rPr>
          <w:rFonts w:ascii="Book Antiqua" w:hAnsi="Book Antiqua"/>
          <w:color w:val="000000"/>
          <w:sz w:val="24"/>
          <w:szCs w:val="24"/>
        </w:rPr>
        <w:t xml:space="preserve"> combined with surgery, leading to</w:t>
      </w:r>
      <w:r w:rsidRPr="005A0661">
        <w:rPr>
          <w:rFonts w:ascii="Book Antiqua" w:hAnsi="Book Antiqua"/>
          <w:color w:val="000000"/>
          <w:sz w:val="24"/>
          <w:szCs w:val="24"/>
          <w:shd w:val="clear" w:color="auto" w:fill="FFFFFF"/>
        </w:rPr>
        <w:t xml:space="preserve"> significantly improved progression-free and overall survival rates</w:t>
      </w:r>
      <w:r w:rsidRPr="005A0661">
        <w:rPr>
          <w:rFonts w:ascii="Book Antiqua" w:hAnsi="Book Antiqua"/>
          <w:color w:val="000000"/>
          <w:sz w:val="24"/>
          <w:szCs w:val="24"/>
          <w:shd w:val="clear" w:color="auto" w:fill="FFFFFF"/>
          <w:vertAlign w:val="superscript"/>
        </w:rPr>
        <w:fldChar w:fldCharType="begin">
          <w:fldData xml:space="preserve">PEVuZE5vdGU+PENpdGU+PEF1dGhvcj5DdW5uaW5naGFtPC9BdXRob3I+PFllYXI+MjAwNjwvWWVh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</w:fldData>
        </w:fldChar>
      </w:r>
      <w:r w:rsidRPr="005A0661">
        <w:rPr>
          <w:rFonts w:ascii="Book Antiqua" w:hAnsi="Book Antiqua"/>
          <w:color w:val="000000"/>
          <w:sz w:val="24"/>
          <w:szCs w:val="24"/>
          <w:shd w:val="clear" w:color="auto" w:fill="FFFFFF"/>
          <w:vertAlign w:val="superscript"/>
        </w:rPr>
        <w:instrText xml:space="preserve"> ADDIN EN.CITE </w:instrText>
      </w:r>
      <w:r w:rsidRPr="005A0661">
        <w:rPr>
          <w:rFonts w:ascii="Book Antiqua" w:hAnsi="Book Antiqua"/>
          <w:color w:val="000000"/>
          <w:sz w:val="24"/>
          <w:szCs w:val="24"/>
          <w:shd w:val="clear" w:color="auto" w:fill="FFFFFF"/>
          <w:vertAlign w:val="superscript"/>
        </w:rPr>
        <w:fldChar w:fldCharType="begin">
          <w:fldData xml:space="preserve">PEVuZE5vdGU+PENpdGU+PEF1dGhvcj5DdW5uaW5naGFtPC9BdXRob3I+PFllYXI+MjAwNjwvWWVh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</w:fldData>
        </w:fldChar>
      </w:r>
      <w:r w:rsidRPr="005A0661">
        <w:rPr>
          <w:rFonts w:ascii="Book Antiqua" w:hAnsi="Book Antiqua"/>
          <w:color w:val="000000"/>
          <w:sz w:val="24"/>
          <w:szCs w:val="24"/>
          <w:shd w:val="clear" w:color="auto" w:fill="FFFFFF"/>
          <w:vertAlign w:val="superscript"/>
        </w:rPr>
        <w:instrText xml:space="preserve"> ADDIN EN.CITE.DATA </w:instrText>
      </w:r>
      <w:r w:rsidRPr="005A0661">
        <w:rPr>
          <w:rFonts w:ascii="Book Antiqua" w:hAnsi="Book Antiqua"/>
          <w:color w:val="000000"/>
          <w:sz w:val="24"/>
          <w:szCs w:val="24"/>
          <w:shd w:val="clear" w:color="auto" w:fill="FFFFFF"/>
          <w:vertAlign w:val="superscript"/>
        </w:rPr>
      </w:r>
      <w:r w:rsidRPr="005A0661">
        <w:rPr>
          <w:rFonts w:ascii="Book Antiqua" w:hAnsi="Book Antiqua"/>
          <w:color w:val="000000"/>
          <w:sz w:val="24"/>
          <w:szCs w:val="24"/>
          <w:shd w:val="clear" w:color="auto" w:fill="FFFFFF"/>
          <w:vertAlign w:val="superscript"/>
        </w:rPr>
        <w:fldChar w:fldCharType="end"/>
      </w:r>
      <w:r w:rsidRPr="005A0661">
        <w:rPr>
          <w:rFonts w:ascii="Book Antiqua" w:hAnsi="Book Antiqua"/>
          <w:color w:val="000000"/>
          <w:sz w:val="24"/>
          <w:szCs w:val="24"/>
          <w:shd w:val="clear" w:color="auto" w:fill="FFFFFF"/>
          <w:vertAlign w:val="superscript"/>
        </w:rPr>
      </w:r>
      <w:r w:rsidRPr="005A0661">
        <w:rPr>
          <w:rFonts w:ascii="Book Antiqua" w:hAnsi="Book Antiqua"/>
          <w:color w:val="000000"/>
          <w:sz w:val="24"/>
          <w:szCs w:val="24"/>
          <w:shd w:val="clear" w:color="auto" w:fill="FFFFFF"/>
          <w:vertAlign w:val="superscript"/>
        </w:rPr>
        <w:fldChar w:fldCharType="separate"/>
      </w:r>
      <w:r w:rsidRPr="005A0661">
        <w:rPr>
          <w:rFonts w:ascii="Book Antiqua" w:hAnsi="Book Antiqua"/>
          <w:noProof/>
          <w:color w:val="000000"/>
          <w:sz w:val="24"/>
          <w:szCs w:val="24"/>
          <w:shd w:val="clear" w:color="auto" w:fill="FFFFFF"/>
          <w:vertAlign w:val="superscript"/>
        </w:rPr>
        <w:t>[</w:t>
      </w:r>
      <w:hyperlink w:anchor="_ENREF_2" w:tooltip="Cunningham, 2006 #74" w:history="1">
        <w:r w:rsidRPr="005A0661">
          <w:rPr>
            <w:rFonts w:ascii="Book Antiqua" w:hAnsi="Book Antiqua"/>
            <w:noProof/>
            <w:color w:val="000000"/>
            <w:sz w:val="24"/>
            <w:szCs w:val="24"/>
            <w:shd w:val="clear" w:color="auto" w:fill="FFFFFF"/>
            <w:vertAlign w:val="superscript"/>
          </w:rPr>
          <w:t>2</w:t>
        </w:r>
      </w:hyperlink>
      <w:r w:rsidRPr="005A0661">
        <w:rPr>
          <w:rFonts w:ascii="Book Antiqua" w:hAnsi="Book Antiqua"/>
          <w:noProof/>
          <w:color w:val="000000"/>
          <w:sz w:val="24"/>
          <w:szCs w:val="24"/>
          <w:shd w:val="clear" w:color="auto" w:fill="FFFFFF"/>
          <w:vertAlign w:val="superscript"/>
        </w:rPr>
        <w:t>]</w:t>
      </w:r>
      <w:r w:rsidRPr="005A0661">
        <w:rPr>
          <w:rFonts w:ascii="Book Antiqua" w:hAnsi="Book Antiqua"/>
          <w:color w:val="000000"/>
          <w:sz w:val="24"/>
          <w:szCs w:val="24"/>
          <w:shd w:val="clear" w:color="auto" w:fill="FFFFFF"/>
          <w:vertAlign w:val="superscript"/>
        </w:rPr>
        <w:fldChar w:fldCharType="end"/>
      </w:r>
      <w:r w:rsidRPr="005A0661">
        <w:rPr>
          <w:rFonts w:ascii="Book Antiqua" w:hAnsi="Book Antiqua"/>
          <w:color w:val="000000"/>
          <w:sz w:val="24"/>
          <w:szCs w:val="24"/>
          <w:shd w:val="clear" w:color="auto" w:fill="FFFFFF"/>
        </w:rPr>
        <w:t>.</w:t>
      </w:r>
      <w:r w:rsidRPr="005A0661">
        <w:rPr>
          <w:rFonts w:ascii="Book Antiqua" w:hAnsi="Book Antiqua"/>
          <w:bCs/>
          <w:color w:val="000000"/>
          <w:sz w:val="24"/>
          <w:szCs w:val="24"/>
        </w:rPr>
        <w:t xml:space="preserve"> Although</w:t>
      </w:r>
      <w:r w:rsidRPr="005A0661">
        <w:rPr>
          <w:rFonts w:ascii="Book Antiqua" w:hAnsi="Book Antiqua"/>
          <w:color w:val="000000"/>
          <w:sz w:val="24"/>
          <w:szCs w:val="24"/>
        </w:rPr>
        <w:t xml:space="preserve"> perioperative chemotherapies are widely accepted as beneficial </w:t>
      </w:r>
      <w:r w:rsidRPr="005A0661">
        <w:rPr>
          <w:rFonts w:ascii="Book Antiqua" w:hAnsi="Book Antiqua"/>
          <w:bCs/>
          <w:color w:val="000000"/>
          <w:sz w:val="24"/>
          <w:szCs w:val="24"/>
        </w:rPr>
        <w:t xml:space="preserve">adjuncts to </w:t>
      </w:r>
      <w:r w:rsidRPr="005A0661">
        <w:rPr>
          <w:rFonts w:ascii="Book Antiqua" w:hAnsi="Book Antiqua"/>
          <w:color w:val="000000"/>
          <w:sz w:val="24"/>
          <w:szCs w:val="24"/>
        </w:rPr>
        <w:t xml:space="preserve">surgery </w:t>
      </w:r>
      <w:r w:rsidRPr="005A0661">
        <w:rPr>
          <w:rFonts w:ascii="Book Antiqua" w:hAnsi="Book Antiqua"/>
          <w:bCs/>
          <w:color w:val="000000"/>
          <w:sz w:val="24"/>
          <w:szCs w:val="24"/>
        </w:rPr>
        <w:t xml:space="preserve">when </w:t>
      </w:r>
      <w:r w:rsidRPr="005A0661">
        <w:rPr>
          <w:rFonts w:ascii="Book Antiqua" w:hAnsi="Book Antiqua"/>
          <w:color w:val="000000"/>
          <w:sz w:val="24"/>
          <w:szCs w:val="24"/>
        </w:rPr>
        <w:t xml:space="preserve">combined </w:t>
      </w:r>
      <w:r w:rsidRPr="005A0661">
        <w:rPr>
          <w:rFonts w:ascii="Book Antiqua" w:hAnsi="Book Antiqua"/>
          <w:bCs/>
          <w:color w:val="000000"/>
          <w:sz w:val="24"/>
          <w:szCs w:val="24"/>
        </w:rPr>
        <w:t>with other</w:t>
      </w:r>
      <w:r w:rsidRPr="005A0661">
        <w:rPr>
          <w:rFonts w:ascii="Book Antiqua" w:hAnsi="Book Antiqua"/>
          <w:color w:val="000000"/>
          <w:sz w:val="24"/>
          <w:szCs w:val="24"/>
        </w:rPr>
        <w:t xml:space="preserve"> gastric cancer treatments, currently there is no common </w:t>
      </w:r>
      <w:r w:rsidRPr="005A0661">
        <w:rPr>
          <w:rFonts w:ascii="Book Antiqua" w:hAnsi="Book Antiqua"/>
          <w:bCs/>
          <w:color w:val="000000"/>
          <w:sz w:val="24"/>
          <w:szCs w:val="24"/>
        </w:rPr>
        <w:t>consensus regarding the ideal regimen</w:t>
      </w:r>
      <w:r w:rsidRPr="005A0661">
        <w:rPr>
          <w:rFonts w:ascii="Book Antiqua" w:hAnsi="Book Antiqua"/>
          <w:bCs/>
          <w:color w:val="000000"/>
          <w:sz w:val="24"/>
          <w:szCs w:val="24"/>
          <w:vertAlign w:val="superscript"/>
        </w:rPr>
        <w:fldChar w:fldCharType="begin"/>
      </w:r>
      <w:r w:rsidRPr="005A0661">
        <w:rPr>
          <w:rFonts w:ascii="Book Antiqua" w:hAnsi="Book Antiqua"/>
          <w:bCs/>
          <w:color w:val="000000"/>
          <w:sz w:val="24"/>
          <w:szCs w:val="24"/>
          <w:vertAlign w:val="superscript"/>
        </w:rPr>
        <w:instrText xml:space="preserve"> ADDIN EN.CITE &lt;EndNote&gt;&lt;Cite&gt;&lt;Author&gt;Shah&lt;/Author&gt;&lt;Year&gt;2013&lt;/Year&gt;&lt;RecNum&gt;75&lt;/RecNum&gt;&lt;DisplayText&gt;[3]&lt;/DisplayText&gt;&lt;record&gt;&lt;rec-number&gt;75&lt;/rec-number&gt;&lt;foreign-keys&gt;&lt;key app="EN" db-id="ep2wp9ddcafpazefx0k5ver85spx0vrda5rv"&gt;75&lt;/key&gt;&lt;/foreign-keys&gt;&lt;ref-type name="Journal Article"&gt;17&lt;/ref-type&gt;&lt;contributors&gt;&lt;authors&gt;&lt;author&gt;Shah, M. A.&lt;/author&gt;&lt;/authors&gt;&lt;/contributors&gt;&lt;auth-address&gt;From the Memorial Sloan-Kettering Cancer Center, New York, NY.&lt;/auth-address&gt;&lt;titles&gt;&lt;title&gt;Unanswered questions in the management of gastroesophageal junction adenocarcinoma&lt;/title&gt;&lt;secondary-title&gt;Am Soc Clin Oncol Educ Book&lt;/secondary-title&gt;&lt;/titles&gt;&lt;periodical&gt;&lt;full-title&gt;Am Soc Clin Oncol Educ Book&lt;/full-title&gt;&lt;/periodical&gt;&lt;pages&gt;155-9&lt;/pages&gt;&lt;edition&gt;2013/05/30&lt;/edition&gt;&lt;dates&gt;&lt;year&gt;2013&lt;/year&gt;&lt;/dates&gt;&lt;isbn&gt;1548-8756 (Electronic)&amp;#xD;1548-8748 (Linking)&lt;/isbn&gt;&lt;accession-num&gt;23714486&lt;/accession-num&gt;&lt;urls&gt;&lt;related-urls&gt;&lt;url&gt;http://www.ncbi.nlm.nih.gov/pubmed/23714486&lt;/url&gt;&lt;/related-urls&gt;&lt;/urls&gt;&lt;electronic-resource-num&gt;E10.1200/EdBook_AM.2013.33.e155&amp;#xD;0011300155 [pii]&amp;#xD;10.1200/EdBook_AM.2013.33.e155&lt;/electronic-resource-num&gt;&lt;language&gt;eng&lt;/language&gt;&lt;/record&gt;&lt;/Cite&gt;&lt;/EndNote&gt;</w:instrText>
      </w:r>
      <w:r w:rsidRPr="005A0661">
        <w:rPr>
          <w:rFonts w:ascii="Book Antiqua" w:hAnsi="Book Antiqua"/>
          <w:bCs/>
          <w:color w:val="000000"/>
          <w:sz w:val="24"/>
          <w:szCs w:val="24"/>
          <w:vertAlign w:val="superscript"/>
        </w:rPr>
        <w:fldChar w:fldCharType="separate"/>
      </w:r>
      <w:r w:rsidRPr="005A0661">
        <w:rPr>
          <w:rFonts w:ascii="Book Antiqua" w:hAnsi="Book Antiqua"/>
          <w:bCs/>
          <w:noProof/>
          <w:color w:val="000000"/>
          <w:sz w:val="24"/>
          <w:szCs w:val="24"/>
          <w:vertAlign w:val="superscript"/>
        </w:rPr>
        <w:t>[</w:t>
      </w:r>
      <w:hyperlink w:anchor="_ENREF_3" w:tooltip="Shah, 2013 #75" w:history="1">
        <w:r w:rsidRPr="005A0661">
          <w:rPr>
            <w:rFonts w:ascii="Book Antiqua" w:hAnsi="Book Antiqua"/>
            <w:bCs/>
            <w:noProof/>
            <w:color w:val="000000"/>
            <w:sz w:val="24"/>
            <w:szCs w:val="24"/>
            <w:vertAlign w:val="superscript"/>
          </w:rPr>
          <w:t>3</w:t>
        </w:r>
      </w:hyperlink>
      <w:r w:rsidRPr="005A0661">
        <w:rPr>
          <w:rFonts w:ascii="Book Antiqua" w:hAnsi="Book Antiqua"/>
          <w:bCs/>
          <w:noProof/>
          <w:color w:val="000000"/>
          <w:sz w:val="24"/>
          <w:szCs w:val="24"/>
          <w:vertAlign w:val="superscript"/>
        </w:rPr>
        <w:t>]</w:t>
      </w:r>
      <w:r w:rsidRPr="005A0661">
        <w:rPr>
          <w:rFonts w:ascii="Book Antiqua" w:hAnsi="Book Antiqua"/>
          <w:bCs/>
          <w:color w:val="000000"/>
          <w:sz w:val="24"/>
          <w:szCs w:val="24"/>
          <w:vertAlign w:val="superscript"/>
        </w:rPr>
        <w:fldChar w:fldCharType="end"/>
      </w:r>
      <w:r w:rsidRPr="005A0661">
        <w:rPr>
          <w:rFonts w:ascii="Book Antiqua" w:hAnsi="Book Antiqua"/>
          <w:bCs/>
          <w:color w:val="000000"/>
          <w:sz w:val="24"/>
          <w:szCs w:val="24"/>
        </w:rPr>
        <w:t>.</w:t>
      </w:r>
      <w:r w:rsidRPr="005A0661">
        <w:rPr>
          <w:rFonts w:ascii="Book Antiqua" w:hAnsi="Book Antiqua"/>
          <w:color w:val="000000"/>
          <w:sz w:val="24"/>
          <w:szCs w:val="24"/>
        </w:rPr>
        <w:t xml:space="preserve"> In addition, since human epidermal growth factor receptor 2 (HER2)   </w:t>
      </w:r>
      <w:r w:rsidRPr="005A0661">
        <w:rPr>
          <w:rFonts w:ascii="Book Antiqua" w:hAnsi="Book Antiqua"/>
          <w:bCs/>
          <w:color w:val="000000"/>
          <w:sz w:val="24"/>
          <w:szCs w:val="24"/>
        </w:rPr>
        <w:t>overexpression had been</w:t>
      </w:r>
      <w:r w:rsidRPr="005A0661">
        <w:rPr>
          <w:rFonts w:ascii="Book Antiqua" w:hAnsi="Book Antiqua"/>
          <w:color w:val="000000"/>
          <w:sz w:val="24"/>
          <w:szCs w:val="24"/>
        </w:rPr>
        <w:t xml:space="preserve"> reported in gastric cancers, trastuzumab </w:t>
      </w:r>
      <w:r w:rsidRPr="005A0661">
        <w:rPr>
          <w:rFonts w:ascii="Book Antiqua" w:hAnsi="Book Antiqua"/>
          <w:bCs/>
          <w:color w:val="000000"/>
          <w:sz w:val="24"/>
          <w:szCs w:val="24"/>
        </w:rPr>
        <w:t xml:space="preserve">has been </w:t>
      </w:r>
      <w:r w:rsidRPr="005A0661">
        <w:rPr>
          <w:rFonts w:ascii="Book Antiqua" w:hAnsi="Book Antiqua"/>
          <w:color w:val="000000"/>
          <w:sz w:val="24"/>
          <w:szCs w:val="24"/>
        </w:rPr>
        <w:t xml:space="preserve">introduced into chemotherapies, but </w:t>
      </w:r>
      <w:r w:rsidRPr="005A0661">
        <w:rPr>
          <w:rFonts w:ascii="Book Antiqua" w:hAnsi="Book Antiqua"/>
          <w:bCs/>
          <w:color w:val="000000"/>
          <w:sz w:val="24"/>
          <w:szCs w:val="24"/>
        </w:rPr>
        <w:t>its efficacy</w:t>
      </w:r>
      <w:r w:rsidRPr="005A0661">
        <w:rPr>
          <w:rFonts w:ascii="Book Antiqua" w:hAnsi="Book Antiqua"/>
          <w:color w:val="000000"/>
          <w:sz w:val="24"/>
          <w:szCs w:val="24"/>
        </w:rPr>
        <w:t xml:space="preserve"> is still under evaluation</w:t>
      </w:r>
      <w:r w:rsidRPr="005A0661">
        <w:rPr>
          <w:rFonts w:ascii="Book Antiqua" w:hAnsi="Book Antiqua"/>
          <w:bCs/>
          <w:color w:val="000000"/>
          <w:sz w:val="24"/>
          <w:szCs w:val="24"/>
        </w:rPr>
        <w:t>,</w:t>
      </w:r>
      <w:r w:rsidRPr="005A0661">
        <w:rPr>
          <w:rFonts w:ascii="Book Antiqua" w:hAnsi="Book Antiqua"/>
          <w:bCs/>
          <w:color w:val="000000"/>
          <w:sz w:val="24"/>
          <w:szCs w:val="24"/>
          <w:vertAlign w:val="superscript"/>
        </w:rPr>
        <w:fldChar w:fldCharType="begin">
          <w:fldData xml:space="preserve">PEVuZE5vdGU+PENpdGU+PEF1dGhvcj5HdW50dXJ1PC9BdXRob3I+PFllYXI+MjAxMzwvWWVhcj48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==
</w:fldData>
        </w:fldChar>
      </w:r>
      <w:r w:rsidRPr="005A0661">
        <w:rPr>
          <w:rFonts w:ascii="Book Antiqua" w:hAnsi="Book Antiqua"/>
          <w:bCs/>
          <w:color w:val="000000"/>
          <w:sz w:val="24"/>
          <w:szCs w:val="24"/>
          <w:vertAlign w:val="superscript"/>
        </w:rPr>
        <w:instrText xml:space="preserve"> ADDIN EN.CITE </w:instrText>
      </w:r>
      <w:r w:rsidRPr="005A0661">
        <w:rPr>
          <w:rFonts w:ascii="Book Antiqua" w:hAnsi="Book Antiqua"/>
          <w:bCs/>
          <w:color w:val="000000"/>
          <w:sz w:val="24"/>
          <w:szCs w:val="24"/>
          <w:vertAlign w:val="superscript"/>
        </w:rPr>
        <w:fldChar w:fldCharType="begin">
          <w:fldData xml:space="preserve">PEVuZE5vdGU+PENpdGU+PEF1dGhvcj5HdW50dXJ1PC9BdXRob3I+PFllYXI+MjAxMzwvWWVhcj48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==
</w:fldData>
        </w:fldChar>
      </w:r>
      <w:r w:rsidRPr="005A0661">
        <w:rPr>
          <w:rFonts w:ascii="Book Antiqua" w:hAnsi="Book Antiqua"/>
          <w:bCs/>
          <w:color w:val="000000"/>
          <w:sz w:val="24"/>
          <w:szCs w:val="24"/>
          <w:vertAlign w:val="superscript"/>
        </w:rPr>
        <w:instrText xml:space="preserve"> ADDIN EN.CITE.DATA </w:instrText>
      </w:r>
      <w:r w:rsidRPr="005A0661">
        <w:rPr>
          <w:rFonts w:ascii="Book Antiqua" w:hAnsi="Book Antiqua"/>
          <w:bCs/>
          <w:color w:val="000000"/>
          <w:sz w:val="24"/>
          <w:szCs w:val="24"/>
          <w:vertAlign w:val="superscript"/>
        </w:rPr>
      </w:r>
      <w:r w:rsidRPr="005A0661">
        <w:rPr>
          <w:rFonts w:ascii="Book Antiqua" w:hAnsi="Book Antiqua"/>
          <w:bCs/>
          <w:color w:val="000000"/>
          <w:sz w:val="24"/>
          <w:szCs w:val="24"/>
          <w:vertAlign w:val="superscript"/>
        </w:rPr>
        <w:fldChar w:fldCharType="end"/>
      </w:r>
      <w:r w:rsidRPr="005A0661">
        <w:rPr>
          <w:rFonts w:ascii="Book Antiqua" w:hAnsi="Book Antiqua"/>
          <w:bCs/>
          <w:color w:val="000000"/>
          <w:sz w:val="24"/>
          <w:szCs w:val="24"/>
          <w:vertAlign w:val="superscript"/>
        </w:rPr>
      </w:r>
      <w:r w:rsidRPr="005A0661">
        <w:rPr>
          <w:rFonts w:ascii="Book Antiqua" w:hAnsi="Book Antiqua"/>
          <w:bCs/>
          <w:color w:val="000000"/>
          <w:sz w:val="24"/>
          <w:szCs w:val="24"/>
          <w:vertAlign w:val="superscript"/>
        </w:rPr>
        <w:fldChar w:fldCharType="separate"/>
      </w:r>
      <w:r w:rsidRPr="005A0661">
        <w:rPr>
          <w:rFonts w:ascii="Book Antiqua" w:hAnsi="Book Antiqua"/>
          <w:bCs/>
          <w:noProof/>
          <w:color w:val="000000"/>
          <w:sz w:val="24"/>
          <w:szCs w:val="24"/>
          <w:vertAlign w:val="superscript"/>
        </w:rPr>
        <w:t>[</w:t>
      </w:r>
      <w:hyperlink w:anchor="_ENREF_4" w:tooltip="Gunturu, 2013 #76" w:history="1">
        <w:r w:rsidRPr="005A0661">
          <w:rPr>
            <w:rFonts w:ascii="Book Antiqua" w:hAnsi="Book Antiqua"/>
            <w:bCs/>
            <w:noProof/>
            <w:color w:val="000000"/>
            <w:sz w:val="24"/>
            <w:szCs w:val="24"/>
            <w:vertAlign w:val="superscript"/>
          </w:rPr>
          <w:t>4</w:t>
        </w:r>
      </w:hyperlink>
      <w:r w:rsidRPr="005A0661">
        <w:rPr>
          <w:rFonts w:ascii="Book Antiqua" w:hAnsi="Book Antiqua"/>
          <w:bCs/>
          <w:noProof/>
          <w:color w:val="000000"/>
          <w:sz w:val="24"/>
          <w:szCs w:val="24"/>
          <w:vertAlign w:val="superscript"/>
        </w:rPr>
        <w:t xml:space="preserve">, </w:t>
      </w:r>
      <w:hyperlink w:anchor="_ENREF_5" w:tooltip="Werner, 2012 #78" w:history="1">
        <w:r w:rsidRPr="005A0661">
          <w:rPr>
            <w:rFonts w:ascii="Book Antiqua" w:hAnsi="Book Antiqua"/>
            <w:bCs/>
            <w:noProof/>
            <w:color w:val="000000"/>
            <w:sz w:val="24"/>
            <w:szCs w:val="24"/>
            <w:vertAlign w:val="superscript"/>
          </w:rPr>
          <w:t>5</w:t>
        </w:r>
      </w:hyperlink>
      <w:r w:rsidRPr="005A0661">
        <w:rPr>
          <w:rFonts w:ascii="Book Antiqua" w:hAnsi="Book Antiqua"/>
          <w:bCs/>
          <w:noProof/>
          <w:color w:val="000000"/>
          <w:sz w:val="24"/>
          <w:szCs w:val="24"/>
          <w:vertAlign w:val="superscript"/>
        </w:rPr>
        <w:t>]</w:t>
      </w:r>
      <w:r w:rsidRPr="005A0661">
        <w:rPr>
          <w:rFonts w:ascii="Book Antiqua" w:hAnsi="Book Antiqua"/>
          <w:bCs/>
          <w:color w:val="000000"/>
          <w:sz w:val="24"/>
          <w:szCs w:val="24"/>
          <w:vertAlign w:val="superscript"/>
        </w:rPr>
        <w:fldChar w:fldCharType="end"/>
      </w:r>
      <w:r w:rsidRPr="005A0661">
        <w:rPr>
          <w:rFonts w:ascii="Book Antiqua" w:hAnsi="Book Antiqua"/>
          <w:color w:val="000000"/>
          <w:sz w:val="24"/>
          <w:szCs w:val="24"/>
        </w:rPr>
        <w:t xml:space="preserve"> </w:t>
      </w:r>
      <w:r w:rsidRPr="005A0661">
        <w:rPr>
          <w:rFonts w:ascii="Book Antiqua" w:hAnsi="Book Antiqua"/>
          <w:bCs/>
          <w:color w:val="000000"/>
          <w:sz w:val="24"/>
          <w:szCs w:val="24"/>
        </w:rPr>
        <w:t>and published data</w:t>
      </w:r>
      <w:r w:rsidRPr="005A0661">
        <w:rPr>
          <w:rFonts w:ascii="Book Antiqua" w:hAnsi="Book Antiqua"/>
          <w:color w:val="000000"/>
          <w:sz w:val="24"/>
          <w:szCs w:val="24"/>
        </w:rPr>
        <w:t xml:space="preserve"> about targeting HER2 in perioperative regimens are </w:t>
      </w:r>
      <w:r w:rsidRPr="005A0661">
        <w:rPr>
          <w:rFonts w:ascii="Book Antiqua" w:hAnsi="Book Antiqua"/>
          <w:bCs/>
          <w:color w:val="000000"/>
          <w:sz w:val="24"/>
          <w:szCs w:val="24"/>
        </w:rPr>
        <w:t>scarce</w:t>
      </w:r>
      <w:r w:rsidRPr="005A0661">
        <w:rPr>
          <w:rFonts w:ascii="Book Antiqua" w:hAnsi="Book Antiqua"/>
          <w:color w:val="000000"/>
          <w:sz w:val="24"/>
          <w:szCs w:val="24"/>
        </w:rPr>
        <w:t>.</w:t>
      </w:r>
    </w:p>
    <w:p w:rsidR="0001334D" w:rsidRPr="005A0661" w:rsidRDefault="0001334D" w:rsidP="009973EA">
      <w:pPr>
        <w:autoSpaceDE w:val="0"/>
        <w:autoSpaceDN w:val="0"/>
        <w:adjustRightInd w:val="0"/>
        <w:snapToGrid w:val="0"/>
        <w:spacing w:line="360" w:lineRule="auto"/>
        <w:rPr>
          <w:rFonts w:ascii="Book Antiqua" w:hAnsi="Book Antiqua"/>
          <w:color w:val="000000"/>
          <w:sz w:val="24"/>
          <w:szCs w:val="24"/>
        </w:rPr>
      </w:pPr>
    </w:p>
    <w:p w:rsidR="0001334D" w:rsidRPr="005A0661" w:rsidRDefault="0001334D" w:rsidP="009973EA">
      <w:pPr>
        <w:snapToGrid w:val="0"/>
        <w:spacing w:line="360" w:lineRule="auto"/>
        <w:rPr>
          <w:rFonts w:ascii="Book Antiqua" w:hAnsi="Book Antiqua"/>
          <w:b/>
          <w:bCs/>
          <w:color w:val="000000"/>
          <w:sz w:val="24"/>
          <w:szCs w:val="24"/>
        </w:rPr>
      </w:pPr>
      <w:r w:rsidRPr="005A0661">
        <w:rPr>
          <w:rFonts w:ascii="Book Antiqua" w:hAnsi="Book Antiqua"/>
          <w:b/>
          <w:bCs/>
          <w:color w:val="000000"/>
          <w:sz w:val="24"/>
          <w:szCs w:val="24"/>
        </w:rPr>
        <w:t>CASE REPORT</w:t>
      </w:r>
    </w:p>
    <w:p w:rsidR="0001334D" w:rsidRPr="005A0661" w:rsidRDefault="0001334D" w:rsidP="009973EA">
      <w:pPr>
        <w:snapToGrid w:val="0"/>
        <w:spacing w:line="360" w:lineRule="auto"/>
        <w:rPr>
          <w:rFonts w:ascii="Book Antiqua" w:hAnsi="Book Antiqua"/>
          <w:color w:val="000000"/>
          <w:sz w:val="24"/>
          <w:szCs w:val="24"/>
        </w:rPr>
      </w:pPr>
      <w:r w:rsidRPr="005A0661">
        <w:rPr>
          <w:rFonts w:ascii="Book Antiqua" w:hAnsi="Book Antiqua"/>
          <w:color w:val="000000"/>
          <w:sz w:val="24"/>
          <w:szCs w:val="24"/>
        </w:rPr>
        <w:t>A 63-year-old male patient with a positive family history of gastric cancer was admitted to the local hospital on July 17</w:t>
      </w:r>
      <w:r w:rsidRPr="005A0661">
        <w:rPr>
          <w:rFonts w:ascii="Book Antiqua" w:hAnsi="Book Antiqua"/>
          <w:color w:val="000000"/>
          <w:sz w:val="24"/>
          <w:szCs w:val="24"/>
          <w:vertAlign w:val="superscript"/>
        </w:rPr>
        <w:t>th</w:t>
      </w:r>
      <w:r w:rsidRPr="005A0661">
        <w:rPr>
          <w:rFonts w:ascii="Book Antiqua" w:hAnsi="Book Antiqua"/>
          <w:color w:val="000000"/>
          <w:sz w:val="24"/>
          <w:szCs w:val="24"/>
        </w:rPr>
        <w:t xml:space="preserve">, 2012, with complaints of acid reflux, anorexia, and upper abdominal fullness for more than 1 year. His mother died of gastric cancer, and his sister and brother were both operated on due to gastric cancer. Gastroscopy images showed antral deformation and massive ulcers covered with white smear. The surrounding mucosa was irregular with rigid texture, while peristalsis disappeared, and lesions involving the distal antrum, pylorus, and gastric angle led to pyloric deformation as well as stenosis. A pathological examination revealed a moderately differentiated adenocarcinoma in the gastric antrum, while HER2 expression was detected, with cluster amplification in a fluorescence </w:t>
      </w:r>
      <w:r w:rsidRPr="005A0661">
        <w:rPr>
          <w:rFonts w:ascii="Book Antiqua" w:hAnsi="Book Antiqua"/>
          <w:i/>
          <w:color w:val="000000"/>
          <w:sz w:val="24"/>
          <w:szCs w:val="24"/>
        </w:rPr>
        <w:t>in situ</w:t>
      </w:r>
      <w:r w:rsidRPr="005A0661">
        <w:rPr>
          <w:rFonts w:ascii="Book Antiqua" w:hAnsi="Book Antiqua"/>
          <w:color w:val="000000"/>
          <w:sz w:val="24"/>
          <w:szCs w:val="24"/>
        </w:rPr>
        <w:t xml:space="preserve"> hybridization assay (Figure 1). Positron emission tomography–computed tomography (CT) and enhanced abdominal CT showed lymph node metastasis along the left gastric and hepatic arteries. There was also a mass detected in the left adrenal area, which </w:t>
      </w:r>
      <w:r w:rsidRPr="005A0661">
        <w:rPr>
          <w:rFonts w:ascii="Book Antiqua" w:hAnsi="Book Antiqua"/>
          <w:color w:val="000000"/>
          <w:sz w:val="24"/>
          <w:szCs w:val="24"/>
        </w:rPr>
        <w:lastRenderedPageBreak/>
        <w:t>was suspected to be comprised of fused lymph nodes. The serum levels of carcino-embryonic antigen (CEA) and alpha-fetoprotein (AFP) were markedly elevated at 137 and 1693 ng/mL, respectively. The initial diagnosis was antral carcinoma with lymph node metastasis in the perigastric and left adrenal areas. The patient received a XELOX (capecitabine plus oxaliplatin) regimen, in combination with Herceptin</w:t>
      </w:r>
      <w:r w:rsidRPr="005A0661">
        <w:rPr>
          <w:rFonts w:ascii="Book Antiqua" w:hAnsi="Book Antiqua"/>
          <w:bCs/>
          <w:color w:val="000000"/>
          <w:sz w:val="24"/>
          <w:szCs w:val="24"/>
        </w:rPr>
        <w:t>,</w:t>
      </w:r>
      <w:r w:rsidRPr="005A0661">
        <w:rPr>
          <w:rFonts w:ascii="Book Antiqua" w:hAnsi="Book Antiqua"/>
          <w:color w:val="000000"/>
          <w:sz w:val="24"/>
          <w:szCs w:val="24"/>
        </w:rPr>
        <w:t xml:space="preserve"> as a neoadjuvant therapy. The XELOX medication was composed of oxaliplatin 130 mg/m</w:t>
      </w:r>
      <w:r w:rsidRPr="005A0661">
        <w:rPr>
          <w:rFonts w:ascii="Book Antiqua" w:hAnsi="Book Antiqua"/>
          <w:color w:val="000000"/>
          <w:sz w:val="24"/>
          <w:szCs w:val="24"/>
          <w:vertAlign w:val="superscript"/>
        </w:rPr>
        <w:t>2</w:t>
      </w:r>
      <w:r w:rsidRPr="005A0661">
        <w:rPr>
          <w:rFonts w:ascii="Book Antiqua" w:hAnsi="Book Antiqua"/>
          <w:color w:val="000000"/>
          <w:sz w:val="24"/>
          <w:szCs w:val="24"/>
        </w:rPr>
        <w:t xml:space="preserve"> on day 1 and Xeloda 1000 mg/m</w:t>
      </w:r>
      <w:r w:rsidRPr="005A0661">
        <w:rPr>
          <w:rFonts w:ascii="Book Antiqua" w:hAnsi="Book Antiqua"/>
          <w:color w:val="000000"/>
          <w:sz w:val="24"/>
          <w:szCs w:val="24"/>
          <w:vertAlign w:val="superscript"/>
        </w:rPr>
        <w:t>2</w:t>
      </w:r>
      <w:r w:rsidRPr="005A0661">
        <w:rPr>
          <w:rFonts w:ascii="Book Antiqua" w:hAnsi="Book Antiqua"/>
          <w:color w:val="000000"/>
          <w:sz w:val="24"/>
          <w:szCs w:val="24"/>
        </w:rPr>
        <w:t xml:space="preserve"> </w:t>
      </w:r>
      <w:r w:rsidRPr="005A0661">
        <w:rPr>
          <w:rFonts w:ascii="Book Antiqua" w:hAnsi="Book Antiqua"/>
          <w:i/>
          <w:color w:val="000000"/>
          <w:sz w:val="24"/>
          <w:szCs w:val="24"/>
        </w:rPr>
        <w:t>po bid</w:t>
      </w:r>
      <w:r w:rsidRPr="005A0661">
        <w:rPr>
          <w:rFonts w:ascii="Book Antiqua" w:hAnsi="Book Antiqua"/>
          <w:color w:val="000000"/>
          <w:sz w:val="24"/>
          <w:szCs w:val="24"/>
        </w:rPr>
        <w:t xml:space="preserve"> on days 1 to 14, repeated every 3 wk. Herceptin was given at a dose of 8 mg/kg for the first week and then 6 mg/kg every 3 wk. Efficacy evaluation by reviewing </w:t>
      </w:r>
      <w:bookmarkStart w:id="205" w:name="OLE_LINK1"/>
      <w:bookmarkStart w:id="206" w:name="OLE_LINK2"/>
      <w:r w:rsidRPr="005A0661">
        <w:rPr>
          <w:rFonts w:ascii="Book Antiqua" w:hAnsi="Book Antiqua"/>
          <w:color w:val="000000"/>
          <w:sz w:val="24"/>
          <w:szCs w:val="24"/>
        </w:rPr>
        <w:t xml:space="preserve">abdominal CTs showed partial response </w:t>
      </w:r>
      <w:bookmarkEnd w:id="205"/>
      <w:bookmarkEnd w:id="206"/>
      <w:r w:rsidRPr="005A0661">
        <w:rPr>
          <w:rFonts w:ascii="Book Antiqua" w:hAnsi="Book Antiqua"/>
          <w:color w:val="000000"/>
          <w:sz w:val="24"/>
          <w:szCs w:val="24"/>
        </w:rPr>
        <w:t>after the patient finished 3 cycles of combination therapy (Figure 2). The serum level of CEA dramatically declined to 24 ng/mL and that of AFP to 21 ng/mL. Subsequently, the patient underwent distal gastrectomy, D2+ lymphadenectomy, left adrenalectomy, cholecystectomy, and Billroth II anastomosis by laparotomy. Intraoperative exploration showed that a 5 cm × 5 cm × 3 cm tumor was located in the antrum, invading the pylorus and duodenal ampulla, with multiple lymphadenectasis along the gastric hepatoduodenal ligament and retroperitoneal area.</w:t>
      </w:r>
      <w:r w:rsidRPr="005A0661">
        <w:rPr>
          <w:rFonts w:ascii="Book Antiqua" w:hAnsi="Book Antiqua"/>
          <w:sz w:val="24"/>
          <w:szCs w:val="24"/>
        </w:rPr>
        <w:t xml:space="preserve"> The mass in the</w:t>
      </w:r>
      <w:r w:rsidRPr="005A0661">
        <w:rPr>
          <w:rFonts w:ascii="Book Antiqua" w:hAnsi="Book Antiqua"/>
          <w:color w:val="000000"/>
          <w:sz w:val="24"/>
          <w:szCs w:val="24"/>
        </w:rPr>
        <w:t xml:space="preserve"> left adrenal area, which was 5 cm × 5 cm × 3 cm in size, was confirmed to be fused enlarged lymph nodes. There were no obvious metastatic nodules found in the liver, peritoneum, and pelvic floor. The pathology diagnosis was poorly to moderately well differentiated ulcerative adenocarcinoma of the gastric antrum. The tumor grew along the lesser curvature with degeneration and infiltration of the superficial muscle layer. Peritumoral fibroplasia and inflammatory cell infiltration were observed, which were consistent with post-chemotherapy changes. In addition, malignant cells were detected in the lesser curvature lymph node (LN) (6/7), pyloric LN (2/3), greater curvature LN (3/4), and posterior pancreas head LN (1/1). </w:t>
      </w:r>
      <w:r w:rsidRPr="005A0661">
        <w:rPr>
          <w:rFonts w:ascii="Book Antiqua" w:hAnsi="Book Antiqua"/>
          <w:sz w:val="24"/>
          <w:szCs w:val="24"/>
        </w:rPr>
        <w:t>Other lymph nodes were negative,</w:t>
      </w:r>
      <w:r w:rsidRPr="005A0661">
        <w:rPr>
          <w:rFonts w:ascii="Book Antiqua" w:hAnsi="Book Antiqua"/>
          <w:color w:val="000000"/>
          <w:sz w:val="24"/>
          <w:szCs w:val="24"/>
        </w:rPr>
        <w:t xml:space="preserve"> and no cancer cells were found in the left adrenal gland. The patient received another 5 cycles of XELOX and Herceptin regimen after recovery from the operation, and Herceptin treatment was continued for 1 year. </w:t>
      </w:r>
      <w:r w:rsidRPr="005A0661">
        <w:rPr>
          <w:rFonts w:ascii="Book Antiqua" w:hAnsi="Book Antiqua"/>
          <w:sz w:val="24"/>
          <w:szCs w:val="24"/>
        </w:rPr>
        <w:t xml:space="preserve">The </w:t>
      </w:r>
      <w:r w:rsidRPr="005A0661">
        <w:rPr>
          <w:rFonts w:ascii="Book Antiqua" w:hAnsi="Book Antiqua"/>
          <w:sz w:val="24"/>
          <w:szCs w:val="24"/>
        </w:rPr>
        <w:lastRenderedPageBreak/>
        <w:t xml:space="preserve">main adverse effects related to chemotherapy were grade 1 or 2 neutropenia and nausea. No obvious cardiac adverse events were detected. </w:t>
      </w:r>
      <w:r w:rsidRPr="005A0661">
        <w:rPr>
          <w:rFonts w:ascii="Book Antiqua" w:hAnsi="Book Antiqua"/>
          <w:color w:val="000000"/>
          <w:sz w:val="24"/>
          <w:szCs w:val="24"/>
        </w:rPr>
        <w:t>The patient refused postoperative radiotherapy but returned for</w:t>
      </w:r>
      <w:r w:rsidRPr="005A0661">
        <w:rPr>
          <w:rFonts w:ascii="Book Antiqua" w:hAnsi="Book Antiqua"/>
          <w:sz w:val="24"/>
          <w:szCs w:val="24"/>
        </w:rPr>
        <w:t xml:space="preserve"> regular follow-ups every 3-6 mo. He has remained recurrence free 18 months after the </w:t>
      </w:r>
      <w:r w:rsidRPr="005A0661">
        <w:rPr>
          <w:rFonts w:ascii="Book Antiqua" w:hAnsi="Book Antiqua"/>
          <w:color w:val="000000"/>
          <w:sz w:val="24"/>
          <w:szCs w:val="24"/>
        </w:rPr>
        <w:t>gastrectomy.</w:t>
      </w:r>
    </w:p>
    <w:p w:rsidR="0001334D" w:rsidRPr="005A0661" w:rsidRDefault="0001334D" w:rsidP="009973EA">
      <w:pPr>
        <w:snapToGrid w:val="0"/>
        <w:spacing w:line="360" w:lineRule="auto"/>
        <w:rPr>
          <w:rFonts w:ascii="Book Antiqua" w:hAnsi="Book Antiqua"/>
          <w:color w:val="000000"/>
          <w:sz w:val="24"/>
          <w:szCs w:val="24"/>
        </w:rPr>
      </w:pPr>
    </w:p>
    <w:p w:rsidR="0001334D" w:rsidRPr="005A0661" w:rsidRDefault="0001334D" w:rsidP="009973EA">
      <w:pPr>
        <w:snapToGrid w:val="0"/>
        <w:spacing w:line="360" w:lineRule="auto"/>
        <w:rPr>
          <w:rFonts w:ascii="Book Antiqua" w:hAnsi="Book Antiqua"/>
          <w:b/>
          <w:bCs/>
          <w:color w:val="000000"/>
          <w:sz w:val="24"/>
          <w:szCs w:val="24"/>
        </w:rPr>
      </w:pPr>
      <w:r w:rsidRPr="005A0661">
        <w:rPr>
          <w:rFonts w:ascii="Book Antiqua" w:hAnsi="Book Antiqua"/>
          <w:b/>
          <w:bCs/>
          <w:color w:val="000000"/>
          <w:sz w:val="24"/>
          <w:szCs w:val="24"/>
        </w:rPr>
        <w:t>DISCUSSION</w:t>
      </w:r>
    </w:p>
    <w:p w:rsidR="0001334D" w:rsidRPr="005A0661" w:rsidRDefault="0001334D" w:rsidP="009973EA">
      <w:pPr>
        <w:snapToGrid w:val="0"/>
        <w:spacing w:line="360" w:lineRule="auto"/>
        <w:rPr>
          <w:rFonts w:ascii="Book Antiqua" w:hAnsi="Book Antiqua"/>
          <w:color w:val="000000"/>
          <w:kern w:val="0"/>
          <w:sz w:val="24"/>
          <w:szCs w:val="24"/>
        </w:rPr>
      </w:pPr>
      <w:r w:rsidRPr="005A0661">
        <w:rPr>
          <w:rFonts w:ascii="Book Antiqua" w:hAnsi="Book Antiqua"/>
          <w:color w:val="000000"/>
          <w:kern w:val="0"/>
          <w:sz w:val="24"/>
          <w:szCs w:val="24"/>
        </w:rPr>
        <w:t xml:space="preserve">Although surgery remains the primary treatment modality for gastric cancer </w:t>
      </w:r>
      <w:r w:rsidRPr="005A0661">
        <w:rPr>
          <w:rFonts w:ascii="Book Antiqua" w:hAnsi="Book Antiqua"/>
          <w:bCs/>
          <w:color w:val="000000"/>
          <w:sz w:val="24"/>
          <w:szCs w:val="24"/>
        </w:rPr>
        <w:t>as part of a</w:t>
      </w:r>
      <w:r w:rsidRPr="005A0661">
        <w:rPr>
          <w:rFonts w:ascii="Book Antiqua" w:hAnsi="Book Antiqua"/>
          <w:color w:val="000000"/>
          <w:sz w:val="24"/>
          <w:szCs w:val="24"/>
        </w:rPr>
        <w:t xml:space="preserve"> comprehensive </w:t>
      </w:r>
      <w:r w:rsidRPr="005A0661">
        <w:rPr>
          <w:rFonts w:ascii="Book Antiqua" w:hAnsi="Book Antiqua"/>
          <w:bCs/>
          <w:color w:val="000000"/>
          <w:sz w:val="24"/>
          <w:szCs w:val="24"/>
        </w:rPr>
        <w:t>treatment regimen</w:t>
      </w:r>
      <w:r w:rsidRPr="005A0661">
        <w:rPr>
          <w:rFonts w:ascii="Book Antiqua" w:hAnsi="Book Antiqua"/>
          <w:color w:val="000000"/>
          <w:kern w:val="0"/>
          <w:sz w:val="24"/>
          <w:szCs w:val="24"/>
        </w:rPr>
        <w:t xml:space="preserve">, the rate of </w:t>
      </w:r>
      <w:r w:rsidRPr="005A0661">
        <w:rPr>
          <w:rFonts w:ascii="Book Antiqua" w:hAnsi="Book Antiqua"/>
          <w:color w:val="000000"/>
          <w:sz w:val="24"/>
          <w:szCs w:val="24"/>
        </w:rPr>
        <w:t xml:space="preserve">local recurrence </w:t>
      </w:r>
      <w:r w:rsidRPr="005A0661">
        <w:rPr>
          <w:rFonts w:ascii="Book Antiqua" w:hAnsi="Book Antiqua"/>
          <w:bCs/>
          <w:color w:val="000000"/>
          <w:sz w:val="24"/>
          <w:szCs w:val="24"/>
        </w:rPr>
        <w:t xml:space="preserve">is up to 50% in </w:t>
      </w:r>
      <w:r w:rsidRPr="005A0661">
        <w:rPr>
          <w:rFonts w:ascii="Book Antiqua" w:hAnsi="Book Antiqua"/>
          <w:color w:val="000000"/>
          <w:sz w:val="24"/>
          <w:szCs w:val="24"/>
        </w:rPr>
        <w:t>advanced gastric cancer</w:t>
      </w:r>
      <w:r w:rsidRPr="005A0661">
        <w:rPr>
          <w:rFonts w:ascii="Book Antiqua" w:hAnsi="Book Antiqua"/>
          <w:bCs/>
          <w:color w:val="000000"/>
          <w:sz w:val="24"/>
          <w:szCs w:val="24"/>
        </w:rPr>
        <w:t>,</w:t>
      </w:r>
      <w:r w:rsidRPr="005A0661">
        <w:rPr>
          <w:rFonts w:ascii="Book Antiqua" w:hAnsi="Book Antiqua"/>
          <w:color w:val="000000"/>
          <w:sz w:val="24"/>
          <w:szCs w:val="24"/>
        </w:rPr>
        <w:t xml:space="preserve"> even after radical resection</w:t>
      </w:r>
      <w:r w:rsidRPr="005A0661">
        <w:rPr>
          <w:rFonts w:ascii="Book Antiqua" w:hAnsi="Book Antiqua"/>
          <w:bCs/>
          <w:color w:val="000000"/>
          <w:sz w:val="24"/>
          <w:szCs w:val="24"/>
        </w:rPr>
        <w:t>,</w:t>
      </w:r>
      <w:r w:rsidRPr="005A0661">
        <w:rPr>
          <w:rFonts w:ascii="Book Antiqua" w:hAnsi="Book Antiqua"/>
          <w:color w:val="000000"/>
          <w:sz w:val="24"/>
          <w:szCs w:val="24"/>
        </w:rPr>
        <w:t xml:space="preserve"> due to the biological characteristics of the tumors</w:t>
      </w:r>
      <w:r w:rsidRPr="005A0661">
        <w:rPr>
          <w:rFonts w:ascii="Book Antiqua" w:hAnsi="Book Antiqua"/>
          <w:bCs/>
          <w:color w:val="000000"/>
          <w:sz w:val="24"/>
          <w:szCs w:val="24"/>
          <w:vertAlign w:val="superscript"/>
        </w:rPr>
        <w:fldChar w:fldCharType="begin"/>
      </w:r>
      <w:r w:rsidRPr="005A0661">
        <w:rPr>
          <w:rFonts w:ascii="Book Antiqua" w:hAnsi="Book Antiqua"/>
          <w:bCs/>
          <w:color w:val="000000"/>
          <w:sz w:val="24"/>
          <w:szCs w:val="24"/>
          <w:vertAlign w:val="superscript"/>
        </w:rPr>
        <w:instrText xml:space="preserve"> ADDIN EN.CITE &lt;EndNote&gt;&lt;Cite&gt;&lt;Author&gt;Higuchi&lt;/Author&gt;&lt;Year&gt;2003&lt;/Year&gt;&lt;RecNum&gt;79&lt;/RecNum&gt;&lt;DisplayText&gt;[6]&lt;/DisplayText&gt;&lt;record&gt;&lt;rec-number&gt;79&lt;/rec-number&gt;&lt;foreign-keys&gt;&lt;key app="EN" db-id="ep2wp9ddcafpazefx0k5ver85spx0vrda5rv"&gt;79&lt;/key&gt;&lt;/foreign-keys&gt;&lt;ref-type name="Journal Article"&gt;17&lt;/ref-type&gt;&lt;contributors&gt;&lt;authors&gt;&lt;author&gt;Higuchi, K.&lt;/author&gt;&lt;author&gt;Phan, A.&lt;/author&gt;&lt;author&gt;Ajani, J. A.&lt;/author&gt;&lt;/authors&gt;&lt;/contributors&gt;&lt;auth-address&gt;Department of Gastrointestinal Oncology, The University of Texas MD Anderson Cancer Center, 1400 Holcombe Boulevard, Box 426, Houston, TX 77030, USA.&lt;/auth-address&gt;&lt;titles&gt;&lt;title&gt;Gastric cancer: advances in adjuvant and adjunct therapy&lt;/title&gt;&lt;secondary-title&gt;Curr Treat Options Oncol&lt;/secondary-title&gt;&lt;/titles&gt;&lt;periodical&gt;&lt;full-title&gt;Curr Treat Options Oncol&lt;/full-title&gt;&lt;/periodical&gt;&lt;pages&gt;413-9&lt;/pages&gt;&lt;volume&gt;4&lt;/volume&gt;&lt;number&gt;5&lt;/number&gt;&lt;edition&gt;2003/08/28&lt;/edition&gt;&lt;keywords&gt;&lt;keyword&gt;Adjuvants, Immunologic/administration &amp;amp; dosage&lt;/keyword&gt;&lt;keyword&gt;Adult&lt;/keyword&gt;&lt;keyword&gt;Aged&lt;/keyword&gt;&lt;keyword&gt;Antineoplastic Combined Chemotherapy Protocols/*administration &amp;amp; dosage&lt;/keyword&gt;&lt;keyword&gt;Chemotherapy, Adjuvant&lt;/keyword&gt;&lt;keyword&gt;Combined Modality Therapy&lt;/keyword&gt;&lt;keyword&gt;Female&lt;/keyword&gt;&lt;keyword&gt;Gastrectomy/*methods&lt;/keyword&gt;&lt;keyword&gt;Humans&lt;/keyword&gt;&lt;keyword&gt;Male&lt;/keyword&gt;&lt;keyword&gt;Middle Aged&lt;/keyword&gt;&lt;keyword&gt;Neoadjuvant Therapy&lt;/keyword&gt;&lt;keyword&gt;Neoplasm Staging&lt;/keyword&gt;&lt;keyword&gt;Prognosis&lt;/keyword&gt;&lt;keyword&gt;Radiotherapy, Adjuvant&lt;/keyword&gt;&lt;keyword&gt;Randomized Controlled Trials as Topic&lt;/keyword&gt;&lt;keyword&gt;Risk Assessment&lt;/keyword&gt;&lt;keyword&gt;Stomach Neoplasms/mortality/*pathology/*therapy&lt;/keyword&gt;&lt;keyword&gt;Survival Analysis&lt;/keyword&gt;&lt;keyword&gt;Treatment Outcome&lt;/keyword&gt;&lt;/keywords&gt;&lt;dates&gt;&lt;year&gt;2003&lt;/year&gt;&lt;pub-dates&gt;&lt;date&gt;Oct&lt;/date&gt;&lt;/pub-dates&gt;&lt;/dates&gt;&lt;isbn&gt;1527-2729 (Print)&amp;#xD;1534-6277 (Linking)&lt;/isbn&gt;&lt;accession-num&gt;12941201&lt;/accession-num&gt;&lt;urls&gt;&lt;related-urls&gt;&lt;url&gt;http://www.ncbi.nlm.nih.gov/pubmed/12941201&lt;/url&gt;&lt;/related-urls&gt;&lt;/urls&gt;&lt;language&gt;eng&lt;/language&gt;&lt;/record&gt;&lt;/Cite&gt;&lt;/EndNote&gt;</w:instrText>
      </w:r>
      <w:r w:rsidRPr="005A0661">
        <w:rPr>
          <w:rFonts w:ascii="Book Antiqua" w:hAnsi="Book Antiqua"/>
          <w:bCs/>
          <w:color w:val="000000"/>
          <w:sz w:val="24"/>
          <w:szCs w:val="24"/>
          <w:vertAlign w:val="superscript"/>
        </w:rPr>
        <w:fldChar w:fldCharType="separate"/>
      </w:r>
      <w:r w:rsidRPr="005A0661">
        <w:rPr>
          <w:rFonts w:ascii="Book Antiqua" w:hAnsi="Book Antiqua"/>
          <w:bCs/>
          <w:noProof/>
          <w:color w:val="000000"/>
          <w:sz w:val="24"/>
          <w:szCs w:val="24"/>
          <w:vertAlign w:val="superscript"/>
        </w:rPr>
        <w:t>[</w:t>
      </w:r>
      <w:hyperlink w:anchor="_ENREF_6" w:tooltip="Higuchi, 2003 #79" w:history="1">
        <w:r w:rsidRPr="005A0661">
          <w:rPr>
            <w:rFonts w:ascii="Book Antiqua" w:hAnsi="Book Antiqua"/>
            <w:bCs/>
            <w:noProof/>
            <w:color w:val="000000"/>
            <w:sz w:val="24"/>
            <w:szCs w:val="24"/>
            <w:vertAlign w:val="superscript"/>
          </w:rPr>
          <w:t>6</w:t>
        </w:r>
      </w:hyperlink>
      <w:r w:rsidRPr="005A0661">
        <w:rPr>
          <w:rFonts w:ascii="Book Antiqua" w:hAnsi="Book Antiqua"/>
          <w:bCs/>
          <w:noProof/>
          <w:color w:val="000000"/>
          <w:sz w:val="24"/>
          <w:szCs w:val="24"/>
          <w:vertAlign w:val="superscript"/>
        </w:rPr>
        <w:t>]</w:t>
      </w:r>
      <w:r w:rsidRPr="005A0661">
        <w:rPr>
          <w:rFonts w:ascii="Book Antiqua" w:hAnsi="Book Antiqua"/>
          <w:bCs/>
          <w:color w:val="000000"/>
          <w:sz w:val="24"/>
          <w:szCs w:val="24"/>
          <w:vertAlign w:val="superscript"/>
        </w:rPr>
        <w:fldChar w:fldCharType="end"/>
      </w:r>
      <w:r w:rsidRPr="005A0661">
        <w:rPr>
          <w:rFonts w:ascii="Book Antiqua" w:hAnsi="Book Antiqua"/>
          <w:bCs/>
          <w:color w:val="000000"/>
          <w:sz w:val="24"/>
          <w:szCs w:val="24"/>
        </w:rPr>
        <w:t>.</w:t>
      </w:r>
      <w:r w:rsidRPr="005A0661">
        <w:rPr>
          <w:rFonts w:ascii="Book Antiqua" w:hAnsi="Book Antiqua"/>
          <w:color w:val="000000"/>
          <w:sz w:val="24"/>
          <w:szCs w:val="24"/>
        </w:rPr>
        <w:t xml:space="preserve"> Therefore</w:t>
      </w:r>
      <w:r w:rsidRPr="005A0661">
        <w:rPr>
          <w:rFonts w:ascii="Book Antiqua" w:hAnsi="Book Antiqua"/>
          <w:bCs/>
          <w:color w:val="000000"/>
          <w:sz w:val="24"/>
          <w:szCs w:val="24"/>
        </w:rPr>
        <w:t>,</w:t>
      </w:r>
      <w:r w:rsidRPr="005A0661">
        <w:rPr>
          <w:rFonts w:ascii="Book Antiqua" w:hAnsi="Book Antiqua"/>
          <w:color w:val="000000"/>
          <w:sz w:val="24"/>
          <w:szCs w:val="24"/>
        </w:rPr>
        <w:t xml:space="preserve"> integrated treatment models are used</w:t>
      </w:r>
      <w:r w:rsidRPr="005A0661">
        <w:rPr>
          <w:rFonts w:ascii="Book Antiqua" w:hAnsi="Book Antiqua"/>
          <w:bCs/>
          <w:color w:val="000000"/>
          <w:sz w:val="24"/>
          <w:szCs w:val="24"/>
        </w:rPr>
        <w:t>,</w:t>
      </w:r>
      <w:r w:rsidRPr="005A0661">
        <w:rPr>
          <w:rFonts w:ascii="Book Antiqua" w:hAnsi="Book Antiqua"/>
          <w:color w:val="000000"/>
          <w:sz w:val="24"/>
          <w:szCs w:val="24"/>
        </w:rPr>
        <w:t xml:space="preserve"> in order to improve the </w:t>
      </w:r>
      <w:r w:rsidRPr="005A0661">
        <w:rPr>
          <w:rFonts w:ascii="Book Antiqua" w:hAnsi="Book Antiqua"/>
          <w:bCs/>
          <w:color w:val="000000"/>
          <w:sz w:val="24"/>
          <w:szCs w:val="24"/>
        </w:rPr>
        <w:t xml:space="preserve">outcome in </w:t>
      </w:r>
      <w:r w:rsidRPr="005A0661">
        <w:rPr>
          <w:rFonts w:ascii="Book Antiqua" w:hAnsi="Book Antiqua"/>
          <w:color w:val="000000"/>
          <w:sz w:val="24"/>
          <w:szCs w:val="24"/>
        </w:rPr>
        <w:t xml:space="preserve">advanced gastric cancer. </w:t>
      </w:r>
      <w:r w:rsidRPr="005A0661">
        <w:rPr>
          <w:rFonts w:ascii="Book Antiqua" w:hAnsi="Book Antiqua"/>
          <w:bCs/>
          <w:color w:val="000000"/>
          <w:sz w:val="24"/>
          <w:szCs w:val="24"/>
        </w:rPr>
        <w:t xml:space="preserve">The aims of neoadjuvant </w:t>
      </w:r>
      <w:r w:rsidRPr="005A0661">
        <w:rPr>
          <w:rFonts w:ascii="Book Antiqua" w:hAnsi="Book Antiqua"/>
          <w:color w:val="000000"/>
          <w:sz w:val="24"/>
          <w:szCs w:val="24"/>
        </w:rPr>
        <w:t xml:space="preserve">chemotherapy </w:t>
      </w:r>
      <w:r w:rsidRPr="005A0661">
        <w:rPr>
          <w:rFonts w:ascii="Book Antiqua" w:hAnsi="Book Antiqua"/>
          <w:bCs/>
          <w:color w:val="000000"/>
          <w:sz w:val="24"/>
          <w:szCs w:val="24"/>
        </w:rPr>
        <w:t>are</w:t>
      </w:r>
      <w:r w:rsidRPr="005A0661">
        <w:rPr>
          <w:rFonts w:ascii="Book Antiqua" w:hAnsi="Book Antiqua"/>
          <w:color w:val="000000"/>
          <w:sz w:val="24"/>
          <w:szCs w:val="24"/>
        </w:rPr>
        <w:t xml:space="preserve"> tumor down-staging, improved resection rates</w:t>
      </w:r>
      <w:r w:rsidRPr="005A0661">
        <w:rPr>
          <w:rFonts w:ascii="Book Antiqua" w:hAnsi="Book Antiqua"/>
          <w:bCs/>
          <w:color w:val="000000"/>
          <w:sz w:val="24"/>
          <w:szCs w:val="24"/>
        </w:rPr>
        <w:t>,</w:t>
      </w:r>
      <w:r w:rsidRPr="005A0661">
        <w:rPr>
          <w:rFonts w:ascii="Book Antiqua" w:hAnsi="Book Antiqua"/>
          <w:color w:val="000000"/>
          <w:sz w:val="24"/>
          <w:szCs w:val="24"/>
        </w:rPr>
        <w:t xml:space="preserve"> and decreasing </w:t>
      </w:r>
      <w:r w:rsidRPr="005A0661">
        <w:rPr>
          <w:rFonts w:ascii="Book Antiqua" w:hAnsi="Book Antiqua"/>
          <w:bCs/>
          <w:color w:val="000000"/>
          <w:sz w:val="24"/>
          <w:szCs w:val="24"/>
        </w:rPr>
        <w:t xml:space="preserve">the </w:t>
      </w:r>
      <w:r w:rsidRPr="005A0661">
        <w:rPr>
          <w:rFonts w:ascii="Book Antiqua" w:hAnsi="Book Antiqua"/>
          <w:color w:val="000000"/>
          <w:sz w:val="24"/>
          <w:szCs w:val="24"/>
        </w:rPr>
        <w:t xml:space="preserve">recurrence </w:t>
      </w:r>
      <w:r w:rsidRPr="005A0661">
        <w:rPr>
          <w:rFonts w:ascii="Book Antiqua" w:hAnsi="Book Antiqua"/>
          <w:bCs/>
          <w:color w:val="000000"/>
          <w:sz w:val="24"/>
          <w:szCs w:val="24"/>
        </w:rPr>
        <w:t>rate of</w:t>
      </w:r>
      <w:r w:rsidRPr="005A0661">
        <w:rPr>
          <w:rFonts w:ascii="Book Antiqua" w:hAnsi="Book Antiqua"/>
          <w:color w:val="000000"/>
          <w:sz w:val="24"/>
          <w:szCs w:val="24"/>
        </w:rPr>
        <w:t xml:space="preserve"> metastases. A meta-analysis of 9 clinical trials was presented </w:t>
      </w:r>
      <w:r w:rsidRPr="005A0661">
        <w:rPr>
          <w:rFonts w:ascii="Book Antiqua" w:hAnsi="Book Antiqua"/>
          <w:bCs/>
          <w:color w:val="000000"/>
          <w:sz w:val="24"/>
          <w:szCs w:val="24"/>
        </w:rPr>
        <w:t>at</w:t>
      </w:r>
      <w:r w:rsidRPr="005A0661">
        <w:rPr>
          <w:rFonts w:ascii="Book Antiqua" w:hAnsi="Book Antiqua"/>
          <w:color w:val="000000"/>
          <w:sz w:val="24"/>
          <w:szCs w:val="24"/>
        </w:rPr>
        <w:t xml:space="preserve"> ASCO 2007</w:t>
      </w:r>
      <w:r w:rsidRPr="005A0661">
        <w:rPr>
          <w:rFonts w:ascii="Book Antiqua" w:hAnsi="Book Antiqua"/>
          <w:sz w:val="24"/>
          <w:szCs w:val="24"/>
          <w:vertAlign w:val="superscript"/>
        </w:rPr>
        <w:fldChar w:fldCharType="begin"/>
      </w:r>
      <w:r w:rsidRPr="005A0661">
        <w:rPr>
          <w:rFonts w:ascii="Book Antiqua" w:hAnsi="Book Antiqua"/>
          <w:sz w:val="24"/>
          <w:szCs w:val="24"/>
          <w:vertAlign w:val="superscript"/>
        </w:rPr>
        <w:instrText xml:space="preserve"> ADDIN EN.CITE &lt;EndNote&gt;&lt;Cite&gt;&lt;Author&gt;Thirion&lt;/Author&gt;&lt;Year&gt;2007&lt;/Year&gt;&lt;RecNum&gt;133&lt;/RecNum&gt;&lt;DisplayText&gt;[7]&lt;/DisplayText&gt;&lt;record&gt;&lt;rec-number&gt;133&lt;/rec-number&gt;&lt;foreign-keys&gt;&lt;key app="EN" db-id="ep2wp9ddcafpazefx0k5ver85spx0vrda5rv"&gt;133&lt;/key&gt;&lt;/foreign-keys&gt;&lt;ref-type name="Journal Article"&gt;17&lt;/ref-type&gt;&lt;contributors&gt;&lt;authors&gt;&lt;author&gt;Thirion, P.&lt;/author&gt;&lt;author&gt;Michiels, S.&lt;/author&gt;&lt;author&gt;Le Maitre, A.&lt;/author&gt;&lt;author&gt;Tierney, J. &lt;/author&gt;&lt;/authors&gt;&lt;/contributors&gt;&lt;titles&gt;&lt;title&gt;Individual patient data-based meta-analysis assessing pre-operative chemotherapy in resectable oesophageal carcinoma&lt;/title&gt;&lt;secondary-title&gt;J Clin Oncol&lt;/secondary-title&gt;&lt;/titles&gt;&lt;periodical&gt;&lt;full-title&gt;J Clin Oncol&lt;/full-title&gt;&lt;/periodical&gt;&lt;pages&gt;4512&lt;/pages&gt;&lt;volume&gt;25&lt;/volume&gt;&lt;dates&gt;&lt;year&gt;2007&lt;/year&gt;&lt;/dates&gt;&lt;urls&gt;&lt;/urls&gt;&lt;/record&gt;&lt;/Cite&gt;&lt;/EndNote&gt;</w:instrText>
      </w:r>
      <w:r w:rsidRPr="005A0661">
        <w:rPr>
          <w:rFonts w:ascii="Book Antiqua" w:hAnsi="Book Antiqua"/>
          <w:sz w:val="24"/>
          <w:szCs w:val="24"/>
          <w:vertAlign w:val="superscript"/>
        </w:rPr>
        <w:fldChar w:fldCharType="separate"/>
      </w:r>
      <w:r w:rsidRPr="005A0661">
        <w:rPr>
          <w:rFonts w:ascii="Book Antiqua" w:hAnsi="Book Antiqua"/>
          <w:noProof/>
          <w:sz w:val="24"/>
          <w:szCs w:val="24"/>
          <w:vertAlign w:val="superscript"/>
        </w:rPr>
        <w:t>[</w:t>
      </w:r>
      <w:hyperlink w:anchor="_ENREF_7" w:tooltip="Thirion, 2007 #133" w:history="1">
        <w:r w:rsidRPr="005A0661">
          <w:rPr>
            <w:rFonts w:ascii="Book Antiqua" w:hAnsi="Book Antiqua"/>
            <w:noProof/>
            <w:sz w:val="24"/>
            <w:szCs w:val="24"/>
            <w:vertAlign w:val="superscript"/>
          </w:rPr>
          <w:t>7</w:t>
        </w:r>
      </w:hyperlink>
      <w:r w:rsidRPr="005A0661">
        <w:rPr>
          <w:rFonts w:ascii="Book Antiqua" w:hAnsi="Book Antiqua"/>
          <w:noProof/>
          <w:sz w:val="24"/>
          <w:szCs w:val="24"/>
          <w:vertAlign w:val="superscript"/>
        </w:rPr>
        <w:t>]</w:t>
      </w:r>
      <w:r w:rsidRPr="005A0661">
        <w:rPr>
          <w:rFonts w:ascii="Book Antiqua" w:hAnsi="Book Antiqua"/>
          <w:sz w:val="24"/>
          <w:szCs w:val="24"/>
          <w:vertAlign w:val="superscript"/>
        </w:rPr>
        <w:fldChar w:fldCharType="end"/>
      </w:r>
      <w:r w:rsidRPr="005A0661">
        <w:rPr>
          <w:rFonts w:ascii="Book Antiqua" w:hAnsi="Book Antiqua"/>
          <w:bCs/>
          <w:color w:val="000000"/>
          <w:sz w:val="24"/>
          <w:szCs w:val="24"/>
        </w:rPr>
        <w:t>,</w:t>
      </w:r>
      <w:r w:rsidRPr="005A0661">
        <w:rPr>
          <w:rFonts w:ascii="Book Antiqua" w:hAnsi="Book Antiqua"/>
          <w:sz w:val="24"/>
          <w:szCs w:val="24"/>
          <w:vertAlign w:val="superscript"/>
        </w:rPr>
        <w:t xml:space="preserve">  </w:t>
      </w:r>
      <w:r w:rsidRPr="005A0661">
        <w:rPr>
          <w:rFonts w:ascii="Book Antiqua" w:hAnsi="Book Antiqua"/>
          <w:color w:val="000000"/>
          <w:sz w:val="24"/>
          <w:szCs w:val="24"/>
        </w:rPr>
        <w:t xml:space="preserve">in which 2102 patients were enrolled, with a median follow-up time of 5.3 years, comparing outcomes </w:t>
      </w:r>
      <w:r w:rsidRPr="005A0661">
        <w:rPr>
          <w:rFonts w:ascii="Book Antiqua" w:hAnsi="Book Antiqua"/>
          <w:bCs/>
          <w:color w:val="000000"/>
          <w:sz w:val="24"/>
          <w:szCs w:val="24"/>
        </w:rPr>
        <w:t>between surgery with preoperative</w:t>
      </w:r>
      <w:r w:rsidRPr="005A0661">
        <w:rPr>
          <w:rFonts w:ascii="Book Antiqua" w:hAnsi="Book Antiqua"/>
          <w:color w:val="000000"/>
          <w:sz w:val="24"/>
          <w:szCs w:val="24"/>
        </w:rPr>
        <w:t xml:space="preserve"> </w:t>
      </w:r>
      <w:r w:rsidRPr="005A0661">
        <w:rPr>
          <w:rFonts w:ascii="Book Antiqua" w:hAnsi="Book Antiqua"/>
          <w:color w:val="000000"/>
          <w:kern w:val="0"/>
          <w:sz w:val="24"/>
          <w:szCs w:val="24"/>
        </w:rPr>
        <w:t>chemotherapy</w:t>
      </w:r>
      <w:r w:rsidRPr="005A0661">
        <w:rPr>
          <w:rFonts w:ascii="Book Antiqua" w:hAnsi="Book Antiqua"/>
          <w:color w:val="000000"/>
          <w:sz w:val="24"/>
          <w:szCs w:val="24"/>
        </w:rPr>
        <w:t xml:space="preserve"> </w:t>
      </w:r>
      <w:r w:rsidRPr="005A0661">
        <w:rPr>
          <w:rFonts w:ascii="Book Antiqua" w:hAnsi="Book Antiqua"/>
          <w:bCs/>
          <w:color w:val="000000"/>
          <w:sz w:val="24"/>
          <w:szCs w:val="24"/>
        </w:rPr>
        <w:t>and</w:t>
      </w:r>
      <w:r w:rsidRPr="005A0661">
        <w:rPr>
          <w:rFonts w:ascii="Book Antiqua" w:hAnsi="Book Antiqua"/>
          <w:color w:val="000000"/>
          <w:sz w:val="24"/>
          <w:szCs w:val="24"/>
        </w:rPr>
        <w:t xml:space="preserve"> surgery alone. </w:t>
      </w:r>
      <w:r w:rsidRPr="005A0661">
        <w:rPr>
          <w:rFonts w:ascii="Book Antiqua" w:hAnsi="Book Antiqua"/>
          <w:color w:val="000000"/>
          <w:kern w:val="0"/>
          <w:sz w:val="24"/>
          <w:szCs w:val="24"/>
        </w:rPr>
        <w:t xml:space="preserve">The analysis revealed a statistically significant benefit in favor of adjunctive preoperative chemotherapy, with a </w:t>
      </w:r>
      <w:r w:rsidRPr="005A0661">
        <w:rPr>
          <w:rFonts w:ascii="Book Antiqua" w:hAnsi="Book Antiqua"/>
          <w:color w:val="000000"/>
          <w:sz w:val="24"/>
          <w:szCs w:val="24"/>
        </w:rPr>
        <w:t xml:space="preserve">4% increase in </w:t>
      </w:r>
      <w:r w:rsidRPr="005A0661">
        <w:rPr>
          <w:rFonts w:ascii="Book Antiqua" w:hAnsi="Book Antiqua"/>
          <w:color w:val="000000"/>
          <w:kern w:val="0"/>
          <w:sz w:val="24"/>
          <w:szCs w:val="24"/>
        </w:rPr>
        <w:t>5-year survival rates (</w:t>
      </w:r>
      <w:r w:rsidRPr="005A0661">
        <w:rPr>
          <w:rFonts w:ascii="Book Antiqua" w:hAnsi="Book Antiqua"/>
          <w:color w:val="000000"/>
          <w:sz w:val="24"/>
          <w:szCs w:val="24"/>
        </w:rPr>
        <w:t>HR</w:t>
      </w:r>
      <w:r w:rsidRPr="005A0661">
        <w:rPr>
          <w:rFonts w:ascii="Book Antiqua" w:hAnsi="Book Antiqua"/>
          <w:bCs/>
          <w:color w:val="000000"/>
          <w:sz w:val="24"/>
          <w:szCs w:val="24"/>
        </w:rPr>
        <w:t xml:space="preserve"> = </w:t>
      </w:r>
      <w:r w:rsidRPr="005A0661">
        <w:rPr>
          <w:rFonts w:ascii="Book Antiqua" w:hAnsi="Book Antiqua"/>
          <w:color w:val="000000"/>
          <w:sz w:val="24"/>
          <w:szCs w:val="24"/>
        </w:rPr>
        <w:t xml:space="preserve">0.87, </w:t>
      </w:r>
      <w:r w:rsidRPr="005A0661">
        <w:rPr>
          <w:rFonts w:ascii="Book Antiqua" w:hAnsi="Book Antiqua"/>
          <w:i/>
          <w:color w:val="000000"/>
          <w:sz w:val="24"/>
          <w:szCs w:val="24"/>
        </w:rPr>
        <w:t>P</w:t>
      </w:r>
      <w:r w:rsidRPr="005A0661">
        <w:rPr>
          <w:rFonts w:ascii="Book Antiqua" w:hAnsi="Book Antiqua"/>
          <w:bCs/>
          <w:color w:val="000000"/>
          <w:sz w:val="24"/>
          <w:szCs w:val="24"/>
        </w:rPr>
        <w:t xml:space="preserve"> = </w:t>
      </w:r>
      <w:r w:rsidRPr="005A0661">
        <w:rPr>
          <w:rFonts w:ascii="Book Antiqua" w:hAnsi="Book Antiqua"/>
          <w:color w:val="000000"/>
          <w:sz w:val="24"/>
          <w:szCs w:val="24"/>
        </w:rPr>
        <w:t xml:space="preserve">0.003) and with </w:t>
      </w:r>
      <w:r w:rsidRPr="005A0661">
        <w:rPr>
          <w:rFonts w:ascii="Book Antiqua" w:hAnsi="Book Antiqua"/>
          <w:bCs/>
          <w:color w:val="000000"/>
          <w:sz w:val="24"/>
          <w:szCs w:val="24"/>
        </w:rPr>
        <w:t xml:space="preserve">a </w:t>
      </w:r>
      <w:r w:rsidRPr="005A0661">
        <w:rPr>
          <w:rFonts w:ascii="Book Antiqua" w:hAnsi="Book Antiqua"/>
          <w:color w:val="000000"/>
          <w:sz w:val="24"/>
          <w:szCs w:val="24"/>
        </w:rPr>
        <w:t xml:space="preserve">5% increase in R0 resection rate (67% </w:t>
      </w:r>
      <w:r w:rsidRPr="005A0661">
        <w:rPr>
          <w:rFonts w:ascii="Book Antiqua" w:hAnsi="Book Antiqua"/>
          <w:i/>
          <w:color w:val="000000"/>
          <w:sz w:val="24"/>
          <w:szCs w:val="24"/>
        </w:rPr>
        <w:t>vs</w:t>
      </w:r>
      <w:r w:rsidRPr="005A0661">
        <w:rPr>
          <w:rFonts w:ascii="Book Antiqua" w:hAnsi="Book Antiqua"/>
          <w:color w:val="000000"/>
          <w:sz w:val="24"/>
          <w:szCs w:val="24"/>
        </w:rPr>
        <w:t xml:space="preserve"> 62%, </w:t>
      </w:r>
      <w:r w:rsidRPr="005A0661">
        <w:rPr>
          <w:rFonts w:ascii="Book Antiqua" w:hAnsi="Book Antiqua"/>
          <w:i/>
          <w:color w:val="000000"/>
          <w:sz w:val="24"/>
          <w:szCs w:val="24"/>
        </w:rPr>
        <w:t>P</w:t>
      </w:r>
      <w:r w:rsidRPr="005A0661">
        <w:rPr>
          <w:rFonts w:ascii="Book Antiqua" w:hAnsi="Book Antiqua"/>
          <w:bCs/>
          <w:color w:val="000000"/>
          <w:sz w:val="24"/>
          <w:szCs w:val="24"/>
        </w:rPr>
        <w:t xml:space="preserve"> = </w:t>
      </w:r>
      <w:r w:rsidRPr="005A0661">
        <w:rPr>
          <w:rFonts w:ascii="Book Antiqua" w:hAnsi="Book Antiqua"/>
          <w:color w:val="000000"/>
          <w:sz w:val="24"/>
          <w:szCs w:val="24"/>
        </w:rPr>
        <w:t>0.03)</w:t>
      </w:r>
      <w:r w:rsidRPr="005A0661">
        <w:rPr>
          <w:rFonts w:ascii="Book Antiqua" w:hAnsi="Book Antiqua"/>
          <w:color w:val="000000"/>
          <w:kern w:val="0"/>
          <w:sz w:val="24"/>
          <w:szCs w:val="24"/>
        </w:rPr>
        <w:t xml:space="preserve">. </w:t>
      </w:r>
      <w:r w:rsidRPr="005A0661">
        <w:rPr>
          <w:rFonts w:ascii="Book Antiqua" w:hAnsi="Book Antiqua"/>
          <w:color w:val="000000"/>
          <w:sz w:val="24"/>
          <w:szCs w:val="24"/>
        </w:rPr>
        <w:t>In the MAGIC</w:t>
      </w:r>
      <w:r w:rsidRPr="005A0661">
        <w:rPr>
          <w:rFonts w:ascii="Book Antiqua" w:hAnsi="Book Antiqua"/>
          <w:color w:val="000000"/>
          <w:sz w:val="24"/>
          <w:szCs w:val="24"/>
          <w:vertAlign w:val="superscript"/>
        </w:rPr>
        <w:t xml:space="preserve"> </w:t>
      </w:r>
      <w:r w:rsidRPr="005A0661">
        <w:rPr>
          <w:rFonts w:ascii="Book Antiqua" w:hAnsi="Book Antiqua"/>
          <w:color w:val="000000"/>
          <w:sz w:val="24"/>
          <w:szCs w:val="24"/>
        </w:rPr>
        <w:t>trial</w:t>
      </w:r>
      <w:r w:rsidRPr="005A0661">
        <w:rPr>
          <w:rFonts w:ascii="Book Antiqua" w:hAnsi="Book Antiqua"/>
          <w:bCs/>
          <w:color w:val="000000"/>
          <w:sz w:val="24"/>
          <w:szCs w:val="24"/>
          <w:vertAlign w:val="superscript"/>
        </w:rPr>
        <w:fldChar w:fldCharType="begin">
          <w:fldData xml:space="preserve">PEVuZE5vdGU+PENpdGU+PEF1dGhvcj5DdW5uaW5naGFtPC9BdXRob3I+PFllYXI+MjAwNjwvWWVh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</w:fldData>
        </w:fldChar>
      </w:r>
      <w:r w:rsidRPr="005A0661">
        <w:rPr>
          <w:rFonts w:ascii="Book Antiqua" w:hAnsi="Book Antiqua"/>
          <w:bCs/>
          <w:color w:val="000000"/>
          <w:sz w:val="24"/>
          <w:szCs w:val="24"/>
          <w:vertAlign w:val="superscript"/>
        </w:rPr>
        <w:instrText xml:space="preserve"> ADDIN EN.CITE </w:instrText>
      </w:r>
      <w:r w:rsidRPr="005A0661">
        <w:rPr>
          <w:rFonts w:ascii="Book Antiqua" w:hAnsi="Book Antiqua"/>
          <w:bCs/>
          <w:color w:val="000000"/>
          <w:sz w:val="24"/>
          <w:szCs w:val="24"/>
          <w:vertAlign w:val="superscript"/>
        </w:rPr>
        <w:fldChar w:fldCharType="begin">
          <w:fldData xml:space="preserve">PEVuZE5vdGU+PENpdGU+PEF1dGhvcj5DdW5uaW5naGFtPC9BdXRob3I+PFllYXI+MjAwNjwvWWVh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</w:fldData>
        </w:fldChar>
      </w:r>
      <w:r w:rsidRPr="005A0661">
        <w:rPr>
          <w:rFonts w:ascii="Book Antiqua" w:hAnsi="Book Antiqua"/>
          <w:bCs/>
          <w:color w:val="000000"/>
          <w:sz w:val="24"/>
          <w:szCs w:val="24"/>
          <w:vertAlign w:val="superscript"/>
        </w:rPr>
        <w:instrText xml:space="preserve"> ADDIN EN.CITE.DATA </w:instrText>
      </w:r>
      <w:r w:rsidRPr="005A0661">
        <w:rPr>
          <w:rFonts w:ascii="Book Antiqua" w:hAnsi="Book Antiqua"/>
          <w:bCs/>
          <w:color w:val="000000"/>
          <w:sz w:val="24"/>
          <w:szCs w:val="24"/>
          <w:vertAlign w:val="superscript"/>
        </w:rPr>
      </w:r>
      <w:r w:rsidRPr="005A0661">
        <w:rPr>
          <w:rFonts w:ascii="Book Antiqua" w:hAnsi="Book Antiqua"/>
          <w:bCs/>
          <w:color w:val="000000"/>
          <w:sz w:val="24"/>
          <w:szCs w:val="24"/>
          <w:vertAlign w:val="superscript"/>
        </w:rPr>
        <w:fldChar w:fldCharType="end"/>
      </w:r>
      <w:r w:rsidRPr="005A0661">
        <w:rPr>
          <w:rFonts w:ascii="Book Antiqua" w:hAnsi="Book Antiqua"/>
          <w:bCs/>
          <w:color w:val="000000"/>
          <w:sz w:val="24"/>
          <w:szCs w:val="24"/>
          <w:vertAlign w:val="superscript"/>
        </w:rPr>
      </w:r>
      <w:r w:rsidRPr="005A0661">
        <w:rPr>
          <w:rFonts w:ascii="Book Antiqua" w:hAnsi="Book Antiqua"/>
          <w:bCs/>
          <w:color w:val="000000"/>
          <w:sz w:val="24"/>
          <w:szCs w:val="24"/>
          <w:vertAlign w:val="superscript"/>
        </w:rPr>
        <w:fldChar w:fldCharType="separate"/>
      </w:r>
      <w:r w:rsidRPr="005A0661">
        <w:rPr>
          <w:rFonts w:ascii="Book Antiqua" w:hAnsi="Book Antiqua"/>
          <w:bCs/>
          <w:noProof/>
          <w:color w:val="000000"/>
          <w:sz w:val="24"/>
          <w:szCs w:val="24"/>
          <w:vertAlign w:val="superscript"/>
        </w:rPr>
        <w:t>[</w:t>
      </w:r>
      <w:hyperlink w:anchor="_ENREF_2" w:tooltip="Cunningham, 2006 #74" w:history="1">
        <w:r w:rsidRPr="005A0661">
          <w:rPr>
            <w:rFonts w:ascii="Book Antiqua" w:hAnsi="Book Antiqua"/>
            <w:bCs/>
            <w:noProof/>
            <w:color w:val="000000"/>
            <w:sz w:val="24"/>
            <w:szCs w:val="24"/>
            <w:vertAlign w:val="superscript"/>
          </w:rPr>
          <w:t>2</w:t>
        </w:r>
      </w:hyperlink>
      <w:r w:rsidRPr="005A0661">
        <w:rPr>
          <w:rFonts w:ascii="Book Antiqua" w:hAnsi="Book Antiqua"/>
          <w:bCs/>
          <w:noProof/>
          <w:color w:val="000000"/>
          <w:sz w:val="24"/>
          <w:szCs w:val="24"/>
          <w:vertAlign w:val="superscript"/>
        </w:rPr>
        <w:t>]</w:t>
      </w:r>
      <w:r w:rsidRPr="005A0661">
        <w:rPr>
          <w:rFonts w:ascii="Book Antiqua" w:hAnsi="Book Antiqua"/>
          <w:bCs/>
          <w:color w:val="000000"/>
          <w:sz w:val="24"/>
          <w:szCs w:val="24"/>
          <w:vertAlign w:val="superscript"/>
        </w:rPr>
        <w:fldChar w:fldCharType="end"/>
      </w:r>
      <w:r w:rsidRPr="005A0661">
        <w:rPr>
          <w:rFonts w:ascii="Book Antiqua" w:hAnsi="Book Antiqua"/>
          <w:bCs/>
          <w:color w:val="000000"/>
          <w:sz w:val="24"/>
          <w:szCs w:val="24"/>
        </w:rPr>
        <w:t>,</w:t>
      </w:r>
      <w:r w:rsidRPr="005A0661">
        <w:rPr>
          <w:rFonts w:ascii="Book Antiqua" w:hAnsi="Book Antiqua"/>
          <w:color w:val="000000"/>
          <w:sz w:val="24"/>
          <w:szCs w:val="24"/>
        </w:rPr>
        <w:t xml:space="preserve"> 503 patients were randomly assigned </w:t>
      </w:r>
      <w:r w:rsidRPr="005A0661">
        <w:rPr>
          <w:rFonts w:ascii="Book Antiqua" w:hAnsi="Book Antiqua"/>
          <w:bCs/>
          <w:color w:val="000000"/>
          <w:sz w:val="24"/>
          <w:szCs w:val="24"/>
        </w:rPr>
        <w:t>to receive</w:t>
      </w:r>
      <w:r w:rsidRPr="005A0661">
        <w:rPr>
          <w:rFonts w:ascii="Book Antiqua" w:hAnsi="Book Antiqua"/>
          <w:color w:val="000000"/>
          <w:sz w:val="24"/>
          <w:szCs w:val="24"/>
        </w:rPr>
        <w:t xml:space="preserve"> perioperative chemotherapy </w:t>
      </w:r>
      <w:r w:rsidRPr="005A0661">
        <w:rPr>
          <w:rFonts w:ascii="Book Antiqua" w:hAnsi="Book Antiqua"/>
          <w:bCs/>
          <w:color w:val="000000"/>
          <w:sz w:val="24"/>
          <w:szCs w:val="24"/>
        </w:rPr>
        <w:t>or</w:t>
      </w:r>
      <w:r w:rsidRPr="005A0661">
        <w:rPr>
          <w:rFonts w:ascii="Book Antiqua" w:hAnsi="Book Antiqua"/>
          <w:color w:val="000000"/>
          <w:sz w:val="24"/>
          <w:szCs w:val="24"/>
        </w:rPr>
        <w:t xml:space="preserve"> surgery </w:t>
      </w:r>
      <w:r w:rsidRPr="005A0661">
        <w:rPr>
          <w:rFonts w:ascii="Book Antiqua" w:hAnsi="Book Antiqua"/>
          <w:bCs/>
          <w:color w:val="000000"/>
          <w:sz w:val="24"/>
          <w:szCs w:val="24"/>
        </w:rPr>
        <w:t>alone. Results showed</w:t>
      </w:r>
      <w:r w:rsidRPr="005A0661">
        <w:rPr>
          <w:rFonts w:ascii="Book Antiqua" w:hAnsi="Book Antiqua"/>
          <w:color w:val="000000"/>
          <w:sz w:val="24"/>
          <w:szCs w:val="24"/>
        </w:rPr>
        <w:t xml:space="preserve"> that the pathological staging of </w:t>
      </w:r>
      <w:r w:rsidRPr="005A0661">
        <w:rPr>
          <w:rFonts w:ascii="Book Antiqua" w:hAnsi="Book Antiqua"/>
          <w:bCs/>
          <w:color w:val="000000"/>
          <w:sz w:val="24"/>
          <w:szCs w:val="24"/>
        </w:rPr>
        <w:t xml:space="preserve">patients in </w:t>
      </w:r>
      <w:r w:rsidRPr="005A0661">
        <w:rPr>
          <w:rFonts w:ascii="Book Antiqua" w:hAnsi="Book Antiqua"/>
          <w:color w:val="000000"/>
          <w:sz w:val="24"/>
          <w:szCs w:val="24"/>
        </w:rPr>
        <w:t xml:space="preserve">the surgery group </w:t>
      </w:r>
      <w:r w:rsidRPr="005A0661">
        <w:rPr>
          <w:rFonts w:ascii="Book Antiqua" w:hAnsi="Book Antiqua"/>
          <w:bCs/>
          <w:color w:val="000000"/>
          <w:sz w:val="24"/>
          <w:szCs w:val="24"/>
        </w:rPr>
        <w:t>was</w:t>
      </w:r>
      <w:r w:rsidRPr="005A0661">
        <w:rPr>
          <w:rFonts w:ascii="Book Antiqua" w:hAnsi="Book Antiqua"/>
          <w:color w:val="000000"/>
          <w:sz w:val="24"/>
          <w:szCs w:val="24"/>
        </w:rPr>
        <w:t xml:space="preserve"> significantly higher </w:t>
      </w:r>
      <w:r w:rsidRPr="005A0661">
        <w:rPr>
          <w:rFonts w:ascii="Book Antiqua" w:hAnsi="Book Antiqua"/>
          <w:bCs/>
          <w:color w:val="000000"/>
          <w:sz w:val="24"/>
          <w:szCs w:val="24"/>
        </w:rPr>
        <w:t>compared with those</w:t>
      </w:r>
      <w:r w:rsidRPr="005A0661">
        <w:rPr>
          <w:rFonts w:ascii="Book Antiqua" w:hAnsi="Book Antiqua"/>
          <w:color w:val="000000"/>
          <w:sz w:val="24"/>
          <w:szCs w:val="24"/>
        </w:rPr>
        <w:t xml:space="preserve"> in the perioperative chemotherapy group. Among all patients undergoing resection, there was a greater proportion of stage T1 and T2 tumors in the perioperative chemotherapy group than in the surgery group (51.7% </w:t>
      </w:r>
      <w:r w:rsidRPr="005A0661">
        <w:rPr>
          <w:rFonts w:ascii="Book Antiqua" w:hAnsi="Book Antiqua"/>
          <w:i/>
          <w:color w:val="000000"/>
          <w:sz w:val="24"/>
          <w:szCs w:val="24"/>
        </w:rPr>
        <w:t>vs</w:t>
      </w:r>
      <w:r w:rsidRPr="005A0661">
        <w:rPr>
          <w:rFonts w:ascii="Book Antiqua" w:hAnsi="Book Antiqua"/>
          <w:color w:val="000000"/>
          <w:sz w:val="24"/>
          <w:szCs w:val="24"/>
        </w:rPr>
        <w:t xml:space="preserve"> 36.8%, </w:t>
      </w:r>
      <w:r w:rsidRPr="005A0661">
        <w:rPr>
          <w:rFonts w:ascii="Book Antiqua" w:hAnsi="Book Antiqua"/>
          <w:i/>
          <w:color w:val="000000"/>
          <w:sz w:val="24"/>
          <w:szCs w:val="24"/>
        </w:rPr>
        <w:t>P</w:t>
      </w:r>
      <w:r w:rsidRPr="005A0661">
        <w:rPr>
          <w:rFonts w:ascii="Book Antiqua" w:hAnsi="Book Antiqua"/>
          <w:color w:val="000000"/>
          <w:sz w:val="24"/>
          <w:szCs w:val="24"/>
        </w:rPr>
        <w:t xml:space="preserve"> = 0.002). The resection rate was also notably higher in the perioperative chemotherapy </w:t>
      </w:r>
      <w:r w:rsidRPr="005A0661">
        <w:rPr>
          <w:rFonts w:ascii="Book Antiqua" w:hAnsi="Book Antiqua"/>
          <w:bCs/>
          <w:color w:val="000000"/>
          <w:sz w:val="24"/>
          <w:szCs w:val="24"/>
        </w:rPr>
        <w:t xml:space="preserve">group </w:t>
      </w:r>
      <w:r w:rsidRPr="005A0661">
        <w:rPr>
          <w:rFonts w:ascii="Book Antiqua" w:hAnsi="Book Antiqua"/>
          <w:color w:val="000000"/>
          <w:sz w:val="24"/>
          <w:szCs w:val="24"/>
        </w:rPr>
        <w:t xml:space="preserve">than </w:t>
      </w:r>
      <w:r w:rsidRPr="005A0661">
        <w:rPr>
          <w:rFonts w:ascii="Book Antiqua" w:hAnsi="Book Antiqua"/>
          <w:bCs/>
          <w:color w:val="000000"/>
          <w:sz w:val="24"/>
          <w:szCs w:val="24"/>
        </w:rPr>
        <w:t xml:space="preserve">in </w:t>
      </w:r>
      <w:r w:rsidRPr="005A0661">
        <w:rPr>
          <w:rFonts w:ascii="Book Antiqua" w:hAnsi="Book Antiqua"/>
          <w:color w:val="000000"/>
          <w:sz w:val="24"/>
          <w:szCs w:val="24"/>
        </w:rPr>
        <w:t>the surgery group. Among patients treated by radical surgery, resection was considered curative by the operating surgeon in 169 of 213 patients (79.3%) in the perioperative chemotherapy group compared with 166 of 236 patients (70.3%) in the surgery group (</w:t>
      </w:r>
      <w:r w:rsidRPr="005A0661">
        <w:rPr>
          <w:rFonts w:ascii="Book Antiqua" w:hAnsi="Book Antiqua"/>
          <w:i/>
          <w:color w:val="000000"/>
          <w:sz w:val="24"/>
          <w:szCs w:val="24"/>
        </w:rPr>
        <w:t>P</w:t>
      </w:r>
      <w:r w:rsidRPr="005A0661">
        <w:rPr>
          <w:rFonts w:ascii="Book Antiqua" w:hAnsi="Book Antiqua"/>
          <w:color w:val="000000"/>
          <w:sz w:val="24"/>
          <w:szCs w:val="24"/>
        </w:rPr>
        <w:t xml:space="preserve"> = 0.03).</w:t>
      </w:r>
    </w:p>
    <w:p w:rsidR="0001334D" w:rsidRPr="005A0661" w:rsidRDefault="0001334D" w:rsidP="00DE0EC2">
      <w:pPr>
        <w:snapToGrid w:val="0"/>
        <w:spacing w:line="360" w:lineRule="auto"/>
        <w:ind w:firstLineChars="50" w:firstLine="120"/>
        <w:rPr>
          <w:rFonts w:ascii="Book Antiqua" w:hAnsi="Book Antiqua"/>
          <w:color w:val="000000"/>
          <w:sz w:val="24"/>
          <w:szCs w:val="24"/>
        </w:rPr>
      </w:pPr>
      <w:r w:rsidRPr="005A0661">
        <w:rPr>
          <w:rFonts w:ascii="Book Antiqua" w:hAnsi="Book Antiqua"/>
          <w:color w:val="000000"/>
          <w:sz w:val="24"/>
          <w:szCs w:val="24"/>
        </w:rPr>
        <w:lastRenderedPageBreak/>
        <w:t xml:space="preserve">HER2 is </w:t>
      </w:r>
      <w:r w:rsidRPr="005A0661">
        <w:rPr>
          <w:rFonts w:ascii="Book Antiqua" w:hAnsi="Book Antiqua"/>
          <w:bCs/>
          <w:color w:val="000000"/>
          <w:sz w:val="24"/>
          <w:szCs w:val="24"/>
        </w:rPr>
        <w:t>overexpressed</w:t>
      </w:r>
      <w:r w:rsidRPr="005A0661">
        <w:rPr>
          <w:rFonts w:ascii="Book Antiqua" w:hAnsi="Book Antiqua"/>
          <w:color w:val="000000"/>
          <w:sz w:val="24"/>
          <w:szCs w:val="24"/>
        </w:rPr>
        <w:t xml:space="preserve"> in different kinds of tumors, promoting tumorigenesis, progression</w:t>
      </w:r>
      <w:r w:rsidRPr="005A0661">
        <w:rPr>
          <w:rFonts w:ascii="Book Antiqua" w:hAnsi="Book Antiqua"/>
          <w:bCs/>
          <w:color w:val="000000"/>
          <w:sz w:val="24"/>
          <w:szCs w:val="24"/>
        </w:rPr>
        <w:t>,</w:t>
      </w:r>
      <w:r w:rsidRPr="005A0661">
        <w:rPr>
          <w:rFonts w:ascii="Book Antiqua" w:hAnsi="Book Antiqua"/>
          <w:color w:val="000000"/>
          <w:sz w:val="24"/>
          <w:szCs w:val="24"/>
        </w:rPr>
        <w:t xml:space="preserve"> and metastasis</w:t>
      </w:r>
      <w:r w:rsidRPr="005A0661">
        <w:rPr>
          <w:rFonts w:ascii="Book Antiqua" w:hAnsi="Book Antiqua"/>
          <w:bCs/>
          <w:color w:val="000000"/>
          <w:sz w:val="24"/>
          <w:szCs w:val="24"/>
          <w:vertAlign w:val="superscript"/>
        </w:rPr>
        <w:fldChar w:fldCharType="begin"/>
      </w:r>
      <w:r w:rsidRPr="005A0661">
        <w:rPr>
          <w:rFonts w:ascii="Book Antiqua" w:hAnsi="Book Antiqua"/>
          <w:bCs/>
          <w:color w:val="000000"/>
          <w:sz w:val="24"/>
          <w:szCs w:val="24"/>
          <w:vertAlign w:val="superscript"/>
        </w:rPr>
        <w:instrText xml:space="preserve"> ADDIN EN.CITE &lt;EndNote&gt;&lt;Cite&gt;&lt;Author&gt;Baselga&lt;/Author&gt;&lt;Year&gt;2009&lt;/Year&gt;&lt;RecNum&gt;134&lt;/RecNum&gt;&lt;DisplayText&gt;[8]&lt;/DisplayText&gt;&lt;record&gt;&lt;rec-number&gt;134&lt;/rec-number&gt;&lt;foreign-keys&gt;&lt;key app="EN" db-id="ep2wp9ddcafpazefx0k5ver85spx0vrda5rv"&gt;134&lt;/key&gt;&lt;/foreign-keys&gt;&lt;ref-type name="Journal Article"&gt;17&lt;/ref-type&gt;&lt;contributors&gt;&lt;authors&gt;&lt;author&gt;Baselga, J.&lt;/author&gt;&lt;author&gt;Swain, S. M.&lt;/author&gt;&lt;/authors&gt;&lt;/contributors&gt;&lt;auth-address&gt;Vall d&amp;apos;Hebron Institute of Oncology, Vall d&amp;apos;Hebron University Hospital, Passeig Vall d&amp;apos;Hebron 119-129, Barcelona 08035, Spain. jbaselga@vhio.net&lt;/auth-address&gt;&lt;titles&gt;&lt;title&gt;Novel anticancer targets: revisiting ERBB2 and discovering ERBB3&lt;/title&gt;&lt;secondary-title&gt;Nat Rev Cancer&lt;/secondary-title&gt;&lt;/titles&gt;&lt;periodical&gt;&lt;full-title&gt;Nat Rev Cancer&lt;/full-title&gt;&lt;/periodical&gt;&lt;pages&gt;463-75&lt;/pages&gt;&lt;volume&gt;9&lt;/volume&gt;&lt;number&gt;7&lt;/number&gt;&lt;edition&gt;2009/06/19&lt;/edition&gt;&lt;keywords&gt;&lt;keyword&gt;Antibodies, Monoclonal/therapeutic use&lt;/keyword&gt;&lt;keyword&gt;Antibodies, Monoclonal, Humanized&lt;/keyword&gt;&lt;keyword&gt;Dimerization&lt;/keyword&gt;&lt;keyword&gt;Female&lt;/keyword&gt;&lt;keyword&gt;HSP90 Heat-Shock Proteins/antagonists &amp;amp; inhibitors&lt;/keyword&gt;&lt;keyword&gt;Humans&lt;/keyword&gt;&lt;keyword&gt;Male&lt;/keyword&gt;&lt;keyword&gt;Neoplasms/*drug therapy/etiology&lt;/keyword&gt;&lt;keyword&gt;Phosphatidylinositol 3-Kinases/physiology&lt;/keyword&gt;&lt;keyword&gt;Protein Kinase Inhibitors/*therapeutic use&lt;/keyword&gt;&lt;keyword&gt;Proto-Oncogene Proteins c-akt/physiology&lt;/keyword&gt;&lt;keyword&gt;Receptor, erbB-2/*antagonists &amp;amp; inhibitors/chemistry/physiology&lt;/keyword&gt;&lt;keyword&gt;Receptor, erbB-3/*antagonists &amp;amp; inhibitors/chemistry/physiology&lt;/keyword&gt;&lt;keyword&gt;Signal Transduction/physiology&lt;/keyword&gt;&lt;/keywords&gt;&lt;dates&gt;&lt;year&gt;2009&lt;/year&gt;&lt;pub-dates&gt;&lt;date&gt;Jul&lt;/date&gt;&lt;/pub-dates&gt;&lt;/dates&gt;&lt;isbn&gt;1474-1768 (Electronic)&amp;#xD;1474-175X (Linking)&lt;/isbn&gt;&lt;accession-num&gt;19536107&lt;/accession-num&gt;&lt;urls&gt;&lt;related-urls&gt;&lt;url&gt;http://www.ncbi.nlm.nih.gov/pubmed/19536107&lt;/url&gt;&lt;/related-urls&gt;&lt;/urls&gt;&lt;electronic-resource-num&gt;10.1038/nrc2656&amp;#xD;nrc2656 [pii]&lt;/electronic-resource-num&gt;&lt;language&gt;eng&lt;/language&gt;&lt;/record&gt;&lt;/Cite&gt;&lt;/EndNote&gt;</w:instrText>
      </w:r>
      <w:r w:rsidRPr="005A0661">
        <w:rPr>
          <w:rFonts w:ascii="Book Antiqua" w:hAnsi="Book Antiqua"/>
          <w:bCs/>
          <w:color w:val="000000"/>
          <w:sz w:val="24"/>
          <w:szCs w:val="24"/>
          <w:vertAlign w:val="superscript"/>
        </w:rPr>
        <w:fldChar w:fldCharType="separate"/>
      </w:r>
      <w:r w:rsidRPr="005A0661">
        <w:rPr>
          <w:rFonts w:ascii="Book Antiqua" w:hAnsi="Book Antiqua"/>
          <w:bCs/>
          <w:noProof/>
          <w:color w:val="000000"/>
          <w:sz w:val="24"/>
          <w:szCs w:val="24"/>
          <w:vertAlign w:val="superscript"/>
        </w:rPr>
        <w:t>[</w:t>
      </w:r>
      <w:hyperlink w:anchor="_ENREF_8" w:tooltip="Baselga, 2009 #134" w:history="1">
        <w:r w:rsidRPr="005A0661">
          <w:rPr>
            <w:rFonts w:ascii="Book Antiqua" w:hAnsi="Book Antiqua"/>
            <w:bCs/>
            <w:noProof/>
            <w:color w:val="000000"/>
            <w:sz w:val="24"/>
            <w:szCs w:val="24"/>
            <w:vertAlign w:val="superscript"/>
          </w:rPr>
          <w:t>8</w:t>
        </w:r>
      </w:hyperlink>
      <w:r w:rsidRPr="005A0661">
        <w:rPr>
          <w:rFonts w:ascii="Book Antiqua" w:hAnsi="Book Antiqua"/>
          <w:bCs/>
          <w:noProof/>
          <w:color w:val="000000"/>
          <w:sz w:val="24"/>
          <w:szCs w:val="24"/>
          <w:vertAlign w:val="superscript"/>
        </w:rPr>
        <w:t>]</w:t>
      </w:r>
      <w:r w:rsidRPr="005A0661">
        <w:rPr>
          <w:rFonts w:ascii="Book Antiqua" w:hAnsi="Book Antiqua"/>
          <w:bCs/>
          <w:color w:val="000000"/>
          <w:sz w:val="24"/>
          <w:szCs w:val="24"/>
          <w:vertAlign w:val="superscript"/>
        </w:rPr>
        <w:fldChar w:fldCharType="end"/>
      </w:r>
      <w:r w:rsidRPr="005A0661">
        <w:rPr>
          <w:rFonts w:ascii="Book Antiqua" w:hAnsi="Book Antiqua"/>
          <w:bCs/>
          <w:color w:val="000000"/>
          <w:sz w:val="24"/>
          <w:szCs w:val="24"/>
        </w:rPr>
        <w:t>.</w:t>
      </w:r>
      <w:r w:rsidRPr="005A0661">
        <w:rPr>
          <w:rFonts w:ascii="Book Antiqua" w:hAnsi="Book Antiqua"/>
          <w:sz w:val="24"/>
          <w:szCs w:val="24"/>
        </w:rPr>
        <w:t xml:space="preserve"> </w:t>
      </w:r>
      <w:r w:rsidRPr="005A0661">
        <w:rPr>
          <w:rFonts w:ascii="Book Antiqua" w:hAnsi="Book Antiqua"/>
          <w:bCs/>
          <w:color w:val="000000"/>
          <w:sz w:val="24"/>
          <w:szCs w:val="24"/>
        </w:rPr>
        <w:t>High</w:t>
      </w:r>
      <w:r w:rsidRPr="005A0661">
        <w:rPr>
          <w:rFonts w:ascii="Book Antiqua" w:hAnsi="Book Antiqua"/>
          <w:color w:val="000000"/>
          <w:sz w:val="24"/>
          <w:szCs w:val="24"/>
        </w:rPr>
        <w:t xml:space="preserve"> HER2 expression was first detected in gastric cancer by Fukushige </w:t>
      </w:r>
      <w:r w:rsidRPr="005A0661">
        <w:rPr>
          <w:rFonts w:ascii="Book Antiqua" w:hAnsi="Book Antiqua"/>
          <w:i/>
          <w:color w:val="000000"/>
          <w:sz w:val="24"/>
          <w:szCs w:val="24"/>
        </w:rPr>
        <w:t>et al</w:t>
      </w:r>
      <w:r w:rsidRPr="005A0661">
        <w:rPr>
          <w:rFonts w:ascii="Book Antiqua" w:hAnsi="Book Antiqua"/>
          <w:bCs/>
          <w:color w:val="000000"/>
          <w:sz w:val="24"/>
          <w:szCs w:val="24"/>
          <w:vertAlign w:val="superscript"/>
        </w:rPr>
        <w:fldChar w:fldCharType="begin"/>
      </w:r>
      <w:r w:rsidRPr="005A0661">
        <w:rPr>
          <w:rFonts w:ascii="Book Antiqua" w:hAnsi="Book Antiqua"/>
          <w:bCs/>
          <w:color w:val="000000"/>
          <w:sz w:val="24"/>
          <w:szCs w:val="24"/>
          <w:vertAlign w:val="superscript"/>
        </w:rPr>
        <w:instrText xml:space="preserve"> ADDIN EN.CITE &lt;EndNote&gt;&lt;Cite&gt;&lt;Author&gt;Fukushige&lt;/Author&gt;&lt;Year&gt;1986&lt;/Year&gt;&lt;RecNum&gt;135&lt;/RecNum&gt;&lt;DisplayText&gt;[9]&lt;/DisplayText&gt;&lt;record&gt;&lt;rec-number&gt;135&lt;/rec-number&gt;&lt;foreign-keys&gt;&lt;key app="EN" db-id="ep2wp9ddcafpazefx0k5ver85spx0vrda5rv"&gt;135&lt;/key&gt;&lt;/foreign-keys&gt;&lt;ref-type name="Journal Article"&gt;17&lt;/ref-type&gt;&lt;contributors&gt;&lt;authors&gt;&lt;author&gt;Fukushige, S.&lt;/author&gt;&lt;author&gt;Matsubara, K.&lt;/author&gt;&lt;author&gt;Yoshida, M.&lt;/author&gt;&lt;author&gt;Sasaki, M.&lt;/author&gt;&lt;author&gt;Suzuki, T.&lt;/author&gt;&lt;author&gt;Semba, K.&lt;/author&gt;&lt;author&gt;Toyoshima, K.&lt;/author&gt;&lt;author&gt;Yamamoto, T.&lt;/author&gt;&lt;/authors&gt;&lt;/contributors&gt;&lt;titles&gt;&lt;title&gt;Localization of a novel v-erbB-related gene, c-erbB-2, on human chromosome 17 and its amplification in a gastric cancer cell line&lt;/title&gt;&lt;secondary-title&gt;Mol Cell Biol&lt;/secondary-title&gt;&lt;/titles&gt;&lt;periodical&gt;&lt;full-title&gt;Mol Cell Biol&lt;/full-title&gt;&lt;/periodical&gt;&lt;pages&gt;955-8&lt;/pages&gt;&lt;volume&gt;6&lt;/volume&gt;&lt;number&gt;3&lt;/number&gt;&lt;edition&gt;1986/03/01&lt;/edition&gt;&lt;keywords&gt;&lt;keyword&gt;Cell Line&lt;/keyword&gt;&lt;keyword&gt;Chromosome Mapping&lt;/keyword&gt;&lt;keyword&gt;*Chromosomes, Human, Pair 17&lt;/keyword&gt;&lt;keyword&gt;*Gene Amplification&lt;/keyword&gt;&lt;keyword&gt;Humans&lt;/keyword&gt;&lt;keyword&gt;Karyotyping&lt;/keyword&gt;&lt;keyword&gt;Nucleic Acid Hybridization&lt;/keyword&gt;&lt;keyword&gt;Poly A/genetics&lt;/keyword&gt;&lt;keyword&gt;*Proto-Oncogenes&lt;/keyword&gt;&lt;keyword&gt;RNA/genetics&lt;/keyword&gt;&lt;keyword&gt;RNA, Messenger&lt;/keyword&gt;&lt;keyword&gt;Stomach Neoplasms/*genetics&lt;/keyword&gt;&lt;keyword&gt;Transcription, Genetic&lt;/keyword&gt;&lt;/keywords&gt;&lt;dates&gt;&lt;year&gt;1986&lt;/year&gt;&lt;pub-dates&gt;&lt;date&gt;Mar&lt;/date&gt;&lt;/pub-dates&gt;&lt;/dates&gt;&lt;isbn&gt;0270-7306 (Print)&amp;#xD;0270-7306 (Linking)&lt;/isbn&gt;&lt;accession-num&gt;2430175&lt;/accession-num&gt;&lt;urls&gt;&lt;related-urls&gt;&lt;url&gt;http://www.ncbi.nlm.nih.gov/pubmed/2430175&lt;/url&gt;&lt;/related-urls&gt;&lt;/urls&gt;&lt;custom2&gt;367597&lt;/custom2&gt;&lt;language&gt;eng&lt;/language&gt;&lt;/record&gt;&lt;/Cite&gt;&lt;/EndNote&gt;</w:instrText>
      </w:r>
      <w:r w:rsidRPr="005A0661">
        <w:rPr>
          <w:rFonts w:ascii="Book Antiqua" w:hAnsi="Book Antiqua"/>
          <w:bCs/>
          <w:color w:val="000000"/>
          <w:sz w:val="24"/>
          <w:szCs w:val="24"/>
          <w:vertAlign w:val="superscript"/>
        </w:rPr>
        <w:fldChar w:fldCharType="separate"/>
      </w:r>
      <w:r w:rsidRPr="005A0661">
        <w:rPr>
          <w:rFonts w:ascii="Book Antiqua" w:hAnsi="Book Antiqua"/>
          <w:bCs/>
          <w:noProof/>
          <w:color w:val="000000"/>
          <w:sz w:val="24"/>
          <w:szCs w:val="24"/>
          <w:vertAlign w:val="superscript"/>
        </w:rPr>
        <w:t>[</w:t>
      </w:r>
      <w:hyperlink w:anchor="_ENREF_9" w:tooltip="Fukushige, 1986 #135" w:history="1">
        <w:r w:rsidRPr="005A0661">
          <w:rPr>
            <w:rFonts w:ascii="Book Antiqua" w:hAnsi="Book Antiqua"/>
            <w:bCs/>
            <w:noProof/>
            <w:color w:val="000000"/>
            <w:sz w:val="24"/>
            <w:szCs w:val="24"/>
            <w:vertAlign w:val="superscript"/>
          </w:rPr>
          <w:t>9</w:t>
        </w:r>
      </w:hyperlink>
      <w:r w:rsidRPr="005A0661">
        <w:rPr>
          <w:rFonts w:ascii="Book Antiqua" w:hAnsi="Book Antiqua"/>
          <w:bCs/>
          <w:noProof/>
          <w:color w:val="000000"/>
          <w:sz w:val="24"/>
          <w:szCs w:val="24"/>
          <w:vertAlign w:val="superscript"/>
        </w:rPr>
        <w:t>]</w:t>
      </w:r>
      <w:r w:rsidRPr="005A0661">
        <w:rPr>
          <w:rFonts w:ascii="Book Antiqua" w:hAnsi="Book Antiqua"/>
          <w:bCs/>
          <w:color w:val="000000"/>
          <w:sz w:val="24"/>
          <w:szCs w:val="24"/>
          <w:vertAlign w:val="superscript"/>
        </w:rPr>
        <w:fldChar w:fldCharType="end"/>
      </w:r>
      <w:r w:rsidRPr="005A0661">
        <w:rPr>
          <w:rFonts w:ascii="Book Antiqua" w:hAnsi="Book Antiqua"/>
          <w:bCs/>
          <w:color w:val="000000"/>
          <w:sz w:val="24"/>
          <w:szCs w:val="24"/>
        </w:rPr>
        <w:t xml:space="preserve"> in 1986.</w:t>
      </w:r>
      <w:r w:rsidRPr="005A0661">
        <w:rPr>
          <w:rFonts w:ascii="Book Antiqua" w:hAnsi="Book Antiqua"/>
          <w:color w:val="000000"/>
          <w:sz w:val="24"/>
          <w:szCs w:val="24"/>
        </w:rPr>
        <w:t xml:space="preserve"> Since then</w:t>
      </w:r>
      <w:r w:rsidRPr="005A0661">
        <w:rPr>
          <w:rFonts w:ascii="Book Antiqua" w:hAnsi="Book Antiqua"/>
          <w:bCs/>
          <w:color w:val="000000"/>
          <w:sz w:val="24"/>
          <w:szCs w:val="24"/>
        </w:rPr>
        <w:t>,</w:t>
      </w:r>
      <w:r w:rsidRPr="005A0661">
        <w:rPr>
          <w:rFonts w:ascii="Book Antiqua" w:hAnsi="Book Antiqua"/>
          <w:color w:val="000000"/>
          <w:sz w:val="24"/>
          <w:szCs w:val="24"/>
        </w:rPr>
        <w:t xml:space="preserve"> HER2 </w:t>
      </w:r>
      <w:r w:rsidRPr="005A0661">
        <w:rPr>
          <w:rFonts w:ascii="Book Antiqua" w:hAnsi="Book Antiqua"/>
          <w:color w:val="000000"/>
          <w:kern w:val="0"/>
          <w:sz w:val="24"/>
          <w:szCs w:val="24"/>
        </w:rPr>
        <w:t xml:space="preserve">amplification or overexpression </w:t>
      </w:r>
      <w:r w:rsidRPr="005A0661">
        <w:rPr>
          <w:rFonts w:ascii="Book Antiqua" w:hAnsi="Book Antiqua"/>
          <w:color w:val="000000"/>
          <w:sz w:val="24"/>
          <w:szCs w:val="24"/>
        </w:rPr>
        <w:t xml:space="preserve">was reported </w:t>
      </w:r>
      <w:r w:rsidRPr="005A0661">
        <w:rPr>
          <w:rFonts w:ascii="Book Antiqua" w:hAnsi="Book Antiqua"/>
          <w:color w:val="000000"/>
          <w:kern w:val="0"/>
          <w:sz w:val="24"/>
          <w:szCs w:val="24"/>
        </w:rPr>
        <w:t>in 7%–34% of gastric tumors,</w:t>
      </w:r>
      <w:r w:rsidRPr="005A0661">
        <w:rPr>
          <w:rFonts w:ascii="Book Antiqua" w:hAnsi="Book Antiqua"/>
          <w:color w:val="000000"/>
          <w:sz w:val="24"/>
          <w:szCs w:val="24"/>
        </w:rPr>
        <w:t xml:space="preserve"> with different expression rates in different sites</w:t>
      </w:r>
      <w:r w:rsidRPr="005A0661">
        <w:rPr>
          <w:rFonts w:ascii="Book Antiqua" w:hAnsi="Book Antiqua"/>
          <w:bCs/>
          <w:color w:val="000000"/>
          <w:sz w:val="24"/>
          <w:szCs w:val="24"/>
          <w:vertAlign w:val="superscript"/>
        </w:rPr>
        <w:fldChar w:fldCharType="begin"/>
      </w:r>
      <w:r w:rsidRPr="005A0661">
        <w:rPr>
          <w:rFonts w:ascii="Book Antiqua" w:hAnsi="Book Antiqua"/>
          <w:bCs/>
          <w:color w:val="000000"/>
          <w:sz w:val="24"/>
          <w:szCs w:val="24"/>
          <w:vertAlign w:val="superscript"/>
        </w:rPr>
        <w:instrText xml:space="preserve"> ADDIN EN.CITE &lt;EndNote&gt;&lt;Cite&gt;&lt;Author&gt;Grabsch&lt;/Author&gt;&lt;Year&gt;2010&lt;/Year&gt;&lt;RecNum&gt;137&lt;/RecNum&gt;&lt;DisplayText&gt;[10]&lt;/DisplayText&gt;&lt;record&gt;&lt;rec-number&gt;137&lt;/rec-number&gt;&lt;foreign-keys&gt;&lt;key app="EN" db-id="ep2wp9ddcafpazefx0k5ver85spx0vrda5rv"&gt;137&lt;/key&gt;&lt;/foreign-keys&gt;&lt;ref-type name="Journal Article"&gt;17&lt;/ref-type&gt;&lt;contributors&gt;&lt;authors&gt;&lt;author&gt;Grabsch, H.&lt;/author&gt;&lt;author&gt;Sivakumar, S.&lt;/author&gt;&lt;author&gt;Gray, S.&lt;/author&gt;&lt;author&gt;Gabbert, H. E.&lt;/author&gt;&lt;author&gt;Muller, W.&lt;/author&gt;&lt;/authors&gt;&lt;/contributors&gt;&lt;auth-address&gt;Pathology &amp;amp; Tumour Biology, Leeds Institute of Molecular Medicine, University of Leeds, Leeds, UK. h.i.grabsch@leeds.ac.uk&lt;/auth-address&gt;&lt;titles&gt;&lt;title&gt;HER2 expression in gastric cancer: Rare, heterogeneous and of no prognostic value - conclusions from 924 cases of two independent series&lt;/title&gt;&lt;secondary-title&gt;Cell Oncol&lt;/secondary-title&gt;&lt;/titles&gt;&lt;periodical&gt;&lt;full-title&gt;Cell Oncol&lt;/full-title&gt;&lt;/periodical&gt;&lt;pages&gt;57-65&lt;/pages&gt;&lt;volume&gt;32&lt;/volume&gt;&lt;number&gt;1-2&lt;/number&gt;&lt;edition&gt;2010/03/09&lt;/edition&gt;&lt;keywords&gt;&lt;keyword&gt;Adult&lt;/keyword&gt;&lt;keyword&gt;Aged&lt;/keyword&gt;&lt;keyword&gt;Aged, 80 and over&lt;/keyword&gt;&lt;keyword&gt;Cohort Studies&lt;/keyword&gt;&lt;keyword&gt;England&lt;/keyword&gt;&lt;keyword&gt;Female&lt;/keyword&gt;&lt;keyword&gt;Gene Expression Regulation, Neoplastic&lt;/keyword&gt;&lt;keyword&gt;Germany&lt;/keyword&gt;&lt;keyword&gt;Humans&lt;/keyword&gt;&lt;keyword&gt;Male&lt;/keyword&gt;&lt;keyword&gt;Middle Aged&lt;/keyword&gt;&lt;keyword&gt;Prognosis&lt;/keyword&gt;&lt;keyword&gt;Receptor, erbB-2/*genetics/metabolism&lt;/keyword&gt;&lt;keyword&gt;Stomach Neoplasms/*genetics/metabolism/*mortality/pathology&lt;/keyword&gt;&lt;keyword&gt;Survival&lt;/keyword&gt;&lt;keyword&gt;Young Adult&lt;/keyword&gt;&lt;/keywords&gt;&lt;dates&gt;&lt;year&gt;2010&lt;/year&gt;&lt;/dates&gt;&lt;isbn&gt;1875-8606 (Electronic)&amp;#xD;1570-5870 (Linking)&lt;/isbn&gt;&lt;accession-num&gt;20208134&lt;/accession-num&gt;&lt;urls&gt;&lt;related-urls&gt;&lt;url&gt;http://www.ncbi.nlm.nih.gov/pubmed/20208134&lt;/url&gt;&lt;/related-urls&gt;&lt;/urls&gt;&lt;electronic-resource-num&gt;10.3233/CLO-2009-0497&amp;#xD;V5601844744H843W [pii]&lt;/electronic-resource-num&gt;&lt;language&gt;eng&lt;/language&gt;&lt;/record&gt;&lt;/Cite&gt;&lt;/EndNote&gt;</w:instrText>
      </w:r>
      <w:r w:rsidRPr="005A0661">
        <w:rPr>
          <w:rFonts w:ascii="Book Antiqua" w:hAnsi="Book Antiqua"/>
          <w:bCs/>
          <w:color w:val="000000"/>
          <w:sz w:val="24"/>
          <w:szCs w:val="24"/>
          <w:vertAlign w:val="superscript"/>
        </w:rPr>
        <w:fldChar w:fldCharType="separate"/>
      </w:r>
      <w:r w:rsidRPr="005A0661">
        <w:rPr>
          <w:rFonts w:ascii="Book Antiqua" w:hAnsi="Book Antiqua"/>
          <w:bCs/>
          <w:noProof/>
          <w:color w:val="000000"/>
          <w:sz w:val="24"/>
          <w:szCs w:val="24"/>
          <w:vertAlign w:val="superscript"/>
        </w:rPr>
        <w:t>[</w:t>
      </w:r>
      <w:hyperlink w:anchor="_ENREF_10" w:tooltip="Grabsch, 2010 #137" w:history="1">
        <w:r w:rsidRPr="005A0661">
          <w:rPr>
            <w:rFonts w:ascii="Book Antiqua" w:hAnsi="Book Antiqua"/>
            <w:bCs/>
            <w:noProof/>
            <w:color w:val="000000"/>
            <w:sz w:val="24"/>
            <w:szCs w:val="24"/>
            <w:vertAlign w:val="superscript"/>
          </w:rPr>
          <w:t>10</w:t>
        </w:r>
      </w:hyperlink>
      <w:r w:rsidRPr="005A0661">
        <w:rPr>
          <w:rFonts w:ascii="Book Antiqua" w:hAnsi="Book Antiqua"/>
          <w:bCs/>
          <w:noProof/>
          <w:color w:val="000000"/>
          <w:sz w:val="24"/>
          <w:szCs w:val="24"/>
          <w:vertAlign w:val="superscript"/>
        </w:rPr>
        <w:t>]</w:t>
      </w:r>
      <w:r w:rsidRPr="005A0661">
        <w:rPr>
          <w:rFonts w:ascii="Book Antiqua" w:hAnsi="Book Antiqua"/>
          <w:bCs/>
          <w:color w:val="000000"/>
          <w:sz w:val="24"/>
          <w:szCs w:val="24"/>
          <w:vertAlign w:val="superscript"/>
        </w:rPr>
        <w:fldChar w:fldCharType="end"/>
      </w:r>
      <w:r w:rsidRPr="005A0661">
        <w:rPr>
          <w:rFonts w:ascii="Book Antiqua" w:hAnsi="Book Antiqua"/>
          <w:bCs/>
          <w:color w:val="000000"/>
          <w:sz w:val="24"/>
          <w:szCs w:val="24"/>
        </w:rPr>
        <w:t>.</w:t>
      </w:r>
      <w:r w:rsidRPr="005A0661">
        <w:rPr>
          <w:rFonts w:ascii="Book Antiqua" w:hAnsi="Book Antiqua"/>
          <w:sz w:val="24"/>
          <w:szCs w:val="24"/>
        </w:rPr>
        <w:t xml:space="preserve"> ToGA was the first international </w:t>
      </w:r>
      <w:r w:rsidRPr="005A0661">
        <w:rPr>
          <w:rFonts w:ascii="Book Antiqua" w:hAnsi="Book Antiqua"/>
          <w:bCs/>
          <w:sz w:val="24"/>
          <w:szCs w:val="24"/>
        </w:rPr>
        <w:t>multicenter</w:t>
      </w:r>
      <w:r w:rsidRPr="005A0661">
        <w:rPr>
          <w:rFonts w:ascii="Book Antiqua" w:hAnsi="Book Antiqua"/>
          <w:sz w:val="24"/>
          <w:szCs w:val="24"/>
        </w:rPr>
        <w:t xml:space="preserve"> randomized phase III clinical trial which investigated the </w:t>
      </w:r>
      <w:r w:rsidRPr="005A0661">
        <w:rPr>
          <w:rFonts w:ascii="Book Antiqua" w:hAnsi="Book Antiqua"/>
          <w:bCs/>
          <w:sz w:val="24"/>
          <w:szCs w:val="24"/>
        </w:rPr>
        <w:t>efficacy</w:t>
      </w:r>
      <w:r w:rsidRPr="005A0661">
        <w:rPr>
          <w:rFonts w:ascii="Book Antiqua" w:hAnsi="Book Antiqua"/>
          <w:sz w:val="24"/>
          <w:szCs w:val="24"/>
        </w:rPr>
        <w:t xml:space="preserve"> of trastuzumab </w:t>
      </w:r>
      <w:r w:rsidRPr="005A0661">
        <w:rPr>
          <w:rFonts w:ascii="Book Antiqua" w:hAnsi="Book Antiqua"/>
          <w:color w:val="000000"/>
          <w:sz w:val="24"/>
          <w:szCs w:val="24"/>
        </w:rPr>
        <w:t>for locally advanced, recurrent</w:t>
      </w:r>
      <w:r w:rsidRPr="005A0661">
        <w:rPr>
          <w:rFonts w:ascii="Book Antiqua" w:hAnsi="Book Antiqua"/>
          <w:bCs/>
          <w:color w:val="000000"/>
          <w:sz w:val="24"/>
          <w:szCs w:val="24"/>
        </w:rPr>
        <w:t>,</w:t>
      </w:r>
      <w:r w:rsidRPr="005A0661">
        <w:rPr>
          <w:rFonts w:ascii="Book Antiqua" w:hAnsi="Book Antiqua"/>
          <w:color w:val="000000"/>
          <w:sz w:val="24"/>
          <w:szCs w:val="24"/>
        </w:rPr>
        <w:t xml:space="preserve"> or metastatic inoperable gastric cancers</w:t>
      </w:r>
      <w:r w:rsidRPr="005A0661">
        <w:rPr>
          <w:rFonts w:ascii="Book Antiqua" w:hAnsi="Book Antiqua"/>
          <w:sz w:val="24"/>
          <w:szCs w:val="24"/>
        </w:rPr>
        <w:t xml:space="preserve">. The </w:t>
      </w:r>
      <w:r w:rsidRPr="005A0661">
        <w:rPr>
          <w:rFonts w:ascii="Book Antiqua" w:hAnsi="Book Antiqua"/>
          <w:bCs/>
          <w:color w:val="000000"/>
          <w:sz w:val="24"/>
          <w:szCs w:val="24"/>
        </w:rPr>
        <w:t>trastuzumab</w:t>
      </w:r>
      <w:r w:rsidRPr="005A0661">
        <w:rPr>
          <w:rFonts w:ascii="Book Antiqua" w:hAnsi="Book Antiqua"/>
          <w:color w:val="000000"/>
          <w:sz w:val="24"/>
          <w:szCs w:val="24"/>
        </w:rPr>
        <w:t xml:space="preserve"> group showed a 26% reduced </w:t>
      </w:r>
      <w:r w:rsidRPr="005A0661">
        <w:rPr>
          <w:rFonts w:ascii="Book Antiqua" w:hAnsi="Book Antiqua"/>
          <w:bCs/>
          <w:color w:val="000000"/>
          <w:sz w:val="24"/>
          <w:szCs w:val="24"/>
        </w:rPr>
        <w:t>mortality</w:t>
      </w:r>
      <w:r w:rsidRPr="005A0661">
        <w:rPr>
          <w:rFonts w:ascii="Book Antiqua" w:hAnsi="Book Antiqua"/>
          <w:color w:val="000000"/>
          <w:sz w:val="24"/>
          <w:szCs w:val="24"/>
        </w:rPr>
        <w:t xml:space="preserve"> rate, a 2.7</w:t>
      </w:r>
      <w:r w:rsidRPr="005A0661">
        <w:rPr>
          <w:rFonts w:ascii="Book Antiqua" w:hAnsi="Book Antiqua"/>
          <w:bCs/>
          <w:color w:val="000000"/>
          <w:sz w:val="24"/>
          <w:szCs w:val="24"/>
        </w:rPr>
        <w:t>-mo increase in</w:t>
      </w:r>
      <w:r w:rsidRPr="005A0661">
        <w:rPr>
          <w:rFonts w:ascii="Book Antiqua" w:hAnsi="Book Antiqua"/>
          <w:color w:val="000000"/>
          <w:sz w:val="24"/>
          <w:szCs w:val="24"/>
        </w:rPr>
        <w:t xml:space="preserve"> overall survival time</w:t>
      </w:r>
      <w:r w:rsidRPr="005A0661">
        <w:rPr>
          <w:rFonts w:ascii="Book Antiqua" w:hAnsi="Book Antiqua"/>
          <w:bCs/>
          <w:color w:val="000000"/>
          <w:sz w:val="24"/>
          <w:szCs w:val="24"/>
        </w:rPr>
        <w:t>,</w:t>
      </w:r>
      <w:r w:rsidRPr="005A0661">
        <w:rPr>
          <w:rFonts w:ascii="Book Antiqua" w:hAnsi="Book Antiqua"/>
          <w:color w:val="000000"/>
          <w:sz w:val="24"/>
          <w:szCs w:val="24"/>
        </w:rPr>
        <w:t xml:space="preserve"> and a 12% increase </w:t>
      </w:r>
      <w:r w:rsidRPr="005A0661">
        <w:rPr>
          <w:rFonts w:ascii="Book Antiqua" w:hAnsi="Book Antiqua"/>
          <w:bCs/>
          <w:color w:val="000000"/>
          <w:sz w:val="24"/>
          <w:szCs w:val="24"/>
        </w:rPr>
        <w:t>in</w:t>
      </w:r>
      <w:r w:rsidRPr="005A0661">
        <w:rPr>
          <w:rFonts w:ascii="Book Antiqua" w:hAnsi="Book Antiqua"/>
          <w:color w:val="000000"/>
          <w:sz w:val="24"/>
          <w:szCs w:val="24"/>
        </w:rPr>
        <w:t xml:space="preserve"> objective response rates</w:t>
      </w:r>
      <w:r w:rsidRPr="005A0661">
        <w:rPr>
          <w:rFonts w:ascii="Book Antiqua" w:hAnsi="Book Antiqua"/>
          <w:bCs/>
          <w:color w:val="000000"/>
          <w:sz w:val="24"/>
          <w:szCs w:val="24"/>
          <w:vertAlign w:val="superscript"/>
        </w:rPr>
        <w:fldChar w:fldCharType="begin">
          <w:fldData xml:space="preserve">PEVuZE5vdGU+PENpdGU+PEF1dGhvcj5CYW5nPC9BdXRob3I+PFllYXI+MjAxMDwvWWVhcj48UmVj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</w:fldData>
        </w:fldChar>
      </w:r>
      <w:r w:rsidRPr="005A0661">
        <w:rPr>
          <w:rFonts w:ascii="Book Antiqua" w:hAnsi="Book Antiqua"/>
          <w:bCs/>
          <w:color w:val="000000"/>
          <w:sz w:val="24"/>
          <w:szCs w:val="24"/>
          <w:vertAlign w:val="superscript"/>
        </w:rPr>
        <w:instrText xml:space="preserve"> ADDIN EN.CITE </w:instrText>
      </w:r>
      <w:r w:rsidRPr="005A0661">
        <w:rPr>
          <w:rFonts w:ascii="Book Antiqua" w:hAnsi="Book Antiqua"/>
          <w:bCs/>
          <w:color w:val="000000"/>
          <w:sz w:val="24"/>
          <w:szCs w:val="24"/>
          <w:vertAlign w:val="superscript"/>
        </w:rPr>
        <w:fldChar w:fldCharType="begin">
          <w:fldData xml:space="preserve">PEVuZE5vdGU+PENpdGU+PEF1dGhvcj5CYW5nPC9BdXRob3I+PFllYXI+MjAxMDwvWWVhcj48UmVj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</w:fldData>
        </w:fldChar>
      </w:r>
      <w:r w:rsidRPr="005A0661">
        <w:rPr>
          <w:rFonts w:ascii="Book Antiqua" w:hAnsi="Book Antiqua"/>
          <w:bCs/>
          <w:color w:val="000000"/>
          <w:sz w:val="24"/>
          <w:szCs w:val="24"/>
          <w:vertAlign w:val="superscript"/>
        </w:rPr>
        <w:instrText xml:space="preserve"> ADDIN EN.CITE.DATA </w:instrText>
      </w:r>
      <w:r w:rsidRPr="005A0661">
        <w:rPr>
          <w:rFonts w:ascii="Book Antiqua" w:hAnsi="Book Antiqua"/>
          <w:bCs/>
          <w:color w:val="000000"/>
          <w:sz w:val="24"/>
          <w:szCs w:val="24"/>
          <w:vertAlign w:val="superscript"/>
        </w:rPr>
      </w:r>
      <w:r w:rsidRPr="005A0661">
        <w:rPr>
          <w:rFonts w:ascii="Book Antiqua" w:hAnsi="Book Antiqua"/>
          <w:bCs/>
          <w:color w:val="000000"/>
          <w:sz w:val="24"/>
          <w:szCs w:val="24"/>
          <w:vertAlign w:val="superscript"/>
        </w:rPr>
        <w:fldChar w:fldCharType="end"/>
      </w:r>
      <w:r w:rsidRPr="005A0661">
        <w:rPr>
          <w:rFonts w:ascii="Book Antiqua" w:hAnsi="Book Antiqua"/>
          <w:bCs/>
          <w:color w:val="000000"/>
          <w:sz w:val="24"/>
          <w:szCs w:val="24"/>
          <w:vertAlign w:val="superscript"/>
        </w:rPr>
      </w:r>
      <w:r w:rsidRPr="005A0661">
        <w:rPr>
          <w:rFonts w:ascii="Book Antiqua" w:hAnsi="Book Antiqua"/>
          <w:bCs/>
          <w:color w:val="000000"/>
          <w:sz w:val="24"/>
          <w:szCs w:val="24"/>
          <w:vertAlign w:val="superscript"/>
        </w:rPr>
        <w:fldChar w:fldCharType="separate"/>
      </w:r>
      <w:r w:rsidRPr="005A0661">
        <w:rPr>
          <w:rFonts w:ascii="Book Antiqua" w:hAnsi="Book Antiqua"/>
          <w:bCs/>
          <w:noProof/>
          <w:color w:val="000000"/>
          <w:sz w:val="24"/>
          <w:szCs w:val="24"/>
          <w:vertAlign w:val="superscript"/>
        </w:rPr>
        <w:t>[</w:t>
      </w:r>
      <w:hyperlink w:anchor="_ENREF_11" w:tooltip="Bang, 2010 #138" w:history="1">
        <w:r w:rsidRPr="005A0661">
          <w:rPr>
            <w:rFonts w:ascii="Book Antiqua" w:hAnsi="Book Antiqua"/>
            <w:bCs/>
            <w:noProof/>
            <w:color w:val="000000"/>
            <w:sz w:val="24"/>
            <w:szCs w:val="24"/>
            <w:vertAlign w:val="superscript"/>
          </w:rPr>
          <w:t>11</w:t>
        </w:r>
      </w:hyperlink>
      <w:r w:rsidRPr="005A0661">
        <w:rPr>
          <w:rFonts w:ascii="Book Antiqua" w:hAnsi="Book Antiqua"/>
          <w:bCs/>
          <w:noProof/>
          <w:color w:val="000000"/>
          <w:sz w:val="24"/>
          <w:szCs w:val="24"/>
          <w:vertAlign w:val="superscript"/>
        </w:rPr>
        <w:t>]</w:t>
      </w:r>
      <w:r w:rsidRPr="005A0661">
        <w:rPr>
          <w:rFonts w:ascii="Book Antiqua" w:hAnsi="Book Antiqua"/>
          <w:bCs/>
          <w:color w:val="000000"/>
          <w:sz w:val="24"/>
          <w:szCs w:val="24"/>
          <w:vertAlign w:val="superscript"/>
        </w:rPr>
        <w:fldChar w:fldCharType="end"/>
      </w:r>
      <w:r w:rsidRPr="005A0661">
        <w:rPr>
          <w:rFonts w:ascii="Book Antiqua" w:hAnsi="Book Antiqua"/>
          <w:bCs/>
          <w:color w:val="000000"/>
          <w:sz w:val="24"/>
          <w:szCs w:val="24"/>
        </w:rPr>
        <w:t>.</w:t>
      </w:r>
      <w:r w:rsidRPr="005A0661">
        <w:rPr>
          <w:rFonts w:ascii="Book Antiqua" w:hAnsi="Book Antiqua"/>
          <w:color w:val="000000"/>
          <w:sz w:val="24"/>
          <w:szCs w:val="24"/>
        </w:rPr>
        <w:t xml:space="preserve"> In our case report, the patient was diagnosed with gastric cancer with multiple lymph node metastases along the left gastric and hepatic artery and at the left adrenal area;</w:t>
      </w:r>
      <w:r w:rsidRPr="005A0661">
        <w:rPr>
          <w:rFonts w:ascii="Book Antiqua" w:hAnsi="Book Antiqua"/>
          <w:bCs/>
          <w:color w:val="000000"/>
          <w:sz w:val="24"/>
          <w:szCs w:val="24"/>
        </w:rPr>
        <w:t xml:space="preserve"> therefore,</w:t>
      </w:r>
      <w:r w:rsidRPr="005A0661">
        <w:rPr>
          <w:rFonts w:ascii="Book Antiqua" w:hAnsi="Book Antiqua"/>
          <w:color w:val="000000"/>
          <w:sz w:val="24"/>
          <w:szCs w:val="24"/>
        </w:rPr>
        <w:t xml:space="preserve"> surgery</w:t>
      </w:r>
      <w:r w:rsidRPr="005A0661">
        <w:rPr>
          <w:rFonts w:ascii="Book Antiqua" w:hAnsi="Book Antiqua"/>
          <w:bCs/>
          <w:color w:val="000000"/>
          <w:sz w:val="24"/>
          <w:szCs w:val="24"/>
        </w:rPr>
        <w:t xml:space="preserve"> alone</w:t>
      </w:r>
      <w:r w:rsidRPr="005A0661">
        <w:rPr>
          <w:rFonts w:ascii="Book Antiqua" w:hAnsi="Book Antiqua"/>
          <w:color w:val="000000"/>
          <w:sz w:val="24"/>
          <w:szCs w:val="24"/>
        </w:rPr>
        <w:t xml:space="preserve"> was not the first option. The patient was treated with trastuzumab and XELOX for 3 cycles and </w:t>
      </w:r>
      <w:r w:rsidRPr="005A0661">
        <w:rPr>
          <w:rFonts w:ascii="Book Antiqua" w:hAnsi="Book Antiqua"/>
          <w:bCs/>
          <w:color w:val="000000"/>
          <w:sz w:val="24"/>
          <w:szCs w:val="24"/>
        </w:rPr>
        <w:t>demonstrated</w:t>
      </w:r>
      <w:r w:rsidRPr="005A0661">
        <w:rPr>
          <w:rFonts w:ascii="Book Antiqua" w:hAnsi="Book Antiqua"/>
          <w:color w:val="000000"/>
          <w:sz w:val="24"/>
          <w:szCs w:val="24"/>
        </w:rPr>
        <w:t xml:space="preserve"> partial response. After successful surgical resection, the </w:t>
      </w:r>
      <w:r w:rsidRPr="005A0661">
        <w:rPr>
          <w:rFonts w:ascii="Book Antiqua" w:hAnsi="Book Antiqua"/>
          <w:bCs/>
          <w:color w:val="000000"/>
          <w:sz w:val="24"/>
          <w:szCs w:val="24"/>
        </w:rPr>
        <w:t>pathology</w:t>
      </w:r>
      <w:r w:rsidRPr="005A0661">
        <w:rPr>
          <w:rFonts w:ascii="Book Antiqua" w:hAnsi="Book Antiqua"/>
          <w:color w:val="000000"/>
          <w:sz w:val="24"/>
          <w:szCs w:val="24"/>
        </w:rPr>
        <w:t xml:space="preserve"> report showed fibroplasia and inflammatory cell infiltrations, indicating chemotherapy</w:t>
      </w:r>
      <w:r w:rsidRPr="005A0661">
        <w:rPr>
          <w:rFonts w:ascii="Book Antiqua" w:hAnsi="Book Antiqua"/>
          <w:bCs/>
          <w:color w:val="000000"/>
          <w:sz w:val="24"/>
          <w:szCs w:val="24"/>
        </w:rPr>
        <w:t>-</w:t>
      </w:r>
      <w:r w:rsidRPr="005A0661">
        <w:rPr>
          <w:rFonts w:ascii="Book Antiqua" w:hAnsi="Book Antiqua"/>
          <w:color w:val="000000"/>
          <w:sz w:val="24"/>
          <w:szCs w:val="24"/>
        </w:rPr>
        <w:t xml:space="preserve">related changes. In our case, we </w:t>
      </w:r>
      <w:r w:rsidRPr="005A0661">
        <w:rPr>
          <w:rFonts w:ascii="Book Antiqua" w:hAnsi="Book Antiqua"/>
          <w:bCs/>
          <w:color w:val="000000"/>
          <w:sz w:val="24"/>
          <w:szCs w:val="24"/>
        </w:rPr>
        <w:t>used</w:t>
      </w:r>
      <w:r w:rsidRPr="005A0661">
        <w:rPr>
          <w:rFonts w:ascii="Book Antiqua" w:hAnsi="Book Antiqua"/>
          <w:color w:val="000000"/>
          <w:sz w:val="24"/>
          <w:szCs w:val="24"/>
        </w:rPr>
        <w:t xml:space="preserve"> a perioperative trastuzumab/oxaliplatin/capecitabine </w:t>
      </w:r>
      <w:r w:rsidRPr="005A0661">
        <w:rPr>
          <w:rFonts w:ascii="Book Antiqua" w:hAnsi="Book Antiqua"/>
          <w:bCs/>
          <w:color w:val="000000"/>
          <w:sz w:val="24"/>
          <w:szCs w:val="24"/>
        </w:rPr>
        <w:t>regimen in</w:t>
      </w:r>
      <w:r w:rsidRPr="005A0661">
        <w:rPr>
          <w:rFonts w:ascii="Book Antiqua" w:hAnsi="Book Antiqua"/>
          <w:color w:val="000000"/>
          <w:sz w:val="24"/>
          <w:szCs w:val="24"/>
        </w:rPr>
        <w:t xml:space="preserve"> an advanced gastric cancer patient, which resulted in an improved </w:t>
      </w:r>
      <w:r w:rsidRPr="005A0661">
        <w:rPr>
          <w:rFonts w:ascii="Book Antiqua" w:hAnsi="Book Antiqua"/>
          <w:bCs/>
          <w:color w:val="000000"/>
          <w:sz w:val="24"/>
          <w:szCs w:val="24"/>
        </w:rPr>
        <w:t>preoperative</w:t>
      </w:r>
      <w:r w:rsidRPr="005A0661">
        <w:rPr>
          <w:rFonts w:ascii="Book Antiqua" w:hAnsi="Book Antiqua"/>
          <w:color w:val="000000"/>
          <w:sz w:val="24"/>
          <w:szCs w:val="24"/>
        </w:rPr>
        <w:t xml:space="preserve"> condition and successful resection without recurrence </w:t>
      </w:r>
      <w:r w:rsidRPr="005A0661">
        <w:rPr>
          <w:rFonts w:ascii="Book Antiqua" w:hAnsi="Book Antiqua"/>
          <w:bCs/>
          <w:color w:val="000000"/>
          <w:sz w:val="24"/>
          <w:szCs w:val="24"/>
        </w:rPr>
        <w:t>for 1</w:t>
      </w:r>
      <w:r w:rsidRPr="005A0661">
        <w:rPr>
          <w:rFonts w:ascii="Book Antiqua" w:hAnsi="Book Antiqua"/>
          <w:color w:val="000000"/>
          <w:sz w:val="24"/>
          <w:szCs w:val="24"/>
        </w:rPr>
        <w:t xml:space="preserve"> year after treatment. Wang </w:t>
      </w:r>
      <w:r w:rsidRPr="005A0661">
        <w:rPr>
          <w:rFonts w:ascii="Book Antiqua" w:hAnsi="Book Antiqua"/>
          <w:i/>
          <w:color w:val="000000"/>
          <w:sz w:val="24"/>
          <w:szCs w:val="24"/>
        </w:rPr>
        <w:t>et al</w:t>
      </w:r>
      <w:r w:rsidRPr="005A0661">
        <w:rPr>
          <w:rFonts w:ascii="Book Antiqua" w:hAnsi="Book Antiqua"/>
          <w:bCs/>
          <w:color w:val="000000"/>
          <w:sz w:val="24"/>
          <w:szCs w:val="24"/>
          <w:vertAlign w:val="superscript"/>
        </w:rPr>
        <w:fldChar w:fldCharType="begin"/>
      </w:r>
      <w:r w:rsidRPr="005A0661">
        <w:rPr>
          <w:rFonts w:ascii="Book Antiqua" w:hAnsi="Book Antiqua"/>
          <w:bCs/>
          <w:color w:val="000000"/>
          <w:sz w:val="24"/>
          <w:szCs w:val="24"/>
          <w:vertAlign w:val="superscript"/>
        </w:rPr>
        <w:instrText xml:space="preserve"> ADDIN EN.CITE &lt;EndNote&gt;&lt;Cite&gt;&lt;Author&gt;Wang&lt;/Author&gt;&lt;Year&gt;2010&lt;/Year&gt;&lt;RecNum&gt;139&lt;/RecNum&gt;&lt;DisplayText&gt;[12]&lt;/DisplayText&gt;&lt;record&gt;&lt;rec-number&gt;139&lt;/rec-number&gt;&lt;foreign-keys&gt;&lt;key app="EN" db-id="ep2wp9ddcafpazefx0k5ver85spx0vrda5rv"&gt;139&lt;/key&gt;&lt;/foreign-keys&gt;&lt;ref-type name="Journal Article"&gt;17&lt;/ref-type&gt;&lt;contributors&gt;&lt;authors&gt;&lt;author&gt;Wang, J.&lt;/author&gt;&lt;author&gt;Saukel, G. W.&lt;/author&gt;&lt;author&gt;Garberoglio, C. A.&lt;/author&gt;&lt;author&gt;Srikureja, W.&lt;/author&gt;&lt;author&gt;Hsueh, C. T.&lt;/author&gt;&lt;/authors&gt;&lt;/contributors&gt;&lt;auth-address&gt;Division of Medical Oncology and Hematology, Loma Linda University Medical Center, Loma Linda, CA 92354, USA.&lt;/auth-address&gt;&lt;titles&gt;&lt;title&gt;Pathological complete response after neoadjuvant chemotherapy with trastuzumab-containing regimen in gastric cancer: a case report&lt;/title&gt;&lt;secondary-title&gt;J Hematol Oncol&lt;/secondary-title&gt;&lt;/titles&gt;&lt;periodical&gt;&lt;full-title&gt;J Hematol Oncol&lt;/full-title&gt;&lt;/periodical&gt;&lt;pages&gt;31&lt;/pages&gt;&lt;volume&gt;3&lt;/volume&gt;&lt;edition&gt;2010/09/11&lt;/edition&gt;&lt;keywords&gt;&lt;keyword&gt;Antibodies, Monoclonal/administration &amp;amp; dosage&lt;/keyword&gt;&lt;keyword&gt;Antibodies, Monoclonal, Humanized&lt;/keyword&gt;&lt;keyword&gt;Antineoplastic Combined Chemotherapy Protocols/*therapeutic use&lt;/keyword&gt;&lt;keyword&gt;Chemotherapy, Adjuvant&lt;/keyword&gt;&lt;keyword&gt;Humans&lt;/keyword&gt;&lt;keyword&gt;Male&lt;/keyword&gt;&lt;keyword&gt;Middle Aged&lt;/keyword&gt;&lt;keyword&gt;Stomach Neoplasms/*drug therapy/pathology&lt;/keyword&gt;&lt;/keywords&gt;&lt;dates&gt;&lt;year&gt;2010&lt;/year&gt;&lt;/dates&gt;&lt;isbn&gt;1756-8722 (Electronic)&amp;#xD;1756-8722 (Linking)&lt;/isbn&gt;&lt;accession-num&gt;20828403&lt;/accession-num&gt;&lt;urls&gt;&lt;related-urls&gt;&lt;url&gt;http://www.ncbi.nlm.nih.gov/pubmed/20828403&lt;/url&gt;&lt;/related-urls&gt;&lt;/urls&gt;&lt;custom2&gt;2944145&lt;/custom2&gt;&lt;electronic-resource-num&gt;10.1186/1756-8722-3-31&amp;#xD;1756-8722-3-31 [pii]&lt;/electronic-resource-num&gt;&lt;language&gt;eng&lt;/language&gt;&lt;/record&gt;&lt;/Cite&gt;&lt;/EndNote&gt;</w:instrText>
      </w:r>
      <w:r w:rsidRPr="005A0661">
        <w:rPr>
          <w:rFonts w:ascii="Book Antiqua" w:hAnsi="Book Antiqua"/>
          <w:bCs/>
          <w:color w:val="000000"/>
          <w:sz w:val="24"/>
          <w:szCs w:val="24"/>
          <w:vertAlign w:val="superscript"/>
        </w:rPr>
        <w:fldChar w:fldCharType="separate"/>
      </w:r>
      <w:r w:rsidRPr="005A0661">
        <w:rPr>
          <w:rFonts w:ascii="Book Antiqua" w:hAnsi="Book Antiqua"/>
          <w:bCs/>
          <w:noProof/>
          <w:color w:val="000000"/>
          <w:sz w:val="24"/>
          <w:szCs w:val="24"/>
          <w:vertAlign w:val="superscript"/>
        </w:rPr>
        <w:t>[</w:t>
      </w:r>
      <w:hyperlink w:anchor="_ENREF_12" w:tooltip="Wang, 2010 #139" w:history="1">
        <w:r w:rsidRPr="005A0661">
          <w:rPr>
            <w:rFonts w:ascii="Book Antiqua" w:hAnsi="Book Antiqua"/>
            <w:bCs/>
            <w:noProof/>
            <w:color w:val="000000"/>
            <w:sz w:val="24"/>
            <w:szCs w:val="24"/>
            <w:vertAlign w:val="superscript"/>
          </w:rPr>
          <w:t>12</w:t>
        </w:r>
      </w:hyperlink>
      <w:r w:rsidRPr="005A0661">
        <w:rPr>
          <w:rFonts w:ascii="Book Antiqua" w:hAnsi="Book Antiqua"/>
          <w:bCs/>
          <w:noProof/>
          <w:color w:val="000000"/>
          <w:sz w:val="24"/>
          <w:szCs w:val="24"/>
          <w:vertAlign w:val="superscript"/>
        </w:rPr>
        <w:t>]</w:t>
      </w:r>
      <w:r w:rsidRPr="005A0661">
        <w:rPr>
          <w:rFonts w:ascii="Book Antiqua" w:hAnsi="Book Antiqua"/>
          <w:bCs/>
          <w:color w:val="000000"/>
          <w:sz w:val="24"/>
          <w:szCs w:val="24"/>
          <w:vertAlign w:val="superscript"/>
        </w:rPr>
        <w:fldChar w:fldCharType="end"/>
      </w:r>
      <w:r w:rsidRPr="005A0661">
        <w:rPr>
          <w:rFonts w:ascii="Book Antiqua" w:hAnsi="Book Antiqua"/>
          <w:sz w:val="24"/>
          <w:szCs w:val="24"/>
        </w:rPr>
        <w:t xml:space="preserve"> </w:t>
      </w:r>
      <w:r w:rsidRPr="005A0661">
        <w:rPr>
          <w:rFonts w:ascii="Book Antiqua" w:hAnsi="Book Antiqua"/>
          <w:color w:val="000000"/>
          <w:sz w:val="24"/>
          <w:szCs w:val="24"/>
        </w:rPr>
        <w:t xml:space="preserve">and Sbitti </w:t>
      </w:r>
      <w:r w:rsidRPr="005A0661">
        <w:rPr>
          <w:rFonts w:ascii="Book Antiqua" w:hAnsi="Book Antiqua"/>
          <w:i/>
          <w:color w:val="000000"/>
          <w:sz w:val="24"/>
          <w:szCs w:val="24"/>
        </w:rPr>
        <w:t>et al</w:t>
      </w:r>
      <w:r w:rsidRPr="005A0661">
        <w:rPr>
          <w:rFonts w:ascii="Book Antiqua" w:hAnsi="Book Antiqua"/>
          <w:bCs/>
          <w:color w:val="000000"/>
          <w:sz w:val="24"/>
          <w:szCs w:val="24"/>
          <w:vertAlign w:val="superscript"/>
        </w:rPr>
        <w:fldChar w:fldCharType="begin">
          <w:fldData xml:space="preserve">PEVuZE5vdGU+PENpdGU+PEF1dGhvcj5TYml0dGk8L0F1dGhvcj48WWVhcj4yMDExPC9ZZWFyPjxS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</w:fldData>
        </w:fldChar>
      </w:r>
      <w:r w:rsidRPr="005A0661">
        <w:rPr>
          <w:rFonts w:ascii="Book Antiqua" w:hAnsi="Book Antiqua"/>
          <w:bCs/>
          <w:color w:val="000000"/>
          <w:sz w:val="24"/>
          <w:szCs w:val="24"/>
          <w:vertAlign w:val="superscript"/>
        </w:rPr>
        <w:instrText xml:space="preserve"> ADDIN EN.CITE </w:instrText>
      </w:r>
      <w:r w:rsidRPr="005A0661">
        <w:rPr>
          <w:rFonts w:ascii="Book Antiqua" w:hAnsi="Book Antiqua"/>
          <w:bCs/>
          <w:color w:val="000000"/>
          <w:sz w:val="24"/>
          <w:szCs w:val="24"/>
          <w:vertAlign w:val="superscript"/>
        </w:rPr>
        <w:fldChar w:fldCharType="begin">
          <w:fldData xml:space="preserve">PEVuZE5vdGU+PENpdGU+PEF1dGhvcj5TYml0dGk8L0F1dGhvcj48WWVhcj4yMDExPC9ZZWFyPjxS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</w:fldData>
        </w:fldChar>
      </w:r>
      <w:r w:rsidRPr="005A0661">
        <w:rPr>
          <w:rFonts w:ascii="Book Antiqua" w:hAnsi="Book Antiqua"/>
          <w:bCs/>
          <w:color w:val="000000"/>
          <w:sz w:val="24"/>
          <w:szCs w:val="24"/>
          <w:vertAlign w:val="superscript"/>
        </w:rPr>
        <w:instrText xml:space="preserve"> ADDIN EN.CITE.DATA </w:instrText>
      </w:r>
      <w:r w:rsidRPr="005A0661">
        <w:rPr>
          <w:rFonts w:ascii="Book Antiqua" w:hAnsi="Book Antiqua"/>
          <w:bCs/>
          <w:color w:val="000000"/>
          <w:sz w:val="24"/>
          <w:szCs w:val="24"/>
          <w:vertAlign w:val="superscript"/>
        </w:rPr>
      </w:r>
      <w:r w:rsidRPr="005A0661">
        <w:rPr>
          <w:rFonts w:ascii="Book Antiqua" w:hAnsi="Book Antiqua"/>
          <w:bCs/>
          <w:color w:val="000000"/>
          <w:sz w:val="24"/>
          <w:szCs w:val="24"/>
          <w:vertAlign w:val="superscript"/>
        </w:rPr>
        <w:fldChar w:fldCharType="end"/>
      </w:r>
      <w:r w:rsidRPr="005A0661">
        <w:rPr>
          <w:rFonts w:ascii="Book Antiqua" w:hAnsi="Book Antiqua"/>
          <w:bCs/>
          <w:color w:val="000000"/>
          <w:sz w:val="24"/>
          <w:szCs w:val="24"/>
          <w:vertAlign w:val="superscript"/>
        </w:rPr>
      </w:r>
      <w:r w:rsidRPr="005A0661">
        <w:rPr>
          <w:rFonts w:ascii="Book Antiqua" w:hAnsi="Book Antiqua"/>
          <w:bCs/>
          <w:color w:val="000000"/>
          <w:sz w:val="24"/>
          <w:szCs w:val="24"/>
          <w:vertAlign w:val="superscript"/>
        </w:rPr>
        <w:fldChar w:fldCharType="separate"/>
      </w:r>
      <w:r w:rsidRPr="005A0661">
        <w:rPr>
          <w:rFonts w:ascii="Book Antiqua" w:hAnsi="Book Antiqua"/>
          <w:bCs/>
          <w:noProof/>
          <w:color w:val="000000"/>
          <w:sz w:val="24"/>
          <w:szCs w:val="24"/>
          <w:vertAlign w:val="superscript"/>
        </w:rPr>
        <w:t>[</w:t>
      </w:r>
      <w:hyperlink w:anchor="_ENREF_13" w:tooltip="Sbitti, 2011 #141" w:history="1">
        <w:r w:rsidRPr="005A0661">
          <w:rPr>
            <w:rFonts w:ascii="Book Antiqua" w:hAnsi="Book Antiqua"/>
            <w:bCs/>
            <w:noProof/>
            <w:color w:val="000000"/>
            <w:sz w:val="24"/>
            <w:szCs w:val="24"/>
            <w:vertAlign w:val="superscript"/>
          </w:rPr>
          <w:t>13</w:t>
        </w:r>
      </w:hyperlink>
      <w:r w:rsidRPr="005A0661">
        <w:rPr>
          <w:rFonts w:ascii="Book Antiqua" w:hAnsi="Book Antiqua"/>
          <w:bCs/>
          <w:noProof/>
          <w:color w:val="000000"/>
          <w:sz w:val="24"/>
          <w:szCs w:val="24"/>
          <w:vertAlign w:val="superscript"/>
        </w:rPr>
        <w:t>]</w:t>
      </w:r>
      <w:r w:rsidRPr="005A0661">
        <w:rPr>
          <w:rFonts w:ascii="Book Antiqua" w:hAnsi="Book Antiqua"/>
          <w:bCs/>
          <w:color w:val="000000"/>
          <w:sz w:val="24"/>
          <w:szCs w:val="24"/>
          <w:vertAlign w:val="superscript"/>
        </w:rPr>
        <w:fldChar w:fldCharType="end"/>
      </w:r>
      <w:r w:rsidRPr="005A0661">
        <w:rPr>
          <w:rFonts w:ascii="Book Antiqua" w:hAnsi="Book Antiqua"/>
          <w:color w:val="000000"/>
          <w:sz w:val="24"/>
          <w:szCs w:val="24"/>
        </w:rPr>
        <w:t xml:space="preserve"> had reported successful neoadjuvant/perioperative trastuzumab medications for advanced gastric cancer patients. </w:t>
      </w:r>
      <w:r w:rsidRPr="005A0661">
        <w:rPr>
          <w:rFonts w:ascii="Book Antiqua" w:hAnsi="Book Antiqua"/>
          <w:bCs/>
          <w:color w:val="000000"/>
          <w:sz w:val="24"/>
          <w:szCs w:val="24"/>
        </w:rPr>
        <w:t>Furthermore</w:t>
      </w:r>
      <w:r w:rsidRPr="005A0661">
        <w:rPr>
          <w:rFonts w:ascii="Book Antiqua" w:hAnsi="Book Antiqua"/>
          <w:color w:val="000000"/>
          <w:sz w:val="24"/>
          <w:szCs w:val="24"/>
        </w:rPr>
        <w:t xml:space="preserve">, there is </w:t>
      </w:r>
      <w:r w:rsidRPr="005A0661">
        <w:rPr>
          <w:rFonts w:ascii="Book Antiqua" w:hAnsi="Book Antiqua"/>
          <w:bCs/>
          <w:color w:val="000000"/>
          <w:sz w:val="24"/>
          <w:szCs w:val="24"/>
        </w:rPr>
        <w:t>the ongoing</w:t>
      </w:r>
      <w:r w:rsidRPr="005A0661">
        <w:rPr>
          <w:rFonts w:ascii="Book Antiqua" w:hAnsi="Book Antiqua"/>
          <w:color w:val="000000"/>
          <w:sz w:val="24"/>
          <w:szCs w:val="24"/>
        </w:rPr>
        <w:t xml:space="preserve"> phase II NeoHx study (NCT01130337</w:t>
      </w:r>
      <w:r w:rsidRPr="005A0661">
        <w:rPr>
          <w:rFonts w:ascii="Book Antiqua" w:hAnsi="Book Antiqua"/>
          <w:bCs/>
          <w:color w:val="000000"/>
          <w:sz w:val="24"/>
          <w:szCs w:val="24"/>
        </w:rPr>
        <w:t>)</w:t>
      </w:r>
      <w:r w:rsidRPr="005A0661">
        <w:rPr>
          <w:rFonts w:ascii="Book Antiqua" w:hAnsi="Book Antiqua"/>
          <w:bCs/>
          <w:color w:val="000000"/>
          <w:sz w:val="24"/>
          <w:szCs w:val="24"/>
          <w:vertAlign w:val="superscript"/>
        </w:rPr>
        <w:fldChar w:fldCharType="begin"/>
      </w:r>
      <w:r w:rsidRPr="005A0661">
        <w:rPr>
          <w:rFonts w:ascii="Book Antiqua" w:hAnsi="Book Antiqua"/>
          <w:bCs/>
          <w:color w:val="000000"/>
          <w:sz w:val="24"/>
          <w:szCs w:val="24"/>
          <w:vertAlign w:val="superscript"/>
        </w:rPr>
        <w:instrText xml:space="preserve"> ADDIN EN.CITE &lt;EndNote&gt;&lt;Cite&gt;&lt;Author&gt;Fernando&lt;/Author&gt;&lt;Year&gt;2013&lt;/Year&gt;&lt;RecNum&gt;170&lt;/RecNum&gt;&lt;DisplayText&gt;[14]&lt;/DisplayText&gt;&lt;record&gt;&lt;rec-number&gt;170&lt;/rec-number&gt;&lt;foreign-keys&gt;&lt;key app="EN" db-id="ep2wp9ddcafpazefx0k5ver85spx0vrda5rv"&gt;170&lt;/key&gt;&lt;/foreign-keys&gt;&lt;ref-type name="Journal Article"&gt;17&lt;/ref-type&gt;&lt;contributors&gt;&lt;authors&gt;&lt;author&gt;Fernando, R.&lt;/author&gt;&lt;author&gt;Paula, J.&lt;/author&gt;&lt;author&gt;Pilar,G.A.&lt;/author&gt;&lt;author&gt;Carlos, L.&lt;/author&gt;&lt;author&gt;Javier, G.&lt;/author&gt;&lt;author&gt;Luisa L.&lt;/author&gt;&lt;author&gt;Maria, A.&lt;/author&gt;&lt;author&gt;Luis, L.G.&lt;/author&gt;&lt;author&gt;Maica, G.&lt;/author&gt;&lt;author&gt;Esther, F.&lt;/author&gt;&lt;author&gt;Jose, L.&lt;/author&gt;&lt;author&gt;Encarnación, G.&lt;/author&gt;&lt;author&gt;Raquel, S.&lt;/author&gt;&lt;author&gt;Eva, F.P.&lt;/author&gt;&lt;author&gt;Monica, J. &lt;/author&gt;&lt;/authors&gt;&lt;/contributors&gt;&lt;titles&gt;&lt;title&gt;&lt;style face="normal" font="default" size="100%"&gt;NeoHx study: Perioperative treatment with trastuzumab in combination with capecitabine and oxaliplatin (XELOX-T) in patients with HER2 resectable stomach or esophagogastric junction (EGJ) adenocarcinoma&lt;/style&gt;&lt;style face="normal" font="default" charset="134" size="100%"&gt;—R0 resection, pCR, and toxic- ity analysis&lt;/style&gt;&lt;/title&gt;&lt;/titles&gt;&lt;dates&gt;&lt;year&gt;2013&lt;/year&gt;&lt;/dates&gt;&lt;urls&gt;&lt;/urls&gt;&lt;/record&gt;&lt;/Cite&gt;&lt;/EndNote&gt;</w:instrText>
      </w:r>
      <w:r w:rsidRPr="005A0661">
        <w:rPr>
          <w:rFonts w:ascii="Book Antiqua" w:hAnsi="Book Antiqua"/>
          <w:bCs/>
          <w:color w:val="000000"/>
          <w:sz w:val="24"/>
          <w:szCs w:val="24"/>
          <w:vertAlign w:val="superscript"/>
        </w:rPr>
        <w:fldChar w:fldCharType="separate"/>
      </w:r>
      <w:r w:rsidRPr="005A0661">
        <w:rPr>
          <w:rFonts w:ascii="Book Antiqua" w:hAnsi="Book Antiqua"/>
          <w:bCs/>
          <w:noProof/>
          <w:color w:val="000000"/>
          <w:sz w:val="24"/>
          <w:szCs w:val="24"/>
          <w:vertAlign w:val="superscript"/>
        </w:rPr>
        <w:t>[</w:t>
      </w:r>
      <w:hyperlink w:anchor="_ENREF_14" w:tooltip="Fernando, 2013 #170" w:history="1">
        <w:r w:rsidRPr="005A0661">
          <w:rPr>
            <w:rFonts w:ascii="Book Antiqua" w:hAnsi="Book Antiqua"/>
            <w:bCs/>
            <w:noProof/>
            <w:color w:val="000000"/>
            <w:sz w:val="24"/>
            <w:szCs w:val="24"/>
            <w:vertAlign w:val="superscript"/>
          </w:rPr>
          <w:t>14</w:t>
        </w:r>
      </w:hyperlink>
      <w:r w:rsidRPr="005A0661">
        <w:rPr>
          <w:rFonts w:ascii="Book Antiqua" w:hAnsi="Book Antiqua"/>
          <w:bCs/>
          <w:noProof/>
          <w:color w:val="000000"/>
          <w:sz w:val="24"/>
          <w:szCs w:val="24"/>
          <w:vertAlign w:val="superscript"/>
        </w:rPr>
        <w:t>]</w:t>
      </w:r>
      <w:r w:rsidRPr="005A0661">
        <w:rPr>
          <w:rFonts w:ascii="Book Antiqua" w:hAnsi="Book Antiqua"/>
          <w:bCs/>
          <w:color w:val="000000"/>
          <w:sz w:val="24"/>
          <w:szCs w:val="24"/>
          <w:vertAlign w:val="superscript"/>
        </w:rPr>
        <w:fldChar w:fldCharType="end"/>
      </w:r>
      <w:r w:rsidRPr="005A0661">
        <w:rPr>
          <w:rFonts w:ascii="Book Antiqua" w:hAnsi="Book Antiqua"/>
          <w:bCs/>
          <w:color w:val="000000"/>
          <w:sz w:val="24"/>
          <w:szCs w:val="24"/>
        </w:rPr>
        <w:t>, the</w:t>
      </w:r>
      <w:r w:rsidRPr="005A0661">
        <w:rPr>
          <w:rFonts w:ascii="Book Antiqua" w:hAnsi="Book Antiqua"/>
          <w:color w:val="000000"/>
          <w:sz w:val="24"/>
          <w:szCs w:val="24"/>
        </w:rPr>
        <w:t xml:space="preserve"> preliminary results </w:t>
      </w:r>
      <w:r w:rsidRPr="005A0661">
        <w:rPr>
          <w:rFonts w:ascii="Book Antiqua" w:hAnsi="Book Antiqua"/>
          <w:bCs/>
          <w:color w:val="000000"/>
          <w:sz w:val="24"/>
          <w:szCs w:val="24"/>
        </w:rPr>
        <w:t xml:space="preserve">of which </w:t>
      </w:r>
      <w:r w:rsidRPr="005A0661">
        <w:rPr>
          <w:rFonts w:ascii="Book Antiqua" w:hAnsi="Book Antiqua"/>
          <w:color w:val="000000"/>
          <w:sz w:val="24"/>
          <w:szCs w:val="24"/>
        </w:rPr>
        <w:t xml:space="preserve">were reported </w:t>
      </w:r>
      <w:r w:rsidRPr="005A0661">
        <w:rPr>
          <w:rFonts w:ascii="Book Antiqua" w:hAnsi="Book Antiqua"/>
          <w:bCs/>
          <w:color w:val="000000"/>
          <w:sz w:val="24"/>
          <w:szCs w:val="24"/>
        </w:rPr>
        <w:t>at</w:t>
      </w:r>
      <w:r w:rsidRPr="005A0661">
        <w:rPr>
          <w:rFonts w:ascii="Book Antiqua" w:hAnsi="Book Antiqua"/>
          <w:color w:val="000000"/>
          <w:sz w:val="24"/>
          <w:szCs w:val="24"/>
        </w:rPr>
        <w:t xml:space="preserve"> this year’s ASCO meeting. In the NeoHx study, 36 </w:t>
      </w:r>
      <w:r w:rsidRPr="005A0661">
        <w:rPr>
          <w:rFonts w:ascii="Book Antiqua" w:hAnsi="Book Antiqua"/>
          <w:bCs/>
          <w:color w:val="000000"/>
          <w:sz w:val="24"/>
          <w:szCs w:val="24"/>
        </w:rPr>
        <w:t>HER2-overexpressed</w:t>
      </w:r>
      <w:r w:rsidRPr="005A0661">
        <w:rPr>
          <w:rFonts w:ascii="Book Antiqua" w:hAnsi="Book Antiqua"/>
          <w:color w:val="000000"/>
          <w:sz w:val="24"/>
          <w:szCs w:val="24"/>
        </w:rPr>
        <w:t xml:space="preserve"> gastric cancer patients were enrolled to receive perioperative treatment with trastuzumab in combination with capecitabine and oxaliplatin. The R0 resection rate was 78%, and the pCR rate was </w:t>
      </w:r>
      <w:r w:rsidRPr="005A0661">
        <w:rPr>
          <w:rFonts w:ascii="Book Antiqua" w:hAnsi="Book Antiqua"/>
          <w:sz w:val="24"/>
          <w:szCs w:val="24"/>
        </w:rPr>
        <w:t>19%. These results highlight</w:t>
      </w:r>
      <w:r w:rsidRPr="005A0661">
        <w:rPr>
          <w:rFonts w:ascii="Book Antiqua" w:hAnsi="Book Antiqua"/>
          <w:color w:val="000000"/>
          <w:sz w:val="24"/>
          <w:szCs w:val="24"/>
        </w:rPr>
        <w:t xml:space="preserve"> the usefulness of perioperative HER2 targeting</w:t>
      </w:r>
      <w:r w:rsidRPr="005A0661">
        <w:rPr>
          <w:rFonts w:ascii="Book Antiqua" w:hAnsi="Book Antiqua"/>
          <w:bCs/>
          <w:color w:val="000000"/>
          <w:sz w:val="24"/>
          <w:szCs w:val="24"/>
        </w:rPr>
        <w:t>,</w:t>
      </w:r>
      <w:r w:rsidRPr="005A0661">
        <w:rPr>
          <w:rFonts w:ascii="Book Antiqua" w:hAnsi="Book Antiqua"/>
          <w:color w:val="000000"/>
          <w:sz w:val="24"/>
          <w:szCs w:val="24"/>
        </w:rPr>
        <w:t xml:space="preserve"> and trastuzumab neoadjuvant </w:t>
      </w:r>
      <w:r w:rsidRPr="005A0661">
        <w:rPr>
          <w:rFonts w:ascii="Book Antiqua" w:hAnsi="Book Antiqua"/>
          <w:bCs/>
          <w:color w:val="000000"/>
          <w:sz w:val="24"/>
          <w:szCs w:val="24"/>
        </w:rPr>
        <w:t>treatment</w:t>
      </w:r>
      <w:r w:rsidRPr="005A0661">
        <w:rPr>
          <w:rFonts w:ascii="Book Antiqua" w:hAnsi="Book Antiqua"/>
          <w:color w:val="000000"/>
          <w:sz w:val="24"/>
          <w:szCs w:val="24"/>
        </w:rPr>
        <w:t xml:space="preserve"> for HER2</w:t>
      </w:r>
      <w:r w:rsidRPr="005A0661">
        <w:rPr>
          <w:rFonts w:ascii="Book Antiqua" w:hAnsi="Book Antiqua"/>
          <w:bCs/>
          <w:color w:val="000000"/>
          <w:sz w:val="24"/>
          <w:szCs w:val="24"/>
        </w:rPr>
        <w:t>-</w:t>
      </w:r>
      <w:r w:rsidRPr="005A0661">
        <w:rPr>
          <w:rFonts w:ascii="Book Antiqua" w:hAnsi="Book Antiqua"/>
          <w:color w:val="000000"/>
          <w:sz w:val="24"/>
          <w:szCs w:val="24"/>
        </w:rPr>
        <w:t xml:space="preserve">positive gastric cancers should be further </w:t>
      </w:r>
      <w:r w:rsidRPr="005A0661">
        <w:rPr>
          <w:rFonts w:ascii="Book Antiqua" w:hAnsi="Book Antiqua"/>
          <w:bCs/>
          <w:color w:val="000000"/>
          <w:sz w:val="24"/>
          <w:szCs w:val="24"/>
        </w:rPr>
        <w:t>investigated</w:t>
      </w:r>
      <w:r w:rsidRPr="005A0661">
        <w:rPr>
          <w:rFonts w:ascii="Book Antiqua" w:hAnsi="Book Antiqua"/>
          <w:color w:val="000000"/>
          <w:sz w:val="24"/>
          <w:szCs w:val="24"/>
        </w:rPr>
        <w:t xml:space="preserve"> by randomized controlled phase III clinical trials.</w:t>
      </w:r>
    </w:p>
    <w:p w:rsidR="0001334D" w:rsidRPr="005A0661" w:rsidRDefault="0001334D" w:rsidP="009973EA">
      <w:pPr>
        <w:snapToGrid w:val="0"/>
        <w:spacing w:line="360" w:lineRule="auto"/>
        <w:rPr>
          <w:rFonts w:ascii="Book Antiqua" w:hAnsi="Book Antiqua"/>
          <w:color w:val="000000"/>
          <w:sz w:val="24"/>
          <w:szCs w:val="24"/>
        </w:rPr>
      </w:pPr>
    </w:p>
    <w:p w:rsidR="0001334D" w:rsidRPr="005A0661" w:rsidRDefault="0001334D" w:rsidP="009973EA">
      <w:pPr>
        <w:snapToGrid w:val="0"/>
        <w:spacing w:line="360" w:lineRule="auto"/>
        <w:rPr>
          <w:rFonts w:ascii="Book Antiqua" w:hAnsi="Book Antiqua"/>
          <w:b/>
          <w:sz w:val="24"/>
          <w:szCs w:val="24"/>
        </w:rPr>
      </w:pPr>
      <w:bookmarkStart w:id="207" w:name="OLE_LINK249"/>
      <w:bookmarkStart w:id="208" w:name="OLE_LINK250"/>
      <w:r w:rsidRPr="005A0661">
        <w:rPr>
          <w:rFonts w:ascii="Book Antiqua" w:hAnsi="Book Antiqua"/>
          <w:b/>
          <w:sz w:val="24"/>
          <w:szCs w:val="24"/>
        </w:rPr>
        <w:lastRenderedPageBreak/>
        <w:t>COMMNETS</w:t>
      </w:r>
    </w:p>
    <w:p w:rsidR="0001334D" w:rsidRPr="005A0661" w:rsidRDefault="0001334D" w:rsidP="009973EA">
      <w:pPr>
        <w:snapToGrid w:val="0"/>
        <w:spacing w:line="360" w:lineRule="auto"/>
        <w:rPr>
          <w:rFonts w:ascii="Book Antiqua" w:hAnsi="Book Antiqua"/>
          <w:i/>
          <w:sz w:val="24"/>
          <w:szCs w:val="24"/>
        </w:rPr>
      </w:pPr>
      <w:r w:rsidRPr="005A0661">
        <w:rPr>
          <w:rFonts w:ascii="Book Antiqua" w:hAnsi="Book Antiqua"/>
          <w:b/>
          <w:i/>
          <w:sz w:val="24"/>
          <w:szCs w:val="24"/>
        </w:rPr>
        <w:t>Patient characteristics</w:t>
      </w:r>
    </w:p>
    <w:p w:rsidR="0001334D" w:rsidRPr="005A0661" w:rsidRDefault="0001334D" w:rsidP="009973EA">
      <w:pPr>
        <w:snapToGrid w:val="0"/>
        <w:spacing w:line="360" w:lineRule="auto"/>
        <w:rPr>
          <w:rFonts w:ascii="Book Antiqua" w:hAnsi="Book Antiqua"/>
          <w:color w:val="000000"/>
          <w:sz w:val="24"/>
          <w:szCs w:val="24"/>
        </w:rPr>
      </w:pPr>
      <w:r w:rsidRPr="005A0661">
        <w:rPr>
          <w:rFonts w:ascii="Book Antiqua" w:hAnsi="Book Antiqua"/>
          <w:sz w:val="24"/>
          <w:szCs w:val="24"/>
        </w:rPr>
        <w:t xml:space="preserve">A 63-year-old male </w:t>
      </w:r>
      <w:r w:rsidRPr="005A0661">
        <w:rPr>
          <w:rFonts w:ascii="Book Antiqua" w:hAnsi="Book Antiqua"/>
          <w:color w:val="000000"/>
          <w:sz w:val="24"/>
          <w:szCs w:val="24"/>
        </w:rPr>
        <w:t>with a family history of gastric cancer</w:t>
      </w:r>
      <w:r w:rsidRPr="005A0661">
        <w:rPr>
          <w:rFonts w:ascii="Book Antiqua" w:hAnsi="Book Antiqua"/>
          <w:sz w:val="24"/>
          <w:szCs w:val="24"/>
        </w:rPr>
        <w:t xml:space="preserve"> complaining of </w:t>
      </w:r>
      <w:r w:rsidRPr="005A0661">
        <w:rPr>
          <w:rFonts w:ascii="Book Antiqua" w:hAnsi="Book Antiqua"/>
          <w:color w:val="000000"/>
          <w:sz w:val="24"/>
          <w:szCs w:val="24"/>
        </w:rPr>
        <w:t>acid reflux, anorexia, and upper abdominal fullness.</w:t>
      </w:r>
    </w:p>
    <w:p w:rsidR="0001334D" w:rsidRPr="005A0661" w:rsidRDefault="0001334D" w:rsidP="009973EA">
      <w:pPr>
        <w:snapToGrid w:val="0"/>
        <w:spacing w:line="360" w:lineRule="auto"/>
        <w:rPr>
          <w:rFonts w:ascii="Book Antiqua" w:hAnsi="Book Antiqua"/>
          <w:sz w:val="24"/>
          <w:szCs w:val="24"/>
        </w:rPr>
      </w:pPr>
    </w:p>
    <w:p w:rsidR="0001334D" w:rsidRPr="005A0661" w:rsidRDefault="0001334D" w:rsidP="009973EA">
      <w:pPr>
        <w:snapToGrid w:val="0"/>
        <w:spacing w:line="360" w:lineRule="auto"/>
        <w:rPr>
          <w:rFonts w:ascii="Book Antiqua" w:hAnsi="Book Antiqua" w:cs="宋体"/>
          <w:b/>
          <w:i/>
          <w:color w:val="000000"/>
          <w:sz w:val="24"/>
          <w:szCs w:val="24"/>
        </w:rPr>
      </w:pPr>
      <w:r w:rsidRPr="005A0661">
        <w:rPr>
          <w:rFonts w:ascii="Book Antiqua" w:hAnsi="Book Antiqua" w:cs="Arial"/>
          <w:b/>
          <w:i/>
          <w:color w:val="000000"/>
          <w:sz w:val="24"/>
          <w:szCs w:val="24"/>
        </w:rPr>
        <w:t>Clinical diagnosis</w:t>
      </w:r>
    </w:p>
    <w:p w:rsidR="0001334D" w:rsidRPr="005A0661" w:rsidRDefault="0001334D" w:rsidP="009973EA">
      <w:pPr>
        <w:widowControl/>
        <w:snapToGrid w:val="0"/>
        <w:spacing w:line="360" w:lineRule="auto"/>
        <w:rPr>
          <w:rFonts w:ascii="Book Antiqua" w:hAnsi="Book Antiqua" w:cs="宋体"/>
          <w:color w:val="000000"/>
          <w:kern w:val="0"/>
          <w:sz w:val="24"/>
          <w:szCs w:val="24"/>
        </w:rPr>
      </w:pPr>
      <w:r w:rsidRPr="005A0661">
        <w:rPr>
          <w:rFonts w:ascii="Book Antiqua" w:hAnsi="Book Antiqua" w:cs="宋体"/>
          <w:color w:val="000000"/>
          <w:kern w:val="0"/>
          <w:sz w:val="24"/>
          <w:szCs w:val="24"/>
        </w:rPr>
        <w:t>Adenocarcinoma in the gastric antrum, with lymph node metastases along the left gastric and hepatic artery and left adrenal area.</w:t>
      </w:r>
    </w:p>
    <w:p w:rsidR="0001334D" w:rsidRPr="005A0661" w:rsidRDefault="0001334D" w:rsidP="009973EA">
      <w:pPr>
        <w:snapToGrid w:val="0"/>
        <w:spacing w:line="360" w:lineRule="auto"/>
        <w:rPr>
          <w:rFonts w:ascii="Book Antiqua" w:hAnsi="Book Antiqua"/>
          <w:b/>
          <w:sz w:val="24"/>
          <w:szCs w:val="24"/>
        </w:rPr>
      </w:pPr>
    </w:p>
    <w:p w:rsidR="0001334D" w:rsidRPr="005A0661" w:rsidRDefault="0001334D" w:rsidP="009973EA">
      <w:pPr>
        <w:snapToGrid w:val="0"/>
        <w:spacing w:line="360" w:lineRule="auto"/>
        <w:rPr>
          <w:rFonts w:ascii="Book Antiqua" w:hAnsi="Book Antiqua" w:cs="Arial"/>
          <w:b/>
          <w:i/>
          <w:color w:val="000000"/>
          <w:sz w:val="24"/>
          <w:szCs w:val="24"/>
        </w:rPr>
      </w:pPr>
      <w:r w:rsidRPr="005A0661">
        <w:rPr>
          <w:rFonts w:ascii="Book Antiqua" w:hAnsi="Book Antiqua" w:cs="Arial"/>
          <w:b/>
          <w:i/>
          <w:color w:val="000000"/>
          <w:sz w:val="24"/>
          <w:szCs w:val="24"/>
        </w:rPr>
        <w:t>Differential diagnosis</w:t>
      </w:r>
    </w:p>
    <w:p w:rsidR="0001334D" w:rsidRPr="005A0661" w:rsidRDefault="0001334D" w:rsidP="009973EA">
      <w:pPr>
        <w:snapToGrid w:val="0"/>
        <w:spacing w:line="360" w:lineRule="auto"/>
        <w:rPr>
          <w:rFonts w:ascii="Book Antiqua" w:hAnsi="Book Antiqua" w:cs="Arial"/>
          <w:color w:val="000000"/>
          <w:sz w:val="24"/>
          <w:szCs w:val="24"/>
        </w:rPr>
      </w:pPr>
      <w:r w:rsidRPr="005A0661">
        <w:rPr>
          <w:rFonts w:ascii="Book Antiqua" w:hAnsi="Book Antiqua" w:cs="Arial"/>
          <w:color w:val="000000"/>
          <w:sz w:val="24"/>
          <w:szCs w:val="24"/>
        </w:rPr>
        <w:t>All other related diseases could be excluded.</w:t>
      </w:r>
    </w:p>
    <w:p w:rsidR="0001334D" w:rsidRPr="005A0661" w:rsidRDefault="0001334D" w:rsidP="009973EA">
      <w:pPr>
        <w:snapToGrid w:val="0"/>
        <w:spacing w:line="360" w:lineRule="auto"/>
        <w:rPr>
          <w:rFonts w:ascii="Book Antiqua" w:hAnsi="Book Antiqua" w:cs="Arial"/>
          <w:color w:val="000000"/>
          <w:sz w:val="24"/>
          <w:szCs w:val="24"/>
        </w:rPr>
      </w:pPr>
    </w:p>
    <w:p w:rsidR="0001334D" w:rsidRPr="005A0661" w:rsidRDefault="0001334D" w:rsidP="009973EA">
      <w:pPr>
        <w:snapToGrid w:val="0"/>
        <w:spacing w:line="360" w:lineRule="auto"/>
        <w:rPr>
          <w:rFonts w:ascii="Book Antiqua" w:hAnsi="Book Antiqua" w:cs="Arial"/>
          <w:b/>
          <w:i/>
          <w:color w:val="000000"/>
          <w:sz w:val="24"/>
          <w:szCs w:val="24"/>
        </w:rPr>
      </w:pPr>
      <w:r w:rsidRPr="005A0661">
        <w:rPr>
          <w:rFonts w:ascii="Book Antiqua" w:hAnsi="Book Antiqua" w:cs="Arial"/>
          <w:b/>
          <w:i/>
          <w:color w:val="000000"/>
          <w:sz w:val="24"/>
          <w:szCs w:val="24"/>
        </w:rPr>
        <w:t>Laboratory tests</w:t>
      </w:r>
    </w:p>
    <w:p w:rsidR="0001334D" w:rsidRPr="005A0661" w:rsidRDefault="0001334D" w:rsidP="009973EA">
      <w:pPr>
        <w:tabs>
          <w:tab w:val="center" w:pos="4153"/>
        </w:tabs>
        <w:snapToGrid w:val="0"/>
        <w:spacing w:line="360" w:lineRule="auto"/>
        <w:rPr>
          <w:rFonts w:ascii="Book Antiqua" w:hAnsi="Book Antiqua" w:cs="Arial"/>
          <w:color w:val="000000"/>
          <w:sz w:val="24"/>
          <w:szCs w:val="24"/>
        </w:rPr>
      </w:pPr>
      <w:r w:rsidRPr="005A0661">
        <w:rPr>
          <w:rFonts w:ascii="Book Antiqua" w:hAnsi="Book Antiqua" w:cs="Arial"/>
          <w:color w:val="000000"/>
          <w:sz w:val="24"/>
          <w:szCs w:val="24"/>
        </w:rPr>
        <w:t>White blood cell 5200/</w:t>
      </w:r>
      <w:bookmarkStart w:id="209" w:name="OLE_LINK190"/>
      <w:bookmarkStart w:id="210" w:name="OLE_LINK191"/>
      <w:bookmarkStart w:id="211" w:name="OLE_LINK236"/>
      <w:bookmarkStart w:id="212" w:name="OLE_LINK238"/>
      <w:bookmarkStart w:id="213" w:name="OLE_LINK262"/>
      <w:bookmarkStart w:id="214" w:name="OLE_LINK488"/>
      <w:bookmarkStart w:id="215" w:name="OLE_LINK507"/>
      <w:bookmarkStart w:id="216" w:name="OLE_LINK577"/>
      <w:bookmarkStart w:id="217" w:name="OLE_LINK578"/>
      <w:bookmarkStart w:id="218" w:name="OLE_LINK462"/>
      <w:bookmarkStart w:id="219" w:name="OLE_LINK463"/>
      <w:bookmarkStart w:id="220" w:name="OLE_LINK443"/>
      <w:bookmarkStart w:id="221" w:name="OLE_LINK460"/>
      <w:bookmarkStart w:id="222" w:name="OLE_LINK461"/>
      <w:bookmarkStart w:id="223" w:name="OLE_LINK510"/>
      <w:bookmarkStart w:id="224" w:name="OLE_LINK519"/>
      <w:bookmarkStart w:id="225" w:name="OLE_LINK530"/>
      <w:bookmarkStart w:id="226" w:name="OLE_LINK531"/>
      <w:bookmarkStart w:id="227" w:name="OLE_LINK537"/>
      <w:bookmarkStart w:id="228" w:name="OLE_LINK538"/>
      <w:bookmarkStart w:id="229" w:name="OLE_LINK910"/>
      <w:bookmarkStart w:id="230" w:name="OLE_LINK1028"/>
      <w:bookmarkStart w:id="231" w:name="OLE_LINK1065"/>
      <w:bookmarkStart w:id="232" w:name="OLE_LINK883"/>
      <w:bookmarkStart w:id="233" w:name="OLE_LINK963"/>
      <w:bookmarkStart w:id="234" w:name="OLE_LINK984"/>
      <w:bookmarkStart w:id="235" w:name="OLE_LINK996"/>
      <w:bookmarkStart w:id="236" w:name="OLE_LINK1057"/>
      <w:bookmarkStart w:id="237" w:name="OLE_LINK965"/>
      <w:bookmarkStart w:id="238" w:name="OLE_LINK966"/>
      <w:bookmarkStart w:id="239" w:name="OLE_LINK969"/>
      <w:bookmarkStart w:id="240" w:name="OLE_LINK1011"/>
      <w:bookmarkStart w:id="241" w:name="OLE_LINK1317"/>
      <w:bookmarkStart w:id="242" w:name="OLE_LINK1318"/>
      <w:bookmarkStart w:id="243" w:name="OLE_LINK37"/>
      <w:bookmarkStart w:id="244" w:name="OLE_LINK47"/>
      <w:bookmarkStart w:id="245" w:name="OLE_LINK1726"/>
      <w:bookmarkStart w:id="246" w:name="OLE_LINK1748"/>
      <w:bookmarkStart w:id="247" w:name="OLE_LINK1780"/>
      <w:bookmarkStart w:id="248" w:name="OLE_LINK1781"/>
      <w:bookmarkStart w:id="249" w:name="OLE_LINK1796"/>
      <w:bookmarkStart w:id="250" w:name="OLE_LINK1797"/>
      <w:bookmarkStart w:id="251" w:name="OLE_LINK1956"/>
      <w:bookmarkStart w:id="252" w:name="OLE_LINK1957"/>
      <w:bookmarkStart w:id="253" w:name="OLE_LINK1823"/>
      <w:bookmarkStart w:id="254" w:name="OLE_LINK1830"/>
      <w:bookmarkStart w:id="255" w:name="OLE_LINK1831"/>
      <w:bookmarkStart w:id="256" w:name="OLE_LINK1836"/>
      <w:bookmarkStart w:id="257" w:name="OLE_LINK1838"/>
      <w:bookmarkStart w:id="258" w:name="OLE_LINK1859"/>
      <w:bookmarkStart w:id="259" w:name="OLE_LINK1996"/>
      <w:bookmarkStart w:id="260" w:name="OLE_LINK1997"/>
      <w:bookmarkStart w:id="261" w:name="OLE_LINK2213"/>
      <w:bookmarkStart w:id="262" w:name="OLE_LINK2214"/>
      <w:bookmarkStart w:id="263" w:name="OLE_LINK2293"/>
      <w:bookmarkStart w:id="264" w:name="OLE_LINK2558"/>
      <w:bookmarkStart w:id="265" w:name="OLE_LINK2579"/>
      <w:bookmarkStart w:id="266" w:name="OLE_LINK2580"/>
      <w:bookmarkStart w:id="267" w:name="OLE_LINK2564"/>
      <w:bookmarkStart w:id="268" w:name="OLE_LINK2565"/>
      <w:bookmarkStart w:id="269" w:name="OLE_LINK2574"/>
      <w:bookmarkStart w:id="270" w:name="OLE_LINK2790"/>
      <w:bookmarkStart w:id="271" w:name="OLE_LINK2817"/>
      <w:bookmarkStart w:id="272" w:name="OLE_LINK2818"/>
      <w:bookmarkStart w:id="273" w:name="OLE_LINK2798"/>
      <w:bookmarkStart w:id="274" w:name="OLE_LINK2592"/>
      <w:bookmarkStart w:id="275" w:name="OLE_LINK2594"/>
      <w:r w:rsidRPr="005A0661">
        <w:rPr>
          <w:rFonts w:ascii="Book Antiqua" w:hAnsi="Book Antiqua"/>
          <w:color w:val="000000"/>
          <w:sz w:val="24"/>
        </w:rPr>
        <w:t>μ</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r w:rsidRPr="005A0661">
        <w:rPr>
          <w:rFonts w:ascii="Book Antiqua" w:hAnsi="Book Antiqua" w:cs="Arial"/>
          <w:color w:val="000000"/>
          <w:sz w:val="24"/>
          <w:szCs w:val="24"/>
        </w:rPr>
        <w:t xml:space="preserve">L; hemoglobin 101 g/L; </w:t>
      </w:r>
      <w:r w:rsidRPr="005A0661">
        <w:rPr>
          <w:rFonts w:ascii="Book Antiqua" w:hAnsi="Book Antiqua"/>
          <w:color w:val="000000"/>
          <w:sz w:val="24"/>
          <w:szCs w:val="24"/>
        </w:rPr>
        <w:t xml:space="preserve">carcino-embryonic antigen </w:t>
      </w:r>
      <w:r w:rsidRPr="005A0661">
        <w:rPr>
          <w:rFonts w:ascii="Book Antiqua" w:hAnsi="Book Antiqua" w:cs="Arial"/>
          <w:color w:val="000000"/>
          <w:sz w:val="24"/>
          <w:szCs w:val="24"/>
        </w:rPr>
        <w:t xml:space="preserve">137 ng/mL; </w:t>
      </w:r>
      <w:r w:rsidRPr="005A0661">
        <w:rPr>
          <w:rFonts w:ascii="Book Antiqua" w:hAnsi="Book Antiqua"/>
          <w:color w:val="000000"/>
          <w:sz w:val="24"/>
          <w:szCs w:val="24"/>
        </w:rPr>
        <w:t>alpha-fetoprotein</w:t>
      </w:r>
      <w:r w:rsidRPr="005A0661">
        <w:rPr>
          <w:rFonts w:ascii="Book Antiqua" w:hAnsi="Book Antiqua" w:cs="Arial"/>
          <w:color w:val="000000"/>
          <w:sz w:val="24"/>
          <w:szCs w:val="24"/>
        </w:rPr>
        <w:t xml:space="preserve"> 1693 ng/mL; hepatic and renal function tests were within normal limits.</w:t>
      </w:r>
    </w:p>
    <w:p w:rsidR="0001334D" w:rsidRPr="005A0661" w:rsidRDefault="0001334D" w:rsidP="009973EA">
      <w:pPr>
        <w:tabs>
          <w:tab w:val="center" w:pos="4153"/>
        </w:tabs>
        <w:snapToGrid w:val="0"/>
        <w:spacing w:line="360" w:lineRule="auto"/>
        <w:rPr>
          <w:rFonts w:ascii="Book Antiqua" w:hAnsi="Book Antiqua"/>
          <w:color w:val="000000"/>
          <w:sz w:val="24"/>
          <w:szCs w:val="24"/>
        </w:rPr>
      </w:pPr>
    </w:p>
    <w:p w:rsidR="0001334D" w:rsidRPr="005A0661" w:rsidRDefault="0001334D" w:rsidP="009973EA">
      <w:pPr>
        <w:tabs>
          <w:tab w:val="center" w:pos="4153"/>
        </w:tabs>
        <w:snapToGrid w:val="0"/>
        <w:spacing w:line="360" w:lineRule="auto"/>
        <w:rPr>
          <w:rFonts w:ascii="Book Antiqua" w:hAnsi="Book Antiqua" w:cs="Arial"/>
          <w:b/>
          <w:i/>
          <w:color w:val="000000"/>
          <w:sz w:val="24"/>
          <w:szCs w:val="24"/>
        </w:rPr>
      </w:pPr>
      <w:r w:rsidRPr="005A0661">
        <w:rPr>
          <w:rFonts w:ascii="Book Antiqua" w:hAnsi="Book Antiqua" w:cs="Arial"/>
          <w:b/>
          <w:i/>
          <w:color w:val="000000"/>
          <w:sz w:val="24"/>
          <w:szCs w:val="24"/>
        </w:rPr>
        <w:t>Imaging results</w:t>
      </w:r>
    </w:p>
    <w:p w:rsidR="0001334D" w:rsidRPr="005A0661" w:rsidRDefault="0001334D" w:rsidP="009973EA">
      <w:pPr>
        <w:snapToGrid w:val="0"/>
        <w:spacing w:line="360" w:lineRule="auto"/>
        <w:rPr>
          <w:rFonts w:ascii="Book Antiqua" w:hAnsi="Book Antiqua"/>
          <w:color w:val="000000"/>
          <w:sz w:val="24"/>
          <w:szCs w:val="24"/>
        </w:rPr>
      </w:pPr>
      <w:r w:rsidRPr="005A0661">
        <w:rPr>
          <w:rFonts w:ascii="Book Antiqua" w:hAnsi="Book Antiqua" w:cs="宋体"/>
          <w:color w:val="000000"/>
          <w:kern w:val="0"/>
          <w:sz w:val="24"/>
          <w:szCs w:val="24"/>
        </w:rPr>
        <w:t>Gastroscopy images showed antral deformation and massive ulcers covered with white smear. The surrounding mucosa was irregular with rigid texture, and there were lesions involving the distal antrum, pylorus and gastric angle. Positron emission tomography–computed tomography (CT), as well as an enhanced abdominal CT, showed lymph node metastasis along the left gastric and hepatic arteries.</w:t>
      </w:r>
    </w:p>
    <w:p w:rsidR="0001334D" w:rsidRPr="005A0661" w:rsidRDefault="0001334D" w:rsidP="009973EA">
      <w:pPr>
        <w:snapToGrid w:val="0"/>
        <w:spacing w:line="360" w:lineRule="auto"/>
        <w:rPr>
          <w:rFonts w:ascii="Book Antiqua" w:hAnsi="Book Antiqua" w:cs="Arial"/>
          <w:color w:val="000000"/>
          <w:sz w:val="24"/>
          <w:szCs w:val="24"/>
        </w:rPr>
      </w:pPr>
    </w:p>
    <w:p w:rsidR="0001334D" w:rsidRPr="005A0661" w:rsidRDefault="0001334D" w:rsidP="009973EA">
      <w:pPr>
        <w:snapToGrid w:val="0"/>
        <w:spacing w:line="360" w:lineRule="auto"/>
        <w:rPr>
          <w:rFonts w:ascii="Book Antiqua" w:hAnsi="Book Antiqua" w:cs="Arial"/>
          <w:b/>
          <w:i/>
          <w:color w:val="000000"/>
          <w:sz w:val="24"/>
          <w:szCs w:val="24"/>
        </w:rPr>
      </w:pPr>
      <w:r w:rsidRPr="005A0661">
        <w:rPr>
          <w:rFonts w:ascii="Book Antiqua" w:hAnsi="Book Antiqua" w:cs="Arial"/>
          <w:b/>
          <w:i/>
          <w:color w:val="000000"/>
          <w:sz w:val="24"/>
          <w:szCs w:val="24"/>
        </w:rPr>
        <w:t>Pathology results</w:t>
      </w:r>
    </w:p>
    <w:p w:rsidR="0001334D" w:rsidRPr="005A0661" w:rsidRDefault="0001334D" w:rsidP="009973EA">
      <w:pPr>
        <w:snapToGrid w:val="0"/>
        <w:spacing w:line="360" w:lineRule="auto"/>
        <w:rPr>
          <w:rFonts w:ascii="Book Antiqua" w:hAnsi="Book Antiqua" w:cs="Arial"/>
          <w:b/>
          <w:color w:val="000000"/>
          <w:sz w:val="24"/>
          <w:szCs w:val="24"/>
        </w:rPr>
      </w:pPr>
      <w:r w:rsidRPr="005A0661">
        <w:rPr>
          <w:rFonts w:ascii="Book Antiqua" w:hAnsi="Book Antiqua" w:cs="宋体"/>
          <w:color w:val="000000"/>
          <w:kern w:val="0"/>
          <w:sz w:val="24"/>
          <w:szCs w:val="24"/>
        </w:rPr>
        <w:t xml:space="preserve">A moderately differentiated adenocarcinoma in the gastric antrum with HER2 expression was detected, and cluster amplification was demonstrated in a fluorescence </w:t>
      </w:r>
      <w:r w:rsidRPr="005A0661">
        <w:rPr>
          <w:rFonts w:ascii="Book Antiqua" w:hAnsi="Book Antiqua" w:cs="宋体"/>
          <w:i/>
          <w:color w:val="000000"/>
          <w:kern w:val="0"/>
          <w:sz w:val="24"/>
          <w:szCs w:val="24"/>
        </w:rPr>
        <w:t>in situ</w:t>
      </w:r>
      <w:r w:rsidRPr="005A0661">
        <w:rPr>
          <w:rFonts w:ascii="Book Antiqua" w:hAnsi="Book Antiqua" w:cs="宋体"/>
          <w:color w:val="000000"/>
          <w:kern w:val="0"/>
          <w:sz w:val="24"/>
          <w:szCs w:val="24"/>
        </w:rPr>
        <w:t xml:space="preserve"> hybridization assay.</w:t>
      </w:r>
    </w:p>
    <w:p w:rsidR="0001334D" w:rsidRPr="005A0661" w:rsidRDefault="0001334D" w:rsidP="009973EA">
      <w:pPr>
        <w:snapToGrid w:val="0"/>
        <w:spacing w:line="360" w:lineRule="auto"/>
        <w:rPr>
          <w:rFonts w:ascii="Book Antiqua" w:hAnsi="Book Antiqua" w:cs="Arial"/>
          <w:b/>
          <w:color w:val="000000"/>
          <w:sz w:val="24"/>
          <w:szCs w:val="24"/>
        </w:rPr>
      </w:pPr>
    </w:p>
    <w:p w:rsidR="0001334D" w:rsidRPr="005A0661" w:rsidRDefault="0001334D" w:rsidP="009973EA">
      <w:pPr>
        <w:snapToGrid w:val="0"/>
        <w:spacing w:line="360" w:lineRule="auto"/>
        <w:rPr>
          <w:rFonts w:ascii="Book Antiqua" w:hAnsi="Book Antiqua" w:cs="Arial"/>
          <w:b/>
          <w:i/>
          <w:color w:val="000000"/>
          <w:sz w:val="24"/>
          <w:szCs w:val="24"/>
        </w:rPr>
      </w:pPr>
      <w:r w:rsidRPr="005A0661">
        <w:rPr>
          <w:rFonts w:ascii="Book Antiqua" w:hAnsi="Book Antiqua" w:cs="Arial"/>
          <w:b/>
          <w:i/>
          <w:color w:val="000000"/>
          <w:sz w:val="24"/>
          <w:szCs w:val="24"/>
        </w:rPr>
        <w:t>Treatment</w:t>
      </w:r>
    </w:p>
    <w:p w:rsidR="0001334D" w:rsidRPr="005A0661" w:rsidRDefault="0001334D" w:rsidP="009973EA">
      <w:pPr>
        <w:snapToGrid w:val="0"/>
        <w:spacing w:line="360" w:lineRule="auto"/>
        <w:rPr>
          <w:rFonts w:ascii="Book Antiqua" w:hAnsi="Book Antiqua"/>
          <w:bCs/>
          <w:color w:val="000000"/>
          <w:sz w:val="24"/>
          <w:szCs w:val="24"/>
        </w:rPr>
      </w:pPr>
      <w:r w:rsidRPr="005A0661">
        <w:rPr>
          <w:rFonts w:ascii="Book Antiqua" w:hAnsi="Book Antiqua" w:cs="宋体"/>
          <w:color w:val="000000"/>
          <w:kern w:val="0"/>
          <w:sz w:val="24"/>
          <w:szCs w:val="24"/>
        </w:rPr>
        <w:lastRenderedPageBreak/>
        <w:t>Neoadjuvant capecitabine/oxaliplatin regimen in combination with herceptin, followed by surgical resection</w:t>
      </w:r>
      <w:r w:rsidRPr="005A0661">
        <w:rPr>
          <w:rFonts w:ascii="Book Antiqua" w:hAnsi="Book Antiqua"/>
          <w:color w:val="000000"/>
          <w:sz w:val="24"/>
          <w:szCs w:val="24"/>
        </w:rPr>
        <w:t>.</w:t>
      </w:r>
    </w:p>
    <w:p w:rsidR="0001334D" w:rsidRPr="005A0661" w:rsidRDefault="0001334D" w:rsidP="009973EA">
      <w:pPr>
        <w:snapToGrid w:val="0"/>
        <w:spacing w:line="360" w:lineRule="auto"/>
        <w:rPr>
          <w:rFonts w:ascii="Book Antiqua" w:hAnsi="Book Antiqua" w:cs="Arial"/>
          <w:color w:val="000000"/>
          <w:sz w:val="24"/>
          <w:szCs w:val="24"/>
        </w:rPr>
      </w:pPr>
    </w:p>
    <w:p w:rsidR="0001334D" w:rsidRPr="005A0661" w:rsidRDefault="0001334D" w:rsidP="009973EA">
      <w:pPr>
        <w:snapToGrid w:val="0"/>
        <w:spacing w:line="360" w:lineRule="auto"/>
        <w:rPr>
          <w:rFonts w:ascii="Book Antiqua" w:hAnsi="Book Antiqua" w:cs="Arial"/>
          <w:b/>
          <w:i/>
          <w:color w:val="000000"/>
          <w:sz w:val="24"/>
          <w:szCs w:val="24"/>
        </w:rPr>
      </w:pPr>
      <w:r w:rsidRPr="005A0661">
        <w:rPr>
          <w:rFonts w:ascii="Book Antiqua" w:hAnsi="Book Antiqua"/>
          <w:b/>
          <w:i/>
          <w:sz w:val="24"/>
          <w:szCs w:val="24"/>
        </w:rPr>
        <w:t>Related reports</w:t>
      </w:r>
    </w:p>
    <w:p w:rsidR="0001334D" w:rsidRPr="005A0661" w:rsidRDefault="0001334D" w:rsidP="009973EA">
      <w:pPr>
        <w:widowControl/>
        <w:snapToGrid w:val="0"/>
        <w:spacing w:line="360" w:lineRule="auto"/>
        <w:rPr>
          <w:rFonts w:ascii="Book Antiqua" w:hAnsi="Book Antiqua" w:cs="宋体"/>
          <w:color w:val="000000"/>
          <w:kern w:val="0"/>
          <w:sz w:val="24"/>
          <w:szCs w:val="24"/>
        </w:rPr>
      </w:pPr>
      <w:r w:rsidRPr="005A0661">
        <w:rPr>
          <w:rFonts w:ascii="Book Antiqua" w:hAnsi="Book Antiqua" w:cs="宋体"/>
          <w:color w:val="000000"/>
          <w:kern w:val="0"/>
          <w:sz w:val="24"/>
          <w:szCs w:val="24"/>
        </w:rPr>
        <w:t>It is generally accepted that successful surgical treatment of advanced gastric cancers relies on preoperative chemotherapies, and combining conventional cytostatic drugs with herceptin for human epidermal growth factor receptor 2 (HER2)-positive tumors is still in the experimental phase.</w:t>
      </w:r>
    </w:p>
    <w:p w:rsidR="0001334D" w:rsidRPr="005A0661" w:rsidRDefault="0001334D" w:rsidP="009973EA">
      <w:pPr>
        <w:widowControl/>
        <w:snapToGrid w:val="0"/>
        <w:spacing w:line="360" w:lineRule="auto"/>
        <w:rPr>
          <w:rFonts w:ascii="Book Antiqua" w:hAnsi="Book Antiqua" w:cs="宋体"/>
          <w:color w:val="000000"/>
          <w:kern w:val="0"/>
          <w:sz w:val="24"/>
          <w:szCs w:val="24"/>
        </w:rPr>
      </w:pPr>
    </w:p>
    <w:p w:rsidR="0001334D" w:rsidRPr="005A0661" w:rsidRDefault="0001334D" w:rsidP="009973EA">
      <w:pPr>
        <w:snapToGrid w:val="0"/>
        <w:spacing w:line="360" w:lineRule="auto"/>
        <w:rPr>
          <w:rFonts w:ascii="Book Antiqua" w:hAnsi="Book Antiqua"/>
          <w:b/>
          <w:bCs/>
          <w:i/>
          <w:color w:val="000000"/>
          <w:sz w:val="24"/>
          <w:szCs w:val="24"/>
        </w:rPr>
      </w:pPr>
      <w:r w:rsidRPr="005A0661">
        <w:rPr>
          <w:rFonts w:ascii="Book Antiqua" w:hAnsi="Book Antiqua"/>
          <w:b/>
          <w:bCs/>
          <w:i/>
          <w:color w:val="000000"/>
          <w:sz w:val="24"/>
          <w:szCs w:val="24"/>
        </w:rPr>
        <w:t>Experiences and lessons</w:t>
      </w:r>
    </w:p>
    <w:p w:rsidR="0001334D" w:rsidRPr="005A0661" w:rsidRDefault="0001334D" w:rsidP="009973EA">
      <w:pPr>
        <w:snapToGrid w:val="0"/>
        <w:spacing w:line="360" w:lineRule="auto"/>
        <w:rPr>
          <w:rFonts w:ascii="Book Antiqua" w:hAnsi="Book Antiqua"/>
          <w:bCs/>
          <w:color w:val="000000"/>
          <w:sz w:val="24"/>
          <w:szCs w:val="24"/>
        </w:rPr>
      </w:pPr>
      <w:r w:rsidRPr="005A0661">
        <w:rPr>
          <w:rFonts w:ascii="Book Antiqua" w:hAnsi="Book Antiqua"/>
          <w:bCs/>
          <w:color w:val="000000"/>
          <w:sz w:val="24"/>
          <w:szCs w:val="24"/>
        </w:rPr>
        <w:t>The usefulness of perioperative HER2 targeting and trastuzumab neoadjuvant treatment for HER2-positive gastric cancers should be further investigated by randomized controlled phase III clinical trials.</w:t>
      </w:r>
    </w:p>
    <w:p w:rsidR="0001334D" w:rsidRPr="005A0661" w:rsidRDefault="0001334D" w:rsidP="009973EA">
      <w:pPr>
        <w:widowControl/>
        <w:snapToGrid w:val="0"/>
        <w:spacing w:line="360" w:lineRule="auto"/>
        <w:rPr>
          <w:rFonts w:ascii="Book Antiqua" w:hAnsi="Book Antiqua" w:cs="宋体"/>
          <w:color w:val="000000"/>
          <w:kern w:val="0"/>
          <w:sz w:val="24"/>
          <w:szCs w:val="24"/>
        </w:rPr>
      </w:pPr>
    </w:p>
    <w:p w:rsidR="0001334D" w:rsidRPr="005A0661" w:rsidRDefault="0001334D" w:rsidP="009973EA">
      <w:pPr>
        <w:snapToGrid w:val="0"/>
        <w:spacing w:line="360" w:lineRule="auto"/>
        <w:rPr>
          <w:rFonts w:ascii="Book Antiqua" w:hAnsi="Book Antiqua"/>
          <w:b/>
          <w:i/>
          <w:sz w:val="24"/>
          <w:szCs w:val="24"/>
        </w:rPr>
      </w:pPr>
      <w:r w:rsidRPr="005A0661">
        <w:rPr>
          <w:rFonts w:ascii="Book Antiqua" w:hAnsi="Book Antiqua"/>
          <w:b/>
          <w:i/>
          <w:sz w:val="24"/>
          <w:szCs w:val="24"/>
        </w:rPr>
        <w:t>Peer review</w:t>
      </w:r>
    </w:p>
    <w:p w:rsidR="0001334D" w:rsidRPr="005A0661" w:rsidRDefault="0001334D" w:rsidP="009973EA">
      <w:pPr>
        <w:snapToGrid w:val="0"/>
        <w:spacing w:line="360" w:lineRule="auto"/>
        <w:rPr>
          <w:rFonts w:ascii="Book Antiqua" w:hAnsi="Book Antiqua"/>
          <w:bCs/>
          <w:color w:val="000000"/>
          <w:sz w:val="24"/>
          <w:szCs w:val="24"/>
        </w:rPr>
      </w:pPr>
      <w:r w:rsidRPr="005A0661">
        <w:rPr>
          <w:rFonts w:ascii="Book Antiqua" w:hAnsi="Book Antiqua"/>
          <w:bCs/>
          <w:color w:val="000000"/>
          <w:sz w:val="24"/>
          <w:szCs w:val="24"/>
        </w:rPr>
        <w:t>Accumulation of successful cases with HER2 positive gastric cancer treated with preoperative trastuzumab and standard chemotherapy is important for clinical practice.</w:t>
      </w:r>
    </w:p>
    <w:bookmarkEnd w:id="207"/>
    <w:bookmarkEnd w:id="208"/>
    <w:p w:rsidR="0001334D" w:rsidRPr="005A0661" w:rsidRDefault="0001334D" w:rsidP="009973EA">
      <w:pPr>
        <w:snapToGrid w:val="0"/>
        <w:spacing w:line="360" w:lineRule="auto"/>
        <w:rPr>
          <w:rFonts w:ascii="Book Antiqua" w:hAnsi="Book Antiqua"/>
          <w:bCs/>
          <w:color w:val="000000"/>
          <w:sz w:val="24"/>
          <w:szCs w:val="24"/>
        </w:rPr>
      </w:pPr>
    </w:p>
    <w:p w:rsidR="0001334D" w:rsidRPr="007813C4" w:rsidRDefault="0001334D" w:rsidP="0066778B">
      <w:pPr>
        <w:snapToGrid w:val="0"/>
        <w:spacing w:line="360" w:lineRule="auto"/>
        <w:rPr>
          <w:rFonts w:ascii="Book Antiqua" w:hAnsi="Book Antiqua"/>
          <w:b/>
          <w:bCs/>
          <w:color w:val="000000"/>
          <w:sz w:val="24"/>
          <w:szCs w:val="24"/>
          <w:lang w:val="de-DE"/>
        </w:rPr>
      </w:pPr>
      <w:r w:rsidRPr="007813C4">
        <w:rPr>
          <w:rFonts w:ascii="Book Antiqua" w:hAnsi="Book Antiqua"/>
          <w:b/>
          <w:bCs/>
          <w:color w:val="000000"/>
          <w:sz w:val="24"/>
          <w:szCs w:val="24"/>
          <w:lang w:val="de-DE"/>
        </w:rPr>
        <w:t>REFERENCES</w:t>
      </w:r>
    </w:p>
    <w:p w:rsidR="0001334D" w:rsidRPr="005A0661" w:rsidRDefault="0001334D" w:rsidP="005A0661">
      <w:pPr>
        <w:widowControl/>
        <w:spacing w:line="240" w:lineRule="auto"/>
        <w:jc w:val="left"/>
        <w:rPr>
          <w:rFonts w:ascii="Book Antiqua" w:hAnsi="Book Antiqua" w:cs="宋体"/>
          <w:kern w:val="0"/>
          <w:sz w:val="24"/>
          <w:szCs w:val="24"/>
        </w:rPr>
      </w:pPr>
      <w:r w:rsidRPr="007813C4">
        <w:rPr>
          <w:rFonts w:ascii="Book Antiqua" w:hAnsi="Book Antiqua" w:cs="宋体"/>
          <w:kern w:val="0"/>
          <w:sz w:val="24"/>
          <w:szCs w:val="24"/>
          <w:lang w:val="de-DE"/>
        </w:rPr>
        <w:t>1 </w:t>
      </w:r>
      <w:r w:rsidRPr="007813C4">
        <w:rPr>
          <w:rFonts w:ascii="Book Antiqua" w:hAnsi="Book Antiqua" w:cs="宋体"/>
          <w:b/>
          <w:bCs/>
          <w:kern w:val="0"/>
          <w:sz w:val="24"/>
          <w:szCs w:val="24"/>
          <w:lang w:val="de-DE"/>
        </w:rPr>
        <w:t>Kamangar F</w:t>
      </w:r>
      <w:r w:rsidRPr="007813C4">
        <w:rPr>
          <w:rFonts w:ascii="Book Antiqua" w:hAnsi="Book Antiqua" w:cs="宋体"/>
          <w:kern w:val="0"/>
          <w:sz w:val="24"/>
          <w:szCs w:val="24"/>
          <w:lang w:val="de-DE"/>
        </w:rPr>
        <w:t xml:space="preserve">, Dores GM, Anderson WF. </w:t>
      </w:r>
      <w:r w:rsidRPr="005A0661">
        <w:rPr>
          <w:rFonts w:ascii="Book Antiqua" w:hAnsi="Book Antiqua" w:cs="宋体"/>
          <w:kern w:val="0"/>
          <w:sz w:val="24"/>
          <w:szCs w:val="24"/>
        </w:rPr>
        <w:t>Patterns of cancer incidence, mortality, and prevalence across five continents: defining priorities to reduce cancer disparities in different geographic regions of the world. </w:t>
      </w:r>
      <w:r w:rsidRPr="005A0661">
        <w:rPr>
          <w:rFonts w:ascii="Book Antiqua" w:hAnsi="Book Antiqua" w:cs="宋体"/>
          <w:i/>
          <w:iCs/>
          <w:kern w:val="0"/>
          <w:sz w:val="24"/>
          <w:szCs w:val="24"/>
        </w:rPr>
        <w:t>J Clin Oncol</w:t>
      </w:r>
      <w:r w:rsidRPr="005A0661">
        <w:rPr>
          <w:rFonts w:ascii="Book Antiqua" w:hAnsi="Book Antiqua" w:cs="宋体"/>
          <w:kern w:val="0"/>
          <w:sz w:val="24"/>
          <w:szCs w:val="24"/>
        </w:rPr>
        <w:t> 2006; </w:t>
      </w:r>
      <w:r w:rsidRPr="005A0661">
        <w:rPr>
          <w:rFonts w:ascii="Book Antiqua" w:hAnsi="Book Antiqua" w:cs="宋体"/>
          <w:b/>
          <w:bCs/>
          <w:kern w:val="0"/>
          <w:sz w:val="24"/>
          <w:szCs w:val="24"/>
        </w:rPr>
        <w:t>24</w:t>
      </w:r>
      <w:r w:rsidRPr="005A0661">
        <w:rPr>
          <w:rFonts w:ascii="Book Antiqua" w:hAnsi="Book Antiqua" w:cs="宋体"/>
          <w:kern w:val="0"/>
          <w:sz w:val="24"/>
          <w:szCs w:val="24"/>
        </w:rPr>
        <w:t>: 2137-2150 [PMID: 16682732 DOI: 10.1200/JCO.2005.05.2308]</w:t>
      </w:r>
    </w:p>
    <w:p w:rsidR="0001334D" w:rsidRPr="005A0661" w:rsidRDefault="0001334D" w:rsidP="005A0661">
      <w:pPr>
        <w:widowControl/>
        <w:spacing w:line="240" w:lineRule="auto"/>
        <w:jc w:val="left"/>
        <w:rPr>
          <w:rFonts w:ascii="Book Antiqua" w:hAnsi="Book Antiqua" w:cs="宋体"/>
          <w:kern w:val="0"/>
          <w:sz w:val="24"/>
          <w:szCs w:val="24"/>
        </w:rPr>
      </w:pPr>
      <w:r w:rsidRPr="005A0661">
        <w:rPr>
          <w:rFonts w:ascii="Book Antiqua" w:hAnsi="Book Antiqua" w:cs="宋体"/>
          <w:kern w:val="0"/>
          <w:sz w:val="24"/>
          <w:szCs w:val="24"/>
        </w:rPr>
        <w:t>2 </w:t>
      </w:r>
      <w:r w:rsidRPr="005A0661">
        <w:rPr>
          <w:rFonts w:ascii="Book Antiqua" w:hAnsi="Book Antiqua" w:cs="宋体"/>
          <w:b/>
          <w:bCs/>
          <w:kern w:val="0"/>
          <w:sz w:val="24"/>
          <w:szCs w:val="24"/>
        </w:rPr>
        <w:t>Cunningham D</w:t>
      </w:r>
      <w:r w:rsidRPr="005A0661">
        <w:rPr>
          <w:rFonts w:ascii="Book Antiqua" w:hAnsi="Book Antiqua" w:cs="宋体"/>
          <w:kern w:val="0"/>
          <w:sz w:val="24"/>
          <w:szCs w:val="24"/>
        </w:rPr>
        <w:t>, Allum WH, Stenning SP, Thompson JN, Van de Velde CJ, Nicolson M, Scarffe JH, Lofts FJ, Falk SJ, Iveson TJ, Smith DB, Langley RE, Verma M, Weeden S, Chua YJ. Perioperative chemotherapy versus surgery alone for resectable gastroesophageal cancer. </w:t>
      </w:r>
      <w:r w:rsidRPr="005A0661">
        <w:rPr>
          <w:rFonts w:ascii="Book Antiqua" w:hAnsi="Book Antiqua" w:cs="宋体"/>
          <w:i/>
          <w:iCs/>
          <w:kern w:val="0"/>
          <w:sz w:val="24"/>
          <w:szCs w:val="24"/>
        </w:rPr>
        <w:t>N Engl J Med</w:t>
      </w:r>
      <w:r w:rsidRPr="005A0661">
        <w:rPr>
          <w:rFonts w:ascii="Book Antiqua" w:hAnsi="Book Antiqua" w:cs="宋体"/>
          <w:kern w:val="0"/>
          <w:sz w:val="24"/>
          <w:szCs w:val="24"/>
        </w:rPr>
        <w:t> 2006; </w:t>
      </w:r>
      <w:r w:rsidRPr="005A0661">
        <w:rPr>
          <w:rFonts w:ascii="Book Antiqua" w:hAnsi="Book Antiqua" w:cs="宋体"/>
          <w:b/>
          <w:bCs/>
          <w:kern w:val="0"/>
          <w:sz w:val="24"/>
          <w:szCs w:val="24"/>
        </w:rPr>
        <w:t>355</w:t>
      </w:r>
      <w:r w:rsidRPr="005A0661">
        <w:rPr>
          <w:rFonts w:ascii="Book Antiqua" w:hAnsi="Book Antiqua" w:cs="宋体"/>
          <w:kern w:val="0"/>
          <w:sz w:val="24"/>
          <w:szCs w:val="24"/>
        </w:rPr>
        <w:t>: 11-20 [PMID: 16822992 DOI: 10.1056/NEJMoa055531]</w:t>
      </w:r>
    </w:p>
    <w:p w:rsidR="0001334D" w:rsidRPr="005A0661" w:rsidRDefault="0001334D" w:rsidP="005A0661">
      <w:pPr>
        <w:widowControl/>
        <w:spacing w:line="240" w:lineRule="auto"/>
        <w:jc w:val="left"/>
        <w:rPr>
          <w:rFonts w:ascii="Book Antiqua" w:hAnsi="Book Antiqua" w:cs="宋体"/>
          <w:kern w:val="0"/>
          <w:sz w:val="24"/>
          <w:szCs w:val="24"/>
        </w:rPr>
      </w:pPr>
      <w:r w:rsidRPr="005A0661">
        <w:rPr>
          <w:rFonts w:ascii="Book Antiqua" w:hAnsi="Book Antiqua" w:cs="宋体"/>
          <w:kern w:val="0"/>
          <w:sz w:val="24"/>
          <w:szCs w:val="24"/>
        </w:rPr>
        <w:t>3 </w:t>
      </w:r>
      <w:r w:rsidRPr="005A0661">
        <w:rPr>
          <w:rFonts w:ascii="Book Antiqua" w:hAnsi="Book Antiqua" w:cs="宋体"/>
          <w:b/>
          <w:bCs/>
          <w:kern w:val="0"/>
          <w:sz w:val="24"/>
          <w:szCs w:val="24"/>
        </w:rPr>
        <w:t>Shah MA</w:t>
      </w:r>
      <w:r w:rsidRPr="005A0661">
        <w:rPr>
          <w:rFonts w:ascii="Book Antiqua" w:hAnsi="Book Antiqua" w:cs="宋体"/>
          <w:kern w:val="0"/>
          <w:sz w:val="24"/>
          <w:szCs w:val="24"/>
        </w:rPr>
        <w:t>. Unanswered questions in the management of gastroesophageal junction adenocarcinoma: an overview from the medical oncologist's perspective. </w:t>
      </w:r>
      <w:r w:rsidRPr="005A0661">
        <w:rPr>
          <w:rFonts w:ascii="Book Antiqua" w:hAnsi="Book Antiqua" w:cs="宋体"/>
          <w:i/>
          <w:iCs/>
          <w:kern w:val="0"/>
          <w:sz w:val="24"/>
          <w:szCs w:val="24"/>
        </w:rPr>
        <w:t>Am Soc Clin Oncol Educ Book</w:t>
      </w:r>
      <w:r w:rsidRPr="005A0661">
        <w:rPr>
          <w:rFonts w:ascii="Book Antiqua" w:hAnsi="Book Antiqua" w:cs="宋体"/>
          <w:kern w:val="0"/>
          <w:sz w:val="24"/>
          <w:szCs w:val="24"/>
        </w:rPr>
        <w:t> 2013; : [PMID: 23714486 DOI: 10.1200/EdBook_AM.2013.33.e155]</w:t>
      </w:r>
    </w:p>
    <w:p w:rsidR="0001334D" w:rsidRPr="005A0661" w:rsidRDefault="0001334D" w:rsidP="005A0661">
      <w:pPr>
        <w:widowControl/>
        <w:spacing w:line="240" w:lineRule="auto"/>
        <w:jc w:val="left"/>
        <w:rPr>
          <w:rFonts w:ascii="Book Antiqua" w:hAnsi="Book Antiqua" w:cs="宋体"/>
          <w:kern w:val="0"/>
          <w:sz w:val="24"/>
          <w:szCs w:val="24"/>
        </w:rPr>
      </w:pPr>
      <w:r w:rsidRPr="005A0661">
        <w:rPr>
          <w:rFonts w:ascii="Book Antiqua" w:hAnsi="Book Antiqua" w:cs="宋体"/>
          <w:kern w:val="0"/>
          <w:sz w:val="24"/>
          <w:szCs w:val="24"/>
        </w:rPr>
        <w:t>4 </w:t>
      </w:r>
      <w:r w:rsidRPr="005A0661">
        <w:rPr>
          <w:rFonts w:ascii="Book Antiqua" w:hAnsi="Book Antiqua" w:cs="宋体"/>
          <w:b/>
          <w:bCs/>
          <w:kern w:val="0"/>
          <w:sz w:val="24"/>
          <w:szCs w:val="24"/>
        </w:rPr>
        <w:t>Gunturu KS</w:t>
      </w:r>
      <w:r w:rsidRPr="005A0661">
        <w:rPr>
          <w:rFonts w:ascii="Book Antiqua" w:hAnsi="Book Antiqua" w:cs="宋体"/>
          <w:kern w:val="0"/>
          <w:sz w:val="24"/>
          <w:szCs w:val="24"/>
        </w:rPr>
        <w:t>, Woo Y, Beaubier N, Remotti HE, Saif MW. Gastric cancer and trastuzumab: first biologic therapy in gastric cancer. </w:t>
      </w:r>
      <w:r w:rsidRPr="005A0661">
        <w:rPr>
          <w:rFonts w:ascii="Book Antiqua" w:hAnsi="Book Antiqua" w:cs="宋体"/>
          <w:i/>
          <w:iCs/>
          <w:kern w:val="0"/>
          <w:sz w:val="24"/>
          <w:szCs w:val="24"/>
        </w:rPr>
        <w:t>Ther Adv Med Oncol</w:t>
      </w:r>
      <w:r w:rsidRPr="005A0661">
        <w:rPr>
          <w:rFonts w:ascii="Book Antiqua" w:hAnsi="Book Antiqua" w:cs="宋体"/>
          <w:kern w:val="0"/>
          <w:sz w:val="24"/>
          <w:szCs w:val="24"/>
        </w:rPr>
        <w:t> 2013; </w:t>
      </w:r>
      <w:r w:rsidRPr="005A0661">
        <w:rPr>
          <w:rFonts w:ascii="Book Antiqua" w:hAnsi="Book Antiqua" w:cs="宋体"/>
          <w:b/>
          <w:bCs/>
          <w:kern w:val="0"/>
          <w:sz w:val="24"/>
          <w:szCs w:val="24"/>
        </w:rPr>
        <w:t>5</w:t>
      </w:r>
      <w:r w:rsidRPr="005A0661">
        <w:rPr>
          <w:rFonts w:ascii="Book Antiqua" w:hAnsi="Book Antiqua" w:cs="宋体"/>
          <w:kern w:val="0"/>
          <w:sz w:val="24"/>
          <w:szCs w:val="24"/>
        </w:rPr>
        <w:t>: 143-151 [PMID: 23450234 DOI: 10.1177/1758834012469429]</w:t>
      </w:r>
    </w:p>
    <w:p w:rsidR="0001334D" w:rsidRPr="005A0661" w:rsidRDefault="0001334D" w:rsidP="005A0661">
      <w:pPr>
        <w:widowControl/>
        <w:spacing w:line="240" w:lineRule="auto"/>
        <w:jc w:val="left"/>
        <w:rPr>
          <w:rFonts w:ascii="Book Antiqua" w:hAnsi="Book Antiqua" w:cs="宋体"/>
          <w:kern w:val="0"/>
          <w:sz w:val="24"/>
          <w:szCs w:val="24"/>
        </w:rPr>
      </w:pPr>
      <w:r w:rsidRPr="005A0661">
        <w:rPr>
          <w:rFonts w:ascii="Book Antiqua" w:hAnsi="Book Antiqua" w:cs="宋体"/>
          <w:kern w:val="0"/>
          <w:sz w:val="24"/>
          <w:szCs w:val="24"/>
        </w:rPr>
        <w:lastRenderedPageBreak/>
        <w:t>5 </w:t>
      </w:r>
      <w:r w:rsidRPr="005A0661">
        <w:rPr>
          <w:rFonts w:ascii="Book Antiqua" w:hAnsi="Book Antiqua" w:cs="宋体"/>
          <w:b/>
          <w:bCs/>
          <w:kern w:val="0"/>
          <w:sz w:val="24"/>
          <w:szCs w:val="24"/>
        </w:rPr>
        <w:t>Werner M</w:t>
      </w:r>
      <w:r w:rsidRPr="005A0661">
        <w:rPr>
          <w:rFonts w:ascii="Book Antiqua" w:hAnsi="Book Antiqua" w:cs="宋体"/>
          <w:kern w:val="0"/>
          <w:sz w:val="24"/>
          <w:szCs w:val="24"/>
        </w:rPr>
        <w:t>, Laßmann S. [Update on Barrett esophagus and Barrett carcinoma]. </w:t>
      </w:r>
      <w:r w:rsidRPr="005A0661">
        <w:rPr>
          <w:rFonts w:ascii="Book Antiqua" w:hAnsi="Book Antiqua" w:cs="宋体"/>
          <w:i/>
          <w:iCs/>
          <w:kern w:val="0"/>
          <w:sz w:val="24"/>
          <w:szCs w:val="24"/>
        </w:rPr>
        <w:t>Pathologe</w:t>
      </w:r>
      <w:r w:rsidRPr="005A0661">
        <w:rPr>
          <w:rFonts w:ascii="Book Antiqua" w:hAnsi="Book Antiqua" w:cs="宋体"/>
          <w:kern w:val="0"/>
          <w:sz w:val="24"/>
          <w:szCs w:val="24"/>
        </w:rPr>
        <w:t> 2012; </w:t>
      </w:r>
      <w:r w:rsidRPr="005A0661">
        <w:rPr>
          <w:rFonts w:ascii="Book Antiqua" w:hAnsi="Book Antiqua" w:cs="宋体"/>
          <w:b/>
          <w:bCs/>
          <w:kern w:val="0"/>
          <w:sz w:val="24"/>
          <w:szCs w:val="24"/>
        </w:rPr>
        <w:t>33 Suppl 2</w:t>
      </w:r>
      <w:r w:rsidRPr="005A0661">
        <w:rPr>
          <w:rFonts w:ascii="Book Antiqua" w:hAnsi="Book Antiqua" w:cs="宋体"/>
          <w:kern w:val="0"/>
          <w:sz w:val="24"/>
          <w:szCs w:val="24"/>
        </w:rPr>
        <w:t>: 253-257 [PMID: 23011020 DOI: 10.1007/s00292-012-1662-0]</w:t>
      </w:r>
    </w:p>
    <w:p w:rsidR="0001334D" w:rsidRPr="005A0661" w:rsidRDefault="0001334D" w:rsidP="005A0661">
      <w:pPr>
        <w:widowControl/>
        <w:spacing w:line="240" w:lineRule="auto"/>
        <w:jc w:val="left"/>
        <w:rPr>
          <w:rFonts w:ascii="Book Antiqua" w:hAnsi="Book Antiqua" w:cs="宋体"/>
          <w:kern w:val="0"/>
          <w:sz w:val="24"/>
          <w:szCs w:val="24"/>
        </w:rPr>
      </w:pPr>
      <w:r w:rsidRPr="005A0661">
        <w:rPr>
          <w:rFonts w:ascii="Book Antiqua" w:hAnsi="Book Antiqua" w:cs="宋体"/>
          <w:kern w:val="0"/>
          <w:sz w:val="24"/>
          <w:szCs w:val="24"/>
        </w:rPr>
        <w:t>6 </w:t>
      </w:r>
      <w:r w:rsidRPr="005A0661">
        <w:rPr>
          <w:rFonts w:ascii="Book Antiqua" w:hAnsi="Book Antiqua" w:cs="宋体"/>
          <w:b/>
          <w:bCs/>
          <w:kern w:val="0"/>
          <w:sz w:val="24"/>
          <w:szCs w:val="24"/>
        </w:rPr>
        <w:t>Higuchi K</w:t>
      </w:r>
      <w:r w:rsidRPr="005A0661">
        <w:rPr>
          <w:rFonts w:ascii="Book Antiqua" w:hAnsi="Book Antiqua" w:cs="宋体"/>
          <w:kern w:val="0"/>
          <w:sz w:val="24"/>
          <w:szCs w:val="24"/>
        </w:rPr>
        <w:t>, Phan A, Ajani JA. Gastric cancer: advances in adjuvant and adjunct therapy. </w:t>
      </w:r>
      <w:r w:rsidRPr="005A0661">
        <w:rPr>
          <w:rFonts w:ascii="Book Antiqua" w:hAnsi="Book Antiqua" w:cs="宋体"/>
          <w:i/>
          <w:iCs/>
          <w:kern w:val="0"/>
          <w:sz w:val="24"/>
          <w:szCs w:val="24"/>
        </w:rPr>
        <w:t>Curr Treat Options Oncol</w:t>
      </w:r>
      <w:r w:rsidRPr="005A0661">
        <w:rPr>
          <w:rFonts w:ascii="Book Antiqua" w:hAnsi="Book Antiqua" w:cs="宋体"/>
          <w:kern w:val="0"/>
          <w:sz w:val="24"/>
          <w:szCs w:val="24"/>
        </w:rPr>
        <w:t> 2003; </w:t>
      </w:r>
      <w:r w:rsidRPr="005A0661">
        <w:rPr>
          <w:rFonts w:ascii="Book Antiqua" w:hAnsi="Book Antiqua" w:cs="宋体"/>
          <w:b/>
          <w:bCs/>
          <w:kern w:val="0"/>
          <w:sz w:val="24"/>
          <w:szCs w:val="24"/>
        </w:rPr>
        <w:t>4</w:t>
      </w:r>
      <w:r w:rsidRPr="005A0661">
        <w:rPr>
          <w:rFonts w:ascii="Book Antiqua" w:hAnsi="Book Antiqua" w:cs="宋体"/>
          <w:kern w:val="0"/>
          <w:sz w:val="24"/>
          <w:szCs w:val="24"/>
        </w:rPr>
        <w:t>: 413-419 [PMID: 12941201 DOI: 10.1007/s11864-003-0042-7]</w:t>
      </w:r>
    </w:p>
    <w:p w:rsidR="0001334D" w:rsidRPr="005A0661" w:rsidRDefault="0001334D" w:rsidP="005A0661">
      <w:pPr>
        <w:widowControl/>
        <w:spacing w:line="240" w:lineRule="auto"/>
        <w:jc w:val="left"/>
        <w:rPr>
          <w:rFonts w:ascii="Book Antiqua" w:hAnsi="Book Antiqua" w:cs="宋体"/>
          <w:kern w:val="0"/>
          <w:sz w:val="24"/>
          <w:szCs w:val="24"/>
        </w:rPr>
      </w:pPr>
      <w:r w:rsidRPr="005A0661">
        <w:rPr>
          <w:rFonts w:ascii="Book Antiqua" w:hAnsi="Book Antiqua" w:cs="宋体"/>
          <w:kern w:val="0"/>
          <w:sz w:val="24"/>
          <w:szCs w:val="24"/>
        </w:rPr>
        <w:t xml:space="preserve">7 </w:t>
      </w:r>
      <w:r w:rsidRPr="005A0661">
        <w:rPr>
          <w:rFonts w:ascii="Book Antiqua" w:hAnsi="Book Antiqua" w:cs="宋体"/>
          <w:b/>
          <w:kern w:val="0"/>
          <w:sz w:val="24"/>
          <w:szCs w:val="24"/>
        </w:rPr>
        <w:t>Thirion P</w:t>
      </w:r>
      <w:r w:rsidRPr="005A0661">
        <w:rPr>
          <w:rFonts w:ascii="Book Antiqua" w:hAnsi="Book Antiqua" w:cs="宋体"/>
          <w:kern w:val="0"/>
          <w:sz w:val="24"/>
          <w:szCs w:val="24"/>
        </w:rPr>
        <w:t xml:space="preserve">, Michiels S, Le Maitre A, Tierney J. Individual patient data-based meta-analysis assessing pre-operative chemotherapy in resectable oesophageal carcinoma. </w:t>
      </w:r>
      <w:r w:rsidRPr="005A0661">
        <w:rPr>
          <w:rFonts w:ascii="Book Antiqua" w:hAnsi="Book Antiqua" w:cs="宋体"/>
          <w:i/>
          <w:kern w:val="0"/>
          <w:sz w:val="24"/>
          <w:szCs w:val="24"/>
        </w:rPr>
        <w:t>J Clin Oncol</w:t>
      </w:r>
      <w:r w:rsidRPr="005A0661">
        <w:rPr>
          <w:rFonts w:ascii="Book Antiqua" w:hAnsi="Book Antiqua" w:cs="宋体"/>
          <w:kern w:val="0"/>
          <w:sz w:val="24"/>
          <w:szCs w:val="24"/>
        </w:rPr>
        <w:t xml:space="preserve"> 2007;</w:t>
      </w:r>
      <w:r w:rsidRPr="005A0661">
        <w:rPr>
          <w:rFonts w:ascii="Book Antiqua" w:hAnsi="Book Antiqua" w:cs="宋体"/>
          <w:b/>
          <w:kern w:val="0"/>
          <w:sz w:val="24"/>
          <w:szCs w:val="24"/>
        </w:rPr>
        <w:t xml:space="preserve"> 25</w:t>
      </w:r>
      <w:r w:rsidRPr="005A0661">
        <w:rPr>
          <w:rFonts w:ascii="Book Antiqua" w:hAnsi="Book Antiqua" w:cs="宋体"/>
          <w:kern w:val="0"/>
          <w:sz w:val="24"/>
          <w:szCs w:val="24"/>
        </w:rPr>
        <w:t>: 4512</w:t>
      </w:r>
    </w:p>
    <w:p w:rsidR="0001334D" w:rsidRPr="005A0661" w:rsidRDefault="0001334D" w:rsidP="005A0661">
      <w:pPr>
        <w:widowControl/>
        <w:spacing w:line="240" w:lineRule="auto"/>
        <w:jc w:val="left"/>
        <w:rPr>
          <w:rFonts w:ascii="Book Antiqua" w:hAnsi="Book Antiqua" w:cs="宋体"/>
          <w:kern w:val="0"/>
          <w:sz w:val="24"/>
          <w:szCs w:val="24"/>
        </w:rPr>
      </w:pPr>
      <w:r w:rsidRPr="005A0661">
        <w:rPr>
          <w:rFonts w:ascii="Book Antiqua" w:hAnsi="Book Antiqua" w:cs="宋体"/>
          <w:kern w:val="0"/>
          <w:sz w:val="24"/>
          <w:szCs w:val="24"/>
        </w:rPr>
        <w:t>8 </w:t>
      </w:r>
      <w:r w:rsidRPr="005A0661">
        <w:rPr>
          <w:rFonts w:ascii="Book Antiqua" w:hAnsi="Book Antiqua" w:cs="宋体"/>
          <w:b/>
          <w:bCs/>
          <w:kern w:val="0"/>
          <w:sz w:val="24"/>
          <w:szCs w:val="24"/>
        </w:rPr>
        <w:t>Baselga J</w:t>
      </w:r>
      <w:r w:rsidRPr="005A0661">
        <w:rPr>
          <w:rFonts w:ascii="Book Antiqua" w:hAnsi="Book Antiqua" w:cs="宋体"/>
          <w:kern w:val="0"/>
          <w:sz w:val="24"/>
          <w:szCs w:val="24"/>
        </w:rPr>
        <w:t>, Swain SM. Novel anticancer targets: revisiting ERBB2 and discovering ERBB3. </w:t>
      </w:r>
      <w:r w:rsidRPr="005A0661">
        <w:rPr>
          <w:rFonts w:ascii="Book Antiqua" w:hAnsi="Book Antiqua" w:cs="宋体"/>
          <w:i/>
          <w:iCs/>
          <w:kern w:val="0"/>
          <w:sz w:val="24"/>
          <w:szCs w:val="24"/>
        </w:rPr>
        <w:t>Nat Rev Cancer</w:t>
      </w:r>
      <w:r w:rsidRPr="005A0661">
        <w:rPr>
          <w:rFonts w:ascii="Book Antiqua" w:hAnsi="Book Antiqua" w:cs="宋体"/>
          <w:kern w:val="0"/>
          <w:sz w:val="24"/>
          <w:szCs w:val="24"/>
        </w:rPr>
        <w:t> 2009; </w:t>
      </w:r>
      <w:r w:rsidRPr="005A0661">
        <w:rPr>
          <w:rFonts w:ascii="Book Antiqua" w:hAnsi="Book Antiqua" w:cs="宋体"/>
          <w:b/>
          <w:bCs/>
          <w:kern w:val="0"/>
          <w:sz w:val="24"/>
          <w:szCs w:val="24"/>
        </w:rPr>
        <w:t>9</w:t>
      </w:r>
      <w:r w:rsidRPr="005A0661">
        <w:rPr>
          <w:rFonts w:ascii="Book Antiqua" w:hAnsi="Book Antiqua" w:cs="宋体"/>
          <w:kern w:val="0"/>
          <w:sz w:val="24"/>
          <w:szCs w:val="24"/>
        </w:rPr>
        <w:t>: 463-475 [PMID: 19536107 DOI: 10.1038/nrc2656]</w:t>
      </w:r>
    </w:p>
    <w:p w:rsidR="0001334D" w:rsidRPr="005A0661" w:rsidRDefault="0001334D" w:rsidP="005A0661">
      <w:pPr>
        <w:widowControl/>
        <w:spacing w:line="240" w:lineRule="auto"/>
        <w:jc w:val="left"/>
        <w:rPr>
          <w:rFonts w:ascii="Book Antiqua" w:hAnsi="Book Antiqua" w:cs="宋体"/>
          <w:kern w:val="0"/>
          <w:sz w:val="24"/>
          <w:szCs w:val="24"/>
        </w:rPr>
      </w:pPr>
      <w:r w:rsidRPr="005A0661">
        <w:rPr>
          <w:rFonts w:ascii="Book Antiqua" w:hAnsi="Book Antiqua" w:cs="宋体"/>
          <w:kern w:val="0"/>
          <w:sz w:val="24"/>
          <w:szCs w:val="24"/>
        </w:rPr>
        <w:t>9 </w:t>
      </w:r>
      <w:r w:rsidRPr="005A0661">
        <w:rPr>
          <w:rFonts w:ascii="Book Antiqua" w:hAnsi="Book Antiqua" w:cs="宋体"/>
          <w:b/>
          <w:bCs/>
          <w:kern w:val="0"/>
          <w:sz w:val="24"/>
          <w:szCs w:val="24"/>
        </w:rPr>
        <w:t>Fukushige S</w:t>
      </w:r>
      <w:r w:rsidRPr="005A0661">
        <w:rPr>
          <w:rFonts w:ascii="Book Antiqua" w:hAnsi="Book Antiqua" w:cs="宋体"/>
          <w:kern w:val="0"/>
          <w:sz w:val="24"/>
          <w:szCs w:val="24"/>
        </w:rPr>
        <w:t>, Matsubara K, Yoshida M, Sasaki M, Suzuki T, Semba K, Toyoshima K, Yamamoto T. Localization of a novel v-erbB-related gene, c-erbB-2, on human chromosome 17 and its amplification in a gastric cancer cell line. </w:t>
      </w:r>
      <w:r w:rsidRPr="005A0661">
        <w:rPr>
          <w:rFonts w:ascii="Book Antiqua" w:hAnsi="Book Antiqua" w:cs="宋体"/>
          <w:i/>
          <w:iCs/>
          <w:kern w:val="0"/>
          <w:sz w:val="24"/>
          <w:szCs w:val="24"/>
        </w:rPr>
        <w:t>Mol Cell Biol</w:t>
      </w:r>
      <w:r w:rsidRPr="005A0661">
        <w:rPr>
          <w:rFonts w:ascii="Book Antiqua" w:hAnsi="Book Antiqua" w:cs="宋体"/>
          <w:kern w:val="0"/>
          <w:sz w:val="24"/>
          <w:szCs w:val="24"/>
        </w:rPr>
        <w:t> 1986; </w:t>
      </w:r>
      <w:r w:rsidRPr="005A0661">
        <w:rPr>
          <w:rFonts w:ascii="Book Antiqua" w:hAnsi="Book Antiqua" w:cs="宋体"/>
          <w:b/>
          <w:bCs/>
          <w:kern w:val="0"/>
          <w:sz w:val="24"/>
          <w:szCs w:val="24"/>
        </w:rPr>
        <w:t>6</w:t>
      </w:r>
      <w:r w:rsidRPr="005A0661">
        <w:rPr>
          <w:rFonts w:ascii="Book Antiqua" w:hAnsi="Book Antiqua" w:cs="宋体"/>
          <w:kern w:val="0"/>
          <w:sz w:val="24"/>
          <w:szCs w:val="24"/>
        </w:rPr>
        <w:t>: 955-958 [PMID: 2430175]</w:t>
      </w:r>
    </w:p>
    <w:p w:rsidR="0001334D" w:rsidRPr="005A0661" w:rsidRDefault="0001334D" w:rsidP="005A0661">
      <w:pPr>
        <w:widowControl/>
        <w:spacing w:line="240" w:lineRule="auto"/>
        <w:jc w:val="left"/>
        <w:rPr>
          <w:rFonts w:ascii="Book Antiqua" w:hAnsi="Book Antiqua" w:cs="宋体"/>
          <w:kern w:val="0"/>
          <w:sz w:val="24"/>
          <w:szCs w:val="24"/>
        </w:rPr>
      </w:pPr>
      <w:r w:rsidRPr="005A0661">
        <w:rPr>
          <w:rFonts w:ascii="Book Antiqua" w:hAnsi="Book Antiqua" w:cs="宋体"/>
          <w:kern w:val="0"/>
          <w:sz w:val="24"/>
          <w:szCs w:val="24"/>
        </w:rPr>
        <w:t>10 </w:t>
      </w:r>
      <w:r w:rsidRPr="005A0661">
        <w:rPr>
          <w:rFonts w:ascii="Book Antiqua" w:hAnsi="Book Antiqua" w:cs="宋体"/>
          <w:b/>
          <w:bCs/>
          <w:kern w:val="0"/>
          <w:sz w:val="24"/>
          <w:szCs w:val="24"/>
        </w:rPr>
        <w:t>Grabsch H</w:t>
      </w:r>
      <w:r w:rsidRPr="005A0661">
        <w:rPr>
          <w:rFonts w:ascii="Book Antiqua" w:hAnsi="Book Antiqua" w:cs="宋体"/>
          <w:kern w:val="0"/>
          <w:sz w:val="24"/>
          <w:szCs w:val="24"/>
        </w:rPr>
        <w:t>, Sivakumar S, Gray S, Gabbert HE, Müller W. HER2 expression in gastric cancer: Rare, heterogeneous and of no prognostic value - conclusions from 924 cases of two independent series. </w:t>
      </w:r>
      <w:r w:rsidRPr="005A0661">
        <w:rPr>
          <w:rFonts w:ascii="Book Antiqua" w:hAnsi="Book Antiqua" w:cs="宋体"/>
          <w:i/>
          <w:iCs/>
          <w:kern w:val="0"/>
          <w:sz w:val="24"/>
          <w:szCs w:val="24"/>
        </w:rPr>
        <w:t>Cell Oncol</w:t>
      </w:r>
      <w:r w:rsidRPr="005A0661">
        <w:rPr>
          <w:rFonts w:ascii="Book Antiqua" w:hAnsi="Book Antiqua" w:cs="宋体"/>
          <w:kern w:val="0"/>
          <w:sz w:val="24"/>
          <w:szCs w:val="24"/>
        </w:rPr>
        <w:t> 2010; </w:t>
      </w:r>
      <w:r w:rsidRPr="005A0661">
        <w:rPr>
          <w:rFonts w:ascii="Book Antiqua" w:hAnsi="Book Antiqua" w:cs="宋体"/>
          <w:b/>
          <w:bCs/>
          <w:kern w:val="0"/>
          <w:sz w:val="24"/>
          <w:szCs w:val="24"/>
        </w:rPr>
        <w:t>32</w:t>
      </w:r>
      <w:r w:rsidRPr="005A0661">
        <w:rPr>
          <w:rFonts w:ascii="Book Antiqua" w:hAnsi="Book Antiqua" w:cs="宋体"/>
          <w:kern w:val="0"/>
          <w:sz w:val="24"/>
          <w:szCs w:val="24"/>
        </w:rPr>
        <w:t>: 57-65 [PMID: 20208134 DOI: 10.3233/CLO-2009-0497]</w:t>
      </w:r>
    </w:p>
    <w:p w:rsidR="0001334D" w:rsidRPr="005A0661" w:rsidRDefault="0001334D" w:rsidP="005A0661">
      <w:pPr>
        <w:widowControl/>
        <w:spacing w:line="240" w:lineRule="auto"/>
        <w:jc w:val="left"/>
        <w:rPr>
          <w:rFonts w:ascii="Book Antiqua" w:hAnsi="Book Antiqua" w:cs="宋体"/>
          <w:kern w:val="0"/>
          <w:sz w:val="24"/>
          <w:szCs w:val="24"/>
        </w:rPr>
      </w:pPr>
      <w:r w:rsidRPr="005A0661">
        <w:rPr>
          <w:rFonts w:ascii="Book Antiqua" w:hAnsi="Book Antiqua" w:cs="宋体"/>
          <w:kern w:val="0"/>
          <w:sz w:val="24"/>
          <w:szCs w:val="24"/>
        </w:rPr>
        <w:t>11 </w:t>
      </w:r>
      <w:r w:rsidRPr="005A0661">
        <w:rPr>
          <w:rFonts w:ascii="Book Antiqua" w:hAnsi="Book Antiqua" w:cs="宋体"/>
          <w:b/>
          <w:bCs/>
          <w:kern w:val="0"/>
          <w:sz w:val="24"/>
          <w:szCs w:val="24"/>
        </w:rPr>
        <w:t>Bang YJ</w:t>
      </w:r>
      <w:r w:rsidRPr="005A0661">
        <w:rPr>
          <w:rFonts w:ascii="Book Antiqua" w:hAnsi="Book Antiqua" w:cs="宋体"/>
          <w:kern w:val="0"/>
          <w:sz w:val="24"/>
          <w:szCs w:val="24"/>
        </w:rPr>
        <w:t>, Van Cutsem E, Feyereislova A, Chung HC, Shen L, Sawaki A, Lordick F, Ohtsu A, Omuro Y, Satoh T, Aprile G, Kulikov E, Hill J, Lehle M, Rüschoff J, Kang YK. Trastuzumab in combination with chemotherapy versus chemotherapy alone for treatment of HER2-positive advanced gastric or gastro-oesophageal junction cancer (ToGA): a phase 3, open-label, randomised controlled trial. </w:t>
      </w:r>
      <w:r w:rsidRPr="005A0661">
        <w:rPr>
          <w:rFonts w:ascii="Book Antiqua" w:hAnsi="Book Antiqua" w:cs="宋体"/>
          <w:i/>
          <w:iCs/>
          <w:kern w:val="0"/>
          <w:sz w:val="24"/>
          <w:szCs w:val="24"/>
        </w:rPr>
        <w:t>Lancet</w:t>
      </w:r>
      <w:r w:rsidRPr="005A0661">
        <w:rPr>
          <w:rFonts w:ascii="Book Antiqua" w:hAnsi="Book Antiqua" w:cs="宋体"/>
          <w:kern w:val="0"/>
          <w:sz w:val="24"/>
          <w:szCs w:val="24"/>
        </w:rPr>
        <w:t> 2010; </w:t>
      </w:r>
      <w:r w:rsidRPr="005A0661">
        <w:rPr>
          <w:rFonts w:ascii="Book Antiqua" w:hAnsi="Book Antiqua" w:cs="宋体"/>
          <w:b/>
          <w:bCs/>
          <w:kern w:val="0"/>
          <w:sz w:val="24"/>
          <w:szCs w:val="24"/>
        </w:rPr>
        <w:t>376</w:t>
      </w:r>
      <w:r w:rsidRPr="005A0661">
        <w:rPr>
          <w:rFonts w:ascii="Book Antiqua" w:hAnsi="Book Antiqua" w:cs="宋体"/>
          <w:kern w:val="0"/>
          <w:sz w:val="24"/>
          <w:szCs w:val="24"/>
        </w:rPr>
        <w:t>: 687-697 [PMID: 20728210 DOI: 10.1016/S0140-6736(10)61121-X]</w:t>
      </w:r>
    </w:p>
    <w:p w:rsidR="0001334D" w:rsidRPr="005A0661" w:rsidRDefault="0001334D" w:rsidP="005A0661">
      <w:pPr>
        <w:widowControl/>
        <w:spacing w:line="240" w:lineRule="auto"/>
        <w:jc w:val="left"/>
        <w:rPr>
          <w:rFonts w:ascii="Book Antiqua" w:hAnsi="Book Antiqua" w:cs="宋体"/>
          <w:kern w:val="0"/>
          <w:sz w:val="24"/>
          <w:szCs w:val="24"/>
        </w:rPr>
      </w:pPr>
      <w:r w:rsidRPr="005A0661">
        <w:rPr>
          <w:rFonts w:ascii="Book Antiqua" w:hAnsi="Book Antiqua" w:cs="宋体"/>
          <w:kern w:val="0"/>
          <w:sz w:val="24"/>
          <w:szCs w:val="24"/>
        </w:rPr>
        <w:t>12 </w:t>
      </w:r>
      <w:r w:rsidRPr="005A0661">
        <w:rPr>
          <w:rFonts w:ascii="Book Antiqua" w:hAnsi="Book Antiqua" w:cs="宋体"/>
          <w:b/>
          <w:bCs/>
          <w:kern w:val="0"/>
          <w:sz w:val="24"/>
          <w:szCs w:val="24"/>
        </w:rPr>
        <w:t>Wang J</w:t>
      </w:r>
      <w:r w:rsidRPr="005A0661">
        <w:rPr>
          <w:rFonts w:ascii="Book Antiqua" w:hAnsi="Book Antiqua" w:cs="宋体"/>
          <w:kern w:val="0"/>
          <w:sz w:val="24"/>
          <w:szCs w:val="24"/>
        </w:rPr>
        <w:t>, Saukel GW, Garberoglio CA, Srikureja W, Hsueh CT. Pathological complete response after neoadjuvant chemotherapy with trastuzumab-containing regimen in gastric cancer: a case report. </w:t>
      </w:r>
      <w:r w:rsidRPr="005A0661">
        <w:rPr>
          <w:rFonts w:ascii="Book Antiqua" w:hAnsi="Book Antiqua" w:cs="宋体"/>
          <w:i/>
          <w:iCs/>
          <w:kern w:val="0"/>
          <w:sz w:val="24"/>
          <w:szCs w:val="24"/>
        </w:rPr>
        <w:t>J Hematol Oncol</w:t>
      </w:r>
      <w:r w:rsidRPr="005A0661">
        <w:rPr>
          <w:rFonts w:ascii="Book Antiqua" w:hAnsi="Book Antiqua" w:cs="宋体"/>
          <w:kern w:val="0"/>
          <w:sz w:val="24"/>
          <w:szCs w:val="24"/>
        </w:rPr>
        <w:t> 2010; </w:t>
      </w:r>
      <w:r w:rsidRPr="005A0661">
        <w:rPr>
          <w:rFonts w:ascii="Book Antiqua" w:hAnsi="Book Antiqua" w:cs="宋体"/>
          <w:b/>
          <w:bCs/>
          <w:kern w:val="0"/>
          <w:sz w:val="24"/>
          <w:szCs w:val="24"/>
        </w:rPr>
        <w:t>3</w:t>
      </w:r>
      <w:r w:rsidRPr="005A0661">
        <w:rPr>
          <w:rFonts w:ascii="Book Antiqua" w:hAnsi="Book Antiqua" w:cs="宋体"/>
          <w:kern w:val="0"/>
          <w:sz w:val="24"/>
          <w:szCs w:val="24"/>
        </w:rPr>
        <w:t>: 31 [PMID: 20828403 DOI: 10.1186/1756-8722-3-31]</w:t>
      </w:r>
    </w:p>
    <w:p w:rsidR="0001334D" w:rsidRPr="005A0661" w:rsidRDefault="0001334D" w:rsidP="005A0661">
      <w:pPr>
        <w:widowControl/>
        <w:spacing w:line="240" w:lineRule="auto"/>
        <w:jc w:val="left"/>
        <w:rPr>
          <w:rFonts w:ascii="Book Antiqua" w:hAnsi="Book Antiqua" w:cs="宋体"/>
          <w:kern w:val="0"/>
          <w:sz w:val="24"/>
          <w:szCs w:val="24"/>
        </w:rPr>
      </w:pPr>
      <w:r w:rsidRPr="005A0661">
        <w:rPr>
          <w:rFonts w:ascii="Book Antiqua" w:hAnsi="Book Antiqua" w:cs="宋体"/>
          <w:kern w:val="0"/>
          <w:sz w:val="24"/>
          <w:szCs w:val="24"/>
        </w:rPr>
        <w:t>13 </w:t>
      </w:r>
      <w:r w:rsidRPr="005A0661">
        <w:rPr>
          <w:rFonts w:ascii="Book Antiqua" w:hAnsi="Book Antiqua" w:cs="宋体"/>
          <w:b/>
          <w:bCs/>
          <w:kern w:val="0"/>
          <w:sz w:val="24"/>
          <w:szCs w:val="24"/>
        </w:rPr>
        <w:t>Sbitti Y</w:t>
      </w:r>
      <w:r w:rsidRPr="005A0661">
        <w:rPr>
          <w:rFonts w:ascii="Book Antiqua" w:hAnsi="Book Antiqua" w:cs="宋体"/>
          <w:kern w:val="0"/>
          <w:sz w:val="24"/>
          <w:szCs w:val="24"/>
        </w:rPr>
        <w:t>, Essaidi I, Debbagh A, Kadiri H, Oukabli M, Moussaid Y, Slimani K, Fetohi M, Elkaoui H, Albouzidi A, Mahi M, Ali AA, Ichou M, Errihani H. Is there any advantage to combined trastuzumab and chemotherapy in perioperative setting her 2neu positive localized gastric adenocarcinoma? </w:t>
      </w:r>
      <w:r w:rsidRPr="005A0661">
        <w:rPr>
          <w:rFonts w:ascii="Book Antiqua" w:hAnsi="Book Antiqua" w:cs="宋体"/>
          <w:i/>
          <w:iCs/>
          <w:kern w:val="0"/>
          <w:sz w:val="24"/>
          <w:szCs w:val="24"/>
        </w:rPr>
        <w:t>World J Surg Oncol</w:t>
      </w:r>
      <w:r w:rsidRPr="005A0661">
        <w:rPr>
          <w:rFonts w:ascii="Book Antiqua" w:hAnsi="Book Antiqua" w:cs="宋体"/>
          <w:kern w:val="0"/>
          <w:sz w:val="24"/>
          <w:szCs w:val="24"/>
        </w:rPr>
        <w:t> 2011; </w:t>
      </w:r>
      <w:r w:rsidRPr="005A0661">
        <w:rPr>
          <w:rFonts w:ascii="Book Antiqua" w:hAnsi="Book Antiqua" w:cs="宋体"/>
          <w:b/>
          <w:bCs/>
          <w:kern w:val="0"/>
          <w:sz w:val="24"/>
          <w:szCs w:val="24"/>
        </w:rPr>
        <w:t>9</w:t>
      </w:r>
      <w:r w:rsidRPr="005A0661">
        <w:rPr>
          <w:rFonts w:ascii="Book Antiqua" w:hAnsi="Book Antiqua" w:cs="宋体"/>
          <w:kern w:val="0"/>
          <w:sz w:val="24"/>
          <w:szCs w:val="24"/>
        </w:rPr>
        <w:t>: 112 [PMID: 21955806 DOI: 10.1186/1477-7819-9-112]</w:t>
      </w:r>
    </w:p>
    <w:p w:rsidR="0001334D" w:rsidRPr="005A0661" w:rsidRDefault="0001334D" w:rsidP="005A0661">
      <w:pPr>
        <w:widowControl/>
        <w:spacing w:line="240" w:lineRule="auto"/>
        <w:jc w:val="left"/>
        <w:rPr>
          <w:rFonts w:ascii="Book Antiqua" w:hAnsi="Book Antiqua" w:cs="宋体"/>
          <w:kern w:val="0"/>
          <w:sz w:val="24"/>
          <w:szCs w:val="24"/>
        </w:rPr>
      </w:pPr>
      <w:r w:rsidRPr="005A0661">
        <w:rPr>
          <w:rFonts w:ascii="Book Antiqua" w:hAnsi="Book Antiqua" w:cs="宋体"/>
          <w:kern w:val="0"/>
          <w:sz w:val="24"/>
          <w:szCs w:val="24"/>
        </w:rPr>
        <w:t xml:space="preserve">14 </w:t>
      </w:r>
      <w:r w:rsidRPr="005A0661">
        <w:rPr>
          <w:rFonts w:ascii="Book Antiqua" w:hAnsi="Book Antiqua" w:cs="宋体"/>
          <w:b/>
          <w:kern w:val="0"/>
          <w:sz w:val="24"/>
          <w:szCs w:val="24"/>
        </w:rPr>
        <w:t>Fernando R</w:t>
      </w:r>
      <w:r w:rsidRPr="005A0661">
        <w:rPr>
          <w:rFonts w:ascii="Book Antiqua" w:hAnsi="Book Antiqua" w:cs="宋体"/>
          <w:kern w:val="0"/>
          <w:sz w:val="24"/>
          <w:szCs w:val="24"/>
        </w:rPr>
        <w:t>, Paula J, Pilar GA, Carlos L, Javier G, Maria A, Luis LG, Maica G, Esther F, Jose L, Encarnació</w:t>
      </w:r>
      <w:r>
        <w:rPr>
          <w:rFonts w:ascii="Book Antiqua" w:hAnsi="Book Antiqua" w:cs="宋体"/>
          <w:kern w:val="0"/>
          <w:sz w:val="24"/>
          <w:szCs w:val="24"/>
        </w:rPr>
        <w:t>n G, Raquel S, Eva FP, Monica J</w:t>
      </w:r>
      <w:r w:rsidRPr="005A0661">
        <w:rPr>
          <w:rFonts w:ascii="Book Antiqua" w:hAnsi="Book Antiqua" w:cs="宋体"/>
          <w:kern w:val="0"/>
          <w:sz w:val="24"/>
          <w:szCs w:val="24"/>
        </w:rPr>
        <w:t>. NeoHx study: Perioperative treatment with trastuzumab in combination with capecitabine and oxaliplatin (XELOX-T) in patients with HER2 resectable stomach or esophagogastric junction (EGJ) adenocarcinoma—R0 resection,</w:t>
      </w:r>
      <w:r>
        <w:rPr>
          <w:rFonts w:ascii="Book Antiqua" w:hAnsi="Book Antiqua" w:cs="宋体"/>
          <w:kern w:val="0"/>
          <w:sz w:val="24"/>
          <w:szCs w:val="24"/>
        </w:rPr>
        <w:t xml:space="preserve"> pCR, and toxic- ity analysis.</w:t>
      </w:r>
      <w:r w:rsidRPr="005A0661">
        <w:rPr>
          <w:rFonts w:ascii="Book Antiqua" w:hAnsi="Book Antiqua" w:cs="宋体"/>
          <w:kern w:val="0"/>
          <w:sz w:val="24"/>
          <w:szCs w:val="24"/>
        </w:rPr>
        <w:t xml:space="preserve"> </w:t>
      </w:r>
      <w:r w:rsidRPr="005A0661">
        <w:rPr>
          <w:rFonts w:ascii="Book Antiqua" w:hAnsi="Book Antiqua" w:cs="宋体"/>
          <w:i/>
          <w:kern w:val="0"/>
          <w:sz w:val="24"/>
          <w:szCs w:val="24"/>
        </w:rPr>
        <w:t>J Clin Oncol</w:t>
      </w:r>
      <w:r w:rsidRPr="005A0661">
        <w:rPr>
          <w:rFonts w:ascii="Book Antiqua" w:hAnsi="Book Antiqua" w:cs="宋体"/>
          <w:kern w:val="0"/>
          <w:sz w:val="24"/>
          <w:szCs w:val="24"/>
        </w:rPr>
        <w:t xml:space="preserve"> 2013</w:t>
      </w:r>
      <w:r>
        <w:rPr>
          <w:rFonts w:ascii="Book Antiqua" w:hAnsi="Book Antiqua" w:cs="宋体"/>
          <w:kern w:val="0"/>
          <w:sz w:val="24"/>
          <w:szCs w:val="24"/>
        </w:rPr>
        <w:t xml:space="preserve">; </w:t>
      </w:r>
      <w:r w:rsidRPr="005A0661">
        <w:rPr>
          <w:rFonts w:ascii="Book Antiqua" w:hAnsi="Book Antiqua" w:cs="宋体"/>
          <w:b/>
          <w:kern w:val="0"/>
          <w:sz w:val="24"/>
          <w:szCs w:val="24"/>
        </w:rPr>
        <w:t>31</w:t>
      </w:r>
      <w:r w:rsidRPr="00262A95">
        <w:rPr>
          <w:rFonts w:ascii="Book Antiqua" w:hAnsi="Book Antiqua" w:cs="宋体"/>
          <w:b/>
          <w:kern w:val="0"/>
          <w:sz w:val="24"/>
          <w:szCs w:val="24"/>
        </w:rPr>
        <w:t xml:space="preserve"> </w:t>
      </w:r>
      <w:r w:rsidRPr="005A0661">
        <w:rPr>
          <w:rFonts w:ascii="Book Antiqua" w:hAnsi="Book Antiqua" w:cs="宋体"/>
          <w:kern w:val="0"/>
          <w:sz w:val="24"/>
          <w:szCs w:val="24"/>
        </w:rPr>
        <w:t>(suppl</w:t>
      </w:r>
      <w:r>
        <w:rPr>
          <w:rFonts w:ascii="Book Antiqua" w:hAnsi="Book Antiqua" w:cs="宋体"/>
          <w:kern w:val="0"/>
          <w:sz w:val="24"/>
          <w:szCs w:val="24"/>
        </w:rPr>
        <w:t>): abstr 4098</w:t>
      </w:r>
    </w:p>
    <w:p w:rsidR="0001334D" w:rsidRPr="005A0661" w:rsidRDefault="0001334D" w:rsidP="0066778B">
      <w:pPr>
        <w:snapToGrid w:val="0"/>
        <w:spacing w:line="360" w:lineRule="auto"/>
        <w:rPr>
          <w:rStyle w:val="Char2"/>
          <w:rFonts w:ascii="Book Antiqua" w:hAnsi="Book Antiqua" w:cs="Arial"/>
          <w:noProof/>
          <w:sz w:val="24"/>
        </w:rPr>
      </w:pPr>
    </w:p>
    <w:p w:rsidR="0001334D" w:rsidRPr="005A0661" w:rsidRDefault="0001334D" w:rsidP="005A0661">
      <w:pPr>
        <w:tabs>
          <w:tab w:val="left" w:pos="180"/>
          <w:tab w:val="left" w:pos="360"/>
        </w:tabs>
        <w:adjustRightInd w:val="0"/>
        <w:snapToGrid w:val="0"/>
        <w:spacing w:line="360" w:lineRule="auto"/>
        <w:jc w:val="right"/>
        <w:rPr>
          <w:rFonts w:ascii="Book Antiqua" w:hAnsi="Book Antiqua" w:cs="Tahoma"/>
          <w:b/>
          <w:color w:val="000000"/>
          <w:sz w:val="24"/>
        </w:rPr>
      </w:pPr>
      <w:bookmarkStart w:id="276" w:name="OLE_LINK874"/>
      <w:bookmarkStart w:id="277" w:name="OLE_LINK875"/>
      <w:bookmarkStart w:id="278" w:name="OLE_LINK347"/>
      <w:bookmarkStart w:id="279" w:name="OLE_LINK384"/>
      <w:bookmarkStart w:id="280" w:name="OLE_LINK557"/>
      <w:bookmarkStart w:id="281" w:name="OLE_LINK558"/>
      <w:bookmarkStart w:id="282" w:name="OLE_LINK631"/>
      <w:bookmarkStart w:id="283" w:name="OLE_LINK632"/>
      <w:bookmarkStart w:id="284" w:name="OLE_LINK386"/>
      <w:bookmarkStart w:id="285" w:name="OLE_LINK431"/>
      <w:bookmarkStart w:id="286" w:name="OLE_LINK564"/>
      <w:bookmarkStart w:id="287" w:name="OLE_LINK493"/>
      <w:bookmarkStart w:id="288" w:name="OLE_LINK442"/>
      <w:bookmarkStart w:id="289" w:name="OLE_LINK551"/>
      <w:bookmarkStart w:id="290" w:name="OLE_LINK668"/>
      <w:bookmarkStart w:id="291" w:name="OLE_LINK669"/>
      <w:bookmarkStart w:id="292" w:name="OLE_LINK725"/>
      <w:bookmarkStart w:id="293" w:name="OLE_LINK489"/>
      <w:bookmarkStart w:id="294" w:name="OLE_LINK602"/>
      <w:bookmarkStart w:id="295" w:name="OLE_LINK658"/>
      <w:bookmarkStart w:id="296" w:name="OLE_LINK747"/>
      <w:bookmarkStart w:id="297" w:name="OLE_LINK897"/>
      <w:bookmarkStart w:id="298" w:name="OLE_LINK1138"/>
      <w:bookmarkStart w:id="299" w:name="OLE_LINK1139"/>
      <w:bookmarkStart w:id="300" w:name="OLE_LINK882"/>
      <w:bookmarkStart w:id="301" w:name="OLE_LINK1095"/>
      <w:bookmarkStart w:id="302" w:name="OLE_LINK1305"/>
      <w:bookmarkStart w:id="303" w:name="OLE_LINK1390"/>
      <w:bookmarkStart w:id="304" w:name="OLE_LINK964"/>
      <w:bookmarkStart w:id="305" w:name="OLE_LINK1190"/>
      <w:bookmarkStart w:id="306" w:name="OLE_LINK1314"/>
      <w:bookmarkStart w:id="307" w:name="OLE_LINK1031"/>
      <w:bookmarkStart w:id="308" w:name="OLE_LINK1092"/>
      <w:bookmarkStart w:id="309" w:name="OLE_LINK1258"/>
      <w:bookmarkStart w:id="310" w:name="OLE_LINK1259"/>
      <w:bookmarkStart w:id="311" w:name="OLE_LINK1337"/>
      <w:bookmarkStart w:id="312" w:name="OLE_LINK1338"/>
      <w:bookmarkStart w:id="313" w:name="OLE_LINK1363"/>
      <w:bookmarkStart w:id="314" w:name="OLE_LINK1364"/>
      <w:bookmarkStart w:id="315" w:name="OLE_LINK86"/>
      <w:bookmarkStart w:id="316" w:name="OLE_LINK1595"/>
      <w:bookmarkStart w:id="317" w:name="OLE_LINK1613"/>
      <w:bookmarkStart w:id="318" w:name="OLE_LINK1708"/>
      <w:bookmarkStart w:id="319" w:name="OLE_LINK1774"/>
      <w:bookmarkStart w:id="320" w:name="OLE_LINK1872"/>
      <w:bookmarkStart w:id="321" w:name="OLE_LINK1899"/>
      <w:bookmarkStart w:id="322" w:name="OLE_LINK1492"/>
      <w:bookmarkStart w:id="323" w:name="OLE_LINK1497"/>
      <w:bookmarkStart w:id="324" w:name="OLE_LINK1498"/>
      <w:bookmarkStart w:id="325" w:name="OLE_LINK1589"/>
      <w:bookmarkStart w:id="326" w:name="OLE_LINK1666"/>
      <w:bookmarkStart w:id="327" w:name="OLE_LINK1752"/>
      <w:bookmarkStart w:id="328" w:name="OLE_LINK1616"/>
      <w:bookmarkStart w:id="329" w:name="OLE_LINK1696"/>
      <w:bookmarkStart w:id="330" w:name="OLE_LINK1855"/>
      <w:bookmarkStart w:id="331" w:name="OLE_LINK1942"/>
      <w:bookmarkStart w:id="332" w:name="OLE_LINK1943"/>
      <w:bookmarkStart w:id="333" w:name="OLE_LINK1573"/>
      <w:bookmarkStart w:id="334" w:name="OLE_LINK1574"/>
      <w:bookmarkStart w:id="335" w:name="OLE_LINK1575"/>
      <w:bookmarkStart w:id="336" w:name="OLE_LINK1739"/>
      <w:bookmarkStart w:id="337" w:name="OLE_LINK1761"/>
      <w:bookmarkStart w:id="338" w:name="OLE_LINK1743"/>
      <w:bookmarkStart w:id="339" w:name="OLE_LINK1841"/>
      <w:bookmarkStart w:id="340" w:name="OLE_LINK1858"/>
      <w:bookmarkStart w:id="341" w:name="OLE_LINK1890"/>
      <w:bookmarkStart w:id="342" w:name="OLE_LINK1915"/>
      <w:bookmarkStart w:id="343" w:name="OLE_LINK1980"/>
      <w:bookmarkStart w:id="344" w:name="OLE_LINK1883"/>
      <w:bookmarkStart w:id="345" w:name="OLE_LINK1935"/>
      <w:bookmarkStart w:id="346" w:name="OLE_LINK1936"/>
      <w:bookmarkStart w:id="347" w:name="OLE_LINK1952"/>
      <w:bookmarkStart w:id="348" w:name="OLE_LINK1953"/>
      <w:bookmarkStart w:id="349" w:name="OLE_LINK1999"/>
      <w:bookmarkStart w:id="350" w:name="OLE_LINK2050"/>
      <w:bookmarkStart w:id="351" w:name="OLE_LINK1862"/>
      <w:bookmarkStart w:id="352" w:name="OLE_LINK1963"/>
      <w:bookmarkStart w:id="353" w:name="OLE_LINK2052"/>
      <w:bookmarkStart w:id="354" w:name="OLE_LINK1906"/>
      <w:bookmarkStart w:id="355" w:name="OLE_LINK2031"/>
      <w:bookmarkStart w:id="356" w:name="OLE_LINK2032"/>
      <w:bookmarkStart w:id="357" w:name="OLE_LINK1907"/>
      <w:bookmarkStart w:id="358" w:name="OLE_LINK2004"/>
      <w:bookmarkStart w:id="359" w:name="OLE_LINK2238"/>
      <w:bookmarkStart w:id="360" w:name="OLE_LINK2239"/>
      <w:bookmarkStart w:id="361" w:name="OLE_LINK2163"/>
      <w:bookmarkStart w:id="362" w:name="OLE_LINK2207"/>
      <w:bookmarkStart w:id="363" w:name="OLE_LINK2341"/>
      <w:bookmarkStart w:id="364" w:name="OLE_LINK2417"/>
      <w:bookmarkStart w:id="365" w:name="OLE_LINK2509"/>
      <w:bookmarkStart w:id="366" w:name="OLE_LINK2510"/>
      <w:bookmarkStart w:id="367" w:name="OLE_LINK2511"/>
      <w:bookmarkStart w:id="368" w:name="OLE_LINK2512"/>
      <w:bookmarkStart w:id="369" w:name="OLE_LINK2513"/>
      <w:bookmarkStart w:id="370" w:name="OLE_LINK2514"/>
      <w:bookmarkStart w:id="371" w:name="OLE_LINK2515"/>
      <w:bookmarkStart w:id="372" w:name="OLE_LINK2516"/>
      <w:bookmarkStart w:id="373" w:name="OLE_LINK2517"/>
      <w:bookmarkStart w:id="374" w:name="OLE_LINK2518"/>
      <w:bookmarkStart w:id="375" w:name="OLE_LINK2519"/>
      <w:bookmarkStart w:id="376" w:name="OLE_LINK2520"/>
      <w:bookmarkStart w:id="377" w:name="OLE_LINK2521"/>
      <w:bookmarkStart w:id="378" w:name="OLE_LINK2522"/>
      <w:bookmarkStart w:id="379" w:name="OLE_LINK2523"/>
      <w:bookmarkStart w:id="380" w:name="OLE_LINK2524"/>
      <w:bookmarkStart w:id="381" w:name="OLE_LINK2051"/>
      <w:bookmarkStart w:id="382" w:name="OLE_LINK2109"/>
      <w:bookmarkStart w:id="383" w:name="OLE_LINK2165"/>
      <w:bookmarkStart w:id="384" w:name="OLE_LINK2385"/>
      <w:bookmarkStart w:id="385" w:name="OLE_LINK2593"/>
      <w:bookmarkStart w:id="386" w:name="OLE_LINK2332"/>
      <w:bookmarkStart w:id="387" w:name="OLE_LINK2448"/>
      <w:bookmarkStart w:id="388" w:name="OLE_LINK2525"/>
      <w:bookmarkStart w:id="389" w:name="OLE_LINK2506"/>
      <w:bookmarkStart w:id="390" w:name="OLE_LINK2507"/>
      <w:bookmarkStart w:id="391" w:name="OLE_LINK2291"/>
      <w:bookmarkStart w:id="392" w:name="OLE_LINK2294"/>
      <w:bookmarkStart w:id="393" w:name="OLE_LINK2298"/>
      <w:bookmarkStart w:id="394" w:name="OLE_LINK2300"/>
      <w:bookmarkStart w:id="395" w:name="OLE_LINK2301"/>
      <w:bookmarkStart w:id="396" w:name="OLE_LINK2546"/>
      <w:bookmarkStart w:id="397" w:name="OLE_LINK2756"/>
      <w:bookmarkStart w:id="398" w:name="OLE_LINK2757"/>
      <w:bookmarkStart w:id="399" w:name="OLE_LINK2736"/>
      <w:bookmarkStart w:id="400" w:name="OLE_LINK2923"/>
      <w:bookmarkStart w:id="401" w:name="OLE_LINK2974"/>
      <w:bookmarkStart w:id="402" w:name="OLE_LINK3125"/>
      <w:bookmarkStart w:id="403" w:name="OLE_LINK3218"/>
      <w:bookmarkStart w:id="404" w:name="OLE_LINK2575"/>
      <w:bookmarkStart w:id="405" w:name="OLE_LINK2687"/>
      <w:bookmarkStart w:id="406" w:name="OLE_LINK2688"/>
      <w:bookmarkStart w:id="407" w:name="OLE_LINK2700"/>
      <w:bookmarkStart w:id="408" w:name="OLE_LINK2576"/>
      <w:bookmarkStart w:id="409" w:name="OLE_LINK2674"/>
      <w:bookmarkStart w:id="410" w:name="OLE_LINK2738"/>
      <w:bookmarkStart w:id="411" w:name="OLE_LINK2983"/>
      <w:bookmarkStart w:id="412" w:name="OLE_LINK76"/>
      <w:bookmarkStart w:id="413" w:name="OLE_LINK115"/>
      <w:bookmarkStart w:id="414" w:name="OLE_LINK155"/>
      <w:r w:rsidRPr="005A0661">
        <w:rPr>
          <w:rFonts w:ascii="Book Antiqua" w:hAnsi="Book Antiqua" w:cs="Tahoma"/>
          <w:b/>
          <w:color w:val="000000"/>
          <w:sz w:val="24"/>
        </w:rPr>
        <w:lastRenderedPageBreak/>
        <w:t xml:space="preserve">P-Reviewers: </w:t>
      </w:r>
      <w:r w:rsidRPr="005A0661">
        <w:rPr>
          <w:rFonts w:ascii="Book Antiqua" w:hAnsi="Book Antiqua" w:cs="Tahoma"/>
          <w:color w:val="000000"/>
          <w:sz w:val="24"/>
        </w:rPr>
        <w:t>Braat H, Ikuta S, Yokoyama Y</w:t>
      </w:r>
      <w:r w:rsidRPr="005A0661">
        <w:rPr>
          <w:rFonts w:ascii="Book Antiqua" w:hAnsi="Book Antiqua" w:cs="Tahoma"/>
          <w:b/>
          <w:color w:val="000000"/>
          <w:sz w:val="24"/>
        </w:rPr>
        <w:t xml:space="preserve"> S-Editor: </w:t>
      </w:r>
      <w:r w:rsidRPr="005A0661">
        <w:rPr>
          <w:rFonts w:ascii="Book Antiqua" w:hAnsi="Book Antiqua" w:cs="Tahoma"/>
          <w:color w:val="000000"/>
          <w:sz w:val="24"/>
        </w:rPr>
        <w:t xml:space="preserve">Gou SX </w:t>
      </w:r>
      <w:r w:rsidRPr="005A0661">
        <w:rPr>
          <w:rFonts w:ascii="Book Antiqua" w:hAnsi="Book Antiqua" w:cs="Tahoma"/>
          <w:b/>
          <w:color w:val="000000"/>
          <w:sz w:val="24"/>
        </w:rPr>
        <w:t xml:space="preserve">  </w:t>
      </w:r>
    </w:p>
    <w:p w:rsidR="0001334D" w:rsidRPr="005A0661" w:rsidRDefault="0001334D" w:rsidP="005A0661">
      <w:pPr>
        <w:tabs>
          <w:tab w:val="left" w:pos="180"/>
          <w:tab w:val="left" w:pos="360"/>
        </w:tabs>
        <w:adjustRightInd w:val="0"/>
        <w:snapToGrid w:val="0"/>
        <w:spacing w:line="360" w:lineRule="auto"/>
        <w:jc w:val="right"/>
        <w:rPr>
          <w:rFonts w:ascii="Book Antiqua" w:hAnsi="Book Antiqua" w:cs="Tahoma"/>
          <w:b/>
          <w:color w:val="000000"/>
          <w:sz w:val="24"/>
        </w:rPr>
      </w:pPr>
      <w:r w:rsidRPr="005A0661">
        <w:rPr>
          <w:rFonts w:ascii="Book Antiqua" w:hAnsi="Book Antiqua" w:cs="Tahoma"/>
          <w:b/>
          <w:color w:val="000000"/>
          <w:sz w:val="24"/>
        </w:rPr>
        <w:t>L-Editor:    E-Edito</w:t>
      </w:r>
      <w:bookmarkEnd w:id="276"/>
      <w:bookmarkEnd w:id="277"/>
      <w:r w:rsidRPr="005A0661">
        <w:rPr>
          <w:rFonts w:ascii="Book Antiqua" w:hAnsi="Book Antiqua" w:cs="Tahoma"/>
          <w:b/>
          <w:color w:val="000000"/>
          <w:sz w:val="24"/>
        </w:rPr>
        <w:t>r:</w:t>
      </w:r>
    </w:p>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rsidR="0001334D" w:rsidRPr="005A0661" w:rsidRDefault="0001334D" w:rsidP="009973EA">
      <w:pPr>
        <w:pStyle w:val="1"/>
        <w:snapToGrid w:val="0"/>
        <w:spacing w:before="0" w:beforeAutospacing="0" w:after="0" w:afterAutospacing="0" w:line="360" w:lineRule="auto"/>
        <w:jc w:val="both"/>
        <w:rPr>
          <w:rFonts w:ascii="Book Antiqua" w:hAnsi="Book Antiqua"/>
          <w:sz w:val="24"/>
          <w:szCs w:val="24"/>
        </w:rPr>
      </w:pPr>
    </w:p>
    <w:p w:rsidR="0001334D" w:rsidRPr="005A0661" w:rsidRDefault="0001334D" w:rsidP="009973EA">
      <w:pPr>
        <w:pStyle w:val="1"/>
        <w:snapToGrid w:val="0"/>
        <w:spacing w:before="0" w:beforeAutospacing="0" w:after="0" w:afterAutospacing="0" w:line="360" w:lineRule="auto"/>
        <w:jc w:val="both"/>
        <w:rPr>
          <w:rFonts w:ascii="Book Antiqua" w:hAnsi="Book Antiqua"/>
          <w:sz w:val="24"/>
          <w:szCs w:val="24"/>
        </w:rPr>
      </w:pPr>
    </w:p>
    <w:p w:rsidR="0001334D" w:rsidRPr="005A0661" w:rsidRDefault="0001334D" w:rsidP="009973EA">
      <w:pPr>
        <w:pStyle w:val="1"/>
        <w:snapToGrid w:val="0"/>
        <w:spacing w:before="0" w:beforeAutospacing="0" w:after="0" w:afterAutospacing="0" w:line="360" w:lineRule="auto"/>
        <w:jc w:val="both"/>
        <w:rPr>
          <w:rFonts w:ascii="Book Antiqua" w:hAnsi="Book Antiqua"/>
          <w:sz w:val="24"/>
          <w:szCs w:val="24"/>
        </w:rPr>
      </w:pPr>
      <w:r w:rsidRPr="005A0661">
        <w:rPr>
          <w:rFonts w:ascii="Book Antiqua" w:hAnsi="Book Antiqua"/>
          <w:sz w:val="24"/>
          <w:szCs w:val="24"/>
        </w:rPr>
        <w:t xml:space="preserve">Figure 1 </w:t>
      </w:r>
      <w:r w:rsidRPr="005A0661">
        <w:rPr>
          <w:rFonts w:ascii="Book Antiqua" w:hAnsi="Book Antiqua" w:cs="宋体"/>
          <w:color w:val="000000"/>
          <w:kern w:val="0"/>
          <w:sz w:val="24"/>
          <w:szCs w:val="24"/>
        </w:rPr>
        <w:t xml:space="preserve">Fluorescence </w:t>
      </w:r>
      <w:r w:rsidRPr="005A0661">
        <w:rPr>
          <w:rFonts w:ascii="Book Antiqua" w:hAnsi="Book Antiqua" w:cs="宋体"/>
          <w:i/>
          <w:color w:val="000000"/>
          <w:kern w:val="0"/>
          <w:sz w:val="24"/>
          <w:szCs w:val="24"/>
        </w:rPr>
        <w:t>in situ</w:t>
      </w:r>
      <w:r w:rsidRPr="005A0661">
        <w:rPr>
          <w:rFonts w:ascii="Book Antiqua" w:hAnsi="Book Antiqua" w:cs="宋体"/>
          <w:color w:val="000000"/>
          <w:kern w:val="0"/>
          <w:sz w:val="24"/>
          <w:szCs w:val="24"/>
        </w:rPr>
        <w:t xml:space="preserve"> hybridization </w:t>
      </w:r>
      <w:r w:rsidRPr="005A0661">
        <w:rPr>
          <w:rFonts w:ascii="Book Antiqua" w:hAnsi="Book Antiqua"/>
          <w:sz w:val="24"/>
          <w:szCs w:val="24"/>
        </w:rPr>
        <w:t>analysis showed positive Her2 expression with cluster amplification (ratio &gt; 2.2).</w:t>
      </w:r>
    </w:p>
    <w:p w:rsidR="0001334D" w:rsidRPr="005A0661" w:rsidRDefault="006E5030" w:rsidP="009973EA">
      <w:pPr>
        <w:pStyle w:val="1"/>
        <w:snapToGrid w:val="0"/>
        <w:spacing w:before="0" w:beforeAutospacing="0" w:after="0" w:afterAutospacing="0" w:line="360" w:lineRule="auto"/>
        <w:jc w:val="both"/>
        <w:rPr>
          <w:rFonts w:ascii="Book Antiqua" w:hAnsi="Book Antiqua"/>
          <w:b w:val="0"/>
          <w:sz w:val="24"/>
          <w:szCs w:val="24"/>
        </w:rPr>
      </w:pPr>
      <w:r>
        <w:rPr>
          <w:rFonts w:ascii="Book Antiqua" w:hAnsi="Book Antiqua"/>
          <w:noProof/>
          <w:sz w:val="24"/>
          <w:szCs w:val="24"/>
        </w:rPr>
        <w:drawing>
          <wp:inline distT="0" distB="0" distL="0" distR="0">
            <wp:extent cx="4142740" cy="3053080"/>
            <wp:effectExtent l="0" t="0" r="0" b="0"/>
            <wp:docPr id="1" name="Picture 1" descr="Dong et al 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g et al Fig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42740" cy="3053080"/>
                    </a:xfrm>
                    <a:prstGeom prst="rect">
                      <a:avLst/>
                    </a:prstGeom>
                    <a:noFill/>
                    <a:ln>
                      <a:noFill/>
                    </a:ln>
                  </pic:spPr>
                </pic:pic>
              </a:graphicData>
            </a:graphic>
          </wp:inline>
        </w:drawing>
      </w:r>
    </w:p>
    <w:p w:rsidR="0001334D" w:rsidRPr="005A0661" w:rsidRDefault="0001334D" w:rsidP="009973EA">
      <w:pPr>
        <w:pStyle w:val="1"/>
        <w:snapToGrid w:val="0"/>
        <w:spacing w:before="0" w:beforeAutospacing="0" w:after="0" w:afterAutospacing="0" w:line="360" w:lineRule="auto"/>
        <w:jc w:val="both"/>
        <w:rPr>
          <w:rFonts w:ascii="Book Antiqua" w:hAnsi="Book Antiqua"/>
          <w:b w:val="0"/>
          <w:sz w:val="24"/>
          <w:szCs w:val="24"/>
        </w:rPr>
      </w:pPr>
    </w:p>
    <w:p w:rsidR="0001334D" w:rsidRPr="005A0661" w:rsidRDefault="0001334D" w:rsidP="009973EA">
      <w:pPr>
        <w:pStyle w:val="1"/>
        <w:snapToGrid w:val="0"/>
        <w:spacing w:before="0" w:beforeAutospacing="0" w:after="0" w:afterAutospacing="0" w:line="360" w:lineRule="auto"/>
        <w:jc w:val="both"/>
        <w:rPr>
          <w:rFonts w:ascii="Book Antiqua" w:hAnsi="Book Antiqua"/>
          <w:b w:val="0"/>
          <w:sz w:val="24"/>
          <w:szCs w:val="24"/>
        </w:rPr>
      </w:pPr>
    </w:p>
    <w:p w:rsidR="0001334D" w:rsidRPr="005A0661" w:rsidRDefault="0001334D" w:rsidP="009973EA">
      <w:pPr>
        <w:pStyle w:val="1"/>
        <w:snapToGrid w:val="0"/>
        <w:spacing w:before="0" w:beforeAutospacing="0" w:after="0" w:afterAutospacing="0" w:line="360" w:lineRule="auto"/>
        <w:jc w:val="both"/>
        <w:rPr>
          <w:rFonts w:ascii="Book Antiqua" w:hAnsi="Book Antiqua"/>
          <w:b w:val="0"/>
          <w:sz w:val="24"/>
          <w:szCs w:val="24"/>
        </w:rPr>
      </w:pPr>
    </w:p>
    <w:p w:rsidR="0001334D" w:rsidRPr="005A0661" w:rsidRDefault="0001334D" w:rsidP="009973EA">
      <w:pPr>
        <w:pStyle w:val="1"/>
        <w:snapToGrid w:val="0"/>
        <w:spacing w:before="0" w:beforeAutospacing="0" w:after="0" w:afterAutospacing="0" w:line="360" w:lineRule="auto"/>
        <w:jc w:val="both"/>
        <w:rPr>
          <w:rFonts w:ascii="Book Antiqua" w:hAnsi="Book Antiqua"/>
          <w:b w:val="0"/>
          <w:sz w:val="24"/>
          <w:szCs w:val="24"/>
        </w:rPr>
      </w:pPr>
      <w:r w:rsidRPr="005A0661">
        <w:rPr>
          <w:rFonts w:ascii="Book Antiqua" w:hAnsi="Book Antiqua"/>
          <w:sz w:val="24"/>
          <w:szCs w:val="24"/>
        </w:rPr>
        <w:br w:type="page"/>
      </w:r>
      <w:r w:rsidRPr="005A0661">
        <w:rPr>
          <w:rFonts w:ascii="Book Antiqua" w:hAnsi="Book Antiqua"/>
          <w:sz w:val="24"/>
          <w:szCs w:val="24"/>
        </w:rPr>
        <w:lastRenderedPageBreak/>
        <w:t xml:space="preserve">Figure </w:t>
      </w:r>
      <w:r w:rsidRPr="005A0661">
        <w:rPr>
          <w:rFonts w:ascii="Book Antiqua" w:hAnsi="Book Antiqua"/>
          <w:bCs w:val="0"/>
          <w:sz w:val="24"/>
          <w:szCs w:val="24"/>
        </w:rPr>
        <w:t>2</w:t>
      </w:r>
      <w:r w:rsidRPr="005A0661">
        <w:rPr>
          <w:rFonts w:ascii="Book Antiqua" w:hAnsi="Book Antiqua"/>
          <w:sz w:val="24"/>
          <w:szCs w:val="24"/>
        </w:rPr>
        <w:t xml:space="preserve"> Radiological evaluation by computed tomography scan before (A) and 3 cycles after (B) neoadjuvant therapy of trastuzumab combined with oxaliplatin and capecitabine.</w:t>
      </w:r>
      <w:r w:rsidRPr="005A0661">
        <w:rPr>
          <w:rFonts w:ascii="Book Antiqua" w:hAnsi="Book Antiqua"/>
          <w:b w:val="0"/>
          <w:sz w:val="24"/>
          <w:szCs w:val="24"/>
        </w:rPr>
        <w:t xml:space="preserve"> The thickness of the stomach wall and the size of lymph nodes were decreased dramatically.</w:t>
      </w:r>
    </w:p>
    <w:p w:rsidR="0001334D" w:rsidRPr="005A0661" w:rsidRDefault="006E5030" w:rsidP="009973EA">
      <w:pPr>
        <w:pStyle w:val="1"/>
        <w:snapToGrid w:val="0"/>
        <w:spacing w:before="0" w:beforeAutospacing="0" w:after="0" w:afterAutospacing="0" w:line="360" w:lineRule="auto"/>
        <w:jc w:val="both"/>
        <w:rPr>
          <w:rFonts w:ascii="Book Antiqua" w:hAnsi="Book Antiqua"/>
          <w:b w:val="0"/>
          <w:sz w:val="24"/>
          <w:szCs w:val="24"/>
        </w:rPr>
      </w:pPr>
      <w:r>
        <w:rPr>
          <w:rFonts w:ascii="Book Antiqua" w:hAnsi="Book Antiqua"/>
          <w:noProof/>
          <w:sz w:val="24"/>
          <w:szCs w:val="24"/>
        </w:rPr>
        <w:drawing>
          <wp:inline distT="0" distB="0" distL="0" distR="0">
            <wp:extent cx="5215890" cy="2258060"/>
            <wp:effectExtent l="0" t="0" r="3810" b="8890"/>
            <wp:docPr id="2" name="Picture 2" descr="Dong et al 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ng et al Fig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5890" cy="2258060"/>
                    </a:xfrm>
                    <a:prstGeom prst="rect">
                      <a:avLst/>
                    </a:prstGeom>
                    <a:noFill/>
                    <a:ln>
                      <a:noFill/>
                    </a:ln>
                  </pic:spPr>
                </pic:pic>
              </a:graphicData>
            </a:graphic>
          </wp:inline>
        </w:drawing>
      </w:r>
    </w:p>
    <w:sectPr w:rsidR="0001334D" w:rsidRPr="005A0661" w:rsidSect="00EF68F9">
      <w:headerReference w:type="default" r:id="rId1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5C19" w:rsidRDefault="00AE5C19" w:rsidP="001C43C5">
      <w:pPr>
        <w:spacing w:line="240" w:lineRule="auto"/>
      </w:pPr>
      <w:r>
        <w:separator/>
      </w:r>
    </w:p>
  </w:endnote>
  <w:endnote w:type="continuationSeparator" w:id="0">
    <w:p w:rsidR="00AE5C19" w:rsidRDefault="00AE5C19" w:rsidP="001C43C5">
      <w:pPr>
        <w:spacing w:line="240" w:lineRule="auto"/>
      </w:pPr>
      <w:r>
        <w:continuationSeparator/>
      </w:r>
    </w:p>
  </w:endnote>
  <w:endnote w:type="continuationNotice" w:id="1">
    <w:p w:rsidR="00AE5C19" w:rsidRDefault="00AE5C1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5C19" w:rsidRDefault="00AE5C19" w:rsidP="001C43C5">
      <w:pPr>
        <w:spacing w:line="240" w:lineRule="auto"/>
      </w:pPr>
      <w:r>
        <w:separator/>
      </w:r>
    </w:p>
  </w:footnote>
  <w:footnote w:type="continuationSeparator" w:id="0">
    <w:p w:rsidR="00AE5C19" w:rsidRDefault="00AE5C19" w:rsidP="001C43C5">
      <w:pPr>
        <w:spacing w:line="240" w:lineRule="auto"/>
      </w:pPr>
      <w:r>
        <w:continuationSeparator/>
      </w:r>
    </w:p>
  </w:footnote>
  <w:footnote w:type="continuationNotice" w:id="1">
    <w:p w:rsidR="00AE5C19" w:rsidRDefault="00AE5C19">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34D" w:rsidRDefault="0001334D">
    <w:pPr>
      <w:pStyle w:val="a3"/>
      <w:jc w:val="right"/>
    </w:pPr>
    <w:r>
      <w:t>1</w:t>
    </w:r>
  </w:p>
  <w:p w:rsidR="0001334D" w:rsidRDefault="0001334D">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452FB3"/>
    <w:multiLevelType w:val="hybridMultilevel"/>
    <w:tmpl w:val="D230F090"/>
    <w:lvl w:ilvl="0" w:tplc="0A829000">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
    <w:nsid w:val="18285911"/>
    <w:multiLevelType w:val="hybridMultilevel"/>
    <w:tmpl w:val="622A41F6"/>
    <w:lvl w:ilvl="0" w:tplc="FFFFFFFF">
      <w:start w:val="1"/>
      <w:numFmt w:val="decimal"/>
      <w:lvlText w:val="%1."/>
      <w:lvlJc w:val="left"/>
      <w:pPr>
        <w:tabs>
          <w:tab w:val="num" w:pos="420"/>
        </w:tabs>
        <w:ind w:left="420" w:hanging="420"/>
      </w:pPr>
      <w:rPr>
        <w:rFonts w:cs="Times New Roman"/>
      </w:rPr>
    </w:lvl>
    <w:lvl w:ilvl="1" w:tplc="FFFFFFFF">
      <w:start w:val="1"/>
      <w:numFmt w:val="lowerLetter"/>
      <w:lvlText w:val="%2)"/>
      <w:lvlJc w:val="left"/>
      <w:pPr>
        <w:tabs>
          <w:tab w:val="num" w:pos="840"/>
        </w:tabs>
        <w:ind w:left="840" w:hanging="420"/>
      </w:pPr>
      <w:rPr>
        <w:rFonts w:cs="Times New Roman"/>
      </w:rPr>
    </w:lvl>
    <w:lvl w:ilvl="2" w:tplc="FFFFFFFF">
      <w:start w:val="1"/>
      <w:numFmt w:val="lowerRoman"/>
      <w:lvlText w:val="%3."/>
      <w:lvlJc w:val="right"/>
      <w:pPr>
        <w:tabs>
          <w:tab w:val="num" w:pos="1260"/>
        </w:tabs>
        <w:ind w:left="1260" w:hanging="420"/>
      </w:pPr>
      <w:rPr>
        <w:rFonts w:cs="Times New Roman"/>
      </w:rPr>
    </w:lvl>
    <w:lvl w:ilvl="3" w:tplc="FFFFFFFF">
      <w:start w:val="1"/>
      <w:numFmt w:val="decimal"/>
      <w:lvlText w:val="%4."/>
      <w:lvlJc w:val="left"/>
      <w:pPr>
        <w:tabs>
          <w:tab w:val="num" w:pos="1680"/>
        </w:tabs>
        <w:ind w:left="1680" w:hanging="420"/>
      </w:pPr>
      <w:rPr>
        <w:rFonts w:cs="Times New Roman"/>
      </w:rPr>
    </w:lvl>
    <w:lvl w:ilvl="4" w:tplc="FFFFFFFF">
      <w:start w:val="1"/>
      <w:numFmt w:val="lowerLetter"/>
      <w:lvlText w:val="%5)"/>
      <w:lvlJc w:val="left"/>
      <w:pPr>
        <w:tabs>
          <w:tab w:val="num" w:pos="2100"/>
        </w:tabs>
        <w:ind w:left="2100" w:hanging="420"/>
      </w:pPr>
      <w:rPr>
        <w:rFonts w:cs="Times New Roman"/>
      </w:rPr>
    </w:lvl>
    <w:lvl w:ilvl="5" w:tplc="FFFFFFFF">
      <w:start w:val="1"/>
      <w:numFmt w:val="lowerRoman"/>
      <w:lvlText w:val="%6."/>
      <w:lvlJc w:val="right"/>
      <w:pPr>
        <w:tabs>
          <w:tab w:val="num" w:pos="2520"/>
        </w:tabs>
        <w:ind w:left="2520" w:hanging="420"/>
      </w:pPr>
      <w:rPr>
        <w:rFonts w:cs="Times New Roman"/>
      </w:rPr>
    </w:lvl>
    <w:lvl w:ilvl="6" w:tplc="FFFFFFFF">
      <w:start w:val="1"/>
      <w:numFmt w:val="decimal"/>
      <w:lvlText w:val="%7."/>
      <w:lvlJc w:val="left"/>
      <w:pPr>
        <w:tabs>
          <w:tab w:val="num" w:pos="2940"/>
        </w:tabs>
        <w:ind w:left="2940" w:hanging="420"/>
      </w:pPr>
      <w:rPr>
        <w:rFonts w:cs="Times New Roman"/>
      </w:rPr>
    </w:lvl>
    <w:lvl w:ilvl="7" w:tplc="FFFFFFFF">
      <w:start w:val="1"/>
      <w:numFmt w:val="lowerLetter"/>
      <w:lvlText w:val="%8)"/>
      <w:lvlJc w:val="left"/>
      <w:pPr>
        <w:tabs>
          <w:tab w:val="num" w:pos="3360"/>
        </w:tabs>
        <w:ind w:left="3360" w:hanging="420"/>
      </w:pPr>
      <w:rPr>
        <w:rFonts w:cs="Times New Roman"/>
      </w:rPr>
    </w:lvl>
    <w:lvl w:ilvl="8" w:tplc="FFFFFFFF">
      <w:start w:val="1"/>
      <w:numFmt w:val="lowerRoman"/>
      <w:lvlText w:val="%9."/>
      <w:lvlJc w:val="right"/>
      <w:pPr>
        <w:tabs>
          <w:tab w:val="num" w:pos="3780"/>
        </w:tabs>
        <w:ind w:left="3780" w:hanging="420"/>
      </w:pPr>
      <w:rPr>
        <w:rFonts w:cs="Times New Roman"/>
      </w:rPr>
    </w:lvl>
  </w:abstractNum>
  <w:abstractNum w:abstractNumId="2">
    <w:nsid w:val="46627366"/>
    <w:multiLevelType w:val="hybridMultilevel"/>
    <w:tmpl w:val="CF1AAD88"/>
    <w:lvl w:ilvl="0" w:tplc="0B24C9B6">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3">
    <w:nsid w:val="6DCB4672"/>
    <w:multiLevelType w:val="hybridMultilevel"/>
    <w:tmpl w:val="6D688D26"/>
    <w:lvl w:ilvl="0" w:tplc="0409000F">
      <w:start w:val="1"/>
      <w:numFmt w:val="decimal"/>
      <w:lvlText w:val="%1."/>
      <w:lvlJc w:val="left"/>
      <w:pPr>
        <w:tabs>
          <w:tab w:val="num" w:pos="420"/>
        </w:tabs>
        <w:ind w:left="420" w:hanging="420"/>
      </w:pPr>
      <w:rPr>
        <w:rFonts w:cs="Times New Roman"/>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World J Gastroenter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1C43C5"/>
    <w:rsid w:val="000014C9"/>
    <w:rsid w:val="0000338E"/>
    <w:rsid w:val="000044BB"/>
    <w:rsid w:val="0001334D"/>
    <w:rsid w:val="00016F15"/>
    <w:rsid w:val="00017275"/>
    <w:rsid w:val="000222EB"/>
    <w:rsid w:val="0002349C"/>
    <w:rsid w:val="00023E34"/>
    <w:rsid w:val="00026B9E"/>
    <w:rsid w:val="00027A3A"/>
    <w:rsid w:val="00027D7D"/>
    <w:rsid w:val="00030B98"/>
    <w:rsid w:val="00031300"/>
    <w:rsid w:val="0004133C"/>
    <w:rsid w:val="0004320F"/>
    <w:rsid w:val="0004638E"/>
    <w:rsid w:val="0004747F"/>
    <w:rsid w:val="00050148"/>
    <w:rsid w:val="00054F97"/>
    <w:rsid w:val="000606DF"/>
    <w:rsid w:val="00064908"/>
    <w:rsid w:val="000654E9"/>
    <w:rsid w:val="0007133B"/>
    <w:rsid w:val="000726F8"/>
    <w:rsid w:val="000729A6"/>
    <w:rsid w:val="000747DF"/>
    <w:rsid w:val="00076216"/>
    <w:rsid w:val="00077244"/>
    <w:rsid w:val="00077650"/>
    <w:rsid w:val="000808DA"/>
    <w:rsid w:val="00081A34"/>
    <w:rsid w:val="0008209B"/>
    <w:rsid w:val="00083DD5"/>
    <w:rsid w:val="0008432F"/>
    <w:rsid w:val="0009108D"/>
    <w:rsid w:val="00092459"/>
    <w:rsid w:val="000930AB"/>
    <w:rsid w:val="00095773"/>
    <w:rsid w:val="000959BC"/>
    <w:rsid w:val="000A0E01"/>
    <w:rsid w:val="000B0BF7"/>
    <w:rsid w:val="000B27CF"/>
    <w:rsid w:val="000B5B43"/>
    <w:rsid w:val="000B7E60"/>
    <w:rsid w:val="000C1BDE"/>
    <w:rsid w:val="000C2F81"/>
    <w:rsid w:val="000C49F4"/>
    <w:rsid w:val="000D0DA9"/>
    <w:rsid w:val="000D1BDE"/>
    <w:rsid w:val="000D305C"/>
    <w:rsid w:val="000D4667"/>
    <w:rsid w:val="000D4DFE"/>
    <w:rsid w:val="000D638A"/>
    <w:rsid w:val="000E31CA"/>
    <w:rsid w:val="000E3406"/>
    <w:rsid w:val="000E67F6"/>
    <w:rsid w:val="000F05F4"/>
    <w:rsid w:val="000F46BD"/>
    <w:rsid w:val="000F5552"/>
    <w:rsid w:val="00100C15"/>
    <w:rsid w:val="00102BF4"/>
    <w:rsid w:val="00105C16"/>
    <w:rsid w:val="00110284"/>
    <w:rsid w:val="00111F60"/>
    <w:rsid w:val="00112765"/>
    <w:rsid w:val="00115619"/>
    <w:rsid w:val="00115B04"/>
    <w:rsid w:val="00116A59"/>
    <w:rsid w:val="00116F60"/>
    <w:rsid w:val="00117FE8"/>
    <w:rsid w:val="00123026"/>
    <w:rsid w:val="00125839"/>
    <w:rsid w:val="00131E74"/>
    <w:rsid w:val="001454F0"/>
    <w:rsid w:val="00146697"/>
    <w:rsid w:val="001520EC"/>
    <w:rsid w:val="001527A9"/>
    <w:rsid w:val="00153605"/>
    <w:rsid w:val="0015496C"/>
    <w:rsid w:val="001564E8"/>
    <w:rsid w:val="00163B81"/>
    <w:rsid w:val="001654C9"/>
    <w:rsid w:val="00167BD7"/>
    <w:rsid w:val="001713F4"/>
    <w:rsid w:val="001721CE"/>
    <w:rsid w:val="001742AE"/>
    <w:rsid w:val="00181565"/>
    <w:rsid w:val="0018435C"/>
    <w:rsid w:val="00184916"/>
    <w:rsid w:val="00186B75"/>
    <w:rsid w:val="0019490E"/>
    <w:rsid w:val="00194FC1"/>
    <w:rsid w:val="001A05A7"/>
    <w:rsid w:val="001A0ACA"/>
    <w:rsid w:val="001A2DB0"/>
    <w:rsid w:val="001B1188"/>
    <w:rsid w:val="001B22A5"/>
    <w:rsid w:val="001B38DD"/>
    <w:rsid w:val="001C10D1"/>
    <w:rsid w:val="001C2D3E"/>
    <w:rsid w:val="001C3B4F"/>
    <w:rsid w:val="001C419B"/>
    <w:rsid w:val="001C43C5"/>
    <w:rsid w:val="001C467D"/>
    <w:rsid w:val="001C7667"/>
    <w:rsid w:val="001D2783"/>
    <w:rsid w:val="001D3584"/>
    <w:rsid w:val="001D42B7"/>
    <w:rsid w:val="001D7C1E"/>
    <w:rsid w:val="001D7F55"/>
    <w:rsid w:val="001E1C76"/>
    <w:rsid w:val="001E48F3"/>
    <w:rsid w:val="001F3903"/>
    <w:rsid w:val="001F61E0"/>
    <w:rsid w:val="001F7184"/>
    <w:rsid w:val="00201A30"/>
    <w:rsid w:val="00204299"/>
    <w:rsid w:val="002166C9"/>
    <w:rsid w:val="002168B4"/>
    <w:rsid w:val="00217696"/>
    <w:rsid w:val="00221D1A"/>
    <w:rsid w:val="002225AE"/>
    <w:rsid w:val="002234A1"/>
    <w:rsid w:val="002267B0"/>
    <w:rsid w:val="00231EC7"/>
    <w:rsid w:val="00232916"/>
    <w:rsid w:val="00233537"/>
    <w:rsid w:val="00236459"/>
    <w:rsid w:val="00236548"/>
    <w:rsid w:val="00241278"/>
    <w:rsid w:val="0024289E"/>
    <w:rsid w:val="00243DF4"/>
    <w:rsid w:val="00245699"/>
    <w:rsid w:val="0025105A"/>
    <w:rsid w:val="00251885"/>
    <w:rsid w:val="0025592D"/>
    <w:rsid w:val="00260A5F"/>
    <w:rsid w:val="00262A95"/>
    <w:rsid w:val="002712F6"/>
    <w:rsid w:val="002757F5"/>
    <w:rsid w:val="00275D94"/>
    <w:rsid w:val="0027621B"/>
    <w:rsid w:val="00276DC1"/>
    <w:rsid w:val="002779C3"/>
    <w:rsid w:val="00280EEE"/>
    <w:rsid w:val="0028249C"/>
    <w:rsid w:val="00284610"/>
    <w:rsid w:val="002860C8"/>
    <w:rsid w:val="00287C9E"/>
    <w:rsid w:val="002938D7"/>
    <w:rsid w:val="00297E30"/>
    <w:rsid w:val="002A202A"/>
    <w:rsid w:val="002A6A32"/>
    <w:rsid w:val="002B1E92"/>
    <w:rsid w:val="002B6CE1"/>
    <w:rsid w:val="002C0CE0"/>
    <w:rsid w:val="002C2ABF"/>
    <w:rsid w:val="002C2D50"/>
    <w:rsid w:val="002C578E"/>
    <w:rsid w:val="002C69DE"/>
    <w:rsid w:val="002C7C92"/>
    <w:rsid w:val="002D10FE"/>
    <w:rsid w:val="002D1F23"/>
    <w:rsid w:val="002D266B"/>
    <w:rsid w:val="002D2D49"/>
    <w:rsid w:val="002D4C69"/>
    <w:rsid w:val="002D6CB3"/>
    <w:rsid w:val="002E057D"/>
    <w:rsid w:val="002E0983"/>
    <w:rsid w:val="002E14B1"/>
    <w:rsid w:val="002E7CE9"/>
    <w:rsid w:val="002E7D84"/>
    <w:rsid w:val="002F1173"/>
    <w:rsid w:val="002F2235"/>
    <w:rsid w:val="002F278A"/>
    <w:rsid w:val="002F408A"/>
    <w:rsid w:val="002F516D"/>
    <w:rsid w:val="002F758F"/>
    <w:rsid w:val="002F77FF"/>
    <w:rsid w:val="00303B55"/>
    <w:rsid w:val="003043D6"/>
    <w:rsid w:val="003070BC"/>
    <w:rsid w:val="003078D6"/>
    <w:rsid w:val="003115E4"/>
    <w:rsid w:val="00312585"/>
    <w:rsid w:val="00313004"/>
    <w:rsid w:val="00313A7B"/>
    <w:rsid w:val="003172DC"/>
    <w:rsid w:val="00317A02"/>
    <w:rsid w:val="003237EF"/>
    <w:rsid w:val="00324C8F"/>
    <w:rsid w:val="00335512"/>
    <w:rsid w:val="00337471"/>
    <w:rsid w:val="003403D5"/>
    <w:rsid w:val="00341C60"/>
    <w:rsid w:val="003438FF"/>
    <w:rsid w:val="00343E63"/>
    <w:rsid w:val="00350A2E"/>
    <w:rsid w:val="00351F8F"/>
    <w:rsid w:val="0035438B"/>
    <w:rsid w:val="00354E69"/>
    <w:rsid w:val="00357A81"/>
    <w:rsid w:val="003606E1"/>
    <w:rsid w:val="00361F8F"/>
    <w:rsid w:val="003633EB"/>
    <w:rsid w:val="003648C0"/>
    <w:rsid w:val="003665E1"/>
    <w:rsid w:val="00373E77"/>
    <w:rsid w:val="003775FC"/>
    <w:rsid w:val="0038086B"/>
    <w:rsid w:val="00386BA6"/>
    <w:rsid w:val="00390430"/>
    <w:rsid w:val="00392228"/>
    <w:rsid w:val="00393A71"/>
    <w:rsid w:val="003962C6"/>
    <w:rsid w:val="00396F7E"/>
    <w:rsid w:val="003A1327"/>
    <w:rsid w:val="003A5761"/>
    <w:rsid w:val="003A71FF"/>
    <w:rsid w:val="003B4E92"/>
    <w:rsid w:val="003C3B8B"/>
    <w:rsid w:val="003C3C43"/>
    <w:rsid w:val="003C5C19"/>
    <w:rsid w:val="003C661F"/>
    <w:rsid w:val="003D0730"/>
    <w:rsid w:val="003D3037"/>
    <w:rsid w:val="003F2FB3"/>
    <w:rsid w:val="003F44E7"/>
    <w:rsid w:val="003F4956"/>
    <w:rsid w:val="003F63B2"/>
    <w:rsid w:val="003F72C7"/>
    <w:rsid w:val="0040108D"/>
    <w:rsid w:val="00404F3F"/>
    <w:rsid w:val="004054FF"/>
    <w:rsid w:val="004056F6"/>
    <w:rsid w:val="00406FA8"/>
    <w:rsid w:val="004073F1"/>
    <w:rsid w:val="0041091E"/>
    <w:rsid w:val="00412F99"/>
    <w:rsid w:val="004139DA"/>
    <w:rsid w:val="0041603A"/>
    <w:rsid w:val="00420344"/>
    <w:rsid w:val="00421391"/>
    <w:rsid w:val="00432132"/>
    <w:rsid w:val="00432B95"/>
    <w:rsid w:val="004403D8"/>
    <w:rsid w:val="00440CD9"/>
    <w:rsid w:val="004432A6"/>
    <w:rsid w:val="00447D69"/>
    <w:rsid w:val="004611CE"/>
    <w:rsid w:val="00461AB7"/>
    <w:rsid w:val="00464C80"/>
    <w:rsid w:val="004724A9"/>
    <w:rsid w:val="00474AA6"/>
    <w:rsid w:val="00485C00"/>
    <w:rsid w:val="004925F2"/>
    <w:rsid w:val="00492F76"/>
    <w:rsid w:val="00493809"/>
    <w:rsid w:val="00495D6F"/>
    <w:rsid w:val="00495DE9"/>
    <w:rsid w:val="004A1114"/>
    <w:rsid w:val="004A6B6B"/>
    <w:rsid w:val="004A70FB"/>
    <w:rsid w:val="004A7FAD"/>
    <w:rsid w:val="004B1275"/>
    <w:rsid w:val="004B6585"/>
    <w:rsid w:val="004C0E0C"/>
    <w:rsid w:val="004C237A"/>
    <w:rsid w:val="004C3DC2"/>
    <w:rsid w:val="004D052D"/>
    <w:rsid w:val="004D0966"/>
    <w:rsid w:val="004D09C8"/>
    <w:rsid w:val="004D3EE8"/>
    <w:rsid w:val="004D4A44"/>
    <w:rsid w:val="004E01E9"/>
    <w:rsid w:val="004E3153"/>
    <w:rsid w:val="004E354F"/>
    <w:rsid w:val="004E6C8D"/>
    <w:rsid w:val="004F1D9A"/>
    <w:rsid w:val="004F6851"/>
    <w:rsid w:val="004F70C5"/>
    <w:rsid w:val="00502C60"/>
    <w:rsid w:val="00504FB7"/>
    <w:rsid w:val="00507A2D"/>
    <w:rsid w:val="00507C7D"/>
    <w:rsid w:val="00510DAB"/>
    <w:rsid w:val="00511A65"/>
    <w:rsid w:val="00514189"/>
    <w:rsid w:val="00514338"/>
    <w:rsid w:val="00514DE9"/>
    <w:rsid w:val="005174C2"/>
    <w:rsid w:val="00521CF0"/>
    <w:rsid w:val="005269E4"/>
    <w:rsid w:val="00526BF3"/>
    <w:rsid w:val="00533E27"/>
    <w:rsid w:val="00536726"/>
    <w:rsid w:val="00540674"/>
    <w:rsid w:val="00541120"/>
    <w:rsid w:val="005435A5"/>
    <w:rsid w:val="00546EC2"/>
    <w:rsid w:val="00553DFE"/>
    <w:rsid w:val="00554557"/>
    <w:rsid w:val="00560C45"/>
    <w:rsid w:val="005673D9"/>
    <w:rsid w:val="00567A67"/>
    <w:rsid w:val="0057008F"/>
    <w:rsid w:val="00570ADD"/>
    <w:rsid w:val="00570C79"/>
    <w:rsid w:val="005744A1"/>
    <w:rsid w:val="00574FD8"/>
    <w:rsid w:val="00575865"/>
    <w:rsid w:val="0057592F"/>
    <w:rsid w:val="00576836"/>
    <w:rsid w:val="00576F8C"/>
    <w:rsid w:val="0058084B"/>
    <w:rsid w:val="005836E4"/>
    <w:rsid w:val="005935DE"/>
    <w:rsid w:val="0059680D"/>
    <w:rsid w:val="00597651"/>
    <w:rsid w:val="005A059F"/>
    <w:rsid w:val="005A0661"/>
    <w:rsid w:val="005A076B"/>
    <w:rsid w:val="005A15AB"/>
    <w:rsid w:val="005A1BA9"/>
    <w:rsid w:val="005A2D1B"/>
    <w:rsid w:val="005A5A74"/>
    <w:rsid w:val="005A7434"/>
    <w:rsid w:val="005A7722"/>
    <w:rsid w:val="005B0611"/>
    <w:rsid w:val="005B2C64"/>
    <w:rsid w:val="005C0B86"/>
    <w:rsid w:val="005C2E23"/>
    <w:rsid w:val="005C4E24"/>
    <w:rsid w:val="005C5AEC"/>
    <w:rsid w:val="005C6E62"/>
    <w:rsid w:val="005D1523"/>
    <w:rsid w:val="005D26E2"/>
    <w:rsid w:val="005D2B78"/>
    <w:rsid w:val="005E5D6C"/>
    <w:rsid w:val="005F517D"/>
    <w:rsid w:val="005F6351"/>
    <w:rsid w:val="005F7543"/>
    <w:rsid w:val="005F794C"/>
    <w:rsid w:val="0060016D"/>
    <w:rsid w:val="0060081C"/>
    <w:rsid w:val="006026F3"/>
    <w:rsid w:val="0060472F"/>
    <w:rsid w:val="00611D69"/>
    <w:rsid w:val="00612B2B"/>
    <w:rsid w:val="00620AFD"/>
    <w:rsid w:val="0062203E"/>
    <w:rsid w:val="00624BA7"/>
    <w:rsid w:val="00625DB5"/>
    <w:rsid w:val="006271E8"/>
    <w:rsid w:val="0064142D"/>
    <w:rsid w:val="00645701"/>
    <w:rsid w:val="00647350"/>
    <w:rsid w:val="00653022"/>
    <w:rsid w:val="00664698"/>
    <w:rsid w:val="00664E6B"/>
    <w:rsid w:val="0066778B"/>
    <w:rsid w:val="006711B7"/>
    <w:rsid w:val="006756DD"/>
    <w:rsid w:val="00677F01"/>
    <w:rsid w:val="00681AF3"/>
    <w:rsid w:val="00685EF0"/>
    <w:rsid w:val="0069162E"/>
    <w:rsid w:val="006918B0"/>
    <w:rsid w:val="00692C55"/>
    <w:rsid w:val="00697A66"/>
    <w:rsid w:val="006A2B2A"/>
    <w:rsid w:val="006A6262"/>
    <w:rsid w:val="006B1351"/>
    <w:rsid w:val="006B20E7"/>
    <w:rsid w:val="006C6D05"/>
    <w:rsid w:val="006D3585"/>
    <w:rsid w:val="006D6696"/>
    <w:rsid w:val="006D6C32"/>
    <w:rsid w:val="006D78DE"/>
    <w:rsid w:val="006E0523"/>
    <w:rsid w:val="006E22EB"/>
    <w:rsid w:val="006E48A8"/>
    <w:rsid w:val="006E5030"/>
    <w:rsid w:val="006E6FAD"/>
    <w:rsid w:val="006E76DE"/>
    <w:rsid w:val="006F11FC"/>
    <w:rsid w:val="006F41CD"/>
    <w:rsid w:val="006F5E84"/>
    <w:rsid w:val="006F6F5A"/>
    <w:rsid w:val="0070066A"/>
    <w:rsid w:val="00710E13"/>
    <w:rsid w:val="007110C3"/>
    <w:rsid w:val="007127F4"/>
    <w:rsid w:val="0071758B"/>
    <w:rsid w:val="00717C44"/>
    <w:rsid w:val="00721340"/>
    <w:rsid w:val="00723BF2"/>
    <w:rsid w:val="007245D8"/>
    <w:rsid w:val="00730AE1"/>
    <w:rsid w:val="007313D1"/>
    <w:rsid w:val="00737387"/>
    <w:rsid w:val="00737426"/>
    <w:rsid w:val="007376E8"/>
    <w:rsid w:val="00742346"/>
    <w:rsid w:val="00745827"/>
    <w:rsid w:val="00745BCB"/>
    <w:rsid w:val="007468DE"/>
    <w:rsid w:val="0076333A"/>
    <w:rsid w:val="007644AA"/>
    <w:rsid w:val="00764C45"/>
    <w:rsid w:val="00772E58"/>
    <w:rsid w:val="00773A6D"/>
    <w:rsid w:val="007762FF"/>
    <w:rsid w:val="0078130E"/>
    <w:rsid w:val="007813C4"/>
    <w:rsid w:val="0078147E"/>
    <w:rsid w:val="00782551"/>
    <w:rsid w:val="007839D2"/>
    <w:rsid w:val="00785B8B"/>
    <w:rsid w:val="007865FF"/>
    <w:rsid w:val="007A1577"/>
    <w:rsid w:val="007A5080"/>
    <w:rsid w:val="007A6DC0"/>
    <w:rsid w:val="007A7197"/>
    <w:rsid w:val="007B057A"/>
    <w:rsid w:val="007B3CE9"/>
    <w:rsid w:val="007C11EB"/>
    <w:rsid w:val="007C20DD"/>
    <w:rsid w:val="007C2C00"/>
    <w:rsid w:val="007C3543"/>
    <w:rsid w:val="007C355F"/>
    <w:rsid w:val="007D1F71"/>
    <w:rsid w:val="007E1B08"/>
    <w:rsid w:val="007E277D"/>
    <w:rsid w:val="007E6B1A"/>
    <w:rsid w:val="007F13C1"/>
    <w:rsid w:val="007F2A67"/>
    <w:rsid w:val="007F3D3C"/>
    <w:rsid w:val="007F4675"/>
    <w:rsid w:val="00800C4A"/>
    <w:rsid w:val="00801F2A"/>
    <w:rsid w:val="0080307A"/>
    <w:rsid w:val="0080320F"/>
    <w:rsid w:val="008039CE"/>
    <w:rsid w:val="00804380"/>
    <w:rsid w:val="0080509D"/>
    <w:rsid w:val="00805B63"/>
    <w:rsid w:val="00811398"/>
    <w:rsid w:val="00811F35"/>
    <w:rsid w:val="00814E28"/>
    <w:rsid w:val="00815F40"/>
    <w:rsid w:val="00816559"/>
    <w:rsid w:val="00822B2D"/>
    <w:rsid w:val="00823ADB"/>
    <w:rsid w:val="00823F77"/>
    <w:rsid w:val="0082476F"/>
    <w:rsid w:val="0083012A"/>
    <w:rsid w:val="00830241"/>
    <w:rsid w:val="008329D9"/>
    <w:rsid w:val="00841B21"/>
    <w:rsid w:val="00843FB0"/>
    <w:rsid w:val="00844940"/>
    <w:rsid w:val="00845C19"/>
    <w:rsid w:val="00846376"/>
    <w:rsid w:val="00846F7D"/>
    <w:rsid w:val="008476C2"/>
    <w:rsid w:val="008500AA"/>
    <w:rsid w:val="00864AE4"/>
    <w:rsid w:val="008651A7"/>
    <w:rsid w:val="0086551E"/>
    <w:rsid w:val="00865890"/>
    <w:rsid w:val="00867CCE"/>
    <w:rsid w:val="008749B5"/>
    <w:rsid w:val="00890985"/>
    <w:rsid w:val="00892EC5"/>
    <w:rsid w:val="00895EDE"/>
    <w:rsid w:val="00896360"/>
    <w:rsid w:val="00896E9B"/>
    <w:rsid w:val="008A318B"/>
    <w:rsid w:val="008B0E61"/>
    <w:rsid w:val="008B34E2"/>
    <w:rsid w:val="008B3CAD"/>
    <w:rsid w:val="008B4106"/>
    <w:rsid w:val="008B56F9"/>
    <w:rsid w:val="008C00B7"/>
    <w:rsid w:val="008C0B8C"/>
    <w:rsid w:val="008C218B"/>
    <w:rsid w:val="008C2884"/>
    <w:rsid w:val="008C2926"/>
    <w:rsid w:val="008C5DAB"/>
    <w:rsid w:val="008C61B2"/>
    <w:rsid w:val="008D099F"/>
    <w:rsid w:val="008D7254"/>
    <w:rsid w:val="008E1ABB"/>
    <w:rsid w:val="008E2B66"/>
    <w:rsid w:val="008E39F2"/>
    <w:rsid w:val="008F19FF"/>
    <w:rsid w:val="008F1B52"/>
    <w:rsid w:val="00901104"/>
    <w:rsid w:val="0090219C"/>
    <w:rsid w:val="009123BA"/>
    <w:rsid w:val="00913A1D"/>
    <w:rsid w:val="00914F03"/>
    <w:rsid w:val="00916D93"/>
    <w:rsid w:val="00922B4B"/>
    <w:rsid w:val="00924D68"/>
    <w:rsid w:val="009315BF"/>
    <w:rsid w:val="00931C3F"/>
    <w:rsid w:val="00934454"/>
    <w:rsid w:val="009356E8"/>
    <w:rsid w:val="00937999"/>
    <w:rsid w:val="0094405A"/>
    <w:rsid w:val="009461AC"/>
    <w:rsid w:val="00952BA9"/>
    <w:rsid w:val="0096146F"/>
    <w:rsid w:val="00961DCF"/>
    <w:rsid w:val="00973108"/>
    <w:rsid w:val="009739AB"/>
    <w:rsid w:val="00981662"/>
    <w:rsid w:val="00982F71"/>
    <w:rsid w:val="00986947"/>
    <w:rsid w:val="00986AB0"/>
    <w:rsid w:val="009973EA"/>
    <w:rsid w:val="009974B3"/>
    <w:rsid w:val="009977F9"/>
    <w:rsid w:val="0099794E"/>
    <w:rsid w:val="009A171B"/>
    <w:rsid w:val="009A3CE4"/>
    <w:rsid w:val="009B28D5"/>
    <w:rsid w:val="009B2FEA"/>
    <w:rsid w:val="009B7B84"/>
    <w:rsid w:val="009C1445"/>
    <w:rsid w:val="009C2B90"/>
    <w:rsid w:val="009C463D"/>
    <w:rsid w:val="009C556A"/>
    <w:rsid w:val="009C592B"/>
    <w:rsid w:val="009D04D5"/>
    <w:rsid w:val="009D0811"/>
    <w:rsid w:val="009D69D0"/>
    <w:rsid w:val="009D711F"/>
    <w:rsid w:val="009D7697"/>
    <w:rsid w:val="009E00D5"/>
    <w:rsid w:val="009E00FC"/>
    <w:rsid w:val="009E6A4B"/>
    <w:rsid w:val="009E6BFA"/>
    <w:rsid w:val="009E72C8"/>
    <w:rsid w:val="009F13FF"/>
    <w:rsid w:val="009F3CD2"/>
    <w:rsid w:val="009F54EF"/>
    <w:rsid w:val="00A00919"/>
    <w:rsid w:val="00A016F6"/>
    <w:rsid w:val="00A01722"/>
    <w:rsid w:val="00A01934"/>
    <w:rsid w:val="00A048CF"/>
    <w:rsid w:val="00A10072"/>
    <w:rsid w:val="00A14480"/>
    <w:rsid w:val="00A232DA"/>
    <w:rsid w:val="00A2377A"/>
    <w:rsid w:val="00A244EC"/>
    <w:rsid w:val="00A24A30"/>
    <w:rsid w:val="00A25467"/>
    <w:rsid w:val="00A25CBC"/>
    <w:rsid w:val="00A32DEA"/>
    <w:rsid w:val="00A333C1"/>
    <w:rsid w:val="00A33D9A"/>
    <w:rsid w:val="00A33ED8"/>
    <w:rsid w:val="00A35252"/>
    <w:rsid w:val="00A360F9"/>
    <w:rsid w:val="00A36560"/>
    <w:rsid w:val="00A36CF7"/>
    <w:rsid w:val="00A37E7A"/>
    <w:rsid w:val="00A4118F"/>
    <w:rsid w:val="00A53AB5"/>
    <w:rsid w:val="00A55A16"/>
    <w:rsid w:val="00A576B4"/>
    <w:rsid w:val="00A57F6E"/>
    <w:rsid w:val="00A60FD7"/>
    <w:rsid w:val="00A65730"/>
    <w:rsid w:val="00A6708C"/>
    <w:rsid w:val="00A71299"/>
    <w:rsid w:val="00A725CF"/>
    <w:rsid w:val="00A7340A"/>
    <w:rsid w:val="00A75CD6"/>
    <w:rsid w:val="00A77355"/>
    <w:rsid w:val="00A77A07"/>
    <w:rsid w:val="00A8484F"/>
    <w:rsid w:val="00A948F4"/>
    <w:rsid w:val="00A968BD"/>
    <w:rsid w:val="00AA0796"/>
    <w:rsid w:val="00AA3407"/>
    <w:rsid w:val="00AB5282"/>
    <w:rsid w:val="00AB59D7"/>
    <w:rsid w:val="00AB79B9"/>
    <w:rsid w:val="00AC0829"/>
    <w:rsid w:val="00AC4497"/>
    <w:rsid w:val="00AC561F"/>
    <w:rsid w:val="00AD64D7"/>
    <w:rsid w:val="00AD7C10"/>
    <w:rsid w:val="00AE1595"/>
    <w:rsid w:val="00AE2BE2"/>
    <w:rsid w:val="00AE5C19"/>
    <w:rsid w:val="00AE76D3"/>
    <w:rsid w:val="00AF2867"/>
    <w:rsid w:val="00AF293E"/>
    <w:rsid w:val="00AF4A17"/>
    <w:rsid w:val="00AF679B"/>
    <w:rsid w:val="00AF77BC"/>
    <w:rsid w:val="00B10CE9"/>
    <w:rsid w:val="00B1155C"/>
    <w:rsid w:val="00B1278F"/>
    <w:rsid w:val="00B216C9"/>
    <w:rsid w:val="00B2684B"/>
    <w:rsid w:val="00B31423"/>
    <w:rsid w:val="00B34DD3"/>
    <w:rsid w:val="00B35CAD"/>
    <w:rsid w:val="00B40CA5"/>
    <w:rsid w:val="00B43C3A"/>
    <w:rsid w:val="00B43E5C"/>
    <w:rsid w:val="00B441EE"/>
    <w:rsid w:val="00B45D76"/>
    <w:rsid w:val="00B46050"/>
    <w:rsid w:val="00B46B2D"/>
    <w:rsid w:val="00B50087"/>
    <w:rsid w:val="00B53EC4"/>
    <w:rsid w:val="00B54003"/>
    <w:rsid w:val="00B55636"/>
    <w:rsid w:val="00B57993"/>
    <w:rsid w:val="00B66E32"/>
    <w:rsid w:val="00B737D2"/>
    <w:rsid w:val="00B74B71"/>
    <w:rsid w:val="00B758AF"/>
    <w:rsid w:val="00B80508"/>
    <w:rsid w:val="00B81526"/>
    <w:rsid w:val="00B91887"/>
    <w:rsid w:val="00B91AF7"/>
    <w:rsid w:val="00B92F36"/>
    <w:rsid w:val="00B940A7"/>
    <w:rsid w:val="00B9429B"/>
    <w:rsid w:val="00B94D2B"/>
    <w:rsid w:val="00BA1388"/>
    <w:rsid w:val="00BA1732"/>
    <w:rsid w:val="00BA1EA2"/>
    <w:rsid w:val="00BA2B3C"/>
    <w:rsid w:val="00BA6416"/>
    <w:rsid w:val="00BA674F"/>
    <w:rsid w:val="00BB12EC"/>
    <w:rsid w:val="00BB2FA5"/>
    <w:rsid w:val="00BB6D96"/>
    <w:rsid w:val="00BC2274"/>
    <w:rsid w:val="00BC2CEF"/>
    <w:rsid w:val="00BC413F"/>
    <w:rsid w:val="00BC5547"/>
    <w:rsid w:val="00BC5DC2"/>
    <w:rsid w:val="00BC79EF"/>
    <w:rsid w:val="00BD4783"/>
    <w:rsid w:val="00BE00A9"/>
    <w:rsid w:val="00BE2424"/>
    <w:rsid w:val="00BE2B89"/>
    <w:rsid w:val="00BE5AF0"/>
    <w:rsid w:val="00BE6D1F"/>
    <w:rsid w:val="00BF0205"/>
    <w:rsid w:val="00BF331B"/>
    <w:rsid w:val="00BF51D5"/>
    <w:rsid w:val="00BF576D"/>
    <w:rsid w:val="00BF63E0"/>
    <w:rsid w:val="00C01ACC"/>
    <w:rsid w:val="00C02C54"/>
    <w:rsid w:val="00C04F6B"/>
    <w:rsid w:val="00C05EFD"/>
    <w:rsid w:val="00C15759"/>
    <w:rsid w:val="00C16517"/>
    <w:rsid w:val="00C169EE"/>
    <w:rsid w:val="00C16B81"/>
    <w:rsid w:val="00C16FBF"/>
    <w:rsid w:val="00C21964"/>
    <w:rsid w:val="00C23EE4"/>
    <w:rsid w:val="00C25B05"/>
    <w:rsid w:val="00C26B61"/>
    <w:rsid w:val="00C36CD7"/>
    <w:rsid w:val="00C4026E"/>
    <w:rsid w:val="00C50F0B"/>
    <w:rsid w:val="00C539B2"/>
    <w:rsid w:val="00C55056"/>
    <w:rsid w:val="00C56A88"/>
    <w:rsid w:val="00C5731F"/>
    <w:rsid w:val="00C57C6A"/>
    <w:rsid w:val="00C57DE4"/>
    <w:rsid w:val="00C67F69"/>
    <w:rsid w:val="00C71C6F"/>
    <w:rsid w:val="00C74A7F"/>
    <w:rsid w:val="00C76702"/>
    <w:rsid w:val="00C818D3"/>
    <w:rsid w:val="00C82370"/>
    <w:rsid w:val="00C84398"/>
    <w:rsid w:val="00C85070"/>
    <w:rsid w:val="00C85530"/>
    <w:rsid w:val="00C90B15"/>
    <w:rsid w:val="00C94049"/>
    <w:rsid w:val="00C95471"/>
    <w:rsid w:val="00C956A0"/>
    <w:rsid w:val="00C95D03"/>
    <w:rsid w:val="00C96EBF"/>
    <w:rsid w:val="00C974CB"/>
    <w:rsid w:val="00C97809"/>
    <w:rsid w:val="00CA11D7"/>
    <w:rsid w:val="00CA222F"/>
    <w:rsid w:val="00CA2277"/>
    <w:rsid w:val="00CA2A72"/>
    <w:rsid w:val="00CA45C6"/>
    <w:rsid w:val="00CA4EAA"/>
    <w:rsid w:val="00CA6439"/>
    <w:rsid w:val="00CB261E"/>
    <w:rsid w:val="00CB37B9"/>
    <w:rsid w:val="00CC205E"/>
    <w:rsid w:val="00CC41C9"/>
    <w:rsid w:val="00CC77AA"/>
    <w:rsid w:val="00CD09E4"/>
    <w:rsid w:val="00CD4060"/>
    <w:rsid w:val="00CD414D"/>
    <w:rsid w:val="00CD45A0"/>
    <w:rsid w:val="00CD5454"/>
    <w:rsid w:val="00CD6272"/>
    <w:rsid w:val="00CD6756"/>
    <w:rsid w:val="00CE1631"/>
    <w:rsid w:val="00CE6D01"/>
    <w:rsid w:val="00CE7CDA"/>
    <w:rsid w:val="00CF387D"/>
    <w:rsid w:val="00D01E68"/>
    <w:rsid w:val="00D027F8"/>
    <w:rsid w:val="00D02B16"/>
    <w:rsid w:val="00D05D59"/>
    <w:rsid w:val="00D07DFF"/>
    <w:rsid w:val="00D10177"/>
    <w:rsid w:val="00D11C3D"/>
    <w:rsid w:val="00D12794"/>
    <w:rsid w:val="00D12B6F"/>
    <w:rsid w:val="00D12CF1"/>
    <w:rsid w:val="00D2452C"/>
    <w:rsid w:val="00D27018"/>
    <w:rsid w:val="00D402DF"/>
    <w:rsid w:val="00D41212"/>
    <w:rsid w:val="00D519BF"/>
    <w:rsid w:val="00D5226B"/>
    <w:rsid w:val="00D55D13"/>
    <w:rsid w:val="00D55DFB"/>
    <w:rsid w:val="00D577FB"/>
    <w:rsid w:val="00D60537"/>
    <w:rsid w:val="00D6188C"/>
    <w:rsid w:val="00D6375A"/>
    <w:rsid w:val="00D638CD"/>
    <w:rsid w:val="00D66003"/>
    <w:rsid w:val="00D71A24"/>
    <w:rsid w:val="00D75B15"/>
    <w:rsid w:val="00D776EF"/>
    <w:rsid w:val="00D83155"/>
    <w:rsid w:val="00D83209"/>
    <w:rsid w:val="00D855B2"/>
    <w:rsid w:val="00D86076"/>
    <w:rsid w:val="00D9041C"/>
    <w:rsid w:val="00D90A9C"/>
    <w:rsid w:val="00D90E5E"/>
    <w:rsid w:val="00D91DD7"/>
    <w:rsid w:val="00D921B1"/>
    <w:rsid w:val="00D929A3"/>
    <w:rsid w:val="00D945DE"/>
    <w:rsid w:val="00D94F08"/>
    <w:rsid w:val="00D97281"/>
    <w:rsid w:val="00DA0174"/>
    <w:rsid w:val="00DA0E2A"/>
    <w:rsid w:val="00DA4825"/>
    <w:rsid w:val="00DB0AE4"/>
    <w:rsid w:val="00DB1713"/>
    <w:rsid w:val="00DB40E8"/>
    <w:rsid w:val="00DB5BBA"/>
    <w:rsid w:val="00DB6472"/>
    <w:rsid w:val="00DC0672"/>
    <w:rsid w:val="00DC2191"/>
    <w:rsid w:val="00DC53A9"/>
    <w:rsid w:val="00DC5FD3"/>
    <w:rsid w:val="00DD427C"/>
    <w:rsid w:val="00DE0EC2"/>
    <w:rsid w:val="00DE2422"/>
    <w:rsid w:val="00DE273C"/>
    <w:rsid w:val="00DE2820"/>
    <w:rsid w:val="00DE736E"/>
    <w:rsid w:val="00E02857"/>
    <w:rsid w:val="00E05FC8"/>
    <w:rsid w:val="00E1023F"/>
    <w:rsid w:val="00E10B14"/>
    <w:rsid w:val="00E10D86"/>
    <w:rsid w:val="00E12183"/>
    <w:rsid w:val="00E14692"/>
    <w:rsid w:val="00E15260"/>
    <w:rsid w:val="00E16159"/>
    <w:rsid w:val="00E20976"/>
    <w:rsid w:val="00E231A0"/>
    <w:rsid w:val="00E27209"/>
    <w:rsid w:val="00E31157"/>
    <w:rsid w:val="00E3233A"/>
    <w:rsid w:val="00E32774"/>
    <w:rsid w:val="00E36DFC"/>
    <w:rsid w:val="00E37EF5"/>
    <w:rsid w:val="00E42C92"/>
    <w:rsid w:val="00E43622"/>
    <w:rsid w:val="00E44265"/>
    <w:rsid w:val="00E4690D"/>
    <w:rsid w:val="00E50AA5"/>
    <w:rsid w:val="00E56647"/>
    <w:rsid w:val="00E569E7"/>
    <w:rsid w:val="00E57B19"/>
    <w:rsid w:val="00E60538"/>
    <w:rsid w:val="00E61B58"/>
    <w:rsid w:val="00E640A5"/>
    <w:rsid w:val="00E66FFF"/>
    <w:rsid w:val="00E701BA"/>
    <w:rsid w:val="00E7154C"/>
    <w:rsid w:val="00E725BF"/>
    <w:rsid w:val="00E7261D"/>
    <w:rsid w:val="00E727F9"/>
    <w:rsid w:val="00E8271B"/>
    <w:rsid w:val="00E86D00"/>
    <w:rsid w:val="00E94414"/>
    <w:rsid w:val="00E9463F"/>
    <w:rsid w:val="00E95E55"/>
    <w:rsid w:val="00E97701"/>
    <w:rsid w:val="00EA0000"/>
    <w:rsid w:val="00EA387A"/>
    <w:rsid w:val="00EA3B4E"/>
    <w:rsid w:val="00EA43C6"/>
    <w:rsid w:val="00EA5D7D"/>
    <w:rsid w:val="00EA7D09"/>
    <w:rsid w:val="00EB20E4"/>
    <w:rsid w:val="00EB325E"/>
    <w:rsid w:val="00EB32DE"/>
    <w:rsid w:val="00EB6606"/>
    <w:rsid w:val="00EC02F3"/>
    <w:rsid w:val="00EC2615"/>
    <w:rsid w:val="00ED2A8F"/>
    <w:rsid w:val="00EE0889"/>
    <w:rsid w:val="00EE0EDF"/>
    <w:rsid w:val="00EE6BE9"/>
    <w:rsid w:val="00EF0757"/>
    <w:rsid w:val="00EF1DA8"/>
    <w:rsid w:val="00EF68F9"/>
    <w:rsid w:val="00EF6E6D"/>
    <w:rsid w:val="00EF7F49"/>
    <w:rsid w:val="00F00131"/>
    <w:rsid w:val="00F11BD2"/>
    <w:rsid w:val="00F12261"/>
    <w:rsid w:val="00F20778"/>
    <w:rsid w:val="00F261CD"/>
    <w:rsid w:val="00F26420"/>
    <w:rsid w:val="00F2730C"/>
    <w:rsid w:val="00F30552"/>
    <w:rsid w:val="00F3252E"/>
    <w:rsid w:val="00F44956"/>
    <w:rsid w:val="00F470FF"/>
    <w:rsid w:val="00F50237"/>
    <w:rsid w:val="00F50647"/>
    <w:rsid w:val="00F534FB"/>
    <w:rsid w:val="00F54302"/>
    <w:rsid w:val="00F57B02"/>
    <w:rsid w:val="00F601DE"/>
    <w:rsid w:val="00F60A8A"/>
    <w:rsid w:val="00F60DB5"/>
    <w:rsid w:val="00F63C36"/>
    <w:rsid w:val="00F700D9"/>
    <w:rsid w:val="00F70DEC"/>
    <w:rsid w:val="00F75528"/>
    <w:rsid w:val="00F76AB2"/>
    <w:rsid w:val="00F76C7C"/>
    <w:rsid w:val="00F76EF3"/>
    <w:rsid w:val="00F77D8F"/>
    <w:rsid w:val="00F77F3E"/>
    <w:rsid w:val="00F80B9D"/>
    <w:rsid w:val="00F83858"/>
    <w:rsid w:val="00F84BF4"/>
    <w:rsid w:val="00F86D89"/>
    <w:rsid w:val="00F87511"/>
    <w:rsid w:val="00F930AC"/>
    <w:rsid w:val="00F9626B"/>
    <w:rsid w:val="00F96985"/>
    <w:rsid w:val="00F975D9"/>
    <w:rsid w:val="00F9780A"/>
    <w:rsid w:val="00FA093B"/>
    <w:rsid w:val="00FA450C"/>
    <w:rsid w:val="00FA7309"/>
    <w:rsid w:val="00FA773F"/>
    <w:rsid w:val="00FB3CB9"/>
    <w:rsid w:val="00FB4F6A"/>
    <w:rsid w:val="00FC1B48"/>
    <w:rsid w:val="00FD1E20"/>
    <w:rsid w:val="00FD346C"/>
    <w:rsid w:val="00FD3A40"/>
    <w:rsid w:val="00FD4B7F"/>
    <w:rsid w:val="00FE3449"/>
    <w:rsid w:val="00FE3E9D"/>
    <w:rsid w:val="00FE5DAD"/>
    <w:rsid w:val="00FE7D2B"/>
    <w:rsid w:val="00FF1AFF"/>
    <w:rsid w:val="00FF1D94"/>
    <w:rsid w:val="00FF24C2"/>
    <w:rsid w:val="00FF3DD4"/>
    <w:rsid w:val="00FF5A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68F9"/>
    <w:pPr>
      <w:widowControl w:val="0"/>
      <w:spacing w:line="240" w:lineRule="atLeast"/>
      <w:jc w:val="both"/>
    </w:pPr>
  </w:style>
  <w:style w:type="paragraph" w:styleId="1">
    <w:name w:val="heading 1"/>
    <w:basedOn w:val="a"/>
    <w:link w:val="1Char"/>
    <w:uiPriority w:val="99"/>
    <w:qFormat/>
    <w:rsid w:val="008B0E61"/>
    <w:pPr>
      <w:widowControl/>
      <w:spacing w:before="100" w:beforeAutospacing="1" w:after="100" w:afterAutospacing="1" w:line="240" w:lineRule="auto"/>
      <w:jc w:val="left"/>
      <w:outlineLvl w:val="0"/>
    </w:pPr>
    <w:rPr>
      <w:rFonts w:ascii="宋体" w:hAnsi="宋体"/>
      <w:b/>
      <w:bCs/>
      <w:kern w:val="36"/>
      <w:sz w:val="48"/>
      <w:szCs w:val="48"/>
    </w:rPr>
  </w:style>
  <w:style w:type="paragraph" w:styleId="3">
    <w:name w:val="heading 3"/>
    <w:basedOn w:val="a"/>
    <w:next w:val="a"/>
    <w:link w:val="3Char"/>
    <w:uiPriority w:val="99"/>
    <w:qFormat/>
    <w:rsid w:val="00C96EBF"/>
    <w:pPr>
      <w:keepNext/>
      <w:keepLines/>
      <w:spacing w:before="260" w:after="260" w:line="416" w:lineRule="atLeast"/>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8B0E61"/>
    <w:rPr>
      <w:rFonts w:ascii="宋体" w:eastAsia="宋体" w:hAnsi="宋体" w:cs="Times New Roman"/>
      <w:b/>
      <w:kern w:val="36"/>
      <w:sz w:val="48"/>
    </w:rPr>
  </w:style>
  <w:style w:type="character" w:customStyle="1" w:styleId="3Char">
    <w:name w:val="标题 3 Char"/>
    <w:basedOn w:val="a0"/>
    <w:link w:val="3"/>
    <w:uiPriority w:val="99"/>
    <w:locked/>
    <w:rsid w:val="00287C9E"/>
    <w:rPr>
      <w:rFonts w:cs="Times New Roman"/>
      <w:b/>
      <w:kern w:val="2"/>
      <w:sz w:val="32"/>
      <w:lang w:eastAsia="zh-CN"/>
    </w:rPr>
  </w:style>
  <w:style w:type="paragraph" w:styleId="a3">
    <w:name w:val="header"/>
    <w:basedOn w:val="a"/>
    <w:link w:val="Char"/>
    <w:uiPriority w:val="99"/>
    <w:rsid w:val="001C43C5"/>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basedOn w:val="a0"/>
    <w:link w:val="a3"/>
    <w:uiPriority w:val="99"/>
    <w:locked/>
    <w:rsid w:val="001C43C5"/>
    <w:rPr>
      <w:rFonts w:cs="Times New Roman"/>
      <w:sz w:val="18"/>
    </w:rPr>
  </w:style>
  <w:style w:type="paragraph" w:styleId="a4">
    <w:name w:val="footer"/>
    <w:basedOn w:val="a"/>
    <w:link w:val="Char0"/>
    <w:uiPriority w:val="99"/>
    <w:rsid w:val="001C43C5"/>
    <w:pPr>
      <w:tabs>
        <w:tab w:val="center" w:pos="4153"/>
        <w:tab w:val="right" w:pos="8306"/>
      </w:tabs>
      <w:snapToGrid w:val="0"/>
      <w:jc w:val="left"/>
    </w:pPr>
    <w:rPr>
      <w:kern w:val="0"/>
      <w:sz w:val="18"/>
      <w:szCs w:val="18"/>
    </w:rPr>
  </w:style>
  <w:style w:type="character" w:customStyle="1" w:styleId="Char0">
    <w:name w:val="页脚 Char"/>
    <w:basedOn w:val="a0"/>
    <w:link w:val="a4"/>
    <w:uiPriority w:val="99"/>
    <w:locked/>
    <w:rsid w:val="001C43C5"/>
    <w:rPr>
      <w:rFonts w:cs="Times New Roman"/>
      <w:sz w:val="18"/>
    </w:rPr>
  </w:style>
  <w:style w:type="character" w:styleId="a5">
    <w:name w:val="Hyperlink"/>
    <w:basedOn w:val="a0"/>
    <w:uiPriority w:val="99"/>
    <w:rsid w:val="008B0E61"/>
    <w:rPr>
      <w:rFonts w:ascii="Times New Roman" w:eastAsia="宋体" w:hAnsi="Times New Roman" w:cs="Times New Roman"/>
      <w:color w:val="1B699E"/>
      <w:sz w:val="24"/>
      <w:u w:val="none"/>
      <w:effect w:val="none"/>
    </w:rPr>
  </w:style>
  <w:style w:type="paragraph" w:styleId="a6">
    <w:name w:val="Balloon Text"/>
    <w:basedOn w:val="a"/>
    <w:link w:val="Char1"/>
    <w:uiPriority w:val="99"/>
    <w:semiHidden/>
    <w:rsid w:val="00570ADD"/>
    <w:pPr>
      <w:spacing w:line="240" w:lineRule="auto"/>
    </w:pPr>
    <w:rPr>
      <w:sz w:val="18"/>
      <w:szCs w:val="18"/>
    </w:rPr>
  </w:style>
  <w:style w:type="character" w:customStyle="1" w:styleId="Char1">
    <w:name w:val="批注框文本 Char"/>
    <w:basedOn w:val="a0"/>
    <w:link w:val="a6"/>
    <w:uiPriority w:val="99"/>
    <w:semiHidden/>
    <w:locked/>
    <w:rsid w:val="00570ADD"/>
    <w:rPr>
      <w:rFonts w:cs="Times New Roman"/>
      <w:kern w:val="2"/>
      <w:sz w:val="18"/>
    </w:rPr>
  </w:style>
  <w:style w:type="character" w:customStyle="1" w:styleId="hps">
    <w:name w:val="hps"/>
    <w:basedOn w:val="a0"/>
    <w:uiPriority w:val="99"/>
    <w:rsid w:val="003962C6"/>
    <w:rPr>
      <w:rFonts w:cs="Times New Roman"/>
    </w:rPr>
  </w:style>
  <w:style w:type="character" w:styleId="a7">
    <w:name w:val="annotation reference"/>
    <w:basedOn w:val="a0"/>
    <w:uiPriority w:val="99"/>
    <w:semiHidden/>
    <w:rsid w:val="00343E63"/>
    <w:rPr>
      <w:rFonts w:cs="Times New Roman"/>
      <w:sz w:val="21"/>
    </w:rPr>
  </w:style>
  <w:style w:type="paragraph" w:styleId="a8">
    <w:name w:val="annotation text"/>
    <w:basedOn w:val="a"/>
    <w:link w:val="Char2"/>
    <w:uiPriority w:val="99"/>
    <w:rsid w:val="00343E63"/>
    <w:pPr>
      <w:jc w:val="left"/>
    </w:pPr>
  </w:style>
  <w:style w:type="character" w:customStyle="1" w:styleId="Char2">
    <w:name w:val="批注文字 Char"/>
    <w:basedOn w:val="a0"/>
    <w:link w:val="a8"/>
    <w:uiPriority w:val="99"/>
    <w:semiHidden/>
    <w:locked/>
    <w:rsid w:val="00343E63"/>
    <w:rPr>
      <w:rFonts w:cs="Times New Roman"/>
      <w:kern w:val="2"/>
      <w:sz w:val="22"/>
    </w:rPr>
  </w:style>
  <w:style w:type="paragraph" w:styleId="a9">
    <w:name w:val="annotation subject"/>
    <w:basedOn w:val="a8"/>
    <w:next w:val="a8"/>
    <w:link w:val="Char3"/>
    <w:uiPriority w:val="99"/>
    <w:semiHidden/>
    <w:rsid w:val="00343E63"/>
    <w:rPr>
      <w:b/>
      <w:bCs/>
    </w:rPr>
  </w:style>
  <w:style w:type="character" w:customStyle="1" w:styleId="Char3">
    <w:name w:val="批注主题 Char"/>
    <w:basedOn w:val="Char2"/>
    <w:link w:val="a9"/>
    <w:uiPriority w:val="99"/>
    <w:semiHidden/>
    <w:locked/>
    <w:rsid w:val="00343E63"/>
    <w:rPr>
      <w:rFonts w:cs="Times New Roman"/>
      <w:b/>
      <w:kern w:val="2"/>
      <w:sz w:val="22"/>
    </w:rPr>
  </w:style>
  <w:style w:type="character" w:customStyle="1" w:styleId="highlight">
    <w:name w:val="highlight"/>
    <w:basedOn w:val="a0"/>
    <w:uiPriority w:val="99"/>
    <w:rsid w:val="00A948F4"/>
    <w:rPr>
      <w:rFonts w:cs="Times New Roman"/>
    </w:rPr>
  </w:style>
  <w:style w:type="character" w:customStyle="1" w:styleId="Char10">
    <w:name w:val="批注文字 Char1"/>
    <w:uiPriority w:val="99"/>
    <w:semiHidden/>
    <w:rsid w:val="005435A5"/>
    <w:rPr>
      <w:rFonts w:eastAsia="宋体"/>
      <w:kern w:val="2"/>
      <w:sz w:val="24"/>
      <w:lang w:val="en-US" w:eastAsia="zh-CN"/>
    </w:rPr>
  </w:style>
  <w:style w:type="paragraph" w:customStyle="1" w:styleId="p0">
    <w:name w:val="p0"/>
    <w:basedOn w:val="a"/>
    <w:uiPriority w:val="99"/>
    <w:rsid w:val="00B43C3A"/>
    <w:pPr>
      <w:widowControl/>
      <w:jc w:val="left"/>
    </w:pPr>
    <w:rPr>
      <w:rFonts w:ascii="Century" w:hAnsi="Century" w:cs="宋体"/>
      <w:kern w:val="0"/>
      <w:szCs w:val="21"/>
    </w:rPr>
  </w:style>
  <w:style w:type="character" w:styleId="aa">
    <w:name w:val="Strong"/>
    <w:basedOn w:val="a0"/>
    <w:uiPriority w:val="99"/>
    <w:qFormat/>
    <w:rsid w:val="00865890"/>
    <w:rPr>
      <w:rFonts w:cs="Times New Roman"/>
      <w:b/>
    </w:rPr>
  </w:style>
  <w:style w:type="paragraph" w:customStyle="1" w:styleId="ListParagraph1">
    <w:name w:val="List Paragraph1"/>
    <w:basedOn w:val="a"/>
    <w:uiPriority w:val="99"/>
    <w:rsid w:val="00865890"/>
    <w:pPr>
      <w:widowControl/>
      <w:spacing w:line="240" w:lineRule="auto"/>
      <w:ind w:left="720"/>
      <w:contextualSpacing/>
      <w:jc w:val="left"/>
    </w:pPr>
    <w:rPr>
      <w:rFonts w:ascii="Cambria" w:hAnsi="Cambria"/>
      <w:kern w:val="0"/>
      <w:sz w:val="24"/>
      <w:szCs w:val="24"/>
      <w:lang w:eastAsia="ja-JP"/>
    </w:rPr>
  </w:style>
  <w:style w:type="character" w:customStyle="1" w:styleId="apple-converted-space">
    <w:name w:val="apple-converted-space"/>
    <w:basedOn w:val="a0"/>
    <w:uiPriority w:val="99"/>
    <w:rsid w:val="00BF63E0"/>
    <w:rPr>
      <w:rFonts w:cs="Times New Roman"/>
    </w:rPr>
  </w:style>
  <w:style w:type="paragraph" w:styleId="ab">
    <w:name w:val="Subtitle"/>
    <w:basedOn w:val="a"/>
    <w:next w:val="a"/>
    <w:link w:val="Char4"/>
    <w:uiPriority w:val="99"/>
    <w:qFormat/>
    <w:rsid w:val="00F9780A"/>
    <w:pPr>
      <w:spacing w:before="240" w:after="60" w:line="312" w:lineRule="atLeast"/>
      <w:jc w:val="center"/>
      <w:outlineLvl w:val="1"/>
    </w:pPr>
    <w:rPr>
      <w:rFonts w:ascii="Cambria" w:hAnsi="Cambria"/>
      <w:b/>
      <w:bCs/>
      <w:kern w:val="28"/>
      <w:sz w:val="32"/>
      <w:szCs w:val="32"/>
    </w:rPr>
  </w:style>
  <w:style w:type="character" w:customStyle="1" w:styleId="Char4">
    <w:name w:val="副标题 Char"/>
    <w:basedOn w:val="a0"/>
    <w:link w:val="ab"/>
    <w:uiPriority w:val="99"/>
    <w:locked/>
    <w:rsid w:val="00F9780A"/>
    <w:rPr>
      <w:rFonts w:ascii="Cambria" w:hAnsi="Cambria" w:cs="Times New Roman"/>
      <w:b/>
      <w:bCs/>
      <w:kern w:val="28"/>
      <w:sz w:val="32"/>
      <w:szCs w:val="32"/>
      <w:lang w:eastAsia="zh-CN"/>
    </w:rPr>
  </w:style>
  <w:style w:type="paragraph" w:customStyle="1" w:styleId="10">
    <w:name w:val="列出段落1"/>
    <w:basedOn w:val="a"/>
    <w:uiPriority w:val="99"/>
    <w:rsid w:val="009974B3"/>
    <w:pPr>
      <w:widowControl/>
      <w:spacing w:line="240" w:lineRule="auto"/>
      <w:ind w:left="720"/>
      <w:contextualSpacing/>
      <w:jc w:val="left"/>
    </w:pPr>
    <w:rPr>
      <w:rFonts w:ascii="Cambria" w:hAnsi="Cambria"/>
      <w:kern w:val="0"/>
      <w:sz w:val="24"/>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68F9"/>
    <w:pPr>
      <w:widowControl w:val="0"/>
      <w:spacing w:line="240" w:lineRule="atLeast"/>
      <w:jc w:val="both"/>
    </w:pPr>
  </w:style>
  <w:style w:type="paragraph" w:styleId="1">
    <w:name w:val="heading 1"/>
    <w:basedOn w:val="a"/>
    <w:link w:val="1Char"/>
    <w:uiPriority w:val="99"/>
    <w:qFormat/>
    <w:rsid w:val="008B0E61"/>
    <w:pPr>
      <w:widowControl/>
      <w:spacing w:before="100" w:beforeAutospacing="1" w:after="100" w:afterAutospacing="1" w:line="240" w:lineRule="auto"/>
      <w:jc w:val="left"/>
      <w:outlineLvl w:val="0"/>
    </w:pPr>
    <w:rPr>
      <w:rFonts w:ascii="宋体" w:hAnsi="宋体"/>
      <w:b/>
      <w:bCs/>
      <w:kern w:val="36"/>
      <w:sz w:val="48"/>
      <w:szCs w:val="48"/>
    </w:rPr>
  </w:style>
  <w:style w:type="paragraph" w:styleId="3">
    <w:name w:val="heading 3"/>
    <w:basedOn w:val="a"/>
    <w:next w:val="a"/>
    <w:link w:val="3Char"/>
    <w:uiPriority w:val="99"/>
    <w:qFormat/>
    <w:rsid w:val="00C96EBF"/>
    <w:pPr>
      <w:keepNext/>
      <w:keepLines/>
      <w:spacing w:before="260" w:after="260" w:line="416" w:lineRule="atLeast"/>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8B0E61"/>
    <w:rPr>
      <w:rFonts w:ascii="宋体" w:eastAsia="宋体" w:hAnsi="宋体" w:cs="Times New Roman"/>
      <w:b/>
      <w:kern w:val="36"/>
      <w:sz w:val="48"/>
    </w:rPr>
  </w:style>
  <w:style w:type="character" w:customStyle="1" w:styleId="3Char">
    <w:name w:val="标题 3 Char"/>
    <w:basedOn w:val="a0"/>
    <w:link w:val="3"/>
    <w:uiPriority w:val="99"/>
    <w:locked/>
    <w:rsid w:val="00287C9E"/>
    <w:rPr>
      <w:rFonts w:cs="Times New Roman"/>
      <w:b/>
      <w:kern w:val="2"/>
      <w:sz w:val="32"/>
      <w:lang w:eastAsia="zh-CN"/>
    </w:rPr>
  </w:style>
  <w:style w:type="paragraph" w:styleId="a3">
    <w:name w:val="header"/>
    <w:basedOn w:val="a"/>
    <w:link w:val="Char"/>
    <w:uiPriority w:val="99"/>
    <w:rsid w:val="001C43C5"/>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basedOn w:val="a0"/>
    <w:link w:val="a3"/>
    <w:uiPriority w:val="99"/>
    <w:locked/>
    <w:rsid w:val="001C43C5"/>
    <w:rPr>
      <w:rFonts w:cs="Times New Roman"/>
      <w:sz w:val="18"/>
    </w:rPr>
  </w:style>
  <w:style w:type="paragraph" w:styleId="a4">
    <w:name w:val="footer"/>
    <w:basedOn w:val="a"/>
    <w:link w:val="Char0"/>
    <w:uiPriority w:val="99"/>
    <w:rsid w:val="001C43C5"/>
    <w:pPr>
      <w:tabs>
        <w:tab w:val="center" w:pos="4153"/>
        <w:tab w:val="right" w:pos="8306"/>
      </w:tabs>
      <w:snapToGrid w:val="0"/>
      <w:jc w:val="left"/>
    </w:pPr>
    <w:rPr>
      <w:kern w:val="0"/>
      <w:sz w:val="18"/>
      <w:szCs w:val="18"/>
    </w:rPr>
  </w:style>
  <w:style w:type="character" w:customStyle="1" w:styleId="Char0">
    <w:name w:val="页脚 Char"/>
    <w:basedOn w:val="a0"/>
    <w:link w:val="a4"/>
    <w:uiPriority w:val="99"/>
    <w:locked/>
    <w:rsid w:val="001C43C5"/>
    <w:rPr>
      <w:rFonts w:cs="Times New Roman"/>
      <w:sz w:val="18"/>
    </w:rPr>
  </w:style>
  <w:style w:type="character" w:styleId="a5">
    <w:name w:val="Hyperlink"/>
    <w:basedOn w:val="a0"/>
    <w:uiPriority w:val="99"/>
    <w:rsid w:val="008B0E61"/>
    <w:rPr>
      <w:rFonts w:ascii="Times New Roman" w:eastAsia="宋体" w:hAnsi="Times New Roman" w:cs="Times New Roman"/>
      <w:color w:val="1B699E"/>
      <w:sz w:val="24"/>
      <w:u w:val="none"/>
      <w:effect w:val="none"/>
    </w:rPr>
  </w:style>
  <w:style w:type="paragraph" w:styleId="a6">
    <w:name w:val="Balloon Text"/>
    <w:basedOn w:val="a"/>
    <w:link w:val="Char1"/>
    <w:uiPriority w:val="99"/>
    <w:semiHidden/>
    <w:rsid w:val="00570ADD"/>
    <w:pPr>
      <w:spacing w:line="240" w:lineRule="auto"/>
    </w:pPr>
    <w:rPr>
      <w:sz w:val="18"/>
      <w:szCs w:val="18"/>
    </w:rPr>
  </w:style>
  <w:style w:type="character" w:customStyle="1" w:styleId="Char1">
    <w:name w:val="批注框文本 Char"/>
    <w:basedOn w:val="a0"/>
    <w:link w:val="a6"/>
    <w:uiPriority w:val="99"/>
    <w:semiHidden/>
    <w:locked/>
    <w:rsid w:val="00570ADD"/>
    <w:rPr>
      <w:rFonts w:cs="Times New Roman"/>
      <w:kern w:val="2"/>
      <w:sz w:val="18"/>
    </w:rPr>
  </w:style>
  <w:style w:type="character" w:customStyle="1" w:styleId="hps">
    <w:name w:val="hps"/>
    <w:basedOn w:val="a0"/>
    <w:uiPriority w:val="99"/>
    <w:rsid w:val="003962C6"/>
    <w:rPr>
      <w:rFonts w:cs="Times New Roman"/>
    </w:rPr>
  </w:style>
  <w:style w:type="character" w:styleId="a7">
    <w:name w:val="annotation reference"/>
    <w:basedOn w:val="a0"/>
    <w:uiPriority w:val="99"/>
    <w:semiHidden/>
    <w:rsid w:val="00343E63"/>
    <w:rPr>
      <w:rFonts w:cs="Times New Roman"/>
      <w:sz w:val="21"/>
    </w:rPr>
  </w:style>
  <w:style w:type="paragraph" w:styleId="a8">
    <w:name w:val="annotation text"/>
    <w:basedOn w:val="a"/>
    <w:link w:val="Char2"/>
    <w:uiPriority w:val="99"/>
    <w:rsid w:val="00343E63"/>
    <w:pPr>
      <w:jc w:val="left"/>
    </w:pPr>
  </w:style>
  <w:style w:type="character" w:customStyle="1" w:styleId="Char2">
    <w:name w:val="批注文字 Char"/>
    <w:basedOn w:val="a0"/>
    <w:link w:val="a8"/>
    <w:uiPriority w:val="99"/>
    <w:semiHidden/>
    <w:locked/>
    <w:rsid w:val="00343E63"/>
    <w:rPr>
      <w:rFonts w:cs="Times New Roman"/>
      <w:kern w:val="2"/>
      <w:sz w:val="22"/>
    </w:rPr>
  </w:style>
  <w:style w:type="paragraph" w:styleId="a9">
    <w:name w:val="annotation subject"/>
    <w:basedOn w:val="a8"/>
    <w:next w:val="a8"/>
    <w:link w:val="Char3"/>
    <w:uiPriority w:val="99"/>
    <w:semiHidden/>
    <w:rsid w:val="00343E63"/>
    <w:rPr>
      <w:b/>
      <w:bCs/>
    </w:rPr>
  </w:style>
  <w:style w:type="character" w:customStyle="1" w:styleId="Char3">
    <w:name w:val="批注主题 Char"/>
    <w:basedOn w:val="Char2"/>
    <w:link w:val="a9"/>
    <w:uiPriority w:val="99"/>
    <w:semiHidden/>
    <w:locked/>
    <w:rsid w:val="00343E63"/>
    <w:rPr>
      <w:rFonts w:cs="Times New Roman"/>
      <w:b/>
      <w:kern w:val="2"/>
      <w:sz w:val="22"/>
    </w:rPr>
  </w:style>
  <w:style w:type="character" w:customStyle="1" w:styleId="highlight">
    <w:name w:val="highlight"/>
    <w:basedOn w:val="a0"/>
    <w:uiPriority w:val="99"/>
    <w:rsid w:val="00A948F4"/>
    <w:rPr>
      <w:rFonts w:cs="Times New Roman"/>
    </w:rPr>
  </w:style>
  <w:style w:type="character" w:customStyle="1" w:styleId="Char10">
    <w:name w:val="批注文字 Char1"/>
    <w:uiPriority w:val="99"/>
    <w:semiHidden/>
    <w:rsid w:val="005435A5"/>
    <w:rPr>
      <w:rFonts w:eastAsia="宋体"/>
      <w:kern w:val="2"/>
      <w:sz w:val="24"/>
      <w:lang w:val="en-US" w:eastAsia="zh-CN"/>
    </w:rPr>
  </w:style>
  <w:style w:type="paragraph" w:customStyle="1" w:styleId="p0">
    <w:name w:val="p0"/>
    <w:basedOn w:val="a"/>
    <w:uiPriority w:val="99"/>
    <w:rsid w:val="00B43C3A"/>
    <w:pPr>
      <w:widowControl/>
      <w:jc w:val="left"/>
    </w:pPr>
    <w:rPr>
      <w:rFonts w:ascii="Century" w:hAnsi="Century" w:cs="宋体"/>
      <w:kern w:val="0"/>
      <w:szCs w:val="21"/>
    </w:rPr>
  </w:style>
  <w:style w:type="character" w:styleId="aa">
    <w:name w:val="Strong"/>
    <w:basedOn w:val="a0"/>
    <w:uiPriority w:val="99"/>
    <w:qFormat/>
    <w:rsid w:val="00865890"/>
    <w:rPr>
      <w:rFonts w:cs="Times New Roman"/>
      <w:b/>
    </w:rPr>
  </w:style>
  <w:style w:type="paragraph" w:customStyle="1" w:styleId="ListParagraph1">
    <w:name w:val="List Paragraph1"/>
    <w:basedOn w:val="a"/>
    <w:uiPriority w:val="99"/>
    <w:rsid w:val="00865890"/>
    <w:pPr>
      <w:widowControl/>
      <w:spacing w:line="240" w:lineRule="auto"/>
      <w:ind w:left="720"/>
      <w:contextualSpacing/>
      <w:jc w:val="left"/>
    </w:pPr>
    <w:rPr>
      <w:rFonts w:ascii="Cambria" w:hAnsi="Cambria"/>
      <w:kern w:val="0"/>
      <w:sz w:val="24"/>
      <w:szCs w:val="24"/>
      <w:lang w:eastAsia="ja-JP"/>
    </w:rPr>
  </w:style>
  <w:style w:type="character" w:customStyle="1" w:styleId="apple-converted-space">
    <w:name w:val="apple-converted-space"/>
    <w:basedOn w:val="a0"/>
    <w:uiPriority w:val="99"/>
    <w:rsid w:val="00BF63E0"/>
    <w:rPr>
      <w:rFonts w:cs="Times New Roman"/>
    </w:rPr>
  </w:style>
  <w:style w:type="paragraph" w:styleId="ab">
    <w:name w:val="Subtitle"/>
    <w:basedOn w:val="a"/>
    <w:next w:val="a"/>
    <w:link w:val="Char4"/>
    <w:uiPriority w:val="99"/>
    <w:qFormat/>
    <w:rsid w:val="00F9780A"/>
    <w:pPr>
      <w:spacing w:before="240" w:after="60" w:line="312" w:lineRule="atLeast"/>
      <w:jc w:val="center"/>
      <w:outlineLvl w:val="1"/>
    </w:pPr>
    <w:rPr>
      <w:rFonts w:ascii="Cambria" w:hAnsi="Cambria"/>
      <w:b/>
      <w:bCs/>
      <w:kern w:val="28"/>
      <w:sz w:val="32"/>
      <w:szCs w:val="32"/>
    </w:rPr>
  </w:style>
  <w:style w:type="character" w:customStyle="1" w:styleId="Char4">
    <w:name w:val="副标题 Char"/>
    <w:basedOn w:val="a0"/>
    <w:link w:val="ab"/>
    <w:uiPriority w:val="99"/>
    <w:locked/>
    <w:rsid w:val="00F9780A"/>
    <w:rPr>
      <w:rFonts w:ascii="Cambria" w:hAnsi="Cambria" w:cs="Times New Roman"/>
      <w:b/>
      <w:bCs/>
      <w:kern w:val="28"/>
      <w:sz w:val="32"/>
      <w:szCs w:val="32"/>
      <w:lang w:eastAsia="zh-CN"/>
    </w:rPr>
  </w:style>
  <w:style w:type="paragraph" w:customStyle="1" w:styleId="10">
    <w:name w:val="列出段落1"/>
    <w:basedOn w:val="a"/>
    <w:uiPriority w:val="99"/>
    <w:rsid w:val="009974B3"/>
    <w:pPr>
      <w:widowControl/>
      <w:spacing w:line="240" w:lineRule="auto"/>
      <w:ind w:left="720"/>
      <w:contextualSpacing/>
      <w:jc w:val="left"/>
    </w:pPr>
    <w:rPr>
      <w:rFonts w:ascii="Cambria" w:hAnsi="Cambria"/>
      <w:kern w:val="0"/>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8272359">
      <w:marLeft w:val="0"/>
      <w:marRight w:val="0"/>
      <w:marTop w:val="0"/>
      <w:marBottom w:val="0"/>
      <w:divBdr>
        <w:top w:val="none" w:sz="0" w:space="0" w:color="auto"/>
        <w:left w:val="none" w:sz="0" w:space="0" w:color="auto"/>
        <w:bottom w:val="none" w:sz="0" w:space="0" w:color="auto"/>
        <w:right w:val="none" w:sz="0" w:space="0" w:color="auto"/>
      </w:divBdr>
    </w:div>
    <w:div w:id="1928272360">
      <w:marLeft w:val="0"/>
      <w:marRight w:val="0"/>
      <w:marTop w:val="0"/>
      <w:marBottom w:val="0"/>
      <w:divBdr>
        <w:top w:val="none" w:sz="0" w:space="0" w:color="auto"/>
        <w:left w:val="none" w:sz="0" w:space="0" w:color="auto"/>
        <w:bottom w:val="none" w:sz="0" w:space="0" w:color="auto"/>
        <w:right w:val="none" w:sz="0" w:space="0" w:color="auto"/>
      </w:divBdr>
      <w:divsChild>
        <w:div w:id="1928272364">
          <w:marLeft w:val="0"/>
          <w:marRight w:val="1"/>
          <w:marTop w:val="0"/>
          <w:marBottom w:val="0"/>
          <w:divBdr>
            <w:top w:val="none" w:sz="0" w:space="0" w:color="auto"/>
            <w:left w:val="none" w:sz="0" w:space="0" w:color="auto"/>
            <w:bottom w:val="none" w:sz="0" w:space="0" w:color="auto"/>
            <w:right w:val="none" w:sz="0" w:space="0" w:color="auto"/>
          </w:divBdr>
          <w:divsChild>
            <w:div w:id="1928272373">
              <w:marLeft w:val="0"/>
              <w:marRight w:val="0"/>
              <w:marTop w:val="0"/>
              <w:marBottom w:val="0"/>
              <w:divBdr>
                <w:top w:val="none" w:sz="0" w:space="0" w:color="auto"/>
                <w:left w:val="none" w:sz="0" w:space="0" w:color="auto"/>
                <w:bottom w:val="none" w:sz="0" w:space="0" w:color="auto"/>
                <w:right w:val="none" w:sz="0" w:space="0" w:color="auto"/>
              </w:divBdr>
              <w:divsChild>
                <w:div w:id="1928272386">
                  <w:marLeft w:val="0"/>
                  <w:marRight w:val="1"/>
                  <w:marTop w:val="0"/>
                  <w:marBottom w:val="0"/>
                  <w:divBdr>
                    <w:top w:val="none" w:sz="0" w:space="0" w:color="auto"/>
                    <w:left w:val="none" w:sz="0" w:space="0" w:color="auto"/>
                    <w:bottom w:val="none" w:sz="0" w:space="0" w:color="auto"/>
                    <w:right w:val="none" w:sz="0" w:space="0" w:color="auto"/>
                  </w:divBdr>
                  <w:divsChild>
                    <w:div w:id="1928272384">
                      <w:marLeft w:val="0"/>
                      <w:marRight w:val="0"/>
                      <w:marTop w:val="0"/>
                      <w:marBottom w:val="0"/>
                      <w:divBdr>
                        <w:top w:val="none" w:sz="0" w:space="0" w:color="auto"/>
                        <w:left w:val="none" w:sz="0" w:space="0" w:color="auto"/>
                        <w:bottom w:val="none" w:sz="0" w:space="0" w:color="auto"/>
                        <w:right w:val="none" w:sz="0" w:space="0" w:color="auto"/>
                      </w:divBdr>
                      <w:divsChild>
                        <w:div w:id="1928272366">
                          <w:marLeft w:val="0"/>
                          <w:marRight w:val="0"/>
                          <w:marTop w:val="0"/>
                          <w:marBottom w:val="0"/>
                          <w:divBdr>
                            <w:top w:val="none" w:sz="0" w:space="0" w:color="auto"/>
                            <w:left w:val="none" w:sz="0" w:space="0" w:color="auto"/>
                            <w:bottom w:val="none" w:sz="0" w:space="0" w:color="auto"/>
                            <w:right w:val="none" w:sz="0" w:space="0" w:color="auto"/>
                          </w:divBdr>
                          <w:divsChild>
                            <w:div w:id="1928272385">
                              <w:marLeft w:val="0"/>
                              <w:marRight w:val="0"/>
                              <w:marTop w:val="120"/>
                              <w:marBottom w:val="360"/>
                              <w:divBdr>
                                <w:top w:val="none" w:sz="0" w:space="0" w:color="auto"/>
                                <w:left w:val="none" w:sz="0" w:space="0" w:color="auto"/>
                                <w:bottom w:val="none" w:sz="0" w:space="0" w:color="auto"/>
                                <w:right w:val="none" w:sz="0" w:space="0" w:color="auto"/>
                              </w:divBdr>
                              <w:divsChild>
                                <w:div w:id="1928272357">
                                  <w:marLeft w:val="0"/>
                                  <w:marRight w:val="0"/>
                                  <w:marTop w:val="0"/>
                                  <w:marBottom w:val="0"/>
                                  <w:divBdr>
                                    <w:top w:val="none" w:sz="0" w:space="0" w:color="auto"/>
                                    <w:left w:val="none" w:sz="0" w:space="0" w:color="auto"/>
                                    <w:bottom w:val="none" w:sz="0" w:space="0" w:color="auto"/>
                                    <w:right w:val="none" w:sz="0" w:space="0" w:color="auto"/>
                                  </w:divBdr>
                                </w:div>
                                <w:div w:id="19282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8272368">
      <w:marLeft w:val="0"/>
      <w:marRight w:val="0"/>
      <w:marTop w:val="0"/>
      <w:marBottom w:val="0"/>
      <w:divBdr>
        <w:top w:val="none" w:sz="0" w:space="0" w:color="auto"/>
        <w:left w:val="none" w:sz="0" w:space="0" w:color="auto"/>
        <w:bottom w:val="none" w:sz="0" w:space="0" w:color="auto"/>
        <w:right w:val="none" w:sz="0" w:space="0" w:color="auto"/>
      </w:divBdr>
    </w:div>
    <w:div w:id="1928272369">
      <w:marLeft w:val="0"/>
      <w:marRight w:val="0"/>
      <w:marTop w:val="0"/>
      <w:marBottom w:val="0"/>
      <w:divBdr>
        <w:top w:val="none" w:sz="0" w:space="0" w:color="auto"/>
        <w:left w:val="none" w:sz="0" w:space="0" w:color="auto"/>
        <w:bottom w:val="none" w:sz="0" w:space="0" w:color="auto"/>
        <w:right w:val="none" w:sz="0" w:space="0" w:color="auto"/>
      </w:divBdr>
      <w:divsChild>
        <w:div w:id="1928272377">
          <w:marLeft w:val="0"/>
          <w:marRight w:val="0"/>
          <w:marTop w:val="0"/>
          <w:marBottom w:val="0"/>
          <w:divBdr>
            <w:top w:val="none" w:sz="0" w:space="0" w:color="auto"/>
            <w:left w:val="none" w:sz="0" w:space="0" w:color="auto"/>
            <w:bottom w:val="none" w:sz="0" w:space="0" w:color="auto"/>
            <w:right w:val="none" w:sz="0" w:space="0" w:color="auto"/>
          </w:divBdr>
          <w:divsChild>
            <w:div w:id="1928272358">
              <w:marLeft w:val="0"/>
              <w:marRight w:val="0"/>
              <w:marTop w:val="0"/>
              <w:marBottom w:val="0"/>
              <w:divBdr>
                <w:top w:val="none" w:sz="0" w:space="0" w:color="auto"/>
                <w:left w:val="none" w:sz="0" w:space="0" w:color="auto"/>
                <w:bottom w:val="none" w:sz="0" w:space="0" w:color="auto"/>
                <w:right w:val="none" w:sz="0" w:space="0" w:color="auto"/>
              </w:divBdr>
              <w:divsChild>
                <w:div w:id="1928272365">
                  <w:marLeft w:val="0"/>
                  <w:marRight w:val="0"/>
                  <w:marTop w:val="0"/>
                  <w:marBottom w:val="0"/>
                  <w:divBdr>
                    <w:top w:val="none" w:sz="0" w:space="0" w:color="auto"/>
                    <w:left w:val="none" w:sz="0" w:space="0" w:color="auto"/>
                    <w:bottom w:val="none" w:sz="0" w:space="0" w:color="auto"/>
                    <w:right w:val="none" w:sz="0" w:space="0" w:color="auto"/>
                  </w:divBdr>
                  <w:divsChild>
                    <w:div w:id="1928272362">
                      <w:marLeft w:val="0"/>
                      <w:marRight w:val="0"/>
                      <w:marTop w:val="0"/>
                      <w:marBottom w:val="0"/>
                      <w:divBdr>
                        <w:top w:val="none" w:sz="0" w:space="0" w:color="auto"/>
                        <w:left w:val="none" w:sz="0" w:space="0" w:color="auto"/>
                        <w:bottom w:val="none" w:sz="0" w:space="0" w:color="auto"/>
                        <w:right w:val="none" w:sz="0" w:space="0" w:color="auto"/>
                      </w:divBdr>
                      <w:divsChild>
                        <w:div w:id="1928272367">
                          <w:marLeft w:val="0"/>
                          <w:marRight w:val="0"/>
                          <w:marTop w:val="0"/>
                          <w:marBottom w:val="0"/>
                          <w:divBdr>
                            <w:top w:val="none" w:sz="0" w:space="0" w:color="auto"/>
                            <w:left w:val="none" w:sz="0" w:space="0" w:color="auto"/>
                            <w:bottom w:val="none" w:sz="0" w:space="0" w:color="auto"/>
                            <w:right w:val="none" w:sz="0" w:space="0" w:color="auto"/>
                          </w:divBdr>
                          <w:divsChild>
                            <w:div w:id="1928272363">
                              <w:marLeft w:val="0"/>
                              <w:marRight w:val="0"/>
                              <w:marTop w:val="0"/>
                              <w:marBottom w:val="0"/>
                              <w:divBdr>
                                <w:top w:val="none" w:sz="0" w:space="0" w:color="auto"/>
                                <w:left w:val="none" w:sz="0" w:space="0" w:color="auto"/>
                                <w:bottom w:val="none" w:sz="0" w:space="0" w:color="auto"/>
                                <w:right w:val="none" w:sz="0" w:space="0" w:color="auto"/>
                              </w:divBdr>
                              <w:divsChild>
                                <w:div w:id="1928272381">
                                  <w:marLeft w:val="0"/>
                                  <w:marRight w:val="0"/>
                                  <w:marTop w:val="0"/>
                                  <w:marBottom w:val="0"/>
                                  <w:divBdr>
                                    <w:top w:val="none" w:sz="0" w:space="0" w:color="auto"/>
                                    <w:left w:val="none" w:sz="0" w:space="0" w:color="auto"/>
                                    <w:bottom w:val="none" w:sz="0" w:space="0" w:color="auto"/>
                                    <w:right w:val="none" w:sz="0" w:space="0" w:color="auto"/>
                                  </w:divBdr>
                                  <w:divsChild>
                                    <w:div w:id="1928272380">
                                      <w:marLeft w:val="0"/>
                                      <w:marRight w:val="0"/>
                                      <w:marTop w:val="0"/>
                                      <w:marBottom w:val="0"/>
                                      <w:divBdr>
                                        <w:top w:val="none" w:sz="0" w:space="0" w:color="auto"/>
                                        <w:left w:val="none" w:sz="0" w:space="0" w:color="auto"/>
                                        <w:bottom w:val="none" w:sz="0" w:space="0" w:color="auto"/>
                                        <w:right w:val="none" w:sz="0" w:space="0" w:color="auto"/>
                                      </w:divBdr>
                                      <w:divsChild>
                                        <w:div w:id="1928272383">
                                          <w:marLeft w:val="0"/>
                                          <w:marRight w:val="0"/>
                                          <w:marTop w:val="0"/>
                                          <w:marBottom w:val="0"/>
                                          <w:divBdr>
                                            <w:top w:val="none" w:sz="0" w:space="0" w:color="auto"/>
                                            <w:left w:val="none" w:sz="0" w:space="0" w:color="auto"/>
                                            <w:bottom w:val="none" w:sz="0" w:space="0" w:color="auto"/>
                                            <w:right w:val="none" w:sz="0" w:space="0" w:color="auto"/>
                                          </w:divBdr>
                                          <w:divsChild>
                                            <w:div w:id="1928272382">
                                              <w:marLeft w:val="0"/>
                                              <w:marRight w:val="0"/>
                                              <w:marTop w:val="0"/>
                                              <w:marBottom w:val="0"/>
                                              <w:divBdr>
                                                <w:top w:val="single" w:sz="6" w:space="0" w:color="F5F5F5"/>
                                                <w:left w:val="single" w:sz="6" w:space="0" w:color="F5F5F5"/>
                                                <w:bottom w:val="single" w:sz="6" w:space="0" w:color="F5F5F5"/>
                                                <w:right w:val="single" w:sz="6" w:space="0" w:color="F5F5F5"/>
                                              </w:divBdr>
                                              <w:divsChild>
                                                <w:div w:id="1928272375">
                                                  <w:marLeft w:val="0"/>
                                                  <w:marRight w:val="0"/>
                                                  <w:marTop w:val="0"/>
                                                  <w:marBottom w:val="0"/>
                                                  <w:divBdr>
                                                    <w:top w:val="none" w:sz="0" w:space="0" w:color="auto"/>
                                                    <w:left w:val="none" w:sz="0" w:space="0" w:color="auto"/>
                                                    <w:bottom w:val="none" w:sz="0" w:space="0" w:color="auto"/>
                                                    <w:right w:val="none" w:sz="0" w:space="0" w:color="auto"/>
                                                  </w:divBdr>
                                                  <w:divsChild>
                                                    <w:div w:id="192827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8272371">
      <w:marLeft w:val="0"/>
      <w:marRight w:val="0"/>
      <w:marTop w:val="0"/>
      <w:marBottom w:val="0"/>
      <w:divBdr>
        <w:top w:val="none" w:sz="0" w:space="0" w:color="auto"/>
        <w:left w:val="none" w:sz="0" w:space="0" w:color="auto"/>
        <w:bottom w:val="none" w:sz="0" w:space="0" w:color="auto"/>
        <w:right w:val="none" w:sz="0" w:space="0" w:color="auto"/>
      </w:divBdr>
    </w:div>
    <w:div w:id="1928272376">
      <w:marLeft w:val="0"/>
      <w:marRight w:val="0"/>
      <w:marTop w:val="0"/>
      <w:marBottom w:val="0"/>
      <w:divBdr>
        <w:top w:val="none" w:sz="0" w:space="0" w:color="auto"/>
        <w:left w:val="none" w:sz="0" w:space="0" w:color="auto"/>
        <w:bottom w:val="none" w:sz="0" w:space="0" w:color="auto"/>
        <w:right w:val="none" w:sz="0" w:space="0" w:color="auto"/>
      </w:divBdr>
      <w:divsChild>
        <w:div w:id="1928272372">
          <w:marLeft w:val="0"/>
          <w:marRight w:val="0"/>
          <w:marTop w:val="0"/>
          <w:marBottom w:val="0"/>
          <w:divBdr>
            <w:top w:val="none" w:sz="0" w:space="0" w:color="auto"/>
            <w:left w:val="none" w:sz="0" w:space="0" w:color="auto"/>
            <w:bottom w:val="none" w:sz="0" w:space="0" w:color="auto"/>
            <w:right w:val="none" w:sz="0" w:space="0" w:color="auto"/>
          </w:divBdr>
          <w:divsChild>
            <w:div w:id="1928272374">
              <w:marLeft w:val="0"/>
              <w:marRight w:val="0"/>
              <w:marTop w:val="0"/>
              <w:marBottom w:val="0"/>
              <w:divBdr>
                <w:top w:val="none" w:sz="0" w:space="0" w:color="auto"/>
                <w:left w:val="none" w:sz="0" w:space="0" w:color="auto"/>
                <w:bottom w:val="none" w:sz="0" w:space="0" w:color="auto"/>
                <w:right w:val="none" w:sz="0" w:space="0" w:color="auto"/>
              </w:divBdr>
            </w:div>
            <w:div w:id="192827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72378">
      <w:marLeft w:val="0"/>
      <w:marRight w:val="0"/>
      <w:marTop w:val="0"/>
      <w:marBottom w:val="0"/>
      <w:divBdr>
        <w:top w:val="none" w:sz="0" w:space="0" w:color="auto"/>
        <w:left w:val="none" w:sz="0" w:space="0" w:color="auto"/>
        <w:bottom w:val="none" w:sz="0" w:space="0" w:color="auto"/>
        <w:right w:val="none" w:sz="0" w:space="0" w:color="auto"/>
      </w:divBdr>
    </w:div>
    <w:div w:id="1928272387">
      <w:marLeft w:val="0"/>
      <w:marRight w:val="0"/>
      <w:marTop w:val="0"/>
      <w:marBottom w:val="0"/>
      <w:divBdr>
        <w:top w:val="none" w:sz="0" w:space="0" w:color="auto"/>
        <w:left w:val="none" w:sz="0" w:space="0" w:color="auto"/>
        <w:bottom w:val="none" w:sz="0" w:space="0" w:color="auto"/>
        <w:right w:val="none" w:sz="0" w:space="0" w:color="auto"/>
      </w:divBdr>
    </w:div>
    <w:div w:id="1928272398">
      <w:marLeft w:val="0"/>
      <w:marRight w:val="0"/>
      <w:marTop w:val="0"/>
      <w:marBottom w:val="0"/>
      <w:divBdr>
        <w:top w:val="none" w:sz="0" w:space="0" w:color="auto"/>
        <w:left w:val="none" w:sz="0" w:space="0" w:color="auto"/>
        <w:bottom w:val="none" w:sz="0" w:space="0" w:color="auto"/>
        <w:right w:val="none" w:sz="0" w:space="0" w:color="auto"/>
      </w:divBdr>
      <w:divsChild>
        <w:div w:id="1928272397">
          <w:marLeft w:val="0"/>
          <w:marRight w:val="0"/>
          <w:marTop w:val="0"/>
          <w:marBottom w:val="0"/>
          <w:divBdr>
            <w:top w:val="none" w:sz="0" w:space="0" w:color="auto"/>
            <w:left w:val="none" w:sz="0" w:space="0" w:color="auto"/>
            <w:bottom w:val="none" w:sz="0" w:space="0" w:color="auto"/>
            <w:right w:val="none" w:sz="0" w:space="0" w:color="auto"/>
          </w:divBdr>
          <w:divsChild>
            <w:div w:id="1928272353">
              <w:marLeft w:val="0"/>
              <w:marRight w:val="0"/>
              <w:marTop w:val="0"/>
              <w:marBottom w:val="0"/>
              <w:divBdr>
                <w:top w:val="none" w:sz="0" w:space="0" w:color="auto"/>
                <w:left w:val="none" w:sz="0" w:space="0" w:color="auto"/>
                <w:bottom w:val="none" w:sz="0" w:space="0" w:color="auto"/>
                <w:right w:val="none" w:sz="0" w:space="0" w:color="auto"/>
              </w:divBdr>
            </w:div>
            <w:div w:id="1928272354">
              <w:marLeft w:val="0"/>
              <w:marRight w:val="0"/>
              <w:marTop w:val="0"/>
              <w:marBottom w:val="0"/>
              <w:divBdr>
                <w:top w:val="none" w:sz="0" w:space="0" w:color="auto"/>
                <w:left w:val="none" w:sz="0" w:space="0" w:color="auto"/>
                <w:bottom w:val="none" w:sz="0" w:space="0" w:color="auto"/>
                <w:right w:val="none" w:sz="0" w:space="0" w:color="auto"/>
              </w:divBdr>
            </w:div>
            <w:div w:id="1928272355">
              <w:marLeft w:val="0"/>
              <w:marRight w:val="0"/>
              <w:marTop w:val="0"/>
              <w:marBottom w:val="0"/>
              <w:divBdr>
                <w:top w:val="none" w:sz="0" w:space="0" w:color="auto"/>
                <w:left w:val="none" w:sz="0" w:space="0" w:color="auto"/>
                <w:bottom w:val="none" w:sz="0" w:space="0" w:color="auto"/>
                <w:right w:val="none" w:sz="0" w:space="0" w:color="auto"/>
              </w:divBdr>
            </w:div>
            <w:div w:id="1928272356">
              <w:marLeft w:val="0"/>
              <w:marRight w:val="0"/>
              <w:marTop w:val="0"/>
              <w:marBottom w:val="0"/>
              <w:divBdr>
                <w:top w:val="none" w:sz="0" w:space="0" w:color="auto"/>
                <w:left w:val="none" w:sz="0" w:space="0" w:color="auto"/>
                <w:bottom w:val="none" w:sz="0" w:space="0" w:color="auto"/>
                <w:right w:val="none" w:sz="0" w:space="0" w:color="auto"/>
              </w:divBdr>
            </w:div>
            <w:div w:id="1928272388">
              <w:marLeft w:val="0"/>
              <w:marRight w:val="0"/>
              <w:marTop w:val="0"/>
              <w:marBottom w:val="0"/>
              <w:divBdr>
                <w:top w:val="none" w:sz="0" w:space="0" w:color="auto"/>
                <w:left w:val="none" w:sz="0" w:space="0" w:color="auto"/>
                <w:bottom w:val="none" w:sz="0" w:space="0" w:color="auto"/>
                <w:right w:val="none" w:sz="0" w:space="0" w:color="auto"/>
              </w:divBdr>
            </w:div>
            <w:div w:id="1928272389">
              <w:marLeft w:val="0"/>
              <w:marRight w:val="0"/>
              <w:marTop w:val="0"/>
              <w:marBottom w:val="0"/>
              <w:divBdr>
                <w:top w:val="none" w:sz="0" w:space="0" w:color="auto"/>
                <w:left w:val="none" w:sz="0" w:space="0" w:color="auto"/>
                <w:bottom w:val="none" w:sz="0" w:space="0" w:color="auto"/>
                <w:right w:val="none" w:sz="0" w:space="0" w:color="auto"/>
              </w:divBdr>
            </w:div>
            <w:div w:id="1928272390">
              <w:marLeft w:val="0"/>
              <w:marRight w:val="0"/>
              <w:marTop w:val="0"/>
              <w:marBottom w:val="0"/>
              <w:divBdr>
                <w:top w:val="none" w:sz="0" w:space="0" w:color="auto"/>
                <w:left w:val="none" w:sz="0" w:space="0" w:color="auto"/>
                <w:bottom w:val="none" w:sz="0" w:space="0" w:color="auto"/>
                <w:right w:val="none" w:sz="0" w:space="0" w:color="auto"/>
              </w:divBdr>
            </w:div>
            <w:div w:id="1928272391">
              <w:marLeft w:val="0"/>
              <w:marRight w:val="0"/>
              <w:marTop w:val="0"/>
              <w:marBottom w:val="0"/>
              <w:divBdr>
                <w:top w:val="none" w:sz="0" w:space="0" w:color="auto"/>
                <w:left w:val="none" w:sz="0" w:space="0" w:color="auto"/>
                <w:bottom w:val="none" w:sz="0" w:space="0" w:color="auto"/>
                <w:right w:val="none" w:sz="0" w:space="0" w:color="auto"/>
              </w:divBdr>
            </w:div>
            <w:div w:id="1928272392">
              <w:marLeft w:val="0"/>
              <w:marRight w:val="0"/>
              <w:marTop w:val="0"/>
              <w:marBottom w:val="0"/>
              <w:divBdr>
                <w:top w:val="none" w:sz="0" w:space="0" w:color="auto"/>
                <w:left w:val="none" w:sz="0" w:space="0" w:color="auto"/>
                <w:bottom w:val="none" w:sz="0" w:space="0" w:color="auto"/>
                <w:right w:val="none" w:sz="0" w:space="0" w:color="auto"/>
              </w:divBdr>
            </w:div>
            <w:div w:id="1928272393">
              <w:marLeft w:val="0"/>
              <w:marRight w:val="0"/>
              <w:marTop w:val="0"/>
              <w:marBottom w:val="0"/>
              <w:divBdr>
                <w:top w:val="none" w:sz="0" w:space="0" w:color="auto"/>
                <w:left w:val="none" w:sz="0" w:space="0" w:color="auto"/>
                <w:bottom w:val="none" w:sz="0" w:space="0" w:color="auto"/>
                <w:right w:val="none" w:sz="0" w:space="0" w:color="auto"/>
              </w:divBdr>
            </w:div>
            <w:div w:id="1928272394">
              <w:marLeft w:val="0"/>
              <w:marRight w:val="0"/>
              <w:marTop w:val="0"/>
              <w:marBottom w:val="0"/>
              <w:divBdr>
                <w:top w:val="none" w:sz="0" w:space="0" w:color="auto"/>
                <w:left w:val="none" w:sz="0" w:space="0" w:color="auto"/>
                <w:bottom w:val="none" w:sz="0" w:space="0" w:color="auto"/>
                <w:right w:val="none" w:sz="0" w:space="0" w:color="auto"/>
              </w:divBdr>
            </w:div>
            <w:div w:id="1928272395">
              <w:marLeft w:val="0"/>
              <w:marRight w:val="0"/>
              <w:marTop w:val="0"/>
              <w:marBottom w:val="0"/>
              <w:divBdr>
                <w:top w:val="none" w:sz="0" w:space="0" w:color="auto"/>
                <w:left w:val="none" w:sz="0" w:space="0" w:color="auto"/>
                <w:bottom w:val="none" w:sz="0" w:space="0" w:color="auto"/>
                <w:right w:val="none" w:sz="0" w:space="0" w:color="auto"/>
              </w:divBdr>
            </w:div>
            <w:div w:id="1928272396">
              <w:marLeft w:val="0"/>
              <w:marRight w:val="0"/>
              <w:marTop w:val="0"/>
              <w:marBottom w:val="0"/>
              <w:divBdr>
                <w:top w:val="none" w:sz="0" w:space="0" w:color="auto"/>
                <w:left w:val="none" w:sz="0" w:space="0" w:color="auto"/>
                <w:bottom w:val="none" w:sz="0" w:space="0" w:color="auto"/>
                <w:right w:val="none" w:sz="0" w:space="0" w:color="auto"/>
              </w:divBdr>
            </w:div>
            <w:div w:id="192827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yuanying1999@zju.edu.cn"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5142</Words>
  <Characters>29314</Characters>
  <Application>Microsoft Office Word</Application>
  <DocSecurity>0</DocSecurity>
  <Lines>244</Lines>
  <Paragraphs>68</Paragraphs>
  <ScaleCrop>false</ScaleCrop>
  <Company>Hewlett-Packard Company</Company>
  <LinksUpToDate>false</LinksUpToDate>
  <CharactersWithSpaces>34388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trastuzumab combined with chemotherapy in gastric adenocarcinoma: a case report</dc:title>
  <dc:creator>alice</dc:creator>
  <cp:lastModifiedBy>LS Ma</cp:lastModifiedBy>
  <cp:revision>2</cp:revision>
  <cp:lastPrinted>2013-08-20T17:25:00Z</cp:lastPrinted>
  <dcterms:created xsi:type="dcterms:W3CDTF">2014-05-12T15:02:00Z</dcterms:created>
  <dcterms:modified xsi:type="dcterms:W3CDTF">2014-05-12T15:02:00Z</dcterms:modified>
</cp:coreProperties>
</file>