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BF" w:rsidRPr="00637759" w:rsidRDefault="002E64BF" w:rsidP="00F6270E">
      <w:pPr>
        <w:snapToGrid w:val="0"/>
        <w:spacing w:after="0" w:line="360" w:lineRule="auto"/>
        <w:jc w:val="both"/>
        <w:rPr>
          <w:rFonts w:ascii="Book Antiqua" w:hAnsi="Book Antiqua" w:cs="Book Antiqua"/>
          <w:i/>
          <w:iCs/>
          <w:color w:val="000000"/>
          <w:sz w:val="24"/>
          <w:szCs w:val="24"/>
        </w:rPr>
      </w:pPr>
      <w:bookmarkStart w:id="0" w:name="OLE_LINK346"/>
      <w:bookmarkStart w:id="1" w:name="OLE_LINK347"/>
      <w:bookmarkStart w:id="2" w:name="OLE_LINK350"/>
      <w:r w:rsidRPr="00637759">
        <w:rPr>
          <w:rFonts w:ascii="Book Antiqua" w:hAnsi="Book Antiqua" w:cs="Book Antiqua"/>
          <w:b/>
          <w:bCs/>
          <w:color w:val="0033CC"/>
          <w:sz w:val="24"/>
          <w:szCs w:val="24"/>
        </w:rPr>
        <w:t>Name of journal:</w:t>
      </w:r>
      <w:r w:rsidRPr="00637759">
        <w:rPr>
          <w:rFonts w:ascii="Book Antiqua" w:hAnsi="Book Antiqua" w:cs="Book Antiqua"/>
          <w:b/>
          <w:bCs/>
          <w:color w:val="000000"/>
          <w:sz w:val="24"/>
          <w:szCs w:val="24"/>
        </w:rPr>
        <w:t xml:space="preserve"> </w:t>
      </w:r>
      <w:bookmarkStart w:id="3" w:name="OLE_LINK452"/>
      <w:bookmarkStart w:id="4" w:name="OLE_LINK453"/>
      <w:r w:rsidRPr="00637759">
        <w:rPr>
          <w:rFonts w:ascii="Book Antiqua" w:hAnsi="Book Antiqua" w:cs="Book Antiqua"/>
          <w:i/>
          <w:iCs/>
          <w:color w:val="000000"/>
          <w:sz w:val="24"/>
          <w:szCs w:val="24"/>
        </w:rPr>
        <w:t xml:space="preserve">World Journal of </w:t>
      </w:r>
      <w:bookmarkStart w:id="5" w:name="OLE_LINK450"/>
      <w:bookmarkStart w:id="6" w:name="OLE_LINK451"/>
      <w:r w:rsidRPr="00637759">
        <w:rPr>
          <w:rFonts w:ascii="Book Antiqua" w:hAnsi="Book Antiqua" w:cs="Book Antiqua"/>
          <w:i/>
          <w:iCs/>
          <w:color w:val="000000"/>
          <w:sz w:val="24"/>
          <w:szCs w:val="24"/>
        </w:rPr>
        <w:t>Clinical Cases</w:t>
      </w:r>
      <w:bookmarkEnd w:id="3"/>
      <w:bookmarkEnd w:id="4"/>
      <w:bookmarkEnd w:id="5"/>
      <w:bookmarkEnd w:id="6"/>
    </w:p>
    <w:p w:rsidR="002E64BF" w:rsidRPr="00637759" w:rsidRDefault="002E64BF" w:rsidP="00F6270E">
      <w:pPr>
        <w:snapToGrid w:val="0"/>
        <w:spacing w:after="0" w:line="360" w:lineRule="auto"/>
        <w:jc w:val="both"/>
        <w:rPr>
          <w:rFonts w:ascii="Book Antiqua" w:hAnsi="Book Antiqua" w:cs="Book Antiqua"/>
          <w:b/>
          <w:bCs/>
          <w:i/>
          <w:iCs/>
          <w:color w:val="000000"/>
          <w:sz w:val="24"/>
          <w:szCs w:val="24"/>
          <w:lang w:eastAsia="zh-CN"/>
        </w:rPr>
      </w:pPr>
      <w:r w:rsidRPr="00637759">
        <w:rPr>
          <w:rFonts w:ascii="Book Antiqua" w:hAnsi="Book Antiqua" w:cs="Book Antiqua"/>
          <w:b/>
          <w:bCs/>
          <w:color w:val="0033CC"/>
          <w:sz w:val="24"/>
          <w:szCs w:val="24"/>
        </w:rPr>
        <w:t>ESPS Manuscript NO:</w:t>
      </w:r>
      <w:r w:rsidRPr="00637759">
        <w:rPr>
          <w:rFonts w:ascii="Book Antiqua" w:hAnsi="Book Antiqua" w:cs="Book Antiqua"/>
          <w:b/>
          <w:bCs/>
          <w:color w:val="222222"/>
          <w:sz w:val="24"/>
          <w:szCs w:val="24"/>
        </w:rPr>
        <w:t xml:space="preserve"> </w:t>
      </w:r>
      <w:r w:rsidRPr="00637759">
        <w:rPr>
          <w:rFonts w:ascii="Book Antiqua" w:hAnsi="Book Antiqua" w:cs="Book Antiqua"/>
          <w:b/>
          <w:bCs/>
          <w:color w:val="222222"/>
          <w:sz w:val="24"/>
          <w:szCs w:val="24"/>
          <w:lang w:eastAsia="zh-CN"/>
        </w:rPr>
        <w:t>948</w:t>
      </w:r>
    </w:p>
    <w:p w:rsidR="002E64BF" w:rsidRPr="00637759" w:rsidRDefault="002E64BF" w:rsidP="00F6270E">
      <w:pPr>
        <w:suppressAutoHyphens/>
        <w:autoSpaceDE w:val="0"/>
        <w:autoSpaceDN w:val="0"/>
        <w:adjustRightInd w:val="0"/>
        <w:snapToGrid w:val="0"/>
        <w:spacing w:after="0" w:line="360" w:lineRule="auto"/>
        <w:jc w:val="both"/>
        <w:rPr>
          <w:rFonts w:ascii="Book Antiqua" w:hAnsi="Book Antiqua" w:cs="Book Antiqua"/>
          <w:b/>
          <w:bCs/>
          <w:color w:val="000000"/>
          <w:sz w:val="24"/>
          <w:szCs w:val="24"/>
          <w:lang w:eastAsia="zh-CN"/>
        </w:rPr>
      </w:pPr>
      <w:r w:rsidRPr="00637759">
        <w:rPr>
          <w:rFonts w:ascii="Book Antiqua" w:hAnsi="Book Antiqua" w:cs="Book Antiqua"/>
          <w:b/>
          <w:bCs/>
          <w:color w:val="0033CC"/>
          <w:sz w:val="24"/>
          <w:szCs w:val="24"/>
        </w:rPr>
        <w:t>Columns:</w:t>
      </w:r>
      <w:r w:rsidRPr="00637759">
        <w:rPr>
          <w:rFonts w:ascii="Book Antiqua" w:hAnsi="Book Antiqua" w:cs="Book Antiqua"/>
          <w:b/>
          <w:bCs/>
          <w:color w:val="0033CC"/>
          <w:sz w:val="24"/>
          <w:szCs w:val="24"/>
          <w:lang w:eastAsia="zh-CN"/>
        </w:rPr>
        <w:t xml:space="preserve"> </w:t>
      </w:r>
      <w:r w:rsidRPr="00637759">
        <w:rPr>
          <w:rFonts w:ascii="Book Antiqua" w:hAnsi="Book Antiqua" w:cs="Book Antiqua"/>
          <w:b/>
          <w:bCs/>
          <w:color w:val="000000"/>
          <w:sz w:val="24"/>
          <w:szCs w:val="24"/>
          <w:lang w:eastAsia="zh-CN"/>
        </w:rPr>
        <w:t>CASE REPORT</w:t>
      </w:r>
    </w:p>
    <w:p w:rsidR="002E64BF" w:rsidRPr="00637759" w:rsidRDefault="002E64BF" w:rsidP="00F6270E">
      <w:pPr>
        <w:suppressAutoHyphens/>
        <w:autoSpaceDE w:val="0"/>
        <w:autoSpaceDN w:val="0"/>
        <w:adjustRightInd w:val="0"/>
        <w:snapToGrid w:val="0"/>
        <w:spacing w:after="0" w:line="360" w:lineRule="auto"/>
        <w:jc w:val="both"/>
        <w:rPr>
          <w:rFonts w:ascii="Book Antiqua" w:hAnsi="Book Antiqua" w:cs="Book Antiqua"/>
          <w:b/>
          <w:bCs/>
          <w:color w:val="000000"/>
          <w:sz w:val="24"/>
          <w:szCs w:val="24"/>
          <w:lang w:eastAsia="zh-CN"/>
        </w:rPr>
      </w:pPr>
    </w:p>
    <w:bookmarkEnd w:id="0"/>
    <w:bookmarkEnd w:id="1"/>
    <w:bookmarkEnd w:id="2"/>
    <w:p w:rsidR="002E64BF" w:rsidRPr="00637759" w:rsidRDefault="002E64BF" w:rsidP="00F6270E">
      <w:pPr>
        <w:snapToGrid w:val="0"/>
        <w:spacing w:after="0" w:line="360" w:lineRule="auto"/>
        <w:jc w:val="both"/>
        <w:rPr>
          <w:rFonts w:ascii="Book Antiqua" w:hAnsi="Book Antiqua" w:cs="Book Antiqua"/>
          <w:b/>
          <w:bCs/>
          <w:sz w:val="24"/>
          <w:szCs w:val="24"/>
          <w:lang w:eastAsia="zh-CN"/>
        </w:rPr>
      </w:pPr>
      <w:r w:rsidRPr="00637759">
        <w:rPr>
          <w:rFonts w:ascii="Book Antiqua" w:hAnsi="Book Antiqua" w:cs="Book Antiqua"/>
          <w:b/>
          <w:bCs/>
          <w:sz w:val="24"/>
          <w:szCs w:val="24"/>
        </w:rPr>
        <w:t xml:space="preserve">Low ADAMTS-13 in </w:t>
      </w:r>
      <w:bookmarkStart w:id="7" w:name="OLE_LINK448"/>
      <w:bookmarkStart w:id="8" w:name="OLE_LINK449"/>
      <w:r w:rsidRPr="00637759">
        <w:rPr>
          <w:rFonts w:ascii="Book Antiqua" w:hAnsi="Book Antiqua" w:cs="Book Antiqua"/>
          <w:b/>
          <w:bCs/>
          <w:sz w:val="24"/>
          <w:szCs w:val="24"/>
        </w:rPr>
        <w:t>plavix induced thrombotic thrombocytopenic purpura</w:t>
      </w:r>
      <w:bookmarkEnd w:id="7"/>
      <w:bookmarkEnd w:id="8"/>
      <w:r w:rsidRPr="00637759">
        <w:rPr>
          <w:rFonts w:ascii="Book Antiqua" w:hAnsi="Book Antiqua" w:cs="Book Antiqua"/>
          <w:b/>
          <w:bCs/>
          <w:sz w:val="24"/>
          <w:szCs w:val="24"/>
        </w:rPr>
        <w:t xml:space="preserve"> </w:t>
      </w:r>
    </w:p>
    <w:p w:rsidR="002E64BF" w:rsidRPr="00637759" w:rsidRDefault="002E64BF" w:rsidP="00F6270E">
      <w:pPr>
        <w:snapToGrid w:val="0"/>
        <w:spacing w:after="0" w:line="360" w:lineRule="auto"/>
        <w:jc w:val="both"/>
        <w:rPr>
          <w:rFonts w:ascii="Book Antiqua" w:hAnsi="Book Antiqua" w:cs="Book Antiqua"/>
          <w:b/>
          <w:bCs/>
          <w:sz w:val="24"/>
          <w:szCs w:val="24"/>
          <w:lang w:eastAsia="zh-CN"/>
        </w:rPr>
      </w:pPr>
    </w:p>
    <w:p w:rsidR="002E64BF" w:rsidRPr="00637759" w:rsidRDefault="002E64BF" w:rsidP="00F6270E">
      <w:pPr>
        <w:snapToGrid w:val="0"/>
        <w:spacing w:after="0" w:line="360" w:lineRule="auto"/>
        <w:jc w:val="both"/>
        <w:rPr>
          <w:rFonts w:ascii="Book Antiqua" w:hAnsi="Book Antiqua" w:cs="Book Antiqua"/>
          <w:sz w:val="24"/>
          <w:szCs w:val="24"/>
        </w:rPr>
      </w:pPr>
      <w:r w:rsidRPr="00637759">
        <w:rPr>
          <w:rFonts w:ascii="Book Antiqua" w:hAnsi="Book Antiqua" w:cs="Book Antiqua"/>
          <w:b/>
          <w:bCs/>
          <w:sz w:val="24"/>
          <w:szCs w:val="24"/>
        </w:rPr>
        <w:t xml:space="preserve">Cao LB </w:t>
      </w:r>
      <w:r w:rsidRPr="00637759">
        <w:rPr>
          <w:rFonts w:ascii="Book Antiqua" w:hAnsi="Book Antiqua" w:cs="Book Antiqua"/>
          <w:b/>
          <w:bCs/>
          <w:i/>
          <w:iCs/>
          <w:sz w:val="24"/>
          <w:szCs w:val="24"/>
        </w:rPr>
        <w:t>et al</w:t>
      </w:r>
      <w:r w:rsidRPr="00637759">
        <w:rPr>
          <w:rFonts w:ascii="Book Antiqua" w:hAnsi="Book Antiqua" w:cs="Book Antiqua"/>
          <w:b/>
          <w:bCs/>
          <w:sz w:val="24"/>
          <w:szCs w:val="24"/>
        </w:rPr>
        <w:t xml:space="preserve">. </w:t>
      </w:r>
      <w:r w:rsidRPr="00637759">
        <w:rPr>
          <w:rFonts w:ascii="Book Antiqua" w:hAnsi="Book Antiqua" w:cs="Book Antiqua"/>
          <w:sz w:val="24"/>
          <w:szCs w:val="24"/>
        </w:rPr>
        <w:t>Plavix induced thrombotic thrombocytopenic purpura</w:t>
      </w:r>
    </w:p>
    <w:p w:rsidR="002E64BF" w:rsidRPr="00637759" w:rsidRDefault="002E64BF" w:rsidP="00F6270E">
      <w:pPr>
        <w:snapToGrid w:val="0"/>
        <w:spacing w:after="0" w:line="360" w:lineRule="auto"/>
        <w:jc w:val="both"/>
        <w:rPr>
          <w:rFonts w:ascii="Book Antiqua" w:hAnsi="Book Antiqua" w:cs="Book Antiqua"/>
          <w:sz w:val="24"/>
          <w:szCs w:val="24"/>
        </w:rPr>
      </w:pPr>
    </w:p>
    <w:p w:rsidR="002E64BF" w:rsidRPr="00637759" w:rsidRDefault="002E64BF" w:rsidP="00F6270E">
      <w:pPr>
        <w:snapToGrid w:val="0"/>
        <w:spacing w:after="0" w:line="360" w:lineRule="auto"/>
        <w:jc w:val="both"/>
        <w:rPr>
          <w:rFonts w:ascii="Book Antiqua" w:hAnsi="Book Antiqua" w:cs="Book Antiqua"/>
          <w:sz w:val="24"/>
          <w:szCs w:val="24"/>
          <w:lang w:eastAsia="zh-CN"/>
        </w:rPr>
      </w:pPr>
      <w:r w:rsidRPr="00637759">
        <w:rPr>
          <w:rFonts w:ascii="Book Antiqua" w:hAnsi="Book Antiqua" w:cs="Book Antiqua"/>
          <w:sz w:val="24"/>
          <w:szCs w:val="24"/>
        </w:rPr>
        <w:t>Long Bao Cao, Christopher Jones, Assad Movahed</w:t>
      </w:r>
    </w:p>
    <w:p w:rsidR="002E64BF" w:rsidRPr="00637759" w:rsidRDefault="002E64BF" w:rsidP="00F6270E">
      <w:pPr>
        <w:snapToGrid w:val="0"/>
        <w:spacing w:after="0" w:line="360" w:lineRule="auto"/>
        <w:jc w:val="both"/>
        <w:rPr>
          <w:rFonts w:ascii="Book Antiqua" w:hAnsi="Book Antiqua" w:cs="Book Antiqua"/>
          <w:sz w:val="24"/>
          <w:szCs w:val="24"/>
          <w:lang w:eastAsia="zh-CN"/>
        </w:rPr>
      </w:pPr>
    </w:p>
    <w:p w:rsidR="002E64BF" w:rsidRPr="00637759" w:rsidRDefault="00E83F17" w:rsidP="00F6270E">
      <w:pPr>
        <w:tabs>
          <w:tab w:val="left" w:pos="1380"/>
        </w:tabs>
        <w:snapToGrid w:val="0"/>
        <w:spacing w:after="0" w:line="360" w:lineRule="auto"/>
        <w:jc w:val="both"/>
        <w:rPr>
          <w:rFonts w:ascii="Book Antiqua" w:hAnsi="Book Antiqua" w:cs="Book Antiqua"/>
          <w:sz w:val="24"/>
          <w:szCs w:val="24"/>
          <w:lang w:eastAsia="zh-CN"/>
        </w:rPr>
      </w:pPr>
      <w:r>
        <w:rPr>
          <w:rFonts w:ascii="Book Antiqua" w:hAnsi="Book Antiqua" w:cs="Book Antiqua"/>
          <w:noProof/>
          <w:sz w:val="24"/>
          <w:szCs w:val="24"/>
          <w:lang w:eastAsia="zh-CN"/>
        </w:rPr>
        <w:drawing>
          <wp:inline distT="0" distB="0" distL="0" distR="0">
            <wp:extent cx="6106795" cy="55880"/>
            <wp:effectExtent l="0" t="0" r="8255" b="127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795" cy="55880"/>
                    </a:xfrm>
                    <a:prstGeom prst="rect">
                      <a:avLst/>
                    </a:prstGeom>
                    <a:noFill/>
                    <a:ln>
                      <a:noFill/>
                    </a:ln>
                  </pic:spPr>
                </pic:pic>
              </a:graphicData>
            </a:graphic>
          </wp:inline>
        </w:drawing>
      </w:r>
      <w:r w:rsidR="002E64BF" w:rsidRPr="00637759">
        <w:rPr>
          <w:rFonts w:ascii="Book Antiqua" w:hAnsi="Book Antiqua" w:cs="Book Antiqua"/>
          <w:b/>
          <w:bCs/>
          <w:sz w:val="24"/>
          <w:szCs w:val="24"/>
        </w:rPr>
        <w:t>Long Bao Cao, Christopher Jones, Assad Movahed</w:t>
      </w:r>
      <w:r w:rsidR="002E64BF" w:rsidRPr="00637759">
        <w:rPr>
          <w:rFonts w:ascii="Book Antiqua" w:hAnsi="Book Antiqua" w:cs="Book Antiqua"/>
          <w:sz w:val="24"/>
          <w:szCs w:val="24"/>
        </w:rPr>
        <w:t xml:space="preserve">, Department of Cardiovascular Sciences, </w:t>
      </w:r>
      <w:bookmarkStart w:id="9" w:name="OLE_LINK444"/>
      <w:bookmarkStart w:id="10" w:name="OLE_LINK445"/>
      <w:r w:rsidR="002E64BF" w:rsidRPr="00637759">
        <w:rPr>
          <w:rFonts w:ascii="Book Antiqua" w:hAnsi="Book Antiqua" w:cs="Book Antiqua"/>
          <w:sz w:val="24"/>
          <w:szCs w:val="24"/>
        </w:rPr>
        <w:t xml:space="preserve">Brody School of Medicine, East Carolina University, Greenville, </w:t>
      </w:r>
      <w:bookmarkEnd w:id="9"/>
      <w:bookmarkEnd w:id="10"/>
      <w:r w:rsidR="002E64BF" w:rsidRPr="00637759">
        <w:rPr>
          <w:rFonts w:ascii="Book Antiqua" w:hAnsi="Book Antiqua" w:cs="Book Antiqua"/>
          <w:sz w:val="24"/>
          <w:szCs w:val="24"/>
        </w:rPr>
        <w:t>NC 27834</w:t>
      </w:r>
      <w:r w:rsidR="002E64BF" w:rsidRPr="00637759">
        <w:rPr>
          <w:rFonts w:ascii="Book Antiqua" w:hAnsi="Book Antiqua" w:cs="Book Antiqua"/>
          <w:sz w:val="24"/>
          <w:szCs w:val="24"/>
          <w:lang w:eastAsia="zh-CN"/>
        </w:rPr>
        <w:t>, United States</w:t>
      </w:r>
    </w:p>
    <w:p w:rsidR="002E64BF" w:rsidRPr="00637759" w:rsidRDefault="002E64BF" w:rsidP="00F6270E">
      <w:pPr>
        <w:tabs>
          <w:tab w:val="left" w:pos="1380"/>
        </w:tabs>
        <w:snapToGrid w:val="0"/>
        <w:spacing w:after="0" w:line="360" w:lineRule="auto"/>
        <w:jc w:val="both"/>
        <w:rPr>
          <w:rFonts w:ascii="Book Antiqua" w:hAnsi="Book Antiqua" w:cs="Book Antiqua"/>
          <w:sz w:val="24"/>
          <w:szCs w:val="24"/>
          <w:lang w:eastAsia="zh-CN"/>
        </w:rPr>
      </w:pPr>
    </w:p>
    <w:p w:rsidR="002E64BF" w:rsidRPr="00637759" w:rsidRDefault="002E64BF" w:rsidP="00F6270E">
      <w:pPr>
        <w:snapToGrid w:val="0"/>
        <w:spacing w:after="0" w:line="360" w:lineRule="auto"/>
        <w:jc w:val="both"/>
        <w:rPr>
          <w:rFonts w:ascii="Book Antiqua" w:hAnsi="Book Antiqua" w:cs="Book Antiqua"/>
          <w:sz w:val="24"/>
          <w:szCs w:val="24"/>
        </w:rPr>
      </w:pPr>
      <w:r w:rsidRPr="00637759">
        <w:rPr>
          <w:rFonts w:ascii="Book Antiqua" w:hAnsi="Book Antiqua" w:cs="Book Antiqua"/>
          <w:b/>
          <w:bCs/>
          <w:sz w:val="24"/>
          <w:szCs w:val="24"/>
        </w:rPr>
        <w:t>Author contributions:</w:t>
      </w:r>
      <w:r w:rsidRPr="00637759">
        <w:rPr>
          <w:rFonts w:ascii="Book Antiqua" w:hAnsi="Book Antiqua" w:cs="Book Antiqua"/>
          <w:sz w:val="24"/>
          <w:szCs w:val="24"/>
        </w:rPr>
        <w:t xml:space="preserve"> Cao LB, Jones C, and Movahed A contributed to the manuscript writing and revision. </w:t>
      </w:r>
    </w:p>
    <w:p w:rsidR="002E64BF" w:rsidRPr="00637759" w:rsidRDefault="002E64BF" w:rsidP="00F6270E">
      <w:pPr>
        <w:snapToGrid w:val="0"/>
        <w:spacing w:after="0" w:line="360" w:lineRule="auto"/>
        <w:jc w:val="both"/>
        <w:rPr>
          <w:rFonts w:ascii="Book Antiqua" w:hAnsi="Book Antiqua" w:cs="Book Antiqua"/>
          <w:sz w:val="24"/>
          <w:szCs w:val="24"/>
        </w:rPr>
      </w:pPr>
    </w:p>
    <w:p w:rsidR="002E64BF" w:rsidRPr="00637759" w:rsidRDefault="002E64BF" w:rsidP="00F6270E">
      <w:pPr>
        <w:snapToGrid w:val="0"/>
        <w:spacing w:after="0" w:line="360" w:lineRule="auto"/>
        <w:jc w:val="both"/>
        <w:rPr>
          <w:rFonts w:ascii="Book Antiqua" w:hAnsi="Book Antiqua" w:cs="Book Antiqua"/>
          <w:sz w:val="24"/>
          <w:szCs w:val="24"/>
          <w:lang w:eastAsia="zh-CN"/>
        </w:rPr>
      </w:pPr>
      <w:r w:rsidRPr="00637759">
        <w:rPr>
          <w:rFonts w:ascii="Book Antiqua" w:hAnsi="Book Antiqua" w:cs="Book Antiqua"/>
          <w:b/>
          <w:bCs/>
          <w:sz w:val="24"/>
          <w:szCs w:val="24"/>
        </w:rPr>
        <w:t>Supported by</w:t>
      </w:r>
      <w:r w:rsidRPr="00637759">
        <w:rPr>
          <w:rFonts w:ascii="Book Antiqua" w:hAnsi="Book Antiqua" w:cs="Book Antiqua"/>
          <w:sz w:val="24"/>
          <w:szCs w:val="24"/>
        </w:rPr>
        <w:t xml:space="preserve"> the “East Carolina Heart Institute”  </w:t>
      </w:r>
    </w:p>
    <w:p w:rsidR="002E64BF" w:rsidRPr="00637759" w:rsidRDefault="002E64BF" w:rsidP="00F6270E">
      <w:pPr>
        <w:snapToGrid w:val="0"/>
        <w:spacing w:after="0" w:line="360" w:lineRule="auto"/>
        <w:jc w:val="both"/>
        <w:rPr>
          <w:rFonts w:ascii="Book Antiqua" w:hAnsi="Book Antiqua" w:cs="Book Antiqua"/>
          <w:sz w:val="24"/>
          <w:szCs w:val="24"/>
          <w:lang w:eastAsia="zh-CN"/>
        </w:rPr>
      </w:pPr>
    </w:p>
    <w:p w:rsidR="002E64BF" w:rsidRPr="00637759" w:rsidRDefault="002E64BF" w:rsidP="00F6270E">
      <w:pPr>
        <w:tabs>
          <w:tab w:val="left" w:pos="1380"/>
        </w:tabs>
        <w:snapToGrid w:val="0"/>
        <w:spacing w:after="0" w:line="360" w:lineRule="auto"/>
        <w:jc w:val="both"/>
        <w:rPr>
          <w:rFonts w:ascii="Book Antiqua" w:hAnsi="Book Antiqua" w:cs="Book Antiqua"/>
          <w:sz w:val="24"/>
          <w:szCs w:val="24"/>
          <w:lang w:eastAsia="zh-CN"/>
        </w:rPr>
      </w:pPr>
      <w:r w:rsidRPr="00637759">
        <w:rPr>
          <w:rFonts w:ascii="Book Antiqua" w:hAnsi="Book Antiqua" w:cs="Book Antiqua"/>
          <w:b/>
          <w:bCs/>
          <w:sz w:val="24"/>
          <w:szCs w:val="24"/>
        </w:rPr>
        <w:t>Correspondence to: Assad Movahed, MD,</w:t>
      </w:r>
      <w:r w:rsidRPr="00637759">
        <w:rPr>
          <w:rFonts w:ascii="Book Antiqua" w:hAnsi="Book Antiqua" w:cs="Book Antiqua"/>
          <w:sz w:val="24"/>
          <w:szCs w:val="24"/>
        </w:rPr>
        <w:t xml:space="preserve"> Department of Cardiovascular Sciences, Brody School of Medicine, East Carolina University,</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East Carolina Heart Institute, 115 Heart Drive, Mail Stop 651, Greenville, NC 27834</w:t>
      </w:r>
      <w:r w:rsidRPr="00637759">
        <w:rPr>
          <w:rFonts w:ascii="Book Antiqua" w:hAnsi="Book Antiqua" w:cs="Book Antiqua"/>
          <w:sz w:val="24"/>
          <w:szCs w:val="24"/>
          <w:lang w:eastAsia="zh-CN"/>
        </w:rPr>
        <w:t xml:space="preserve">, United States. </w:t>
      </w:r>
      <w:hyperlink r:id="rId9" w:history="1">
        <w:r w:rsidRPr="00637759">
          <w:rPr>
            <w:rStyle w:val="a3"/>
            <w:rFonts w:ascii="Book Antiqua" w:hAnsi="Book Antiqua" w:cs="Book Antiqua"/>
            <w:sz w:val="24"/>
            <w:szCs w:val="24"/>
          </w:rPr>
          <w:t>movaheda@ecu.edu</w:t>
        </w:r>
      </w:hyperlink>
      <w:r w:rsidRPr="00637759">
        <w:rPr>
          <w:rFonts w:ascii="Book Antiqua" w:hAnsi="Book Antiqua" w:cs="Book Antiqua"/>
          <w:sz w:val="24"/>
          <w:szCs w:val="24"/>
        </w:rPr>
        <w:t xml:space="preserve"> </w:t>
      </w:r>
    </w:p>
    <w:p w:rsidR="002E64BF" w:rsidRPr="00637759" w:rsidRDefault="002E64BF" w:rsidP="00F6270E">
      <w:pPr>
        <w:tabs>
          <w:tab w:val="left" w:pos="1380"/>
        </w:tabs>
        <w:snapToGrid w:val="0"/>
        <w:spacing w:after="0" w:line="360" w:lineRule="auto"/>
        <w:jc w:val="both"/>
        <w:rPr>
          <w:rFonts w:ascii="Book Antiqua" w:hAnsi="Book Antiqua" w:cs="Book Antiqua"/>
          <w:sz w:val="24"/>
          <w:szCs w:val="24"/>
          <w:lang w:eastAsia="zh-CN"/>
        </w:rPr>
      </w:pPr>
    </w:p>
    <w:p w:rsidR="002E64BF" w:rsidRPr="00637759" w:rsidRDefault="002E64BF" w:rsidP="00F6270E">
      <w:pPr>
        <w:snapToGrid w:val="0"/>
        <w:spacing w:after="0" w:line="360" w:lineRule="auto"/>
        <w:jc w:val="both"/>
        <w:rPr>
          <w:rFonts w:ascii="Book Antiqua" w:hAnsi="Book Antiqua" w:cs="Book Antiqua"/>
          <w:sz w:val="24"/>
          <w:szCs w:val="24"/>
        </w:rPr>
      </w:pPr>
      <w:r w:rsidRPr="00637759">
        <w:rPr>
          <w:rFonts w:ascii="Book Antiqua" w:hAnsi="Book Antiqua" w:cs="Book Antiqua"/>
          <w:b/>
          <w:bCs/>
          <w:sz w:val="24"/>
          <w:szCs w:val="24"/>
        </w:rPr>
        <w:t>Telephone:</w:t>
      </w:r>
      <w:r w:rsidRPr="00637759">
        <w:rPr>
          <w:rFonts w:ascii="Book Antiqua" w:hAnsi="Book Antiqua" w:cs="Book Antiqua"/>
          <w:color w:val="000000"/>
          <w:sz w:val="24"/>
          <w:szCs w:val="24"/>
        </w:rPr>
        <w:t xml:space="preserve"> +</w:t>
      </w:r>
      <w:r w:rsidRPr="00637759">
        <w:rPr>
          <w:rFonts w:ascii="Book Antiqua" w:hAnsi="Book Antiqua" w:cs="Book Antiqua"/>
          <w:sz w:val="24"/>
          <w:szCs w:val="24"/>
        </w:rPr>
        <w:t xml:space="preserve"> </w:t>
      </w:r>
      <w:r w:rsidRPr="00637759">
        <w:rPr>
          <w:rFonts w:ascii="Book Antiqua" w:hAnsi="Book Antiqua" w:cs="Book Antiqua"/>
          <w:sz w:val="24"/>
          <w:szCs w:val="24"/>
          <w:lang w:eastAsia="zh-CN"/>
        </w:rPr>
        <w:t>1-</w:t>
      </w:r>
      <w:r w:rsidRPr="00637759">
        <w:rPr>
          <w:rFonts w:ascii="Book Antiqua" w:hAnsi="Book Antiqua" w:cs="Book Antiqua"/>
          <w:sz w:val="24"/>
          <w:szCs w:val="24"/>
        </w:rPr>
        <w:t xml:space="preserve">832-3731447 </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 xml:space="preserve"> </w:t>
      </w:r>
      <w:r w:rsidRPr="00637759">
        <w:rPr>
          <w:rFonts w:ascii="Book Antiqua" w:hAnsi="Book Antiqua" w:cs="Book Antiqua"/>
          <w:b/>
          <w:bCs/>
          <w:sz w:val="24"/>
          <w:szCs w:val="24"/>
        </w:rPr>
        <w:t>Fax:</w:t>
      </w:r>
      <w:r w:rsidRPr="00637759">
        <w:rPr>
          <w:rFonts w:ascii="Book Antiqua" w:hAnsi="Book Antiqua" w:cs="Book Antiqua"/>
          <w:color w:val="000000"/>
          <w:sz w:val="24"/>
          <w:szCs w:val="24"/>
        </w:rPr>
        <w:t xml:space="preserve"> +</w:t>
      </w:r>
      <w:r w:rsidRPr="00637759">
        <w:rPr>
          <w:rFonts w:ascii="Book Antiqua" w:hAnsi="Book Antiqua" w:cs="Book Antiqua"/>
          <w:b/>
          <w:bCs/>
          <w:sz w:val="24"/>
          <w:szCs w:val="24"/>
        </w:rPr>
        <w:t xml:space="preserve"> </w:t>
      </w:r>
      <w:r w:rsidRPr="00637759">
        <w:rPr>
          <w:rFonts w:ascii="Book Antiqua" w:hAnsi="Book Antiqua" w:cs="Book Antiqua"/>
          <w:sz w:val="24"/>
          <w:szCs w:val="24"/>
          <w:lang w:eastAsia="zh-CN"/>
        </w:rPr>
        <w:t>1-</w:t>
      </w:r>
      <w:r w:rsidRPr="00637759">
        <w:rPr>
          <w:rFonts w:ascii="Book Antiqua" w:hAnsi="Book Antiqua" w:cs="Book Antiqua"/>
          <w:sz w:val="24"/>
          <w:szCs w:val="24"/>
        </w:rPr>
        <w:t>252-7447724</w:t>
      </w:r>
    </w:p>
    <w:p w:rsidR="002E64BF" w:rsidRPr="00637759" w:rsidRDefault="002E64BF" w:rsidP="00F6270E">
      <w:pPr>
        <w:spacing w:line="360" w:lineRule="auto"/>
        <w:rPr>
          <w:rFonts w:ascii="Book Antiqua" w:hAnsi="Book Antiqua" w:cs="Book Antiqua"/>
          <w:sz w:val="24"/>
          <w:szCs w:val="24"/>
          <w:lang w:eastAsia="zh-CN"/>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r w:rsidRPr="00637759">
        <w:rPr>
          <w:rFonts w:ascii="Book Antiqua" w:hAnsi="Book Antiqua" w:cs="Book Antiqua"/>
          <w:b/>
          <w:bCs/>
          <w:sz w:val="24"/>
          <w:szCs w:val="24"/>
        </w:rPr>
        <w:t xml:space="preserve">Received: </w:t>
      </w:r>
      <w:r w:rsidRPr="00637759">
        <w:rPr>
          <w:rFonts w:ascii="Book Antiqua" w:hAnsi="Book Antiqua" w:cs="Book Antiqua"/>
          <w:sz w:val="24"/>
          <w:szCs w:val="24"/>
          <w:lang w:eastAsia="zh-CN"/>
        </w:rPr>
        <w:t xml:space="preserve">October 30, 2012 </w:t>
      </w:r>
      <w:r w:rsidRPr="00637759">
        <w:rPr>
          <w:rFonts w:ascii="Book Antiqua" w:hAnsi="Book Antiqua" w:cs="Book Antiqua"/>
          <w:b/>
          <w:bCs/>
          <w:sz w:val="24"/>
          <w:szCs w:val="24"/>
        </w:rPr>
        <w:t xml:space="preserve">  Revised: </w:t>
      </w:r>
      <w:bookmarkStart w:id="19" w:name="OLE_LINK103"/>
      <w:bookmarkStart w:id="20" w:name="OLE_LINK104"/>
      <w:bookmarkStart w:id="21" w:name="OLE_LINK69"/>
      <w:bookmarkStart w:id="22" w:name="OLE_LINK70"/>
      <w:bookmarkEnd w:id="11"/>
      <w:bookmarkEnd w:id="12"/>
      <w:r w:rsidRPr="00637759">
        <w:rPr>
          <w:rFonts w:ascii="Book Antiqua" w:hAnsi="Book Antiqua" w:cs="Book Antiqua"/>
          <w:sz w:val="24"/>
          <w:szCs w:val="24"/>
          <w:lang w:eastAsia="zh-CN"/>
        </w:rPr>
        <w:t>December 17, 2012</w:t>
      </w:r>
    </w:p>
    <w:p w:rsidR="00FA33F1" w:rsidRDefault="002E64BF" w:rsidP="00FA33F1">
      <w:bookmarkStart w:id="23" w:name="OLE_LINK303"/>
      <w:bookmarkStart w:id="24" w:name="OLE_LINK304"/>
      <w:r w:rsidRPr="00637759">
        <w:rPr>
          <w:rFonts w:ascii="Book Antiqua" w:hAnsi="Book Antiqua" w:cs="Book Antiqua"/>
          <w:b/>
          <w:bCs/>
          <w:sz w:val="24"/>
          <w:szCs w:val="24"/>
        </w:rPr>
        <w:t xml:space="preserve">Accepted: </w:t>
      </w:r>
      <w:r w:rsidR="00FA33F1">
        <w:t>January 5, 2013</w:t>
      </w:r>
    </w:p>
    <w:p w:rsidR="002E64BF" w:rsidRPr="00637759" w:rsidRDefault="002E64BF" w:rsidP="00F6270E">
      <w:pPr>
        <w:spacing w:line="360" w:lineRule="auto"/>
        <w:rPr>
          <w:rFonts w:ascii="Book Antiqua" w:hAnsi="Book Antiqua" w:cs="Book Antiqua"/>
          <w:b/>
          <w:bCs/>
          <w:sz w:val="24"/>
          <w:szCs w:val="24"/>
        </w:rPr>
      </w:pPr>
      <w:r w:rsidRPr="00637759">
        <w:rPr>
          <w:rFonts w:ascii="Book Antiqua" w:hAnsi="Book Antiqua" w:cs="Book Antiqua"/>
          <w:b/>
          <w:bCs/>
          <w:sz w:val="24"/>
          <w:szCs w:val="24"/>
        </w:rPr>
        <w:t xml:space="preserve"> </w:t>
      </w:r>
      <w:r w:rsidRPr="00637759">
        <w:rPr>
          <w:rFonts w:ascii="Book Antiqua" w:hAnsi="Book Antiqua" w:cs="Book Antiqua"/>
          <w:b/>
          <w:bCs/>
          <w:sz w:val="24"/>
          <w:szCs w:val="24"/>
          <w:lang w:eastAsia="zh-CN"/>
        </w:rPr>
        <w:t xml:space="preserve">           </w:t>
      </w:r>
      <w:r w:rsidRPr="00637759">
        <w:rPr>
          <w:rFonts w:ascii="Book Antiqua" w:hAnsi="Book Antiqua" w:cs="Book Antiqua"/>
          <w:b/>
          <w:bCs/>
          <w:sz w:val="24"/>
          <w:szCs w:val="24"/>
        </w:rPr>
        <w:t xml:space="preserve">Published online: </w:t>
      </w:r>
      <w:bookmarkEnd w:id="19"/>
      <w:bookmarkEnd w:id="20"/>
    </w:p>
    <w:p w:rsidR="002E64BF" w:rsidRPr="00637759" w:rsidRDefault="002E64BF" w:rsidP="00F6270E">
      <w:pPr>
        <w:snapToGrid w:val="0"/>
        <w:spacing w:after="0" w:line="360" w:lineRule="auto"/>
        <w:jc w:val="both"/>
        <w:rPr>
          <w:rFonts w:ascii="Book Antiqua" w:hAnsi="Book Antiqua" w:cs="Book Antiqua"/>
          <w:b/>
          <w:bCs/>
          <w:sz w:val="24"/>
          <w:szCs w:val="24"/>
        </w:rPr>
      </w:pPr>
      <w:bookmarkStart w:id="25" w:name="_GoBack"/>
      <w:bookmarkEnd w:id="13"/>
      <w:bookmarkEnd w:id="14"/>
      <w:bookmarkEnd w:id="15"/>
      <w:bookmarkEnd w:id="16"/>
      <w:bookmarkEnd w:id="17"/>
      <w:bookmarkEnd w:id="18"/>
      <w:bookmarkEnd w:id="21"/>
      <w:bookmarkEnd w:id="22"/>
      <w:bookmarkEnd w:id="23"/>
      <w:bookmarkEnd w:id="24"/>
      <w:bookmarkEnd w:id="25"/>
    </w:p>
    <w:p w:rsidR="002E64BF" w:rsidRPr="00637759" w:rsidRDefault="002E64BF" w:rsidP="00F6270E">
      <w:pPr>
        <w:snapToGrid w:val="0"/>
        <w:spacing w:after="0" w:line="360" w:lineRule="auto"/>
        <w:jc w:val="both"/>
        <w:rPr>
          <w:rFonts w:ascii="Book Antiqua" w:hAnsi="Book Antiqua" w:cs="Book Antiqua"/>
          <w:b/>
          <w:bCs/>
          <w:sz w:val="24"/>
          <w:szCs w:val="24"/>
        </w:rPr>
      </w:pPr>
    </w:p>
    <w:p w:rsidR="002E64BF" w:rsidRPr="00637759" w:rsidRDefault="002E64BF" w:rsidP="00F6270E">
      <w:pPr>
        <w:snapToGrid w:val="0"/>
        <w:spacing w:after="0" w:line="360" w:lineRule="auto"/>
        <w:jc w:val="both"/>
        <w:rPr>
          <w:rFonts w:ascii="Book Antiqua" w:hAnsi="Book Antiqua" w:cs="Book Antiqua"/>
          <w:b/>
          <w:bCs/>
          <w:sz w:val="24"/>
          <w:szCs w:val="24"/>
          <w:lang w:eastAsia="zh-CN"/>
        </w:rPr>
      </w:pPr>
    </w:p>
    <w:p w:rsidR="002E64BF" w:rsidRPr="00637759" w:rsidRDefault="002E64BF" w:rsidP="00F6270E">
      <w:pPr>
        <w:snapToGrid w:val="0"/>
        <w:spacing w:after="0" w:line="360" w:lineRule="auto"/>
        <w:jc w:val="both"/>
        <w:rPr>
          <w:rFonts w:ascii="Book Antiqua" w:hAnsi="Book Antiqua" w:cs="Book Antiqua"/>
          <w:b/>
          <w:bCs/>
          <w:sz w:val="24"/>
          <w:szCs w:val="24"/>
        </w:rPr>
      </w:pPr>
      <w:r w:rsidRPr="00637759">
        <w:rPr>
          <w:rFonts w:ascii="Book Antiqua" w:hAnsi="Book Antiqua" w:cs="Book Antiqua"/>
          <w:b/>
          <w:bCs/>
          <w:sz w:val="24"/>
          <w:szCs w:val="24"/>
        </w:rPr>
        <w:t>Abstract</w:t>
      </w:r>
    </w:p>
    <w:p w:rsidR="002E64BF" w:rsidRPr="00637759" w:rsidRDefault="002E64BF" w:rsidP="00F6270E">
      <w:pPr>
        <w:snapToGrid w:val="0"/>
        <w:spacing w:after="0" w:line="360" w:lineRule="auto"/>
        <w:jc w:val="both"/>
        <w:rPr>
          <w:rFonts w:ascii="Book Antiqua" w:hAnsi="Book Antiqua" w:cs="Book Antiqua"/>
          <w:sz w:val="24"/>
          <w:szCs w:val="24"/>
          <w:lang w:eastAsia="zh-CN"/>
        </w:rPr>
      </w:pPr>
      <w:r w:rsidRPr="00637759">
        <w:rPr>
          <w:rFonts w:ascii="Book Antiqua" w:hAnsi="Book Antiqua" w:cs="Book Antiqua"/>
          <w:sz w:val="24"/>
          <w:szCs w:val="24"/>
        </w:rPr>
        <w:t>Thrombotic thrombocytopenia purpura (TTP)</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was first described in 1924 as a “pathologic alteration of the microvasculature, with detachment or swelling of the endothelium, amorphous material in the sub-endothelial space, and luminal platelet aggregation leading to compromise of the microcirculation.” Ticlopidine induced TTP has been highly associated with autoimmune induced reduction in ADAMTS-13 activity. These findings, to a lesser extent, have also been found in clopidogrel induced TTP.</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 xml:space="preserve">We report a case of clopidogrel associated TTP in a patient that presented with acute stroke, renal failure, </w:t>
      </w:r>
      <w:bookmarkStart w:id="26" w:name="OLE_LINK446"/>
      <w:bookmarkStart w:id="27" w:name="OLE_LINK447"/>
      <w:r w:rsidRPr="00637759">
        <w:rPr>
          <w:rFonts w:ascii="Book Antiqua" w:hAnsi="Book Antiqua" w:cs="Book Antiqua"/>
          <w:sz w:val="24"/>
          <w:szCs w:val="24"/>
        </w:rPr>
        <w:t>and non-ST elevation myocardial infarction</w:t>
      </w:r>
      <w:bookmarkEnd w:id="26"/>
      <w:bookmarkEnd w:id="27"/>
      <w:r w:rsidRPr="00637759">
        <w:rPr>
          <w:rFonts w:ascii="Book Antiqua" w:hAnsi="Book Antiqua" w:cs="Book Antiqua"/>
          <w:sz w:val="24"/>
          <w:szCs w:val="24"/>
        </w:rPr>
        <w:t>.</w:t>
      </w:r>
    </w:p>
    <w:p w:rsidR="002E64BF" w:rsidRPr="00637759" w:rsidRDefault="002E64BF" w:rsidP="00F6270E">
      <w:pPr>
        <w:snapToGrid w:val="0"/>
        <w:spacing w:after="0" w:line="360" w:lineRule="auto"/>
        <w:jc w:val="both"/>
        <w:rPr>
          <w:rFonts w:ascii="Book Antiqua" w:hAnsi="Book Antiqua" w:cs="Book Antiqua"/>
          <w:sz w:val="24"/>
          <w:szCs w:val="24"/>
          <w:lang w:eastAsia="zh-CN"/>
        </w:rPr>
      </w:pPr>
    </w:p>
    <w:p w:rsidR="002E64BF" w:rsidRPr="00637759" w:rsidRDefault="002E64BF" w:rsidP="00F6270E">
      <w:pPr>
        <w:spacing w:line="360" w:lineRule="auto"/>
        <w:rPr>
          <w:rFonts w:ascii="Book Antiqua" w:hAnsi="Book Antiqua" w:cs="Book Antiqua"/>
          <w:sz w:val="24"/>
          <w:szCs w:val="24"/>
          <w:lang w:eastAsia="zh-CN"/>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r w:rsidRPr="00637759">
        <w:rPr>
          <w:rFonts w:ascii="Book Antiqua" w:hAnsi="Book Antiqua" w:cs="Book Antiqua"/>
          <w:sz w:val="24"/>
          <w:szCs w:val="24"/>
        </w:rPr>
        <w:t xml:space="preserve">© 2012 Baishideng. All rights reserved.  </w:t>
      </w:r>
      <w:bookmarkEnd w:id="28"/>
      <w:bookmarkEnd w:id="29"/>
      <w:bookmarkEnd w:id="30"/>
      <w:bookmarkEnd w:id="31"/>
      <w:bookmarkEnd w:id="32"/>
      <w:bookmarkEnd w:id="33"/>
      <w:bookmarkEnd w:id="34"/>
      <w:bookmarkEnd w:id="35"/>
      <w:bookmarkEnd w:id="36"/>
      <w:bookmarkEnd w:id="37"/>
    </w:p>
    <w:p w:rsidR="002E64BF" w:rsidRPr="00637759" w:rsidRDefault="002E64BF" w:rsidP="00F6270E">
      <w:pPr>
        <w:spacing w:line="360" w:lineRule="auto"/>
        <w:rPr>
          <w:rFonts w:ascii="Book Antiqua" w:hAnsi="Book Antiqua" w:cs="Book Antiqua"/>
          <w:sz w:val="24"/>
          <w:szCs w:val="24"/>
          <w:lang w:eastAsia="zh-CN"/>
        </w:rPr>
      </w:pPr>
    </w:p>
    <w:p w:rsidR="002E64BF" w:rsidRPr="00637759" w:rsidRDefault="002E64BF" w:rsidP="00F6270E">
      <w:pPr>
        <w:snapToGrid w:val="0"/>
        <w:spacing w:after="0" w:line="360" w:lineRule="auto"/>
        <w:jc w:val="both"/>
        <w:rPr>
          <w:rFonts w:ascii="Book Antiqua" w:hAnsi="Book Antiqua" w:cs="Book Antiqua"/>
          <w:sz w:val="24"/>
          <w:szCs w:val="24"/>
          <w:lang w:eastAsia="zh-CN"/>
        </w:rPr>
      </w:pPr>
      <w:r w:rsidRPr="00637759">
        <w:rPr>
          <w:rFonts w:ascii="Book Antiqua" w:hAnsi="Book Antiqua" w:cs="Book Antiqua"/>
          <w:b/>
          <w:bCs/>
          <w:sz w:val="24"/>
          <w:szCs w:val="24"/>
        </w:rPr>
        <w:t xml:space="preserve">Key words: </w:t>
      </w:r>
      <w:r w:rsidRPr="00637759">
        <w:rPr>
          <w:rFonts w:ascii="Book Antiqua" w:hAnsi="Book Antiqua" w:cs="Book Antiqua"/>
          <w:sz w:val="24"/>
          <w:szCs w:val="24"/>
        </w:rPr>
        <w:t>Plavix; Thrombotic thrombocytopenic purpura; Antiplatelet therapy</w:t>
      </w:r>
    </w:p>
    <w:p w:rsidR="002E64BF" w:rsidRPr="00637759" w:rsidRDefault="002E64BF" w:rsidP="00F6270E">
      <w:pPr>
        <w:snapToGrid w:val="0"/>
        <w:spacing w:after="0" w:line="360" w:lineRule="auto"/>
        <w:jc w:val="both"/>
        <w:rPr>
          <w:rFonts w:ascii="Book Antiqua" w:hAnsi="Book Antiqua" w:cs="Book Antiqua"/>
          <w:sz w:val="24"/>
          <w:szCs w:val="24"/>
          <w:lang w:eastAsia="zh-CN"/>
        </w:rPr>
      </w:pPr>
    </w:p>
    <w:p w:rsidR="002E64BF" w:rsidRPr="00637759" w:rsidRDefault="002E64BF" w:rsidP="00B77EB4">
      <w:pPr>
        <w:snapToGrid w:val="0"/>
        <w:spacing w:after="0" w:line="360" w:lineRule="auto"/>
        <w:jc w:val="both"/>
        <w:rPr>
          <w:rFonts w:ascii="Book Antiqua" w:hAnsi="Book Antiqua" w:cs="Book Antiqua"/>
          <w:sz w:val="24"/>
          <w:szCs w:val="24"/>
          <w:lang w:eastAsia="zh-CN"/>
        </w:rPr>
      </w:pPr>
      <w:r w:rsidRPr="00637759">
        <w:rPr>
          <w:rFonts w:ascii="Book Antiqua" w:hAnsi="Book Antiqua" w:cs="Book Antiqua"/>
          <w:sz w:val="24"/>
          <w:szCs w:val="24"/>
        </w:rPr>
        <w:t>Cao LB, Jones C, Movahed A</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Low ADAMTS-13 in plavix induced thrombotic thrombocytopenic purpura</w:t>
      </w:r>
      <w:r w:rsidRPr="00637759">
        <w:rPr>
          <w:rFonts w:ascii="Book Antiqua" w:hAnsi="Book Antiqua" w:cs="Book Antiqua"/>
          <w:sz w:val="24"/>
          <w:szCs w:val="24"/>
          <w:lang w:eastAsia="zh-CN"/>
        </w:rPr>
        <w:t>.</w:t>
      </w:r>
    </w:p>
    <w:p w:rsidR="002E64BF" w:rsidRPr="00637759" w:rsidRDefault="002E64BF" w:rsidP="00FA33F1">
      <w:pPr>
        <w:spacing w:line="360" w:lineRule="auto"/>
        <w:ind w:rightChars="-506" w:right="-1113"/>
        <w:rPr>
          <w:rFonts w:ascii="Book Antiqua" w:hAnsi="Book Antiqua" w:cs="Book Antiqua"/>
          <w:sz w:val="24"/>
          <w:szCs w:val="24"/>
        </w:rPr>
      </w:pPr>
      <w:r w:rsidRPr="00637759">
        <w:rPr>
          <w:rFonts w:ascii="Book Antiqua" w:hAnsi="Book Antiqua" w:cs="Book Antiqua"/>
          <w:i/>
          <w:iCs/>
          <w:sz w:val="24"/>
          <w:szCs w:val="24"/>
        </w:rPr>
        <w:t xml:space="preserve">World J </w:t>
      </w:r>
      <w:r w:rsidRPr="00637759">
        <w:rPr>
          <w:rFonts w:ascii="Book Antiqua" w:hAnsi="Book Antiqua" w:cs="Book Antiqua"/>
          <w:i/>
          <w:iCs/>
          <w:sz w:val="24"/>
          <w:szCs w:val="24"/>
          <w:lang w:eastAsia="zh-CN"/>
        </w:rPr>
        <w:t>Clin Cases</w:t>
      </w:r>
      <w:r w:rsidRPr="00637759">
        <w:rPr>
          <w:rFonts w:ascii="Book Antiqua" w:hAnsi="Book Antiqua" w:cs="Book Antiqua"/>
          <w:sz w:val="24"/>
          <w:szCs w:val="24"/>
        </w:rPr>
        <w:t xml:space="preserve"> 2012;  </w:t>
      </w:r>
    </w:p>
    <w:p w:rsidR="002E64BF" w:rsidRPr="00637759" w:rsidRDefault="002E64BF" w:rsidP="00B77EB4">
      <w:pPr>
        <w:pStyle w:val="p0"/>
        <w:spacing w:line="360" w:lineRule="auto"/>
        <w:rPr>
          <w:rFonts w:ascii="Book Antiqua" w:hAnsi="Book Antiqua" w:cs="Book Antiqua"/>
          <w:sz w:val="24"/>
          <w:szCs w:val="24"/>
        </w:rPr>
      </w:pPr>
      <w:r w:rsidRPr="00637759">
        <w:rPr>
          <w:rFonts w:ascii="Book Antiqua" w:hAnsi="Book Antiqua" w:cs="Book Antiqua"/>
          <w:b/>
          <w:bCs/>
          <w:sz w:val="24"/>
          <w:szCs w:val="24"/>
        </w:rPr>
        <w:t>Available from:</w:t>
      </w:r>
      <w:r w:rsidRPr="00637759">
        <w:rPr>
          <w:rFonts w:ascii="Book Antiqua" w:hAnsi="Book Antiqua" w:cs="Book Antiqua"/>
          <w:sz w:val="24"/>
          <w:szCs w:val="24"/>
        </w:rPr>
        <w:t xml:space="preserve"> </w:t>
      </w:r>
      <w:r w:rsidRPr="00637759">
        <w:rPr>
          <w:rFonts w:ascii="Book Antiqua" w:hAnsi="Book Antiqua" w:cs="Book Antiqua"/>
          <w:color w:val="000000"/>
          <w:sz w:val="24"/>
          <w:szCs w:val="24"/>
        </w:rPr>
        <w:t xml:space="preserve">URL: http://www.wjgnet.com/esps/  </w:t>
      </w:r>
    </w:p>
    <w:p w:rsidR="002E64BF" w:rsidRPr="00637759" w:rsidRDefault="002E64BF" w:rsidP="00B77EB4">
      <w:pPr>
        <w:spacing w:line="380" w:lineRule="exact"/>
        <w:rPr>
          <w:rFonts w:ascii="Book Antiqua" w:hAnsi="Book Antiqua" w:cs="Book Antiqua"/>
          <w:color w:val="000000"/>
          <w:sz w:val="24"/>
          <w:szCs w:val="24"/>
        </w:rPr>
      </w:pPr>
      <w:r w:rsidRPr="00637759">
        <w:rPr>
          <w:rFonts w:ascii="Book Antiqua" w:hAnsi="Book Antiqua" w:cs="Book Antiqua"/>
          <w:b/>
          <w:bCs/>
          <w:sz w:val="24"/>
          <w:szCs w:val="24"/>
        </w:rPr>
        <w:t xml:space="preserve">DOI: </w:t>
      </w:r>
      <w:r w:rsidRPr="00637759">
        <w:rPr>
          <w:rFonts w:ascii="Book Antiqua" w:hAnsi="Book Antiqua" w:cs="Book Antiqua"/>
          <w:color w:val="000000"/>
          <w:sz w:val="24"/>
          <w:szCs w:val="24"/>
        </w:rPr>
        <w:t>DOI:10.</w:t>
      </w:r>
      <w:r w:rsidRPr="00637759">
        <w:rPr>
          <w:rFonts w:ascii="Book Antiqua" w:hAnsi="Book Antiqua" w:cs="Book Antiqua"/>
          <w:color w:val="000000"/>
          <w:sz w:val="24"/>
          <w:szCs w:val="24"/>
          <w:lang w:eastAsia="zh-CN"/>
        </w:rPr>
        <w:t>0000</w:t>
      </w:r>
      <w:r w:rsidRPr="00637759">
        <w:rPr>
          <w:rFonts w:ascii="Book Antiqua" w:hAnsi="Book Antiqua" w:cs="Book Antiqua"/>
          <w:color w:val="000000"/>
          <w:sz w:val="24"/>
          <w:szCs w:val="24"/>
        </w:rPr>
        <w:t>/wj</w:t>
      </w:r>
      <w:r w:rsidRPr="00637759">
        <w:rPr>
          <w:rFonts w:ascii="Book Antiqua" w:hAnsi="Book Antiqua" w:cs="Book Antiqua"/>
          <w:color w:val="000000"/>
          <w:sz w:val="24"/>
          <w:szCs w:val="24"/>
          <w:lang w:eastAsia="zh-CN"/>
        </w:rPr>
        <w:t>cc</w:t>
      </w:r>
      <w:r w:rsidRPr="00637759">
        <w:rPr>
          <w:rFonts w:ascii="Book Antiqua" w:hAnsi="Book Antiqua" w:cs="Book Antiqua"/>
          <w:color w:val="000000"/>
          <w:sz w:val="24"/>
          <w:szCs w:val="24"/>
        </w:rPr>
        <w:t>.</w:t>
      </w:r>
      <w:r w:rsidRPr="00637759">
        <w:rPr>
          <w:rFonts w:ascii="Book Antiqua" w:hAnsi="Book Antiqua" w:cs="Book Antiqua"/>
          <w:color w:val="000000"/>
          <w:sz w:val="24"/>
          <w:szCs w:val="24"/>
          <w:lang w:eastAsia="zh-CN"/>
        </w:rPr>
        <w:t>00</w:t>
      </w:r>
      <w:r w:rsidRPr="00637759">
        <w:rPr>
          <w:rFonts w:ascii="Book Antiqua" w:hAnsi="Book Antiqua" w:cs="Book Antiqua"/>
          <w:color w:val="000000"/>
          <w:sz w:val="24"/>
          <w:szCs w:val="24"/>
        </w:rPr>
        <w:t>.0000</w:t>
      </w:r>
    </w:p>
    <w:p w:rsidR="002E64BF" w:rsidRPr="00637759" w:rsidRDefault="002E64BF" w:rsidP="00F6270E">
      <w:pPr>
        <w:snapToGrid w:val="0"/>
        <w:spacing w:after="0" w:line="360" w:lineRule="auto"/>
        <w:jc w:val="both"/>
        <w:rPr>
          <w:rFonts w:ascii="Book Antiqua" w:hAnsi="Book Antiqua" w:cs="Book Antiqua"/>
          <w:sz w:val="24"/>
          <w:szCs w:val="24"/>
        </w:rPr>
      </w:pPr>
    </w:p>
    <w:p w:rsidR="002E64BF" w:rsidRPr="00637759" w:rsidRDefault="002E64BF">
      <w:pPr>
        <w:rPr>
          <w:rFonts w:ascii="Book Antiqua" w:hAnsi="Book Antiqua" w:cs="Book Antiqua"/>
          <w:b/>
          <w:bCs/>
          <w:sz w:val="24"/>
          <w:szCs w:val="24"/>
        </w:rPr>
      </w:pPr>
      <w:r w:rsidRPr="00637759">
        <w:rPr>
          <w:rFonts w:ascii="Book Antiqua" w:hAnsi="Book Antiqua" w:cs="Book Antiqua"/>
          <w:b/>
          <w:bCs/>
          <w:sz w:val="24"/>
          <w:szCs w:val="24"/>
        </w:rPr>
        <w:br w:type="page"/>
      </w:r>
    </w:p>
    <w:p w:rsidR="002E64BF" w:rsidRPr="00637759" w:rsidRDefault="002E64BF" w:rsidP="00F6270E">
      <w:pPr>
        <w:snapToGrid w:val="0"/>
        <w:spacing w:after="0" w:line="360" w:lineRule="auto"/>
        <w:jc w:val="both"/>
        <w:rPr>
          <w:rFonts w:ascii="Book Antiqua" w:hAnsi="Book Antiqua" w:cs="Book Antiqua"/>
          <w:b/>
          <w:bCs/>
          <w:sz w:val="24"/>
          <w:szCs w:val="24"/>
        </w:rPr>
      </w:pPr>
      <w:r w:rsidRPr="00637759">
        <w:rPr>
          <w:rFonts w:ascii="Book Antiqua" w:hAnsi="Book Antiqua" w:cs="Book Antiqua"/>
          <w:b/>
          <w:bCs/>
          <w:sz w:val="24"/>
          <w:szCs w:val="24"/>
        </w:rPr>
        <w:t>INTRODUCTION</w:t>
      </w:r>
    </w:p>
    <w:p w:rsidR="002E64BF" w:rsidRPr="00637759" w:rsidRDefault="002E64BF" w:rsidP="00F6270E">
      <w:pPr>
        <w:snapToGrid w:val="0"/>
        <w:spacing w:after="0" w:line="360" w:lineRule="auto"/>
        <w:jc w:val="both"/>
        <w:rPr>
          <w:rFonts w:ascii="Book Antiqua" w:hAnsi="Book Antiqua" w:cs="Book Antiqua"/>
          <w:sz w:val="24"/>
          <w:szCs w:val="24"/>
          <w:vertAlign w:val="superscript"/>
        </w:rPr>
      </w:pPr>
      <w:r w:rsidRPr="00637759">
        <w:rPr>
          <w:rFonts w:ascii="Book Antiqua" w:hAnsi="Book Antiqua" w:cs="Book Antiqua"/>
          <w:sz w:val="24"/>
          <w:szCs w:val="24"/>
        </w:rPr>
        <w:t>Greater than 600</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000 percutaneous coronary interventions (PCI) are performed each year in the United States. With each PCI, patients are usually placed on more than one antiplatelet regimen because of its proven benefit. The very first agent available was aspirin, which inhibited thromboxane A2, an agent that causes platelet aggregation, thus reducing cardiac events post PCI. Following aspirin, further studies examined two other drugs that were available at the time: dipyridamole and cilostazol, both of which inhibits phosphodiesterase differently to illicit the same inhibition of platelet aggregation. Dipyridamole was found to be more efficacious in reducing stroke, but not acute coronary syndrome and thus never made into guidelines. Cilostazol proved beneficial in acute coronary syndrome, but had more adverse side effects and thus, there are no clear guidelines to specify its use in PCI patients. More recently, P2Y</w:t>
      </w:r>
      <w:r w:rsidRPr="00637759">
        <w:rPr>
          <w:rFonts w:ascii="Book Antiqua" w:hAnsi="Book Antiqua" w:cs="Book Antiqua"/>
          <w:sz w:val="24"/>
          <w:szCs w:val="24"/>
          <w:vertAlign w:val="superscript"/>
        </w:rPr>
        <w:t>12</w:t>
      </w:r>
      <w:r w:rsidRPr="00637759">
        <w:rPr>
          <w:rFonts w:ascii="Book Antiqua" w:hAnsi="Book Antiqua" w:cs="Book Antiqua"/>
          <w:sz w:val="24"/>
          <w:szCs w:val="24"/>
        </w:rPr>
        <w:t xml:space="preserve"> receptors antagonist have entered the market with astonishing efficacy. P2Y</w:t>
      </w:r>
      <w:r w:rsidRPr="00637759">
        <w:rPr>
          <w:rFonts w:ascii="Book Antiqua" w:hAnsi="Book Antiqua" w:cs="Book Antiqua"/>
          <w:sz w:val="24"/>
          <w:szCs w:val="24"/>
          <w:vertAlign w:val="superscript"/>
        </w:rPr>
        <w:t>12</w:t>
      </w:r>
      <w:r w:rsidRPr="00637759">
        <w:rPr>
          <w:rFonts w:ascii="Book Antiqua" w:hAnsi="Book Antiqua" w:cs="Book Antiqua"/>
          <w:sz w:val="24"/>
          <w:szCs w:val="24"/>
        </w:rPr>
        <w:t xml:space="preserve"> receptors are a class of purinergic receptors that exert various affects, like platelet aggregation, when activated by nucleotides, specifically adenosine diphosphate. Ticlopidine was the first P2Y</w:t>
      </w:r>
      <w:r w:rsidRPr="00637759">
        <w:rPr>
          <w:rFonts w:ascii="Book Antiqua" w:hAnsi="Book Antiqua" w:cs="Book Antiqua"/>
          <w:sz w:val="24"/>
          <w:szCs w:val="24"/>
          <w:vertAlign w:val="superscript"/>
        </w:rPr>
        <w:t>12</w:t>
      </w:r>
      <w:r w:rsidRPr="00637759">
        <w:rPr>
          <w:rFonts w:ascii="Book Antiqua" w:hAnsi="Book Antiqua" w:cs="Book Antiqua"/>
          <w:sz w:val="24"/>
          <w:szCs w:val="24"/>
        </w:rPr>
        <w:t xml:space="preserve"> antagonist approved for use. Initially approved for the management of stroke, it was later found efficacious in acute coronary syndrome and became incorporated into the American Heart Association</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(AHA) and the American College of Cardiology  guidelines. Unfortunately, due to its hematologic side effects, causing neutropenia and thrombotic thrombocytopenic purpura, the use of ticlopidine was taken out of the 2011 AHA guidelines</w:t>
      </w:r>
      <w:r w:rsidRPr="00637759">
        <w:rPr>
          <w:rFonts w:ascii="Book Antiqua" w:hAnsi="Book Antiqua" w:cs="Book Antiqua"/>
          <w:sz w:val="24"/>
          <w:szCs w:val="24"/>
          <w:vertAlign w:val="superscript"/>
        </w:rPr>
        <w:t>[1]</w:t>
      </w:r>
      <w:r w:rsidRPr="00637759">
        <w:rPr>
          <w:rFonts w:ascii="Book Antiqua" w:hAnsi="Book Antiqua" w:cs="Book Antiqua"/>
          <w:sz w:val="24"/>
          <w:szCs w:val="24"/>
        </w:rPr>
        <w:t>. Clopidogrel, like ticlopidine, is a thienopyridine derivative which works by inhibiting adenosine diphosphate induced platelet aggregation. Clopidogrel has for the most part replaced ticlopidine as the drug of choice for patients undergoing arterial stenting because the clopidogrel versus aspirin in patients at risk of ischaemic events trial helped show that there is less risk for neutropenia and thrombotic thrombocytopenia purpura (TTP) with the use of clopidogrel than ticlopidine</w:t>
      </w:r>
      <w:r w:rsidRPr="00637759">
        <w:rPr>
          <w:rFonts w:ascii="Book Antiqua" w:hAnsi="Book Antiqua" w:cs="Book Antiqua"/>
          <w:sz w:val="24"/>
          <w:szCs w:val="24"/>
          <w:vertAlign w:val="superscript"/>
        </w:rPr>
        <w:t>[2]</w:t>
      </w:r>
      <w:r w:rsidRPr="00637759">
        <w:rPr>
          <w:rFonts w:ascii="Book Antiqua" w:hAnsi="Book Antiqua" w:cs="Book Antiqua"/>
          <w:sz w:val="24"/>
          <w:szCs w:val="24"/>
        </w:rPr>
        <w:t xml:space="preserve">.  However, with the rise in clopidogrel associated TTP in the recent years, more special consideration should be taken into account when </w:t>
      </w:r>
      <w:r w:rsidRPr="00637759">
        <w:rPr>
          <w:rFonts w:ascii="Book Antiqua" w:hAnsi="Book Antiqua" w:cs="Book Antiqua"/>
          <w:sz w:val="24"/>
          <w:szCs w:val="24"/>
        </w:rPr>
        <w:lastRenderedPageBreak/>
        <w:t>selecting an antiplatelet therapy, especially now that we have other options of P2Y</w:t>
      </w:r>
      <w:r w:rsidRPr="00637759">
        <w:rPr>
          <w:rFonts w:ascii="Book Antiqua" w:hAnsi="Book Antiqua" w:cs="Book Antiqua"/>
          <w:sz w:val="24"/>
          <w:szCs w:val="24"/>
          <w:vertAlign w:val="superscript"/>
        </w:rPr>
        <w:t>12</w:t>
      </w:r>
      <w:r w:rsidRPr="00637759">
        <w:rPr>
          <w:rFonts w:ascii="Book Antiqua" w:hAnsi="Book Antiqua" w:cs="Book Antiqua"/>
          <w:sz w:val="24"/>
          <w:szCs w:val="24"/>
        </w:rPr>
        <w:t xml:space="preserve"> antagonist like prasugrel (Effient) and Ticagrelor (Brilinta), which have their own drawbacks like increased bleeding with low body weight, and dyspnea, ventricular pauses and increased serum uric acid, respectively</w:t>
      </w:r>
      <w:r w:rsidRPr="00637759">
        <w:rPr>
          <w:rFonts w:ascii="Book Antiqua" w:hAnsi="Book Antiqua" w:cs="Book Antiqua"/>
          <w:sz w:val="24"/>
          <w:szCs w:val="24"/>
          <w:vertAlign w:val="superscript"/>
        </w:rPr>
        <w:t>[1,3]</w:t>
      </w:r>
      <w:r w:rsidRPr="00637759">
        <w:rPr>
          <w:rFonts w:ascii="Book Antiqua" w:hAnsi="Book Antiqua" w:cs="Book Antiqua"/>
          <w:sz w:val="24"/>
          <w:szCs w:val="24"/>
        </w:rPr>
        <w:t>.</w:t>
      </w:r>
    </w:p>
    <w:p w:rsidR="002E64BF" w:rsidRPr="00637759" w:rsidRDefault="002E64BF" w:rsidP="00F6270E">
      <w:pPr>
        <w:snapToGrid w:val="0"/>
        <w:spacing w:after="0" w:line="360" w:lineRule="auto"/>
        <w:jc w:val="both"/>
        <w:rPr>
          <w:rFonts w:ascii="Book Antiqua" w:hAnsi="Book Antiqua" w:cs="Book Antiqua"/>
          <w:b/>
          <w:bCs/>
          <w:sz w:val="24"/>
          <w:szCs w:val="24"/>
        </w:rPr>
      </w:pPr>
    </w:p>
    <w:p w:rsidR="002E64BF" w:rsidRPr="00637759" w:rsidRDefault="002E64BF" w:rsidP="00F6270E">
      <w:pPr>
        <w:snapToGrid w:val="0"/>
        <w:spacing w:after="0" w:line="360" w:lineRule="auto"/>
        <w:jc w:val="both"/>
        <w:rPr>
          <w:rFonts w:ascii="Book Antiqua" w:hAnsi="Book Antiqua" w:cs="Book Antiqua"/>
          <w:b/>
          <w:bCs/>
          <w:sz w:val="24"/>
          <w:szCs w:val="24"/>
        </w:rPr>
      </w:pPr>
      <w:r w:rsidRPr="00637759">
        <w:rPr>
          <w:rFonts w:ascii="Book Antiqua" w:hAnsi="Book Antiqua" w:cs="Book Antiqua"/>
          <w:b/>
          <w:bCs/>
          <w:sz w:val="24"/>
          <w:szCs w:val="24"/>
        </w:rPr>
        <w:t>CASE REPORT</w:t>
      </w:r>
    </w:p>
    <w:p w:rsidR="002E64BF" w:rsidRPr="00637759" w:rsidRDefault="002E64BF" w:rsidP="00F6270E">
      <w:pPr>
        <w:snapToGrid w:val="0"/>
        <w:spacing w:after="0" w:line="360" w:lineRule="auto"/>
        <w:jc w:val="both"/>
        <w:rPr>
          <w:rFonts w:ascii="Book Antiqua" w:hAnsi="Book Antiqua" w:cs="Book Antiqua"/>
          <w:sz w:val="24"/>
          <w:szCs w:val="24"/>
          <w:lang w:eastAsia="zh-CN"/>
        </w:rPr>
      </w:pPr>
      <w:r w:rsidRPr="00637759">
        <w:rPr>
          <w:rFonts w:ascii="Book Antiqua" w:hAnsi="Book Antiqua" w:cs="Book Antiqua"/>
          <w:sz w:val="24"/>
          <w:szCs w:val="24"/>
        </w:rPr>
        <w:t xml:space="preserve">A 67 year old male with past medical history of hypertension, diabetes mellitus, coronary artery disease status post coronary artery bypass, ischemic heart failure with an ejection fraction of 25% with biventricular pacemaker presented to a local hospital with complaints of left sided weakness in both his upper and lower extremities that quickly progressed to bilateral lower extremity weakness with frequent falls. He was transferred to </w:t>
      </w:r>
      <w:bookmarkStart w:id="38" w:name="OLE_LINK454"/>
      <w:bookmarkStart w:id="39" w:name="OLE_LINK455"/>
      <w:r w:rsidRPr="00637759">
        <w:rPr>
          <w:rFonts w:ascii="Book Antiqua" w:hAnsi="Book Antiqua" w:cs="Book Antiqua"/>
          <w:sz w:val="24"/>
          <w:szCs w:val="24"/>
        </w:rPr>
        <w:t xml:space="preserve">our </w:t>
      </w:r>
      <w:bookmarkEnd w:id="38"/>
      <w:bookmarkEnd w:id="39"/>
      <w:r w:rsidRPr="00637759">
        <w:rPr>
          <w:rFonts w:ascii="Book Antiqua" w:hAnsi="Book Antiqua" w:cs="Book Antiqua"/>
          <w:sz w:val="24"/>
          <w:szCs w:val="24"/>
        </w:rPr>
        <w:t>intensive care unit with a platelet of 14</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 xml:space="preserve">000, a creatinine of 7.8, and a diagnosis of acute stroke. His home medications included aspirin, plavix, lisinopril, spironolactone, atorvastatin, glargine and aspart insulin. His home antiplatelet therapy was held on arrival due to his thrombocytopenia and drop in hemoglobin of 7.9 from a baseline of 11.  Cardiac markers were positive with a peak troponin of 25.0, a </w:t>
      </w:r>
      <w:bookmarkStart w:id="40" w:name="OLE_LINK456"/>
      <w:bookmarkStart w:id="41" w:name="OLE_LINK457"/>
      <w:r w:rsidRPr="00637759">
        <w:rPr>
          <w:rFonts w:ascii="Book Antiqua" w:hAnsi="Book Antiqua" w:cs="Book Antiqua"/>
          <w:sz w:val="24"/>
          <w:szCs w:val="24"/>
        </w:rPr>
        <w:t>creatine kinase MB</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 xml:space="preserve">of 30 </w:t>
      </w:r>
      <w:bookmarkEnd w:id="40"/>
      <w:bookmarkEnd w:id="41"/>
      <w:r w:rsidRPr="00637759">
        <w:rPr>
          <w:rFonts w:ascii="Book Antiqua" w:hAnsi="Book Antiqua" w:cs="Book Antiqua"/>
          <w:sz w:val="24"/>
          <w:szCs w:val="24"/>
        </w:rPr>
        <w:t>and an index of 4.6. A ventricular paced rhythm was</w:t>
      </w:r>
      <w:bookmarkStart w:id="42" w:name="OLE_LINK458"/>
      <w:bookmarkStart w:id="43" w:name="OLE_LINK459"/>
      <w:r w:rsidRPr="00637759">
        <w:rPr>
          <w:rFonts w:ascii="Book Antiqua" w:hAnsi="Book Antiqua" w:cs="Book Antiqua"/>
          <w:sz w:val="24"/>
          <w:szCs w:val="24"/>
        </w:rPr>
        <w:t xml:space="preserve"> observed on </w:t>
      </w:r>
      <w:bookmarkEnd w:id="42"/>
      <w:bookmarkEnd w:id="43"/>
      <w:r w:rsidRPr="00637759">
        <w:rPr>
          <w:rFonts w:ascii="Book Antiqua" w:hAnsi="Book Antiqua" w:cs="Book Antiqua"/>
          <w:sz w:val="24"/>
          <w:szCs w:val="24"/>
        </w:rPr>
        <w:t>electrocardiographic. Patient had denied any recent illness, and no prior medical history of autoimmune disease,</w:t>
      </w:r>
      <w:bookmarkStart w:id="44" w:name="OLE_LINK460"/>
      <w:bookmarkStart w:id="45" w:name="OLE_LINK461"/>
      <w:r w:rsidRPr="00637759">
        <w:rPr>
          <w:rFonts w:ascii="Book Antiqua" w:hAnsi="Book Antiqua" w:cs="Book Antiqua"/>
          <w:sz w:val="24"/>
          <w:szCs w:val="24"/>
        </w:rPr>
        <w:t xml:space="preserve"> human immunodeficiency virus, or malignancies</w:t>
      </w:r>
      <w:bookmarkEnd w:id="44"/>
      <w:bookmarkEnd w:id="45"/>
      <w:r w:rsidRPr="00637759">
        <w:rPr>
          <w:rFonts w:ascii="Book Antiqua" w:hAnsi="Book Antiqua" w:cs="Book Antiqua"/>
          <w:sz w:val="24"/>
          <w:szCs w:val="24"/>
        </w:rPr>
        <w:t xml:space="preserve">. However, he claims of being started on plavix two weeks earlier for known coronary disease. Peripheral blood smear showed schistocytes, </w:t>
      </w:r>
      <w:bookmarkStart w:id="46" w:name="OLE_LINK466"/>
      <w:bookmarkStart w:id="47" w:name="OLE_LINK467"/>
      <w:r w:rsidRPr="00637759">
        <w:rPr>
          <w:rFonts w:ascii="Book Antiqua" w:hAnsi="Book Antiqua" w:cs="Book Antiqua"/>
          <w:sz w:val="24"/>
          <w:szCs w:val="24"/>
        </w:rPr>
        <w:t>lactic dehydrogenase was found to be</w:t>
      </w:r>
      <w:bookmarkEnd w:id="46"/>
      <w:bookmarkEnd w:id="47"/>
      <w:r w:rsidRPr="00637759">
        <w:rPr>
          <w:rFonts w:ascii="Book Antiqua" w:hAnsi="Book Antiqua" w:cs="Book Antiqua"/>
          <w:sz w:val="24"/>
          <w:szCs w:val="24"/>
        </w:rPr>
        <w:t xml:space="preserve"> 1182 and haptoglobin was 2, thus suggesting microangiopathic hemolytic anemia. ADAMTS-13 was less than 5%, complement C3 was decreased slightly at 85 and C4 was normal at 16, thus supporting TTP.  Further Coombs testing was not done. </w:t>
      </w:r>
      <w:bookmarkStart w:id="48" w:name="OLE_LINK462"/>
      <w:bookmarkStart w:id="49" w:name="OLE_LINK463"/>
      <w:r w:rsidRPr="00637759">
        <w:rPr>
          <w:rFonts w:ascii="Book Antiqua" w:hAnsi="Book Antiqua" w:cs="Book Antiqua"/>
          <w:sz w:val="24"/>
          <w:szCs w:val="24"/>
        </w:rPr>
        <w:t>Prothrombin time</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was 11.2, partial thromboplastin time w</w:t>
      </w:r>
      <w:bookmarkEnd w:id="48"/>
      <w:bookmarkEnd w:id="49"/>
      <w:r w:rsidRPr="00637759">
        <w:rPr>
          <w:rFonts w:ascii="Book Antiqua" w:hAnsi="Book Antiqua" w:cs="Book Antiqua"/>
          <w:sz w:val="24"/>
          <w:szCs w:val="24"/>
        </w:rPr>
        <w:t xml:space="preserve">as 30 and fibrinogen was 397, which did not support disseminated intravascular coagulation. Patient was immediately started on IV methylprednisolone 40 mg </w:t>
      </w:r>
      <w:r w:rsidRPr="00637759">
        <w:rPr>
          <w:rFonts w:ascii="Book Antiqua" w:hAnsi="Book Antiqua" w:cs="Book Antiqua"/>
          <w:i/>
          <w:iCs/>
          <w:sz w:val="24"/>
          <w:szCs w:val="24"/>
        </w:rPr>
        <w:t>iv</w:t>
      </w:r>
      <w:r w:rsidRPr="00637759">
        <w:rPr>
          <w:rFonts w:ascii="Book Antiqua" w:hAnsi="Book Antiqua" w:cs="Book Antiqua"/>
          <w:sz w:val="24"/>
          <w:szCs w:val="24"/>
        </w:rPr>
        <w:t xml:space="preserve"> on day one for TTP, and he subsequently received 4 d of plasmapheresis with dramatic improvement in his platelet count and hemaglobin (Figure 1). He never had chest pain or dyspnea and was always hemodynamically </w:t>
      </w:r>
      <w:r w:rsidRPr="00637759">
        <w:rPr>
          <w:rFonts w:ascii="Book Antiqua" w:hAnsi="Book Antiqua" w:cs="Book Antiqua"/>
          <w:sz w:val="24"/>
          <w:szCs w:val="24"/>
        </w:rPr>
        <w:lastRenderedPageBreak/>
        <w:t xml:space="preserve">stable. As his cardiac enzymes normalized with the onset of TTP treatment, no further intervention was done. With no further residual weakness and normal labs, our patient was discharged home on </w:t>
      </w:r>
      <w:bookmarkStart w:id="50" w:name="OLE_LINK464"/>
      <w:bookmarkStart w:id="51" w:name="OLE_LINK465"/>
      <w:r w:rsidRPr="00637759">
        <w:rPr>
          <w:rFonts w:ascii="Book Antiqua" w:hAnsi="Book Antiqua" w:cs="Book Antiqua"/>
          <w:sz w:val="24"/>
          <w:szCs w:val="24"/>
        </w:rPr>
        <w:t>PO prednisone</w:t>
      </w:r>
      <w:bookmarkEnd w:id="50"/>
      <w:bookmarkEnd w:id="51"/>
      <w:r w:rsidRPr="00637759">
        <w:rPr>
          <w:rFonts w:ascii="Book Antiqua" w:hAnsi="Book Antiqua" w:cs="Book Antiqua"/>
          <w:sz w:val="24"/>
          <w:szCs w:val="24"/>
        </w:rPr>
        <w:t xml:space="preserve">.      </w:t>
      </w:r>
    </w:p>
    <w:p w:rsidR="002E64BF" w:rsidRPr="00637759" w:rsidRDefault="002E64BF" w:rsidP="00F6270E">
      <w:pPr>
        <w:snapToGrid w:val="0"/>
        <w:spacing w:after="0" w:line="360" w:lineRule="auto"/>
        <w:jc w:val="both"/>
        <w:rPr>
          <w:rFonts w:ascii="Book Antiqua" w:hAnsi="Book Antiqua" w:cs="Book Antiqua"/>
          <w:b/>
          <w:bCs/>
          <w:sz w:val="24"/>
          <w:szCs w:val="24"/>
        </w:rPr>
      </w:pPr>
    </w:p>
    <w:p w:rsidR="002E64BF" w:rsidRPr="00637759" w:rsidRDefault="002E64BF" w:rsidP="00F6270E">
      <w:pPr>
        <w:snapToGrid w:val="0"/>
        <w:spacing w:after="0" w:line="360" w:lineRule="auto"/>
        <w:jc w:val="both"/>
        <w:rPr>
          <w:rFonts w:ascii="Book Antiqua" w:hAnsi="Book Antiqua" w:cs="Book Antiqua"/>
          <w:b/>
          <w:bCs/>
          <w:sz w:val="24"/>
          <w:szCs w:val="24"/>
        </w:rPr>
      </w:pPr>
      <w:r w:rsidRPr="00637759">
        <w:rPr>
          <w:rFonts w:ascii="Book Antiqua" w:hAnsi="Book Antiqua" w:cs="Book Antiqua"/>
          <w:b/>
          <w:bCs/>
          <w:sz w:val="24"/>
          <w:szCs w:val="24"/>
        </w:rPr>
        <w:t>DISCUSSION</w:t>
      </w:r>
    </w:p>
    <w:p w:rsidR="002E64BF" w:rsidRPr="00637759" w:rsidRDefault="002E64BF" w:rsidP="00F6270E">
      <w:pPr>
        <w:snapToGrid w:val="0"/>
        <w:spacing w:after="0" w:line="360" w:lineRule="auto"/>
        <w:jc w:val="both"/>
        <w:rPr>
          <w:rFonts w:ascii="Book Antiqua" w:hAnsi="Book Antiqua" w:cs="Book Antiqua"/>
          <w:sz w:val="24"/>
          <w:szCs w:val="24"/>
        </w:rPr>
      </w:pPr>
      <w:r w:rsidRPr="00637759">
        <w:rPr>
          <w:rFonts w:ascii="Book Antiqua" w:hAnsi="Book Antiqua" w:cs="Book Antiqua"/>
          <w:sz w:val="24"/>
          <w:szCs w:val="24"/>
        </w:rPr>
        <w:t>TTP was first described in 1924 (Moschcowitz syndrome) as a “pathologic alteration of the microvasculature, with detachment or swelling of the endothelium, amorphous material in the sub-endothelial space, and luminal platelet aggregation leading to compromise of the microcirculation.” There are two types: (1) Familial type (Upshaw-Schulman syndrome), which is rare, occurring in early childhood, and chronically relapsing but self-limiting</w:t>
      </w:r>
      <w:r w:rsidRPr="00637759">
        <w:rPr>
          <w:rFonts w:ascii="Book Antiqua" w:hAnsi="Book Antiqua" w:cs="Book Antiqua"/>
          <w:sz w:val="24"/>
          <w:szCs w:val="24"/>
          <w:lang w:eastAsia="zh-CN"/>
        </w:rPr>
        <w:t>;</w:t>
      </w:r>
      <w:r w:rsidRPr="00637759">
        <w:rPr>
          <w:rFonts w:ascii="Book Antiqua" w:hAnsi="Book Antiqua" w:cs="Book Antiqua"/>
          <w:sz w:val="24"/>
          <w:szCs w:val="24"/>
        </w:rPr>
        <w:t xml:space="preserve"> (2) Sporadic or acquired type, which covers the majority of the cases</w:t>
      </w:r>
      <w:r w:rsidRPr="00637759">
        <w:rPr>
          <w:rFonts w:ascii="Book Antiqua" w:hAnsi="Book Antiqua" w:cs="Book Antiqua"/>
          <w:sz w:val="24"/>
          <w:szCs w:val="24"/>
          <w:vertAlign w:val="superscript"/>
        </w:rPr>
        <w:t>[3]</w:t>
      </w:r>
      <w:r w:rsidRPr="00637759">
        <w:rPr>
          <w:rFonts w:ascii="Book Antiqua" w:hAnsi="Book Antiqua" w:cs="Book Antiqua"/>
          <w:sz w:val="24"/>
          <w:szCs w:val="24"/>
        </w:rPr>
        <w:t>.  Clopidogrel induced TTP occurs at a rate of about four per million patients taking the medication with a mortality rate of 10%-20%, and is 15 times more likely to occur within the first 2 wk of drug use</w:t>
      </w:r>
      <w:r w:rsidRPr="00637759">
        <w:rPr>
          <w:rFonts w:ascii="Book Antiqua" w:hAnsi="Book Antiqua" w:cs="Book Antiqua"/>
          <w:sz w:val="24"/>
          <w:szCs w:val="24"/>
          <w:vertAlign w:val="superscript"/>
        </w:rPr>
        <w:t>[4,5]</w:t>
      </w:r>
      <w:r w:rsidRPr="00637759">
        <w:rPr>
          <w:rFonts w:ascii="Book Antiqua" w:hAnsi="Book Antiqua" w:cs="Book Antiqua"/>
          <w:sz w:val="24"/>
          <w:szCs w:val="24"/>
        </w:rPr>
        <w:t>. Complications include severe thrombocytopenia, hemolytic anemia, fluctuating or focal neuro-deficits from</w:t>
      </w:r>
      <w:bookmarkStart w:id="52" w:name="OLE_LINK468"/>
      <w:bookmarkStart w:id="53" w:name="OLE_LINK469"/>
      <w:r w:rsidRPr="00637759">
        <w:rPr>
          <w:rFonts w:ascii="Book Antiqua" w:hAnsi="Book Antiqua" w:cs="Book Antiqua"/>
          <w:sz w:val="24"/>
          <w:szCs w:val="24"/>
        </w:rPr>
        <w:t xml:space="preserve"> central nervous system ischemia</w:t>
      </w:r>
      <w:bookmarkEnd w:id="52"/>
      <w:bookmarkEnd w:id="53"/>
      <w:r w:rsidRPr="00637759">
        <w:rPr>
          <w:rFonts w:ascii="Book Antiqua" w:hAnsi="Book Antiqua" w:cs="Book Antiqua"/>
          <w:sz w:val="24"/>
          <w:szCs w:val="24"/>
        </w:rPr>
        <w:t xml:space="preserve">, renal failure and fever. </w:t>
      </w:r>
      <w:bookmarkStart w:id="54" w:name="OLE_LINK470"/>
      <w:bookmarkStart w:id="55" w:name="OLE_LINK471"/>
      <w:r w:rsidRPr="00637759">
        <w:rPr>
          <w:rFonts w:ascii="Book Antiqua" w:hAnsi="Book Antiqua" w:cs="Book Antiqua"/>
          <w:sz w:val="24"/>
          <w:szCs w:val="24"/>
        </w:rPr>
        <w:t>Von Willebrand factor (vWF)</w:t>
      </w:r>
      <w:bookmarkEnd w:id="54"/>
      <w:bookmarkEnd w:id="55"/>
      <w:r w:rsidRPr="00637759">
        <w:rPr>
          <w:rFonts w:ascii="Book Antiqua" w:hAnsi="Book Antiqua" w:cs="Book Antiqua"/>
          <w:sz w:val="24"/>
          <w:szCs w:val="24"/>
        </w:rPr>
        <w:t xml:space="preserve"> plays a role in platelet-platelet and platelet-endothelial cell interactions. Large von Willebrand Factor multimers are the most potent in platelet clumping, and are constantly secreted from endothelial cells. ADAMTS-13 is a naturally occurring protease that acts to cleave these large vWF multimers, thus preventing uncontrolled platelet aggregation.  Ticlopidine induced TTP has been highly associated with autoimmune induced reduction in ADAMTS-13 activity. These findings, to a lesser extent, have also been found in clopidogrel induced TTP. Our patient had severely low ADAMTS activity level of &lt;</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5% (normal is &gt;</w:t>
      </w:r>
      <w:r w:rsidRPr="00637759">
        <w:rPr>
          <w:rFonts w:ascii="Book Antiqua" w:hAnsi="Book Antiqua" w:cs="Book Antiqua"/>
          <w:sz w:val="24"/>
          <w:szCs w:val="24"/>
          <w:lang w:eastAsia="zh-CN"/>
        </w:rPr>
        <w:t xml:space="preserve"> </w:t>
      </w:r>
      <w:r w:rsidRPr="00637759">
        <w:rPr>
          <w:rFonts w:ascii="Book Antiqua" w:hAnsi="Book Antiqua" w:cs="Book Antiqua"/>
          <w:sz w:val="24"/>
          <w:szCs w:val="24"/>
        </w:rPr>
        <w:t>66%). Thus, treatment with steroids, and plasma exchange has been very effective</w:t>
      </w:r>
      <w:r w:rsidRPr="00637759">
        <w:rPr>
          <w:rFonts w:ascii="Book Antiqua" w:hAnsi="Book Antiqua" w:cs="Book Antiqua"/>
          <w:sz w:val="24"/>
          <w:szCs w:val="24"/>
          <w:vertAlign w:val="superscript"/>
        </w:rPr>
        <w:t>[5</w:t>
      </w:r>
      <w:r w:rsidRPr="00637759">
        <w:rPr>
          <w:rFonts w:ascii="Book Antiqua" w:hAnsi="Book Antiqua" w:cs="Book Antiqua"/>
          <w:sz w:val="24"/>
          <w:szCs w:val="24"/>
          <w:vertAlign w:val="superscript"/>
          <w:lang w:eastAsia="zh-CN"/>
        </w:rPr>
        <w:t>-</w:t>
      </w:r>
      <w:r w:rsidRPr="00637759">
        <w:rPr>
          <w:rFonts w:ascii="Book Antiqua" w:hAnsi="Book Antiqua" w:cs="Book Antiqua"/>
          <w:sz w:val="24"/>
          <w:szCs w:val="24"/>
          <w:vertAlign w:val="superscript"/>
        </w:rPr>
        <w:t>9]</w:t>
      </w:r>
      <w:r w:rsidRPr="00637759">
        <w:rPr>
          <w:rFonts w:ascii="Book Antiqua" w:hAnsi="Book Antiqua" w:cs="Book Antiqua"/>
          <w:sz w:val="24"/>
          <w:szCs w:val="24"/>
        </w:rPr>
        <w:t>. Prompt recognition of this disease is important to survival. Therapeutic plasma exchange initiated within 3 d of TTP onset significantly increases survival. Delay in therapy will not only increase mortality, but also rate of relapse. Our patient responded appropriately after 4 cycles of plasma exchange.</w:t>
      </w:r>
    </w:p>
    <w:p w:rsidR="002E64BF" w:rsidRPr="00637759" w:rsidRDefault="002E64BF" w:rsidP="00F6270E">
      <w:pPr>
        <w:snapToGrid w:val="0"/>
        <w:spacing w:after="0" w:line="360" w:lineRule="auto"/>
        <w:jc w:val="both"/>
        <w:rPr>
          <w:rFonts w:ascii="Book Antiqua" w:hAnsi="Book Antiqua" w:cs="Book Antiqua"/>
          <w:sz w:val="24"/>
          <w:szCs w:val="24"/>
        </w:rPr>
      </w:pPr>
    </w:p>
    <w:p w:rsidR="002E64BF" w:rsidRPr="00637759" w:rsidRDefault="002E64BF" w:rsidP="00F6270E">
      <w:pPr>
        <w:snapToGrid w:val="0"/>
        <w:spacing w:after="0" w:line="360" w:lineRule="auto"/>
        <w:jc w:val="both"/>
        <w:rPr>
          <w:rFonts w:ascii="Book Antiqua" w:hAnsi="Book Antiqua" w:cs="Book Antiqua"/>
          <w:b/>
          <w:bCs/>
          <w:sz w:val="24"/>
          <w:szCs w:val="24"/>
          <w:lang w:eastAsia="zh-CN"/>
        </w:rPr>
      </w:pPr>
      <w:r w:rsidRPr="00637759">
        <w:rPr>
          <w:rFonts w:ascii="Book Antiqua" w:hAnsi="Book Antiqua" w:cs="Book Antiqua"/>
          <w:b/>
          <w:bCs/>
          <w:sz w:val="24"/>
          <w:szCs w:val="24"/>
        </w:rPr>
        <w:lastRenderedPageBreak/>
        <w:t xml:space="preserve">REFERENCES  </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1 </w:t>
      </w:r>
      <w:r w:rsidRPr="00637759">
        <w:rPr>
          <w:rFonts w:ascii="Book Antiqua" w:hAnsi="Book Antiqua" w:cs="Book Antiqua"/>
          <w:b/>
          <w:bCs/>
          <w:sz w:val="24"/>
          <w:szCs w:val="24"/>
          <w:lang w:eastAsia="zh-CN"/>
        </w:rPr>
        <w:t>Patel H,</w:t>
      </w:r>
      <w:r w:rsidRPr="00637759">
        <w:rPr>
          <w:rFonts w:ascii="Book Antiqua" w:hAnsi="Book Antiqua" w:cs="Book Antiqua"/>
          <w:sz w:val="24"/>
          <w:szCs w:val="24"/>
          <w:lang w:eastAsia="zh-CN"/>
        </w:rPr>
        <w:t xml:space="preserve"> Bress A, Shroff A. Personalizing Oral Antiplatelet Therapy in PCI. Cardiac Interventions Today. October 2012. Available from URL: http: //bmctoday.net/citoday/2012/10/article.asp?f=personalizing-oral-antiplatelet-therapy-in-pci</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2 </w:t>
      </w:r>
      <w:r w:rsidRPr="00637759">
        <w:rPr>
          <w:rFonts w:ascii="Book Antiqua" w:hAnsi="Book Antiqua" w:cs="Book Antiqua"/>
          <w:b/>
          <w:bCs/>
          <w:sz w:val="24"/>
          <w:szCs w:val="24"/>
          <w:lang w:eastAsia="zh-CN"/>
        </w:rPr>
        <w:t>Berger PB</w:t>
      </w:r>
      <w:r w:rsidRPr="00637759">
        <w:rPr>
          <w:rFonts w:ascii="Book Antiqua" w:hAnsi="Book Antiqua" w:cs="Book Antiqua"/>
          <w:sz w:val="24"/>
          <w:szCs w:val="24"/>
          <w:lang w:eastAsia="zh-CN"/>
        </w:rPr>
        <w:t xml:space="preserve">, Bell MR, Rihal CS, Ting H, Barsness G, Garratt K, Bellot V, Mathew V, Melby S, Hammes L, Grill D, Holmes DR. Clopidogrel versus ticlopidine after intracoronary stent placement. </w:t>
      </w:r>
      <w:r w:rsidRPr="00637759">
        <w:rPr>
          <w:rFonts w:ascii="Book Antiqua" w:hAnsi="Book Antiqua" w:cs="Book Antiqua"/>
          <w:i/>
          <w:iCs/>
          <w:sz w:val="24"/>
          <w:szCs w:val="24"/>
          <w:lang w:eastAsia="zh-CN"/>
        </w:rPr>
        <w:t>J Am Coll Cardiol</w:t>
      </w:r>
      <w:r w:rsidRPr="00637759">
        <w:rPr>
          <w:rFonts w:ascii="Book Antiqua" w:hAnsi="Book Antiqua" w:cs="Book Antiqua"/>
          <w:sz w:val="24"/>
          <w:szCs w:val="24"/>
          <w:lang w:eastAsia="zh-CN"/>
        </w:rPr>
        <w:t xml:space="preserve"> 1999; </w:t>
      </w:r>
      <w:r w:rsidRPr="00637759">
        <w:rPr>
          <w:rFonts w:ascii="Book Antiqua" w:hAnsi="Book Antiqua" w:cs="Book Antiqua"/>
          <w:b/>
          <w:bCs/>
          <w:sz w:val="24"/>
          <w:szCs w:val="24"/>
          <w:lang w:eastAsia="zh-CN"/>
        </w:rPr>
        <w:t>34</w:t>
      </w:r>
      <w:r w:rsidRPr="00637759">
        <w:rPr>
          <w:rFonts w:ascii="Book Antiqua" w:hAnsi="Book Antiqua" w:cs="Book Antiqua"/>
          <w:sz w:val="24"/>
          <w:szCs w:val="24"/>
          <w:lang w:eastAsia="zh-CN"/>
        </w:rPr>
        <w:t>: 1891-1894 [PMID: 10588199 DOI: 10.1016/S0735-1097(99)00442-8]</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3 </w:t>
      </w:r>
      <w:r w:rsidRPr="00637759">
        <w:rPr>
          <w:rFonts w:ascii="Book Antiqua" w:hAnsi="Book Antiqua" w:cs="Book Antiqua"/>
          <w:b/>
          <w:bCs/>
          <w:sz w:val="24"/>
          <w:szCs w:val="24"/>
          <w:lang w:eastAsia="zh-CN"/>
        </w:rPr>
        <w:t>Wood AJ</w:t>
      </w:r>
      <w:r w:rsidRPr="00637759">
        <w:rPr>
          <w:rFonts w:ascii="Book Antiqua" w:hAnsi="Book Antiqua" w:cs="Book Antiqua"/>
          <w:sz w:val="24"/>
          <w:szCs w:val="24"/>
          <w:lang w:eastAsia="zh-CN"/>
        </w:rPr>
        <w:t xml:space="preserve">. Thrombotic thrombocytopenic purpura and clopidogrel--a need for new approaches to drug safety. </w:t>
      </w:r>
      <w:r w:rsidRPr="00637759">
        <w:rPr>
          <w:rFonts w:ascii="Book Antiqua" w:hAnsi="Book Antiqua" w:cs="Book Antiqua"/>
          <w:i/>
          <w:iCs/>
          <w:sz w:val="24"/>
          <w:szCs w:val="24"/>
          <w:lang w:eastAsia="zh-CN"/>
        </w:rPr>
        <w:t>N Engl J Med</w:t>
      </w:r>
      <w:r w:rsidRPr="00637759">
        <w:rPr>
          <w:rFonts w:ascii="Book Antiqua" w:hAnsi="Book Antiqua" w:cs="Book Antiqua"/>
          <w:sz w:val="24"/>
          <w:szCs w:val="24"/>
          <w:lang w:eastAsia="zh-CN"/>
        </w:rPr>
        <w:t xml:space="preserve"> 2000; </w:t>
      </w:r>
      <w:r w:rsidRPr="00637759">
        <w:rPr>
          <w:rFonts w:ascii="Book Antiqua" w:hAnsi="Book Antiqua" w:cs="Book Antiqua"/>
          <w:b/>
          <w:bCs/>
          <w:sz w:val="24"/>
          <w:szCs w:val="24"/>
          <w:lang w:eastAsia="zh-CN"/>
        </w:rPr>
        <w:t>342</w:t>
      </w:r>
      <w:r w:rsidRPr="00637759">
        <w:rPr>
          <w:rFonts w:ascii="Book Antiqua" w:hAnsi="Book Antiqua" w:cs="Book Antiqua"/>
          <w:sz w:val="24"/>
          <w:szCs w:val="24"/>
          <w:lang w:eastAsia="zh-CN"/>
        </w:rPr>
        <w:t>: 1824-1826 [PMID: 10853007 DOI: 10.1056/NEJM200006153422410]</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4 </w:t>
      </w:r>
      <w:r w:rsidRPr="00637759">
        <w:rPr>
          <w:rFonts w:ascii="Book Antiqua" w:hAnsi="Book Antiqua" w:cs="Book Antiqua"/>
          <w:b/>
          <w:bCs/>
          <w:sz w:val="24"/>
          <w:szCs w:val="24"/>
          <w:lang w:eastAsia="zh-CN"/>
        </w:rPr>
        <w:t>Tsai HM</w:t>
      </w:r>
      <w:r w:rsidRPr="00637759">
        <w:rPr>
          <w:rFonts w:ascii="Book Antiqua" w:hAnsi="Book Antiqua" w:cs="Book Antiqua"/>
          <w:sz w:val="24"/>
          <w:szCs w:val="24"/>
          <w:lang w:eastAsia="zh-CN"/>
        </w:rPr>
        <w:t xml:space="preserve">, Rice L, Sarode R, Chow TW, Moake JL. Antibody inhibitors to von Willebrand factor metalloproteinase and increased binding of von Willebrand factor to platelets in ticlopidine-associated thrombotic thrombocytopenic purpura. </w:t>
      </w:r>
      <w:r w:rsidRPr="00637759">
        <w:rPr>
          <w:rFonts w:ascii="Book Antiqua" w:hAnsi="Book Antiqua" w:cs="Book Antiqua"/>
          <w:i/>
          <w:iCs/>
          <w:sz w:val="24"/>
          <w:szCs w:val="24"/>
          <w:lang w:eastAsia="zh-CN"/>
        </w:rPr>
        <w:t>Ann Intern Med</w:t>
      </w:r>
      <w:r w:rsidRPr="00637759">
        <w:rPr>
          <w:rFonts w:ascii="Book Antiqua" w:hAnsi="Book Antiqua" w:cs="Book Antiqua"/>
          <w:sz w:val="24"/>
          <w:szCs w:val="24"/>
          <w:lang w:eastAsia="zh-CN"/>
        </w:rPr>
        <w:t xml:space="preserve"> 2000; </w:t>
      </w:r>
      <w:r w:rsidRPr="00637759">
        <w:rPr>
          <w:rFonts w:ascii="Book Antiqua" w:hAnsi="Book Antiqua" w:cs="Book Antiqua"/>
          <w:b/>
          <w:bCs/>
          <w:sz w:val="24"/>
          <w:szCs w:val="24"/>
          <w:lang w:eastAsia="zh-CN"/>
        </w:rPr>
        <w:t>132</w:t>
      </w:r>
      <w:r w:rsidRPr="00637759">
        <w:rPr>
          <w:rFonts w:ascii="Book Antiqua" w:hAnsi="Book Antiqua" w:cs="Book Antiqua"/>
          <w:sz w:val="24"/>
          <w:szCs w:val="24"/>
          <w:lang w:eastAsia="zh-CN"/>
        </w:rPr>
        <w:t>: 794-799 [PMID: 10819702]</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5 </w:t>
      </w:r>
      <w:r w:rsidRPr="00637759">
        <w:rPr>
          <w:rFonts w:ascii="Book Antiqua" w:hAnsi="Book Antiqua" w:cs="Book Antiqua"/>
          <w:b/>
          <w:bCs/>
          <w:sz w:val="24"/>
          <w:szCs w:val="24"/>
          <w:lang w:eastAsia="zh-CN"/>
        </w:rPr>
        <w:t>Bennett CL</w:t>
      </w:r>
      <w:r w:rsidRPr="00637759">
        <w:rPr>
          <w:rFonts w:ascii="Book Antiqua" w:hAnsi="Book Antiqua" w:cs="Book Antiqua"/>
          <w:sz w:val="24"/>
          <w:szCs w:val="24"/>
          <w:lang w:eastAsia="zh-CN"/>
        </w:rPr>
        <w:t xml:space="preserve">, Weinberg PD, Rozenberg-Ben-Dror K, Yarnold PR, Kwaan HC, Green D. Thrombotic thrombocytopenic purpura associated with ticlopidine. A review of 60 cases. </w:t>
      </w:r>
      <w:r w:rsidRPr="00637759">
        <w:rPr>
          <w:rFonts w:ascii="Book Antiqua" w:hAnsi="Book Antiqua" w:cs="Book Antiqua"/>
          <w:i/>
          <w:iCs/>
          <w:sz w:val="24"/>
          <w:szCs w:val="24"/>
          <w:lang w:eastAsia="zh-CN"/>
        </w:rPr>
        <w:t>Ann Intern Med</w:t>
      </w:r>
      <w:r w:rsidRPr="00637759">
        <w:rPr>
          <w:rFonts w:ascii="Book Antiqua" w:hAnsi="Book Antiqua" w:cs="Book Antiqua"/>
          <w:sz w:val="24"/>
          <w:szCs w:val="24"/>
          <w:lang w:eastAsia="zh-CN"/>
        </w:rPr>
        <w:t xml:space="preserve"> 1998; </w:t>
      </w:r>
      <w:r w:rsidRPr="00637759">
        <w:rPr>
          <w:rFonts w:ascii="Book Antiqua" w:hAnsi="Book Antiqua" w:cs="Book Antiqua"/>
          <w:b/>
          <w:bCs/>
          <w:sz w:val="24"/>
          <w:szCs w:val="24"/>
          <w:lang w:eastAsia="zh-CN"/>
        </w:rPr>
        <w:t>128</w:t>
      </w:r>
      <w:r w:rsidRPr="00637759">
        <w:rPr>
          <w:rFonts w:ascii="Book Antiqua" w:hAnsi="Book Antiqua" w:cs="Book Antiqua"/>
          <w:sz w:val="24"/>
          <w:szCs w:val="24"/>
          <w:lang w:eastAsia="zh-CN"/>
        </w:rPr>
        <w:t>: 541-544 [PMID: 9518398]</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6 </w:t>
      </w:r>
      <w:r w:rsidRPr="00637759">
        <w:rPr>
          <w:rFonts w:ascii="Book Antiqua" w:hAnsi="Book Antiqua" w:cs="Book Antiqua"/>
          <w:b/>
          <w:bCs/>
          <w:sz w:val="24"/>
          <w:szCs w:val="24"/>
          <w:lang w:eastAsia="zh-CN"/>
        </w:rPr>
        <w:t>Steinhubl SR</w:t>
      </w:r>
      <w:r w:rsidRPr="00637759">
        <w:rPr>
          <w:rFonts w:ascii="Book Antiqua" w:hAnsi="Book Antiqua" w:cs="Book Antiqua"/>
          <w:sz w:val="24"/>
          <w:szCs w:val="24"/>
          <w:lang w:eastAsia="zh-CN"/>
        </w:rPr>
        <w:t xml:space="preserve">, Tan WA, Foody JM, Topol EJ. Incidence and clinical course of thrombotic thrombocytopenic purpura due to ticlopidine following coronary stenting. EPISTENT Investigators. Evaluation of Platelet IIb/IIIa Inhibitor for Stenting. </w:t>
      </w:r>
      <w:r w:rsidRPr="00637759">
        <w:rPr>
          <w:rFonts w:ascii="Book Antiqua" w:hAnsi="Book Antiqua" w:cs="Book Antiqua"/>
          <w:i/>
          <w:iCs/>
          <w:sz w:val="24"/>
          <w:szCs w:val="24"/>
          <w:lang w:eastAsia="zh-CN"/>
        </w:rPr>
        <w:t>JAMA</w:t>
      </w:r>
      <w:r w:rsidRPr="00637759">
        <w:rPr>
          <w:rFonts w:ascii="Book Antiqua" w:hAnsi="Book Antiqua" w:cs="Book Antiqua"/>
          <w:sz w:val="24"/>
          <w:szCs w:val="24"/>
          <w:lang w:eastAsia="zh-CN"/>
        </w:rPr>
        <w:t xml:space="preserve"> 1999; </w:t>
      </w:r>
      <w:r w:rsidRPr="00637759">
        <w:rPr>
          <w:rFonts w:ascii="Book Antiqua" w:hAnsi="Book Antiqua" w:cs="Book Antiqua"/>
          <w:b/>
          <w:bCs/>
          <w:sz w:val="24"/>
          <w:szCs w:val="24"/>
          <w:lang w:eastAsia="zh-CN"/>
        </w:rPr>
        <w:t>281</w:t>
      </w:r>
      <w:r w:rsidRPr="00637759">
        <w:rPr>
          <w:rFonts w:ascii="Book Antiqua" w:hAnsi="Book Antiqua" w:cs="Book Antiqua"/>
          <w:sz w:val="24"/>
          <w:szCs w:val="24"/>
          <w:lang w:eastAsia="zh-CN"/>
        </w:rPr>
        <w:t>: 806-810 [PMID: 10071001 DOI: 10.1001/jama.281.9.806]</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7 </w:t>
      </w:r>
      <w:r w:rsidRPr="00637759">
        <w:rPr>
          <w:rFonts w:ascii="Book Antiqua" w:hAnsi="Book Antiqua" w:cs="Book Antiqua"/>
          <w:b/>
          <w:bCs/>
          <w:sz w:val="24"/>
          <w:szCs w:val="24"/>
          <w:lang w:eastAsia="zh-CN"/>
        </w:rPr>
        <w:t>Bennett CL</w:t>
      </w:r>
      <w:r w:rsidRPr="00637759">
        <w:rPr>
          <w:rFonts w:ascii="Book Antiqua" w:hAnsi="Book Antiqua" w:cs="Book Antiqua"/>
          <w:sz w:val="24"/>
          <w:szCs w:val="24"/>
          <w:lang w:eastAsia="zh-CN"/>
        </w:rPr>
        <w:t xml:space="preserve">, Connors JM, Carwile JM, Moake JL, Bell WR, Tarantolo SR, McCarthy LJ, Sarode R, Hatfield AJ, Feldman MD, Davidson CJ, Tsai HM. Thrombotic thrombocytopenic purpura associated with clopidogrel. </w:t>
      </w:r>
      <w:r w:rsidRPr="00637759">
        <w:rPr>
          <w:rFonts w:ascii="Book Antiqua" w:hAnsi="Book Antiqua" w:cs="Book Antiqua"/>
          <w:i/>
          <w:iCs/>
          <w:sz w:val="24"/>
          <w:szCs w:val="24"/>
          <w:lang w:eastAsia="zh-CN"/>
        </w:rPr>
        <w:t>N Engl J Med</w:t>
      </w:r>
      <w:r w:rsidRPr="00637759">
        <w:rPr>
          <w:rFonts w:ascii="Book Antiqua" w:hAnsi="Book Antiqua" w:cs="Book Antiqua"/>
          <w:sz w:val="24"/>
          <w:szCs w:val="24"/>
          <w:lang w:eastAsia="zh-CN"/>
        </w:rPr>
        <w:t xml:space="preserve"> 2000; </w:t>
      </w:r>
      <w:r w:rsidRPr="00637759">
        <w:rPr>
          <w:rFonts w:ascii="Book Antiqua" w:hAnsi="Book Antiqua" w:cs="Book Antiqua"/>
          <w:b/>
          <w:bCs/>
          <w:sz w:val="24"/>
          <w:szCs w:val="24"/>
          <w:lang w:eastAsia="zh-CN"/>
        </w:rPr>
        <w:t>342</w:t>
      </w:r>
      <w:r w:rsidRPr="00637759">
        <w:rPr>
          <w:rFonts w:ascii="Book Antiqua" w:hAnsi="Book Antiqua" w:cs="Book Antiqua"/>
          <w:sz w:val="24"/>
          <w:szCs w:val="24"/>
          <w:lang w:eastAsia="zh-CN"/>
        </w:rPr>
        <w:t>: 1773-1777 [PMID: 10852999 DOI: 10.1056/NEJM200006153422402]</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8 </w:t>
      </w:r>
      <w:r w:rsidRPr="00637759">
        <w:rPr>
          <w:rFonts w:ascii="Book Antiqua" w:hAnsi="Book Antiqua" w:cs="Book Antiqua"/>
          <w:b/>
          <w:bCs/>
          <w:sz w:val="24"/>
          <w:szCs w:val="24"/>
          <w:lang w:eastAsia="zh-CN"/>
        </w:rPr>
        <w:t>Majhail NS</w:t>
      </w:r>
      <w:r w:rsidRPr="00637759">
        <w:rPr>
          <w:rFonts w:ascii="Book Antiqua" w:hAnsi="Book Antiqua" w:cs="Book Antiqua"/>
          <w:sz w:val="24"/>
          <w:szCs w:val="24"/>
          <w:lang w:eastAsia="zh-CN"/>
        </w:rPr>
        <w:t xml:space="preserve">, Lichtin AE. Clopidogrel and thrombotic thrombocytopenic purpura: no clear case for causality. </w:t>
      </w:r>
      <w:r w:rsidRPr="00637759">
        <w:rPr>
          <w:rFonts w:ascii="Book Antiqua" w:hAnsi="Book Antiqua" w:cs="Book Antiqua"/>
          <w:i/>
          <w:iCs/>
          <w:sz w:val="24"/>
          <w:szCs w:val="24"/>
          <w:lang w:eastAsia="zh-CN"/>
        </w:rPr>
        <w:t>Cleve Clin J Med</w:t>
      </w:r>
      <w:r w:rsidRPr="00637759">
        <w:rPr>
          <w:rFonts w:ascii="Book Antiqua" w:hAnsi="Book Antiqua" w:cs="Book Antiqua"/>
          <w:sz w:val="24"/>
          <w:szCs w:val="24"/>
          <w:lang w:eastAsia="zh-CN"/>
        </w:rPr>
        <w:t xml:space="preserve"> 2003; </w:t>
      </w:r>
      <w:r w:rsidRPr="00637759">
        <w:rPr>
          <w:rFonts w:ascii="Book Antiqua" w:hAnsi="Book Antiqua" w:cs="Book Antiqua"/>
          <w:b/>
          <w:bCs/>
          <w:sz w:val="24"/>
          <w:szCs w:val="24"/>
          <w:lang w:eastAsia="zh-CN"/>
        </w:rPr>
        <w:t>70</w:t>
      </w:r>
      <w:r w:rsidRPr="00637759">
        <w:rPr>
          <w:rFonts w:ascii="Book Antiqua" w:hAnsi="Book Antiqua" w:cs="Book Antiqua"/>
          <w:sz w:val="24"/>
          <w:szCs w:val="24"/>
          <w:lang w:eastAsia="zh-CN"/>
        </w:rPr>
        <w:t>: 466-470 [PMID: 12779137 DOI: 10.3949/ccjm.70.5.466]</w:t>
      </w:r>
    </w:p>
    <w:p w:rsidR="002E64BF" w:rsidRPr="00637759" w:rsidRDefault="002E64BF" w:rsidP="00637759">
      <w:pPr>
        <w:spacing w:after="0" w:line="240" w:lineRule="auto"/>
        <w:rPr>
          <w:rFonts w:ascii="Book Antiqua" w:hAnsi="Book Antiqua" w:cs="Book Antiqua"/>
          <w:sz w:val="24"/>
          <w:szCs w:val="24"/>
          <w:lang w:eastAsia="zh-CN"/>
        </w:rPr>
      </w:pPr>
      <w:r w:rsidRPr="00637759">
        <w:rPr>
          <w:rFonts w:ascii="Book Antiqua" w:hAnsi="Book Antiqua" w:cs="Book Antiqua"/>
          <w:sz w:val="24"/>
          <w:szCs w:val="24"/>
          <w:lang w:eastAsia="zh-CN"/>
        </w:rPr>
        <w:t xml:space="preserve">9 </w:t>
      </w:r>
      <w:r w:rsidRPr="00637759">
        <w:rPr>
          <w:rFonts w:ascii="Book Antiqua" w:hAnsi="Book Antiqua" w:cs="Book Antiqua"/>
          <w:b/>
          <w:bCs/>
          <w:sz w:val="24"/>
          <w:szCs w:val="24"/>
          <w:lang w:eastAsia="zh-CN"/>
        </w:rPr>
        <w:t>Bennett CL</w:t>
      </w:r>
      <w:r w:rsidRPr="00637759">
        <w:rPr>
          <w:rFonts w:ascii="Book Antiqua" w:hAnsi="Book Antiqua" w:cs="Book Antiqua"/>
          <w:sz w:val="24"/>
          <w:szCs w:val="24"/>
          <w:lang w:eastAsia="zh-CN"/>
        </w:rPr>
        <w:t xml:space="preserve">, Davidson CJ, Raisch DW, Weinberg PD, Bennett RH, Feldman MD. Thrombotic thrombocytopenic purpura associated with ticlopidine in the setting of coronary artery stents and stroke prevention. </w:t>
      </w:r>
      <w:r w:rsidRPr="00637759">
        <w:rPr>
          <w:rFonts w:ascii="Book Antiqua" w:hAnsi="Book Antiqua" w:cs="Book Antiqua"/>
          <w:i/>
          <w:iCs/>
          <w:sz w:val="24"/>
          <w:szCs w:val="24"/>
          <w:lang w:eastAsia="zh-CN"/>
        </w:rPr>
        <w:t>Arch Intern Med</w:t>
      </w:r>
      <w:r w:rsidRPr="00637759">
        <w:rPr>
          <w:rFonts w:ascii="Book Antiqua" w:hAnsi="Book Antiqua" w:cs="Book Antiqua"/>
          <w:sz w:val="24"/>
          <w:szCs w:val="24"/>
          <w:lang w:eastAsia="zh-CN"/>
        </w:rPr>
        <w:t xml:space="preserve"> 1999; </w:t>
      </w:r>
      <w:r w:rsidRPr="00637759">
        <w:rPr>
          <w:rFonts w:ascii="Book Antiqua" w:hAnsi="Book Antiqua" w:cs="Book Antiqua"/>
          <w:b/>
          <w:bCs/>
          <w:sz w:val="24"/>
          <w:szCs w:val="24"/>
          <w:lang w:eastAsia="zh-CN"/>
        </w:rPr>
        <w:t>159</w:t>
      </w:r>
      <w:r w:rsidRPr="00637759">
        <w:rPr>
          <w:rFonts w:ascii="Book Antiqua" w:hAnsi="Book Antiqua" w:cs="Book Antiqua"/>
          <w:sz w:val="24"/>
          <w:szCs w:val="24"/>
          <w:lang w:eastAsia="zh-CN"/>
        </w:rPr>
        <w:t>: 2524-2528 [PMID: 10573042 DOI: 10.1001/archinte.159.21.2524]</w:t>
      </w:r>
    </w:p>
    <w:p w:rsidR="002E64BF" w:rsidRDefault="002E64BF" w:rsidP="00F6270E">
      <w:pPr>
        <w:snapToGrid w:val="0"/>
        <w:spacing w:after="0" w:line="360" w:lineRule="auto"/>
        <w:jc w:val="both"/>
        <w:rPr>
          <w:rFonts w:ascii="Book Antiqua" w:hAnsi="Book Antiqua" w:cs="Book Antiqua"/>
          <w:b/>
          <w:bCs/>
          <w:sz w:val="24"/>
          <w:szCs w:val="24"/>
          <w:lang w:eastAsia="zh-CN"/>
        </w:rPr>
      </w:pPr>
    </w:p>
    <w:p w:rsidR="002E64BF" w:rsidRPr="003635E2" w:rsidRDefault="002E64BF" w:rsidP="00637759">
      <w:pPr>
        <w:tabs>
          <w:tab w:val="left" w:pos="180"/>
          <w:tab w:val="left" w:pos="360"/>
        </w:tabs>
        <w:wordWrap w:val="0"/>
        <w:spacing w:line="360" w:lineRule="auto"/>
        <w:jc w:val="right"/>
        <w:rPr>
          <w:rFonts w:ascii="Book Antiqua" w:hAnsi="Book Antiqua" w:cs="Book Antiqua"/>
          <w:b/>
          <w:bCs/>
          <w:color w:val="000000"/>
          <w:sz w:val="24"/>
          <w:szCs w:val="24"/>
        </w:rPr>
      </w:pPr>
      <w:bookmarkStart w:id="56" w:name="OLE_LINK141"/>
      <w:bookmarkStart w:id="57" w:name="OLE_LINK164"/>
      <w:bookmarkStart w:id="58" w:name="OLE_LINK177"/>
      <w:bookmarkStart w:id="59" w:name="OLE_LINK180"/>
      <w:bookmarkStart w:id="60" w:name="OLE_LINK172"/>
      <w:bookmarkStart w:id="61" w:name="OLE_LINK187"/>
      <w:bookmarkStart w:id="62" w:name="OLE_LINK192"/>
      <w:bookmarkStart w:id="63" w:name="OLE_LINK193"/>
      <w:bookmarkStart w:id="64" w:name="OLE_LINK214"/>
      <w:bookmarkStart w:id="65" w:name="OLE_LINK213"/>
      <w:bookmarkStart w:id="66" w:name="OLE_LINK239"/>
      <w:bookmarkStart w:id="67" w:name="OLE_LINK249"/>
      <w:bookmarkStart w:id="68" w:name="OLE_LINK281"/>
      <w:bookmarkStart w:id="69" w:name="OLE_LINK268"/>
      <w:bookmarkStart w:id="70" w:name="OLE_LINK314"/>
      <w:bookmarkStart w:id="71" w:name="OLE_LINK320"/>
      <w:bookmarkStart w:id="72" w:name="OLE_LINK322"/>
      <w:bookmarkStart w:id="73" w:name="OLE_LINK340"/>
      <w:bookmarkStart w:id="74" w:name="OLE_LINK323"/>
      <w:bookmarkStart w:id="75" w:name="OLE_LINK387"/>
      <w:bookmarkStart w:id="76" w:name="OLE_LINK416"/>
      <w:bookmarkStart w:id="77" w:name="OLE_LINK332"/>
      <w:bookmarkStart w:id="78" w:name="OLE_LINK344"/>
      <w:bookmarkStart w:id="79" w:name="OLE_LINK345"/>
      <w:bookmarkStart w:id="80" w:name="OLE_LINK354"/>
      <w:bookmarkStart w:id="81" w:name="OLE_LINK356"/>
      <w:bookmarkStart w:id="82" w:name="OLE_LINK360"/>
      <w:bookmarkStart w:id="83" w:name="OLE_LINK385"/>
      <w:bookmarkStart w:id="84" w:name="OLE_LINK396"/>
      <w:bookmarkStart w:id="85" w:name="OLE_LINK357"/>
      <w:bookmarkStart w:id="86" w:name="OLE_LINK379"/>
      <w:bookmarkStart w:id="87" w:name="OLE_LINK390"/>
      <w:bookmarkStart w:id="88" w:name="OLE_LINK367"/>
      <w:bookmarkStart w:id="89" w:name="OLE_LINK368"/>
      <w:bookmarkStart w:id="90" w:name="OLE_LINK371"/>
      <w:bookmarkStart w:id="91" w:name="OLE_LINK393"/>
      <w:bookmarkStart w:id="92" w:name="OLE_LINK417"/>
      <w:bookmarkStart w:id="93" w:name="OLE_LINK438"/>
      <w:bookmarkStart w:id="94" w:name="OLE_LINK441"/>
      <w:bookmarkStart w:id="95" w:name="OLE_LINK442"/>
      <w:r w:rsidRPr="003635E2">
        <w:rPr>
          <w:rFonts w:ascii="Book Antiqua" w:hAnsi="Book Antiqua" w:cs="Book Antiqua"/>
          <w:b/>
          <w:bCs/>
          <w:color w:val="000000"/>
          <w:sz w:val="24"/>
          <w:szCs w:val="24"/>
        </w:rPr>
        <w:t>P-Reviewer</w:t>
      </w:r>
      <w:r>
        <w:rPr>
          <w:rFonts w:ascii="Book Antiqua" w:hAnsi="Book Antiqua" w:cs="Book Antiqua"/>
          <w:b/>
          <w:bCs/>
          <w:color w:val="000000"/>
          <w:sz w:val="24"/>
          <w:szCs w:val="24"/>
          <w:lang w:eastAsia="zh-CN"/>
        </w:rPr>
        <w:t xml:space="preserve"> </w:t>
      </w:r>
      <w:r w:rsidRPr="0054630C">
        <w:rPr>
          <w:rFonts w:ascii="Book Antiqua" w:hAnsi="Book Antiqua" w:cs="Book Antiqua"/>
          <w:color w:val="000000"/>
          <w:sz w:val="24"/>
          <w:szCs w:val="24"/>
        </w:rPr>
        <w:t>Zheng</w:t>
      </w:r>
      <w:r w:rsidRPr="0054630C">
        <w:rPr>
          <w:rFonts w:ascii="Book Antiqua" w:hAnsi="Book Antiqua" w:cs="Book Antiqua"/>
          <w:color w:val="000000"/>
          <w:sz w:val="24"/>
          <w:szCs w:val="24"/>
          <w:lang w:eastAsia="zh-CN"/>
        </w:rPr>
        <w:t xml:space="preserve"> </w:t>
      </w:r>
      <w:r w:rsidRPr="0054630C">
        <w:rPr>
          <w:rFonts w:ascii="Book Antiqua" w:hAnsi="Book Antiqua" w:cs="Book Antiqua"/>
          <w:color w:val="000000"/>
          <w:sz w:val="24"/>
          <w:szCs w:val="24"/>
        </w:rPr>
        <w:t>XL</w:t>
      </w:r>
      <w:r w:rsidRPr="003635E2">
        <w:rPr>
          <w:rFonts w:ascii="Book Antiqua" w:hAnsi="Book Antiqua" w:cs="Book Antiqua"/>
          <w:b/>
          <w:bCs/>
          <w:color w:val="000000"/>
          <w:sz w:val="24"/>
          <w:szCs w:val="24"/>
        </w:rPr>
        <w:t xml:space="preserve"> S-Editor </w:t>
      </w:r>
      <w:r w:rsidRPr="003635E2">
        <w:rPr>
          <w:rFonts w:ascii="Book Antiqua" w:hAnsi="Book Antiqua" w:cs="Book Antiqua"/>
          <w:color w:val="000000"/>
          <w:sz w:val="24"/>
          <w:szCs w:val="24"/>
        </w:rPr>
        <w:t xml:space="preserve">Gou SX </w:t>
      </w:r>
      <w:r w:rsidRPr="003635E2">
        <w:rPr>
          <w:rFonts w:ascii="Book Antiqua" w:hAnsi="Book Antiqua" w:cs="Book Antiqua"/>
          <w:b/>
          <w:bCs/>
          <w:color w:val="000000"/>
          <w:sz w:val="24"/>
          <w:szCs w:val="24"/>
        </w:rPr>
        <w:t xml:space="preserve">  L-Editor    E-Editor</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rsidR="002E64BF" w:rsidRPr="00637759" w:rsidRDefault="002E64BF" w:rsidP="00F6270E">
      <w:pPr>
        <w:snapToGrid w:val="0"/>
        <w:spacing w:after="0" w:line="360" w:lineRule="auto"/>
        <w:jc w:val="both"/>
        <w:rPr>
          <w:rFonts w:ascii="Book Antiqua" w:hAnsi="Book Antiqua" w:cs="Book Antiqua"/>
          <w:b/>
          <w:bCs/>
          <w:sz w:val="24"/>
          <w:szCs w:val="24"/>
          <w:lang w:eastAsia="zh-CN"/>
        </w:rPr>
      </w:pPr>
    </w:p>
    <w:p w:rsidR="002E64BF" w:rsidRPr="00637759" w:rsidRDefault="002E64BF" w:rsidP="00E1750C">
      <w:pPr>
        <w:snapToGrid w:val="0"/>
        <w:spacing w:after="0" w:line="360" w:lineRule="auto"/>
        <w:jc w:val="both"/>
        <w:rPr>
          <w:rFonts w:ascii="Book Antiqua" w:hAnsi="Book Antiqua" w:cs="Book Antiqua"/>
          <w:b/>
          <w:bCs/>
          <w:sz w:val="24"/>
          <w:szCs w:val="24"/>
        </w:rPr>
      </w:pPr>
    </w:p>
    <w:p w:rsidR="002E64BF" w:rsidRPr="00637759" w:rsidRDefault="002E64BF" w:rsidP="00E1750C">
      <w:pPr>
        <w:snapToGrid w:val="0"/>
        <w:spacing w:after="0" w:line="360" w:lineRule="auto"/>
        <w:jc w:val="both"/>
        <w:rPr>
          <w:rFonts w:ascii="Book Antiqua" w:hAnsi="Book Antiqua" w:cs="Book Antiqua"/>
          <w:sz w:val="24"/>
          <w:szCs w:val="24"/>
        </w:rPr>
      </w:pPr>
      <w:r w:rsidRPr="00637759">
        <w:rPr>
          <w:rFonts w:ascii="Book Antiqua" w:hAnsi="Book Antiqua" w:cs="Book Antiqua"/>
          <w:b/>
          <w:bCs/>
          <w:sz w:val="24"/>
          <w:szCs w:val="24"/>
        </w:rPr>
        <w:lastRenderedPageBreak/>
        <w:t>Figure 1</w:t>
      </w:r>
      <w:r>
        <w:rPr>
          <w:rFonts w:ascii="Book Antiqua" w:hAnsi="Book Antiqua" w:cs="Book Antiqua"/>
          <w:sz w:val="24"/>
          <w:szCs w:val="24"/>
          <w:lang w:eastAsia="zh-CN"/>
        </w:rPr>
        <w:t xml:space="preserve"> </w:t>
      </w:r>
      <w:r w:rsidRPr="00637759">
        <w:rPr>
          <w:rFonts w:ascii="Book Antiqua" w:hAnsi="Book Antiqua" w:cs="Book Antiqua"/>
          <w:b/>
          <w:bCs/>
          <w:sz w:val="24"/>
          <w:szCs w:val="24"/>
        </w:rPr>
        <w:t>Timeline of platelet levels while patient underwent treatment with methylprednisolone 40 mg</w:t>
      </w:r>
      <w:r w:rsidRPr="00637759">
        <w:rPr>
          <w:rFonts w:ascii="Book Antiqua" w:hAnsi="Book Antiqua" w:cs="Book Antiqua"/>
          <w:b/>
          <w:bCs/>
          <w:i/>
          <w:iCs/>
          <w:sz w:val="24"/>
          <w:szCs w:val="24"/>
        </w:rPr>
        <w:t xml:space="preserve"> iv</w:t>
      </w:r>
      <w:r w:rsidRPr="00637759">
        <w:rPr>
          <w:rFonts w:ascii="Book Antiqua" w:hAnsi="Book Antiqua" w:cs="Book Antiqua"/>
          <w:b/>
          <w:bCs/>
          <w:sz w:val="24"/>
          <w:szCs w:val="24"/>
        </w:rPr>
        <w:t xml:space="preserve"> and plasmapheresis</w:t>
      </w:r>
      <w:r w:rsidRPr="00637759">
        <w:rPr>
          <w:rFonts w:ascii="Book Antiqua" w:hAnsi="Book Antiqua" w:cs="Book Antiqua"/>
          <w:b/>
          <w:bCs/>
          <w:sz w:val="24"/>
          <w:szCs w:val="24"/>
          <w:lang w:eastAsia="zh-CN"/>
        </w:rPr>
        <w:t xml:space="preserve"> </w:t>
      </w:r>
      <w:r w:rsidRPr="00637759">
        <w:rPr>
          <w:rFonts w:ascii="Book Antiqua" w:hAnsi="Book Antiqua" w:cs="Book Antiqua"/>
          <w:b/>
          <w:bCs/>
          <w:sz w:val="24"/>
          <w:szCs w:val="24"/>
        </w:rPr>
        <w:t>(platelet numbers equate to × 1000).</w:t>
      </w:r>
      <w:r w:rsidRPr="00637759">
        <w:rPr>
          <w:rFonts w:ascii="Book Antiqua" w:hAnsi="Book Antiqua" w:cs="Book Antiqua"/>
          <w:sz w:val="24"/>
          <w:szCs w:val="24"/>
        </w:rPr>
        <w:t xml:space="preserve"> </w:t>
      </w:r>
    </w:p>
    <w:p w:rsidR="002E64BF" w:rsidRPr="00637759" w:rsidRDefault="00E83F17" w:rsidP="00F6270E">
      <w:pPr>
        <w:snapToGrid w:val="0"/>
        <w:spacing w:after="0" w:line="360" w:lineRule="auto"/>
        <w:jc w:val="both"/>
        <w:rPr>
          <w:rFonts w:ascii="Book Antiqua" w:hAnsi="Book Antiqua" w:cs="Book Antiqua"/>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1885950</wp:posOffset>
                </wp:positionH>
                <wp:positionV relativeFrom="paragraph">
                  <wp:posOffset>2948940</wp:posOffset>
                </wp:positionV>
                <wp:extent cx="2524125" cy="34290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4BF" w:rsidRDefault="002E64BF">
                            <w:pPr>
                              <w:rPr>
                                <w:lang w:eastAsia="zh-CN"/>
                              </w:rPr>
                            </w:pPr>
                            <w:r>
                              <w:rPr>
                                <w:lang w:eastAsia="zh-CN"/>
                              </w:rPr>
                              <w:t xml:space="preserve">Daily Plasmapheresis </w:t>
                            </w:r>
                            <w:r>
                              <w:rPr>
                                <w:rFonts w:ascii="Book Antiqua" w:hAnsi="Book Antiqua" w:cs="Book Antiqua"/>
                                <w:lang w:eastAsia="zh-CN"/>
                              </w:rPr>
                              <w:t>×</w:t>
                            </w:r>
                            <w:r>
                              <w:rPr>
                                <w:lang w:eastAsia="zh-CN"/>
                              </w:rPr>
                              <w:t xml:space="preserve"> 4d</w:t>
                            </w:r>
                          </w:p>
                          <w:p w:rsidR="002E64BF" w:rsidRDefault="002E64BF">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5pt;margin-top:232.2pt;width:198.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6OgwIAAA8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" stroked="f">
                <v:textbox>
                  <w:txbxContent>
                    <w:p w:rsidR="002E64BF" w:rsidRDefault="002E64BF">
                      <w:pPr>
                        <w:rPr>
                          <w:lang w:eastAsia="zh-CN"/>
                        </w:rPr>
                      </w:pPr>
                      <w:r>
                        <w:rPr>
                          <w:lang w:eastAsia="zh-CN"/>
                        </w:rPr>
                        <w:t xml:space="preserve">Daily Plasmapheresis </w:t>
                      </w:r>
                      <w:r>
                        <w:rPr>
                          <w:rFonts w:ascii="Book Antiqua" w:hAnsi="Book Antiqua" w:cs="Book Antiqua"/>
                          <w:lang w:eastAsia="zh-CN"/>
                        </w:rPr>
                        <w:t>×</w:t>
                      </w:r>
                      <w:r>
                        <w:rPr>
                          <w:lang w:eastAsia="zh-CN"/>
                        </w:rPr>
                        <w:t xml:space="preserve"> 4d</w:t>
                      </w:r>
                    </w:p>
                    <w:p w:rsidR="002E64BF" w:rsidRDefault="002E64BF">
                      <w:pPr>
                        <w:rPr>
                          <w:lang w:eastAsia="zh-CN"/>
                        </w:rPr>
                      </w:pPr>
                    </w:p>
                  </w:txbxContent>
                </v:textbox>
              </v:shape>
            </w:pict>
          </mc:Fallback>
        </mc:AlternateContent>
      </w: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1009650</wp:posOffset>
                </wp:positionH>
                <wp:positionV relativeFrom="paragraph">
                  <wp:posOffset>3006090</wp:posOffset>
                </wp:positionV>
                <wp:extent cx="666750" cy="1695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4BF" w:rsidRDefault="002E64BF">
                            <w:pPr>
                              <w:rPr>
                                <w:lang w:eastAsia="zh-CN"/>
                              </w:rPr>
                            </w:pPr>
                            <w:r>
                              <w:rPr>
                                <w:lang w:eastAsia="zh-CN"/>
                              </w:rPr>
                              <w:t>Steroids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9.5pt;margin-top:236.7pt;width:5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" stroked="f">
                <v:textbox>
                  <w:txbxContent>
                    <w:p w:rsidR="002E64BF" w:rsidRDefault="002E64BF">
                      <w:pPr>
                        <w:rPr>
                          <w:lang w:eastAsia="zh-CN"/>
                        </w:rPr>
                      </w:pPr>
                      <w:r>
                        <w:rPr>
                          <w:lang w:eastAsia="zh-CN"/>
                        </w:rPr>
                        <w:t>Steroids</w:t>
                      </w:r>
                    </w:p>
                  </w:txbxContent>
                </v:textbox>
              </v:shape>
            </w:pict>
          </mc:Fallback>
        </mc:AlternateContent>
      </w:r>
      <w:r>
        <w:rPr>
          <w:rFonts w:ascii="Book Antiqua" w:hAnsi="Book Antiqua" w:cs="Book Antiqua"/>
          <w:noProof/>
          <w:sz w:val="24"/>
          <w:szCs w:val="24"/>
          <w:lang w:eastAsia="zh-CN"/>
        </w:rPr>
        <w:drawing>
          <wp:inline distT="0" distB="0" distL="0" distR="0">
            <wp:extent cx="5446395" cy="3005455"/>
            <wp:effectExtent l="0" t="0" r="0" b="0"/>
            <wp:docPr id="2"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2E64BF" w:rsidRPr="00637759" w:rsidSect="00C23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02" w:rsidRDefault="00533702" w:rsidP="00F6270E">
      <w:pPr>
        <w:spacing w:after="0" w:line="240" w:lineRule="auto"/>
        <w:rPr>
          <w:rFonts w:cs="Times New Roman"/>
        </w:rPr>
      </w:pPr>
      <w:r>
        <w:rPr>
          <w:rFonts w:cs="Times New Roman"/>
        </w:rPr>
        <w:separator/>
      </w:r>
    </w:p>
  </w:endnote>
  <w:endnote w:type="continuationSeparator" w:id="0">
    <w:p w:rsidR="00533702" w:rsidRDefault="00533702" w:rsidP="00F6270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02" w:rsidRDefault="00533702" w:rsidP="00F6270E">
      <w:pPr>
        <w:spacing w:after="0" w:line="240" w:lineRule="auto"/>
        <w:rPr>
          <w:rFonts w:cs="Times New Roman"/>
        </w:rPr>
      </w:pPr>
      <w:r>
        <w:rPr>
          <w:rFonts w:cs="Times New Roman"/>
        </w:rPr>
        <w:separator/>
      </w:r>
    </w:p>
  </w:footnote>
  <w:footnote w:type="continuationSeparator" w:id="0">
    <w:p w:rsidR="00533702" w:rsidRDefault="00533702" w:rsidP="00F6270E">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1DC7"/>
    <w:multiLevelType w:val="hybridMultilevel"/>
    <w:tmpl w:val="2D2EB0DC"/>
    <w:lvl w:ilvl="0" w:tplc="AD6ED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D03070C"/>
    <w:multiLevelType w:val="hybridMultilevel"/>
    <w:tmpl w:val="B47A5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96D25E7"/>
    <w:multiLevelType w:val="hybridMultilevel"/>
    <w:tmpl w:val="75128DC2"/>
    <w:lvl w:ilvl="0" w:tplc="2F16D2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8C"/>
    <w:rsid w:val="00023FC9"/>
    <w:rsid w:val="000A1A3F"/>
    <w:rsid w:val="001248A0"/>
    <w:rsid w:val="00235634"/>
    <w:rsid w:val="00273C8C"/>
    <w:rsid w:val="002839A5"/>
    <w:rsid w:val="002A205F"/>
    <w:rsid w:val="002A7253"/>
    <w:rsid w:val="002E64BF"/>
    <w:rsid w:val="002F49F6"/>
    <w:rsid w:val="003635E2"/>
    <w:rsid w:val="00435F7B"/>
    <w:rsid w:val="00490F03"/>
    <w:rsid w:val="004C5D3C"/>
    <w:rsid w:val="00533702"/>
    <w:rsid w:val="005378D3"/>
    <w:rsid w:val="0054630C"/>
    <w:rsid w:val="005470A5"/>
    <w:rsid w:val="0058551C"/>
    <w:rsid w:val="005860ED"/>
    <w:rsid w:val="00587D06"/>
    <w:rsid w:val="005A2803"/>
    <w:rsid w:val="005D5C70"/>
    <w:rsid w:val="006014A4"/>
    <w:rsid w:val="0063187D"/>
    <w:rsid w:val="00634E35"/>
    <w:rsid w:val="00637759"/>
    <w:rsid w:val="00641EB6"/>
    <w:rsid w:val="006877AA"/>
    <w:rsid w:val="006968AE"/>
    <w:rsid w:val="006F47FC"/>
    <w:rsid w:val="00737EDD"/>
    <w:rsid w:val="00764461"/>
    <w:rsid w:val="00780EAA"/>
    <w:rsid w:val="00817030"/>
    <w:rsid w:val="00904F9C"/>
    <w:rsid w:val="0094129D"/>
    <w:rsid w:val="00944DA3"/>
    <w:rsid w:val="009736A0"/>
    <w:rsid w:val="00984704"/>
    <w:rsid w:val="009B44E4"/>
    <w:rsid w:val="009C3A50"/>
    <w:rsid w:val="009E36B5"/>
    <w:rsid w:val="009F6FEE"/>
    <w:rsid w:val="00A11F44"/>
    <w:rsid w:val="00B16CBA"/>
    <w:rsid w:val="00B17D0A"/>
    <w:rsid w:val="00B265DF"/>
    <w:rsid w:val="00B30456"/>
    <w:rsid w:val="00B36477"/>
    <w:rsid w:val="00B67B14"/>
    <w:rsid w:val="00B75309"/>
    <w:rsid w:val="00B77EB4"/>
    <w:rsid w:val="00BA5505"/>
    <w:rsid w:val="00BD3BF3"/>
    <w:rsid w:val="00C23B49"/>
    <w:rsid w:val="00CB5560"/>
    <w:rsid w:val="00CB755A"/>
    <w:rsid w:val="00CD40D5"/>
    <w:rsid w:val="00D659E6"/>
    <w:rsid w:val="00E1750C"/>
    <w:rsid w:val="00E2103D"/>
    <w:rsid w:val="00E24D36"/>
    <w:rsid w:val="00E25B06"/>
    <w:rsid w:val="00E83F17"/>
    <w:rsid w:val="00EA0C62"/>
    <w:rsid w:val="00EA6AC5"/>
    <w:rsid w:val="00EC7E8C"/>
    <w:rsid w:val="00F07593"/>
    <w:rsid w:val="00F432BE"/>
    <w:rsid w:val="00F6270E"/>
    <w:rsid w:val="00F74A27"/>
    <w:rsid w:val="00F80B16"/>
    <w:rsid w:val="00FA33F1"/>
    <w:rsid w:val="00FA345B"/>
    <w:rsid w:val="00FA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49"/>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5560"/>
    <w:rPr>
      <w:color w:val="0000FF"/>
      <w:u w:val="single"/>
    </w:rPr>
  </w:style>
  <w:style w:type="paragraph" w:styleId="a4">
    <w:name w:val="List Paragraph"/>
    <w:basedOn w:val="a"/>
    <w:uiPriority w:val="99"/>
    <w:qFormat/>
    <w:rsid w:val="00F07593"/>
    <w:pPr>
      <w:ind w:left="720"/>
    </w:pPr>
  </w:style>
  <w:style w:type="paragraph" w:styleId="a5">
    <w:name w:val="Balloon Text"/>
    <w:basedOn w:val="a"/>
    <w:link w:val="Char"/>
    <w:uiPriority w:val="99"/>
    <w:semiHidden/>
    <w:rsid w:val="00764461"/>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764461"/>
    <w:rPr>
      <w:rFonts w:ascii="Tahoma" w:hAnsi="Tahoma" w:cs="Tahoma"/>
      <w:sz w:val="16"/>
      <w:szCs w:val="16"/>
    </w:rPr>
  </w:style>
  <w:style w:type="paragraph" w:styleId="a6">
    <w:name w:val="Normal (Web)"/>
    <w:basedOn w:val="a"/>
    <w:uiPriority w:val="99"/>
    <w:semiHidden/>
    <w:rsid w:val="001248A0"/>
    <w:pPr>
      <w:spacing w:before="100" w:beforeAutospacing="1" w:after="100" w:afterAutospacing="1" w:line="240" w:lineRule="auto"/>
    </w:pPr>
    <w:rPr>
      <w:rFonts w:ascii="Times New Roman" w:hAnsi="Times New Roman" w:cs="Times New Roman"/>
      <w:sz w:val="24"/>
      <w:szCs w:val="24"/>
    </w:rPr>
  </w:style>
  <w:style w:type="character" w:styleId="a7">
    <w:name w:val="FollowedHyperlink"/>
    <w:basedOn w:val="a0"/>
    <w:uiPriority w:val="99"/>
    <w:semiHidden/>
    <w:rsid w:val="00235634"/>
    <w:rPr>
      <w:color w:val="800080"/>
      <w:u w:val="single"/>
    </w:rPr>
  </w:style>
  <w:style w:type="paragraph" w:styleId="a8">
    <w:name w:val="header"/>
    <w:basedOn w:val="a"/>
    <w:link w:val="Char0"/>
    <w:uiPriority w:val="99"/>
    <w:semiHidden/>
    <w:rsid w:val="00F6270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semiHidden/>
    <w:locked/>
    <w:rsid w:val="00F6270E"/>
    <w:rPr>
      <w:sz w:val="18"/>
      <w:szCs w:val="18"/>
    </w:rPr>
  </w:style>
  <w:style w:type="paragraph" w:styleId="a9">
    <w:name w:val="footer"/>
    <w:basedOn w:val="a"/>
    <w:link w:val="Char1"/>
    <w:uiPriority w:val="99"/>
    <w:semiHidden/>
    <w:rsid w:val="00F6270E"/>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semiHidden/>
    <w:locked/>
    <w:rsid w:val="00F6270E"/>
    <w:rPr>
      <w:sz w:val="18"/>
      <w:szCs w:val="18"/>
    </w:rPr>
  </w:style>
  <w:style w:type="paragraph" w:customStyle="1" w:styleId="p0">
    <w:name w:val="p0"/>
    <w:basedOn w:val="a"/>
    <w:uiPriority w:val="99"/>
    <w:rsid w:val="00B77EB4"/>
    <w:pPr>
      <w:spacing w:after="0" w:line="240" w:lineRule="atLeast"/>
    </w:pPr>
    <w:rPr>
      <w:rFonts w:ascii="Century" w:hAnsi="Century" w:cs="Century"/>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49"/>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5560"/>
    <w:rPr>
      <w:color w:val="0000FF"/>
      <w:u w:val="single"/>
    </w:rPr>
  </w:style>
  <w:style w:type="paragraph" w:styleId="a4">
    <w:name w:val="List Paragraph"/>
    <w:basedOn w:val="a"/>
    <w:uiPriority w:val="99"/>
    <w:qFormat/>
    <w:rsid w:val="00F07593"/>
    <w:pPr>
      <w:ind w:left="720"/>
    </w:pPr>
  </w:style>
  <w:style w:type="paragraph" w:styleId="a5">
    <w:name w:val="Balloon Text"/>
    <w:basedOn w:val="a"/>
    <w:link w:val="Char"/>
    <w:uiPriority w:val="99"/>
    <w:semiHidden/>
    <w:rsid w:val="00764461"/>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764461"/>
    <w:rPr>
      <w:rFonts w:ascii="Tahoma" w:hAnsi="Tahoma" w:cs="Tahoma"/>
      <w:sz w:val="16"/>
      <w:szCs w:val="16"/>
    </w:rPr>
  </w:style>
  <w:style w:type="paragraph" w:styleId="a6">
    <w:name w:val="Normal (Web)"/>
    <w:basedOn w:val="a"/>
    <w:uiPriority w:val="99"/>
    <w:semiHidden/>
    <w:rsid w:val="001248A0"/>
    <w:pPr>
      <w:spacing w:before="100" w:beforeAutospacing="1" w:after="100" w:afterAutospacing="1" w:line="240" w:lineRule="auto"/>
    </w:pPr>
    <w:rPr>
      <w:rFonts w:ascii="Times New Roman" w:hAnsi="Times New Roman" w:cs="Times New Roman"/>
      <w:sz w:val="24"/>
      <w:szCs w:val="24"/>
    </w:rPr>
  </w:style>
  <w:style w:type="character" w:styleId="a7">
    <w:name w:val="FollowedHyperlink"/>
    <w:basedOn w:val="a0"/>
    <w:uiPriority w:val="99"/>
    <w:semiHidden/>
    <w:rsid w:val="00235634"/>
    <w:rPr>
      <w:color w:val="800080"/>
      <w:u w:val="single"/>
    </w:rPr>
  </w:style>
  <w:style w:type="paragraph" w:styleId="a8">
    <w:name w:val="header"/>
    <w:basedOn w:val="a"/>
    <w:link w:val="Char0"/>
    <w:uiPriority w:val="99"/>
    <w:semiHidden/>
    <w:rsid w:val="00F6270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semiHidden/>
    <w:locked/>
    <w:rsid w:val="00F6270E"/>
    <w:rPr>
      <w:sz w:val="18"/>
      <w:szCs w:val="18"/>
    </w:rPr>
  </w:style>
  <w:style w:type="paragraph" w:styleId="a9">
    <w:name w:val="footer"/>
    <w:basedOn w:val="a"/>
    <w:link w:val="Char1"/>
    <w:uiPriority w:val="99"/>
    <w:semiHidden/>
    <w:rsid w:val="00F6270E"/>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semiHidden/>
    <w:locked/>
    <w:rsid w:val="00F6270E"/>
    <w:rPr>
      <w:sz w:val="18"/>
      <w:szCs w:val="18"/>
    </w:rPr>
  </w:style>
  <w:style w:type="paragraph" w:customStyle="1" w:styleId="p0">
    <w:name w:val="p0"/>
    <w:basedOn w:val="a"/>
    <w:uiPriority w:val="99"/>
    <w:rsid w:val="00B77EB4"/>
    <w:pPr>
      <w:spacing w:after="0" w:line="240" w:lineRule="atLeast"/>
    </w:pPr>
    <w:rPr>
      <w:rFonts w:ascii="Century" w:hAnsi="Century" w:cs="Century"/>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107">
      <w:marLeft w:val="0"/>
      <w:marRight w:val="0"/>
      <w:marTop w:val="0"/>
      <w:marBottom w:val="0"/>
      <w:divBdr>
        <w:top w:val="none" w:sz="0" w:space="0" w:color="auto"/>
        <w:left w:val="none" w:sz="0" w:space="0" w:color="auto"/>
        <w:bottom w:val="none" w:sz="0" w:space="0" w:color="auto"/>
        <w:right w:val="none" w:sz="0" w:space="0" w:color="auto"/>
      </w:divBdr>
    </w:div>
    <w:div w:id="442530109">
      <w:marLeft w:val="0"/>
      <w:marRight w:val="0"/>
      <w:marTop w:val="0"/>
      <w:marBottom w:val="0"/>
      <w:divBdr>
        <w:top w:val="none" w:sz="0" w:space="0" w:color="auto"/>
        <w:left w:val="none" w:sz="0" w:space="0" w:color="auto"/>
        <w:bottom w:val="none" w:sz="0" w:space="0" w:color="auto"/>
        <w:right w:val="none" w:sz="0" w:space="0" w:color="auto"/>
      </w:divBdr>
      <w:divsChild>
        <w:div w:id="442530108">
          <w:marLeft w:val="0"/>
          <w:marRight w:val="0"/>
          <w:marTop w:val="0"/>
          <w:marBottom w:val="0"/>
          <w:divBdr>
            <w:top w:val="none" w:sz="0" w:space="0" w:color="auto"/>
            <w:left w:val="none" w:sz="0" w:space="0" w:color="auto"/>
            <w:bottom w:val="none" w:sz="0" w:space="0" w:color="auto"/>
            <w:right w:val="none" w:sz="0" w:space="0" w:color="auto"/>
          </w:divBdr>
          <w:divsChild>
            <w:div w:id="442530105">
              <w:marLeft w:val="0"/>
              <w:marRight w:val="0"/>
              <w:marTop w:val="0"/>
              <w:marBottom w:val="0"/>
              <w:divBdr>
                <w:top w:val="none" w:sz="0" w:space="0" w:color="auto"/>
                <w:left w:val="none" w:sz="0" w:space="0" w:color="auto"/>
                <w:bottom w:val="none" w:sz="0" w:space="0" w:color="auto"/>
                <w:right w:val="none" w:sz="0" w:space="0" w:color="auto"/>
              </w:divBdr>
            </w:div>
            <w:div w:id="442530106">
              <w:marLeft w:val="0"/>
              <w:marRight w:val="0"/>
              <w:marTop w:val="0"/>
              <w:marBottom w:val="0"/>
              <w:divBdr>
                <w:top w:val="none" w:sz="0" w:space="0" w:color="auto"/>
                <w:left w:val="none" w:sz="0" w:space="0" w:color="auto"/>
                <w:bottom w:val="none" w:sz="0" w:space="0" w:color="auto"/>
                <w:right w:val="none" w:sz="0" w:space="0" w:color="auto"/>
              </w:divBdr>
            </w:div>
            <w:div w:id="442530110">
              <w:marLeft w:val="0"/>
              <w:marRight w:val="0"/>
              <w:marTop w:val="0"/>
              <w:marBottom w:val="0"/>
              <w:divBdr>
                <w:top w:val="none" w:sz="0" w:space="0" w:color="auto"/>
                <w:left w:val="none" w:sz="0" w:space="0" w:color="auto"/>
                <w:bottom w:val="none" w:sz="0" w:space="0" w:color="auto"/>
                <w:right w:val="none" w:sz="0" w:space="0" w:color="auto"/>
              </w:divBdr>
            </w:div>
            <w:div w:id="442530111">
              <w:marLeft w:val="0"/>
              <w:marRight w:val="0"/>
              <w:marTop w:val="0"/>
              <w:marBottom w:val="0"/>
              <w:divBdr>
                <w:top w:val="none" w:sz="0" w:space="0" w:color="auto"/>
                <w:left w:val="none" w:sz="0" w:space="0" w:color="auto"/>
                <w:bottom w:val="none" w:sz="0" w:space="0" w:color="auto"/>
                <w:right w:val="none" w:sz="0" w:space="0" w:color="auto"/>
              </w:divBdr>
            </w:div>
            <w:div w:id="442530112">
              <w:marLeft w:val="0"/>
              <w:marRight w:val="0"/>
              <w:marTop w:val="0"/>
              <w:marBottom w:val="0"/>
              <w:divBdr>
                <w:top w:val="none" w:sz="0" w:space="0" w:color="auto"/>
                <w:left w:val="none" w:sz="0" w:space="0" w:color="auto"/>
                <w:bottom w:val="none" w:sz="0" w:space="0" w:color="auto"/>
                <w:right w:val="none" w:sz="0" w:space="0" w:color="auto"/>
              </w:divBdr>
            </w:div>
            <w:div w:id="442530113">
              <w:marLeft w:val="0"/>
              <w:marRight w:val="0"/>
              <w:marTop w:val="0"/>
              <w:marBottom w:val="0"/>
              <w:divBdr>
                <w:top w:val="none" w:sz="0" w:space="0" w:color="auto"/>
                <w:left w:val="none" w:sz="0" w:space="0" w:color="auto"/>
                <w:bottom w:val="none" w:sz="0" w:space="0" w:color="auto"/>
                <w:right w:val="none" w:sz="0" w:space="0" w:color="auto"/>
              </w:divBdr>
            </w:div>
            <w:div w:id="442530114">
              <w:marLeft w:val="0"/>
              <w:marRight w:val="0"/>
              <w:marTop w:val="0"/>
              <w:marBottom w:val="0"/>
              <w:divBdr>
                <w:top w:val="none" w:sz="0" w:space="0" w:color="auto"/>
                <w:left w:val="none" w:sz="0" w:space="0" w:color="auto"/>
                <w:bottom w:val="none" w:sz="0" w:space="0" w:color="auto"/>
                <w:right w:val="none" w:sz="0" w:space="0" w:color="auto"/>
              </w:divBdr>
            </w:div>
            <w:div w:id="442530115">
              <w:marLeft w:val="0"/>
              <w:marRight w:val="0"/>
              <w:marTop w:val="0"/>
              <w:marBottom w:val="0"/>
              <w:divBdr>
                <w:top w:val="none" w:sz="0" w:space="0" w:color="auto"/>
                <w:left w:val="none" w:sz="0" w:space="0" w:color="auto"/>
                <w:bottom w:val="none" w:sz="0" w:space="0" w:color="auto"/>
                <w:right w:val="none" w:sz="0" w:space="0" w:color="auto"/>
              </w:divBdr>
            </w:div>
            <w:div w:id="442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OVAHEDA@ecu.edu"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lrMapOvr bg1="lt1" tx1="dk1" bg2="lt2" tx2="dk2" accent1="accent1" accent2="accent2" accent3="accent3" accent4="accent4" accent5="accent5" accent6="accent6" hlink="hlink" folHlink="folHlink"/>
  <c:chart>
    <c:title>
      <c:tx>
        <c:rich>
          <a:bodyPr/>
          <a:lstStyle/>
          <a:p>
            <a:pPr>
              <a:defRPr/>
            </a:pPr>
            <a:r>
              <a:rPr lang="en-US"/>
              <a:t>Timelines</a:t>
            </a:r>
          </a:p>
        </c:rich>
      </c:tx>
      <c:layout>
        <c:manualLayout>
          <c:xMode val="edge"/>
          <c:yMode val="edge"/>
          <c:x val="0.40925266903914592"/>
          <c:y val="1.9607843137254902E-2"/>
        </c:manualLayout>
      </c:layout>
      <c:overlay val="0"/>
      <c:spPr>
        <a:noFill/>
        <a:ln w="20968">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Platelets</c:v>
                </c:pt>
              </c:strCache>
            </c:strRef>
          </c:tx>
          <c:invertIfNegative val="0"/>
          <c:cat>
            <c:strRef>
              <c:f>Sheet1!$A$2:$A$8</c:f>
              <c:strCache>
                <c:ptCount val="7"/>
                <c:pt idx="0">
                  <c:v>25 wk ago</c:v>
                </c:pt>
                <c:pt idx="1">
                  <c:v>5-Nov</c:v>
                </c:pt>
                <c:pt idx="2">
                  <c:v>6-Nov</c:v>
                </c:pt>
                <c:pt idx="3">
                  <c:v>7-Nov</c:v>
                </c:pt>
                <c:pt idx="4">
                  <c:v>8-Nov</c:v>
                </c:pt>
                <c:pt idx="5">
                  <c:v>9-Nov</c:v>
                </c:pt>
                <c:pt idx="6">
                  <c:v>10-Nov</c:v>
                </c:pt>
              </c:strCache>
            </c:strRef>
          </c:cat>
          <c:val>
            <c:numRef>
              <c:f>Sheet1!$B$2:$B$8</c:f>
              <c:numCache>
                <c:formatCode>General</c:formatCode>
                <c:ptCount val="7"/>
                <c:pt idx="0">
                  <c:v>360</c:v>
                </c:pt>
                <c:pt idx="1">
                  <c:v>13</c:v>
                </c:pt>
                <c:pt idx="2">
                  <c:v>17</c:v>
                </c:pt>
                <c:pt idx="3">
                  <c:v>52</c:v>
                </c:pt>
                <c:pt idx="4">
                  <c:v>81</c:v>
                </c:pt>
                <c:pt idx="5">
                  <c:v>162</c:v>
                </c:pt>
                <c:pt idx="6">
                  <c:v>231</c:v>
                </c:pt>
              </c:numCache>
            </c:numRef>
          </c:val>
        </c:ser>
        <c:dLbls>
          <c:showLegendKey val="0"/>
          <c:showVal val="0"/>
          <c:showCatName val="0"/>
          <c:showSerName val="0"/>
          <c:showPercent val="0"/>
          <c:showBubbleSize val="0"/>
        </c:dLbls>
        <c:gapWidth val="150"/>
        <c:shape val="box"/>
        <c:axId val="306990080"/>
        <c:axId val="265478912"/>
        <c:axId val="0"/>
      </c:bar3DChart>
      <c:catAx>
        <c:axId val="306990080"/>
        <c:scaling>
          <c:orientation val="minMax"/>
        </c:scaling>
        <c:delete val="0"/>
        <c:axPos val="b"/>
        <c:numFmt formatCode="General" sourceLinked="1"/>
        <c:majorTickMark val="out"/>
        <c:minorTickMark val="none"/>
        <c:tickLblPos val="nextTo"/>
        <c:crossAx val="265478912"/>
        <c:crosses val="autoZero"/>
        <c:auto val="1"/>
        <c:lblAlgn val="ctr"/>
        <c:lblOffset val="100"/>
        <c:noMultiLvlLbl val="0"/>
      </c:catAx>
      <c:valAx>
        <c:axId val="265478912"/>
        <c:scaling>
          <c:orientation val="minMax"/>
        </c:scaling>
        <c:delete val="0"/>
        <c:axPos val="l"/>
        <c:majorGridlines/>
        <c:numFmt formatCode="General" sourceLinked="1"/>
        <c:majorTickMark val="out"/>
        <c:minorTickMark val="none"/>
        <c:tickLblPos val="nextTo"/>
        <c:crossAx val="306990080"/>
        <c:crosses val="autoZero"/>
        <c:crossBetween val="between"/>
      </c:valAx>
      <c:spPr>
        <a:noFill/>
        <a:ln w="20968">
          <a:noFill/>
        </a:ln>
      </c:spPr>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0.17882</cdr:x>
      <cdr:y>0.88988</cdr:y>
    </cdr:from>
    <cdr:to>
      <cdr:x>0.34375</cdr:x>
      <cdr:y>1</cdr:y>
    </cdr:to>
    <cdr:sp macro="" textlink="">
      <cdr:nvSpPr>
        <cdr:cNvPr id="2" name="TextBox 1"/>
        <cdr:cNvSpPr txBox="1"/>
      </cdr:nvSpPr>
      <cdr:spPr>
        <a:xfrm xmlns:a="http://schemas.openxmlformats.org/drawingml/2006/main">
          <a:off x="981074" y="2847974"/>
          <a:ext cx="9048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9610</Characters>
  <Application>Microsoft Office Word</Application>
  <DocSecurity>0</DocSecurity>
  <Lines>80</Lines>
  <Paragraphs>22</Paragraphs>
  <ScaleCrop>false</ScaleCrop>
  <Company>WJG</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LS Ma</cp:lastModifiedBy>
  <cp:revision>2</cp:revision>
  <dcterms:created xsi:type="dcterms:W3CDTF">2013-01-04T20:41:00Z</dcterms:created>
  <dcterms:modified xsi:type="dcterms:W3CDTF">2013-01-04T20:41:00Z</dcterms:modified>
</cp:coreProperties>
</file>