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9885BB" w14:textId="1B7AD292" w:rsidR="00B95DC7" w:rsidRPr="00373D70" w:rsidRDefault="00B95DC7" w:rsidP="00B95DC7">
      <w:pPr>
        <w:spacing w:after="0" w:line="360" w:lineRule="auto"/>
        <w:jc w:val="both"/>
        <w:rPr>
          <w:rFonts w:ascii="Book Antiqua" w:hAnsi="Book Antiqua" w:cs="Arial"/>
          <w:b/>
          <w:sz w:val="24"/>
          <w:szCs w:val="24"/>
          <w:lang w:eastAsia="zh-CN"/>
        </w:rPr>
      </w:pPr>
      <w:r w:rsidRPr="00373D70">
        <w:rPr>
          <w:rFonts w:ascii="Book Antiqua" w:hAnsi="Book Antiqua" w:cs="Arial"/>
          <w:b/>
          <w:sz w:val="24"/>
          <w:szCs w:val="24"/>
          <w:lang w:eastAsia="zh-CN"/>
        </w:rPr>
        <w:t>Name of journal: World Journal of Clinical Cases</w:t>
      </w:r>
    </w:p>
    <w:p w14:paraId="224F2A08" w14:textId="39FCCC2D" w:rsidR="00B95DC7" w:rsidRPr="00373D70" w:rsidRDefault="00B95DC7" w:rsidP="00B95DC7">
      <w:pPr>
        <w:spacing w:after="0" w:line="360" w:lineRule="auto"/>
        <w:jc w:val="both"/>
        <w:rPr>
          <w:rFonts w:ascii="Book Antiqua" w:hAnsi="Book Antiqua" w:cs="Arial"/>
          <w:b/>
          <w:sz w:val="24"/>
          <w:szCs w:val="24"/>
          <w:lang w:eastAsia="zh-CN"/>
        </w:rPr>
      </w:pPr>
      <w:r w:rsidRPr="00373D70">
        <w:rPr>
          <w:rFonts w:ascii="Book Antiqua" w:hAnsi="Book Antiqua" w:cs="Arial"/>
          <w:b/>
          <w:sz w:val="24"/>
          <w:szCs w:val="24"/>
          <w:lang w:eastAsia="zh-CN"/>
        </w:rPr>
        <w:t xml:space="preserve">ESPS Manuscript NO: </w:t>
      </w:r>
      <w:r w:rsidRPr="00373D70">
        <w:rPr>
          <w:rFonts w:ascii="Book Antiqua" w:hAnsi="Book Antiqua" w:cs="Arial" w:hint="eastAsia"/>
          <w:b/>
          <w:sz w:val="24"/>
          <w:szCs w:val="24"/>
          <w:lang w:eastAsia="zh-CN"/>
        </w:rPr>
        <w:t>9564</w:t>
      </w:r>
    </w:p>
    <w:p w14:paraId="7EF8C9F9" w14:textId="2A2E63B5" w:rsidR="00B226FF" w:rsidRPr="00373D70" w:rsidRDefault="00B95DC7" w:rsidP="00B95DC7">
      <w:pPr>
        <w:spacing w:after="0" w:line="360" w:lineRule="auto"/>
        <w:jc w:val="both"/>
        <w:rPr>
          <w:rFonts w:ascii="Book Antiqua" w:hAnsi="Book Antiqua" w:cs="Arial"/>
          <w:b/>
          <w:sz w:val="24"/>
          <w:szCs w:val="24"/>
          <w:lang w:eastAsia="zh-CN"/>
        </w:rPr>
      </w:pPr>
      <w:r w:rsidRPr="00373D70">
        <w:rPr>
          <w:rFonts w:ascii="Book Antiqua" w:hAnsi="Book Antiqua" w:cs="Arial"/>
          <w:b/>
          <w:sz w:val="24"/>
          <w:szCs w:val="24"/>
          <w:lang w:eastAsia="zh-CN"/>
        </w:rPr>
        <w:t>Columns: Case Report</w:t>
      </w:r>
    </w:p>
    <w:p w14:paraId="0DDBCA25" w14:textId="77777777" w:rsidR="00B95DC7" w:rsidRPr="00373D70" w:rsidRDefault="00B95DC7" w:rsidP="00B95DC7">
      <w:pPr>
        <w:spacing w:after="0" w:line="360" w:lineRule="auto"/>
        <w:jc w:val="both"/>
        <w:rPr>
          <w:rFonts w:ascii="Book Antiqua" w:hAnsi="Book Antiqua" w:cs="Arial"/>
          <w:b/>
          <w:sz w:val="24"/>
          <w:szCs w:val="24"/>
          <w:lang w:eastAsia="zh-CN"/>
        </w:rPr>
      </w:pPr>
    </w:p>
    <w:p w14:paraId="29696206" w14:textId="77777777" w:rsidR="00B226FF" w:rsidRPr="00373D70" w:rsidRDefault="00C82F83" w:rsidP="00B95DC7">
      <w:pPr>
        <w:spacing w:after="0" w:line="360" w:lineRule="auto"/>
        <w:jc w:val="both"/>
        <w:rPr>
          <w:rFonts w:ascii="Book Antiqua" w:hAnsi="Book Antiqua" w:cs="Arial"/>
          <w:b/>
          <w:sz w:val="24"/>
          <w:szCs w:val="24"/>
        </w:rPr>
      </w:pPr>
      <w:r w:rsidRPr="00373D70">
        <w:rPr>
          <w:rFonts w:ascii="Book Antiqua" w:hAnsi="Book Antiqua" w:cs="Arial"/>
          <w:b/>
          <w:sz w:val="24"/>
          <w:szCs w:val="24"/>
        </w:rPr>
        <w:t>Prucalopride-associated acute tubular necrosis</w:t>
      </w:r>
    </w:p>
    <w:p w14:paraId="4AE250BA" w14:textId="77777777" w:rsidR="00B226FF" w:rsidRPr="00373D70" w:rsidRDefault="00B226FF" w:rsidP="00B95DC7">
      <w:pPr>
        <w:spacing w:after="0" w:line="360" w:lineRule="auto"/>
        <w:jc w:val="both"/>
        <w:rPr>
          <w:rFonts w:ascii="Book Antiqua" w:hAnsi="Book Antiqua" w:cs="Arial"/>
          <w:sz w:val="24"/>
          <w:szCs w:val="24"/>
          <w:lang w:eastAsia="zh-CN"/>
        </w:rPr>
      </w:pPr>
    </w:p>
    <w:p w14:paraId="512B808E" w14:textId="3244165B" w:rsidR="00373D70" w:rsidRPr="00373D70" w:rsidRDefault="00373D70" w:rsidP="00B95DC7">
      <w:pPr>
        <w:spacing w:after="0" w:line="360" w:lineRule="auto"/>
        <w:jc w:val="both"/>
        <w:rPr>
          <w:rFonts w:ascii="Book Antiqua" w:hAnsi="Book Antiqua" w:cs="Arial"/>
          <w:b/>
          <w:sz w:val="24"/>
          <w:szCs w:val="24"/>
          <w:lang w:eastAsia="zh-CN"/>
        </w:rPr>
      </w:pPr>
      <w:r w:rsidRPr="00373D70">
        <w:rPr>
          <w:rFonts w:ascii="Book Antiqua" w:hAnsi="Book Antiqua" w:cs="Arial"/>
          <w:sz w:val="24"/>
          <w:szCs w:val="24"/>
          <w:lang w:val="pt-BR"/>
        </w:rPr>
        <w:t>Sivabalasundaram</w:t>
      </w:r>
      <w:r w:rsidRPr="00373D70">
        <w:rPr>
          <w:rFonts w:ascii="Book Antiqua" w:hAnsi="Book Antiqua" w:cs="Arial" w:hint="eastAsia"/>
          <w:sz w:val="24"/>
          <w:szCs w:val="24"/>
          <w:lang w:val="pt-BR" w:eastAsia="zh-CN"/>
        </w:rPr>
        <w:t xml:space="preserve"> V </w:t>
      </w:r>
      <w:r w:rsidRPr="00373D70">
        <w:rPr>
          <w:rFonts w:ascii="Book Antiqua" w:hAnsi="Book Antiqua" w:cs="Arial" w:hint="eastAsia"/>
          <w:i/>
          <w:sz w:val="24"/>
          <w:szCs w:val="24"/>
          <w:lang w:val="pt-BR" w:eastAsia="zh-CN"/>
        </w:rPr>
        <w:t>et al</w:t>
      </w:r>
      <w:r w:rsidRPr="00373D70">
        <w:rPr>
          <w:rFonts w:ascii="Book Antiqua" w:hAnsi="Book Antiqua" w:cs="Arial" w:hint="eastAsia"/>
          <w:sz w:val="24"/>
          <w:szCs w:val="24"/>
          <w:lang w:val="pt-BR" w:eastAsia="zh-CN"/>
        </w:rPr>
        <w:t xml:space="preserve">. </w:t>
      </w:r>
      <w:r w:rsidRPr="00373D70">
        <w:rPr>
          <w:rFonts w:ascii="Book Antiqua" w:hAnsi="Book Antiqua" w:cs="Arial"/>
          <w:sz w:val="24"/>
          <w:szCs w:val="24"/>
        </w:rPr>
        <w:t>Prucalopride-associated acute tubular necrosis</w:t>
      </w:r>
    </w:p>
    <w:p w14:paraId="21C4D485" w14:textId="77777777" w:rsidR="00373D70" w:rsidRPr="00373D70" w:rsidRDefault="00373D70" w:rsidP="00B95DC7">
      <w:pPr>
        <w:spacing w:after="0" w:line="360" w:lineRule="auto"/>
        <w:jc w:val="both"/>
        <w:rPr>
          <w:rFonts w:ascii="Book Antiqua" w:hAnsi="Book Antiqua" w:cs="Arial"/>
          <w:sz w:val="24"/>
          <w:szCs w:val="24"/>
          <w:lang w:eastAsia="zh-CN"/>
        </w:rPr>
      </w:pPr>
    </w:p>
    <w:p w14:paraId="673FD386" w14:textId="2E942666" w:rsidR="00B226FF" w:rsidRPr="00373D70" w:rsidRDefault="00B226FF" w:rsidP="00B95DC7">
      <w:pPr>
        <w:spacing w:after="0" w:line="360" w:lineRule="auto"/>
        <w:jc w:val="both"/>
        <w:rPr>
          <w:rFonts w:ascii="Book Antiqua" w:hAnsi="Book Antiqua" w:cs="Arial"/>
          <w:sz w:val="24"/>
          <w:szCs w:val="24"/>
          <w:lang w:val="pt-BR"/>
        </w:rPr>
      </w:pPr>
      <w:r w:rsidRPr="00373D70">
        <w:rPr>
          <w:rFonts w:ascii="Book Antiqua" w:hAnsi="Book Antiqua" w:cs="Arial"/>
          <w:sz w:val="24"/>
          <w:szCs w:val="24"/>
          <w:lang w:val="pt-BR"/>
        </w:rPr>
        <w:t>Vithika Sivabalasundaram</w:t>
      </w:r>
      <w:r w:rsidR="007653E6" w:rsidRPr="00373D70">
        <w:rPr>
          <w:rFonts w:ascii="Book Antiqua" w:hAnsi="Book Antiqua" w:cs="Arial"/>
          <w:sz w:val="24"/>
          <w:szCs w:val="24"/>
          <w:lang w:val="pt-BR"/>
        </w:rPr>
        <w:t xml:space="preserve">, </w:t>
      </w:r>
      <w:r w:rsidRPr="00373D70">
        <w:rPr>
          <w:rFonts w:ascii="Book Antiqua" w:hAnsi="Book Antiqua" w:cs="Arial"/>
          <w:sz w:val="24"/>
          <w:szCs w:val="24"/>
          <w:lang w:val="pt-BR"/>
        </w:rPr>
        <w:t>Flavio Habal</w:t>
      </w:r>
      <w:r w:rsidR="007653E6" w:rsidRPr="00373D70">
        <w:rPr>
          <w:rFonts w:ascii="Book Antiqua" w:hAnsi="Book Antiqua" w:cs="Arial"/>
          <w:sz w:val="24"/>
          <w:szCs w:val="24"/>
          <w:lang w:val="pt-BR"/>
        </w:rPr>
        <w:t xml:space="preserve">, </w:t>
      </w:r>
      <w:r w:rsidRPr="00373D70">
        <w:rPr>
          <w:rFonts w:ascii="Book Antiqua" w:hAnsi="Book Antiqua" w:cs="Arial"/>
          <w:sz w:val="24"/>
          <w:szCs w:val="24"/>
          <w:lang w:val="pt-BR"/>
        </w:rPr>
        <w:t>David Cherney</w:t>
      </w:r>
    </w:p>
    <w:p w14:paraId="791A8263" w14:textId="77777777" w:rsidR="00373D70" w:rsidRPr="00373D70" w:rsidRDefault="00373D70" w:rsidP="00B95DC7">
      <w:pPr>
        <w:spacing w:after="0" w:line="360" w:lineRule="auto"/>
        <w:jc w:val="both"/>
        <w:rPr>
          <w:rFonts w:ascii="Book Antiqua" w:hAnsi="Book Antiqua"/>
          <w:sz w:val="24"/>
          <w:szCs w:val="24"/>
          <w:vertAlign w:val="superscript"/>
          <w:lang w:eastAsia="zh-CN"/>
        </w:rPr>
      </w:pPr>
    </w:p>
    <w:p w14:paraId="16A2A15C" w14:textId="2BF07186" w:rsidR="009E70B5" w:rsidRPr="00373D70" w:rsidRDefault="00373D70" w:rsidP="00B95DC7">
      <w:pPr>
        <w:spacing w:after="0" w:line="360" w:lineRule="auto"/>
        <w:jc w:val="both"/>
        <w:rPr>
          <w:rFonts w:ascii="Book Antiqua" w:hAnsi="Book Antiqua"/>
          <w:sz w:val="24"/>
          <w:szCs w:val="24"/>
          <w:lang w:eastAsia="zh-CN"/>
        </w:rPr>
      </w:pPr>
      <w:r w:rsidRPr="00373D70">
        <w:rPr>
          <w:rFonts w:ascii="Book Antiqua" w:hAnsi="Book Antiqua" w:cs="Arial"/>
          <w:b/>
          <w:sz w:val="24"/>
          <w:szCs w:val="24"/>
          <w:lang w:val="pt-BR"/>
        </w:rPr>
        <w:t>Vithika Sivabalasundaram, Flavio Habal,</w:t>
      </w:r>
      <w:r w:rsidRPr="00373D70">
        <w:rPr>
          <w:rFonts w:ascii="Book Antiqua" w:hAnsi="Book Antiqua" w:cs="Arial" w:hint="eastAsia"/>
          <w:b/>
          <w:sz w:val="24"/>
          <w:szCs w:val="24"/>
          <w:lang w:val="pt-BR" w:eastAsia="zh-CN"/>
        </w:rPr>
        <w:t xml:space="preserve"> </w:t>
      </w:r>
      <w:r w:rsidR="009E70B5" w:rsidRPr="00373D70">
        <w:rPr>
          <w:rFonts w:ascii="Book Antiqua" w:hAnsi="Book Antiqua"/>
          <w:sz w:val="24"/>
          <w:szCs w:val="24"/>
        </w:rPr>
        <w:t xml:space="preserve">Department of Medicine, Division of Gastroenterology, Toronto General Hospital, University of </w:t>
      </w:r>
      <w:r w:rsidR="009E70B5" w:rsidRPr="00373D70">
        <w:rPr>
          <w:rFonts w:ascii="Book Antiqua" w:hAnsi="Book Antiqua"/>
          <w:color w:val="000000"/>
          <w:sz w:val="24"/>
          <w:szCs w:val="24"/>
        </w:rPr>
        <w:t xml:space="preserve">Toronto, </w:t>
      </w:r>
      <w:r w:rsidR="00035B02" w:rsidRPr="00373D70">
        <w:rPr>
          <w:rFonts w:ascii="Book Antiqua" w:hAnsi="Book Antiqua"/>
          <w:color w:val="000000"/>
          <w:sz w:val="24"/>
          <w:szCs w:val="24"/>
        </w:rPr>
        <w:t>Toronto, M5G 2C4</w:t>
      </w:r>
      <w:r w:rsidRPr="00373D70">
        <w:rPr>
          <w:rFonts w:ascii="Book Antiqua" w:hAnsi="Book Antiqua" w:hint="eastAsia"/>
          <w:color w:val="000000"/>
          <w:sz w:val="24"/>
          <w:szCs w:val="24"/>
          <w:lang w:eastAsia="zh-CN"/>
        </w:rPr>
        <w:t>,</w:t>
      </w:r>
      <w:r w:rsidR="009E70B5" w:rsidRPr="00373D70">
        <w:rPr>
          <w:rFonts w:ascii="Book Antiqua" w:hAnsi="Book Antiqua"/>
          <w:sz w:val="24"/>
          <w:szCs w:val="24"/>
        </w:rPr>
        <w:t xml:space="preserve"> </w:t>
      </w:r>
      <w:r w:rsidRPr="00373D70">
        <w:rPr>
          <w:rFonts w:ascii="Book Antiqua" w:hAnsi="Book Antiqua"/>
          <w:color w:val="000000"/>
          <w:sz w:val="24"/>
          <w:szCs w:val="24"/>
        </w:rPr>
        <w:t>Canada</w:t>
      </w:r>
    </w:p>
    <w:p w14:paraId="09090E4C" w14:textId="77777777" w:rsidR="00373D70" w:rsidRPr="00373D70" w:rsidRDefault="00373D70" w:rsidP="00B95DC7">
      <w:pPr>
        <w:spacing w:after="0" w:line="360" w:lineRule="auto"/>
        <w:jc w:val="both"/>
        <w:rPr>
          <w:rFonts w:ascii="Book Antiqua" w:hAnsi="Book Antiqua" w:cs="Arial"/>
          <w:b/>
          <w:sz w:val="24"/>
          <w:szCs w:val="24"/>
          <w:lang w:val="pt-BR" w:eastAsia="zh-CN"/>
        </w:rPr>
      </w:pPr>
    </w:p>
    <w:p w14:paraId="78150C8D" w14:textId="0E9F7EF0" w:rsidR="009E70B5" w:rsidRPr="00373D70" w:rsidRDefault="00373D70" w:rsidP="00B95DC7">
      <w:pPr>
        <w:spacing w:after="0" w:line="360" w:lineRule="auto"/>
        <w:jc w:val="both"/>
        <w:rPr>
          <w:rFonts w:ascii="Book Antiqua" w:hAnsi="Book Antiqua"/>
          <w:color w:val="000000"/>
          <w:sz w:val="24"/>
          <w:szCs w:val="24"/>
        </w:rPr>
      </w:pPr>
      <w:r w:rsidRPr="00373D70">
        <w:rPr>
          <w:rFonts w:ascii="Book Antiqua" w:hAnsi="Book Antiqua" w:cs="Arial"/>
          <w:b/>
          <w:sz w:val="24"/>
          <w:szCs w:val="24"/>
          <w:lang w:val="pt-BR"/>
        </w:rPr>
        <w:t>David Cherney</w:t>
      </w:r>
      <w:r w:rsidRPr="00373D70">
        <w:rPr>
          <w:rFonts w:ascii="Book Antiqua" w:hAnsi="Book Antiqua" w:hint="eastAsia"/>
          <w:b/>
          <w:sz w:val="24"/>
          <w:szCs w:val="24"/>
          <w:lang w:eastAsia="zh-CN"/>
        </w:rPr>
        <w:t xml:space="preserve">, </w:t>
      </w:r>
      <w:r w:rsidR="009E70B5" w:rsidRPr="00373D70">
        <w:rPr>
          <w:rFonts w:ascii="Book Antiqua" w:hAnsi="Book Antiqua"/>
          <w:sz w:val="24"/>
          <w:szCs w:val="24"/>
        </w:rPr>
        <w:t xml:space="preserve">Department of Medicine, Division of Nephrology, Toronto General Hospital, University of Toronto, </w:t>
      </w:r>
      <w:r w:rsidR="00035B02" w:rsidRPr="00373D70">
        <w:rPr>
          <w:rFonts w:ascii="Book Antiqua" w:hAnsi="Book Antiqua"/>
          <w:sz w:val="24"/>
          <w:szCs w:val="24"/>
        </w:rPr>
        <w:t>Toronto, M5G 2C4</w:t>
      </w:r>
      <w:r w:rsidRPr="00373D70">
        <w:rPr>
          <w:rFonts w:ascii="Book Antiqua" w:hAnsi="Book Antiqua"/>
          <w:sz w:val="24"/>
          <w:szCs w:val="24"/>
        </w:rPr>
        <w:t>, Canada</w:t>
      </w:r>
    </w:p>
    <w:p w14:paraId="5A8F7E06" w14:textId="77777777" w:rsidR="009E70B5" w:rsidRPr="00373D70" w:rsidRDefault="009E70B5" w:rsidP="00B95DC7">
      <w:pPr>
        <w:spacing w:after="0" w:line="360" w:lineRule="auto"/>
        <w:jc w:val="both"/>
        <w:rPr>
          <w:rFonts w:ascii="Book Antiqua" w:hAnsi="Book Antiqua"/>
          <w:sz w:val="24"/>
          <w:szCs w:val="24"/>
          <w:lang w:val="en-US"/>
        </w:rPr>
      </w:pPr>
    </w:p>
    <w:p w14:paraId="71CD9745" w14:textId="45536A19" w:rsidR="00373D70" w:rsidRPr="00373D70" w:rsidRDefault="00373D70" w:rsidP="00373D70">
      <w:pPr>
        <w:spacing w:after="0" w:line="360" w:lineRule="auto"/>
        <w:jc w:val="both"/>
        <w:rPr>
          <w:rFonts w:ascii="Book Antiqua" w:hAnsi="Book Antiqua" w:cs="Arial"/>
          <w:sz w:val="24"/>
          <w:szCs w:val="24"/>
        </w:rPr>
      </w:pPr>
      <w:r w:rsidRPr="00373D70">
        <w:rPr>
          <w:rFonts w:ascii="Book Antiqua" w:hAnsi="Book Antiqua"/>
          <w:b/>
          <w:sz w:val="24"/>
        </w:rPr>
        <w:t>Author contributions:</w:t>
      </w:r>
      <w:r w:rsidRPr="00373D70">
        <w:rPr>
          <w:rFonts w:ascii="Book Antiqua" w:hAnsi="Book Antiqua"/>
          <w:sz w:val="24"/>
        </w:rPr>
        <w:t xml:space="preserve"> </w:t>
      </w:r>
      <w:r w:rsidRPr="00373D70">
        <w:rPr>
          <w:rFonts w:ascii="Book Antiqua" w:hAnsi="Book Antiqua" w:cs="Arial"/>
          <w:sz w:val="24"/>
          <w:szCs w:val="24"/>
          <w:lang w:val="pt-BR"/>
        </w:rPr>
        <w:t>Sivabalasundaram</w:t>
      </w:r>
      <w:r w:rsidRPr="00373D70">
        <w:rPr>
          <w:rFonts w:ascii="Book Antiqua" w:hAnsi="Book Antiqua" w:cs="Arial" w:hint="eastAsia"/>
          <w:sz w:val="24"/>
          <w:szCs w:val="24"/>
          <w:lang w:val="pt-BR" w:eastAsia="zh-CN"/>
        </w:rPr>
        <w:t xml:space="preserve"> V</w:t>
      </w:r>
      <w:r w:rsidRPr="00373D70">
        <w:rPr>
          <w:rFonts w:ascii="Book Antiqua" w:hAnsi="Book Antiqua"/>
          <w:sz w:val="24"/>
          <w:szCs w:val="24"/>
        </w:rPr>
        <w:t xml:space="preserve">, </w:t>
      </w:r>
      <w:r w:rsidRPr="00373D70">
        <w:rPr>
          <w:rFonts w:ascii="Book Antiqua" w:hAnsi="Book Antiqua" w:cs="Arial"/>
          <w:sz w:val="24"/>
          <w:szCs w:val="24"/>
          <w:lang w:val="pt-BR"/>
        </w:rPr>
        <w:t>Habal</w:t>
      </w:r>
      <w:r w:rsidRPr="00373D70">
        <w:rPr>
          <w:rFonts w:ascii="Book Antiqua" w:hAnsi="Book Antiqua"/>
          <w:sz w:val="24"/>
          <w:szCs w:val="24"/>
        </w:rPr>
        <w:t xml:space="preserve"> F and </w:t>
      </w:r>
      <w:r w:rsidRPr="00373D70">
        <w:rPr>
          <w:rFonts w:ascii="Book Antiqua" w:hAnsi="Book Antiqua" w:cs="Arial"/>
          <w:sz w:val="24"/>
          <w:szCs w:val="24"/>
          <w:lang w:val="pt-BR"/>
        </w:rPr>
        <w:t>Cherney</w:t>
      </w:r>
      <w:r w:rsidRPr="00373D70">
        <w:rPr>
          <w:rFonts w:ascii="Book Antiqua" w:hAnsi="Book Antiqua"/>
          <w:sz w:val="24"/>
          <w:szCs w:val="24"/>
        </w:rPr>
        <w:t xml:space="preserve"> D wrote and edited the manuscript</w:t>
      </w:r>
      <w:r w:rsidRPr="00373D70">
        <w:rPr>
          <w:rFonts w:ascii="Book Antiqua" w:hAnsi="Book Antiqua" w:hint="eastAsia"/>
          <w:sz w:val="24"/>
          <w:szCs w:val="24"/>
          <w:lang w:eastAsia="zh-CN"/>
        </w:rPr>
        <w:t>;</w:t>
      </w:r>
      <w:r w:rsidRPr="00373D70">
        <w:rPr>
          <w:rFonts w:ascii="Book Antiqua" w:hAnsi="Book Antiqua"/>
          <w:sz w:val="24"/>
          <w:szCs w:val="24"/>
        </w:rPr>
        <w:t xml:space="preserve"> </w:t>
      </w:r>
      <w:r w:rsidRPr="00373D70">
        <w:rPr>
          <w:rFonts w:ascii="Book Antiqua" w:hAnsi="Book Antiqua" w:hint="eastAsia"/>
          <w:sz w:val="24"/>
          <w:szCs w:val="24"/>
          <w:lang w:eastAsia="zh-CN"/>
        </w:rPr>
        <w:t>a</w:t>
      </w:r>
      <w:r w:rsidRPr="00373D70">
        <w:rPr>
          <w:rFonts w:ascii="Book Antiqua" w:hAnsi="Book Antiqua"/>
          <w:sz w:val="24"/>
          <w:szCs w:val="24"/>
        </w:rPr>
        <w:t>ll authors have approved the final version of this manuscript.</w:t>
      </w:r>
    </w:p>
    <w:p w14:paraId="4DE28F4F" w14:textId="77777777" w:rsidR="009E70B5" w:rsidRDefault="009E70B5" w:rsidP="00B95DC7">
      <w:pPr>
        <w:tabs>
          <w:tab w:val="left" w:pos="2805"/>
        </w:tabs>
        <w:spacing w:after="0" w:line="360" w:lineRule="auto"/>
        <w:jc w:val="both"/>
        <w:rPr>
          <w:rFonts w:ascii="Book Antiqua" w:hAnsi="Book Antiqua"/>
          <w:sz w:val="24"/>
          <w:szCs w:val="24"/>
          <w:lang w:eastAsia="zh-CN"/>
        </w:rPr>
      </w:pPr>
    </w:p>
    <w:p w14:paraId="29778BB0" w14:textId="41DB1B60" w:rsidR="00840F7A" w:rsidRPr="00373D70" w:rsidRDefault="00840F7A" w:rsidP="00840F7A">
      <w:pPr>
        <w:spacing w:after="0" w:line="360" w:lineRule="auto"/>
        <w:jc w:val="both"/>
        <w:rPr>
          <w:rFonts w:ascii="Book Antiqua" w:hAnsi="Book Antiqua"/>
          <w:sz w:val="24"/>
          <w:szCs w:val="24"/>
          <w:lang w:eastAsia="zh-CN"/>
        </w:rPr>
      </w:pPr>
      <w:r w:rsidRPr="00840F7A">
        <w:rPr>
          <w:rFonts w:ascii="Book Antiqua" w:hAnsi="Book Antiqua"/>
          <w:b/>
          <w:sz w:val="24"/>
          <w:szCs w:val="24"/>
          <w:lang w:val="en-GB"/>
        </w:rPr>
        <w:t>Supported by</w:t>
      </w:r>
      <w:r w:rsidRPr="00373D70">
        <w:rPr>
          <w:rFonts w:ascii="Book Antiqua" w:hAnsi="Book Antiqua"/>
          <w:sz w:val="24"/>
          <w:szCs w:val="24"/>
          <w:lang w:val="en-GB"/>
        </w:rPr>
        <w:t xml:space="preserve"> A Kidney Foundation of Canada Scholarship and a Canadian Diabetes Association-KRESCENT Program Joint New Investigator Award and receives operating support from the Canadian Institutes of Health Research and the Heart and Stroke Foundation of Canada</w:t>
      </w:r>
      <w:r>
        <w:rPr>
          <w:rFonts w:ascii="Book Antiqua" w:hAnsi="Book Antiqua" w:hint="eastAsia"/>
          <w:sz w:val="24"/>
          <w:szCs w:val="24"/>
          <w:lang w:val="en-GB" w:eastAsia="zh-CN"/>
        </w:rPr>
        <w:t xml:space="preserve"> to </w:t>
      </w:r>
      <w:r w:rsidRPr="00840F7A">
        <w:rPr>
          <w:rFonts w:ascii="Book Antiqua" w:hAnsi="Book Antiqua" w:cs="Arial"/>
          <w:sz w:val="24"/>
          <w:szCs w:val="24"/>
          <w:lang w:val="pt-BR"/>
        </w:rPr>
        <w:t>David Cherney</w:t>
      </w:r>
    </w:p>
    <w:p w14:paraId="24BD089A" w14:textId="77777777" w:rsidR="00840F7A" w:rsidRPr="00840F7A" w:rsidRDefault="00840F7A" w:rsidP="00B95DC7">
      <w:pPr>
        <w:tabs>
          <w:tab w:val="left" w:pos="2805"/>
        </w:tabs>
        <w:spacing w:after="0" w:line="360" w:lineRule="auto"/>
        <w:jc w:val="both"/>
        <w:rPr>
          <w:rFonts w:ascii="Book Antiqua" w:hAnsi="Book Antiqua"/>
          <w:sz w:val="24"/>
          <w:szCs w:val="24"/>
          <w:lang w:eastAsia="zh-CN"/>
        </w:rPr>
      </w:pPr>
    </w:p>
    <w:p w14:paraId="4D67B35D" w14:textId="2D98F819" w:rsidR="00373D70" w:rsidRPr="00373D70" w:rsidRDefault="00373D70" w:rsidP="00373D70">
      <w:pPr>
        <w:pStyle w:val="a8"/>
        <w:spacing w:line="360" w:lineRule="auto"/>
        <w:rPr>
          <w:rFonts w:ascii="Book Antiqua" w:eastAsiaTheme="minorEastAsia" w:hAnsi="Book Antiqua"/>
          <w:lang w:val="pt-BR" w:eastAsia="zh-CN"/>
        </w:rPr>
      </w:pPr>
      <w:r w:rsidRPr="00373D70">
        <w:rPr>
          <w:rFonts w:ascii="Book Antiqua" w:hAnsi="Book Antiqua"/>
          <w:b/>
        </w:rPr>
        <w:t>Correspondence to:</w:t>
      </w:r>
      <w:r w:rsidRPr="00373D70">
        <w:rPr>
          <w:rFonts w:ascii="Book Antiqua" w:eastAsiaTheme="minorEastAsia" w:hAnsi="Book Antiqua" w:hint="eastAsia"/>
          <w:b/>
          <w:lang w:eastAsia="zh-CN"/>
        </w:rPr>
        <w:t xml:space="preserve"> </w:t>
      </w:r>
      <w:r w:rsidR="00302A80" w:rsidRPr="00373D70">
        <w:rPr>
          <w:rFonts w:ascii="Book Antiqua" w:hAnsi="Book Antiqua"/>
          <w:b/>
        </w:rPr>
        <w:t>Dr. Flavio Habal</w:t>
      </w:r>
      <w:r w:rsidR="0068228D" w:rsidRPr="00373D70">
        <w:rPr>
          <w:rFonts w:ascii="Book Antiqua" w:hAnsi="Book Antiqua"/>
          <w:b/>
        </w:rPr>
        <w:t>, MD</w:t>
      </w:r>
      <w:r w:rsidRPr="00373D70">
        <w:rPr>
          <w:rFonts w:ascii="Book Antiqua" w:eastAsiaTheme="minorEastAsia" w:hAnsi="Book Antiqua" w:hint="eastAsia"/>
          <w:b/>
          <w:lang w:eastAsia="zh-CN"/>
        </w:rPr>
        <w:t>,</w:t>
      </w:r>
      <w:r w:rsidRPr="00373D70">
        <w:rPr>
          <w:rFonts w:ascii="Book Antiqua" w:eastAsiaTheme="minorEastAsia" w:hAnsi="Book Antiqua" w:hint="eastAsia"/>
          <w:lang w:eastAsia="zh-CN"/>
        </w:rPr>
        <w:t xml:space="preserve"> </w:t>
      </w:r>
      <w:r w:rsidRPr="00373D70">
        <w:rPr>
          <w:rFonts w:ascii="Book Antiqua" w:hAnsi="Book Antiqua"/>
        </w:rPr>
        <w:t xml:space="preserve">Department of Medicine, Division of Gastroenterology, Toronto General Hospital, University of </w:t>
      </w:r>
      <w:r w:rsidRPr="00373D70">
        <w:rPr>
          <w:rFonts w:ascii="Book Antiqua" w:hAnsi="Book Antiqua"/>
          <w:color w:val="000000"/>
        </w:rPr>
        <w:t xml:space="preserve">Toronto, </w:t>
      </w:r>
      <w:r w:rsidRPr="00373D70">
        <w:rPr>
          <w:rFonts w:ascii="Book Antiqua" w:hAnsi="Book Antiqua"/>
          <w:lang w:val="pt-BR"/>
        </w:rPr>
        <w:t>200 Elizabeth St</w:t>
      </w:r>
      <w:r w:rsidRPr="00373D70">
        <w:rPr>
          <w:rFonts w:ascii="Book Antiqua" w:eastAsiaTheme="minorEastAsia" w:hAnsi="Book Antiqua" w:hint="eastAsia"/>
          <w:lang w:val="pt-BR" w:eastAsia="zh-CN"/>
        </w:rPr>
        <w:t xml:space="preserve">, </w:t>
      </w:r>
      <w:r w:rsidRPr="00373D70">
        <w:rPr>
          <w:rFonts w:ascii="Book Antiqua" w:hAnsi="Book Antiqua"/>
          <w:lang w:val="pt-BR"/>
        </w:rPr>
        <w:t>9N-977</w:t>
      </w:r>
      <w:r w:rsidRPr="00373D70">
        <w:rPr>
          <w:rFonts w:ascii="Book Antiqua" w:eastAsiaTheme="minorEastAsia" w:hAnsi="Book Antiqua" w:hint="eastAsia"/>
          <w:lang w:val="pt-BR" w:eastAsia="zh-CN"/>
        </w:rPr>
        <w:t xml:space="preserve">, </w:t>
      </w:r>
      <w:r w:rsidRPr="00373D70">
        <w:rPr>
          <w:rFonts w:ascii="Book Antiqua" w:hAnsi="Book Antiqua"/>
          <w:color w:val="000000"/>
        </w:rPr>
        <w:t>Toronto, M5G 2C4</w:t>
      </w:r>
      <w:r w:rsidRPr="00373D70">
        <w:rPr>
          <w:rFonts w:ascii="Book Antiqua" w:hAnsi="Book Antiqua" w:hint="eastAsia"/>
          <w:color w:val="000000"/>
          <w:lang w:eastAsia="zh-CN"/>
        </w:rPr>
        <w:t>,</w:t>
      </w:r>
      <w:r w:rsidRPr="00373D70">
        <w:rPr>
          <w:rFonts w:ascii="Book Antiqua" w:hAnsi="Book Antiqua"/>
        </w:rPr>
        <w:t xml:space="preserve"> </w:t>
      </w:r>
      <w:r w:rsidRPr="00373D70">
        <w:rPr>
          <w:rFonts w:ascii="Book Antiqua" w:hAnsi="Book Antiqua"/>
          <w:color w:val="000000"/>
        </w:rPr>
        <w:t>Canada</w:t>
      </w:r>
      <w:r w:rsidRPr="00373D70">
        <w:rPr>
          <w:rFonts w:ascii="Book Antiqua" w:hAnsi="Book Antiqua" w:hint="eastAsia"/>
          <w:color w:val="000000"/>
          <w:lang w:eastAsia="zh-CN"/>
        </w:rPr>
        <w:t>.</w:t>
      </w:r>
      <w:r w:rsidRPr="00373D70">
        <w:rPr>
          <w:rFonts w:ascii="Book Antiqua" w:hAnsi="Book Antiqua"/>
          <w:lang w:val="fr-CA"/>
        </w:rPr>
        <w:t xml:space="preserve"> flavio.habal@uhn.ca</w:t>
      </w:r>
    </w:p>
    <w:p w14:paraId="1F639AD8" w14:textId="6B2A93B9" w:rsidR="009E70B5" w:rsidRPr="00373D70" w:rsidRDefault="009E70B5" w:rsidP="00B95DC7">
      <w:pPr>
        <w:pStyle w:val="a8"/>
        <w:spacing w:line="360" w:lineRule="auto"/>
        <w:rPr>
          <w:rFonts w:ascii="Book Antiqua" w:eastAsiaTheme="minorEastAsia" w:hAnsi="Book Antiqua"/>
          <w:lang w:val="en-CA" w:eastAsia="zh-CN"/>
        </w:rPr>
      </w:pPr>
    </w:p>
    <w:p w14:paraId="769A1EA5" w14:textId="0EAFC744" w:rsidR="009E70B5" w:rsidRPr="00373D70" w:rsidRDefault="00373D70" w:rsidP="00B95DC7">
      <w:pPr>
        <w:pStyle w:val="a8"/>
        <w:spacing w:line="360" w:lineRule="auto"/>
        <w:rPr>
          <w:rFonts w:ascii="Book Antiqua" w:hAnsi="Book Antiqua"/>
          <w:lang w:val="fr-CA"/>
        </w:rPr>
      </w:pPr>
      <w:r w:rsidRPr="00373D70">
        <w:rPr>
          <w:rFonts w:ascii="Book Antiqua" w:hAnsi="Book Antiqua"/>
          <w:b/>
        </w:rPr>
        <w:lastRenderedPageBreak/>
        <w:t>Telephone:</w:t>
      </w:r>
      <w:r w:rsidRPr="00373D70">
        <w:rPr>
          <w:rFonts w:ascii="Book Antiqua" w:hAnsi="Book Antiqua"/>
        </w:rPr>
        <w:t xml:space="preserve"> </w:t>
      </w:r>
      <w:r w:rsidR="0068228D" w:rsidRPr="00373D70">
        <w:rPr>
          <w:rFonts w:ascii="Book Antiqua" w:hAnsi="Book Antiqua"/>
          <w:lang w:val="fr-CA"/>
        </w:rPr>
        <w:t xml:space="preserve"> </w:t>
      </w:r>
      <w:r w:rsidRPr="00373D70">
        <w:rPr>
          <w:rFonts w:ascii="Book Antiqua" w:eastAsiaTheme="minorEastAsia" w:hAnsi="Book Antiqua" w:hint="eastAsia"/>
          <w:lang w:val="fr-CA" w:eastAsia="zh-CN"/>
        </w:rPr>
        <w:t>+1-</w:t>
      </w:r>
      <w:r w:rsidRPr="00373D70">
        <w:rPr>
          <w:rFonts w:ascii="Book Antiqua" w:hAnsi="Book Antiqua"/>
          <w:lang w:val="fr-CA"/>
        </w:rPr>
        <w:t>416-340</w:t>
      </w:r>
      <w:r w:rsidR="002C5EEC" w:rsidRPr="00373D70">
        <w:rPr>
          <w:rFonts w:ascii="Book Antiqua" w:hAnsi="Book Antiqua"/>
          <w:lang w:val="fr-CA"/>
        </w:rPr>
        <w:t>5024</w:t>
      </w:r>
      <w:r w:rsidRPr="00373D70">
        <w:rPr>
          <w:rFonts w:ascii="Book Antiqua" w:eastAsiaTheme="minorEastAsia" w:hAnsi="Book Antiqua" w:hint="eastAsia"/>
          <w:lang w:val="fr-CA" w:eastAsia="zh-CN"/>
        </w:rPr>
        <w:t xml:space="preserve"> </w:t>
      </w:r>
      <w:r w:rsidR="0068228D" w:rsidRPr="00373D70">
        <w:rPr>
          <w:rFonts w:ascii="Book Antiqua" w:hAnsi="Book Antiqua"/>
          <w:b/>
          <w:lang w:val="fr-CA"/>
        </w:rPr>
        <w:t xml:space="preserve">Fax: </w:t>
      </w:r>
      <w:r w:rsidRPr="00373D70">
        <w:rPr>
          <w:rFonts w:ascii="Book Antiqua" w:eastAsiaTheme="minorEastAsia" w:hAnsi="Book Antiqua" w:hint="eastAsia"/>
          <w:lang w:val="fr-CA" w:eastAsia="zh-CN"/>
        </w:rPr>
        <w:t>+1-</w:t>
      </w:r>
      <w:r w:rsidRPr="00373D70">
        <w:rPr>
          <w:rFonts w:ascii="Book Antiqua" w:hAnsi="Book Antiqua"/>
          <w:lang w:val="fr-CA"/>
        </w:rPr>
        <w:t>416-595</w:t>
      </w:r>
      <w:r w:rsidR="002C5EEC" w:rsidRPr="00373D70">
        <w:rPr>
          <w:rFonts w:ascii="Book Antiqua" w:hAnsi="Book Antiqua"/>
          <w:lang w:val="fr-CA"/>
        </w:rPr>
        <w:t>5251</w:t>
      </w:r>
    </w:p>
    <w:p w14:paraId="5B3135B0" w14:textId="77777777" w:rsidR="009E70B5" w:rsidRPr="00373D70" w:rsidRDefault="009E70B5" w:rsidP="00B95DC7">
      <w:pPr>
        <w:pStyle w:val="a8"/>
        <w:tabs>
          <w:tab w:val="left" w:pos="5900"/>
        </w:tabs>
        <w:spacing w:line="360" w:lineRule="auto"/>
        <w:rPr>
          <w:rFonts w:ascii="Book Antiqua" w:hAnsi="Book Antiqua"/>
          <w:lang w:val="fr-CA"/>
        </w:rPr>
      </w:pPr>
    </w:p>
    <w:p w14:paraId="3B4E5592" w14:textId="45EBF9DC" w:rsidR="00373D70" w:rsidRPr="00373D70" w:rsidRDefault="00373D70" w:rsidP="00373D70">
      <w:pPr>
        <w:spacing w:line="360" w:lineRule="auto"/>
        <w:rPr>
          <w:rFonts w:ascii="Book Antiqua" w:hAnsi="Book Antiqua"/>
          <w:sz w:val="24"/>
          <w:lang w:eastAsia="zh-CN"/>
        </w:rPr>
      </w:pPr>
      <w:bookmarkStart w:id="0" w:name="OLE_LINK4"/>
      <w:bookmarkStart w:id="1" w:name="OLE_LINK5"/>
      <w:r>
        <w:rPr>
          <w:rFonts w:ascii="Book Antiqua" w:hAnsi="Book Antiqua"/>
          <w:b/>
          <w:sz w:val="24"/>
        </w:rPr>
        <w:t xml:space="preserve">Received: </w:t>
      </w:r>
      <w:r w:rsidRPr="00373D70">
        <w:rPr>
          <w:rFonts w:ascii="Book Antiqua" w:hAnsi="Book Antiqua" w:hint="eastAsia"/>
          <w:sz w:val="24"/>
          <w:lang w:eastAsia="zh-CN"/>
        </w:rPr>
        <w:t>February 17, 2014</w:t>
      </w:r>
      <w:r w:rsidRPr="00691EF4">
        <w:rPr>
          <w:rFonts w:ascii="Book Antiqua" w:hAnsi="Book Antiqua"/>
          <w:sz w:val="24"/>
        </w:rPr>
        <w:t xml:space="preserve"> </w:t>
      </w:r>
      <w:r w:rsidRPr="00691EF4">
        <w:rPr>
          <w:rFonts w:ascii="Book Antiqua" w:hAnsi="Book Antiqua"/>
          <w:b/>
          <w:sz w:val="24"/>
        </w:rPr>
        <w:t xml:space="preserve">Revised: </w:t>
      </w:r>
      <w:r w:rsidRPr="00373D70">
        <w:rPr>
          <w:rFonts w:ascii="Book Antiqua" w:hAnsi="Book Antiqua" w:hint="eastAsia"/>
          <w:sz w:val="24"/>
          <w:lang w:eastAsia="zh-CN"/>
        </w:rPr>
        <w:t>April 29, 2014</w:t>
      </w:r>
    </w:p>
    <w:p w14:paraId="0C9BAA17" w14:textId="77777777" w:rsidR="00666519" w:rsidRDefault="00373D70" w:rsidP="00666519">
      <w:pPr>
        <w:rPr>
          <w:rFonts w:ascii="Book Antiqua" w:hAnsi="Book Antiqua"/>
          <w:color w:val="000000"/>
          <w:sz w:val="24"/>
        </w:rPr>
      </w:pPr>
      <w:r w:rsidRPr="00691EF4">
        <w:rPr>
          <w:rFonts w:ascii="Book Antiqua" w:hAnsi="Book Antiqua"/>
          <w:b/>
          <w:sz w:val="24"/>
        </w:rPr>
        <w:t xml:space="preserve">Accepted: </w:t>
      </w:r>
      <w:bookmarkStart w:id="2" w:name="OLE_LINK1"/>
      <w:bookmarkStart w:id="3" w:name="OLE_LINK2"/>
      <w:bookmarkStart w:id="4" w:name="OLE_LINK3"/>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r w:rsidR="00666519">
        <w:rPr>
          <w:rFonts w:ascii="Book Antiqua" w:hAnsi="Book Antiqua"/>
          <w:color w:val="000000"/>
          <w:sz w:val="24"/>
        </w:rPr>
        <w:t>June 14, 2014</w:t>
      </w: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14:paraId="47359FC6" w14:textId="77777777" w:rsidR="00373D70" w:rsidRPr="00691EF4" w:rsidRDefault="00373D70" w:rsidP="00373D70">
      <w:pPr>
        <w:spacing w:line="360" w:lineRule="auto"/>
        <w:rPr>
          <w:rFonts w:ascii="Book Antiqua" w:hAnsi="Book Antiqua"/>
          <w:sz w:val="24"/>
        </w:rPr>
      </w:pPr>
    </w:p>
    <w:p w14:paraId="6F3F51AF" w14:textId="77777777" w:rsidR="00373D70" w:rsidRPr="00691EF4" w:rsidRDefault="00373D70" w:rsidP="00373D70">
      <w:pPr>
        <w:spacing w:after="0" w:line="360" w:lineRule="auto"/>
        <w:rPr>
          <w:rFonts w:ascii="Book Antiqua" w:hAnsi="Book Antiqua"/>
          <w:sz w:val="24"/>
        </w:rPr>
      </w:pPr>
      <w:r w:rsidRPr="00691EF4">
        <w:rPr>
          <w:rFonts w:ascii="Book Antiqua" w:hAnsi="Book Antiqua"/>
          <w:b/>
          <w:sz w:val="24"/>
        </w:rPr>
        <w:t xml:space="preserve">Published online: </w:t>
      </w:r>
    </w:p>
    <w:bookmarkEnd w:id="0"/>
    <w:bookmarkEnd w:id="1"/>
    <w:p w14:paraId="29990B83" w14:textId="3A29D498" w:rsidR="00007B48" w:rsidRPr="00373D70" w:rsidRDefault="00007B48" w:rsidP="00373D70">
      <w:pPr>
        <w:spacing w:after="0" w:line="360" w:lineRule="auto"/>
        <w:jc w:val="both"/>
        <w:rPr>
          <w:rFonts w:ascii="Book Antiqua" w:hAnsi="Book Antiqua" w:cs="Arial"/>
          <w:b/>
          <w:sz w:val="24"/>
          <w:szCs w:val="24"/>
        </w:rPr>
      </w:pPr>
    </w:p>
    <w:p w14:paraId="6F5B6333" w14:textId="2CEA8D43" w:rsidR="00007B48" w:rsidRPr="00373D70" w:rsidRDefault="00373D70" w:rsidP="00373D70">
      <w:pPr>
        <w:spacing w:after="0" w:line="360" w:lineRule="auto"/>
        <w:jc w:val="both"/>
        <w:rPr>
          <w:rFonts w:ascii="Book Antiqua" w:hAnsi="Book Antiqua" w:cs="Arial"/>
          <w:b/>
          <w:sz w:val="24"/>
          <w:szCs w:val="24"/>
          <w:lang w:eastAsia="zh-CN"/>
        </w:rPr>
      </w:pPr>
      <w:r>
        <w:rPr>
          <w:rFonts w:ascii="Book Antiqua" w:hAnsi="Book Antiqua" w:cs="Arial"/>
          <w:b/>
          <w:sz w:val="24"/>
          <w:szCs w:val="24"/>
        </w:rPr>
        <w:t>Abstract</w:t>
      </w:r>
    </w:p>
    <w:p w14:paraId="1FF987BA" w14:textId="3345E579" w:rsidR="00007B48" w:rsidRPr="00373D70" w:rsidRDefault="00007B48" w:rsidP="00373D70">
      <w:pPr>
        <w:spacing w:after="0" w:line="360" w:lineRule="auto"/>
        <w:jc w:val="both"/>
        <w:rPr>
          <w:rFonts w:ascii="Book Antiqua" w:hAnsi="Book Antiqua" w:cs="Arial"/>
          <w:sz w:val="24"/>
          <w:szCs w:val="24"/>
        </w:rPr>
      </w:pPr>
      <w:r w:rsidRPr="00373D70">
        <w:rPr>
          <w:rFonts w:ascii="Book Antiqua" w:hAnsi="Book Antiqua" w:cs="Arial"/>
          <w:sz w:val="24"/>
          <w:szCs w:val="24"/>
        </w:rPr>
        <w:t xml:space="preserve">We report the first case of </w:t>
      </w:r>
      <w:r w:rsidR="003B7BF8" w:rsidRPr="00373D70">
        <w:rPr>
          <w:rFonts w:ascii="Book Antiqua" w:hAnsi="Book Antiqua" w:cs="Arial"/>
          <w:sz w:val="24"/>
          <w:szCs w:val="24"/>
        </w:rPr>
        <w:t>acute renal failure secondary to prucalopride, a novel agent for the treatment of chronic constipation. The 75 year</w:t>
      </w:r>
      <w:r w:rsidR="00373D70">
        <w:rPr>
          <w:rFonts w:ascii="Book Antiqua" w:hAnsi="Book Antiqua" w:cs="Arial" w:hint="eastAsia"/>
          <w:sz w:val="24"/>
          <w:szCs w:val="24"/>
          <w:lang w:eastAsia="zh-CN"/>
        </w:rPr>
        <w:t>s</w:t>
      </w:r>
      <w:r w:rsidR="003B7BF8" w:rsidRPr="00373D70">
        <w:rPr>
          <w:rFonts w:ascii="Book Antiqua" w:hAnsi="Book Antiqua" w:cs="Arial"/>
          <w:sz w:val="24"/>
          <w:szCs w:val="24"/>
        </w:rPr>
        <w:t xml:space="preserve"> old male patient was initiated on prucalopride </w:t>
      </w:r>
      <w:r w:rsidR="0068228D" w:rsidRPr="00373D70">
        <w:rPr>
          <w:rFonts w:ascii="Book Antiqua" w:hAnsi="Book Antiqua" w:cs="Arial"/>
          <w:sz w:val="24"/>
          <w:szCs w:val="24"/>
        </w:rPr>
        <w:t xml:space="preserve">after </w:t>
      </w:r>
      <w:r w:rsidR="003B7BF8" w:rsidRPr="00373D70">
        <w:rPr>
          <w:rFonts w:ascii="Book Antiqua" w:hAnsi="Book Antiqua" w:cs="Arial"/>
          <w:sz w:val="24"/>
          <w:szCs w:val="24"/>
        </w:rPr>
        <w:t xml:space="preserve">many failed treatments for constipation </w:t>
      </w:r>
      <w:r w:rsidR="0068228D" w:rsidRPr="00373D70">
        <w:rPr>
          <w:rFonts w:ascii="Book Antiqua" w:hAnsi="Book Antiqua" w:cs="Arial"/>
          <w:sz w:val="24"/>
          <w:szCs w:val="24"/>
        </w:rPr>
        <w:t>following</w:t>
      </w:r>
      <w:r w:rsidR="003B7BF8" w:rsidRPr="00373D70">
        <w:rPr>
          <w:rFonts w:ascii="Book Antiqua" w:hAnsi="Book Antiqua" w:cs="Arial"/>
          <w:sz w:val="24"/>
          <w:szCs w:val="24"/>
        </w:rPr>
        <w:t xml:space="preserve"> a Whipple’s proc</w:t>
      </w:r>
      <w:r w:rsidR="0068228D" w:rsidRPr="00373D70">
        <w:rPr>
          <w:rFonts w:ascii="Book Antiqua" w:hAnsi="Book Antiqua" w:cs="Arial"/>
          <w:sz w:val="24"/>
          <w:szCs w:val="24"/>
        </w:rPr>
        <w:t xml:space="preserve">edure for pancreatic cancer. Within </w:t>
      </w:r>
      <w:r w:rsidR="007653E6" w:rsidRPr="00373D70">
        <w:rPr>
          <w:rFonts w:ascii="Book Antiqua" w:hAnsi="Book Antiqua" w:cs="Arial"/>
          <w:sz w:val="24"/>
          <w:szCs w:val="24"/>
        </w:rPr>
        <w:t>four</w:t>
      </w:r>
      <w:r w:rsidR="003B7BF8" w:rsidRPr="00373D70">
        <w:rPr>
          <w:rFonts w:ascii="Book Antiqua" w:hAnsi="Book Antiqua" w:cs="Arial"/>
          <w:sz w:val="24"/>
          <w:szCs w:val="24"/>
        </w:rPr>
        <w:t xml:space="preserve"> months</w:t>
      </w:r>
      <w:r w:rsidR="0068228D" w:rsidRPr="00373D70">
        <w:rPr>
          <w:rFonts w:ascii="Book Antiqua" w:hAnsi="Book Antiqua" w:cs="Arial"/>
          <w:sz w:val="24"/>
          <w:szCs w:val="24"/>
        </w:rPr>
        <w:t xml:space="preserve"> of treatment his creatinine rose from 103 to 285 μmo</w:t>
      </w:r>
      <w:r w:rsidR="00E7142F" w:rsidRPr="00373D70">
        <w:rPr>
          <w:rFonts w:ascii="Book Antiqua" w:hAnsi="Book Antiqua" w:cs="Arial"/>
          <w:sz w:val="24"/>
          <w:szCs w:val="24"/>
        </w:rPr>
        <w:t>l</w:t>
      </w:r>
      <w:r w:rsidR="0068228D" w:rsidRPr="00373D70">
        <w:rPr>
          <w:rFonts w:ascii="Book Antiqua" w:hAnsi="Book Antiqua" w:cs="Arial"/>
          <w:sz w:val="24"/>
          <w:szCs w:val="24"/>
        </w:rPr>
        <w:t>/L</w:t>
      </w:r>
      <w:r w:rsidR="00E7142F" w:rsidRPr="00373D70">
        <w:rPr>
          <w:rFonts w:ascii="Book Antiqua" w:hAnsi="Book Antiqua" w:cs="Arial"/>
          <w:sz w:val="24"/>
          <w:szCs w:val="24"/>
        </w:rPr>
        <w:t xml:space="preserve"> (eGFR 61 decrease to 19 m</w:t>
      </w:r>
      <w:r w:rsidR="00373D70">
        <w:rPr>
          <w:rFonts w:ascii="Book Antiqua" w:hAnsi="Book Antiqua" w:cs="Arial" w:hint="eastAsia"/>
          <w:sz w:val="24"/>
          <w:szCs w:val="24"/>
          <w:lang w:eastAsia="zh-CN"/>
        </w:rPr>
        <w:t>L</w:t>
      </w:r>
      <w:r w:rsidR="00E7142F" w:rsidRPr="00373D70">
        <w:rPr>
          <w:rFonts w:ascii="Book Antiqua" w:hAnsi="Book Antiqua" w:cs="Arial"/>
          <w:sz w:val="24"/>
          <w:szCs w:val="24"/>
        </w:rPr>
        <w:t>/min</w:t>
      </w:r>
      <w:r w:rsidR="00373D70">
        <w:rPr>
          <w:rFonts w:ascii="Book Antiqua" w:hAnsi="Book Antiqua" w:cs="Arial" w:hint="eastAsia"/>
          <w:sz w:val="24"/>
          <w:szCs w:val="24"/>
          <w:lang w:eastAsia="zh-CN"/>
        </w:rPr>
        <w:t xml:space="preserve"> per </w:t>
      </w:r>
      <w:r w:rsidR="00E7142F" w:rsidRPr="00373D70">
        <w:rPr>
          <w:rFonts w:ascii="Book Antiqua" w:hAnsi="Book Antiqua" w:cs="Arial"/>
          <w:sz w:val="24"/>
          <w:szCs w:val="24"/>
        </w:rPr>
        <w:t>1.73</w:t>
      </w:r>
      <w:r w:rsidR="00373D70">
        <w:rPr>
          <w:rFonts w:ascii="Book Antiqua" w:hAnsi="Book Antiqua" w:cs="Arial" w:hint="eastAsia"/>
          <w:sz w:val="24"/>
          <w:szCs w:val="24"/>
          <w:lang w:eastAsia="zh-CN"/>
        </w:rPr>
        <w:t xml:space="preserve"> </w:t>
      </w:r>
      <w:r w:rsidR="00E7142F" w:rsidRPr="00373D70">
        <w:rPr>
          <w:rFonts w:ascii="Book Antiqua" w:hAnsi="Book Antiqua" w:cs="Arial"/>
          <w:sz w:val="24"/>
          <w:szCs w:val="24"/>
        </w:rPr>
        <w:t>m</w:t>
      </w:r>
      <w:r w:rsidR="00E7142F" w:rsidRPr="00373D70">
        <w:rPr>
          <w:rFonts w:ascii="Book Antiqua" w:hAnsi="Book Antiqua" w:cs="Arial"/>
          <w:sz w:val="24"/>
          <w:szCs w:val="24"/>
          <w:vertAlign w:val="superscript"/>
        </w:rPr>
        <w:t>2</w:t>
      </w:r>
      <w:r w:rsidR="00E7142F" w:rsidRPr="00373D70">
        <w:rPr>
          <w:rFonts w:ascii="Book Antiqua" w:hAnsi="Book Antiqua" w:cs="Arial"/>
          <w:sz w:val="24"/>
          <w:szCs w:val="24"/>
        </w:rPr>
        <w:t>)</w:t>
      </w:r>
      <w:r w:rsidR="003B7BF8" w:rsidRPr="00373D70">
        <w:rPr>
          <w:rFonts w:ascii="Book Antiqua" w:hAnsi="Book Antiqua" w:cs="Arial"/>
          <w:sz w:val="24"/>
          <w:szCs w:val="24"/>
        </w:rPr>
        <w:t>. He was initially treated with prednisone for presumed acute interstitial nephritis</w:t>
      </w:r>
      <w:r w:rsidR="007F4257" w:rsidRPr="00373D70">
        <w:rPr>
          <w:rFonts w:ascii="Book Antiqua" w:hAnsi="Book Antiqua" w:cs="Arial"/>
          <w:sz w:val="24"/>
          <w:szCs w:val="24"/>
        </w:rPr>
        <w:t xml:space="preserve"> as white blood casts were seen on urine microscopy</w:t>
      </w:r>
      <w:r w:rsidR="003B7BF8" w:rsidRPr="00373D70">
        <w:rPr>
          <w:rFonts w:ascii="Book Antiqua" w:hAnsi="Book Antiqua" w:cs="Arial"/>
          <w:sz w:val="24"/>
          <w:szCs w:val="24"/>
        </w:rPr>
        <w:t xml:space="preserve">. When no improvement was detected, a core biopsy was performed and revealed interstitial fibrosis and tubular atrophy. The presence of oxalate and calcium phosphate crystals were also noted. </w:t>
      </w:r>
      <w:r w:rsidR="007F4257" w:rsidRPr="00373D70">
        <w:rPr>
          <w:rFonts w:ascii="Book Antiqua" w:hAnsi="Book Antiqua" w:cs="Arial"/>
          <w:sz w:val="24"/>
          <w:szCs w:val="24"/>
        </w:rPr>
        <w:t>These findings suggest acute tubular necrosis which may have been secondary to acute interstitial nephritis or hemodynamic insult. The use of prednisone may have suppressed sig</w:t>
      </w:r>
      <w:r w:rsidR="0068228D" w:rsidRPr="00373D70">
        <w:rPr>
          <w:rFonts w:ascii="Book Antiqua" w:hAnsi="Book Antiqua" w:cs="Arial"/>
          <w:sz w:val="24"/>
          <w:szCs w:val="24"/>
        </w:rPr>
        <w:t>n</w:t>
      </w:r>
      <w:r w:rsidR="007F4257" w:rsidRPr="00373D70">
        <w:rPr>
          <w:rFonts w:ascii="Book Antiqua" w:hAnsi="Book Antiqua" w:cs="Arial"/>
          <w:sz w:val="24"/>
          <w:szCs w:val="24"/>
        </w:rPr>
        <w:t xml:space="preserve">s of inflammation and therefore the clinical diagnosis was deemed acute interstitial nephritis causing acute tubular necrosis. </w:t>
      </w:r>
      <w:r w:rsidR="0068228D" w:rsidRPr="00373D70">
        <w:rPr>
          <w:rFonts w:ascii="Book Antiqua" w:hAnsi="Book Antiqua" w:cs="Arial"/>
          <w:sz w:val="24"/>
          <w:szCs w:val="24"/>
        </w:rPr>
        <w:t>There are no previous reports of prucalopride associated with acute renal failure from the literature, including previous Phase II and II</w:t>
      </w:r>
      <w:r w:rsidR="007653E6" w:rsidRPr="00373D70">
        <w:rPr>
          <w:rFonts w:ascii="Book Antiqua" w:hAnsi="Book Antiqua" w:cs="Arial"/>
          <w:sz w:val="24"/>
          <w:szCs w:val="24"/>
        </w:rPr>
        <w:t>I</w:t>
      </w:r>
      <w:r w:rsidR="0068228D" w:rsidRPr="00373D70">
        <w:rPr>
          <w:rFonts w:ascii="Book Antiqua" w:hAnsi="Book Antiqua" w:cs="Arial"/>
          <w:sz w:val="24"/>
          <w:szCs w:val="24"/>
        </w:rPr>
        <w:t xml:space="preserve"> trials. </w:t>
      </w:r>
      <w:r w:rsidR="007F4257" w:rsidRPr="00373D70">
        <w:rPr>
          <w:rFonts w:ascii="Book Antiqua" w:hAnsi="Book Antiqua" w:cs="Arial"/>
          <w:sz w:val="24"/>
          <w:szCs w:val="24"/>
        </w:rPr>
        <w:t xml:space="preserve"> </w:t>
      </w:r>
    </w:p>
    <w:p w14:paraId="42D1B3F0" w14:textId="77777777" w:rsidR="00373D70" w:rsidRDefault="00373D70" w:rsidP="00B95DC7">
      <w:pPr>
        <w:spacing w:after="0" w:line="360" w:lineRule="auto"/>
        <w:jc w:val="both"/>
        <w:rPr>
          <w:rFonts w:ascii="Book Antiqua" w:hAnsi="Book Antiqua" w:cs="Tahoma"/>
          <w:sz w:val="24"/>
          <w:lang w:eastAsia="zh-CN"/>
        </w:rPr>
      </w:pPr>
    </w:p>
    <w:p w14:paraId="42D8A923" w14:textId="52C74C94" w:rsidR="0068228D" w:rsidRDefault="00373D70" w:rsidP="00B95DC7">
      <w:pPr>
        <w:spacing w:after="0" w:line="360" w:lineRule="auto"/>
        <w:jc w:val="both"/>
        <w:rPr>
          <w:rFonts w:ascii="Book Antiqua" w:hAnsi="Book Antiqua" w:cs="Tahoma"/>
          <w:sz w:val="24"/>
          <w:lang w:eastAsia="zh-CN"/>
        </w:rPr>
      </w:pPr>
      <w:r w:rsidRPr="00F41EAA">
        <w:rPr>
          <w:rFonts w:ascii="Book Antiqua" w:hAnsi="Book Antiqua" w:cs="Tahoma"/>
          <w:sz w:val="24"/>
          <w:lang w:eastAsia="ja-JP"/>
        </w:rPr>
        <w:t>© 201</w:t>
      </w:r>
      <w:r w:rsidRPr="00F41EAA">
        <w:rPr>
          <w:rFonts w:ascii="Book Antiqua" w:hAnsi="Book Antiqua" w:cs="Tahoma" w:hint="eastAsia"/>
          <w:sz w:val="24"/>
        </w:rPr>
        <w:t>4</w:t>
      </w:r>
      <w:r w:rsidRPr="00F41EAA">
        <w:rPr>
          <w:rFonts w:ascii="Book Antiqua" w:hAnsi="Book Antiqua" w:cs="Tahoma"/>
          <w:sz w:val="24"/>
          <w:lang w:eastAsia="ja-JP"/>
        </w:rPr>
        <w:t xml:space="preserve"> Baishideng Publishing Group </w:t>
      </w:r>
      <w:r w:rsidRPr="00F41EAA">
        <w:rPr>
          <w:rFonts w:ascii="Book Antiqua" w:hAnsi="Book Antiqua" w:cs="Tahoma" w:hint="eastAsia"/>
          <w:sz w:val="24"/>
        </w:rPr>
        <w:t>Inc</w:t>
      </w:r>
      <w:r w:rsidRPr="00F41EAA">
        <w:rPr>
          <w:rFonts w:ascii="Book Antiqua" w:hAnsi="Book Antiqua" w:cs="Tahoma"/>
          <w:sz w:val="24"/>
          <w:lang w:eastAsia="ja-JP"/>
        </w:rPr>
        <w:t>. All rights</w:t>
      </w:r>
      <w:r w:rsidRPr="00F41EAA">
        <w:rPr>
          <w:rFonts w:ascii="Book Antiqua" w:hAnsi="Book Antiqua" w:cs="Tahoma"/>
          <w:sz w:val="24"/>
        </w:rPr>
        <w:t xml:space="preserve"> </w:t>
      </w:r>
      <w:r w:rsidRPr="00F41EAA">
        <w:rPr>
          <w:rFonts w:ascii="Book Antiqua" w:hAnsi="Book Antiqua" w:cs="Tahoma"/>
          <w:sz w:val="24"/>
          <w:lang w:eastAsia="ja-JP"/>
        </w:rPr>
        <w:t>reserved</w:t>
      </w:r>
      <w:r>
        <w:rPr>
          <w:rFonts w:ascii="Book Antiqua" w:hAnsi="Book Antiqua" w:cs="Tahoma" w:hint="eastAsia"/>
          <w:sz w:val="24"/>
          <w:lang w:eastAsia="zh-CN"/>
        </w:rPr>
        <w:t>.</w:t>
      </w:r>
    </w:p>
    <w:p w14:paraId="542CB923" w14:textId="77777777" w:rsidR="00373D70" w:rsidRPr="00373D70" w:rsidRDefault="00373D70" w:rsidP="00B95DC7">
      <w:pPr>
        <w:spacing w:after="0" w:line="360" w:lineRule="auto"/>
        <w:jc w:val="both"/>
        <w:rPr>
          <w:rFonts w:ascii="Book Antiqua" w:hAnsi="Book Antiqua" w:cs="Arial"/>
          <w:b/>
          <w:sz w:val="24"/>
          <w:szCs w:val="24"/>
          <w:lang w:eastAsia="zh-CN"/>
        </w:rPr>
      </w:pPr>
    </w:p>
    <w:p w14:paraId="00B9CFA5" w14:textId="76758146" w:rsidR="00373D70" w:rsidRPr="00373D70" w:rsidRDefault="00373D70" w:rsidP="00373D70">
      <w:pPr>
        <w:pStyle w:val="a8"/>
        <w:spacing w:line="360" w:lineRule="auto"/>
        <w:rPr>
          <w:rFonts w:ascii="Book Antiqua" w:hAnsi="Book Antiqua"/>
          <w:lang w:val="pt-BR"/>
        </w:rPr>
      </w:pPr>
      <w:r w:rsidRPr="00373D70">
        <w:rPr>
          <w:rFonts w:ascii="Book Antiqua" w:hAnsi="Book Antiqua"/>
          <w:b/>
          <w:lang w:val="pt-BR"/>
        </w:rPr>
        <w:t xml:space="preserve">Key </w:t>
      </w:r>
      <w:r>
        <w:rPr>
          <w:rFonts w:ascii="Book Antiqua" w:eastAsiaTheme="minorEastAsia" w:hAnsi="Book Antiqua" w:hint="eastAsia"/>
          <w:b/>
          <w:lang w:val="pt-BR" w:eastAsia="zh-CN"/>
        </w:rPr>
        <w:t>w</w:t>
      </w:r>
      <w:r w:rsidRPr="00373D70">
        <w:rPr>
          <w:rFonts w:ascii="Book Antiqua" w:hAnsi="Book Antiqua"/>
          <w:b/>
          <w:lang w:val="pt-BR"/>
        </w:rPr>
        <w:t>ords:</w:t>
      </w:r>
      <w:r w:rsidRPr="00373D70">
        <w:rPr>
          <w:rFonts w:ascii="Book Antiqua" w:hAnsi="Book Antiqua"/>
          <w:lang w:val="pt-BR"/>
        </w:rPr>
        <w:t xml:space="preserve"> Prucalopride</w:t>
      </w:r>
      <w:r>
        <w:rPr>
          <w:rFonts w:ascii="Book Antiqua" w:eastAsiaTheme="minorEastAsia" w:hAnsi="Book Antiqua" w:hint="eastAsia"/>
          <w:lang w:val="pt-BR" w:eastAsia="zh-CN"/>
        </w:rPr>
        <w:t>;</w:t>
      </w:r>
      <w:r w:rsidRPr="00373D70">
        <w:rPr>
          <w:rFonts w:ascii="Book Antiqua" w:hAnsi="Book Antiqua"/>
          <w:lang w:val="pt-BR"/>
        </w:rPr>
        <w:t xml:space="preserve"> Acute kidney tubular necrosis</w:t>
      </w:r>
      <w:r>
        <w:rPr>
          <w:rFonts w:ascii="Book Antiqua" w:eastAsiaTheme="minorEastAsia" w:hAnsi="Book Antiqua" w:hint="eastAsia"/>
          <w:lang w:val="pt-BR" w:eastAsia="zh-CN"/>
        </w:rPr>
        <w:t>;</w:t>
      </w:r>
      <w:r w:rsidRPr="00373D70">
        <w:rPr>
          <w:rFonts w:ascii="Book Antiqua" w:hAnsi="Book Antiqua"/>
          <w:lang w:val="pt-BR"/>
        </w:rPr>
        <w:t xml:space="preserve"> Renal insufficiency</w:t>
      </w:r>
      <w:r>
        <w:rPr>
          <w:rFonts w:ascii="Book Antiqua" w:eastAsiaTheme="minorEastAsia" w:hAnsi="Book Antiqua" w:hint="eastAsia"/>
          <w:lang w:val="pt-BR" w:eastAsia="zh-CN"/>
        </w:rPr>
        <w:t>;</w:t>
      </w:r>
      <w:r w:rsidRPr="00373D70">
        <w:rPr>
          <w:rFonts w:ascii="Book Antiqua" w:hAnsi="Book Antiqua"/>
          <w:lang w:val="pt-BR"/>
        </w:rPr>
        <w:t xml:space="preserve"> Constipation</w:t>
      </w:r>
      <w:r>
        <w:rPr>
          <w:rFonts w:ascii="Book Antiqua" w:eastAsiaTheme="minorEastAsia" w:hAnsi="Book Antiqua" w:hint="eastAsia"/>
          <w:lang w:val="pt-BR" w:eastAsia="zh-CN"/>
        </w:rPr>
        <w:t>;</w:t>
      </w:r>
      <w:r w:rsidRPr="00373D70">
        <w:rPr>
          <w:rFonts w:ascii="Book Antiqua" w:hAnsi="Book Antiqua"/>
          <w:lang w:val="pt-BR"/>
        </w:rPr>
        <w:t xml:space="preserve"> Adverse drug event</w:t>
      </w:r>
    </w:p>
    <w:p w14:paraId="260AA071" w14:textId="77777777" w:rsidR="00373D70" w:rsidRPr="00373D70" w:rsidRDefault="00373D70" w:rsidP="00B95DC7">
      <w:pPr>
        <w:spacing w:after="0" w:line="360" w:lineRule="auto"/>
        <w:jc w:val="both"/>
        <w:rPr>
          <w:rFonts w:ascii="Book Antiqua" w:hAnsi="Book Antiqua" w:cs="Arial"/>
          <w:b/>
          <w:sz w:val="24"/>
          <w:szCs w:val="24"/>
          <w:lang w:eastAsia="zh-CN"/>
        </w:rPr>
      </w:pPr>
    </w:p>
    <w:p w14:paraId="2640B81E" w14:textId="7F8ABA49" w:rsidR="00680C3D" w:rsidRPr="00373D70" w:rsidRDefault="00F90C1A" w:rsidP="00B95DC7">
      <w:pPr>
        <w:spacing w:after="0" w:line="360" w:lineRule="auto"/>
        <w:jc w:val="both"/>
        <w:rPr>
          <w:rFonts w:ascii="Book Antiqua" w:hAnsi="Book Antiqua" w:cs="Arial"/>
          <w:sz w:val="24"/>
          <w:szCs w:val="24"/>
        </w:rPr>
      </w:pPr>
      <w:r w:rsidRPr="00373D70">
        <w:rPr>
          <w:rFonts w:ascii="Book Antiqua" w:eastAsia="Arial Unicode MS" w:hAnsi="Book Antiqua" w:cs="Arial Unicode MS"/>
          <w:b/>
          <w:sz w:val="24"/>
          <w:szCs w:val="24"/>
        </w:rPr>
        <w:t>C</w:t>
      </w:r>
      <w:r w:rsidR="00373D70" w:rsidRPr="00373D70">
        <w:rPr>
          <w:rFonts w:ascii="Book Antiqua" w:eastAsia="Arial Unicode MS" w:hAnsi="Book Antiqua" w:cs="Arial Unicode MS"/>
          <w:b/>
          <w:sz w:val="24"/>
          <w:szCs w:val="24"/>
        </w:rPr>
        <w:t>ore tip</w:t>
      </w:r>
      <w:r w:rsidR="00373D70">
        <w:rPr>
          <w:rFonts w:ascii="Book Antiqua" w:eastAsia="Arial Unicode MS" w:hAnsi="Book Antiqua" w:cs="Arial Unicode MS" w:hint="eastAsia"/>
          <w:b/>
          <w:sz w:val="24"/>
          <w:szCs w:val="24"/>
          <w:lang w:eastAsia="zh-CN"/>
        </w:rPr>
        <w:t xml:space="preserve">: </w:t>
      </w:r>
      <w:r w:rsidR="00680C3D" w:rsidRPr="00373D70">
        <w:rPr>
          <w:rFonts w:ascii="Book Antiqua" w:hAnsi="Book Antiqua" w:cs="Arial"/>
          <w:sz w:val="24"/>
          <w:szCs w:val="24"/>
        </w:rPr>
        <w:t xml:space="preserve">Prucalopride is a novel agent used in the treatment of chronic constipation. We report the first case of acute renal failure secondary to prucalopride </w:t>
      </w:r>
      <w:r w:rsidR="00F1042C" w:rsidRPr="00373D70">
        <w:rPr>
          <w:rFonts w:ascii="Book Antiqua" w:hAnsi="Book Antiqua" w:cs="Arial"/>
          <w:sz w:val="24"/>
          <w:szCs w:val="24"/>
        </w:rPr>
        <w:t>four months after treatmen</w:t>
      </w:r>
      <w:r w:rsidR="00680C3D" w:rsidRPr="00373D70">
        <w:rPr>
          <w:rFonts w:ascii="Book Antiqua" w:hAnsi="Book Antiqua" w:cs="Arial"/>
          <w:sz w:val="24"/>
          <w:szCs w:val="24"/>
        </w:rPr>
        <w:t>t</w:t>
      </w:r>
      <w:r w:rsidR="00F1042C" w:rsidRPr="00373D70">
        <w:rPr>
          <w:rFonts w:ascii="Book Antiqua" w:hAnsi="Book Antiqua" w:cs="Arial"/>
          <w:sz w:val="24"/>
          <w:szCs w:val="24"/>
        </w:rPr>
        <w:t xml:space="preserve"> initiation</w:t>
      </w:r>
      <w:r w:rsidR="00680C3D" w:rsidRPr="00373D70">
        <w:rPr>
          <w:rFonts w:ascii="Book Antiqua" w:hAnsi="Book Antiqua" w:cs="Arial"/>
          <w:sz w:val="24"/>
          <w:szCs w:val="24"/>
        </w:rPr>
        <w:t xml:space="preserve">. A core renal biopsy </w:t>
      </w:r>
      <w:r w:rsidR="001160D6" w:rsidRPr="00373D70">
        <w:rPr>
          <w:rFonts w:ascii="Book Antiqua" w:hAnsi="Book Antiqua" w:cs="Arial"/>
          <w:sz w:val="24"/>
          <w:szCs w:val="24"/>
        </w:rPr>
        <w:t xml:space="preserve">after prednisone therapy </w:t>
      </w:r>
      <w:r w:rsidR="00680C3D" w:rsidRPr="00373D70">
        <w:rPr>
          <w:rFonts w:ascii="Book Antiqua" w:hAnsi="Book Antiqua" w:cs="Arial"/>
          <w:sz w:val="24"/>
          <w:szCs w:val="24"/>
        </w:rPr>
        <w:t>revealed interstitial fibrosis and tubular atrophy. These findings suggest</w:t>
      </w:r>
      <w:r w:rsidR="00F1042C" w:rsidRPr="00373D70">
        <w:rPr>
          <w:rFonts w:ascii="Book Antiqua" w:hAnsi="Book Antiqua" w:cs="Arial"/>
          <w:sz w:val="24"/>
          <w:szCs w:val="24"/>
        </w:rPr>
        <w:t>ed</w:t>
      </w:r>
      <w:r w:rsidR="00680C3D" w:rsidRPr="00373D70">
        <w:rPr>
          <w:rFonts w:ascii="Book Antiqua" w:hAnsi="Book Antiqua" w:cs="Arial"/>
          <w:sz w:val="24"/>
          <w:szCs w:val="24"/>
        </w:rPr>
        <w:t xml:space="preserve"> acute tubular necrosis secondary to acute interstitial nephritis. There are no previous reports of prucalopride associated with acute renal failure from the literature, including previous Phase II and III trials. This case reports highlights the need for monitoring renal function in all patients </w:t>
      </w:r>
      <w:r w:rsidR="00F1042C" w:rsidRPr="00373D70">
        <w:rPr>
          <w:rFonts w:ascii="Book Antiqua" w:hAnsi="Book Antiqua" w:cs="Arial"/>
          <w:sz w:val="24"/>
          <w:szCs w:val="24"/>
        </w:rPr>
        <w:t xml:space="preserve">treated with </w:t>
      </w:r>
      <w:r w:rsidR="00680C3D" w:rsidRPr="00373D70">
        <w:rPr>
          <w:rFonts w:ascii="Book Antiqua" w:hAnsi="Book Antiqua" w:cs="Arial"/>
          <w:sz w:val="24"/>
          <w:szCs w:val="24"/>
        </w:rPr>
        <w:t>prucalopride</w:t>
      </w:r>
      <w:r w:rsidR="00F1042C" w:rsidRPr="00373D70">
        <w:rPr>
          <w:rFonts w:ascii="Book Antiqua" w:hAnsi="Book Antiqua" w:cs="Arial"/>
          <w:sz w:val="24"/>
          <w:szCs w:val="24"/>
        </w:rPr>
        <w:t xml:space="preserve">. </w:t>
      </w:r>
    </w:p>
    <w:p w14:paraId="1BE40FD9" w14:textId="77777777" w:rsidR="00F90C1A" w:rsidRPr="00373D70" w:rsidRDefault="00F90C1A" w:rsidP="00B95DC7">
      <w:pPr>
        <w:spacing w:after="0" w:line="360" w:lineRule="auto"/>
        <w:jc w:val="both"/>
        <w:rPr>
          <w:rFonts w:ascii="Book Antiqua" w:hAnsi="Book Antiqua" w:cs="Arial"/>
          <w:b/>
          <w:sz w:val="24"/>
          <w:szCs w:val="24"/>
          <w:lang w:eastAsia="zh-CN"/>
        </w:rPr>
      </w:pPr>
    </w:p>
    <w:p w14:paraId="273DC445" w14:textId="4C14C7C2" w:rsidR="00F1042C" w:rsidRPr="00373D70" w:rsidRDefault="00373D70" w:rsidP="00B95DC7">
      <w:pPr>
        <w:spacing w:after="0" w:line="360" w:lineRule="auto"/>
        <w:jc w:val="both"/>
        <w:rPr>
          <w:rFonts w:ascii="Book Antiqua" w:hAnsi="Book Antiqua" w:cs="Arial"/>
          <w:sz w:val="24"/>
          <w:szCs w:val="24"/>
          <w:lang w:val="pt-BR" w:eastAsia="zh-CN"/>
        </w:rPr>
      </w:pPr>
      <w:r w:rsidRPr="00373D70">
        <w:rPr>
          <w:rFonts w:ascii="Book Antiqua" w:hAnsi="Book Antiqua" w:cs="Arial"/>
          <w:sz w:val="24"/>
          <w:szCs w:val="24"/>
          <w:lang w:val="pt-BR"/>
        </w:rPr>
        <w:t>Sivabalasundaram</w:t>
      </w:r>
      <w:r w:rsidRPr="00373D70">
        <w:rPr>
          <w:rFonts w:ascii="Book Antiqua" w:hAnsi="Book Antiqua" w:cs="Arial" w:hint="eastAsia"/>
          <w:sz w:val="24"/>
          <w:szCs w:val="24"/>
          <w:lang w:val="pt-BR" w:eastAsia="zh-CN"/>
        </w:rPr>
        <w:t xml:space="preserve"> V</w:t>
      </w:r>
      <w:r>
        <w:rPr>
          <w:rFonts w:ascii="Book Antiqua" w:hAnsi="Book Antiqua" w:cs="Arial" w:hint="eastAsia"/>
          <w:sz w:val="24"/>
          <w:szCs w:val="24"/>
          <w:lang w:val="pt-BR" w:eastAsia="zh-CN"/>
        </w:rPr>
        <w:t xml:space="preserve">, </w:t>
      </w:r>
      <w:r w:rsidRPr="00373D70">
        <w:rPr>
          <w:rFonts w:ascii="Book Antiqua" w:hAnsi="Book Antiqua" w:cs="Arial"/>
          <w:sz w:val="24"/>
          <w:szCs w:val="24"/>
          <w:lang w:val="pt-BR"/>
        </w:rPr>
        <w:t>Habal</w:t>
      </w:r>
      <w:r>
        <w:rPr>
          <w:rFonts w:ascii="Book Antiqua" w:hAnsi="Book Antiqua" w:cs="Arial" w:hint="eastAsia"/>
          <w:sz w:val="24"/>
          <w:szCs w:val="24"/>
          <w:lang w:val="pt-BR" w:eastAsia="zh-CN"/>
        </w:rPr>
        <w:t xml:space="preserve"> F</w:t>
      </w:r>
      <w:r w:rsidRPr="00373D70">
        <w:rPr>
          <w:rFonts w:ascii="Book Antiqua" w:hAnsi="Book Antiqua" w:cs="Arial"/>
          <w:sz w:val="24"/>
          <w:szCs w:val="24"/>
          <w:lang w:val="pt-BR"/>
        </w:rPr>
        <w:t>, Cherney</w:t>
      </w:r>
      <w:r>
        <w:rPr>
          <w:rFonts w:ascii="Book Antiqua" w:hAnsi="Book Antiqua" w:cs="Arial" w:hint="eastAsia"/>
          <w:sz w:val="24"/>
          <w:szCs w:val="24"/>
          <w:lang w:val="pt-BR" w:eastAsia="zh-CN"/>
        </w:rPr>
        <w:t xml:space="preserve"> D. </w:t>
      </w:r>
      <w:r w:rsidRPr="00373D70">
        <w:rPr>
          <w:rFonts w:ascii="Book Antiqua" w:hAnsi="Book Antiqua" w:cs="Arial"/>
          <w:sz w:val="24"/>
          <w:szCs w:val="24"/>
        </w:rPr>
        <w:t>Prucal</w:t>
      </w:r>
      <w:r>
        <w:rPr>
          <w:rFonts w:ascii="Book Antiqua" w:hAnsi="Book Antiqua" w:cs="Arial"/>
          <w:sz w:val="24"/>
          <w:szCs w:val="24"/>
        </w:rPr>
        <w:t>opride-associated acute tubular</w:t>
      </w:r>
      <w:r>
        <w:rPr>
          <w:rFonts w:ascii="Book Antiqua" w:hAnsi="Book Antiqua" w:cs="Arial" w:hint="eastAsia"/>
          <w:sz w:val="24"/>
          <w:szCs w:val="24"/>
          <w:lang w:eastAsia="zh-CN"/>
        </w:rPr>
        <w:t xml:space="preserve"> </w:t>
      </w:r>
      <w:r w:rsidRPr="00373D70">
        <w:rPr>
          <w:rFonts w:ascii="Book Antiqua" w:hAnsi="Book Antiqua" w:cs="Arial"/>
          <w:sz w:val="24"/>
          <w:szCs w:val="24"/>
        </w:rPr>
        <w:t>necrosis</w:t>
      </w:r>
      <w:r>
        <w:rPr>
          <w:rFonts w:ascii="Book Antiqua" w:hAnsi="Book Antiqua" w:cs="Arial" w:hint="eastAsia"/>
          <w:sz w:val="24"/>
          <w:szCs w:val="24"/>
          <w:lang w:eastAsia="zh-CN"/>
        </w:rPr>
        <w:t>.</w:t>
      </w:r>
      <w:r w:rsidRPr="00373D70">
        <w:rPr>
          <w:rFonts w:ascii="Book Antiqua" w:hAnsi="Book Antiqua"/>
          <w:i/>
          <w:iCs/>
          <w:sz w:val="24"/>
          <w:szCs w:val="24"/>
        </w:rPr>
        <w:t xml:space="preserve"> </w:t>
      </w:r>
      <w:r w:rsidRPr="00B0066F">
        <w:rPr>
          <w:rFonts w:ascii="Book Antiqua" w:hAnsi="Book Antiqua"/>
          <w:i/>
          <w:iCs/>
          <w:sz w:val="24"/>
          <w:szCs w:val="24"/>
        </w:rPr>
        <w:t>World J Clin Cases</w:t>
      </w:r>
      <w:r>
        <w:rPr>
          <w:rFonts w:ascii="Book Antiqua" w:hAnsi="Book Antiqua" w:hint="eastAsia"/>
          <w:iCs/>
          <w:sz w:val="24"/>
          <w:szCs w:val="24"/>
          <w:lang w:eastAsia="zh-CN"/>
        </w:rPr>
        <w:t xml:space="preserve"> 2014; In press</w:t>
      </w:r>
    </w:p>
    <w:p w14:paraId="079F4E48" w14:textId="77777777" w:rsidR="00F1042C" w:rsidRPr="00373D70" w:rsidRDefault="00F1042C" w:rsidP="00B95DC7">
      <w:pPr>
        <w:spacing w:after="0" w:line="360" w:lineRule="auto"/>
        <w:jc w:val="both"/>
        <w:rPr>
          <w:rFonts w:ascii="Book Antiqua" w:hAnsi="Book Antiqua" w:cs="Arial"/>
          <w:b/>
          <w:sz w:val="24"/>
          <w:szCs w:val="24"/>
          <w:lang w:eastAsia="zh-CN"/>
        </w:rPr>
      </w:pPr>
    </w:p>
    <w:p w14:paraId="058AD103" w14:textId="3F6306EA" w:rsidR="002F180B" w:rsidRPr="00373D70" w:rsidRDefault="00373D70" w:rsidP="00B95DC7">
      <w:pPr>
        <w:spacing w:after="0" w:line="360" w:lineRule="auto"/>
        <w:jc w:val="both"/>
        <w:rPr>
          <w:rFonts w:ascii="Book Antiqua" w:hAnsi="Book Antiqua" w:cs="Arial"/>
          <w:b/>
          <w:sz w:val="24"/>
          <w:szCs w:val="24"/>
        </w:rPr>
      </w:pPr>
      <w:r w:rsidRPr="00373D70">
        <w:rPr>
          <w:rFonts w:ascii="Book Antiqua" w:hAnsi="Book Antiqua" w:cs="Arial"/>
          <w:b/>
          <w:sz w:val="24"/>
          <w:szCs w:val="24"/>
        </w:rPr>
        <w:t>INTRODUCTION</w:t>
      </w:r>
    </w:p>
    <w:p w14:paraId="3981240D" w14:textId="6CCBE574" w:rsidR="002F180B" w:rsidRPr="00373D70" w:rsidRDefault="002F180B" w:rsidP="00B95DC7">
      <w:pPr>
        <w:spacing w:after="0" w:line="360" w:lineRule="auto"/>
        <w:jc w:val="both"/>
        <w:rPr>
          <w:rFonts w:ascii="Book Antiqua" w:hAnsi="Book Antiqua" w:cs="Arial"/>
          <w:sz w:val="24"/>
          <w:szCs w:val="24"/>
        </w:rPr>
      </w:pPr>
      <w:r w:rsidRPr="00373D70">
        <w:rPr>
          <w:rFonts w:ascii="Book Antiqua" w:hAnsi="Book Antiqua" w:cs="Arial"/>
          <w:sz w:val="24"/>
          <w:szCs w:val="24"/>
        </w:rPr>
        <w:t>Chronic constipation is very common and affects 14% of the general population</w:t>
      </w:r>
      <w:r w:rsidR="00F90C1A" w:rsidRPr="00373D70">
        <w:rPr>
          <w:rFonts w:ascii="Book Antiqua" w:hAnsi="Book Antiqua" w:cs="Arial"/>
          <w:sz w:val="24"/>
          <w:szCs w:val="24"/>
          <w:vertAlign w:val="superscript"/>
          <w:lang w:eastAsia="zh-CN"/>
        </w:rPr>
        <w:t>[1]</w:t>
      </w:r>
      <w:r w:rsidRPr="00373D70">
        <w:rPr>
          <w:rFonts w:ascii="Book Antiqua" w:hAnsi="Book Antiqua" w:cs="Arial"/>
          <w:sz w:val="24"/>
          <w:szCs w:val="24"/>
        </w:rPr>
        <w:t>. The incidence rises with age, and is higher in women and those with lower socioeconomic status</w:t>
      </w:r>
      <w:r w:rsidR="00F1042C" w:rsidRPr="00373D70">
        <w:rPr>
          <w:rFonts w:ascii="Book Antiqua" w:hAnsi="Book Antiqua" w:cs="Arial"/>
          <w:sz w:val="24"/>
          <w:szCs w:val="24"/>
          <w:vertAlign w:val="superscript"/>
        </w:rPr>
        <w:t>[</w:t>
      </w:r>
      <w:r w:rsidRPr="00373D70">
        <w:rPr>
          <w:rFonts w:ascii="Book Antiqua" w:hAnsi="Book Antiqua" w:cs="Arial"/>
          <w:sz w:val="24"/>
          <w:szCs w:val="24"/>
        </w:rPr>
        <w:fldChar w:fldCharType="begin"/>
      </w:r>
      <w:r w:rsidR="00DC0D28" w:rsidRPr="00373D70">
        <w:rPr>
          <w:rFonts w:ascii="Book Antiqua" w:hAnsi="Book Antiqua" w:cs="Arial"/>
          <w:sz w:val="24"/>
          <w:szCs w:val="24"/>
        </w:rPr>
        <w:instrText xml:space="preserve"> ADDIN REFMGR.CITE &lt;Refman&gt;&lt;Cite&gt;&lt;Author&gt;Lembo A&lt;/Author&gt;&lt;Year&gt;2003&lt;/Year&gt;&lt;RecNum&gt;22&lt;/RecNum&gt;&lt;IDText&gt;Chronic constipation.&lt;/IDText&gt;&lt;MDL Ref_Type="Journal"&gt;&lt;Ref_Type&gt;Journal&lt;/Ref_Type&gt;&lt;Ref_ID&gt;22&lt;/Ref_ID&gt;&lt;Title_Primary&gt;Chronic constipation.&lt;/Title_Primary&gt;&lt;Authors_Primary&gt;Lembo A&lt;/Authors_Primary&gt;&lt;Authors_Primary&gt;Camilleri M&lt;/Authors_Primary&gt;&lt;Date_Primary&gt;2003&lt;/Date_Primary&gt;&lt;Reprint&gt;Not in File&lt;/Reprint&gt;&lt;Start_Page&gt;1360&lt;/Start_Page&gt;&lt;End_Page&gt;1368&lt;/End_Page&gt;&lt;Periodical&gt;N Engl J Med&lt;/Periodical&gt;&lt;Volume&gt;349&lt;/Volume&gt;&lt;Issue&gt;14&lt;/Issue&gt;&lt;ZZ_JournalFull&gt;&lt;f name="System"&gt;N Engl J Med&lt;/f&gt;&lt;/ZZ_JournalFull&gt;&lt;ZZ_WorkformID&gt;1&lt;/ZZ_WorkformID&gt;&lt;/MDL&gt;&lt;/Cite&gt;&lt;/Refman&gt;</w:instrText>
      </w:r>
      <w:r w:rsidRPr="00373D70">
        <w:rPr>
          <w:rFonts w:ascii="Book Antiqua" w:hAnsi="Book Antiqua" w:cs="Arial"/>
          <w:sz w:val="24"/>
          <w:szCs w:val="24"/>
        </w:rPr>
        <w:fldChar w:fldCharType="separate"/>
      </w:r>
      <w:r w:rsidRPr="00373D70">
        <w:rPr>
          <w:rFonts w:ascii="Book Antiqua" w:hAnsi="Book Antiqua" w:cs="Arial"/>
          <w:noProof/>
          <w:sz w:val="24"/>
          <w:szCs w:val="24"/>
          <w:vertAlign w:val="superscript"/>
        </w:rPr>
        <w:t>2</w:t>
      </w:r>
      <w:r w:rsidRPr="00373D70">
        <w:rPr>
          <w:rFonts w:ascii="Book Antiqua" w:hAnsi="Book Antiqua" w:cs="Arial"/>
          <w:sz w:val="24"/>
          <w:szCs w:val="24"/>
        </w:rPr>
        <w:fldChar w:fldCharType="end"/>
      </w:r>
      <w:r w:rsidR="00F1042C" w:rsidRPr="00373D70">
        <w:rPr>
          <w:rFonts w:ascii="Book Antiqua" w:hAnsi="Book Antiqua" w:cs="Arial"/>
          <w:sz w:val="24"/>
          <w:szCs w:val="24"/>
          <w:vertAlign w:val="superscript"/>
        </w:rPr>
        <w:t>]</w:t>
      </w:r>
      <w:r w:rsidR="00F1042C" w:rsidRPr="00373D70">
        <w:rPr>
          <w:rFonts w:ascii="Book Antiqua" w:hAnsi="Book Antiqua" w:cs="Arial"/>
          <w:sz w:val="24"/>
          <w:szCs w:val="24"/>
        </w:rPr>
        <w:t>.</w:t>
      </w:r>
      <w:r w:rsidRPr="00373D70">
        <w:rPr>
          <w:rFonts w:ascii="Book Antiqua" w:hAnsi="Book Antiqua" w:cs="Arial"/>
          <w:sz w:val="24"/>
          <w:szCs w:val="24"/>
        </w:rPr>
        <w:t xml:space="preserve"> It is characterized by infrequent bowel and often associated with abdominal discomfort, bloating and cramps. Patients are susceptible to complications such as hemorrhoids and anal fissures. The consequences on quality of life, health care costs and activity impairment are also significant</w:t>
      </w:r>
      <w:r w:rsidR="00F1042C" w:rsidRPr="00373D70">
        <w:rPr>
          <w:rFonts w:ascii="Book Antiqua" w:hAnsi="Book Antiqua" w:cs="Arial"/>
          <w:sz w:val="24"/>
          <w:szCs w:val="24"/>
          <w:vertAlign w:val="superscript"/>
        </w:rPr>
        <w:t>[</w:t>
      </w:r>
      <w:r w:rsidRPr="00373D70">
        <w:rPr>
          <w:rFonts w:ascii="Book Antiqua" w:hAnsi="Book Antiqua" w:cs="Arial"/>
          <w:sz w:val="24"/>
          <w:szCs w:val="24"/>
        </w:rPr>
        <w:fldChar w:fldCharType="begin"/>
      </w:r>
      <w:r w:rsidR="00DC0D28" w:rsidRPr="00373D70">
        <w:rPr>
          <w:rFonts w:ascii="Book Antiqua" w:hAnsi="Book Antiqua" w:cs="Arial"/>
          <w:sz w:val="24"/>
          <w:szCs w:val="24"/>
        </w:rPr>
        <w:instrText xml:space="preserve"> ADDIN REFMGR.CITE &lt;Refman&gt;&lt;Cite&gt;&lt;Author&gt;Sun SX&lt;/Author&gt;&lt;Year&gt;2011&lt;/Year&gt;&lt;RecNum&gt;23&lt;/RecNum&gt;&lt;IDText&gt;Impact of chronic constipation on health-related quality of life, work productivity, and healthcare resource use: an analysis of the National Health and Wellness Survey.&lt;/IDText&gt;&lt;MDL Ref_Type="Journal"&gt;&lt;Ref_Type&gt;Journal&lt;/Ref_Type&gt;&lt;Ref_ID&gt;23&lt;/Ref_ID&gt;&lt;Title_Primary&gt;Impact of chronic constipation on health-related quality of life, work productivity, and healthcare resource use: an analysis of the National Health and Wellness Survey.&lt;/Title_Primary&gt;&lt;Authors_Primary&gt;Sun SX&lt;/Authors_Primary&gt;&lt;Authors_Primary&gt;Dibonaventura M&lt;/Authors_Primary&gt;&lt;Authors_Primary&gt;Purayidathil FW&lt;/Authors_Primary&gt;&lt;Date_Primary&gt;2011&lt;/Date_Primary&gt;&lt;Reprint&gt;Not in File&lt;/Reprint&gt;&lt;Start_Page&gt;2688&lt;/Start_Page&gt;&lt;End_Page&gt;2695&lt;/End_Page&gt;&lt;Periodical&gt;Dig Dis Sci&lt;/Periodical&gt;&lt;Volume&gt;56&lt;/Volume&gt;&lt;Issue&gt;9&lt;/Issue&gt;&lt;ZZ_JournalFull&gt;&lt;f name="System"&gt;Dig Dis Sci&lt;/f&gt;&lt;/ZZ_JournalFull&gt;&lt;ZZ_WorkformID&gt;1&lt;/ZZ_WorkformID&gt;&lt;/MDL&gt;&lt;/Cite&gt;&lt;/Refman&gt;</w:instrText>
      </w:r>
      <w:r w:rsidRPr="00373D70">
        <w:rPr>
          <w:rFonts w:ascii="Book Antiqua" w:hAnsi="Book Antiqua" w:cs="Arial"/>
          <w:sz w:val="24"/>
          <w:szCs w:val="24"/>
        </w:rPr>
        <w:fldChar w:fldCharType="separate"/>
      </w:r>
      <w:r w:rsidRPr="00373D70">
        <w:rPr>
          <w:rFonts w:ascii="Book Antiqua" w:hAnsi="Book Antiqua" w:cs="Arial"/>
          <w:noProof/>
          <w:sz w:val="24"/>
          <w:szCs w:val="24"/>
          <w:vertAlign w:val="superscript"/>
        </w:rPr>
        <w:t>3</w:t>
      </w:r>
      <w:r w:rsidRPr="00373D70">
        <w:rPr>
          <w:rFonts w:ascii="Book Antiqua" w:hAnsi="Book Antiqua" w:cs="Arial"/>
          <w:sz w:val="24"/>
          <w:szCs w:val="24"/>
        </w:rPr>
        <w:fldChar w:fldCharType="end"/>
      </w:r>
      <w:r w:rsidR="00F1042C" w:rsidRPr="00373D70">
        <w:rPr>
          <w:rFonts w:ascii="Book Antiqua" w:hAnsi="Book Antiqua" w:cs="Arial"/>
          <w:sz w:val="24"/>
          <w:szCs w:val="24"/>
          <w:vertAlign w:val="superscript"/>
        </w:rPr>
        <w:t>]</w:t>
      </w:r>
      <w:r w:rsidR="00F1042C" w:rsidRPr="00373D70">
        <w:rPr>
          <w:rFonts w:ascii="Book Antiqua" w:hAnsi="Book Antiqua" w:cs="Arial"/>
          <w:sz w:val="24"/>
          <w:szCs w:val="24"/>
        </w:rPr>
        <w:t>.</w:t>
      </w:r>
      <w:r w:rsidRPr="00373D70">
        <w:rPr>
          <w:rFonts w:ascii="Book Antiqua" w:hAnsi="Book Antiqua" w:cs="Arial"/>
          <w:sz w:val="24"/>
          <w:szCs w:val="24"/>
        </w:rPr>
        <w:t xml:space="preserve"> </w:t>
      </w:r>
    </w:p>
    <w:p w14:paraId="7A50F6AA" w14:textId="5B9704B1" w:rsidR="002F180B" w:rsidRPr="00373D70" w:rsidRDefault="002F180B" w:rsidP="00373D70">
      <w:pPr>
        <w:spacing w:after="0" w:line="360" w:lineRule="auto"/>
        <w:ind w:firstLineChars="100" w:firstLine="240"/>
        <w:jc w:val="both"/>
        <w:rPr>
          <w:rFonts w:ascii="Book Antiqua" w:hAnsi="Book Antiqua" w:cs="Arial"/>
          <w:b/>
          <w:sz w:val="24"/>
          <w:szCs w:val="24"/>
        </w:rPr>
      </w:pPr>
      <w:r w:rsidRPr="00373D70">
        <w:rPr>
          <w:rFonts w:ascii="Book Antiqua" w:hAnsi="Book Antiqua" w:cs="Arial"/>
          <w:sz w:val="24"/>
          <w:szCs w:val="24"/>
        </w:rPr>
        <w:t>The treatment of constipation requires a multi-faceted approach which includes lifestyle changes, dietary adjustments, stool softeners, osmotic agents and laxatives</w:t>
      </w:r>
      <w:r w:rsidR="00F1042C" w:rsidRPr="00373D70">
        <w:rPr>
          <w:rFonts w:ascii="Book Antiqua" w:hAnsi="Book Antiqua" w:cs="Arial"/>
          <w:sz w:val="24"/>
          <w:szCs w:val="24"/>
          <w:vertAlign w:val="superscript"/>
        </w:rPr>
        <w:t>[</w:t>
      </w:r>
      <w:r w:rsidRPr="00373D70">
        <w:rPr>
          <w:rFonts w:ascii="Book Antiqua" w:hAnsi="Book Antiqua" w:cs="Arial"/>
          <w:sz w:val="24"/>
          <w:szCs w:val="24"/>
        </w:rPr>
        <w:fldChar w:fldCharType="begin"/>
      </w:r>
      <w:r w:rsidR="00DC0D28" w:rsidRPr="00373D70">
        <w:rPr>
          <w:rFonts w:ascii="Book Antiqua" w:hAnsi="Book Antiqua" w:cs="Arial"/>
          <w:sz w:val="24"/>
          <w:szCs w:val="24"/>
        </w:rPr>
        <w:instrText xml:space="preserve"> ADDIN REFMGR.CITE &lt;Refman&gt;&lt;Cite&gt;&lt;Author&gt;Tack J&lt;/Author&gt;&lt;Year&gt;2009&lt;/Year&gt;&lt;RecNum&gt;24&lt;/RecNum&gt;&lt;IDText&gt;Treatment of chronic constipation: current pharmacologic approaches and future directions.&lt;/IDText&gt;&lt;MDL Ref_Type="Journal"&gt;&lt;Ref_Type&gt;Journal&lt;/Ref_Type&gt;&lt;Ref_ID&gt;24&lt;/Ref_ID&gt;&lt;Title_Primary&gt;Treatment of chronic constipation: current pharmacologic approaches and future directions.&lt;/Title_Primary&gt;&lt;Authors_Primary&gt;Tack J&lt;/Authors_Primary&gt;&lt;Authors_Primary&gt;Muller-Lissner S&lt;/Authors_Primary&gt;&lt;Date_Primary&gt;2009&lt;/Date_Primary&gt;&lt;Reprint&gt;Not in File&lt;/Reprint&gt;&lt;Start_Page&gt;502&lt;/Start_Page&gt;&lt;End_Page&gt;508&lt;/End_Page&gt;&lt;Periodical&gt;Clin Gastroenterol Hepatol&lt;/Periodical&gt;&lt;Volume&gt;7&lt;/Volume&gt;&lt;Issue&gt;5&lt;/Issue&gt;&lt;ZZ_JournalFull&gt;&lt;f name="System"&gt;Clin Gastroenterol Hepatol&lt;/f&gt;&lt;/ZZ_JournalFull&gt;&lt;ZZ_WorkformID&gt;1&lt;/ZZ_WorkformID&gt;&lt;/MDL&gt;&lt;/Cite&gt;&lt;Cite&gt;&lt;Author&gt;American College of Gastroenterology Chronic Constipation Task Force&lt;/Author&gt;&lt;Year&gt;2005&lt;/Year&gt;&lt;RecNum&gt;25&lt;/RecNum&gt;&lt;IDText&gt;An evidence-based approach to the management of chronic constipation in North America.&lt;/IDText&gt;&lt;MDL Ref_Type="Journal"&gt;&lt;Ref_Type&gt;Journal&lt;/Ref_Type&gt;&lt;Ref_ID&gt;25&lt;/Ref_ID&gt;&lt;Title_Primary&gt;An evidence-based approach to the management of chronic constipation in North America.&lt;/Title_Primary&gt;&lt;Authors_Primary&gt;American College of Gastroenterology Chronic Constipation Task Force&lt;/Authors_Primary&gt;&lt;Date_Primary&gt;2005&lt;/Date_Primary&gt;&lt;Reprint&gt;Not in File&lt;/Reprint&gt;&lt;Start_Page&gt;S1&lt;/Start_Page&gt;&lt;End_Page&gt;S4&lt;/End_Page&gt;&lt;Periodical&gt;Am J Gastroenterol&lt;/Periodical&gt;&lt;Volume&gt;100&lt;/Volume&gt;&lt;ZZ_JournalFull&gt;&lt;f name="System"&gt;Am J Gastroenterol&lt;/f&gt;&lt;/ZZ_JournalFull&gt;&lt;ZZ_WorkformID&gt;1&lt;/ZZ_WorkformID&gt;&lt;/MDL&gt;&lt;/Cite&gt;&lt;/Refman&gt;</w:instrText>
      </w:r>
      <w:r w:rsidRPr="00373D70">
        <w:rPr>
          <w:rFonts w:ascii="Book Antiqua" w:hAnsi="Book Antiqua" w:cs="Arial"/>
          <w:sz w:val="24"/>
          <w:szCs w:val="24"/>
        </w:rPr>
        <w:fldChar w:fldCharType="separate"/>
      </w:r>
      <w:r w:rsidRPr="00373D70">
        <w:rPr>
          <w:rFonts w:ascii="Book Antiqua" w:hAnsi="Book Antiqua" w:cs="Arial"/>
          <w:noProof/>
          <w:sz w:val="24"/>
          <w:szCs w:val="24"/>
          <w:vertAlign w:val="superscript"/>
        </w:rPr>
        <w:t>4, 5</w:t>
      </w:r>
      <w:r w:rsidRPr="00373D70">
        <w:rPr>
          <w:rFonts w:ascii="Book Antiqua" w:hAnsi="Book Antiqua" w:cs="Arial"/>
          <w:sz w:val="24"/>
          <w:szCs w:val="24"/>
        </w:rPr>
        <w:fldChar w:fldCharType="end"/>
      </w:r>
      <w:r w:rsidR="00F1042C" w:rsidRPr="00373D70">
        <w:rPr>
          <w:rFonts w:ascii="Book Antiqua" w:hAnsi="Book Antiqua" w:cs="Arial"/>
          <w:sz w:val="24"/>
          <w:szCs w:val="24"/>
          <w:vertAlign w:val="superscript"/>
        </w:rPr>
        <w:t>]</w:t>
      </w:r>
      <w:r w:rsidR="00F1042C" w:rsidRPr="00373D70">
        <w:rPr>
          <w:rFonts w:ascii="Book Antiqua" w:hAnsi="Book Antiqua" w:cs="Arial"/>
          <w:sz w:val="24"/>
          <w:szCs w:val="24"/>
        </w:rPr>
        <w:t>.</w:t>
      </w:r>
      <w:r w:rsidRPr="00373D70">
        <w:rPr>
          <w:rFonts w:ascii="Book Antiqua" w:hAnsi="Book Antiqua" w:cs="Arial"/>
          <w:sz w:val="24"/>
          <w:szCs w:val="24"/>
        </w:rPr>
        <w:t xml:space="preserve"> Another target for intervention is the 5 hydroxytryptamine-4 (5-HT</w:t>
      </w:r>
      <w:r w:rsidRPr="00373D70">
        <w:rPr>
          <w:rFonts w:ascii="Book Antiqua" w:hAnsi="Book Antiqua" w:cs="Arial"/>
          <w:sz w:val="24"/>
          <w:szCs w:val="24"/>
          <w:vertAlign w:val="subscript"/>
        </w:rPr>
        <w:t>4</w:t>
      </w:r>
      <w:r w:rsidRPr="00373D70">
        <w:rPr>
          <w:rFonts w:ascii="Book Antiqua" w:hAnsi="Book Antiqua" w:cs="Arial"/>
          <w:sz w:val="24"/>
          <w:szCs w:val="24"/>
        </w:rPr>
        <w:t>) receptor. Until recently, drugs have lacked specificity for the 5-HT</w:t>
      </w:r>
      <w:r w:rsidRPr="00373D70">
        <w:rPr>
          <w:rFonts w:ascii="Book Antiqua" w:hAnsi="Book Antiqua" w:cs="Arial"/>
          <w:sz w:val="24"/>
          <w:szCs w:val="24"/>
          <w:vertAlign w:val="subscript"/>
        </w:rPr>
        <w:t>4</w:t>
      </w:r>
      <w:r w:rsidRPr="00373D70">
        <w:rPr>
          <w:rFonts w:ascii="Book Antiqua" w:hAnsi="Book Antiqua" w:cs="Arial"/>
          <w:sz w:val="24"/>
          <w:szCs w:val="24"/>
        </w:rPr>
        <w:t xml:space="preserve"> receptor resulting in an unfavourable risk-benefit ratio with side effects </w:t>
      </w:r>
      <w:r w:rsidR="002165BD" w:rsidRPr="00373D70">
        <w:rPr>
          <w:rFonts w:ascii="Book Antiqua" w:hAnsi="Book Antiqua" w:cs="Arial"/>
          <w:sz w:val="24"/>
          <w:szCs w:val="24"/>
        </w:rPr>
        <w:t>of serious</w:t>
      </w:r>
      <w:r w:rsidRPr="00373D70">
        <w:rPr>
          <w:rFonts w:ascii="Book Antiqua" w:hAnsi="Book Antiqua" w:cs="Arial"/>
          <w:sz w:val="24"/>
          <w:szCs w:val="24"/>
        </w:rPr>
        <w:t xml:space="preserve"> cardiovascular arrhythmias</w:t>
      </w:r>
      <w:r w:rsidR="00F1042C" w:rsidRPr="00373D70">
        <w:rPr>
          <w:rFonts w:ascii="Book Antiqua" w:hAnsi="Book Antiqua" w:cs="Arial"/>
          <w:sz w:val="24"/>
          <w:szCs w:val="24"/>
          <w:vertAlign w:val="superscript"/>
        </w:rPr>
        <w:t>[</w:t>
      </w:r>
      <w:r w:rsidRPr="00373D70">
        <w:rPr>
          <w:rFonts w:ascii="Book Antiqua" w:hAnsi="Book Antiqua" w:cs="Arial"/>
          <w:sz w:val="24"/>
          <w:szCs w:val="24"/>
        </w:rPr>
        <w:fldChar w:fldCharType="begin"/>
      </w:r>
      <w:r w:rsidR="00DC0D28" w:rsidRPr="00373D70">
        <w:rPr>
          <w:rFonts w:ascii="Book Antiqua" w:hAnsi="Book Antiqua" w:cs="Arial"/>
          <w:sz w:val="24"/>
          <w:szCs w:val="24"/>
        </w:rPr>
        <w:instrText xml:space="preserve"> ADDIN REFMGR.CITE &lt;Refman&gt;&lt;Cite&gt;&lt;Author&gt;Gardner VY&lt;/Author&gt;&lt;Year&gt;1995&lt;/Year&gt;&lt;RecNum&gt;26&lt;/RecNum&gt;&lt;IDText&gt;Cisapride for the treatment of chronic idioipathic constipation.&lt;/IDText&gt;&lt;MDL Ref_Type="Journal"&gt;&lt;Ref_Type&gt;Journal&lt;/Ref_Type&gt;&lt;Ref_ID&gt;26&lt;/Ref_ID&gt;&lt;Title_Primary&gt;Cisapride for the treatment of chronic idioipathic constipation.&lt;/Title_Primary&gt;&lt;Authors_Primary&gt;Gardner VY&lt;/Authors_Primary&gt;&lt;Authors_Primary&gt;Beckwith JV&lt;/Authors_Primary&gt;&lt;Authors_Primary&gt;Heyneman CA&lt;/Authors_Primary&gt;&lt;Date_Primary&gt;1995&lt;/Date_Primary&gt;&lt;Reprint&gt;Not in File&lt;/Reprint&gt;&lt;Start_Page&gt;1161&lt;/Start_Page&gt;&lt;End_Page&gt;1163&lt;/End_Page&gt;&lt;Periodical&gt;Ann Pharmacother&lt;/Periodical&gt;&lt;Volume&gt;29&lt;/Volume&gt;&lt;Issue&gt;11&lt;/Issue&gt;&lt;ZZ_JournalFull&gt;&lt;f name="System"&gt;Ann Pharmacother&lt;/f&gt;&lt;/ZZ_JournalFull&gt;&lt;ZZ_WorkformID&gt;1&lt;/ZZ_WorkformID&gt;&lt;/MDL&gt;&lt;/Cite&gt;&lt;Cite&gt;&lt;Author&gt;Kamm MA&lt;/Author&gt;&lt;Year&gt;2005&lt;/Year&gt;&lt;RecNum&gt;27&lt;/RecNum&gt;&lt;IDText&gt;Tegaserod for the treatment of chronic constipation: a randomized, double-blind, placebo-controlled multinational study.&lt;/IDText&gt;&lt;MDL Ref_Type="Journal"&gt;&lt;Ref_Type&gt;Journal&lt;/Ref_Type&gt;&lt;Ref_ID&gt;27&lt;/Ref_ID&gt;&lt;Title_Primary&gt;Tegaserod for the treatment of chronic constipation: a randomized, double-blind, placebo-controlled multinational study.&lt;/Title_Primary&gt;&lt;Authors_Primary&gt;Kamm MA&lt;/Authors_Primary&gt;&lt;Authors_Primary&gt;Muller-Lissner S&lt;/Authors_Primary&gt;&lt;Authors_Primary&gt;Talley NJ&lt;/Authors_Primary&gt;&lt;Date_Primary&gt;2005&lt;/Date_Primary&gt;&lt;Reprint&gt;Not in File&lt;/Reprint&gt;&lt;Start_Page&gt;362&lt;/Start_Page&gt;&lt;End_Page&gt;372&lt;/End_Page&gt;&lt;Periodical&gt;Am J Gastroenterol&lt;/Periodical&gt;&lt;Volume&gt;100&lt;/Volume&gt;&lt;Issue&gt;2&lt;/Issue&gt;&lt;ZZ_JournalFull&gt;&lt;f name="System"&gt;Am J Gastroenterol&lt;/f&gt;&lt;/ZZ_JournalFull&gt;&lt;ZZ_WorkformID&gt;1&lt;/ZZ_WorkformID&gt;&lt;/MDL&gt;&lt;/Cite&gt;&lt;/Refman&gt;</w:instrText>
      </w:r>
      <w:r w:rsidRPr="00373D70">
        <w:rPr>
          <w:rFonts w:ascii="Book Antiqua" w:hAnsi="Book Antiqua" w:cs="Arial"/>
          <w:sz w:val="24"/>
          <w:szCs w:val="24"/>
        </w:rPr>
        <w:fldChar w:fldCharType="separate"/>
      </w:r>
      <w:r w:rsidR="00373D70">
        <w:rPr>
          <w:rFonts w:ascii="Book Antiqua" w:hAnsi="Book Antiqua" w:cs="Arial"/>
          <w:noProof/>
          <w:sz w:val="24"/>
          <w:szCs w:val="24"/>
          <w:vertAlign w:val="superscript"/>
        </w:rPr>
        <w:t>6,</w:t>
      </w:r>
      <w:r w:rsidRPr="00373D70">
        <w:rPr>
          <w:rFonts w:ascii="Book Antiqua" w:hAnsi="Book Antiqua" w:cs="Arial"/>
          <w:noProof/>
          <w:sz w:val="24"/>
          <w:szCs w:val="24"/>
          <w:vertAlign w:val="superscript"/>
        </w:rPr>
        <w:t>7</w:t>
      </w:r>
      <w:r w:rsidRPr="00373D70">
        <w:rPr>
          <w:rFonts w:ascii="Book Antiqua" w:hAnsi="Book Antiqua" w:cs="Arial"/>
          <w:sz w:val="24"/>
          <w:szCs w:val="24"/>
        </w:rPr>
        <w:fldChar w:fldCharType="end"/>
      </w:r>
      <w:r w:rsidR="00F1042C" w:rsidRPr="00373D70">
        <w:rPr>
          <w:rFonts w:ascii="Book Antiqua" w:hAnsi="Book Antiqua" w:cs="Arial"/>
          <w:sz w:val="24"/>
          <w:szCs w:val="24"/>
          <w:vertAlign w:val="superscript"/>
        </w:rPr>
        <w:t>]</w:t>
      </w:r>
      <w:r w:rsidR="00F1042C" w:rsidRPr="00373D70">
        <w:rPr>
          <w:rFonts w:ascii="Book Antiqua" w:hAnsi="Book Antiqua" w:cs="Arial"/>
          <w:sz w:val="24"/>
          <w:szCs w:val="24"/>
        </w:rPr>
        <w:t>.</w:t>
      </w:r>
      <w:r w:rsidRPr="00373D70">
        <w:rPr>
          <w:rFonts w:ascii="Book Antiqua" w:hAnsi="Book Antiqua" w:cs="Arial"/>
          <w:sz w:val="24"/>
          <w:szCs w:val="24"/>
        </w:rPr>
        <w:t xml:space="preserve"> Prucalopride however has demonstrated a high selectivity and affinity for this receptor in the gut with a high efficacy compared to placebo in patients with severe constipation</w:t>
      </w:r>
      <w:r w:rsidR="00F1042C" w:rsidRPr="00373D70">
        <w:rPr>
          <w:rFonts w:ascii="Book Antiqua" w:hAnsi="Book Antiqua" w:cs="Arial"/>
          <w:sz w:val="24"/>
          <w:szCs w:val="24"/>
          <w:vertAlign w:val="superscript"/>
        </w:rPr>
        <w:t>[</w:t>
      </w:r>
      <w:r w:rsidRPr="00373D70">
        <w:rPr>
          <w:rFonts w:ascii="Book Antiqua" w:hAnsi="Book Antiqua" w:cs="Arial"/>
          <w:sz w:val="24"/>
          <w:szCs w:val="24"/>
        </w:rPr>
        <w:fldChar w:fldCharType="begin">
          <w:fldData xml:space="preserve">PFJlZm1hbj48Q2l0ZT48QXV0aG9yPkNhbWlsbGVyaSBNPC9BdXRob3I+PFllYXI+MjAwODwvWWVh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=
</w:fldData>
        </w:fldChar>
      </w:r>
      <w:r w:rsidR="00DC0D28" w:rsidRPr="00373D70">
        <w:rPr>
          <w:rFonts w:ascii="Book Antiqua" w:hAnsi="Book Antiqua" w:cs="Arial"/>
          <w:sz w:val="24"/>
          <w:szCs w:val="24"/>
        </w:rPr>
        <w:instrText xml:space="preserve"> ADDIN REFMGR.CITE </w:instrText>
      </w:r>
      <w:r w:rsidR="00DC0D28" w:rsidRPr="00373D70">
        <w:rPr>
          <w:rFonts w:ascii="Book Antiqua" w:hAnsi="Book Antiqua" w:cs="Arial"/>
          <w:sz w:val="24"/>
          <w:szCs w:val="24"/>
        </w:rPr>
        <w:fldChar w:fldCharType="begin">
          <w:fldData xml:space="preserve">PFJlZm1hbj48Q2l0ZT48QXV0aG9yPkNhbWlsbGVyaSBNPC9BdXRob3I+PFllYXI+MjAwODwvWWVh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=
</w:fldData>
        </w:fldChar>
      </w:r>
      <w:r w:rsidR="00DC0D28" w:rsidRPr="00373D70">
        <w:rPr>
          <w:rFonts w:ascii="Book Antiqua" w:hAnsi="Book Antiqua" w:cs="Arial"/>
          <w:sz w:val="24"/>
          <w:szCs w:val="24"/>
        </w:rPr>
        <w:instrText xml:space="preserve"> ADDIN EN.CITE.DATA </w:instrText>
      </w:r>
      <w:r w:rsidR="00DC0D28" w:rsidRPr="00373D70">
        <w:rPr>
          <w:rFonts w:ascii="Book Antiqua" w:hAnsi="Book Antiqua" w:cs="Arial"/>
          <w:sz w:val="24"/>
          <w:szCs w:val="24"/>
        </w:rPr>
      </w:r>
      <w:r w:rsidR="00DC0D28" w:rsidRPr="00373D70">
        <w:rPr>
          <w:rFonts w:ascii="Book Antiqua" w:hAnsi="Book Antiqua" w:cs="Arial"/>
          <w:sz w:val="24"/>
          <w:szCs w:val="24"/>
        </w:rPr>
        <w:fldChar w:fldCharType="end"/>
      </w:r>
      <w:r w:rsidRPr="00373D70">
        <w:rPr>
          <w:rFonts w:ascii="Book Antiqua" w:hAnsi="Book Antiqua" w:cs="Arial"/>
          <w:sz w:val="24"/>
          <w:szCs w:val="24"/>
        </w:rPr>
      </w:r>
      <w:r w:rsidRPr="00373D70">
        <w:rPr>
          <w:rFonts w:ascii="Book Antiqua" w:hAnsi="Book Antiqua" w:cs="Arial"/>
          <w:sz w:val="24"/>
          <w:szCs w:val="24"/>
        </w:rPr>
        <w:fldChar w:fldCharType="separate"/>
      </w:r>
      <w:r w:rsidRPr="00373D70">
        <w:rPr>
          <w:rFonts w:ascii="Book Antiqua" w:hAnsi="Book Antiqua" w:cs="Arial"/>
          <w:noProof/>
          <w:sz w:val="24"/>
          <w:szCs w:val="24"/>
          <w:vertAlign w:val="superscript"/>
        </w:rPr>
        <w:t>8-10</w:t>
      </w:r>
      <w:r w:rsidRPr="00373D70">
        <w:rPr>
          <w:rFonts w:ascii="Book Antiqua" w:hAnsi="Book Antiqua" w:cs="Arial"/>
          <w:sz w:val="24"/>
          <w:szCs w:val="24"/>
        </w:rPr>
        <w:fldChar w:fldCharType="end"/>
      </w:r>
      <w:r w:rsidR="00F1042C" w:rsidRPr="00373D70">
        <w:rPr>
          <w:rFonts w:ascii="Book Antiqua" w:hAnsi="Book Antiqua" w:cs="Arial"/>
          <w:sz w:val="24"/>
          <w:szCs w:val="24"/>
          <w:vertAlign w:val="superscript"/>
        </w:rPr>
        <w:t>]</w:t>
      </w:r>
      <w:r w:rsidRPr="00373D70">
        <w:rPr>
          <w:rFonts w:ascii="Book Antiqua" w:hAnsi="Book Antiqua" w:cs="Arial"/>
          <w:sz w:val="24"/>
          <w:szCs w:val="24"/>
        </w:rPr>
        <w:t xml:space="preserve"> and in those who have failed previous laxative therapy</w:t>
      </w:r>
      <w:r w:rsidR="00F1042C" w:rsidRPr="00373D70">
        <w:rPr>
          <w:rFonts w:ascii="Book Antiqua" w:hAnsi="Book Antiqua" w:cs="Arial"/>
          <w:sz w:val="24"/>
          <w:szCs w:val="24"/>
          <w:vertAlign w:val="superscript"/>
        </w:rPr>
        <w:t>[</w:t>
      </w:r>
      <w:r w:rsidRPr="00373D70">
        <w:rPr>
          <w:rFonts w:ascii="Book Antiqua" w:hAnsi="Book Antiqua" w:cs="Arial"/>
          <w:sz w:val="24"/>
          <w:szCs w:val="24"/>
        </w:rPr>
        <w:fldChar w:fldCharType="begin"/>
      </w:r>
      <w:r w:rsidR="00DC0D28" w:rsidRPr="00373D70">
        <w:rPr>
          <w:rFonts w:ascii="Book Antiqua" w:hAnsi="Book Antiqua" w:cs="Arial"/>
          <w:sz w:val="24"/>
          <w:szCs w:val="24"/>
        </w:rPr>
        <w:instrText xml:space="preserve"> ADDIN REFMGR.CITE &lt;Refman&gt;&lt;Cite&gt;&lt;Author&gt;Coremans G&lt;/Author&gt;&lt;Year&gt;2003&lt;/Year&gt;&lt;RecNum&gt;9&lt;/RecNum&gt;&lt;IDText&gt;Prucalopride is effective in patients with severe chronic constipation in whom laxatives fail to provide adequate relief.&lt;/IDText&gt;&lt;MDL Ref_Type="Journal"&gt;&lt;Ref_Type&gt;Journal&lt;/Ref_Type&gt;&lt;Ref_ID&gt;9&lt;/Ref_ID&gt;&lt;Title_Primary&gt;Prucalopride is effective in patients with severe chronic constipation in whom laxatives fail to provide adequate relief.&lt;/Title_Primary&gt;&lt;Authors_Primary&gt;Coremans G&lt;/Authors_Primary&gt;&lt;Authors_Primary&gt;Kerstens R&lt;/Authors_Primary&gt;&lt;Authors_Primary&gt;de Pauw M&lt;/Authors_Primary&gt;&lt;Authors_Primary&gt;Stevens M&lt;/Authors_Primary&gt;&lt;Date_Primary&gt;2003&lt;/Date_Primary&gt;&lt;Reprint&gt;Not in File&lt;/Reprint&gt;&lt;Start_Page&gt;82&lt;/Start_Page&gt;&lt;End_Page&gt;89&lt;/End_Page&gt;&lt;Periodical&gt;Digestion&lt;/Periodical&gt;&lt;Volume&gt;67&lt;/Volume&gt;&lt;ZZ_JournalFull&gt;&lt;f name="System"&gt;Digestion&lt;/f&gt;&lt;/ZZ_JournalFull&gt;&lt;ZZ_WorkformID&gt;1&lt;/ZZ_WorkformID&gt;&lt;/MDL&gt;&lt;/Cite&gt;&lt;Cite&gt;&lt;Author&gt;Tack J&lt;/Author&gt;&lt;Year&gt;2009&lt;/Year&gt;&lt;RecNum&gt;4&lt;/RecNum&gt;&lt;IDText&gt;Prucalopride (Resolor) in the treatment of severe chronic constipation in patients dissatisfied with laxatives.&lt;/IDText&gt;&lt;MDL Ref_Type="Journal"&gt;&lt;Ref_Type&gt;Journal&lt;/Ref_Type&gt;&lt;Ref_ID&gt;4&lt;/Ref_ID&gt;&lt;Title_Primary&gt;Prucalopride (Resolor) in the treatment of severe chronic constipation in patients dissatisfied with laxatives.&lt;/Title_Primary&gt;&lt;Authors_Primary&gt;Tack J&lt;/Authors_Primary&gt;&lt;Authors_Primary&gt;van Outryve M&lt;/Authors_Primary&gt;&lt;Authors_Primary&gt;Beyens G&lt;/Authors_Primary&gt;&lt;Authors_Primary&gt;Kerstens R&lt;/Authors_Primary&gt;&lt;Authors_Primary&gt;Vandeplassche L&lt;/Authors_Primary&gt;&lt;Date_Primary&gt;2009&lt;/Date_Primary&gt;&lt;Reprint&gt;Not in File&lt;/Reprint&gt;&lt;Start_Page&gt;357&lt;/Start_Page&gt;&lt;End_Page&gt;365&lt;/End_Page&gt;&lt;Periodical&gt;Gut&lt;/Periodical&gt;&lt;Volume&gt;58&lt;/Volume&gt;&lt;ZZ_JournalFull&gt;&lt;f name="System"&gt;Gut&lt;/f&gt;&lt;/ZZ_JournalFull&gt;&lt;ZZ_WorkformID&gt;1&lt;/ZZ_WorkformID&gt;&lt;/MDL&gt;&lt;/Cite&gt;&lt;/Refman&gt;</w:instrText>
      </w:r>
      <w:r w:rsidRPr="00373D70">
        <w:rPr>
          <w:rFonts w:ascii="Book Antiqua" w:hAnsi="Book Antiqua" w:cs="Arial"/>
          <w:sz w:val="24"/>
          <w:szCs w:val="24"/>
        </w:rPr>
        <w:fldChar w:fldCharType="separate"/>
      </w:r>
      <w:r w:rsidRPr="00373D70">
        <w:rPr>
          <w:rFonts w:ascii="Book Antiqua" w:hAnsi="Book Antiqua" w:cs="Arial"/>
          <w:noProof/>
          <w:sz w:val="24"/>
          <w:szCs w:val="24"/>
          <w:vertAlign w:val="superscript"/>
        </w:rPr>
        <w:t>11, 12</w:t>
      </w:r>
      <w:r w:rsidRPr="00373D70">
        <w:rPr>
          <w:rFonts w:ascii="Book Antiqua" w:hAnsi="Book Antiqua" w:cs="Arial"/>
          <w:sz w:val="24"/>
          <w:szCs w:val="24"/>
        </w:rPr>
        <w:fldChar w:fldCharType="end"/>
      </w:r>
      <w:r w:rsidR="00F1042C" w:rsidRPr="00373D70">
        <w:rPr>
          <w:rFonts w:ascii="Book Antiqua" w:hAnsi="Book Antiqua" w:cs="Arial"/>
          <w:sz w:val="24"/>
          <w:szCs w:val="24"/>
          <w:vertAlign w:val="superscript"/>
        </w:rPr>
        <w:t>]</w:t>
      </w:r>
      <w:r w:rsidR="00F1042C" w:rsidRPr="00373D70">
        <w:rPr>
          <w:rFonts w:ascii="Book Antiqua" w:hAnsi="Book Antiqua" w:cs="Arial"/>
          <w:sz w:val="24"/>
          <w:szCs w:val="24"/>
        </w:rPr>
        <w:t>.</w:t>
      </w:r>
      <w:r w:rsidRPr="00373D70">
        <w:rPr>
          <w:rFonts w:ascii="Book Antiqua" w:hAnsi="Book Antiqua" w:cs="Arial"/>
          <w:sz w:val="24"/>
          <w:szCs w:val="24"/>
        </w:rPr>
        <w:t xml:space="preserve"> The most common adverse effects were headache, nausea, diarrhea and abdominal pain, with no significant cardiovascular effects. Renal failure was not found to be associated with prucalopride and no change in chemical laboratory</w:t>
      </w:r>
      <w:r w:rsidR="002165BD" w:rsidRPr="00373D70">
        <w:rPr>
          <w:rFonts w:ascii="Book Antiqua" w:hAnsi="Book Antiqua" w:cs="Arial"/>
          <w:sz w:val="24"/>
          <w:szCs w:val="24"/>
        </w:rPr>
        <w:t xml:space="preserve"> data</w:t>
      </w:r>
      <w:r w:rsidRPr="00373D70">
        <w:rPr>
          <w:rFonts w:ascii="Book Antiqua" w:hAnsi="Book Antiqua" w:cs="Arial"/>
          <w:sz w:val="24"/>
          <w:szCs w:val="24"/>
        </w:rPr>
        <w:t xml:space="preserve"> was reported from baseline in all of the phase 3 studies</w:t>
      </w:r>
      <w:r w:rsidR="00F1042C" w:rsidRPr="00373D70">
        <w:rPr>
          <w:rFonts w:ascii="Book Antiqua" w:hAnsi="Book Antiqua" w:cs="Arial"/>
          <w:sz w:val="24"/>
          <w:szCs w:val="24"/>
          <w:vertAlign w:val="superscript"/>
        </w:rPr>
        <w:t>[</w:t>
      </w:r>
      <w:r w:rsidRPr="00373D70">
        <w:rPr>
          <w:rFonts w:ascii="Book Antiqua" w:hAnsi="Book Antiqua" w:cs="Arial"/>
          <w:sz w:val="24"/>
          <w:szCs w:val="24"/>
        </w:rPr>
        <w:fldChar w:fldCharType="begin">
          <w:fldData xml:space="preserve">PFJlZm1hbj48Q2l0ZT48QXV0aG9yPkNhbWlsbGVyaSBNPC9BdXRob3I+PFllYXI+MjAwODwvWWVh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</w:fldData>
        </w:fldChar>
      </w:r>
      <w:r w:rsidR="00DC0D28" w:rsidRPr="00373D70">
        <w:rPr>
          <w:rFonts w:ascii="Book Antiqua" w:hAnsi="Book Antiqua" w:cs="Arial"/>
          <w:sz w:val="24"/>
          <w:szCs w:val="24"/>
        </w:rPr>
        <w:instrText xml:space="preserve"> ADDIN REFMGR.CITE </w:instrText>
      </w:r>
      <w:r w:rsidR="00DC0D28" w:rsidRPr="00373D70">
        <w:rPr>
          <w:rFonts w:ascii="Book Antiqua" w:hAnsi="Book Antiqua" w:cs="Arial"/>
          <w:sz w:val="24"/>
          <w:szCs w:val="24"/>
        </w:rPr>
        <w:fldChar w:fldCharType="begin">
          <w:fldData xml:space="preserve">PFJlZm1hbj48Q2l0ZT48QXV0aG9yPkNhbWlsbGVyaSBNPC9BdXRob3I+PFllYXI+MjAwODwvWWVh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</w:fldData>
        </w:fldChar>
      </w:r>
      <w:r w:rsidR="00DC0D28" w:rsidRPr="00373D70">
        <w:rPr>
          <w:rFonts w:ascii="Book Antiqua" w:hAnsi="Book Antiqua" w:cs="Arial"/>
          <w:sz w:val="24"/>
          <w:szCs w:val="24"/>
        </w:rPr>
        <w:instrText xml:space="preserve"> ADDIN EN.CITE.DATA </w:instrText>
      </w:r>
      <w:r w:rsidR="00DC0D28" w:rsidRPr="00373D70">
        <w:rPr>
          <w:rFonts w:ascii="Book Antiqua" w:hAnsi="Book Antiqua" w:cs="Arial"/>
          <w:sz w:val="24"/>
          <w:szCs w:val="24"/>
        </w:rPr>
      </w:r>
      <w:r w:rsidR="00DC0D28" w:rsidRPr="00373D70">
        <w:rPr>
          <w:rFonts w:ascii="Book Antiqua" w:hAnsi="Book Antiqua" w:cs="Arial"/>
          <w:sz w:val="24"/>
          <w:szCs w:val="24"/>
        </w:rPr>
        <w:fldChar w:fldCharType="end"/>
      </w:r>
      <w:r w:rsidRPr="00373D70">
        <w:rPr>
          <w:rFonts w:ascii="Book Antiqua" w:hAnsi="Book Antiqua" w:cs="Arial"/>
          <w:sz w:val="24"/>
          <w:szCs w:val="24"/>
        </w:rPr>
      </w:r>
      <w:r w:rsidRPr="00373D70">
        <w:rPr>
          <w:rFonts w:ascii="Book Antiqua" w:hAnsi="Book Antiqua" w:cs="Arial"/>
          <w:sz w:val="24"/>
          <w:szCs w:val="24"/>
        </w:rPr>
        <w:fldChar w:fldCharType="separate"/>
      </w:r>
      <w:r w:rsidR="00840F7A">
        <w:rPr>
          <w:rFonts w:ascii="Book Antiqua" w:hAnsi="Book Antiqua" w:cs="Arial"/>
          <w:noProof/>
          <w:sz w:val="24"/>
          <w:szCs w:val="24"/>
          <w:vertAlign w:val="superscript"/>
        </w:rPr>
        <w:t>8,12,</w:t>
      </w:r>
      <w:r w:rsidRPr="00373D70">
        <w:rPr>
          <w:rFonts w:ascii="Book Antiqua" w:hAnsi="Book Antiqua" w:cs="Arial"/>
          <w:noProof/>
          <w:sz w:val="24"/>
          <w:szCs w:val="24"/>
          <w:vertAlign w:val="superscript"/>
        </w:rPr>
        <w:t>13</w:t>
      </w:r>
      <w:r w:rsidRPr="00373D70">
        <w:rPr>
          <w:rFonts w:ascii="Book Antiqua" w:hAnsi="Book Antiqua" w:cs="Arial"/>
          <w:sz w:val="24"/>
          <w:szCs w:val="24"/>
        </w:rPr>
        <w:fldChar w:fldCharType="end"/>
      </w:r>
      <w:r w:rsidR="00F1042C" w:rsidRPr="00373D70">
        <w:rPr>
          <w:rFonts w:ascii="Book Antiqua" w:hAnsi="Book Antiqua" w:cs="Arial"/>
          <w:sz w:val="24"/>
          <w:szCs w:val="24"/>
          <w:vertAlign w:val="superscript"/>
        </w:rPr>
        <w:t>]</w:t>
      </w:r>
      <w:r w:rsidR="00F1042C" w:rsidRPr="00373D70">
        <w:rPr>
          <w:rFonts w:ascii="Book Antiqua" w:hAnsi="Book Antiqua" w:cs="Arial"/>
          <w:sz w:val="24"/>
          <w:szCs w:val="24"/>
        </w:rPr>
        <w:t>.</w:t>
      </w:r>
      <w:r w:rsidRPr="00373D70">
        <w:rPr>
          <w:rFonts w:ascii="Book Antiqua" w:hAnsi="Book Antiqua" w:cs="Arial"/>
          <w:sz w:val="24"/>
          <w:szCs w:val="24"/>
        </w:rPr>
        <w:t xml:space="preserve"> Randomized trials in elderly patients also found prucalopride to be safe with no effect on renal or cardiac function</w:t>
      </w:r>
      <w:r w:rsidR="00F1042C" w:rsidRPr="00373D70">
        <w:rPr>
          <w:rFonts w:ascii="Book Antiqua" w:hAnsi="Book Antiqua" w:cs="Arial"/>
          <w:sz w:val="24"/>
          <w:szCs w:val="24"/>
          <w:vertAlign w:val="superscript"/>
        </w:rPr>
        <w:t>[</w:t>
      </w:r>
      <w:r w:rsidR="00DC0D28" w:rsidRPr="00373D70">
        <w:rPr>
          <w:rFonts w:ascii="Book Antiqua" w:hAnsi="Book Antiqua" w:cs="Arial"/>
          <w:sz w:val="24"/>
          <w:szCs w:val="24"/>
        </w:rPr>
        <w:fldChar w:fldCharType="begin"/>
      </w:r>
      <w:r w:rsidR="00DC0D28" w:rsidRPr="00373D70">
        <w:rPr>
          <w:rFonts w:ascii="Book Antiqua" w:hAnsi="Book Antiqua" w:cs="Arial"/>
          <w:sz w:val="24"/>
          <w:szCs w:val="24"/>
        </w:rPr>
        <w:instrText xml:space="preserve"> ADDIN REFMGR.CITE &lt;Refman&gt;&lt;Cite&gt;&lt;Author&gt;Camilleri M&lt;/Author&gt;&lt;Year&gt;2009&lt;/Year&gt;&lt;RecNum&gt;6&lt;/RecNum&gt;&lt;IDText&gt;Safety assessment of prucalopride in elderly patients with constipation: a double-blind, placebo-controlled study.&lt;/IDText&gt;&lt;MDL Ref_Type="Journal"&gt;&lt;Ref_Type&gt;Journal&lt;/Ref_Type&gt;&lt;Ref_ID&gt;6&lt;/Ref_ID&gt;&lt;Title_Primary&gt;Safety assessment of prucalopride in elderly patients with constipation: a double-blind, placebo-controlled study.&lt;/Title_Primary&gt;&lt;Authors_Primary&gt;Camilleri M&lt;/Authors_Primary&gt;&lt;Authors_Primary&gt;Beyens G&lt;/Authors_Primary&gt;&lt;Authors_Primary&gt;Kerstens R&lt;/Authors_Primary&gt;&lt;Authors_Primary&gt;Robinson P&lt;/Authors_Primary&gt;&lt;Authors_Primary&gt;Vandeplassche L&lt;/Authors_Primary&gt;&lt;Date_Primary&gt;2009&lt;/Date_Primary&gt;&lt;Reprint&gt;Not in File&lt;/Reprint&gt;&lt;Start_Page&gt;1256&lt;/Start_Page&gt;&lt;End_Page&gt;1264&lt;/End_Page&gt;&lt;Periodical&gt;Neurogastroenterology &amp;amp; Motility&lt;/Periodical&gt;&lt;Volume&gt;21&lt;/Volume&gt;&lt;ZZ_JournalFull&gt;&lt;f name="System"&gt;Neurogastroenterology &amp;amp; Motility&lt;/f&gt;&lt;/ZZ_JournalFull&gt;&lt;ZZ_WorkformID&gt;1&lt;/ZZ_WorkformID&gt;&lt;/MDL&gt;&lt;/Cite&gt;&lt;Cite&gt;&lt;Author&gt;Muller-Lissner S&lt;/Author&gt;&lt;Year&gt;2010&lt;/Year&gt;&lt;RecNum&gt;5&lt;/RecNum&gt;&lt;IDText&gt;A double-blind, placebo-controlled study of prucalopride in elderly patients with chronic constipation.&lt;/IDText&gt;&lt;MDL Ref_Type="Journal"&gt;&lt;Ref_Type&gt;Journal&lt;/Ref_Type&gt;&lt;Ref_ID&gt;5&lt;/Ref_ID&gt;&lt;Title_Primary&gt;A double-blind, placebo-controlled study of prucalopride in elderly patients with chronic constipation.&lt;/Title_Primary&gt;&lt;Authors_Primary&gt;Muller-Lissner S&lt;/Authors_Primary&gt;&lt;Authors_Primary&gt;Rykx A&lt;/Authors_Primary&gt;&lt;Authors_Primary&gt;Kerstens R&lt;/Authors_Primary&gt;&lt;Authors_Primary&gt;Vandeplassche L&lt;/Authors_Primary&gt;&lt;Date_Primary&gt;2010&lt;/Date_Primary&gt;&lt;Reprint&gt;Not in File&lt;/Reprint&gt;&lt;Start_Page&gt;991&lt;/Start_Page&gt;&lt;End_Page&gt;999&lt;/End_Page&gt;&lt;Periodical&gt;Neurogastroenterology &amp;amp; Motility&lt;/Periodical&gt;&lt;Volume&gt;22&lt;/Volume&gt;&lt;ZZ_JournalFull&gt;&lt;f name="System"&gt;Neurogastroenterology &amp;amp; Motility&lt;/f&gt;&lt;/ZZ_JournalFull&gt;&lt;ZZ_WorkformID&gt;1&lt;/ZZ_WorkformID&gt;&lt;/MDL&gt;&lt;/Cite&gt;&lt;/Refman&gt;</w:instrText>
      </w:r>
      <w:r w:rsidR="00DC0D28" w:rsidRPr="00373D70">
        <w:rPr>
          <w:rFonts w:ascii="Book Antiqua" w:hAnsi="Book Antiqua" w:cs="Arial"/>
          <w:sz w:val="24"/>
          <w:szCs w:val="24"/>
        </w:rPr>
        <w:fldChar w:fldCharType="separate"/>
      </w:r>
      <w:r w:rsidR="00DC0D28" w:rsidRPr="00373D70">
        <w:rPr>
          <w:rFonts w:ascii="Book Antiqua" w:hAnsi="Book Antiqua" w:cs="Arial"/>
          <w:noProof/>
          <w:sz w:val="24"/>
          <w:szCs w:val="24"/>
          <w:vertAlign w:val="superscript"/>
        </w:rPr>
        <w:t>10, 14</w:t>
      </w:r>
      <w:r w:rsidR="00DC0D28" w:rsidRPr="00373D70">
        <w:rPr>
          <w:rFonts w:ascii="Book Antiqua" w:hAnsi="Book Antiqua" w:cs="Arial"/>
          <w:sz w:val="24"/>
          <w:szCs w:val="24"/>
        </w:rPr>
        <w:fldChar w:fldCharType="end"/>
      </w:r>
      <w:r w:rsidR="00F1042C" w:rsidRPr="00373D70">
        <w:rPr>
          <w:rFonts w:ascii="Book Antiqua" w:hAnsi="Book Antiqua" w:cs="Arial"/>
          <w:sz w:val="24"/>
          <w:szCs w:val="24"/>
          <w:vertAlign w:val="superscript"/>
        </w:rPr>
        <w:t>]</w:t>
      </w:r>
      <w:r w:rsidR="00F1042C" w:rsidRPr="00373D70">
        <w:rPr>
          <w:rFonts w:ascii="Book Antiqua" w:hAnsi="Book Antiqua" w:cs="Arial"/>
          <w:sz w:val="24"/>
          <w:szCs w:val="24"/>
        </w:rPr>
        <w:t>.</w:t>
      </w:r>
      <w:r w:rsidR="00DC0D28" w:rsidRPr="00373D70">
        <w:rPr>
          <w:rFonts w:ascii="Book Antiqua" w:hAnsi="Book Antiqua" w:cs="Arial"/>
          <w:sz w:val="24"/>
          <w:szCs w:val="24"/>
        </w:rPr>
        <w:t xml:space="preserve"> </w:t>
      </w:r>
      <w:r w:rsidRPr="00373D70">
        <w:rPr>
          <w:rFonts w:ascii="Book Antiqua" w:hAnsi="Book Antiqua" w:cs="Arial"/>
          <w:sz w:val="24"/>
          <w:szCs w:val="24"/>
        </w:rPr>
        <w:t>We report the first case of pruaclopride associated renal failure which was irreversible following discontinuation of the medication.</w:t>
      </w:r>
    </w:p>
    <w:p w14:paraId="0F13D20B" w14:textId="77777777" w:rsidR="002165BD" w:rsidRPr="00373D70" w:rsidRDefault="002165BD" w:rsidP="00B95DC7">
      <w:pPr>
        <w:spacing w:after="0" w:line="360" w:lineRule="auto"/>
        <w:jc w:val="both"/>
        <w:rPr>
          <w:rFonts w:ascii="Book Antiqua" w:hAnsi="Book Antiqua" w:cs="Arial"/>
          <w:b/>
          <w:sz w:val="24"/>
          <w:szCs w:val="24"/>
        </w:rPr>
      </w:pPr>
    </w:p>
    <w:p w14:paraId="066DB442" w14:textId="43D9355A" w:rsidR="00B226FF" w:rsidRPr="00373D70" w:rsidRDefault="00373D70" w:rsidP="00B95DC7">
      <w:pPr>
        <w:spacing w:after="0" w:line="360" w:lineRule="auto"/>
        <w:jc w:val="both"/>
        <w:rPr>
          <w:rFonts w:ascii="Book Antiqua" w:hAnsi="Book Antiqua" w:cs="Arial"/>
          <w:b/>
          <w:sz w:val="24"/>
          <w:szCs w:val="24"/>
        </w:rPr>
      </w:pPr>
      <w:r w:rsidRPr="00373D70">
        <w:rPr>
          <w:rFonts w:ascii="Book Antiqua" w:hAnsi="Book Antiqua" w:cs="Arial"/>
          <w:b/>
          <w:sz w:val="24"/>
          <w:szCs w:val="24"/>
        </w:rPr>
        <w:t>CASE REPORT</w:t>
      </w:r>
    </w:p>
    <w:p w14:paraId="39A90DA9" w14:textId="6506A216" w:rsidR="00B226FF" w:rsidRPr="00373D70" w:rsidRDefault="00B226FF" w:rsidP="00B95DC7">
      <w:pPr>
        <w:spacing w:after="0" w:line="360" w:lineRule="auto"/>
        <w:jc w:val="both"/>
        <w:rPr>
          <w:rFonts w:ascii="Book Antiqua" w:hAnsi="Book Antiqua" w:cs="Arial"/>
          <w:sz w:val="24"/>
          <w:szCs w:val="24"/>
          <w:lang w:eastAsia="zh-CN"/>
        </w:rPr>
      </w:pPr>
      <w:r w:rsidRPr="00373D70">
        <w:rPr>
          <w:rFonts w:ascii="Book Antiqua" w:hAnsi="Book Antiqua" w:cs="Arial"/>
          <w:sz w:val="24"/>
          <w:szCs w:val="24"/>
        </w:rPr>
        <w:t>A 75 year</w:t>
      </w:r>
      <w:r w:rsidR="00373D70">
        <w:rPr>
          <w:rFonts w:ascii="Book Antiqua" w:hAnsi="Book Antiqua" w:cs="Arial" w:hint="eastAsia"/>
          <w:sz w:val="24"/>
          <w:szCs w:val="24"/>
          <w:lang w:eastAsia="zh-CN"/>
        </w:rPr>
        <w:t>s</w:t>
      </w:r>
      <w:r w:rsidRPr="00373D70">
        <w:rPr>
          <w:rFonts w:ascii="Book Antiqua" w:hAnsi="Book Antiqua" w:cs="Arial"/>
          <w:sz w:val="24"/>
          <w:szCs w:val="24"/>
        </w:rPr>
        <w:t xml:space="preserve"> old </w:t>
      </w:r>
      <w:r w:rsidR="002165BD" w:rsidRPr="00373D70">
        <w:rPr>
          <w:rFonts w:ascii="Book Antiqua" w:hAnsi="Book Antiqua" w:cs="Arial"/>
          <w:sz w:val="24"/>
          <w:szCs w:val="24"/>
        </w:rPr>
        <w:t xml:space="preserve">male </w:t>
      </w:r>
      <w:r w:rsidRPr="00373D70">
        <w:rPr>
          <w:rFonts w:ascii="Book Antiqua" w:hAnsi="Book Antiqua" w:cs="Arial"/>
          <w:sz w:val="24"/>
          <w:szCs w:val="24"/>
        </w:rPr>
        <w:t xml:space="preserve">developed chronic constipation following a Whipple’s pancreaticoduodenectomy for pancreatic cancer 19 mo earlier. Over this period, he had multiple emergency room visits for abdominal cramps and pain which were on occasion related to severe constipation and obstipation. He required regular cleansing regimens in hospital, and repeated upper and lower endoscopies revealed no significant pathology. He was referred to a gastroenterologist and his pain resolved with discontinuation of his pancrealipase preparation. After failing several months of therapy for constipation with various bulking, osmotic and stimulant laxatives, he was initiated on prucalopride (Resotran), a new enterokinetic agent, at a dose of </w:t>
      </w:r>
      <w:r w:rsidR="007653E6" w:rsidRPr="00373D70">
        <w:rPr>
          <w:rFonts w:ascii="Book Antiqua" w:hAnsi="Book Antiqua" w:cs="Arial"/>
          <w:sz w:val="24"/>
          <w:szCs w:val="24"/>
        </w:rPr>
        <w:t>2</w:t>
      </w:r>
      <w:r w:rsidRPr="00373D70">
        <w:rPr>
          <w:rFonts w:ascii="Book Antiqua" w:hAnsi="Book Antiqua" w:cs="Arial"/>
          <w:sz w:val="24"/>
          <w:szCs w:val="24"/>
        </w:rPr>
        <w:t xml:space="preserve"> mg once daily</w:t>
      </w:r>
      <w:r w:rsidR="00373D70">
        <w:rPr>
          <w:rFonts w:ascii="Book Antiqua" w:hAnsi="Book Antiqua" w:cs="Arial" w:hint="eastAsia"/>
          <w:sz w:val="24"/>
          <w:szCs w:val="24"/>
          <w:lang w:eastAsia="zh-CN"/>
        </w:rPr>
        <w:t>.</w:t>
      </w:r>
    </w:p>
    <w:p w14:paraId="69892262" w14:textId="77777777" w:rsidR="00B226FF" w:rsidRPr="00373D70" w:rsidRDefault="00B226FF" w:rsidP="00373D70">
      <w:pPr>
        <w:spacing w:after="0" w:line="360" w:lineRule="auto"/>
        <w:ind w:firstLineChars="100" w:firstLine="240"/>
        <w:jc w:val="both"/>
        <w:rPr>
          <w:rFonts w:ascii="Book Antiqua" w:hAnsi="Book Antiqua" w:cs="Arial"/>
          <w:sz w:val="24"/>
          <w:szCs w:val="24"/>
        </w:rPr>
      </w:pPr>
      <w:r w:rsidRPr="00373D70">
        <w:rPr>
          <w:rFonts w:ascii="Book Antiqua" w:hAnsi="Book Antiqua" w:cs="Arial"/>
          <w:sz w:val="24"/>
          <w:szCs w:val="24"/>
        </w:rPr>
        <w:t>Besides his Whipple’s procedure, his surgical history is also significant for an open prostatectomy nine years prior for benign prostatic hyperplasia, remote appendectomy</w:t>
      </w:r>
      <w:r w:rsidR="007653E6" w:rsidRPr="00373D70">
        <w:rPr>
          <w:rFonts w:ascii="Book Antiqua" w:hAnsi="Book Antiqua" w:cs="Arial"/>
          <w:sz w:val="24"/>
          <w:szCs w:val="24"/>
        </w:rPr>
        <w:t>,</w:t>
      </w:r>
      <w:r w:rsidRPr="00373D70">
        <w:rPr>
          <w:rFonts w:ascii="Book Antiqua" w:hAnsi="Book Antiqua" w:cs="Arial"/>
          <w:sz w:val="24"/>
          <w:szCs w:val="24"/>
        </w:rPr>
        <w:t xml:space="preserve"> and a hernia repair. His medical history includes hypertension, dyslipidemia</w:t>
      </w:r>
      <w:r w:rsidR="007653E6" w:rsidRPr="00373D70">
        <w:rPr>
          <w:rFonts w:ascii="Book Antiqua" w:hAnsi="Book Antiqua" w:cs="Arial"/>
          <w:sz w:val="24"/>
          <w:szCs w:val="24"/>
        </w:rPr>
        <w:t>,</w:t>
      </w:r>
      <w:r w:rsidRPr="00373D70">
        <w:rPr>
          <w:rFonts w:ascii="Book Antiqua" w:hAnsi="Book Antiqua" w:cs="Arial"/>
          <w:sz w:val="24"/>
          <w:szCs w:val="24"/>
        </w:rPr>
        <w:t xml:space="preserve"> and a cerebrovascular ischemic stroke with minimal neurologic deficits. His medications at this time were clopidogrel, pantoprazole, candesartan, indapamide, gabapentin, sennoside</w:t>
      </w:r>
      <w:r w:rsidR="007653E6" w:rsidRPr="00373D70">
        <w:rPr>
          <w:rFonts w:ascii="Book Antiqua" w:hAnsi="Book Antiqua" w:cs="Arial"/>
          <w:sz w:val="24"/>
          <w:szCs w:val="24"/>
        </w:rPr>
        <w:t>,</w:t>
      </w:r>
      <w:r w:rsidRPr="00373D70">
        <w:rPr>
          <w:rFonts w:ascii="Book Antiqua" w:hAnsi="Book Antiqua" w:cs="Arial"/>
          <w:sz w:val="24"/>
          <w:szCs w:val="24"/>
        </w:rPr>
        <w:t xml:space="preserve"> as well as 30 g of fiber daily. </w:t>
      </w:r>
    </w:p>
    <w:p w14:paraId="03A1B312" w14:textId="40565113" w:rsidR="00B226FF" w:rsidRPr="00373D70" w:rsidRDefault="00B226FF" w:rsidP="00373D70">
      <w:pPr>
        <w:spacing w:after="0" w:line="360" w:lineRule="auto"/>
        <w:ind w:firstLineChars="100" w:firstLine="240"/>
        <w:jc w:val="both"/>
        <w:rPr>
          <w:rFonts w:ascii="Book Antiqua" w:hAnsi="Book Antiqua" w:cs="Arial"/>
          <w:sz w:val="24"/>
          <w:szCs w:val="24"/>
        </w:rPr>
      </w:pPr>
      <w:r w:rsidRPr="00373D70">
        <w:rPr>
          <w:rFonts w:ascii="Book Antiqua" w:hAnsi="Book Antiqua" w:cs="Arial"/>
          <w:sz w:val="24"/>
          <w:szCs w:val="24"/>
        </w:rPr>
        <w:t>The patient was seen four months after the initiation of prucalopride and was now having regular bowel movements for the first time since his Whipple’s surgery. He required no further admissions to hospital and his quality of life significantly improved while using prucalopride as the sole agent for management of his constipation. It was however noted that his creatinine was had risen from a baseline of 103</w:t>
      </w:r>
      <w:r w:rsidR="00B2767D" w:rsidRPr="00373D70">
        <w:rPr>
          <w:rFonts w:ascii="Book Antiqua" w:hAnsi="Book Antiqua" w:cs="Arial"/>
          <w:sz w:val="24"/>
          <w:szCs w:val="24"/>
        </w:rPr>
        <w:t xml:space="preserve"> (eGFR baseline 61 m</w:t>
      </w:r>
      <w:r w:rsidR="00373D70">
        <w:rPr>
          <w:rFonts w:ascii="Book Antiqua" w:hAnsi="Book Antiqua" w:cs="Arial" w:hint="eastAsia"/>
          <w:sz w:val="24"/>
          <w:szCs w:val="24"/>
          <w:lang w:eastAsia="zh-CN"/>
        </w:rPr>
        <w:t>L</w:t>
      </w:r>
      <w:r w:rsidR="00B2767D" w:rsidRPr="00373D70">
        <w:rPr>
          <w:rFonts w:ascii="Book Antiqua" w:hAnsi="Book Antiqua" w:cs="Arial"/>
          <w:sz w:val="24"/>
          <w:szCs w:val="24"/>
        </w:rPr>
        <w:t>/min</w:t>
      </w:r>
      <w:r w:rsidR="00373D70">
        <w:rPr>
          <w:rFonts w:ascii="Book Antiqua" w:hAnsi="Book Antiqua" w:cs="Arial" w:hint="eastAsia"/>
          <w:sz w:val="24"/>
          <w:szCs w:val="24"/>
          <w:lang w:eastAsia="zh-CN"/>
        </w:rPr>
        <w:t xml:space="preserve"> per </w:t>
      </w:r>
      <w:r w:rsidR="00B2767D" w:rsidRPr="00373D70">
        <w:rPr>
          <w:rFonts w:ascii="Book Antiqua" w:hAnsi="Book Antiqua" w:cs="Arial"/>
          <w:sz w:val="24"/>
          <w:szCs w:val="24"/>
        </w:rPr>
        <w:t>1.73</w:t>
      </w:r>
      <w:r w:rsidR="00373D70">
        <w:rPr>
          <w:rFonts w:ascii="Book Antiqua" w:hAnsi="Book Antiqua" w:cs="Arial" w:hint="eastAsia"/>
          <w:sz w:val="24"/>
          <w:szCs w:val="24"/>
          <w:lang w:eastAsia="zh-CN"/>
        </w:rPr>
        <w:t xml:space="preserve"> </w:t>
      </w:r>
      <w:r w:rsidR="00B2767D" w:rsidRPr="00373D70">
        <w:rPr>
          <w:rFonts w:ascii="Book Antiqua" w:hAnsi="Book Antiqua" w:cs="Arial"/>
          <w:sz w:val="24"/>
          <w:szCs w:val="24"/>
        </w:rPr>
        <w:t>m</w:t>
      </w:r>
      <w:r w:rsidR="00B2767D" w:rsidRPr="00373D70">
        <w:rPr>
          <w:rFonts w:ascii="Book Antiqua" w:hAnsi="Book Antiqua" w:cs="Arial"/>
          <w:sz w:val="24"/>
          <w:szCs w:val="24"/>
          <w:vertAlign w:val="superscript"/>
        </w:rPr>
        <w:t>2</w:t>
      </w:r>
      <w:r w:rsidR="004829FD" w:rsidRPr="00373D70">
        <w:rPr>
          <w:rFonts w:ascii="Book Antiqua" w:hAnsi="Book Antiqua" w:cs="Arial"/>
          <w:sz w:val="24"/>
          <w:szCs w:val="24"/>
        </w:rPr>
        <w:t>, stable for at least 4 years</w:t>
      </w:r>
      <w:r w:rsidR="00B2767D" w:rsidRPr="00373D70">
        <w:rPr>
          <w:rFonts w:ascii="Book Antiqua" w:hAnsi="Book Antiqua" w:cs="Arial"/>
          <w:sz w:val="24"/>
          <w:szCs w:val="24"/>
        </w:rPr>
        <w:t>)</w:t>
      </w:r>
      <w:r w:rsidRPr="00373D70">
        <w:rPr>
          <w:rFonts w:ascii="Book Antiqua" w:hAnsi="Book Antiqua" w:cs="Arial"/>
          <w:sz w:val="24"/>
          <w:szCs w:val="24"/>
        </w:rPr>
        <w:t xml:space="preserve"> to 165 </w:t>
      </w:r>
      <w:r w:rsidR="005D02E2" w:rsidRPr="00373D70">
        <w:rPr>
          <w:rFonts w:ascii="Book Antiqua" w:hAnsi="Book Antiqua" w:cs="Arial"/>
          <w:sz w:val="24"/>
          <w:szCs w:val="24"/>
        </w:rPr>
        <w:t>μ</w:t>
      </w:r>
      <w:r w:rsidRPr="00373D70">
        <w:rPr>
          <w:rFonts w:ascii="Book Antiqua" w:hAnsi="Book Antiqua" w:cs="Arial"/>
          <w:sz w:val="24"/>
          <w:szCs w:val="24"/>
        </w:rPr>
        <w:t>mo</w:t>
      </w:r>
      <w:r w:rsidR="00B2767D" w:rsidRPr="00373D70">
        <w:rPr>
          <w:rFonts w:ascii="Book Antiqua" w:hAnsi="Book Antiqua" w:cs="Arial"/>
          <w:sz w:val="24"/>
          <w:szCs w:val="24"/>
        </w:rPr>
        <w:t>l</w:t>
      </w:r>
      <w:r w:rsidR="007653E6" w:rsidRPr="00373D70">
        <w:rPr>
          <w:rFonts w:ascii="Book Antiqua" w:hAnsi="Book Antiqua" w:cs="Arial"/>
          <w:sz w:val="24"/>
          <w:szCs w:val="24"/>
        </w:rPr>
        <w:t xml:space="preserve">/L </w:t>
      </w:r>
      <w:r w:rsidR="004829FD" w:rsidRPr="00373D70">
        <w:rPr>
          <w:rFonts w:ascii="Book Antiqua" w:hAnsi="Book Antiqua" w:cs="Arial"/>
          <w:sz w:val="24"/>
          <w:szCs w:val="24"/>
        </w:rPr>
        <w:t>(eGFR 35 m</w:t>
      </w:r>
      <w:r w:rsidR="00373D70">
        <w:rPr>
          <w:rFonts w:ascii="Book Antiqua" w:hAnsi="Book Antiqua" w:cs="Arial" w:hint="eastAsia"/>
          <w:sz w:val="24"/>
          <w:szCs w:val="24"/>
          <w:lang w:eastAsia="zh-CN"/>
        </w:rPr>
        <w:t>L</w:t>
      </w:r>
      <w:r w:rsidR="004829FD" w:rsidRPr="00373D70">
        <w:rPr>
          <w:rFonts w:ascii="Book Antiqua" w:hAnsi="Book Antiqua" w:cs="Arial"/>
          <w:sz w:val="24"/>
          <w:szCs w:val="24"/>
        </w:rPr>
        <w:t>/min</w:t>
      </w:r>
      <w:r w:rsidR="00373D70">
        <w:rPr>
          <w:rFonts w:ascii="Book Antiqua" w:hAnsi="Book Antiqua" w:cs="Arial" w:hint="eastAsia"/>
          <w:sz w:val="24"/>
          <w:szCs w:val="24"/>
          <w:lang w:eastAsia="zh-CN"/>
        </w:rPr>
        <w:t xml:space="preserve"> per </w:t>
      </w:r>
      <w:r w:rsidR="004829FD" w:rsidRPr="00373D70">
        <w:rPr>
          <w:rFonts w:ascii="Book Antiqua" w:hAnsi="Book Antiqua" w:cs="Arial"/>
          <w:sz w:val="24"/>
          <w:szCs w:val="24"/>
        </w:rPr>
        <w:t>1.73</w:t>
      </w:r>
      <w:r w:rsidR="00373D70">
        <w:rPr>
          <w:rFonts w:ascii="Book Antiqua" w:hAnsi="Book Antiqua" w:cs="Arial" w:hint="eastAsia"/>
          <w:sz w:val="24"/>
          <w:szCs w:val="24"/>
          <w:lang w:eastAsia="zh-CN"/>
        </w:rPr>
        <w:t xml:space="preserve"> </w:t>
      </w:r>
      <w:r w:rsidR="004829FD" w:rsidRPr="00373D70">
        <w:rPr>
          <w:rFonts w:ascii="Book Antiqua" w:hAnsi="Book Antiqua" w:cs="Arial"/>
          <w:sz w:val="24"/>
          <w:szCs w:val="24"/>
        </w:rPr>
        <w:t>m</w:t>
      </w:r>
      <w:r w:rsidR="004829FD" w:rsidRPr="00373D70">
        <w:rPr>
          <w:rFonts w:ascii="Book Antiqua" w:hAnsi="Book Antiqua" w:cs="Arial"/>
          <w:sz w:val="24"/>
          <w:szCs w:val="24"/>
          <w:vertAlign w:val="superscript"/>
        </w:rPr>
        <w:t>2</w:t>
      </w:r>
      <w:r w:rsidR="004829FD" w:rsidRPr="00373D70">
        <w:rPr>
          <w:rFonts w:ascii="Book Antiqua" w:hAnsi="Book Antiqua" w:cs="Arial"/>
          <w:sz w:val="24"/>
          <w:szCs w:val="24"/>
        </w:rPr>
        <w:t xml:space="preserve">) </w:t>
      </w:r>
      <w:r w:rsidR="007653E6" w:rsidRPr="00373D70">
        <w:rPr>
          <w:rFonts w:ascii="Book Antiqua" w:hAnsi="Book Antiqua" w:cs="Arial"/>
          <w:sz w:val="24"/>
          <w:szCs w:val="24"/>
        </w:rPr>
        <w:t>in two</w:t>
      </w:r>
      <w:r w:rsidRPr="00373D70">
        <w:rPr>
          <w:rFonts w:ascii="Book Antiqua" w:hAnsi="Book Antiqua" w:cs="Arial"/>
          <w:sz w:val="24"/>
          <w:szCs w:val="24"/>
        </w:rPr>
        <w:t xml:space="preserve"> months, and further to 270 </w:t>
      </w:r>
      <w:r w:rsidR="005D02E2" w:rsidRPr="00373D70">
        <w:rPr>
          <w:rFonts w:ascii="Book Antiqua" w:hAnsi="Book Antiqua" w:cs="Arial"/>
          <w:sz w:val="24"/>
          <w:szCs w:val="24"/>
        </w:rPr>
        <w:t>μ</w:t>
      </w:r>
      <w:r w:rsidR="007653E6" w:rsidRPr="00373D70">
        <w:rPr>
          <w:rFonts w:ascii="Book Antiqua" w:hAnsi="Book Antiqua" w:cs="Arial"/>
          <w:sz w:val="24"/>
          <w:szCs w:val="24"/>
        </w:rPr>
        <w:t xml:space="preserve">mol/L </w:t>
      </w:r>
      <w:r w:rsidR="004829FD" w:rsidRPr="00373D70">
        <w:rPr>
          <w:rFonts w:ascii="Book Antiqua" w:hAnsi="Book Antiqua" w:cs="Arial"/>
          <w:sz w:val="24"/>
          <w:szCs w:val="24"/>
        </w:rPr>
        <w:t>(eGFR 19 m</w:t>
      </w:r>
      <w:r w:rsidR="00373D70">
        <w:rPr>
          <w:rFonts w:ascii="Book Antiqua" w:hAnsi="Book Antiqua" w:cs="Arial" w:hint="eastAsia"/>
          <w:sz w:val="24"/>
          <w:szCs w:val="24"/>
          <w:lang w:eastAsia="zh-CN"/>
        </w:rPr>
        <w:t>L</w:t>
      </w:r>
      <w:r w:rsidR="004829FD" w:rsidRPr="00373D70">
        <w:rPr>
          <w:rFonts w:ascii="Book Antiqua" w:hAnsi="Book Antiqua" w:cs="Arial"/>
          <w:sz w:val="24"/>
          <w:szCs w:val="24"/>
        </w:rPr>
        <w:t>/min</w:t>
      </w:r>
      <w:r w:rsidR="00373D70">
        <w:rPr>
          <w:rFonts w:ascii="Book Antiqua" w:hAnsi="Book Antiqua" w:cs="Arial" w:hint="eastAsia"/>
          <w:sz w:val="24"/>
          <w:szCs w:val="24"/>
          <w:lang w:eastAsia="zh-CN"/>
        </w:rPr>
        <w:t xml:space="preserve"> per </w:t>
      </w:r>
      <w:r w:rsidR="004829FD" w:rsidRPr="00373D70">
        <w:rPr>
          <w:rFonts w:ascii="Book Antiqua" w:hAnsi="Book Antiqua" w:cs="Arial"/>
          <w:sz w:val="24"/>
          <w:szCs w:val="24"/>
        </w:rPr>
        <w:t>1.73m</w:t>
      </w:r>
      <w:r w:rsidR="004829FD" w:rsidRPr="00373D70">
        <w:rPr>
          <w:rFonts w:ascii="Book Antiqua" w:hAnsi="Book Antiqua" w:cs="Arial"/>
          <w:sz w:val="24"/>
          <w:szCs w:val="24"/>
          <w:vertAlign w:val="superscript"/>
        </w:rPr>
        <w:t>2</w:t>
      </w:r>
      <w:r w:rsidR="004829FD" w:rsidRPr="00373D70">
        <w:rPr>
          <w:rFonts w:ascii="Book Antiqua" w:hAnsi="Book Antiqua" w:cs="Arial"/>
          <w:sz w:val="24"/>
          <w:szCs w:val="24"/>
        </w:rPr>
        <w:t xml:space="preserve">) </w:t>
      </w:r>
      <w:r w:rsidR="007653E6" w:rsidRPr="00373D70">
        <w:rPr>
          <w:rFonts w:ascii="Book Antiqua" w:hAnsi="Book Antiqua" w:cs="Arial"/>
          <w:sz w:val="24"/>
          <w:szCs w:val="24"/>
        </w:rPr>
        <w:t>by four</w:t>
      </w:r>
      <w:r w:rsidRPr="00373D70">
        <w:rPr>
          <w:rFonts w:ascii="Book Antiqua" w:hAnsi="Book Antiqua" w:cs="Arial"/>
          <w:sz w:val="24"/>
          <w:szCs w:val="24"/>
        </w:rPr>
        <w:t xml:space="preserve"> months</w:t>
      </w:r>
      <w:r w:rsidR="00136123" w:rsidRPr="00373D70">
        <w:rPr>
          <w:rFonts w:ascii="Book Antiqua" w:hAnsi="Book Antiqua" w:cs="Arial"/>
          <w:sz w:val="24"/>
          <w:szCs w:val="24"/>
        </w:rPr>
        <w:t xml:space="preserve"> (</w:t>
      </w:r>
      <w:r w:rsidR="003B7BF8" w:rsidRPr="00373D70">
        <w:rPr>
          <w:rFonts w:ascii="Book Antiqua" w:hAnsi="Book Antiqua" w:cs="Arial"/>
          <w:sz w:val="24"/>
          <w:szCs w:val="24"/>
        </w:rPr>
        <w:t>Figure</w:t>
      </w:r>
      <w:r w:rsidR="00136123" w:rsidRPr="00373D70">
        <w:rPr>
          <w:rFonts w:ascii="Book Antiqua" w:hAnsi="Book Antiqua" w:cs="Arial"/>
          <w:sz w:val="24"/>
          <w:szCs w:val="24"/>
        </w:rPr>
        <w:t xml:space="preserve"> 1)</w:t>
      </w:r>
      <w:r w:rsidRPr="00373D70">
        <w:rPr>
          <w:rFonts w:ascii="Book Antiqua" w:hAnsi="Book Antiqua" w:cs="Arial"/>
          <w:sz w:val="24"/>
          <w:szCs w:val="24"/>
        </w:rPr>
        <w:t>. He endorsed no symptoms of decreased oral intake, oliguria, abdominal pain, nausea, vomiting, peripheral swelling</w:t>
      </w:r>
      <w:r w:rsidR="007653E6" w:rsidRPr="00373D70">
        <w:rPr>
          <w:rFonts w:ascii="Book Antiqua" w:hAnsi="Book Antiqua" w:cs="Arial"/>
          <w:sz w:val="24"/>
          <w:szCs w:val="24"/>
        </w:rPr>
        <w:t>,</w:t>
      </w:r>
      <w:r w:rsidRPr="00373D70">
        <w:rPr>
          <w:rFonts w:ascii="Book Antiqua" w:hAnsi="Book Antiqua" w:cs="Arial"/>
          <w:sz w:val="24"/>
          <w:szCs w:val="24"/>
        </w:rPr>
        <w:t xml:space="preserve"> or shortness of breath. He also denied any irritative or obstructive urinary symptoms. There were no recent changes to his medications, or any use of over the counter medications such as non-steroidal anti-</w:t>
      </w:r>
      <w:r w:rsidR="004829FD" w:rsidRPr="00373D70">
        <w:rPr>
          <w:rFonts w:ascii="Book Antiqua" w:hAnsi="Book Antiqua" w:cs="Arial"/>
          <w:sz w:val="24"/>
          <w:szCs w:val="24"/>
        </w:rPr>
        <w:t>inflammatory</w:t>
      </w:r>
      <w:r w:rsidRPr="00373D70">
        <w:rPr>
          <w:rFonts w:ascii="Book Antiqua" w:hAnsi="Book Antiqua" w:cs="Arial"/>
          <w:sz w:val="24"/>
          <w:szCs w:val="24"/>
        </w:rPr>
        <w:t xml:space="preserve"> drugs. His candesartan was held and he was referred to a nephrologist for an urgent assessment.</w:t>
      </w:r>
    </w:p>
    <w:p w14:paraId="01983C1C" w14:textId="1B127C6A" w:rsidR="00B226FF" w:rsidRPr="00373D70" w:rsidRDefault="00B226FF" w:rsidP="00373D70">
      <w:pPr>
        <w:spacing w:after="0" w:line="360" w:lineRule="auto"/>
        <w:ind w:firstLineChars="100" w:firstLine="240"/>
        <w:jc w:val="both"/>
        <w:rPr>
          <w:rFonts w:ascii="Book Antiqua" w:hAnsi="Book Antiqua" w:cs="Arial"/>
          <w:sz w:val="24"/>
          <w:szCs w:val="24"/>
        </w:rPr>
      </w:pPr>
      <w:r w:rsidRPr="00373D70">
        <w:rPr>
          <w:rFonts w:ascii="Book Antiqua" w:hAnsi="Book Antiqua" w:cs="Arial"/>
          <w:sz w:val="24"/>
          <w:szCs w:val="24"/>
        </w:rPr>
        <w:t>At this appointment he was found to have a normal blood pressure on examination, with no signs of a rash, peripheral edema</w:t>
      </w:r>
      <w:r w:rsidR="007653E6" w:rsidRPr="00373D70">
        <w:rPr>
          <w:rFonts w:ascii="Book Antiqua" w:hAnsi="Book Antiqua" w:cs="Arial"/>
          <w:sz w:val="24"/>
          <w:szCs w:val="24"/>
        </w:rPr>
        <w:t>,</w:t>
      </w:r>
      <w:r w:rsidRPr="00373D70">
        <w:rPr>
          <w:rFonts w:ascii="Book Antiqua" w:hAnsi="Book Antiqua" w:cs="Arial"/>
          <w:sz w:val="24"/>
          <w:szCs w:val="24"/>
        </w:rPr>
        <w:t xml:space="preserve"> or volume overload. </w:t>
      </w:r>
      <w:r w:rsidR="002165BD" w:rsidRPr="00373D70">
        <w:rPr>
          <w:rFonts w:ascii="Book Antiqua" w:hAnsi="Book Antiqua" w:cs="Arial"/>
          <w:sz w:val="24"/>
          <w:szCs w:val="24"/>
        </w:rPr>
        <w:t>His</w:t>
      </w:r>
      <w:r w:rsidRPr="00373D70">
        <w:rPr>
          <w:rFonts w:ascii="Book Antiqua" w:hAnsi="Book Antiqua" w:cs="Arial"/>
          <w:sz w:val="24"/>
          <w:szCs w:val="24"/>
        </w:rPr>
        <w:t xml:space="preserve"> blood work </w:t>
      </w:r>
      <w:r w:rsidR="002165BD" w:rsidRPr="00373D70">
        <w:rPr>
          <w:rFonts w:ascii="Book Antiqua" w:hAnsi="Book Antiqua" w:cs="Arial"/>
          <w:sz w:val="24"/>
          <w:szCs w:val="24"/>
        </w:rPr>
        <w:t xml:space="preserve">now </w:t>
      </w:r>
      <w:r w:rsidRPr="00373D70">
        <w:rPr>
          <w:rFonts w:ascii="Book Antiqua" w:hAnsi="Book Antiqua" w:cs="Arial"/>
          <w:sz w:val="24"/>
          <w:szCs w:val="24"/>
        </w:rPr>
        <w:t>demonstrated an elevated creatinine of 285 μmol/L</w:t>
      </w:r>
      <w:r w:rsidR="00840F7A">
        <w:rPr>
          <w:rFonts w:ascii="Book Antiqua" w:hAnsi="Book Antiqua" w:cs="Arial"/>
          <w:sz w:val="24"/>
          <w:szCs w:val="24"/>
        </w:rPr>
        <w:t xml:space="preserve"> at 4.5 m</w:t>
      </w:r>
      <w:r w:rsidR="00840F7A">
        <w:rPr>
          <w:rFonts w:ascii="Book Antiqua" w:hAnsi="Book Antiqua" w:cs="Arial" w:hint="eastAsia"/>
          <w:sz w:val="24"/>
          <w:szCs w:val="24"/>
          <w:lang w:eastAsia="zh-CN"/>
        </w:rPr>
        <w:t>o</w:t>
      </w:r>
      <w:r w:rsidR="002165BD" w:rsidRPr="00373D70">
        <w:rPr>
          <w:rFonts w:ascii="Book Antiqua" w:hAnsi="Book Antiqua" w:cs="Arial"/>
          <w:sz w:val="24"/>
          <w:szCs w:val="24"/>
        </w:rPr>
        <w:t xml:space="preserve"> following prucalopride administration</w:t>
      </w:r>
      <w:r w:rsidRPr="00373D70">
        <w:rPr>
          <w:rFonts w:ascii="Book Antiqua" w:hAnsi="Book Antiqua" w:cs="Arial"/>
          <w:sz w:val="24"/>
          <w:szCs w:val="24"/>
        </w:rPr>
        <w:t xml:space="preserve">. </w:t>
      </w:r>
      <w:r w:rsidR="009E70B5" w:rsidRPr="00373D70">
        <w:rPr>
          <w:rFonts w:ascii="Book Antiqua" w:hAnsi="Book Antiqua" w:cs="Arial"/>
          <w:sz w:val="24"/>
          <w:szCs w:val="24"/>
        </w:rPr>
        <w:t xml:space="preserve">A complete work up for other renal disease including glomerular based diseases was negative and the patient did not have peripheral eosinophilia. </w:t>
      </w:r>
      <w:r w:rsidRPr="00373D70">
        <w:rPr>
          <w:rFonts w:ascii="Book Antiqua" w:hAnsi="Book Antiqua" w:cs="Arial"/>
          <w:sz w:val="24"/>
          <w:szCs w:val="24"/>
        </w:rPr>
        <w:t>Urinalysis showed +1 proteinuria, trace blood</w:t>
      </w:r>
      <w:r w:rsidR="007653E6" w:rsidRPr="00373D70">
        <w:rPr>
          <w:rFonts w:ascii="Book Antiqua" w:hAnsi="Book Antiqua" w:cs="Arial"/>
          <w:sz w:val="24"/>
          <w:szCs w:val="24"/>
        </w:rPr>
        <w:t>,</w:t>
      </w:r>
      <w:r w:rsidRPr="00373D70">
        <w:rPr>
          <w:rFonts w:ascii="Book Antiqua" w:hAnsi="Book Antiqua" w:cs="Arial"/>
          <w:sz w:val="24"/>
          <w:szCs w:val="24"/>
        </w:rPr>
        <w:t xml:space="preserve"> and urine microscopy reveal</w:t>
      </w:r>
      <w:r w:rsidR="00840F7A">
        <w:rPr>
          <w:rFonts w:ascii="Book Antiqua" w:hAnsi="Book Antiqua" w:cs="Arial"/>
          <w:sz w:val="24"/>
          <w:szCs w:val="24"/>
        </w:rPr>
        <w:t>ed many white blood cell casts.</w:t>
      </w:r>
      <w:r w:rsidRPr="00373D70">
        <w:rPr>
          <w:rFonts w:ascii="Book Antiqua" w:hAnsi="Book Antiqua" w:cs="Arial"/>
          <w:sz w:val="24"/>
          <w:szCs w:val="24"/>
        </w:rPr>
        <w:t xml:space="preserve"> An ultrasound of his kidneys showed no signs of obstructive uropathy and Doppler examination of his renal arteries and veins were normal. He was diagnosed with acute interstitial nephritis secondary to his exposure to prucalopride and was instructed to stop this medication. He was started on prednisone 40 mg daily for one week, followed by a taper of 5 mg weekly. The patient was seen in follow-up two weeks later for repeat blood work. Unfortunately his creatinine remained elevated at 310 </w:t>
      </w:r>
      <w:r w:rsidR="005D02E2" w:rsidRPr="00373D70">
        <w:rPr>
          <w:rFonts w:ascii="Book Antiqua" w:hAnsi="Book Antiqua" w:cs="Arial"/>
          <w:sz w:val="24"/>
          <w:szCs w:val="24"/>
        </w:rPr>
        <w:t>μ</w:t>
      </w:r>
      <w:r w:rsidRPr="00373D70">
        <w:rPr>
          <w:rFonts w:ascii="Book Antiqua" w:hAnsi="Book Antiqua" w:cs="Arial"/>
          <w:sz w:val="24"/>
          <w:szCs w:val="24"/>
        </w:rPr>
        <w:t xml:space="preserve">mol/L while on prednisone at a dose of 30 mg daily. Given the lack of renal recovery, a renal biopsy was performed within one week. </w:t>
      </w:r>
    </w:p>
    <w:p w14:paraId="5CFCE940" w14:textId="0E5F6270" w:rsidR="00B226FF" w:rsidRPr="00373D70" w:rsidRDefault="00B226FF" w:rsidP="00840F7A">
      <w:pPr>
        <w:spacing w:after="0" w:line="360" w:lineRule="auto"/>
        <w:ind w:firstLineChars="100" w:firstLine="240"/>
        <w:jc w:val="both"/>
        <w:rPr>
          <w:rFonts w:ascii="Book Antiqua" w:hAnsi="Book Antiqua" w:cs="Arial"/>
          <w:sz w:val="24"/>
          <w:szCs w:val="24"/>
        </w:rPr>
      </w:pPr>
      <w:r w:rsidRPr="00373D70">
        <w:rPr>
          <w:rFonts w:ascii="Book Antiqua" w:hAnsi="Book Antiqua" w:cs="Arial"/>
          <w:sz w:val="24"/>
          <w:szCs w:val="24"/>
        </w:rPr>
        <w:t>The core biopsy specimen from the left kidney showed 11 of 39 glomeruli globally sclerosed, while the remainder of the glomeruli showed no increase in mesangial matrix or cellularity</w:t>
      </w:r>
      <w:r w:rsidR="00136123" w:rsidRPr="00373D70">
        <w:rPr>
          <w:rFonts w:ascii="Book Antiqua" w:hAnsi="Book Antiqua" w:cs="Arial"/>
          <w:sz w:val="24"/>
          <w:szCs w:val="24"/>
        </w:rPr>
        <w:t xml:space="preserve"> (Figure </w:t>
      </w:r>
      <w:r w:rsidR="003B7BF8" w:rsidRPr="00373D70">
        <w:rPr>
          <w:rFonts w:ascii="Book Antiqua" w:hAnsi="Book Antiqua" w:cs="Arial"/>
          <w:sz w:val="24"/>
          <w:szCs w:val="24"/>
        </w:rPr>
        <w:t>2</w:t>
      </w:r>
      <w:r w:rsidR="00525243">
        <w:rPr>
          <w:rFonts w:ascii="Book Antiqua" w:hAnsi="Book Antiqua" w:cs="Arial" w:hint="eastAsia"/>
          <w:sz w:val="24"/>
          <w:szCs w:val="24"/>
          <w:lang w:eastAsia="zh-CN"/>
        </w:rPr>
        <w:t>A</w:t>
      </w:r>
      <w:r w:rsidR="00136123" w:rsidRPr="00373D70">
        <w:rPr>
          <w:rFonts w:ascii="Book Antiqua" w:hAnsi="Book Antiqua" w:cs="Arial"/>
          <w:sz w:val="24"/>
          <w:szCs w:val="24"/>
        </w:rPr>
        <w:t>)</w:t>
      </w:r>
      <w:r w:rsidRPr="00373D70">
        <w:rPr>
          <w:rFonts w:ascii="Book Antiqua" w:hAnsi="Book Antiqua" w:cs="Arial"/>
          <w:sz w:val="24"/>
          <w:szCs w:val="24"/>
        </w:rPr>
        <w:t>. There was minimal interstitial inflammation, with moderate degenerative and regenerative changes within the tubules. There was moderate (40%) interstitial fibrosis and tubular atrophy. There was no arteriolar hyalinosis and moderate arterial sclerosis. Many of the tubules also contained oxalate and calcium phosphate crystals</w:t>
      </w:r>
      <w:r w:rsidR="003B7BF8" w:rsidRPr="00373D70">
        <w:rPr>
          <w:rFonts w:ascii="Book Antiqua" w:hAnsi="Book Antiqua" w:cs="Arial"/>
          <w:sz w:val="24"/>
          <w:szCs w:val="24"/>
        </w:rPr>
        <w:t xml:space="preserve"> (Figure </w:t>
      </w:r>
      <w:r w:rsidR="00525243">
        <w:rPr>
          <w:rFonts w:ascii="Book Antiqua" w:hAnsi="Book Antiqua" w:cs="Arial" w:hint="eastAsia"/>
          <w:sz w:val="24"/>
          <w:szCs w:val="24"/>
          <w:lang w:eastAsia="zh-CN"/>
        </w:rPr>
        <w:t>2B</w:t>
      </w:r>
      <w:r w:rsidR="00136123" w:rsidRPr="00373D70">
        <w:rPr>
          <w:rFonts w:ascii="Book Antiqua" w:hAnsi="Book Antiqua" w:cs="Arial"/>
          <w:sz w:val="24"/>
          <w:szCs w:val="24"/>
        </w:rPr>
        <w:t>)</w:t>
      </w:r>
      <w:r w:rsidRPr="00373D70">
        <w:rPr>
          <w:rFonts w:ascii="Book Antiqua" w:hAnsi="Book Antiqua" w:cs="Arial"/>
          <w:sz w:val="24"/>
          <w:szCs w:val="24"/>
        </w:rPr>
        <w:t>. Immunofluorescence was negative for immunoglobulin A, G and M, as well as C3, C1q, kappa or lambda. Electron microscopy of the non-sclerosed glomeruli revealed no immune-type deposits, nor any tubuloreticular inclusions. The glomerular basement membranes were mildly wrinkled and within normal limits of thickness. There was moderate effacement of the podocyte foot processes (30%).</w:t>
      </w:r>
      <w:r w:rsidR="00840F7A">
        <w:rPr>
          <w:rFonts w:ascii="Book Antiqua" w:hAnsi="Book Antiqua" w:cs="Arial" w:hint="eastAsia"/>
          <w:sz w:val="24"/>
          <w:szCs w:val="24"/>
          <w:lang w:eastAsia="zh-CN"/>
        </w:rPr>
        <w:t xml:space="preserve"> </w:t>
      </w:r>
      <w:r w:rsidRPr="00373D70">
        <w:rPr>
          <w:rFonts w:ascii="Book Antiqua" w:hAnsi="Book Antiqua" w:cs="Arial"/>
          <w:sz w:val="24"/>
          <w:szCs w:val="24"/>
        </w:rPr>
        <w:t xml:space="preserve">These findings were consistent with acute tubular necrosis with no evidence for interstitial nephritis. </w:t>
      </w:r>
    </w:p>
    <w:p w14:paraId="59F6D21E" w14:textId="2F42DEFD" w:rsidR="00B226FF" w:rsidRPr="00373D70" w:rsidRDefault="00B226FF" w:rsidP="00840F7A">
      <w:pPr>
        <w:spacing w:after="0" w:line="360" w:lineRule="auto"/>
        <w:ind w:firstLineChars="100" w:firstLine="240"/>
        <w:jc w:val="both"/>
        <w:rPr>
          <w:rFonts w:ascii="Book Antiqua" w:hAnsi="Book Antiqua" w:cs="Arial"/>
          <w:sz w:val="24"/>
          <w:szCs w:val="24"/>
        </w:rPr>
      </w:pPr>
      <w:r w:rsidRPr="00373D70">
        <w:rPr>
          <w:rFonts w:ascii="Book Antiqua" w:hAnsi="Book Antiqua" w:cs="Arial"/>
          <w:sz w:val="24"/>
          <w:szCs w:val="24"/>
        </w:rPr>
        <w:t>According to the Naranjo probability score of adverse drug reactions</w:t>
      </w:r>
      <w:r w:rsidR="00840F7A" w:rsidRPr="00840F7A">
        <w:rPr>
          <w:rFonts w:ascii="Book Antiqua" w:hAnsi="Book Antiqua" w:cs="Arial" w:hint="eastAsia"/>
          <w:sz w:val="24"/>
          <w:szCs w:val="24"/>
          <w:vertAlign w:val="superscript"/>
          <w:lang w:eastAsia="zh-CN"/>
        </w:rPr>
        <w:t>[15]</w:t>
      </w:r>
      <w:r w:rsidR="001D30B5" w:rsidRPr="00373D70">
        <w:rPr>
          <w:rFonts w:ascii="Book Antiqua" w:hAnsi="Book Antiqua" w:cs="Arial"/>
          <w:sz w:val="24"/>
          <w:szCs w:val="24"/>
        </w:rPr>
        <w:t>,</w:t>
      </w:r>
      <w:r w:rsidRPr="00373D70">
        <w:rPr>
          <w:rFonts w:ascii="Book Antiqua" w:hAnsi="Book Antiqua" w:cs="Arial"/>
          <w:sz w:val="24"/>
          <w:szCs w:val="24"/>
        </w:rPr>
        <w:t xml:space="preserve"> our patient’s case was classified as a ‘probable adverse drug reaction’ of prucalopride induced kidney injury. Points were given for temporal causality, lack of an alternative cause of the reaction, lack of progression with drug discontinuation, and objective confirmation of kidney injury with the renal biopsy. </w:t>
      </w:r>
    </w:p>
    <w:p w14:paraId="11D30ADD" w14:textId="77777777" w:rsidR="00B226FF" w:rsidRPr="00373D70" w:rsidRDefault="00B226FF" w:rsidP="00840F7A">
      <w:pPr>
        <w:spacing w:after="0" w:line="360" w:lineRule="auto"/>
        <w:ind w:firstLineChars="100" w:firstLine="240"/>
        <w:jc w:val="both"/>
        <w:rPr>
          <w:rFonts w:ascii="Book Antiqua" w:hAnsi="Book Antiqua" w:cs="Arial"/>
          <w:sz w:val="24"/>
          <w:szCs w:val="24"/>
        </w:rPr>
      </w:pPr>
      <w:r w:rsidRPr="00373D70">
        <w:rPr>
          <w:rFonts w:ascii="Book Antiqua" w:hAnsi="Book Antiqua" w:cs="Arial"/>
          <w:sz w:val="24"/>
          <w:szCs w:val="24"/>
        </w:rPr>
        <w:t>The patient remained on prednisone at 20 mg daily until seen in follow-up three weeks later. Repeat creatinine remained elevated at 309 μmol/L. His prednisone taper was resumed at 5 mg per week and was ultimately discontinued since there were no signs of ongoing inflammation in the biopsy specimen. The patient unfortunately did not have any further renal recovery and his symptoms of constipation returned while off prucalopride. The search for alternative regimen to treat his chronic constipation is ongoing.</w:t>
      </w:r>
    </w:p>
    <w:p w14:paraId="68547CC0" w14:textId="77777777" w:rsidR="00B226FF" w:rsidRPr="00373D70" w:rsidRDefault="00B226FF" w:rsidP="00B95DC7">
      <w:pPr>
        <w:spacing w:after="0" w:line="360" w:lineRule="auto"/>
        <w:jc w:val="both"/>
        <w:rPr>
          <w:rFonts w:ascii="Book Antiqua" w:hAnsi="Book Antiqua" w:cs="Arial"/>
          <w:sz w:val="24"/>
          <w:szCs w:val="24"/>
        </w:rPr>
      </w:pPr>
    </w:p>
    <w:p w14:paraId="0C42C1FF" w14:textId="1DF33EF4" w:rsidR="00B226FF" w:rsidRPr="00373D70" w:rsidRDefault="00840F7A" w:rsidP="00B95DC7">
      <w:pPr>
        <w:spacing w:after="0" w:line="360" w:lineRule="auto"/>
        <w:jc w:val="both"/>
        <w:rPr>
          <w:rFonts w:ascii="Book Antiqua" w:hAnsi="Book Antiqua" w:cs="Arial"/>
          <w:b/>
          <w:sz w:val="24"/>
          <w:szCs w:val="24"/>
        </w:rPr>
      </w:pPr>
      <w:r w:rsidRPr="00373D70">
        <w:rPr>
          <w:rFonts w:ascii="Book Antiqua" w:hAnsi="Book Antiqua" w:cs="Arial"/>
          <w:b/>
          <w:sz w:val="24"/>
          <w:szCs w:val="24"/>
        </w:rPr>
        <w:t>DISCUSSION</w:t>
      </w:r>
    </w:p>
    <w:p w14:paraId="78190ADB" w14:textId="1BF16625" w:rsidR="00B226FF" w:rsidRPr="00373D70" w:rsidRDefault="00B226FF" w:rsidP="00B95DC7">
      <w:pPr>
        <w:spacing w:after="0" w:line="360" w:lineRule="auto"/>
        <w:jc w:val="both"/>
        <w:rPr>
          <w:rFonts w:ascii="Book Antiqua" w:hAnsi="Book Antiqua" w:cs="Arial"/>
          <w:sz w:val="24"/>
          <w:szCs w:val="24"/>
        </w:rPr>
      </w:pPr>
      <w:r w:rsidRPr="00373D70">
        <w:rPr>
          <w:rFonts w:ascii="Book Antiqua" w:hAnsi="Book Antiqua" w:cs="Arial"/>
          <w:sz w:val="24"/>
          <w:szCs w:val="24"/>
        </w:rPr>
        <w:t>Prucalopride is a novel highly selective 5-HT</w:t>
      </w:r>
      <w:r w:rsidRPr="00373D70">
        <w:rPr>
          <w:rFonts w:ascii="Book Antiqua" w:hAnsi="Book Antiqua" w:cs="Arial"/>
          <w:sz w:val="24"/>
          <w:szCs w:val="24"/>
          <w:vertAlign w:val="subscript"/>
        </w:rPr>
        <w:t>4</w:t>
      </w:r>
      <w:r w:rsidRPr="00373D70">
        <w:rPr>
          <w:rFonts w:ascii="Book Antiqua" w:hAnsi="Book Antiqua" w:cs="Arial"/>
          <w:sz w:val="24"/>
          <w:szCs w:val="24"/>
        </w:rPr>
        <w:t xml:space="preserve"> receptor agonist developed for the treatment of chronic constipation among patients with an inadequate response to laxatives. The safety of this medication was assessed in all the Phase II trials, and in three Phase I</w:t>
      </w:r>
      <w:r w:rsidR="00840F7A">
        <w:rPr>
          <w:rFonts w:ascii="Book Antiqua" w:hAnsi="Book Antiqua" w:cs="Arial"/>
          <w:sz w:val="24"/>
          <w:szCs w:val="24"/>
        </w:rPr>
        <w:t>II pivotal trials. A total of 1</w:t>
      </w:r>
      <w:r w:rsidRPr="00373D70">
        <w:rPr>
          <w:rFonts w:ascii="Book Antiqua" w:hAnsi="Book Antiqua" w:cs="Arial"/>
          <w:sz w:val="24"/>
          <w:szCs w:val="24"/>
        </w:rPr>
        <w:t xml:space="preserve">974 patients were evaluated </w:t>
      </w:r>
      <w:r w:rsidR="00840F7A">
        <w:rPr>
          <w:rFonts w:ascii="Book Antiqua" w:hAnsi="Book Antiqua" w:cs="Arial"/>
          <w:sz w:val="24"/>
          <w:szCs w:val="24"/>
        </w:rPr>
        <w:t>in the phase III trials, with 1</w:t>
      </w:r>
      <w:r w:rsidRPr="00373D70">
        <w:rPr>
          <w:rFonts w:ascii="Book Antiqua" w:hAnsi="Book Antiqua" w:cs="Arial"/>
          <w:sz w:val="24"/>
          <w:szCs w:val="24"/>
        </w:rPr>
        <w:t>313 receiving prucalopride</w:t>
      </w:r>
      <w:r w:rsidR="002B0E0F" w:rsidRPr="00373D70">
        <w:rPr>
          <w:rFonts w:ascii="Book Antiqua" w:hAnsi="Book Antiqua" w:cs="Arial"/>
          <w:sz w:val="24"/>
          <w:szCs w:val="24"/>
          <w:vertAlign w:val="superscript"/>
        </w:rPr>
        <w:t>[</w:t>
      </w:r>
      <w:r w:rsidR="004D351F" w:rsidRPr="00373D70">
        <w:rPr>
          <w:rFonts w:ascii="Book Antiqua" w:hAnsi="Book Antiqua" w:cs="Arial"/>
          <w:sz w:val="24"/>
          <w:szCs w:val="24"/>
        </w:rPr>
        <w:fldChar w:fldCharType="begin">
          <w:fldData xml:space="preserve">PFJlZm1hbj48Q2l0ZT48QXV0aG9yPlF1aWdsZXkgRU1NPC9BdXRob3I+PFllYXI+MjAwOTwvWWVh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</w:fldData>
        </w:fldChar>
      </w:r>
      <w:r w:rsidR="00DC0D28" w:rsidRPr="00373D70">
        <w:rPr>
          <w:rFonts w:ascii="Book Antiqua" w:hAnsi="Book Antiqua" w:cs="Arial"/>
          <w:sz w:val="24"/>
          <w:szCs w:val="24"/>
        </w:rPr>
        <w:instrText xml:space="preserve"> ADDIN REFMGR.CITE </w:instrText>
      </w:r>
      <w:r w:rsidR="00DC0D28" w:rsidRPr="00373D70">
        <w:rPr>
          <w:rFonts w:ascii="Book Antiqua" w:hAnsi="Book Antiqua" w:cs="Arial"/>
          <w:sz w:val="24"/>
          <w:szCs w:val="24"/>
        </w:rPr>
        <w:fldChar w:fldCharType="begin">
          <w:fldData xml:space="preserve">PFJlZm1hbj48Q2l0ZT48QXV0aG9yPlF1aWdsZXkgRU1NPC9BdXRob3I+PFllYXI+MjAwOTwvWWVh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</w:fldData>
        </w:fldChar>
      </w:r>
      <w:r w:rsidR="00DC0D28" w:rsidRPr="00373D70">
        <w:rPr>
          <w:rFonts w:ascii="Book Antiqua" w:hAnsi="Book Antiqua" w:cs="Arial"/>
          <w:sz w:val="24"/>
          <w:szCs w:val="24"/>
        </w:rPr>
        <w:instrText xml:space="preserve"> ADDIN EN.CITE.DATA </w:instrText>
      </w:r>
      <w:r w:rsidR="00DC0D28" w:rsidRPr="00373D70">
        <w:rPr>
          <w:rFonts w:ascii="Book Antiqua" w:hAnsi="Book Antiqua" w:cs="Arial"/>
          <w:sz w:val="24"/>
          <w:szCs w:val="24"/>
        </w:rPr>
      </w:r>
      <w:r w:rsidR="00DC0D28" w:rsidRPr="00373D70">
        <w:rPr>
          <w:rFonts w:ascii="Book Antiqua" w:hAnsi="Book Antiqua" w:cs="Arial"/>
          <w:sz w:val="24"/>
          <w:szCs w:val="24"/>
        </w:rPr>
        <w:fldChar w:fldCharType="end"/>
      </w:r>
      <w:r w:rsidR="004D351F" w:rsidRPr="00373D70">
        <w:rPr>
          <w:rFonts w:ascii="Book Antiqua" w:hAnsi="Book Antiqua" w:cs="Arial"/>
          <w:sz w:val="24"/>
          <w:szCs w:val="24"/>
        </w:rPr>
      </w:r>
      <w:r w:rsidR="004D351F" w:rsidRPr="00373D70">
        <w:rPr>
          <w:rFonts w:ascii="Book Antiqua" w:hAnsi="Book Antiqua" w:cs="Arial"/>
          <w:sz w:val="24"/>
          <w:szCs w:val="24"/>
        </w:rPr>
        <w:fldChar w:fldCharType="separate"/>
      </w:r>
      <w:r w:rsidR="002F180B" w:rsidRPr="00373D70">
        <w:rPr>
          <w:rFonts w:ascii="Book Antiqua" w:hAnsi="Book Antiqua" w:cs="Arial"/>
          <w:noProof/>
          <w:sz w:val="24"/>
          <w:szCs w:val="24"/>
          <w:vertAlign w:val="superscript"/>
        </w:rPr>
        <w:t>8,12,13</w:t>
      </w:r>
      <w:r w:rsidR="004D351F" w:rsidRPr="00373D70">
        <w:rPr>
          <w:rFonts w:ascii="Book Antiqua" w:hAnsi="Book Antiqua" w:cs="Arial"/>
          <w:sz w:val="24"/>
          <w:szCs w:val="24"/>
        </w:rPr>
        <w:fldChar w:fldCharType="end"/>
      </w:r>
      <w:r w:rsidR="002B0E0F" w:rsidRPr="00373D70">
        <w:rPr>
          <w:rFonts w:ascii="Book Antiqua" w:hAnsi="Book Antiqua" w:cs="Arial"/>
          <w:sz w:val="24"/>
          <w:szCs w:val="24"/>
          <w:vertAlign w:val="superscript"/>
        </w:rPr>
        <w:t>]</w:t>
      </w:r>
      <w:r w:rsidR="002B0E0F" w:rsidRPr="00373D70">
        <w:rPr>
          <w:rFonts w:ascii="Book Antiqua" w:hAnsi="Book Antiqua" w:cs="Arial"/>
          <w:sz w:val="24"/>
          <w:szCs w:val="24"/>
        </w:rPr>
        <w:t>.</w:t>
      </w:r>
      <w:r w:rsidRPr="00373D70">
        <w:rPr>
          <w:rFonts w:ascii="Book Antiqua" w:hAnsi="Book Antiqua" w:cs="Arial"/>
          <w:sz w:val="24"/>
          <w:szCs w:val="24"/>
        </w:rPr>
        <w:t xml:space="preserve"> The most frequent adverse events reported were headache, abdominal pain, nausea and diarrhea, with most symptoms occurring on the first day. None of the phase III trials reported changes in renal function as measured by blood work at baseline and throughout the study. Two smaller placebo-controlled randomized trials in elderly patients with a mean age of 76 and 83, randomized a total of 301 patients to prucalopride</w:t>
      </w:r>
      <w:r w:rsidR="002B0E0F" w:rsidRPr="00373D70">
        <w:rPr>
          <w:rFonts w:ascii="Book Antiqua" w:hAnsi="Book Antiqua" w:cs="Arial"/>
          <w:sz w:val="24"/>
          <w:szCs w:val="24"/>
          <w:vertAlign w:val="superscript"/>
        </w:rPr>
        <w:t>[</w:t>
      </w:r>
      <w:r w:rsidR="004D351F" w:rsidRPr="00373D70">
        <w:rPr>
          <w:rFonts w:ascii="Book Antiqua" w:hAnsi="Book Antiqua" w:cs="Arial"/>
          <w:sz w:val="24"/>
          <w:szCs w:val="24"/>
        </w:rPr>
        <w:fldChar w:fldCharType="begin"/>
      </w:r>
      <w:r w:rsidR="00DC0D28" w:rsidRPr="00373D70">
        <w:rPr>
          <w:rFonts w:ascii="Book Antiqua" w:hAnsi="Book Antiqua" w:cs="Arial"/>
          <w:sz w:val="24"/>
          <w:szCs w:val="24"/>
        </w:rPr>
        <w:instrText xml:space="preserve"> ADDIN REFMGR.CITE &lt;Refman&gt;&lt;Cite&gt;&lt;Author&gt;Muller-Lissner S&lt;/Author&gt;&lt;Year&gt;2010&lt;/Year&gt;&lt;RecNum&gt;5&lt;/RecNum&gt;&lt;IDText&gt;A double-blind, placebo-controlled study of prucalopride in elderly patients with chronic constipation.&lt;/IDText&gt;&lt;MDL Ref_Type="Journal"&gt;&lt;Ref_Type&gt;Journal&lt;/Ref_Type&gt;&lt;Ref_ID&gt;5&lt;/Ref_ID&gt;&lt;Title_Primary&gt;A double-blind, placebo-controlled study of prucalopride in elderly patients with chronic constipation.&lt;/Title_Primary&gt;&lt;Authors_Primary&gt;Muller-Lissner S&lt;/Authors_Primary&gt;&lt;Authors_Primary&gt;Rykx A&lt;/Authors_Primary&gt;&lt;Authors_Primary&gt;Kerstens R&lt;/Authors_Primary&gt;&lt;Authors_Primary&gt;Vandeplassche L&lt;/Authors_Primary&gt;&lt;Date_Primary&gt;2010&lt;/Date_Primary&gt;&lt;Reprint&gt;Not in File&lt;/Reprint&gt;&lt;Start_Page&gt;991&lt;/Start_Page&gt;&lt;End_Page&gt;999&lt;/End_Page&gt;&lt;Periodical&gt;Neurogastroenterology &amp;amp; Motility&lt;/Periodical&gt;&lt;Volume&gt;22&lt;/Volume&gt;&lt;ZZ_JournalFull&gt;&lt;f name="System"&gt;Neurogastroenterology &amp;amp; Motility&lt;/f&gt;&lt;/ZZ_JournalFull&gt;&lt;ZZ_WorkformID&gt;1&lt;/ZZ_WorkformID&gt;&lt;/MDL&gt;&lt;/Cite&gt;&lt;Cite&gt;&lt;Author&gt;Camilleri M&lt;/Author&gt;&lt;Year&gt;2009&lt;/Year&gt;&lt;RecNum&gt;6&lt;/RecNum&gt;&lt;IDText&gt;Safety assessment of prucalopride in elderly patients with constipation: a double-blind, placebo-controlled study.&lt;/IDText&gt;&lt;MDL Ref_Type="Journal"&gt;&lt;Ref_Type&gt;Journal&lt;/Ref_Type&gt;&lt;Ref_ID&gt;6&lt;/Ref_ID&gt;&lt;Title_Primary&gt;Safety assessment of prucalopride in elderly patients with constipation: a double-blind, placebo-controlled study.&lt;/Title_Primary&gt;&lt;Authors_Primary&gt;Camilleri M&lt;/Authors_Primary&gt;&lt;Authors_Primary&gt;Beyens G&lt;/Authors_Primary&gt;&lt;Authors_Primary&gt;Kerstens R&lt;/Authors_Primary&gt;&lt;Authors_Primary&gt;Robinson P&lt;/Authors_Primary&gt;&lt;Authors_Primary&gt;Vandeplassche L&lt;/Authors_Primary&gt;&lt;Date_Primary&gt;2009&lt;/Date_Primary&gt;&lt;Reprint&gt;Not in File&lt;/Reprint&gt;&lt;Start_Page&gt;1256&lt;/Start_Page&gt;&lt;End_Page&gt;1264&lt;/End_Page&gt;&lt;Periodical&gt;Neurogastroenterology &amp;amp; Motility&lt;/Periodical&gt;&lt;Volume&gt;21&lt;/Volume&gt;&lt;ZZ_JournalFull&gt;&lt;f name="System"&gt;Neurogastroenterology &amp;amp; Motility&lt;/f&gt;&lt;/ZZ_JournalFull&gt;&lt;ZZ_WorkformID&gt;1&lt;/ZZ_WorkformID&gt;&lt;/MDL&gt;&lt;/Cite&gt;&lt;/Refman&gt;</w:instrText>
      </w:r>
      <w:r w:rsidR="004D351F" w:rsidRPr="00373D70">
        <w:rPr>
          <w:rFonts w:ascii="Book Antiqua" w:hAnsi="Book Antiqua" w:cs="Arial"/>
          <w:sz w:val="24"/>
          <w:szCs w:val="24"/>
        </w:rPr>
        <w:fldChar w:fldCharType="separate"/>
      </w:r>
      <w:r w:rsidR="00DC0D28" w:rsidRPr="00373D70">
        <w:rPr>
          <w:rFonts w:ascii="Book Antiqua" w:hAnsi="Book Antiqua" w:cs="Arial"/>
          <w:noProof/>
          <w:sz w:val="24"/>
          <w:szCs w:val="24"/>
          <w:vertAlign w:val="superscript"/>
        </w:rPr>
        <w:t>10,14</w:t>
      </w:r>
      <w:r w:rsidR="004D351F" w:rsidRPr="00373D70">
        <w:rPr>
          <w:rFonts w:ascii="Book Antiqua" w:hAnsi="Book Antiqua" w:cs="Arial"/>
          <w:sz w:val="24"/>
          <w:szCs w:val="24"/>
        </w:rPr>
        <w:fldChar w:fldCharType="end"/>
      </w:r>
      <w:r w:rsidR="002B0E0F" w:rsidRPr="00373D70">
        <w:rPr>
          <w:rFonts w:ascii="Book Antiqua" w:hAnsi="Book Antiqua" w:cs="Arial"/>
          <w:sz w:val="24"/>
          <w:szCs w:val="24"/>
          <w:vertAlign w:val="superscript"/>
        </w:rPr>
        <w:t>]</w:t>
      </w:r>
      <w:r w:rsidR="002B0E0F" w:rsidRPr="00373D70">
        <w:rPr>
          <w:rFonts w:ascii="Book Antiqua" w:hAnsi="Book Antiqua" w:cs="Arial"/>
          <w:sz w:val="24"/>
          <w:szCs w:val="24"/>
        </w:rPr>
        <w:t>.</w:t>
      </w:r>
      <w:r w:rsidRPr="00373D70">
        <w:rPr>
          <w:rFonts w:ascii="Book Antiqua" w:hAnsi="Book Antiqua" w:cs="Arial"/>
          <w:sz w:val="24"/>
          <w:szCs w:val="24"/>
        </w:rPr>
        <w:t xml:space="preserve"> The same profile of adverse events were seen in these trials with elderly patients as the larger phase III trials</w:t>
      </w:r>
      <w:r w:rsidR="0060314C" w:rsidRPr="00373D70">
        <w:rPr>
          <w:rFonts w:ascii="Book Antiqua" w:hAnsi="Book Antiqua" w:cs="Arial"/>
          <w:sz w:val="24"/>
          <w:szCs w:val="24"/>
        </w:rPr>
        <w:t xml:space="preserve">. </w:t>
      </w:r>
      <w:r w:rsidR="00AB7ABD" w:rsidRPr="00373D70">
        <w:rPr>
          <w:rFonts w:ascii="Book Antiqua" w:hAnsi="Book Antiqua" w:cs="Arial"/>
          <w:sz w:val="24"/>
          <w:szCs w:val="24"/>
        </w:rPr>
        <w:t>However, in both trials, prucalopride was only administered for 4 wk and while no kidney injury was reported after short-term use, there is a lack of long-term data in the elderly. Numerous other smaller randomized trials with prucalopride also found no associated reports of renal impairment</w:t>
      </w:r>
      <w:r w:rsidR="00AB7ABD" w:rsidRPr="00373D70">
        <w:rPr>
          <w:rFonts w:ascii="Book Antiqua" w:hAnsi="Book Antiqua" w:cs="Arial"/>
          <w:sz w:val="24"/>
          <w:szCs w:val="24"/>
          <w:vertAlign w:val="superscript"/>
        </w:rPr>
        <w:t>[</w:t>
      </w:r>
      <w:r w:rsidR="00AB7ABD" w:rsidRPr="00373D70">
        <w:rPr>
          <w:rFonts w:ascii="Book Antiqua" w:hAnsi="Book Antiqua" w:cs="Arial"/>
          <w:sz w:val="24"/>
          <w:szCs w:val="24"/>
        </w:rPr>
        <w:fldChar w:fldCharType="begin">
          <w:fldData xml:space="preserve">PFJlZm1hbj48Q2l0ZT48QXV0aG9yPlNsb290cyBDRTwvQXV0aG9yPjxZZWFyPjIwMTA8L1llYXI+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</w:fldData>
        </w:fldChar>
      </w:r>
      <w:r w:rsidR="00AB7ABD" w:rsidRPr="00373D70">
        <w:rPr>
          <w:rFonts w:ascii="Book Antiqua" w:hAnsi="Book Antiqua" w:cs="Arial"/>
          <w:sz w:val="24"/>
          <w:szCs w:val="24"/>
        </w:rPr>
        <w:instrText xml:space="preserve"> ADDIN REFMGR.CITE </w:instrText>
      </w:r>
      <w:r w:rsidR="00AB7ABD" w:rsidRPr="00373D70">
        <w:rPr>
          <w:rFonts w:ascii="Book Antiqua" w:hAnsi="Book Antiqua" w:cs="Arial"/>
          <w:sz w:val="24"/>
          <w:szCs w:val="24"/>
        </w:rPr>
        <w:fldChar w:fldCharType="begin">
          <w:fldData xml:space="preserve">PFJlZm1hbj48Q2l0ZT48QXV0aG9yPlNsb290cyBDRTwvQXV0aG9yPjxZZWFyPjIwMTA8L1llYXI+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</w:fldData>
        </w:fldChar>
      </w:r>
      <w:r w:rsidR="00AB7ABD" w:rsidRPr="00373D70">
        <w:rPr>
          <w:rFonts w:ascii="Book Antiqua" w:hAnsi="Book Antiqua" w:cs="Arial"/>
          <w:sz w:val="24"/>
          <w:szCs w:val="24"/>
        </w:rPr>
        <w:instrText xml:space="preserve"> ADDIN EN.CITE.DATA </w:instrText>
      </w:r>
      <w:r w:rsidR="00AB7ABD" w:rsidRPr="00373D70">
        <w:rPr>
          <w:rFonts w:ascii="Book Antiqua" w:hAnsi="Book Antiqua" w:cs="Arial"/>
          <w:sz w:val="24"/>
          <w:szCs w:val="24"/>
        </w:rPr>
      </w:r>
      <w:r w:rsidR="00AB7ABD" w:rsidRPr="00373D70">
        <w:rPr>
          <w:rFonts w:ascii="Book Antiqua" w:hAnsi="Book Antiqua" w:cs="Arial"/>
          <w:sz w:val="24"/>
          <w:szCs w:val="24"/>
        </w:rPr>
        <w:fldChar w:fldCharType="end"/>
      </w:r>
      <w:r w:rsidR="00AB7ABD" w:rsidRPr="00373D70">
        <w:rPr>
          <w:rFonts w:ascii="Book Antiqua" w:hAnsi="Book Antiqua" w:cs="Arial"/>
          <w:sz w:val="24"/>
          <w:szCs w:val="24"/>
        </w:rPr>
      </w:r>
      <w:r w:rsidR="00AB7ABD" w:rsidRPr="00373D70">
        <w:rPr>
          <w:rFonts w:ascii="Book Antiqua" w:hAnsi="Book Antiqua" w:cs="Arial"/>
          <w:sz w:val="24"/>
          <w:szCs w:val="24"/>
        </w:rPr>
        <w:fldChar w:fldCharType="separate"/>
      </w:r>
      <w:r w:rsidR="00AB7ABD" w:rsidRPr="00373D70">
        <w:rPr>
          <w:rFonts w:ascii="Book Antiqua" w:hAnsi="Book Antiqua" w:cs="Arial"/>
          <w:noProof/>
          <w:sz w:val="24"/>
          <w:szCs w:val="24"/>
          <w:vertAlign w:val="superscript"/>
        </w:rPr>
        <w:t>9, 11, 16, 17</w:t>
      </w:r>
      <w:r w:rsidR="00AB7ABD" w:rsidRPr="00373D70">
        <w:rPr>
          <w:rFonts w:ascii="Book Antiqua" w:hAnsi="Book Antiqua" w:cs="Arial"/>
          <w:sz w:val="24"/>
          <w:szCs w:val="24"/>
        </w:rPr>
        <w:fldChar w:fldCharType="end"/>
      </w:r>
      <w:r w:rsidR="00AB7ABD" w:rsidRPr="00373D70">
        <w:rPr>
          <w:rFonts w:ascii="Book Antiqua" w:hAnsi="Book Antiqua" w:cs="Arial"/>
          <w:sz w:val="24"/>
          <w:szCs w:val="24"/>
          <w:vertAlign w:val="superscript"/>
        </w:rPr>
        <w:t>]</w:t>
      </w:r>
      <w:r w:rsidR="00AB7ABD" w:rsidRPr="00373D70">
        <w:rPr>
          <w:rFonts w:ascii="Book Antiqua" w:hAnsi="Book Antiqua" w:cs="Arial"/>
          <w:sz w:val="24"/>
          <w:szCs w:val="24"/>
        </w:rPr>
        <w:t xml:space="preserve">. </w:t>
      </w:r>
      <w:r w:rsidR="000A54D3" w:rsidRPr="00373D70">
        <w:rPr>
          <w:rFonts w:ascii="Book Antiqua" w:hAnsi="Book Antiqua" w:cs="Arial"/>
          <w:sz w:val="24"/>
          <w:szCs w:val="24"/>
        </w:rPr>
        <w:t>E</w:t>
      </w:r>
      <w:r w:rsidR="0060314C" w:rsidRPr="00373D70">
        <w:rPr>
          <w:rFonts w:ascii="Book Antiqua" w:hAnsi="Book Antiqua" w:cs="Arial"/>
          <w:sz w:val="24"/>
          <w:szCs w:val="24"/>
        </w:rPr>
        <w:t>lderly patients</w:t>
      </w:r>
      <w:r w:rsidR="000A54D3" w:rsidRPr="00373D70">
        <w:rPr>
          <w:rFonts w:ascii="Book Antiqua" w:hAnsi="Book Antiqua" w:cs="Arial"/>
          <w:sz w:val="24"/>
          <w:szCs w:val="24"/>
        </w:rPr>
        <w:t xml:space="preserve"> </w:t>
      </w:r>
      <w:r w:rsidR="0060314C" w:rsidRPr="00373D70">
        <w:rPr>
          <w:rFonts w:ascii="Book Antiqua" w:hAnsi="Book Antiqua" w:cs="Arial"/>
          <w:sz w:val="24"/>
          <w:szCs w:val="24"/>
        </w:rPr>
        <w:t xml:space="preserve">are at increased risk for </w:t>
      </w:r>
      <w:r w:rsidR="000A54D3" w:rsidRPr="00373D70">
        <w:rPr>
          <w:rFonts w:ascii="Book Antiqua" w:hAnsi="Book Antiqua" w:cs="Arial"/>
          <w:sz w:val="24"/>
          <w:szCs w:val="24"/>
        </w:rPr>
        <w:t xml:space="preserve">baseline </w:t>
      </w:r>
      <w:r w:rsidR="0060314C" w:rsidRPr="00373D70">
        <w:rPr>
          <w:rFonts w:ascii="Book Antiqua" w:hAnsi="Book Antiqua" w:cs="Arial"/>
          <w:sz w:val="24"/>
          <w:szCs w:val="24"/>
        </w:rPr>
        <w:t>renal dysfunction</w:t>
      </w:r>
      <w:r w:rsidR="00BF03CB" w:rsidRPr="00373D70">
        <w:rPr>
          <w:rFonts w:ascii="Book Antiqua" w:hAnsi="Book Antiqua" w:cs="Arial"/>
          <w:sz w:val="24"/>
          <w:szCs w:val="24"/>
        </w:rPr>
        <w:t>. In the patient described in this report, although stable for least 4 years, the eGFR of 61 m</w:t>
      </w:r>
      <w:r w:rsidR="00840F7A">
        <w:rPr>
          <w:rFonts w:ascii="Book Antiqua" w:hAnsi="Book Antiqua" w:cs="Arial" w:hint="eastAsia"/>
          <w:sz w:val="24"/>
          <w:szCs w:val="24"/>
          <w:lang w:eastAsia="zh-CN"/>
        </w:rPr>
        <w:t>L</w:t>
      </w:r>
      <w:r w:rsidR="00BF03CB" w:rsidRPr="00373D70">
        <w:rPr>
          <w:rFonts w:ascii="Book Antiqua" w:hAnsi="Book Antiqua" w:cs="Arial"/>
          <w:sz w:val="24"/>
          <w:szCs w:val="24"/>
        </w:rPr>
        <w:t>/min</w:t>
      </w:r>
      <w:r w:rsidR="00840F7A">
        <w:rPr>
          <w:rFonts w:ascii="Book Antiqua" w:hAnsi="Book Antiqua" w:cs="Arial" w:hint="eastAsia"/>
          <w:sz w:val="24"/>
          <w:szCs w:val="24"/>
          <w:lang w:eastAsia="zh-CN"/>
        </w:rPr>
        <w:t xml:space="preserve"> per </w:t>
      </w:r>
      <w:r w:rsidR="00BF03CB" w:rsidRPr="00373D70">
        <w:rPr>
          <w:rFonts w:ascii="Book Antiqua" w:hAnsi="Book Antiqua" w:cs="Arial"/>
          <w:sz w:val="24"/>
          <w:szCs w:val="24"/>
        </w:rPr>
        <w:t>1.73</w:t>
      </w:r>
      <w:r w:rsidR="00840F7A">
        <w:rPr>
          <w:rFonts w:ascii="Book Antiqua" w:hAnsi="Book Antiqua" w:cs="Arial" w:hint="eastAsia"/>
          <w:sz w:val="24"/>
          <w:szCs w:val="24"/>
          <w:lang w:eastAsia="zh-CN"/>
        </w:rPr>
        <w:t xml:space="preserve"> </w:t>
      </w:r>
      <w:r w:rsidR="00BF03CB" w:rsidRPr="00373D70">
        <w:rPr>
          <w:rFonts w:ascii="Book Antiqua" w:hAnsi="Book Antiqua" w:cs="Arial"/>
          <w:sz w:val="24"/>
          <w:szCs w:val="24"/>
        </w:rPr>
        <w:t>m</w:t>
      </w:r>
      <w:r w:rsidR="00BF03CB" w:rsidRPr="00373D70">
        <w:rPr>
          <w:rFonts w:ascii="Book Antiqua" w:hAnsi="Book Antiqua" w:cs="Arial"/>
          <w:sz w:val="24"/>
          <w:szCs w:val="24"/>
          <w:vertAlign w:val="superscript"/>
        </w:rPr>
        <w:t>2</w:t>
      </w:r>
      <w:r w:rsidR="00AB7ABD" w:rsidRPr="00373D70">
        <w:rPr>
          <w:rFonts w:ascii="Book Antiqua" w:hAnsi="Book Antiqua" w:cs="Arial"/>
          <w:sz w:val="24"/>
          <w:szCs w:val="24"/>
        </w:rPr>
        <w:t xml:space="preserve">, </w:t>
      </w:r>
      <w:r w:rsidR="00BF03CB" w:rsidRPr="00373D70">
        <w:rPr>
          <w:rFonts w:ascii="Book Antiqua" w:hAnsi="Book Antiqua" w:cs="Arial"/>
          <w:sz w:val="24"/>
          <w:szCs w:val="24"/>
        </w:rPr>
        <w:t xml:space="preserve">likely reflected some degree of underlying chronic kidney disease. The elderly patient demographic and potential for underlying </w:t>
      </w:r>
      <w:r w:rsidR="00AB7ABD" w:rsidRPr="00373D70">
        <w:rPr>
          <w:rFonts w:ascii="Book Antiqua" w:hAnsi="Book Antiqua" w:cs="Arial"/>
          <w:sz w:val="24"/>
          <w:szCs w:val="24"/>
        </w:rPr>
        <w:t>chronic kidney disease</w:t>
      </w:r>
      <w:r w:rsidR="00BF03CB" w:rsidRPr="00373D70">
        <w:rPr>
          <w:rFonts w:ascii="Book Antiqua" w:hAnsi="Book Antiqua" w:cs="Arial"/>
          <w:sz w:val="24"/>
          <w:szCs w:val="24"/>
        </w:rPr>
        <w:t xml:space="preserve"> </w:t>
      </w:r>
      <w:r w:rsidR="000A54D3" w:rsidRPr="00373D70">
        <w:rPr>
          <w:rFonts w:ascii="Book Antiqua" w:hAnsi="Book Antiqua" w:cs="Arial"/>
          <w:sz w:val="24"/>
          <w:szCs w:val="24"/>
        </w:rPr>
        <w:t>emphasiz</w:t>
      </w:r>
      <w:r w:rsidR="00AB7ABD" w:rsidRPr="00373D70">
        <w:rPr>
          <w:rFonts w:ascii="Book Antiqua" w:hAnsi="Book Antiqua" w:cs="Arial"/>
          <w:sz w:val="24"/>
          <w:szCs w:val="24"/>
        </w:rPr>
        <w:t>e</w:t>
      </w:r>
      <w:r w:rsidR="000A54D3" w:rsidRPr="00373D70">
        <w:rPr>
          <w:rFonts w:ascii="Book Antiqua" w:hAnsi="Book Antiqua" w:cs="Arial"/>
          <w:sz w:val="24"/>
          <w:szCs w:val="24"/>
        </w:rPr>
        <w:t xml:space="preserve"> the importance of including this group in study trials for safety outcomes.</w:t>
      </w:r>
    </w:p>
    <w:p w14:paraId="051F3A2E" w14:textId="77777777" w:rsidR="00B226FF" w:rsidRPr="00373D70" w:rsidRDefault="00B226FF" w:rsidP="00840F7A">
      <w:pPr>
        <w:spacing w:after="0" w:line="360" w:lineRule="auto"/>
        <w:ind w:firstLineChars="100" w:firstLine="240"/>
        <w:jc w:val="both"/>
        <w:rPr>
          <w:rFonts w:ascii="Book Antiqua" w:hAnsi="Book Antiqua" w:cs="Arial"/>
          <w:sz w:val="24"/>
          <w:szCs w:val="24"/>
        </w:rPr>
      </w:pPr>
      <w:r w:rsidRPr="00373D70">
        <w:rPr>
          <w:rFonts w:ascii="Book Antiqua" w:hAnsi="Book Antiqua" w:cs="Arial"/>
          <w:sz w:val="24"/>
          <w:szCs w:val="24"/>
        </w:rPr>
        <w:t>Our case demonstrates the first report of acute tubular necrosis associated with prucalopride administration. A thorough search on PubMed, Embase and Medline demonstrated no other reports of acute kidney injury secondary to prucalopride. A search for an association with alternative serotonin receptor agonists, such as cisapride or tegaserod, with kidney injury also found no previous case reports. Whether the acute tubular necrosis was due to acute interstitial nephritis or hemodynamic insult cannot be definitively known in this case, since the patient was treated empirically with steroids based on the prominent white blood cell casts on urinalysis. However it remains likely that interstitial inflammation was suppressed by steroid administration prior to the renal biopsy and the working clinical diagnosis was therefore acute interstitial nephritis causing acute tubular necrosis.</w:t>
      </w:r>
    </w:p>
    <w:p w14:paraId="342CB8B2" w14:textId="02AB8C01" w:rsidR="00B226FF" w:rsidRPr="00373D70" w:rsidRDefault="00B226FF" w:rsidP="00840F7A">
      <w:pPr>
        <w:spacing w:after="0" w:line="360" w:lineRule="auto"/>
        <w:ind w:firstLineChars="100" w:firstLine="240"/>
        <w:jc w:val="both"/>
        <w:rPr>
          <w:rFonts w:ascii="Book Antiqua" w:hAnsi="Book Antiqua" w:cs="Arial"/>
          <w:sz w:val="24"/>
          <w:szCs w:val="24"/>
        </w:rPr>
      </w:pPr>
      <w:r w:rsidRPr="00373D70">
        <w:rPr>
          <w:rFonts w:ascii="Book Antiqua" w:hAnsi="Book Antiqua" w:cs="Arial"/>
          <w:sz w:val="24"/>
          <w:szCs w:val="24"/>
        </w:rPr>
        <w:t>The key feature which differentiates prucalopride from other 5-HT</w:t>
      </w:r>
      <w:r w:rsidRPr="00373D70">
        <w:rPr>
          <w:rFonts w:ascii="Book Antiqua" w:hAnsi="Book Antiqua" w:cs="Arial"/>
          <w:sz w:val="24"/>
          <w:szCs w:val="24"/>
          <w:vertAlign w:val="subscript"/>
        </w:rPr>
        <w:t>4</w:t>
      </w:r>
      <w:r w:rsidRPr="00373D70">
        <w:rPr>
          <w:rFonts w:ascii="Book Antiqua" w:hAnsi="Book Antiqua" w:cs="Arial"/>
          <w:sz w:val="24"/>
          <w:szCs w:val="24"/>
        </w:rPr>
        <w:t xml:space="preserve"> receptor agonists such as cisapride and tegaserod is its increased selectivity for its receptor</w:t>
      </w:r>
      <w:r w:rsidR="002B0E0F" w:rsidRPr="00373D70">
        <w:rPr>
          <w:rFonts w:ascii="Book Antiqua" w:hAnsi="Book Antiqua" w:cs="Arial"/>
          <w:sz w:val="24"/>
          <w:szCs w:val="24"/>
          <w:vertAlign w:val="superscript"/>
        </w:rPr>
        <w:t>[</w:t>
      </w:r>
      <w:r w:rsidR="004D351F" w:rsidRPr="00373D70">
        <w:rPr>
          <w:rFonts w:ascii="Book Antiqua" w:hAnsi="Book Antiqua" w:cs="Arial"/>
          <w:sz w:val="24"/>
          <w:szCs w:val="24"/>
        </w:rPr>
        <w:fldChar w:fldCharType="begin"/>
      </w:r>
      <w:r w:rsidR="00DC0D28" w:rsidRPr="00373D70">
        <w:rPr>
          <w:rFonts w:ascii="Book Antiqua" w:hAnsi="Book Antiqua" w:cs="Arial"/>
          <w:sz w:val="24"/>
          <w:szCs w:val="24"/>
        </w:rPr>
        <w:instrText xml:space="preserve"> ADDIN REFMGR.CITE &lt;Refman&gt;&lt;Cite&gt;&lt;Author&gt;De Maeyer JH&lt;/Author&gt;&lt;Year&gt;2008&lt;/Year&gt;&lt;RecNum&gt;11&lt;/RecNum&gt;&lt;IDText&gt;5-HT4 receptor agonists: similar but not the same.&lt;/IDText&gt;&lt;MDL Ref_Type="Journal"&gt;&lt;Ref_Type&gt;Journal&lt;/Ref_Type&gt;&lt;Ref_ID&gt;11&lt;/Ref_ID&gt;&lt;Title_Primary&gt;5-HT&lt;sub&gt;4&lt;/sub&gt; receptor agonists: similar but not the same.&lt;/Title_Primary&gt;&lt;Authors_Primary&gt;De Maeyer JH&lt;/Authors_Primary&gt;&lt;Authors_Primary&gt;Lefebvre RA&lt;/Authors_Primary&gt;&lt;Authors_Primary&gt;Schuurkes JAJ&lt;/Authors_Primary&gt;&lt;Date_Primary&gt;2008&lt;/Date_Primary&gt;&lt;Reprint&gt;Not in File&lt;/Reprint&gt;&lt;Start_Page&gt;99&lt;/Start_Page&gt;&lt;End_Page&gt;112&lt;/End_Page&gt;&lt;Periodical&gt;Neurogastroenterology &amp;amp; Motility&lt;/Periodical&gt;&lt;Volume&gt;20&lt;/Volume&gt;&lt;ZZ_JournalFull&gt;&lt;f name="System"&gt;Neurogastroenterology &amp;amp; Motility&lt;/f&gt;&lt;/ZZ_JournalFull&gt;&lt;ZZ_WorkformID&gt;1&lt;/ZZ_WorkformID&gt;&lt;/MDL&gt;&lt;/Cite&gt;&lt;/Refman&gt;</w:instrText>
      </w:r>
      <w:r w:rsidR="004D351F" w:rsidRPr="00373D70">
        <w:rPr>
          <w:rFonts w:ascii="Book Antiqua" w:hAnsi="Book Antiqua" w:cs="Arial"/>
          <w:sz w:val="24"/>
          <w:szCs w:val="24"/>
        </w:rPr>
        <w:fldChar w:fldCharType="separate"/>
      </w:r>
      <w:r w:rsidR="002F180B" w:rsidRPr="00373D70">
        <w:rPr>
          <w:rFonts w:ascii="Book Antiqua" w:hAnsi="Book Antiqua" w:cs="Arial"/>
          <w:noProof/>
          <w:sz w:val="24"/>
          <w:szCs w:val="24"/>
          <w:vertAlign w:val="superscript"/>
        </w:rPr>
        <w:t>18</w:t>
      </w:r>
      <w:r w:rsidR="004D351F" w:rsidRPr="00373D70">
        <w:rPr>
          <w:rFonts w:ascii="Book Antiqua" w:hAnsi="Book Antiqua" w:cs="Arial"/>
          <w:sz w:val="24"/>
          <w:szCs w:val="24"/>
        </w:rPr>
        <w:fldChar w:fldCharType="end"/>
      </w:r>
      <w:r w:rsidR="002B0E0F" w:rsidRPr="00373D70">
        <w:rPr>
          <w:rFonts w:ascii="Book Antiqua" w:hAnsi="Book Antiqua" w:cs="Arial"/>
          <w:sz w:val="24"/>
          <w:szCs w:val="24"/>
          <w:vertAlign w:val="superscript"/>
        </w:rPr>
        <w:t>]</w:t>
      </w:r>
      <w:r w:rsidR="002B0E0F" w:rsidRPr="00373D70">
        <w:rPr>
          <w:rFonts w:ascii="Book Antiqua" w:hAnsi="Book Antiqua" w:cs="Arial"/>
          <w:sz w:val="24"/>
          <w:szCs w:val="24"/>
        </w:rPr>
        <w:t>.</w:t>
      </w:r>
      <w:r w:rsidRPr="00373D70">
        <w:rPr>
          <w:rFonts w:ascii="Book Antiqua" w:hAnsi="Book Antiqua" w:cs="Arial"/>
          <w:sz w:val="24"/>
          <w:szCs w:val="24"/>
        </w:rPr>
        <w:t xml:space="preserve"> The lack of selectivity of the other older agents resulted in an appreciable affinity for other receptors, channels or transporters. For example, cisapride had an affinity for the human ether-a-go-go-related gene (hERG) K+ channel found in cardiac cells</w:t>
      </w:r>
      <w:r w:rsidR="002B0E0F" w:rsidRPr="00373D70">
        <w:rPr>
          <w:rFonts w:ascii="Book Antiqua" w:hAnsi="Book Antiqua" w:cs="Arial"/>
          <w:sz w:val="24"/>
          <w:szCs w:val="24"/>
          <w:vertAlign w:val="superscript"/>
        </w:rPr>
        <w:t>[</w:t>
      </w:r>
      <w:r w:rsidR="004D351F" w:rsidRPr="00373D70">
        <w:rPr>
          <w:rFonts w:ascii="Book Antiqua" w:hAnsi="Book Antiqua" w:cs="Arial"/>
          <w:sz w:val="24"/>
          <w:szCs w:val="24"/>
        </w:rPr>
        <w:fldChar w:fldCharType="begin"/>
      </w:r>
      <w:r w:rsidR="00DC0D28" w:rsidRPr="00373D70">
        <w:rPr>
          <w:rFonts w:ascii="Book Antiqua" w:hAnsi="Book Antiqua" w:cs="Arial"/>
          <w:sz w:val="24"/>
          <w:szCs w:val="24"/>
        </w:rPr>
        <w:instrText xml:space="preserve"> ADDIN REFMGR.CITE &lt;Refman&gt;&lt;Cite&gt;&lt;Author&gt;Mohammad S&lt;/Author&gt;&lt;Year&gt;1997&lt;/Year&gt;&lt;RecNum&gt;12&lt;/RecNum&gt;&lt;IDText&gt;Blockage of the HERG human cardiac K+ channel by the gastrointestinal prokinetic agent cisapride.&lt;/IDText&gt;&lt;MDL Ref_Type="Journal"&gt;&lt;Ref_Type&gt;Journal&lt;/Ref_Type&gt;&lt;Ref_ID&gt;12&lt;/Ref_ID&gt;&lt;Title_Primary&gt;Blockage of the HERG human cardiac K+ channel by the gastrointestinal prokinetic agent cisapride.&lt;/Title_Primary&gt;&lt;Authors_Primary&gt;Mohammad S&lt;/Authors_Primary&gt;&lt;Authors_Primary&gt;Zhou S&lt;/Authors_Primary&gt;&lt;Authors_Primary&gt;Gong Q&lt;/Authors_Primary&gt;&lt;Authors_Primary&gt;January CT&lt;/Authors_Primary&gt;&lt;Date_Primary&gt;1997&lt;/Date_Primary&gt;&lt;Reprint&gt;Not in File&lt;/Reprint&gt;&lt;Start_Page&gt;H2534&lt;/Start_Page&gt;&lt;End_Page&gt;H2538&lt;/End_Page&gt;&lt;Periodical&gt;Am J Physiol&lt;/Periodical&gt;&lt;Volume&gt;273&lt;/Volume&gt;&lt;ZZ_JournalFull&gt;&lt;f name="System"&gt;Am J Physiol&lt;/f&gt;&lt;/ZZ_JournalFull&gt;&lt;ZZ_WorkformID&gt;1&lt;/ZZ_WorkformID&gt;&lt;/MDL&gt;&lt;/Cite&gt;&lt;/Refman&gt;</w:instrText>
      </w:r>
      <w:r w:rsidR="004D351F" w:rsidRPr="00373D70">
        <w:rPr>
          <w:rFonts w:ascii="Book Antiqua" w:hAnsi="Book Antiqua" w:cs="Arial"/>
          <w:sz w:val="24"/>
          <w:szCs w:val="24"/>
        </w:rPr>
        <w:fldChar w:fldCharType="separate"/>
      </w:r>
      <w:r w:rsidR="002F180B" w:rsidRPr="00373D70">
        <w:rPr>
          <w:rFonts w:ascii="Book Antiqua" w:hAnsi="Book Antiqua" w:cs="Arial"/>
          <w:noProof/>
          <w:sz w:val="24"/>
          <w:szCs w:val="24"/>
          <w:vertAlign w:val="superscript"/>
        </w:rPr>
        <w:t>19</w:t>
      </w:r>
      <w:r w:rsidR="004D351F" w:rsidRPr="00373D70">
        <w:rPr>
          <w:rFonts w:ascii="Book Antiqua" w:hAnsi="Book Antiqua" w:cs="Arial"/>
          <w:sz w:val="24"/>
          <w:szCs w:val="24"/>
        </w:rPr>
        <w:fldChar w:fldCharType="end"/>
      </w:r>
      <w:r w:rsidR="002B0E0F" w:rsidRPr="00373D70">
        <w:rPr>
          <w:rFonts w:ascii="Book Antiqua" w:hAnsi="Book Antiqua" w:cs="Arial"/>
          <w:sz w:val="24"/>
          <w:szCs w:val="24"/>
          <w:vertAlign w:val="superscript"/>
        </w:rPr>
        <w:t>]</w:t>
      </w:r>
      <w:r w:rsidR="00425300" w:rsidRPr="00373D70">
        <w:rPr>
          <w:rFonts w:ascii="Book Antiqua" w:hAnsi="Book Antiqua" w:cs="Arial"/>
          <w:sz w:val="24"/>
          <w:szCs w:val="24"/>
        </w:rPr>
        <w:t xml:space="preserve"> while tegaserod would also bind</w:t>
      </w:r>
      <w:r w:rsidRPr="00373D70">
        <w:rPr>
          <w:rFonts w:ascii="Book Antiqua" w:hAnsi="Book Antiqua" w:cs="Arial"/>
          <w:sz w:val="24"/>
          <w:szCs w:val="24"/>
        </w:rPr>
        <w:t xml:space="preserve"> to 5-HT</w:t>
      </w:r>
      <w:r w:rsidRPr="00373D70">
        <w:rPr>
          <w:rFonts w:ascii="Book Antiqua" w:hAnsi="Book Antiqua" w:cs="Arial"/>
          <w:sz w:val="24"/>
          <w:szCs w:val="24"/>
          <w:vertAlign w:val="subscript"/>
        </w:rPr>
        <w:t>1</w:t>
      </w:r>
      <w:r w:rsidRPr="00373D70">
        <w:rPr>
          <w:rFonts w:ascii="Book Antiqua" w:hAnsi="Book Antiqua" w:cs="Arial"/>
          <w:sz w:val="24"/>
          <w:szCs w:val="24"/>
        </w:rPr>
        <w:t xml:space="preserve"> and 5-HT</w:t>
      </w:r>
      <w:r w:rsidRPr="00373D70">
        <w:rPr>
          <w:rFonts w:ascii="Book Antiqua" w:hAnsi="Book Antiqua" w:cs="Arial"/>
          <w:sz w:val="24"/>
          <w:szCs w:val="24"/>
          <w:vertAlign w:val="subscript"/>
        </w:rPr>
        <w:t>2</w:t>
      </w:r>
      <w:r w:rsidRPr="00373D70">
        <w:rPr>
          <w:rFonts w:ascii="Book Antiqua" w:hAnsi="Book Antiqua" w:cs="Arial"/>
          <w:sz w:val="24"/>
          <w:szCs w:val="24"/>
        </w:rPr>
        <w:t xml:space="preserve"> receptors</w:t>
      </w:r>
      <w:r w:rsidR="002B0E0F" w:rsidRPr="00373D70">
        <w:rPr>
          <w:rFonts w:ascii="Book Antiqua" w:hAnsi="Book Antiqua" w:cs="Arial"/>
          <w:sz w:val="24"/>
          <w:szCs w:val="24"/>
          <w:vertAlign w:val="superscript"/>
        </w:rPr>
        <w:t>[</w:t>
      </w:r>
      <w:r w:rsidR="004D351F" w:rsidRPr="00373D70">
        <w:rPr>
          <w:rFonts w:ascii="Book Antiqua" w:hAnsi="Book Antiqua" w:cs="Arial"/>
          <w:sz w:val="24"/>
          <w:szCs w:val="24"/>
        </w:rPr>
        <w:fldChar w:fldCharType="begin"/>
      </w:r>
      <w:r w:rsidR="00DC0D28" w:rsidRPr="00373D70">
        <w:rPr>
          <w:rFonts w:ascii="Book Antiqua" w:hAnsi="Book Antiqua" w:cs="Arial"/>
          <w:sz w:val="24"/>
          <w:szCs w:val="24"/>
        </w:rPr>
        <w:instrText xml:space="preserve"> ADDIN REFMGR.CITE &lt;Refman&gt;&lt;Cite&gt;&lt;Author&gt;De Maeyer JH&lt;/Author&gt;&lt;Year&gt;2008&lt;/Year&gt;&lt;RecNum&gt;11&lt;/RecNum&gt;&lt;IDText&gt;5-HT4 receptor agonists: similar but not the same.&lt;/IDText&gt;&lt;MDL Ref_Type="Journal"&gt;&lt;Ref_Type&gt;Journal&lt;/Ref_Type&gt;&lt;Ref_ID&gt;11&lt;/Ref_ID&gt;&lt;Title_Primary&gt;5-HT&lt;sub&gt;4&lt;/sub&gt; receptor agonists: similar but not the same.&lt;/Title_Primary&gt;&lt;Authors_Primary&gt;De Maeyer JH&lt;/Authors_Primary&gt;&lt;Authors_Primary&gt;Lefebvre RA&lt;/Authors_Primary&gt;&lt;Authors_Primary&gt;Schuurkes JAJ&lt;/Authors_Primary&gt;&lt;Date_Primary&gt;2008&lt;/Date_Primary&gt;&lt;Reprint&gt;Not in File&lt;/Reprint&gt;&lt;Start_Page&gt;99&lt;/Start_Page&gt;&lt;End_Page&gt;112&lt;/End_Page&gt;&lt;Periodical&gt;Neurogastroenterology &amp;amp; Motility&lt;/Periodical&gt;&lt;Volume&gt;20&lt;/Volume&gt;&lt;ZZ_JournalFull&gt;&lt;f name="System"&gt;Neurogastroenterology &amp;amp; Motility&lt;/f&gt;&lt;/ZZ_JournalFull&gt;&lt;ZZ_WorkformID&gt;1&lt;/ZZ_WorkformID&gt;&lt;/MDL&gt;&lt;/Cite&gt;&lt;/Refman&gt;</w:instrText>
      </w:r>
      <w:r w:rsidR="004D351F" w:rsidRPr="00373D70">
        <w:rPr>
          <w:rFonts w:ascii="Book Antiqua" w:hAnsi="Book Antiqua" w:cs="Arial"/>
          <w:sz w:val="24"/>
          <w:szCs w:val="24"/>
        </w:rPr>
        <w:fldChar w:fldCharType="separate"/>
      </w:r>
      <w:r w:rsidR="002F180B" w:rsidRPr="00373D70">
        <w:rPr>
          <w:rFonts w:ascii="Book Antiqua" w:hAnsi="Book Antiqua" w:cs="Arial"/>
          <w:noProof/>
          <w:sz w:val="24"/>
          <w:szCs w:val="24"/>
          <w:vertAlign w:val="superscript"/>
        </w:rPr>
        <w:t>18</w:t>
      </w:r>
      <w:r w:rsidR="004D351F" w:rsidRPr="00373D70">
        <w:rPr>
          <w:rFonts w:ascii="Book Antiqua" w:hAnsi="Book Antiqua" w:cs="Arial"/>
          <w:sz w:val="24"/>
          <w:szCs w:val="24"/>
        </w:rPr>
        <w:fldChar w:fldCharType="end"/>
      </w:r>
      <w:r w:rsidR="002B0E0F" w:rsidRPr="00373D70">
        <w:rPr>
          <w:rFonts w:ascii="Book Antiqua" w:hAnsi="Book Antiqua" w:cs="Arial"/>
          <w:sz w:val="24"/>
          <w:szCs w:val="24"/>
          <w:vertAlign w:val="superscript"/>
        </w:rPr>
        <w:t>]</w:t>
      </w:r>
      <w:r w:rsidR="002B0E0F" w:rsidRPr="00373D70">
        <w:rPr>
          <w:rFonts w:ascii="Book Antiqua" w:hAnsi="Book Antiqua" w:cs="Arial"/>
          <w:sz w:val="24"/>
          <w:szCs w:val="24"/>
        </w:rPr>
        <w:t>.</w:t>
      </w:r>
      <w:r w:rsidRPr="00373D70">
        <w:rPr>
          <w:rFonts w:ascii="Book Antiqua" w:hAnsi="Book Antiqua" w:cs="Arial"/>
          <w:sz w:val="24"/>
          <w:szCs w:val="24"/>
        </w:rPr>
        <w:t xml:space="preserve"> These agents subsequently demonstrated cardiovascular side effects which were independent of their action on the 5-HT</w:t>
      </w:r>
      <w:r w:rsidRPr="00373D70">
        <w:rPr>
          <w:rFonts w:ascii="Book Antiqua" w:hAnsi="Book Antiqua" w:cs="Arial"/>
          <w:sz w:val="24"/>
          <w:szCs w:val="24"/>
          <w:vertAlign w:val="subscript"/>
        </w:rPr>
        <w:t>4</w:t>
      </w:r>
      <w:r w:rsidRPr="00373D70">
        <w:rPr>
          <w:rFonts w:ascii="Book Antiqua" w:hAnsi="Book Antiqua" w:cs="Arial"/>
          <w:sz w:val="24"/>
          <w:szCs w:val="24"/>
          <w:vertAlign w:val="subscript"/>
        </w:rPr>
        <w:softHyphen/>
        <w:t xml:space="preserve"> </w:t>
      </w:r>
      <w:r w:rsidRPr="00373D70">
        <w:rPr>
          <w:rFonts w:ascii="Book Antiqua" w:hAnsi="Book Antiqua" w:cs="Arial"/>
          <w:sz w:val="24"/>
          <w:szCs w:val="24"/>
        </w:rPr>
        <w:t>receptor</w:t>
      </w:r>
      <w:r w:rsidR="002B0E0F" w:rsidRPr="00373D70">
        <w:rPr>
          <w:rFonts w:ascii="Book Antiqua" w:hAnsi="Book Antiqua" w:cs="Arial"/>
          <w:sz w:val="24"/>
          <w:szCs w:val="24"/>
          <w:vertAlign w:val="superscript"/>
        </w:rPr>
        <w:t>[</w:t>
      </w:r>
      <w:r w:rsidR="004D351F" w:rsidRPr="00373D70">
        <w:rPr>
          <w:rFonts w:ascii="Book Antiqua" w:hAnsi="Book Antiqua" w:cs="Arial"/>
          <w:sz w:val="24"/>
          <w:szCs w:val="24"/>
        </w:rPr>
        <w:fldChar w:fldCharType="begin"/>
      </w:r>
      <w:r w:rsidR="00DC0D28" w:rsidRPr="00373D70">
        <w:rPr>
          <w:rFonts w:ascii="Book Antiqua" w:hAnsi="Book Antiqua" w:cs="Arial"/>
          <w:sz w:val="24"/>
          <w:szCs w:val="24"/>
        </w:rPr>
        <w:instrText xml:space="preserve"> ADDIN REFMGR.CITE &lt;Refman&gt;&lt;Cite&gt;&lt;Author&gt;Mohammad S&lt;/Author&gt;&lt;Year&gt;1997&lt;/Year&gt;&lt;RecNum&gt;12&lt;/RecNum&gt;&lt;IDText&gt;Blockage of the HERG human cardiac K+ channel by the gastrointestinal prokinetic agent cisapride.&lt;/IDText&gt;&lt;MDL Ref_Type="Journal"&gt;&lt;Ref_Type&gt;Journal&lt;/Ref_Type&gt;&lt;Ref_ID&gt;12&lt;/Ref_ID&gt;&lt;Title_Primary&gt;Blockage of the HERG human cardiac K+ channel by the gastrointestinal prokinetic agent cisapride.&lt;/Title_Primary&gt;&lt;Authors_Primary&gt;Mohammad S&lt;/Authors_Primary&gt;&lt;Authors_Primary&gt;Zhou S&lt;/Authors_Primary&gt;&lt;Authors_Primary&gt;Gong Q&lt;/Authors_Primary&gt;&lt;Authors_Primary&gt;January CT&lt;/Authors_Primary&gt;&lt;Date_Primary&gt;1997&lt;/Date_Primary&gt;&lt;Reprint&gt;Not in File&lt;/Reprint&gt;&lt;Start_Page&gt;H2534&lt;/Start_Page&gt;&lt;End_Page&gt;H2538&lt;/End_Page&gt;&lt;Periodical&gt;Am J Physiol&lt;/Periodical&gt;&lt;Volume&gt;273&lt;/Volume&gt;&lt;ZZ_JournalFull&gt;&lt;f name="System"&gt;Am J Physiol&lt;/f&gt;&lt;/ZZ_JournalFull&gt;&lt;ZZ_WorkformID&gt;1&lt;/ZZ_WorkformID&gt;&lt;/MDL&gt;&lt;/Cite&gt;&lt;Cite&gt;&lt;Author&gt;Busti AJ&lt;/Author&gt;&lt;Year&gt;2004&lt;/Year&gt;&lt;RecNum&gt;13&lt;/RecNum&gt;&lt;IDText&gt;Tegaserod-induced myocardial infarction: case report and hypothesis.&lt;/IDText&gt;&lt;MDL Ref_Type="Journal"&gt;&lt;Ref_Type&gt;Journal&lt;/Ref_Type&gt;&lt;Ref_ID&gt;13&lt;/Ref_ID&gt;&lt;Title_Primary&gt;Tegaserod-induced myocardial infarction: case report and hypothesis.&lt;/Title_Primary&gt;&lt;Authors_Primary&gt;Busti AJ&lt;/Authors_Primary&gt;&lt;Authors_Primary&gt;Murillo JRJ&lt;/Authors_Primary&gt;&lt;Authors_Primary&gt;Cryer B&lt;/Authors_Primary&gt;&lt;Date_Primary&gt;2004&lt;/Date_Primary&gt;&lt;Reprint&gt;Not in File&lt;/Reprint&gt;&lt;Start_Page&gt;526&lt;/Start_Page&gt;&lt;End_Page&gt;531&lt;/End_Page&gt;&lt;Periodical&gt;Pharmacotherapy&lt;/Periodical&gt;&lt;Volume&gt;24&lt;/Volume&gt;&lt;ZZ_JournalFull&gt;&lt;f name="System"&gt;Pharmacotherapy&lt;/f&gt;&lt;/ZZ_JournalFull&gt;&lt;ZZ_WorkformID&gt;1&lt;/ZZ_WorkformID&gt;&lt;/MDL&gt;&lt;/Cite&gt;&lt;/Refman&gt;</w:instrText>
      </w:r>
      <w:r w:rsidR="004D351F" w:rsidRPr="00373D70">
        <w:rPr>
          <w:rFonts w:ascii="Book Antiqua" w:hAnsi="Book Antiqua" w:cs="Arial"/>
          <w:sz w:val="24"/>
          <w:szCs w:val="24"/>
        </w:rPr>
        <w:fldChar w:fldCharType="separate"/>
      </w:r>
      <w:r w:rsidR="002F180B" w:rsidRPr="00373D70">
        <w:rPr>
          <w:rFonts w:ascii="Book Antiqua" w:hAnsi="Book Antiqua" w:cs="Arial"/>
          <w:noProof/>
          <w:sz w:val="24"/>
          <w:szCs w:val="24"/>
          <w:vertAlign w:val="superscript"/>
        </w:rPr>
        <w:t>19,20</w:t>
      </w:r>
      <w:r w:rsidR="004D351F" w:rsidRPr="00373D70">
        <w:rPr>
          <w:rFonts w:ascii="Book Antiqua" w:hAnsi="Book Antiqua" w:cs="Arial"/>
          <w:sz w:val="24"/>
          <w:szCs w:val="24"/>
        </w:rPr>
        <w:fldChar w:fldCharType="end"/>
      </w:r>
      <w:r w:rsidR="002B0E0F" w:rsidRPr="00373D70">
        <w:rPr>
          <w:rFonts w:ascii="Book Antiqua" w:hAnsi="Book Antiqua" w:cs="Arial"/>
          <w:sz w:val="24"/>
          <w:szCs w:val="24"/>
          <w:vertAlign w:val="superscript"/>
        </w:rPr>
        <w:t>]</w:t>
      </w:r>
      <w:r w:rsidR="002B0E0F" w:rsidRPr="00373D70">
        <w:rPr>
          <w:rFonts w:ascii="Book Antiqua" w:hAnsi="Book Antiqua" w:cs="Arial"/>
          <w:sz w:val="24"/>
          <w:szCs w:val="24"/>
        </w:rPr>
        <w:t>.</w:t>
      </w:r>
      <w:r w:rsidRPr="00373D70">
        <w:rPr>
          <w:rFonts w:ascii="Book Antiqua" w:hAnsi="Book Antiqua" w:cs="Arial"/>
          <w:sz w:val="24"/>
          <w:szCs w:val="24"/>
        </w:rPr>
        <w:t xml:space="preserve"> The characteristic of high selectivity is important as serotonin receptors are found throughout the body, including the kidney. The primary receptors in the kidney are the 5-HT</w:t>
      </w:r>
      <w:r w:rsidRPr="00373D70">
        <w:rPr>
          <w:rFonts w:ascii="Book Antiqua" w:hAnsi="Book Antiqua" w:cs="Arial"/>
          <w:sz w:val="24"/>
          <w:szCs w:val="24"/>
          <w:vertAlign w:val="subscript"/>
        </w:rPr>
        <w:t>2</w:t>
      </w:r>
      <w:r w:rsidRPr="00373D70">
        <w:rPr>
          <w:rFonts w:ascii="Book Antiqua" w:hAnsi="Book Antiqua" w:cs="Arial"/>
          <w:sz w:val="24"/>
          <w:szCs w:val="24"/>
        </w:rPr>
        <w:t xml:space="preserve"> receptors on smooth muscle cells and the 5-HT</w:t>
      </w:r>
      <w:r w:rsidRPr="00373D70">
        <w:rPr>
          <w:rFonts w:ascii="Book Antiqua" w:hAnsi="Book Antiqua" w:cs="Arial"/>
          <w:sz w:val="24"/>
          <w:szCs w:val="24"/>
          <w:vertAlign w:val="subscript"/>
        </w:rPr>
        <w:t>1</w:t>
      </w:r>
      <w:r w:rsidRPr="00373D70">
        <w:rPr>
          <w:rFonts w:ascii="Book Antiqua" w:hAnsi="Book Antiqua" w:cs="Arial"/>
          <w:sz w:val="24"/>
          <w:szCs w:val="24"/>
        </w:rPr>
        <w:t xml:space="preserve"> receptors on endothelial cells</w:t>
      </w:r>
      <w:r w:rsidR="002B0E0F" w:rsidRPr="00373D70">
        <w:rPr>
          <w:rFonts w:ascii="Book Antiqua" w:hAnsi="Book Antiqua" w:cs="Arial"/>
          <w:sz w:val="24"/>
          <w:szCs w:val="24"/>
          <w:vertAlign w:val="superscript"/>
        </w:rPr>
        <w:t>[</w:t>
      </w:r>
      <w:r w:rsidR="004D351F" w:rsidRPr="00373D70">
        <w:rPr>
          <w:rFonts w:ascii="Book Antiqua" w:hAnsi="Book Antiqua" w:cs="Arial"/>
          <w:sz w:val="24"/>
          <w:szCs w:val="24"/>
        </w:rPr>
        <w:fldChar w:fldCharType="begin"/>
      </w:r>
      <w:r w:rsidR="00DC0D28" w:rsidRPr="00373D70">
        <w:rPr>
          <w:rFonts w:ascii="Book Antiqua" w:hAnsi="Book Antiqua" w:cs="Arial"/>
          <w:sz w:val="24"/>
          <w:szCs w:val="24"/>
        </w:rPr>
        <w:instrText xml:space="preserve"> ADDIN REFMGR.CITE &lt;Refman&gt;&lt;Cite&gt;&lt;Author&gt;Lameire NH&lt;/Author&gt;&lt;Year&gt;1999&lt;/Year&gt;&lt;RecNum&gt;14&lt;/RecNum&gt;&lt;IDText&gt;Serotonin and the regulation of renal blood flow in acute renal failure.&lt;/IDText&gt;&lt;MDL Ref_Type="Journal"&gt;&lt;Ref_Type&gt;Journal&lt;/Ref_Type&gt;&lt;Ref_ID&gt;14&lt;/Ref_ID&gt;&lt;Title_Primary&gt;Serotonin and the regulation of renal blood flow in acute renal failure.&lt;/Title_Primary&gt;&lt;Authors_Primary&gt;Lameire NH&lt;/Authors_Primary&gt;&lt;Date_Primary&gt;1999&lt;/Date_Primary&gt;&lt;Reprint&gt;Not in File&lt;/Reprint&gt;&lt;Start_Page&gt;I2&lt;/Start_Page&gt;&lt;End_Page&gt;I4&lt;/End_Page&gt;&lt;Periodical&gt;American Journal of Kidney Diseases&lt;/Periodical&gt;&lt;Volume&gt;33&lt;/Volume&gt;&lt;Issue&gt;4&lt;/Issue&gt;&lt;ZZ_JournalFull&gt;&lt;f name="System"&gt;American Journal of Kidney Diseases&lt;/f&gt;&lt;/ZZ_JournalFull&gt;&lt;ZZ_WorkformID&gt;1&lt;/ZZ_WorkformID&gt;&lt;/MDL&gt;&lt;/Cite&gt;&lt;/Refman&gt;</w:instrText>
      </w:r>
      <w:r w:rsidR="004D351F" w:rsidRPr="00373D70">
        <w:rPr>
          <w:rFonts w:ascii="Book Antiqua" w:hAnsi="Book Antiqua" w:cs="Arial"/>
          <w:sz w:val="24"/>
          <w:szCs w:val="24"/>
        </w:rPr>
        <w:fldChar w:fldCharType="separate"/>
      </w:r>
      <w:r w:rsidR="002F180B" w:rsidRPr="00373D70">
        <w:rPr>
          <w:rFonts w:ascii="Book Antiqua" w:hAnsi="Book Antiqua" w:cs="Arial"/>
          <w:noProof/>
          <w:sz w:val="24"/>
          <w:szCs w:val="24"/>
          <w:vertAlign w:val="superscript"/>
        </w:rPr>
        <w:t>21</w:t>
      </w:r>
      <w:r w:rsidR="004D351F" w:rsidRPr="00373D70">
        <w:rPr>
          <w:rFonts w:ascii="Book Antiqua" w:hAnsi="Book Antiqua" w:cs="Arial"/>
          <w:sz w:val="24"/>
          <w:szCs w:val="24"/>
        </w:rPr>
        <w:fldChar w:fldCharType="end"/>
      </w:r>
      <w:r w:rsidR="002B0E0F" w:rsidRPr="00373D70">
        <w:rPr>
          <w:rFonts w:ascii="Book Antiqua" w:hAnsi="Book Antiqua" w:cs="Arial"/>
          <w:sz w:val="24"/>
          <w:szCs w:val="24"/>
          <w:vertAlign w:val="superscript"/>
        </w:rPr>
        <w:t>]</w:t>
      </w:r>
      <w:r w:rsidR="002B0E0F" w:rsidRPr="00373D70">
        <w:rPr>
          <w:rFonts w:ascii="Book Antiqua" w:hAnsi="Book Antiqua" w:cs="Arial"/>
          <w:sz w:val="24"/>
          <w:szCs w:val="24"/>
        </w:rPr>
        <w:t>.</w:t>
      </w:r>
      <w:r w:rsidRPr="00373D70">
        <w:rPr>
          <w:rFonts w:ascii="Book Antiqua" w:hAnsi="Book Antiqua" w:cs="Arial"/>
          <w:sz w:val="24"/>
          <w:szCs w:val="24"/>
        </w:rPr>
        <w:t xml:space="preserve"> Stimulation of the 5-HT</w:t>
      </w:r>
      <w:r w:rsidRPr="00373D70">
        <w:rPr>
          <w:rFonts w:ascii="Book Antiqua" w:hAnsi="Book Antiqua" w:cs="Arial"/>
          <w:sz w:val="24"/>
          <w:szCs w:val="24"/>
        </w:rPr>
        <w:softHyphen/>
      </w:r>
      <w:r w:rsidRPr="00373D70">
        <w:rPr>
          <w:rFonts w:ascii="Book Antiqua" w:hAnsi="Book Antiqua" w:cs="Arial"/>
          <w:sz w:val="24"/>
          <w:szCs w:val="24"/>
          <w:vertAlign w:val="subscript"/>
        </w:rPr>
        <w:t>2</w:t>
      </w:r>
      <w:r w:rsidRPr="00373D70">
        <w:rPr>
          <w:rFonts w:ascii="Book Antiqua" w:hAnsi="Book Antiqua" w:cs="Arial"/>
          <w:sz w:val="24"/>
          <w:szCs w:val="24"/>
        </w:rPr>
        <w:t xml:space="preserve"> receptors directly causes renal vasoconstriction, while activation of 5-HT</w:t>
      </w:r>
      <w:r w:rsidRPr="00373D70">
        <w:rPr>
          <w:rFonts w:ascii="Book Antiqua" w:hAnsi="Book Antiqua" w:cs="Arial"/>
          <w:sz w:val="24"/>
          <w:szCs w:val="24"/>
          <w:vertAlign w:val="subscript"/>
        </w:rPr>
        <w:t>1</w:t>
      </w:r>
      <w:r w:rsidRPr="00373D70">
        <w:rPr>
          <w:rFonts w:ascii="Book Antiqua" w:hAnsi="Book Antiqua" w:cs="Arial"/>
          <w:sz w:val="24"/>
          <w:szCs w:val="24"/>
        </w:rPr>
        <w:t xml:space="preserve"> receptors leads to vasodilation indirectly via nitric oxide</w:t>
      </w:r>
      <w:r w:rsidR="002B0E0F" w:rsidRPr="00373D70">
        <w:rPr>
          <w:rFonts w:ascii="Book Antiqua" w:hAnsi="Book Antiqua" w:cs="Arial"/>
          <w:sz w:val="24"/>
          <w:szCs w:val="24"/>
          <w:vertAlign w:val="superscript"/>
        </w:rPr>
        <w:t>[</w:t>
      </w:r>
      <w:r w:rsidR="004D351F" w:rsidRPr="00373D70">
        <w:rPr>
          <w:rFonts w:ascii="Book Antiqua" w:hAnsi="Book Antiqua" w:cs="Arial"/>
          <w:sz w:val="24"/>
          <w:szCs w:val="24"/>
        </w:rPr>
        <w:fldChar w:fldCharType="begin"/>
      </w:r>
      <w:r w:rsidR="00DC0D28" w:rsidRPr="00373D70">
        <w:rPr>
          <w:rFonts w:ascii="Book Antiqua" w:hAnsi="Book Antiqua" w:cs="Arial"/>
          <w:sz w:val="24"/>
          <w:szCs w:val="24"/>
        </w:rPr>
        <w:instrText xml:space="preserve"> ADDIN REFMGR.CITE &lt;Refman&gt;&lt;Cite&gt;&lt;Author&gt;Van Neuten JM&lt;/Author&gt;&lt;Year&gt;1985&lt;/Year&gt;&lt;RecNum&gt;15&lt;/RecNum&gt;&lt;IDText&gt;Serotonin and the blood vessel wall.&lt;/IDText&gt;&lt;MDL Ref_Type="Journal"&gt;&lt;Ref_Type&gt;Journal&lt;/Ref_Type&gt;&lt;Ref_ID&gt;15&lt;/Ref_ID&gt;&lt;Title_Primary&gt;Serotonin and the blood vessel wall.&lt;/Title_Primary&gt;&lt;Authors_Primary&gt;Van Neuten JM&lt;/Authors_Primary&gt;&lt;Date_Primary&gt;1985&lt;/Date_Primary&gt;&lt;Reprint&gt;Not in File&lt;/Reprint&gt;&lt;Start_Page&gt;S49&lt;/Start_Page&gt;&lt;End_Page&gt;S51&lt;/End_Page&gt;&lt;Periodical&gt;J Cardiovasc Pharmacol&lt;/Periodical&gt;&lt;Volume&gt;7&lt;/Volume&gt;&lt;Issue&gt;Supp 7&lt;/Issue&gt;&lt;ZZ_JournalFull&gt;&lt;f name="System"&gt;J Cardiovasc Pharmacol&lt;/f&gt;&lt;/ZZ_JournalFull&gt;&lt;ZZ_WorkformID&gt;1&lt;/ZZ_WorkformID&gt;&lt;/MDL&gt;&lt;/Cite&gt;&lt;/Refman&gt;</w:instrText>
      </w:r>
      <w:r w:rsidR="004D351F" w:rsidRPr="00373D70">
        <w:rPr>
          <w:rFonts w:ascii="Book Antiqua" w:hAnsi="Book Antiqua" w:cs="Arial"/>
          <w:sz w:val="24"/>
          <w:szCs w:val="24"/>
        </w:rPr>
        <w:fldChar w:fldCharType="separate"/>
      </w:r>
      <w:r w:rsidR="002F180B" w:rsidRPr="00373D70">
        <w:rPr>
          <w:rFonts w:ascii="Book Antiqua" w:hAnsi="Book Antiqua" w:cs="Arial"/>
          <w:noProof/>
          <w:sz w:val="24"/>
          <w:szCs w:val="24"/>
          <w:vertAlign w:val="superscript"/>
        </w:rPr>
        <w:t>22</w:t>
      </w:r>
      <w:r w:rsidR="004D351F" w:rsidRPr="00373D70">
        <w:rPr>
          <w:rFonts w:ascii="Book Antiqua" w:hAnsi="Book Antiqua" w:cs="Arial"/>
          <w:sz w:val="24"/>
          <w:szCs w:val="24"/>
        </w:rPr>
        <w:fldChar w:fldCharType="end"/>
      </w:r>
      <w:r w:rsidR="002B0E0F" w:rsidRPr="00373D70">
        <w:rPr>
          <w:rFonts w:ascii="Book Antiqua" w:hAnsi="Book Antiqua" w:cs="Arial"/>
          <w:sz w:val="24"/>
          <w:szCs w:val="24"/>
          <w:vertAlign w:val="superscript"/>
        </w:rPr>
        <w:t>]</w:t>
      </w:r>
      <w:r w:rsidR="002B0E0F" w:rsidRPr="00373D70">
        <w:rPr>
          <w:rFonts w:ascii="Book Antiqua" w:hAnsi="Book Antiqua" w:cs="Arial"/>
          <w:sz w:val="24"/>
          <w:szCs w:val="24"/>
        </w:rPr>
        <w:t>.</w:t>
      </w:r>
      <w:r w:rsidRPr="00373D70">
        <w:rPr>
          <w:rFonts w:ascii="Book Antiqua" w:hAnsi="Book Antiqua" w:cs="Arial"/>
          <w:sz w:val="24"/>
          <w:szCs w:val="24"/>
        </w:rPr>
        <w:t xml:space="preserve"> It has been found that administration of serotonin impairs autoregulation of the glomerular filtration rate of the kidney, leaving it vulnerable to ischemic damage</w:t>
      </w:r>
      <w:r w:rsidR="002B0E0F" w:rsidRPr="00373D70">
        <w:rPr>
          <w:rFonts w:ascii="Book Antiqua" w:hAnsi="Book Antiqua" w:cs="Arial"/>
          <w:sz w:val="24"/>
          <w:szCs w:val="24"/>
          <w:vertAlign w:val="superscript"/>
        </w:rPr>
        <w:t>[</w:t>
      </w:r>
      <w:r w:rsidR="004D351F" w:rsidRPr="00373D70">
        <w:rPr>
          <w:rFonts w:ascii="Book Antiqua" w:hAnsi="Book Antiqua" w:cs="Arial"/>
          <w:sz w:val="24"/>
          <w:szCs w:val="24"/>
        </w:rPr>
        <w:fldChar w:fldCharType="begin"/>
      </w:r>
      <w:r w:rsidR="00DC0D28" w:rsidRPr="00373D70">
        <w:rPr>
          <w:rFonts w:ascii="Book Antiqua" w:hAnsi="Book Antiqua" w:cs="Arial"/>
          <w:sz w:val="24"/>
          <w:szCs w:val="24"/>
        </w:rPr>
        <w:instrText xml:space="preserve"> ADDIN REFMGR.CITE &lt;Refman&gt;&lt;Cite&gt;&lt;Author&gt;Endlich K&lt;/Author&gt;&lt;Year&gt;1993&lt;/Year&gt;&lt;RecNum&gt;16&lt;/RecNum&gt;&lt;IDText&gt;Visualization of serotonin effects on renal vessels of rats.&lt;/IDText&gt;&lt;MDL Ref_Type="Journal"&gt;&lt;Ref_Type&gt;Journal&lt;/Ref_Type&gt;&lt;Ref_ID&gt;16&lt;/Ref_ID&gt;&lt;Title_Primary&gt;Visualization of serotonin effects on renal vessels of rats.&lt;/Title_Primary&gt;&lt;Authors_Primary&gt;Endlich K&lt;/Authors_Primary&gt;&lt;Authors_Primary&gt;Kuhn R&lt;/Authors_Primary&gt;&lt;Authors_Primary&gt;Steinhausen M&lt;/Authors_Primary&gt;&lt;Date_Primary&gt;1993&lt;/Date_Primary&gt;&lt;Reprint&gt;Not in File&lt;/Reprint&gt;&lt;Start_Page&gt;314&lt;/Start_Page&gt;&lt;End_Page&gt;323&lt;/End_Page&gt;&lt;Periodical&gt;Kidney Int&lt;/Periodical&gt;&lt;Volume&gt;43&lt;/Volume&gt;&lt;ZZ_JournalFull&gt;&lt;f name="System"&gt;Kidney Int&lt;/f&gt;&lt;/ZZ_JournalFull&gt;&lt;ZZ_WorkformID&gt;1&lt;/ZZ_WorkformID&gt;&lt;/MDL&gt;&lt;/Cite&gt;&lt;/Refman&gt;</w:instrText>
      </w:r>
      <w:r w:rsidR="004D351F" w:rsidRPr="00373D70">
        <w:rPr>
          <w:rFonts w:ascii="Book Antiqua" w:hAnsi="Book Antiqua" w:cs="Arial"/>
          <w:sz w:val="24"/>
          <w:szCs w:val="24"/>
        </w:rPr>
        <w:fldChar w:fldCharType="separate"/>
      </w:r>
      <w:r w:rsidR="002F180B" w:rsidRPr="00373D70">
        <w:rPr>
          <w:rFonts w:ascii="Book Antiqua" w:hAnsi="Book Antiqua" w:cs="Arial"/>
          <w:noProof/>
          <w:sz w:val="24"/>
          <w:szCs w:val="24"/>
          <w:vertAlign w:val="superscript"/>
        </w:rPr>
        <w:t>23</w:t>
      </w:r>
      <w:r w:rsidR="004D351F" w:rsidRPr="00373D70">
        <w:rPr>
          <w:rFonts w:ascii="Book Antiqua" w:hAnsi="Book Antiqua" w:cs="Arial"/>
          <w:sz w:val="24"/>
          <w:szCs w:val="24"/>
        </w:rPr>
        <w:fldChar w:fldCharType="end"/>
      </w:r>
      <w:r w:rsidR="002B0E0F" w:rsidRPr="00373D70">
        <w:rPr>
          <w:rFonts w:ascii="Book Antiqua" w:hAnsi="Book Antiqua" w:cs="Arial"/>
          <w:sz w:val="24"/>
          <w:szCs w:val="24"/>
          <w:vertAlign w:val="superscript"/>
        </w:rPr>
        <w:t>]</w:t>
      </w:r>
      <w:r w:rsidR="002B0E0F" w:rsidRPr="00373D70">
        <w:rPr>
          <w:rFonts w:ascii="Book Antiqua" w:hAnsi="Book Antiqua" w:cs="Arial"/>
          <w:sz w:val="24"/>
          <w:szCs w:val="24"/>
        </w:rPr>
        <w:t>.</w:t>
      </w:r>
      <w:r w:rsidRPr="00373D70">
        <w:rPr>
          <w:rFonts w:ascii="Book Antiqua" w:hAnsi="Book Antiqua" w:cs="Arial"/>
          <w:sz w:val="24"/>
          <w:szCs w:val="24"/>
        </w:rPr>
        <w:t xml:space="preserve"> While prucalopride has agonistic effects on the serotonin receptor, given that it has not been shown to activate the specific subtypes of 5-HT</w:t>
      </w:r>
      <w:r w:rsidRPr="00373D70">
        <w:rPr>
          <w:rFonts w:ascii="Book Antiqua" w:hAnsi="Book Antiqua" w:cs="Arial"/>
          <w:sz w:val="24"/>
          <w:szCs w:val="24"/>
          <w:vertAlign w:val="subscript"/>
        </w:rPr>
        <w:t>2</w:t>
      </w:r>
      <w:r w:rsidRPr="00373D70">
        <w:rPr>
          <w:rFonts w:ascii="Book Antiqua" w:hAnsi="Book Antiqua" w:cs="Arial"/>
          <w:sz w:val="24"/>
          <w:szCs w:val="24"/>
        </w:rPr>
        <w:t xml:space="preserve"> and 5-HT</w:t>
      </w:r>
      <w:r w:rsidRPr="00373D70">
        <w:rPr>
          <w:rFonts w:ascii="Book Antiqua" w:hAnsi="Book Antiqua" w:cs="Arial"/>
          <w:sz w:val="24"/>
          <w:szCs w:val="24"/>
          <w:vertAlign w:val="subscript"/>
        </w:rPr>
        <w:t>1</w:t>
      </w:r>
      <w:r w:rsidRPr="00373D70">
        <w:rPr>
          <w:rFonts w:ascii="Book Antiqua" w:hAnsi="Book Antiqua" w:cs="Arial"/>
          <w:sz w:val="24"/>
          <w:szCs w:val="24"/>
        </w:rPr>
        <w:t>, this mechanism of kidney injury is less likely. It is not known whether the concurrent use of candesartan in this patient may have also played a role in the development of acute tubular necrosis, since angiotensin II blockade can also cause impaired renal autoregulation and a decline in glomerular filtration rate through post-glomerular vasodilatation.</w:t>
      </w:r>
    </w:p>
    <w:p w14:paraId="17772202" w14:textId="08C4BA2C" w:rsidR="00B226FF" w:rsidRPr="00373D70" w:rsidRDefault="00B226FF" w:rsidP="00840F7A">
      <w:pPr>
        <w:spacing w:after="0" w:line="360" w:lineRule="auto"/>
        <w:ind w:firstLineChars="100" w:firstLine="240"/>
        <w:jc w:val="both"/>
        <w:rPr>
          <w:rFonts w:ascii="Book Antiqua" w:hAnsi="Book Antiqua" w:cs="Arial"/>
          <w:sz w:val="24"/>
          <w:szCs w:val="24"/>
        </w:rPr>
      </w:pPr>
      <w:r w:rsidRPr="00373D70">
        <w:rPr>
          <w:rFonts w:ascii="Book Antiqua" w:hAnsi="Book Antiqua" w:cs="Arial"/>
          <w:sz w:val="24"/>
          <w:szCs w:val="24"/>
        </w:rPr>
        <w:t>Our patient’s renal biopsy also demonstrated increased deposition of crystals, with predominantly oxalate crystals as well as calcium phosphate crystals. Increased absorption of oxalate from the colon occurs in fat malabsoprtion states, such as pancreatic insufficiency</w:t>
      </w:r>
      <w:r w:rsidR="002B0E0F" w:rsidRPr="00373D70">
        <w:rPr>
          <w:rFonts w:ascii="Book Antiqua" w:hAnsi="Book Antiqua" w:cs="Arial"/>
          <w:sz w:val="24"/>
          <w:szCs w:val="24"/>
          <w:vertAlign w:val="superscript"/>
        </w:rPr>
        <w:t>[</w:t>
      </w:r>
      <w:r w:rsidR="004D351F" w:rsidRPr="00373D70">
        <w:rPr>
          <w:rFonts w:ascii="Book Antiqua" w:hAnsi="Book Antiqua" w:cs="Arial"/>
          <w:sz w:val="24"/>
          <w:szCs w:val="24"/>
        </w:rPr>
        <w:fldChar w:fldCharType="begin"/>
      </w:r>
      <w:r w:rsidR="00DC0D28" w:rsidRPr="00373D70">
        <w:rPr>
          <w:rFonts w:ascii="Book Antiqua" w:hAnsi="Book Antiqua" w:cs="Arial"/>
          <w:sz w:val="24"/>
          <w:szCs w:val="24"/>
        </w:rPr>
        <w:instrText xml:space="preserve"> ADDIN REFMGR.CITE &lt;Refman&gt;&lt;Cite&gt;&lt;Author&gt;Dobbins JW&lt;/Author&gt;&lt;Year&gt;1977&lt;/Year&gt;&lt;RecNum&gt;17&lt;/RecNum&gt;&lt;IDText&gt;Importance of the colon in enteric hyperoxaluria.&lt;/IDText&gt;&lt;MDL Ref_Type="Journal"&gt;&lt;Ref_Type&gt;Journal&lt;/Ref_Type&gt;&lt;Ref_ID&gt;17&lt;/Ref_ID&gt;&lt;Title_Primary&gt;Importance of the colon in enteric hyperoxaluria.&lt;/Title_Primary&gt;&lt;Authors_Primary&gt;Dobbins JW&lt;/Authors_Primary&gt;&lt;Authors_Primary&gt;Binder HJ&lt;/Authors_Primary&gt;&lt;Date_Primary&gt;1977&lt;/Date_Primary&gt;&lt;Reprint&gt;Not in File&lt;/Reprint&gt;&lt;Start_Page&gt;298&lt;/Start_Page&gt;&lt;End_Page&gt;301&lt;/End_Page&gt;&lt;Periodical&gt;N Engl J Med&lt;/Periodical&gt;&lt;Volume&gt;296&lt;/Volume&gt;&lt;ZZ_JournalFull&gt;&lt;f name="System"&gt;N Engl J Med&lt;/f&gt;&lt;/ZZ_JournalFull&gt;&lt;ZZ_WorkformID&gt;1&lt;/ZZ_WorkformID&gt;&lt;/MDL&gt;&lt;/Cite&gt;&lt;/Refman&gt;</w:instrText>
      </w:r>
      <w:r w:rsidR="004D351F" w:rsidRPr="00373D70">
        <w:rPr>
          <w:rFonts w:ascii="Book Antiqua" w:hAnsi="Book Antiqua" w:cs="Arial"/>
          <w:sz w:val="24"/>
          <w:szCs w:val="24"/>
        </w:rPr>
        <w:fldChar w:fldCharType="separate"/>
      </w:r>
      <w:r w:rsidR="002F180B" w:rsidRPr="00373D70">
        <w:rPr>
          <w:rFonts w:ascii="Book Antiqua" w:hAnsi="Book Antiqua" w:cs="Arial"/>
          <w:noProof/>
          <w:sz w:val="24"/>
          <w:szCs w:val="24"/>
          <w:vertAlign w:val="superscript"/>
        </w:rPr>
        <w:t>24</w:t>
      </w:r>
      <w:r w:rsidR="004D351F" w:rsidRPr="00373D70">
        <w:rPr>
          <w:rFonts w:ascii="Book Antiqua" w:hAnsi="Book Antiqua" w:cs="Arial"/>
          <w:sz w:val="24"/>
          <w:szCs w:val="24"/>
        </w:rPr>
        <w:fldChar w:fldCharType="end"/>
      </w:r>
      <w:r w:rsidR="002B0E0F" w:rsidRPr="00373D70">
        <w:rPr>
          <w:rFonts w:ascii="Book Antiqua" w:hAnsi="Book Antiqua" w:cs="Arial"/>
          <w:sz w:val="24"/>
          <w:szCs w:val="24"/>
          <w:vertAlign w:val="superscript"/>
        </w:rPr>
        <w:t>]</w:t>
      </w:r>
      <w:r w:rsidR="002B0E0F" w:rsidRPr="00373D70">
        <w:rPr>
          <w:rFonts w:ascii="Book Antiqua" w:hAnsi="Book Antiqua" w:cs="Arial"/>
          <w:sz w:val="24"/>
          <w:szCs w:val="24"/>
        </w:rPr>
        <w:t>.</w:t>
      </w:r>
      <w:r w:rsidRPr="00373D70">
        <w:rPr>
          <w:rFonts w:ascii="Book Antiqua" w:hAnsi="Book Antiqua" w:cs="Arial"/>
          <w:sz w:val="24"/>
          <w:szCs w:val="24"/>
        </w:rPr>
        <w:t xml:space="preserve"> In such instances, calcium preferentially binds to free fatty acids instead of oxalate, which allows the free soluble oxalate to be absorbed through the colon. Other factors which can increase oxalate absorption include the presence of bile salts</w:t>
      </w:r>
      <w:r w:rsidR="002B0E0F" w:rsidRPr="00373D70">
        <w:rPr>
          <w:rFonts w:ascii="Book Antiqua" w:hAnsi="Book Antiqua" w:cs="Arial"/>
          <w:sz w:val="24"/>
          <w:szCs w:val="24"/>
          <w:vertAlign w:val="superscript"/>
        </w:rPr>
        <w:t>[</w:t>
      </w:r>
      <w:r w:rsidR="004D351F" w:rsidRPr="00373D70">
        <w:rPr>
          <w:rFonts w:ascii="Book Antiqua" w:hAnsi="Book Antiqua" w:cs="Arial"/>
          <w:sz w:val="24"/>
          <w:szCs w:val="24"/>
        </w:rPr>
        <w:fldChar w:fldCharType="begin"/>
      </w:r>
      <w:r w:rsidR="00DC0D28" w:rsidRPr="00373D70">
        <w:rPr>
          <w:rFonts w:ascii="Book Antiqua" w:hAnsi="Book Antiqua" w:cs="Arial"/>
          <w:sz w:val="24"/>
          <w:szCs w:val="24"/>
        </w:rPr>
        <w:instrText xml:space="preserve"> ADDIN REFMGR.CITE &lt;Refman&gt;&lt;Cite&gt;&lt;Author&gt;Wandzilak TR&lt;/Author&gt;&lt;Year&gt;1990&lt;/Year&gt;&lt;RecNum&gt;18&lt;/RecNum&gt;&lt;IDText&gt;The hyperoxaluric syndromes.&lt;/IDText&gt;&lt;MDL Ref_Type="Journal"&gt;&lt;Ref_Type&gt;Journal&lt;/Ref_Type&gt;&lt;Ref_ID&gt;18&lt;/Ref_ID&gt;&lt;Title_Primary&gt;The hyperoxaluric syndromes.&lt;/Title_Primary&gt;&lt;Authors_Primary&gt;Wandzilak TR&lt;/Authors_Primary&gt;&lt;Authors_Primary&gt;Williams HE&lt;/Authors_Primary&gt;&lt;Date_Primary&gt;1990&lt;/Date_Primary&gt;&lt;Reprint&gt;Not in File&lt;/Reprint&gt;&lt;Start_Page&gt;851&lt;/Start_Page&gt;&lt;End_Page&gt;867&lt;/End_Page&gt;&lt;Periodical&gt;Endocrinol Metab Clin North Am&lt;/Periodical&gt;&lt;Volume&gt;19&lt;/Volume&gt;&lt;ZZ_JournalFull&gt;&lt;f name="System"&gt;Endocrinol Metab Clin North Am&lt;/f&gt;&lt;/ZZ_JournalFull&gt;&lt;ZZ_WorkformID&gt;1&lt;/ZZ_WorkformID&gt;&lt;/MDL&gt;&lt;/Cite&gt;&lt;/Refman&gt;</w:instrText>
      </w:r>
      <w:r w:rsidR="004D351F" w:rsidRPr="00373D70">
        <w:rPr>
          <w:rFonts w:ascii="Book Antiqua" w:hAnsi="Book Antiqua" w:cs="Arial"/>
          <w:sz w:val="24"/>
          <w:szCs w:val="24"/>
        </w:rPr>
        <w:fldChar w:fldCharType="separate"/>
      </w:r>
      <w:r w:rsidR="002F180B" w:rsidRPr="00373D70">
        <w:rPr>
          <w:rFonts w:ascii="Book Antiqua" w:hAnsi="Book Antiqua" w:cs="Arial"/>
          <w:noProof/>
          <w:sz w:val="24"/>
          <w:szCs w:val="24"/>
          <w:vertAlign w:val="superscript"/>
        </w:rPr>
        <w:t>25</w:t>
      </w:r>
      <w:r w:rsidR="004D351F" w:rsidRPr="00373D70">
        <w:rPr>
          <w:rFonts w:ascii="Book Antiqua" w:hAnsi="Book Antiqua" w:cs="Arial"/>
          <w:sz w:val="24"/>
          <w:szCs w:val="24"/>
        </w:rPr>
        <w:fldChar w:fldCharType="end"/>
      </w:r>
      <w:r w:rsidR="002B0E0F" w:rsidRPr="00373D70">
        <w:rPr>
          <w:rFonts w:ascii="Book Antiqua" w:hAnsi="Book Antiqua" w:cs="Arial"/>
          <w:sz w:val="24"/>
          <w:szCs w:val="24"/>
          <w:vertAlign w:val="superscript"/>
        </w:rPr>
        <w:t>]</w:t>
      </w:r>
      <w:r w:rsidRPr="00373D70">
        <w:rPr>
          <w:rFonts w:ascii="Book Antiqua" w:hAnsi="Book Antiqua" w:cs="Arial"/>
          <w:sz w:val="24"/>
          <w:szCs w:val="24"/>
        </w:rPr>
        <w:t xml:space="preserve"> and the absence of bacteria such as </w:t>
      </w:r>
      <w:r w:rsidRPr="00373D70">
        <w:rPr>
          <w:rFonts w:ascii="Book Antiqua" w:hAnsi="Book Antiqua" w:cs="Arial"/>
          <w:i/>
          <w:sz w:val="24"/>
          <w:szCs w:val="24"/>
        </w:rPr>
        <w:t xml:space="preserve">Oxalobacter formigenes </w:t>
      </w:r>
      <w:r w:rsidRPr="00373D70">
        <w:rPr>
          <w:rFonts w:ascii="Book Antiqua" w:hAnsi="Book Antiqua" w:cs="Arial"/>
          <w:sz w:val="24"/>
          <w:szCs w:val="24"/>
        </w:rPr>
        <w:t xml:space="preserve">and certain strains of </w:t>
      </w:r>
      <w:r w:rsidRPr="00373D70">
        <w:rPr>
          <w:rFonts w:ascii="Book Antiqua" w:hAnsi="Book Antiqua" w:cs="Arial"/>
          <w:i/>
          <w:sz w:val="24"/>
          <w:szCs w:val="24"/>
        </w:rPr>
        <w:t xml:space="preserve">Entercoccus fecalis </w:t>
      </w:r>
      <w:r w:rsidRPr="00373D70">
        <w:rPr>
          <w:rFonts w:ascii="Book Antiqua" w:hAnsi="Book Antiqua" w:cs="Arial"/>
          <w:sz w:val="24"/>
          <w:szCs w:val="24"/>
        </w:rPr>
        <w:t>which are able to degrade oxalate</w:t>
      </w:r>
      <w:r w:rsidR="002B0E0F" w:rsidRPr="00373D70">
        <w:rPr>
          <w:rFonts w:ascii="Book Antiqua" w:hAnsi="Book Antiqua" w:cs="Arial"/>
          <w:sz w:val="24"/>
          <w:szCs w:val="24"/>
          <w:vertAlign w:val="superscript"/>
        </w:rPr>
        <w:t>[</w:t>
      </w:r>
      <w:r w:rsidR="004D351F" w:rsidRPr="00373D70">
        <w:rPr>
          <w:rFonts w:ascii="Book Antiqua" w:hAnsi="Book Antiqua" w:cs="Arial"/>
          <w:sz w:val="24"/>
          <w:szCs w:val="24"/>
        </w:rPr>
        <w:fldChar w:fldCharType="begin"/>
      </w:r>
      <w:r w:rsidR="00DC0D28" w:rsidRPr="00373D70">
        <w:rPr>
          <w:rFonts w:ascii="Book Antiqua" w:hAnsi="Book Antiqua" w:cs="Arial"/>
          <w:sz w:val="24"/>
          <w:szCs w:val="24"/>
        </w:rPr>
        <w:instrText xml:space="preserve"> ADDIN REFMGR.CITE &lt;Refman&gt;&lt;Cite&gt;&lt;Author&gt;Allison MJ&lt;/Author&gt;&lt;Year&gt;1986&lt;/Year&gt;&lt;RecNum&gt;19&lt;/RecNum&gt;&lt;IDText&gt;Oxalate degradation by gastrointestinal bacteria from humans.&lt;/IDText&gt;&lt;MDL Ref_Type="Journal"&gt;&lt;Ref_Type&gt;Journal&lt;/Ref_Type&gt;&lt;Ref_ID&gt;19&lt;/Ref_ID&gt;&lt;Title_Primary&gt;Oxalate degradation by gastrointestinal bacteria from humans.&lt;/Title_Primary&gt;&lt;Authors_Primary&gt;Allison MJ&lt;/Authors_Primary&gt;&lt;Authors_Primary&gt;Cook HM&lt;/Authors_Primary&gt;&lt;Authors_Primary&gt;Milne DB&lt;/Authors_Primary&gt;&lt;Authors_Primary&gt;Gallagher S&lt;/Authors_Primary&gt;&lt;Authors_Primary&gt;Clayman RV&lt;/Authors_Primary&gt;&lt;Date_Primary&gt;1986&lt;/Date_Primary&gt;&lt;Reprint&gt;Not in File&lt;/Reprint&gt;&lt;Start_Page&gt;455&lt;/Start_Page&gt;&lt;End_Page&gt;460&lt;/End_Page&gt;&lt;Periodical&gt;J Nutr&lt;/Periodical&gt;&lt;Volume&gt;116&lt;/Volume&gt;&lt;ZZ_JournalFull&gt;&lt;f name="System"&gt;J Nutr&lt;/f&gt;&lt;/ZZ_JournalFull&gt;&lt;ZZ_WorkformID&gt;1&lt;/ZZ_WorkformID&gt;&lt;/MDL&gt;&lt;/Cite&gt;&lt;/Refman&gt;</w:instrText>
      </w:r>
      <w:r w:rsidR="004D351F" w:rsidRPr="00373D70">
        <w:rPr>
          <w:rFonts w:ascii="Book Antiqua" w:hAnsi="Book Antiqua" w:cs="Arial"/>
          <w:sz w:val="24"/>
          <w:szCs w:val="24"/>
        </w:rPr>
        <w:fldChar w:fldCharType="separate"/>
      </w:r>
      <w:r w:rsidR="002F180B" w:rsidRPr="00373D70">
        <w:rPr>
          <w:rFonts w:ascii="Book Antiqua" w:hAnsi="Book Antiqua" w:cs="Arial"/>
          <w:noProof/>
          <w:sz w:val="24"/>
          <w:szCs w:val="24"/>
          <w:vertAlign w:val="superscript"/>
        </w:rPr>
        <w:t>26</w:t>
      </w:r>
      <w:r w:rsidR="004D351F" w:rsidRPr="00373D70">
        <w:rPr>
          <w:rFonts w:ascii="Book Antiqua" w:hAnsi="Book Antiqua" w:cs="Arial"/>
          <w:sz w:val="24"/>
          <w:szCs w:val="24"/>
        </w:rPr>
        <w:fldChar w:fldCharType="end"/>
      </w:r>
      <w:r w:rsidR="002B0E0F" w:rsidRPr="00373D70">
        <w:rPr>
          <w:rFonts w:ascii="Book Antiqua" w:hAnsi="Book Antiqua" w:cs="Arial"/>
          <w:sz w:val="24"/>
          <w:szCs w:val="24"/>
          <w:vertAlign w:val="superscript"/>
        </w:rPr>
        <w:t>]</w:t>
      </w:r>
      <w:r w:rsidR="002B0E0F" w:rsidRPr="00373D70">
        <w:rPr>
          <w:rFonts w:ascii="Book Antiqua" w:hAnsi="Book Antiqua" w:cs="Arial"/>
          <w:sz w:val="24"/>
          <w:szCs w:val="24"/>
        </w:rPr>
        <w:t>.</w:t>
      </w:r>
      <w:r w:rsidRPr="00373D70">
        <w:rPr>
          <w:rFonts w:ascii="Book Antiqua" w:hAnsi="Book Antiqua" w:cs="Arial"/>
          <w:sz w:val="24"/>
          <w:szCs w:val="24"/>
        </w:rPr>
        <w:t xml:space="preserve"> Our patient had discontinued his pancrealipase preparation at the time prucalopride was started due to side effects of abdominal pain. Given his history of Whipple’s pancreatectomy and the discontinuation of his pancreatic replacement enzymes, this fat malabsorption state may have induced hyperoxaluria. </w:t>
      </w:r>
    </w:p>
    <w:p w14:paraId="1A68DA77" w14:textId="362C94FC" w:rsidR="00B226FF" w:rsidRPr="00373D70" w:rsidRDefault="00B226FF" w:rsidP="00840F7A">
      <w:pPr>
        <w:spacing w:after="0" w:line="360" w:lineRule="auto"/>
        <w:ind w:firstLineChars="100" w:firstLine="240"/>
        <w:jc w:val="both"/>
        <w:rPr>
          <w:rFonts w:ascii="Book Antiqua" w:hAnsi="Book Antiqua" w:cs="Arial"/>
          <w:sz w:val="24"/>
          <w:szCs w:val="24"/>
        </w:rPr>
      </w:pPr>
      <w:r w:rsidRPr="00373D70">
        <w:rPr>
          <w:rFonts w:ascii="Book Antiqua" w:hAnsi="Book Antiqua" w:cs="Arial"/>
          <w:sz w:val="24"/>
          <w:szCs w:val="24"/>
        </w:rPr>
        <w:t>Oxalate nephropathy can occur from tubular obstruction caused by calcium oxalate crystals, or by direct tubular injury which results in progressive tubular atrophy and interstitial fibrosis</w:t>
      </w:r>
      <w:r w:rsidR="002B0E0F" w:rsidRPr="00373D70">
        <w:rPr>
          <w:rFonts w:ascii="Book Antiqua" w:hAnsi="Book Antiqua" w:cs="Arial"/>
          <w:sz w:val="24"/>
          <w:szCs w:val="24"/>
          <w:vertAlign w:val="superscript"/>
        </w:rPr>
        <w:t>[</w:t>
      </w:r>
      <w:r w:rsidR="004D351F" w:rsidRPr="00373D70">
        <w:rPr>
          <w:rFonts w:ascii="Book Antiqua" w:hAnsi="Book Antiqua" w:cs="Arial"/>
          <w:sz w:val="24"/>
          <w:szCs w:val="24"/>
        </w:rPr>
        <w:fldChar w:fldCharType="begin"/>
      </w:r>
      <w:r w:rsidR="00DC0D28" w:rsidRPr="00373D70">
        <w:rPr>
          <w:rFonts w:ascii="Book Antiqua" w:hAnsi="Book Antiqua" w:cs="Arial"/>
          <w:sz w:val="24"/>
          <w:szCs w:val="24"/>
        </w:rPr>
        <w:instrText xml:space="preserve"> ADDIN REFMGR.CITE &lt;Refman&gt;&lt;Cite&gt;&lt;Author&gt;Wandzilak TR&lt;/Author&gt;&lt;Year&gt;1990&lt;/Year&gt;&lt;RecNum&gt;18&lt;/RecNum&gt;&lt;IDText&gt;The hyperoxaluric syndromes.&lt;/IDText&gt;&lt;MDL Ref_Type="Journal"&gt;&lt;Ref_Type&gt;Journal&lt;/Ref_Type&gt;&lt;Ref_ID&gt;18&lt;/Ref_ID&gt;&lt;Title_Primary&gt;The hyperoxaluric syndromes.&lt;/Title_Primary&gt;&lt;Authors_Primary&gt;Wandzilak TR&lt;/Authors_Primary&gt;&lt;Authors_Primary&gt;Williams HE&lt;/Authors_Primary&gt;&lt;Date_Primary&gt;1990&lt;/Date_Primary&gt;&lt;Reprint&gt;Not in File&lt;/Reprint&gt;&lt;Start_Page&gt;851&lt;/Start_Page&gt;&lt;End_Page&gt;867&lt;/End_Page&gt;&lt;Periodical&gt;Endocrinol Metab Clin North Am&lt;/Periodical&gt;&lt;Volume&gt;19&lt;/Volume&gt;&lt;ZZ_JournalFull&gt;&lt;f name="System"&gt;Endocrinol Metab Clin North Am&lt;/f&gt;&lt;/ZZ_JournalFull&gt;&lt;ZZ_WorkformID&gt;1&lt;/ZZ_WorkformID&gt;&lt;/MDL&gt;&lt;/Cite&gt;&lt;/Refman&gt;</w:instrText>
      </w:r>
      <w:r w:rsidR="004D351F" w:rsidRPr="00373D70">
        <w:rPr>
          <w:rFonts w:ascii="Book Antiqua" w:hAnsi="Book Antiqua" w:cs="Arial"/>
          <w:sz w:val="24"/>
          <w:szCs w:val="24"/>
        </w:rPr>
        <w:fldChar w:fldCharType="separate"/>
      </w:r>
      <w:r w:rsidR="002F180B" w:rsidRPr="00373D70">
        <w:rPr>
          <w:rFonts w:ascii="Book Antiqua" w:hAnsi="Book Antiqua" w:cs="Arial"/>
          <w:noProof/>
          <w:sz w:val="24"/>
          <w:szCs w:val="24"/>
          <w:vertAlign w:val="superscript"/>
        </w:rPr>
        <w:t>25</w:t>
      </w:r>
      <w:r w:rsidR="004D351F" w:rsidRPr="00373D70">
        <w:rPr>
          <w:rFonts w:ascii="Book Antiqua" w:hAnsi="Book Antiqua" w:cs="Arial"/>
          <w:sz w:val="24"/>
          <w:szCs w:val="24"/>
        </w:rPr>
        <w:fldChar w:fldCharType="end"/>
      </w:r>
      <w:r w:rsidR="002B0E0F" w:rsidRPr="00373D70">
        <w:rPr>
          <w:rFonts w:ascii="Book Antiqua" w:hAnsi="Book Antiqua" w:cs="Arial"/>
          <w:sz w:val="24"/>
          <w:szCs w:val="24"/>
          <w:vertAlign w:val="superscript"/>
        </w:rPr>
        <w:t>]</w:t>
      </w:r>
      <w:r w:rsidR="002B0E0F" w:rsidRPr="00373D70">
        <w:rPr>
          <w:rFonts w:ascii="Book Antiqua" w:hAnsi="Book Antiqua" w:cs="Arial"/>
          <w:sz w:val="24"/>
          <w:szCs w:val="24"/>
        </w:rPr>
        <w:t>.</w:t>
      </w:r>
      <w:r w:rsidRPr="00373D70">
        <w:rPr>
          <w:rFonts w:ascii="Book Antiqua" w:hAnsi="Book Antiqua" w:cs="Arial"/>
          <w:sz w:val="24"/>
          <w:szCs w:val="24"/>
        </w:rPr>
        <w:t xml:space="preserve"> It is also common to see small numbers of oxalate crystals within tubules after acute tubular necrosis as well as in other chronic renal impairment conditions. Given the mixture of both oxalate and calcium phosphate crystals in our patient’s renal biopsy, an underlying oxalate nephropathy as the etiology of the acute kidney injury is less probable. In addition, the creatinine stabilized with cessation of prucalopride and the patient did not yet resume his pancrealipase preparation. Cases of oxalate nephropathy reported in the literature are often associated with oliguria and a marked decline in renal function requiring hemodialysis</w:t>
      </w:r>
      <w:r w:rsidR="002B0E0F" w:rsidRPr="00373D70">
        <w:rPr>
          <w:rFonts w:ascii="Book Antiqua" w:hAnsi="Book Antiqua" w:cs="Arial"/>
          <w:sz w:val="24"/>
          <w:szCs w:val="24"/>
          <w:vertAlign w:val="superscript"/>
        </w:rPr>
        <w:t>[</w:t>
      </w:r>
      <w:r w:rsidR="004D351F" w:rsidRPr="00373D70">
        <w:rPr>
          <w:rFonts w:ascii="Book Antiqua" w:hAnsi="Book Antiqua" w:cs="Arial"/>
          <w:sz w:val="24"/>
          <w:szCs w:val="24"/>
        </w:rPr>
        <w:fldChar w:fldCharType="begin"/>
      </w:r>
      <w:r w:rsidR="00DC0D28" w:rsidRPr="00373D70">
        <w:rPr>
          <w:rFonts w:ascii="Book Antiqua" w:hAnsi="Book Antiqua" w:cs="Arial"/>
          <w:sz w:val="24"/>
          <w:szCs w:val="24"/>
        </w:rPr>
        <w:instrText xml:space="preserve"> ADDIN REFMGR.CITE &lt;Refman&gt;&lt;Cite&gt;&lt;Author&gt;Hill P&lt;/Author&gt;&lt;Year&gt;2003&lt;/Year&gt;&lt;RecNum&gt;20&lt;/RecNum&gt;&lt;IDText&gt;Rapidly progressive irreversible renal failure in patients with pancreative insufficiency.&lt;/IDText&gt;&lt;MDL Ref_Type="Journal"&gt;&lt;Ref_Type&gt;Journal&lt;/Ref_Type&gt;&lt;Ref_ID&gt;20&lt;/Ref_ID&gt;&lt;Title_Primary&gt;Rapidly progressive irreversible renal failure in patients with pancreative insufficiency.&lt;/Title_Primary&gt;&lt;Authors_Primary&gt;Hill P&lt;/Authors_Primary&gt;&lt;Authors_Primary&gt;Karim M&lt;/Authors_Primary&gt;&lt;Authors_Primary&gt;Davies DR&lt;/Authors_Primary&gt;&lt;Authors_Primary&gt;Roberts ISD&lt;/Authors_Primary&gt;&lt;Authors_Primary&gt;Winearls CG&lt;/Authors_Primary&gt;&lt;Date_Primary&gt;2003&lt;/Date_Primary&gt;&lt;Reprint&gt;Not in File&lt;/Reprint&gt;&lt;Start_Page&gt;842&lt;/Start_Page&gt;&lt;End_Page&gt;845&lt;/End_Page&gt;&lt;Periodical&gt;American Journal of Kidney Diseases&lt;/Periodical&gt;&lt;Volume&gt;42&lt;/Volume&gt;&lt;Issue&gt;4&lt;/Issue&gt;&lt;ZZ_JournalFull&gt;&lt;f name="System"&gt;American Journal of Kidney Diseases&lt;/f&gt;&lt;/ZZ_JournalFull&gt;&lt;ZZ_WorkformID&gt;1&lt;/ZZ_WorkformID&gt;&lt;/MDL&gt;&lt;/Cite&gt;&lt;/Refman&gt;</w:instrText>
      </w:r>
      <w:r w:rsidR="004D351F" w:rsidRPr="00373D70">
        <w:rPr>
          <w:rFonts w:ascii="Book Antiqua" w:hAnsi="Book Antiqua" w:cs="Arial"/>
          <w:sz w:val="24"/>
          <w:szCs w:val="24"/>
        </w:rPr>
        <w:fldChar w:fldCharType="separate"/>
      </w:r>
      <w:r w:rsidR="002F180B" w:rsidRPr="00373D70">
        <w:rPr>
          <w:rFonts w:ascii="Book Antiqua" w:hAnsi="Book Antiqua" w:cs="Arial"/>
          <w:noProof/>
          <w:sz w:val="24"/>
          <w:szCs w:val="24"/>
          <w:vertAlign w:val="superscript"/>
        </w:rPr>
        <w:t>27</w:t>
      </w:r>
      <w:r w:rsidR="004D351F" w:rsidRPr="00373D70">
        <w:rPr>
          <w:rFonts w:ascii="Book Antiqua" w:hAnsi="Book Antiqua" w:cs="Arial"/>
          <w:sz w:val="24"/>
          <w:szCs w:val="24"/>
        </w:rPr>
        <w:fldChar w:fldCharType="end"/>
      </w:r>
      <w:r w:rsidR="002B0E0F" w:rsidRPr="00373D70">
        <w:rPr>
          <w:rFonts w:ascii="Book Antiqua" w:hAnsi="Book Antiqua" w:cs="Arial"/>
          <w:sz w:val="24"/>
          <w:szCs w:val="24"/>
          <w:vertAlign w:val="superscript"/>
        </w:rPr>
        <w:t>]</w:t>
      </w:r>
      <w:r w:rsidR="002B0E0F" w:rsidRPr="00373D70">
        <w:rPr>
          <w:rFonts w:ascii="Book Antiqua" w:hAnsi="Book Antiqua" w:cs="Arial"/>
          <w:sz w:val="24"/>
          <w:szCs w:val="24"/>
        </w:rPr>
        <w:t>.</w:t>
      </w:r>
      <w:r w:rsidRPr="00373D70">
        <w:rPr>
          <w:rFonts w:ascii="Book Antiqua" w:hAnsi="Book Antiqua" w:cs="Arial"/>
          <w:sz w:val="24"/>
          <w:szCs w:val="24"/>
        </w:rPr>
        <w:t xml:space="preserve"> Fortunately, our patient’s renal failure was not as severe. Follow up urinalyses have failed to demonstrate crystals of any type, further suggesting that a crystal nephropathy is not playing an important contribution to the patient’s renal failure. </w:t>
      </w:r>
      <w:r w:rsidR="009E70B5" w:rsidRPr="00373D70">
        <w:rPr>
          <w:rFonts w:ascii="Book Antiqua" w:hAnsi="Book Antiqua" w:cs="Arial"/>
          <w:sz w:val="24"/>
          <w:szCs w:val="24"/>
        </w:rPr>
        <w:t xml:space="preserve">Furthermore, high-fluid intake and low oxalate diet recommendations along with calcium carbonate supplements have not been associated with improved renal function. </w:t>
      </w:r>
    </w:p>
    <w:p w14:paraId="61FB7934" w14:textId="0316F6A6" w:rsidR="00B226FF" w:rsidRPr="00840F7A" w:rsidRDefault="00840F7A" w:rsidP="00840F7A">
      <w:pPr>
        <w:spacing w:after="0" w:line="360" w:lineRule="auto"/>
        <w:ind w:firstLineChars="100" w:firstLine="240"/>
        <w:jc w:val="both"/>
        <w:rPr>
          <w:rFonts w:ascii="Book Antiqua" w:hAnsi="Book Antiqua" w:cs="Arial"/>
          <w:b/>
          <w:sz w:val="24"/>
          <w:szCs w:val="24"/>
        </w:rPr>
      </w:pPr>
      <w:r w:rsidRPr="00840F7A">
        <w:rPr>
          <w:rFonts w:ascii="Book Antiqua" w:hAnsi="Book Antiqua" w:cs="Arial" w:hint="eastAsia"/>
          <w:sz w:val="24"/>
          <w:szCs w:val="24"/>
          <w:lang w:eastAsia="zh-CN"/>
        </w:rPr>
        <w:t>In c</w:t>
      </w:r>
      <w:r w:rsidR="00B226FF" w:rsidRPr="00840F7A">
        <w:rPr>
          <w:rFonts w:ascii="Book Antiqua" w:hAnsi="Book Antiqua" w:cs="Arial"/>
          <w:sz w:val="24"/>
          <w:szCs w:val="24"/>
        </w:rPr>
        <w:t>onclusion</w:t>
      </w:r>
      <w:r w:rsidRPr="00840F7A">
        <w:rPr>
          <w:rFonts w:ascii="Book Antiqua" w:hAnsi="Book Antiqua" w:cs="Arial" w:hint="eastAsia"/>
          <w:sz w:val="24"/>
          <w:szCs w:val="24"/>
          <w:lang w:eastAsia="zh-CN"/>
        </w:rPr>
        <w:t>, g</w:t>
      </w:r>
      <w:r w:rsidR="00B226FF" w:rsidRPr="00373D70">
        <w:rPr>
          <w:rFonts w:ascii="Book Antiqua" w:hAnsi="Book Antiqua" w:cs="Arial"/>
          <w:sz w:val="24"/>
          <w:szCs w:val="24"/>
        </w:rPr>
        <w:t xml:space="preserve">iven the lack of literature to support prucalopride and other serotonin receptor agonists as nephrotoxins, our patient’s case of acute renal failure was treated initially as allergic interstitial nephritis. However, when his renal function did not improve with discontinuation of the medication and prednisone therapy, a renal biopsy was performed to confirm the diagnosis. This case demonstrates the importance of a renal biopsy when the diagnosis is unclear or when there is lack of improvement with therapy. In addition, this case also highlights the importance of routine blood work to follow cell count, biochemistry and renal function when starting a medication which is new to both the patient and the medical community. Adverse effects which were not documented by clinical trials may still occur in our patients and reporting of such outcomes is required for ongoing drug safety and monitoring. </w:t>
      </w:r>
      <w:r w:rsidR="000A54D3" w:rsidRPr="00373D70">
        <w:rPr>
          <w:rFonts w:ascii="Book Antiqua" w:hAnsi="Book Antiqua" w:cs="Arial"/>
          <w:sz w:val="24"/>
          <w:szCs w:val="24"/>
        </w:rPr>
        <w:t xml:space="preserve">In addition, given the limited long-term data available for elderly patients, and unreliability of serum creatinine in estimating renal function, a lower 1 mg of prucalopride should be initiated in this population. </w:t>
      </w:r>
      <w:r w:rsidR="00B226FF" w:rsidRPr="00373D70">
        <w:rPr>
          <w:rFonts w:ascii="Book Antiqua" w:hAnsi="Book Antiqua" w:cs="Arial"/>
          <w:sz w:val="24"/>
          <w:szCs w:val="24"/>
        </w:rPr>
        <w:t>Without routine blood work, this case of renal failure may have been missed until the patient presented with more significant symptoms related to renal failure such as oliguria, vomiting, volume overload or uremia.</w:t>
      </w:r>
    </w:p>
    <w:p w14:paraId="07659BC2" w14:textId="77777777" w:rsidR="00B226FF" w:rsidRPr="00373D70" w:rsidRDefault="00B226FF" w:rsidP="00B95DC7">
      <w:pPr>
        <w:spacing w:after="0" w:line="360" w:lineRule="auto"/>
        <w:jc w:val="both"/>
        <w:rPr>
          <w:rFonts w:ascii="Book Antiqua" w:hAnsi="Book Antiqua" w:cs="Arial"/>
          <w:sz w:val="24"/>
          <w:szCs w:val="24"/>
        </w:rPr>
      </w:pPr>
    </w:p>
    <w:p w14:paraId="1F9B30CA" w14:textId="77777777" w:rsidR="00840F7A" w:rsidRPr="00373D70" w:rsidRDefault="00840F7A" w:rsidP="00840F7A">
      <w:pPr>
        <w:spacing w:after="0" w:line="360" w:lineRule="auto"/>
        <w:jc w:val="both"/>
        <w:rPr>
          <w:rFonts w:ascii="Book Antiqua" w:hAnsi="Book Antiqua"/>
          <w:b/>
          <w:sz w:val="24"/>
          <w:szCs w:val="24"/>
          <w:lang w:val="en-GB"/>
        </w:rPr>
      </w:pPr>
    </w:p>
    <w:p w14:paraId="100A78C4" w14:textId="77777777" w:rsidR="00840F7A" w:rsidRPr="00373D70" w:rsidRDefault="00840F7A" w:rsidP="00840F7A">
      <w:pPr>
        <w:spacing w:after="0" w:line="360" w:lineRule="auto"/>
        <w:jc w:val="both"/>
        <w:rPr>
          <w:rFonts w:ascii="Book Antiqua" w:hAnsi="Book Antiqua"/>
          <w:b/>
          <w:sz w:val="24"/>
          <w:szCs w:val="24"/>
        </w:rPr>
      </w:pPr>
      <w:r w:rsidRPr="00373D70">
        <w:rPr>
          <w:rFonts w:ascii="Book Antiqua" w:hAnsi="Book Antiqua"/>
          <w:b/>
          <w:sz w:val="24"/>
          <w:szCs w:val="24"/>
        </w:rPr>
        <w:t>COMMENTS</w:t>
      </w:r>
    </w:p>
    <w:p w14:paraId="7CC7B89D" w14:textId="77777777" w:rsidR="00840F7A" w:rsidRPr="00840F7A" w:rsidRDefault="00840F7A" w:rsidP="00840F7A">
      <w:pPr>
        <w:spacing w:after="0" w:line="360" w:lineRule="auto"/>
        <w:jc w:val="both"/>
        <w:rPr>
          <w:rFonts w:ascii="Book Antiqua" w:hAnsi="Book Antiqua" w:cs="Arial"/>
          <w:b/>
          <w:i/>
          <w:color w:val="000000"/>
          <w:sz w:val="24"/>
          <w:szCs w:val="24"/>
        </w:rPr>
      </w:pPr>
      <w:r w:rsidRPr="00840F7A">
        <w:rPr>
          <w:rFonts w:ascii="Book Antiqua" w:hAnsi="Book Antiqua" w:cs="Arial"/>
          <w:b/>
          <w:i/>
          <w:color w:val="000000"/>
          <w:sz w:val="24"/>
          <w:szCs w:val="24"/>
        </w:rPr>
        <w:t>Case characteristics</w:t>
      </w:r>
    </w:p>
    <w:p w14:paraId="15024ED5" w14:textId="1B9A50E1" w:rsidR="00840F7A" w:rsidRPr="00373D70" w:rsidRDefault="00840F7A" w:rsidP="00840F7A">
      <w:pPr>
        <w:spacing w:after="0" w:line="360" w:lineRule="auto"/>
        <w:jc w:val="both"/>
        <w:rPr>
          <w:rFonts w:ascii="Book Antiqua" w:hAnsi="Book Antiqua" w:cs="Arial"/>
          <w:sz w:val="24"/>
          <w:szCs w:val="24"/>
        </w:rPr>
      </w:pPr>
      <w:r>
        <w:rPr>
          <w:rFonts w:ascii="Book Antiqua" w:hAnsi="Book Antiqua" w:cs="Arial" w:hint="eastAsia"/>
          <w:color w:val="000000"/>
          <w:sz w:val="24"/>
          <w:szCs w:val="24"/>
          <w:lang w:eastAsia="zh-CN"/>
        </w:rPr>
        <w:t xml:space="preserve">A </w:t>
      </w:r>
      <w:r w:rsidRPr="00373D70">
        <w:rPr>
          <w:rFonts w:ascii="Book Antiqua" w:hAnsi="Book Antiqua" w:cs="Arial"/>
          <w:color w:val="000000"/>
          <w:sz w:val="24"/>
          <w:szCs w:val="24"/>
        </w:rPr>
        <w:t>75 year</w:t>
      </w:r>
      <w:r>
        <w:rPr>
          <w:rFonts w:ascii="Book Antiqua" w:hAnsi="Book Antiqua" w:cs="Arial" w:hint="eastAsia"/>
          <w:color w:val="000000"/>
          <w:sz w:val="24"/>
          <w:szCs w:val="24"/>
          <w:lang w:eastAsia="zh-CN"/>
        </w:rPr>
        <w:t>s</w:t>
      </w:r>
      <w:r w:rsidRPr="00373D70">
        <w:rPr>
          <w:rFonts w:ascii="Book Antiqua" w:hAnsi="Book Antiqua" w:cs="Arial"/>
          <w:color w:val="000000"/>
          <w:sz w:val="24"/>
          <w:szCs w:val="24"/>
        </w:rPr>
        <w:t xml:space="preserve"> old gentleman initiated on prucalopride for chronic constipation with subsequent elevation of serum creatinine from 100 </w:t>
      </w:r>
      <w:r w:rsidRPr="00373D70">
        <w:rPr>
          <w:rFonts w:ascii="Book Antiqua" w:hAnsi="Book Antiqua" w:cs="Arial"/>
          <w:sz w:val="24"/>
          <w:szCs w:val="24"/>
        </w:rPr>
        <w:t>μmol/L to 270 μmol/L within four months.</w:t>
      </w:r>
    </w:p>
    <w:p w14:paraId="0A1D809D" w14:textId="77777777" w:rsidR="00840F7A" w:rsidRDefault="00840F7A" w:rsidP="00840F7A">
      <w:pPr>
        <w:spacing w:after="0" w:line="360" w:lineRule="auto"/>
        <w:jc w:val="both"/>
        <w:rPr>
          <w:rFonts w:ascii="Book Antiqua" w:hAnsi="Book Antiqua" w:cs="Arial"/>
          <w:b/>
          <w:sz w:val="24"/>
          <w:szCs w:val="24"/>
          <w:lang w:eastAsia="zh-CN"/>
        </w:rPr>
      </w:pPr>
    </w:p>
    <w:p w14:paraId="1496F528" w14:textId="77777777" w:rsidR="00840F7A" w:rsidRPr="00840F7A" w:rsidRDefault="00840F7A" w:rsidP="00840F7A">
      <w:pPr>
        <w:spacing w:after="0" w:line="360" w:lineRule="auto"/>
        <w:jc w:val="both"/>
        <w:rPr>
          <w:rFonts w:ascii="Book Antiqua" w:hAnsi="Book Antiqua" w:cs="Arial"/>
          <w:b/>
          <w:i/>
          <w:sz w:val="24"/>
          <w:szCs w:val="24"/>
        </w:rPr>
      </w:pPr>
      <w:r w:rsidRPr="00840F7A">
        <w:rPr>
          <w:rFonts w:ascii="Book Antiqua" w:hAnsi="Book Antiqua" w:cs="Arial"/>
          <w:b/>
          <w:i/>
          <w:sz w:val="24"/>
          <w:szCs w:val="24"/>
        </w:rPr>
        <w:t>Clinical diagnosis</w:t>
      </w:r>
    </w:p>
    <w:p w14:paraId="7E47C6B6" w14:textId="77777777" w:rsidR="00840F7A" w:rsidRPr="00373D70" w:rsidRDefault="00840F7A" w:rsidP="00840F7A">
      <w:pPr>
        <w:spacing w:after="0" w:line="360" w:lineRule="auto"/>
        <w:jc w:val="both"/>
        <w:rPr>
          <w:rFonts w:ascii="Book Antiqua" w:hAnsi="Book Antiqua" w:cs="Arial"/>
          <w:color w:val="000000"/>
          <w:sz w:val="24"/>
          <w:szCs w:val="24"/>
        </w:rPr>
      </w:pPr>
      <w:r w:rsidRPr="00373D70">
        <w:rPr>
          <w:rFonts w:ascii="Book Antiqua" w:hAnsi="Book Antiqua" w:cs="Arial"/>
          <w:color w:val="000000"/>
          <w:sz w:val="24"/>
          <w:szCs w:val="24"/>
        </w:rPr>
        <w:t xml:space="preserve">He was treated with prednisone for presumed acute interstitial nephritis and a subsequent renal biopsy demonstrated acute tubular necrosis secondary to acute interstitial nephritis. </w:t>
      </w:r>
    </w:p>
    <w:p w14:paraId="28DBB558" w14:textId="77777777" w:rsidR="00840F7A" w:rsidRDefault="00840F7A" w:rsidP="00840F7A">
      <w:pPr>
        <w:spacing w:after="0" w:line="360" w:lineRule="auto"/>
        <w:jc w:val="both"/>
        <w:rPr>
          <w:rFonts w:ascii="Book Antiqua" w:hAnsi="Book Antiqua" w:cs="Arial"/>
          <w:b/>
          <w:color w:val="000000"/>
          <w:sz w:val="24"/>
          <w:szCs w:val="24"/>
          <w:lang w:eastAsia="zh-CN"/>
        </w:rPr>
      </w:pPr>
    </w:p>
    <w:p w14:paraId="229F2363" w14:textId="77777777" w:rsidR="00840F7A" w:rsidRPr="00840F7A" w:rsidRDefault="00840F7A" w:rsidP="00840F7A">
      <w:pPr>
        <w:spacing w:after="0" w:line="360" w:lineRule="auto"/>
        <w:jc w:val="both"/>
        <w:rPr>
          <w:rFonts w:ascii="Book Antiqua" w:hAnsi="Book Antiqua" w:cs="Arial"/>
          <w:b/>
          <w:i/>
          <w:color w:val="000000"/>
          <w:sz w:val="24"/>
          <w:szCs w:val="24"/>
        </w:rPr>
      </w:pPr>
      <w:r w:rsidRPr="00840F7A">
        <w:rPr>
          <w:rFonts w:ascii="Book Antiqua" w:hAnsi="Book Antiqua" w:cs="Arial"/>
          <w:b/>
          <w:i/>
          <w:color w:val="000000"/>
          <w:sz w:val="24"/>
          <w:szCs w:val="24"/>
        </w:rPr>
        <w:t>Differential diagnosis</w:t>
      </w:r>
    </w:p>
    <w:p w14:paraId="4E1D5CC3" w14:textId="77777777" w:rsidR="00840F7A" w:rsidRPr="00373D70" w:rsidRDefault="00840F7A" w:rsidP="00840F7A">
      <w:pPr>
        <w:spacing w:after="0" w:line="360" w:lineRule="auto"/>
        <w:jc w:val="both"/>
        <w:rPr>
          <w:rFonts w:ascii="Book Antiqua" w:hAnsi="Book Antiqua" w:cs="Arial"/>
          <w:color w:val="000000"/>
          <w:sz w:val="24"/>
          <w:szCs w:val="24"/>
        </w:rPr>
      </w:pPr>
      <w:r w:rsidRPr="00373D70">
        <w:rPr>
          <w:rFonts w:ascii="Book Antiqua" w:hAnsi="Book Antiqua" w:cs="Arial"/>
          <w:color w:val="000000"/>
          <w:sz w:val="24"/>
          <w:szCs w:val="24"/>
        </w:rPr>
        <w:t xml:space="preserve">Acute interstitial nephritis secondary to a drug allergic reaction, oxalate nephropathy, and acute tubular necrosis following hemodynamic insult, angiotensin II blockade or interstitial nephritis. </w:t>
      </w:r>
    </w:p>
    <w:p w14:paraId="0FC8AE30" w14:textId="77777777" w:rsidR="00840F7A" w:rsidRDefault="00840F7A" w:rsidP="00840F7A">
      <w:pPr>
        <w:spacing w:after="0" w:line="360" w:lineRule="auto"/>
        <w:jc w:val="both"/>
        <w:rPr>
          <w:rFonts w:ascii="Book Antiqua" w:hAnsi="Book Antiqua" w:cs="Arial"/>
          <w:b/>
          <w:color w:val="000000"/>
          <w:sz w:val="24"/>
          <w:szCs w:val="24"/>
          <w:lang w:eastAsia="zh-CN"/>
        </w:rPr>
      </w:pPr>
    </w:p>
    <w:p w14:paraId="577C8FD6" w14:textId="77777777" w:rsidR="00840F7A" w:rsidRPr="00840F7A" w:rsidRDefault="00840F7A" w:rsidP="00840F7A">
      <w:pPr>
        <w:spacing w:after="0" w:line="360" w:lineRule="auto"/>
        <w:jc w:val="both"/>
        <w:rPr>
          <w:rFonts w:ascii="Book Antiqua" w:hAnsi="Book Antiqua" w:cs="Arial"/>
          <w:b/>
          <w:i/>
          <w:color w:val="000000"/>
          <w:sz w:val="24"/>
          <w:szCs w:val="24"/>
        </w:rPr>
      </w:pPr>
      <w:r w:rsidRPr="00840F7A">
        <w:rPr>
          <w:rFonts w:ascii="Book Antiqua" w:hAnsi="Book Antiqua" w:cs="Arial"/>
          <w:b/>
          <w:i/>
          <w:color w:val="000000"/>
          <w:sz w:val="24"/>
          <w:szCs w:val="24"/>
        </w:rPr>
        <w:t>Laboratory diagnosis</w:t>
      </w:r>
    </w:p>
    <w:p w14:paraId="60A6ED44" w14:textId="77777777" w:rsidR="00840F7A" w:rsidRPr="00373D70" w:rsidRDefault="00840F7A" w:rsidP="00840F7A">
      <w:pPr>
        <w:spacing w:after="0" w:line="360" w:lineRule="auto"/>
        <w:jc w:val="both"/>
        <w:rPr>
          <w:rFonts w:ascii="Book Antiqua" w:hAnsi="Book Antiqua" w:cs="Arial"/>
          <w:color w:val="000000"/>
          <w:sz w:val="24"/>
          <w:szCs w:val="24"/>
        </w:rPr>
      </w:pPr>
      <w:r w:rsidRPr="00373D70">
        <w:rPr>
          <w:rFonts w:ascii="Book Antiqua" w:hAnsi="Book Antiqua" w:cs="Arial"/>
          <w:color w:val="000000"/>
          <w:sz w:val="24"/>
          <w:szCs w:val="24"/>
        </w:rPr>
        <w:t xml:space="preserve">Serum creatinine rose from a baseline of 103 </w:t>
      </w:r>
      <w:r w:rsidRPr="00373D70">
        <w:rPr>
          <w:rFonts w:ascii="Book Antiqua" w:hAnsi="Book Antiqua" w:cs="Arial"/>
          <w:sz w:val="24"/>
          <w:szCs w:val="24"/>
        </w:rPr>
        <w:t xml:space="preserve">μmol/L to a peak of 310 μmol/L and urine microscopy revealed many white cell casts. </w:t>
      </w:r>
    </w:p>
    <w:p w14:paraId="20CF2A47" w14:textId="77777777" w:rsidR="00840F7A" w:rsidRDefault="00840F7A" w:rsidP="00840F7A">
      <w:pPr>
        <w:spacing w:after="0" w:line="360" w:lineRule="auto"/>
        <w:jc w:val="both"/>
        <w:rPr>
          <w:rFonts w:ascii="Book Antiqua" w:hAnsi="Book Antiqua" w:cs="Arial"/>
          <w:b/>
          <w:color w:val="000000"/>
          <w:sz w:val="24"/>
          <w:szCs w:val="24"/>
          <w:lang w:eastAsia="zh-CN"/>
        </w:rPr>
      </w:pPr>
    </w:p>
    <w:p w14:paraId="7EE93273" w14:textId="77777777" w:rsidR="00840F7A" w:rsidRPr="00840F7A" w:rsidRDefault="00840F7A" w:rsidP="00840F7A">
      <w:pPr>
        <w:spacing w:after="0" w:line="360" w:lineRule="auto"/>
        <w:jc w:val="both"/>
        <w:rPr>
          <w:rFonts w:ascii="Book Antiqua" w:hAnsi="Book Antiqua" w:cs="Arial"/>
          <w:b/>
          <w:i/>
          <w:color w:val="000000"/>
          <w:sz w:val="24"/>
          <w:szCs w:val="24"/>
        </w:rPr>
      </w:pPr>
      <w:r w:rsidRPr="00840F7A">
        <w:rPr>
          <w:rFonts w:ascii="Book Antiqua" w:hAnsi="Book Antiqua" w:cs="Arial"/>
          <w:b/>
          <w:i/>
          <w:color w:val="000000"/>
          <w:sz w:val="24"/>
          <w:szCs w:val="24"/>
        </w:rPr>
        <w:t>Imaging diagnosis</w:t>
      </w:r>
    </w:p>
    <w:p w14:paraId="5341636E" w14:textId="77777777" w:rsidR="00840F7A" w:rsidRPr="00373D70" w:rsidRDefault="00840F7A" w:rsidP="00840F7A">
      <w:pPr>
        <w:spacing w:after="0" w:line="360" w:lineRule="auto"/>
        <w:jc w:val="both"/>
        <w:rPr>
          <w:rFonts w:ascii="Book Antiqua" w:hAnsi="Book Antiqua" w:cs="Arial"/>
          <w:color w:val="000000"/>
          <w:sz w:val="24"/>
          <w:szCs w:val="24"/>
        </w:rPr>
      </w:pPr>
      <w:r w:rsidRPr="00373D70">
        <w:rPr>
          <w:rFonts w:ascii="Book Antiqua" w:hAnsi="Book Antiqua" w:cs="Arial"/>
          <w:color w:val="000000"/>
          <w:sz w:val="24"/>
          <w:szCs w:val="24"/>
        </w:rPr>
        <w:t>Abdominal ultrasound showed no signs of obstructive uropathy, and Doppler examination was negative for renal artery stenosis.</w:t>
      </w:r>
    </w:p>
    <w:p w14:paraId="46959A2B" w14:textId="77777777" w:rsidR="00840F7A" w:rsidRDefault="00840F7A" w:rsidP="00840F7A">
      <w:pPr>
        <w:spacing w:after="0" w:line="360" w:lineRule="auto"/>
        <w:jc w:val="both"/>
        <w:rPr>
          <w:rFonts w:ascii="Book Antiqua" w:hAnsi="Book Antiqua" w:cs="Arial"/>
          <w:b/>
          <w:color w:val="000000"/>
          <w:sz w:val="24"/>
          <w:szCs w:val="24"/>
          <w:lang w:eastAsia="zh-CN"/>
        </w:rPr>
      </w:pPr>
    </w:p>
    <w:p w14:paraId="0E906455" w14:textId="77777777" w:rsidR="00840F7A" w:rsidRPr="00840F7A" w:rsidRDefault="00840F7A" w:rsidP="00840F7A">
      <w:pPr>
        <w:spacing w:after="0" w:line="360" w:lineRule="auto"/>
        <w:jc w:val="both"/>
        <w:rPr>
          <w:rFonts w:ascii="Book Antiqua" w:hAnsi="Book Antiqua" w:cs="Arial"/>
          <w:b/>
          <w:i/>
          <w:color w:val="000000"/>
          <w:sz w:val="24"/>
          <w:szCs w:val="24"/>
        </w:rPr>
      </w:pPr>
      <w:r w:rsidRPr="00840F7A">
        <w:rPr>
          <w:rFonts w:ascii="Book Antiqua" w:hAnsi="Book Antiqua" w:cs="Arial"/>
          <w:b/>
          <w:i/>
          <w:color w:val="000000"/>
          <w:sz w:val="24"/>
          <w:szCs w:val="24"/>
        </w:rPr>
        <w:t>Pathologic diagnosis</w:t>
      </w:r>
    </w:p>
    <w:p w14:paraId="5465BD89" w14:textId="77777777" w:rsidR="00840F7A" w:rsidRPr="00373D70" w:rsidRDefault="00840F7A" w:rsidP="00840F7A">
      <w:pPr>
        <w:spacing w:after="0" w:line="360" w:lineRule="auto"/>
        <w:jc w:val="both"/>
        <w:rPr>
          <w:rFonts w:ascii="Book Antiqua" w:hAnsi="Book Antiqua" w:cs="Arial"/>
          <w:color w:val="000000"/>
          <w:sz w:val="24"/>
          <w:szCs w:val="24"/>
        </w:rPr>
      </w:pPr>
      <w:r w:rsidRPr="00373D70">
        <w:rPr>
          <w:rFonts w:ascii="Book Antiqua" w:hAnsi="Book Antiqua" w:cs="Arial"/>
          <w:color w:val="000000"/>
          <w:sz w:val="24"/>
          <w:szCs w:val="24"/>
        </w:rPr>
        <w:t>A renal biopsy was performed after cessation of prucalopride and administration of prednisone revealing moderate interstitial fibrosis and tubular atrophy with deposition of oxalate and calcium phosphate crystals.</w:t>
      </w:r>
    </w:p>
    <w:p w14:paraId="74483C2F" w14:textId="77777777" w:rsidR="00840F7A" w:rsidRDefault="00840F7A" w:rsidP="00840F7A">
      <w:pPr>
        <w:spacing w:after="0" w:line="360" w:lineRule="auto"/>
        <w:jc w:val="both"/>
        <w:rPr>
          <w:rFonts w:ascii="Book Antiqua" w:hAnsi="Book Antiqua" w:cs="Arial"/>
          <w:b/>
          <w:color w:val="000000"/>
          <w:sz w:val="24"/>
          <w:szCs w:val="24"/>
          <w:lang w:eastAsia="zh-CN"/>
        </w:rPr>
      </w:pPr>
    </w:p>
    <w:p w14:paraId="5E25147F" w14:textId="77777777" w:rsidR="00840F7A" w:rsidRPr="00840F7A" w:rsidRDefault="00840F7A" w:rsidP="00840F7A">
      <w:pPr>
        <w:spacing w:after="0" w:line="360" w:lineRule="auto"/>
        <w:jc w:val="both"/>
        <w:rPr>
          <w:rFonts w:ascii="Book Antiqua" w:hAnsi="Book Antiqua" w:cs="Arial"/>
          <w:b/>
          <w:i/>
          <w:color w:val="000000"/>
          <w:sz w:val="24"/>
          <w:szCs w:val="24"/>
        </w:rPr>
      </w:pPr>
      <w:r w:rsidRPr="00840F7A">
        <w:rPr>
          <w:rFonts w:ascii="Book Antiqua" w:hAnsi="Book Antiqua" w:cs="Arial"/>
          <w:b/>
          <w:i/>
          <w:color w:val="000000"/>
          <w:sz w:val="24"/>
          <w:szCs w:val="24"/>
        </w:rPr>
        <w:t>Treatment</w:t>
      </w:r>
    </w:p>
    <w:p w14:paraId="4F904346" w14:textId="77777777" w:rsidR="00840F7A" w:rsidRPr="00373D70" w:rsidRDefault="00840F7A" w:rsidP="00840F7A">
      <w:pPr>
        <w:spacing w:after="0" w:line="360" w:lineRule="auto"/>
        <w:jc w:val="both"/>
        <w:rPr>
          <w:rFonts w:ascii="Book Antiqua" w:hAnsi="Book Antiqua" w:cs="Arial"/>
          <w:color w:val="000000"/>
          <w:sz w:val="24"/>
          <w:szCs w:val="24"/>
        </w:rPr>
      </w:pPr>
      <w:r w:rsidRPr="00373D70">
        <w:rPr>
          <w:rFonts w:ascii="Book Antiqua" w:hAnsi="Book Antiqua" w:cs="Arial"/>
          <w:color w:val="000000"/>
          <w:sz w:val="24"/>
          <w:szCs w:val="24"/>
        </w:rPr>
        <w:t>Therapy with prednisone was initiated once white cell casts were seen on urinary microscopy and prucalopride was discontinued resulting in stabilization of the serum creatinine but no further recovery of renal function.</w:t>
      </w:r>
    </w:p>
    <w:p w14:paraId="1239CBBE" w14:textId="77777777" w:rsidR="00840F7A" w:rsidRDefault="00840F7A" w:rsidP="00840F7A">
      <w:pPr>
        <w:spacing w:after="0" w:line="360" w:lineRule="auto"/>
        <w:jc w:val="both"/>
        <w:rPr>
          <w:rFonts w:ascii="Book Antiqua" w:hAnsi="Book Antiqua" w:cs="Arial"/>
          <w:b/>
          <w:color w:val="000000"/>
          <w:sz w:val="24"/>
          <w:szCs w:val="24"/>
          <w:lang w:eastAsia="zh-CN"/>
        </w:rPr>
      </w:pPr>
    </w:p>
    <w:p w14:paraId="6C71A6EC" w14:textId="77777777" w:rsidR="00840F7A" w:rsidRPr="00840F7A" w:rsidRDefault="00840F7A" w:rsidP="00840F7A">
      <w:pPr>
        <w:spacing w:after="0" w:line="360" w:lineRule="auto"/>
        <w:jc w:val="both"/>
        <w:rPr>
          <w:rFonts w:ascii="Book Antiqua" w:hAnsi="Book Antiqua" w:cs="Arial"/>
          <w:b/>
          <w:i/>
          <w:color w:val="000000"/>
          <w:sz w:val="24"/>
          <w:szCs w:val="24"/>
        </w:rPr>
      </w:pPr>
      <w:r w:rsidRPr="00840F7A">
        <w:rPr>
          <w:rFonts w:ascii="Book Antiqua" w:hAnsi="Book Antiqua" w:cs="Arial"/>
          <w:b/>
          <w:i/>
          <w:color w:val="000000"/>
          <w:sz w:val="24"/>
          <w:szCs w:val="24"/>
        </w:rPr>
        <w:t>Related reports</w:t>
      </w:r>
    </w:p>
    <w:p w14:paraId="5F1DAB69" w14:textId="77777777" w:rsidR="00840F7A" w:rsidRPr="00373D70" w:rsidRDefault="00840F7A" w:rsidP="00840F7A">
      <w:pPr>
        <w:spacing w:after="0" w:line="360" w:lineRule="auto"/>
        <w:jc w:val="both"/>
        <w:rPr>
          <w:rFonts w:ascii="Book Antiqua" w:hAnsi="Book Antiqua" w:cs="Arial"/>
          <w:color w:val="000000"/>
          <w:sz w:val="24"/>
          <w:szCs w:val="24"/>
        </w:rPr>
      </w:pPr>
      <w:r w:rsidRPr="00373D70">
        <w:rPr>
          <w:rFonts w:ascii="Book Antiqua" w:hAnsi="Book Antiqua" w:cs="Arial"/>
          <w:color w:val="000000"/>
          <w:sz w:val="24"/>
          <w:szCs w:val="24"/>
        </w:rPr>
        <w:t>This is the first case of acute renal failure reported in the literature, with no previous occurrences documented from several previous Phase II and III trials.</w:t>
      </w:r>
    </w:p>
    <w:p w14:paraId="4E49E475" w14:textId="77777777" w:rsidR="00840F7A" w:rsidRDefault="00840F7A" w:rsidP="00840F7A">
      <w:pPr>
        <w:spacing w:after="0" w:line="360" w:lineRule="auto"/>
        <w:jc w:val="both"/>
        <w:rPr>
          <w:rFonts w:ascii="Book Antiqua" w:hAnsi="Book Antiqua" w:cs="Arial"/>
          <w:b/>
          <w:color w:val="000000"/>
          <w:sz w:val="24"/>
          <w:szCs w:val="24"/>
          <w:lang w:eastAsia="zh-CN"/>
        </w:rPr>
      </w:pPr>
    </w:p>
    <w:p w14:paraId="1045C8C5" w14:textId="77777777" w:rsidR="00840F7A" w:rsidRPr="00840F7A" w:rsidRDefault="00840F7A" w:rsidP="00840F7A">
      <w:pPr>
        <w:spacing w:after="0" w:line="360" w:lineRule="auto"/>
        <w:jc w:val="both"/>
        <w:rPr>
          <w:rFonts w:ascii="Book Antiqua" w:hAnsi="Book Antiqua" w:cs="Arial"/>
          <w:b/>
          <w:i/>
          <w:color w:val="000000"/>
          <w:sz w:val="24"/>
          <w:szCs w:val="24"/>
        </w:rPr>
      </w:pPr>
      <w:r w:rsidRPr="00840F7A">
        <w:rPr>
          <w:rFonts w:ascii="Book Antiqua" w:hAnsi="Book Antiqua" w:cs="Arial"/>
          <w:b/>
          <w:i/>
          <w:color w:val="000000"/>
          <w:sz w:val="24"/>
          <w:szCs w:val="24"/>
        </w:rPr>
        <w:t>Term explanation</w:t>
      </w:r>
    </w:p>
    <w:p w14:paraId="6033D713" w14:textId="08449039" w:rsidR="00840F7A" w:rsidRPr="00373D70" w:rsidRDefault="00840F7A" w:rsidP="00840F7A">
      <w:pPr>
        <w:spacing w:after="0" w:line="360" w:lineRule="auto"/>
        <w:jc w:val="both"/>
        <w:rPr>
          <w:rFonts w:ascii="Book Antiqua" w:hAnsi="Book Antiqua" w:cs="Arial"/>
          <w:sz w:val="24"/>
          <w:szCs w:val="24"/>
        </w:rPr>
      </w:pPr>
      <w:r w:rsidRPr="00373D70">
        <w:rPr>
          <w:rFonts w:ascii="Book Antiqua" w:hAnsi="Book Antiqua" w:cs="Arial"/>
          <w:color w:val="000000"/>
          <w:sz w:val="24"/>
          <w:szCs w:val="24"/>
        </w:rPr>
        <w:t xml:space="preserve">Prucalopride is a novel </w:t>
      </w:r>
      <w:r w:rsidRPr="00373D70">
        <w:rPr>
          <w:rFonts w:ascii="Book Antiqua" w:hAnsi="Book Antiqua" w:cs="Arial"/>
          <w:sz w:val="24"/>
          <w:szCs w:val="24"/>
        </w:rPr>
        <w:t>highly selective 5 hydroxytryptamine-4 receptor agonist developed for the treatment of chronic constipation after failure of laxative therapy.</w:t>
      </w:r>
    </w:p>
    <w:p w14:paraId="03CE2B55" w14:textId="77777777" w:rsidR="00840F7A" w:rsidRDefault="00840F7A" w:rsidP="00840F7A">
      <w:pPr>
        <w:spacing w:after="0" w:line="360" w:lineRule="auto"/>
        <w:jc w:val="both"/>
        <w:rPr>
          <w:rFonts w:ascii="Book Antiqua" w:hAnsi="Book Antiqua" w:cs="Arial"/>
          <w:b/>
          <w:sz w:val="24"/>
          <w:szCs w:val="24"/>
          <w:lang w:eastAsia="zh-CN"/>
        </w:rPr>
      </w:pPr>
    </w:p>
    <w:p w14:paraId="3FCEE5DE" w14:textId="77777777" w:rsidR="00840F7A" w:rsidRPr="00840F7A" w:rsidRDefault="00840F7A" w:rsidP="00840F7A">
      <w:pPr>
        <w:spacing w:after="0" w:line="360" w:lineRule="auto"/>
        <w:jc w:val="both"/>
        <w:rPr>
          <w:rFonts w:ascii="Book Antiqua" w:hAnsi="Book Antiqua" w:cs="Arial"/>
          <w:b/>
          <w:i/>
          <w:sz w:val="24"/>
          <w:szCs w:val="24"/>
        </w:rPr>
      </w:pPr>
      <w:r w:rsidRPr="00840F7A">
        <w:rPr>
          <w:rFonts w:ascii="Book Antiqua" w:hAnsi="Book Antiqua" w:cs="Arial"/>
          <w:b/>
          <w:i/>
          <w:sz w:val="24"/>
          <w:szCs w:val="24"/>
        </w:rPr>
        <w:t>Experiences and lessons</w:t>
      </w:r>
    </w:p>
    <w:p w14:paraId="7F555A0C" w14:textId="77777777" w:rsidR="00840F7A" w:rsidRPr="00373D70" w:rsidRDefault="00840F7A" w:rsidP="00840F7A">
      <w:pPr>
        <w:tabs>
          <w:tab w:val="left" w:pos="1276"/>
        </w:tabs>
        <w:spacing w:after="0" w:line="360" w:lineRule="auto"/>
        <w:jc w:val="both"/>
        <w:rPr>
          <w:rFonts w:ascii="Book Antiqua" w:hAnsi="Book Antiqua" w:cs="Arial"/>
          <w:sz w:val="24"/>
          <w:szCs w:val="24"/>
        </w:rPr>
      </w:pPr>
      <w:r w:rsidRPr="00373D70">
        <w:rPr>
          <w:rFonts w:ascii="Book Antiqua" w:hAnsi="Book Antiqua" w:cs="Arial"/>
          <w:sz w:val="24"/>
          <w:szCs w:val="24"/>
        </w:rPr>
        <w:t xml:space="preserve">This case highlights the need for monitoring of routine blood work with cell count, biochemistry and renal function when using medications new to both the patient and the medical community as previously undocumented adverse events may develop. </w:t>
      </w:r>
    </w:p>
    <w:p w14:paraId="176112A7" w14:textId="77777777" w:rsidR="00840F7A" w:rsidRDefault="00840F7A" w:rsidP="00840F7A">
      <w:pPr>
        <w:spacing w:after="0" w:line="360" w:lineRule="auto"/>
        <w:jc w:val="both"/>
        <w:rPr>
          <w:rFonts w:ascii="Book Antiqua" w:hAnsi="Book Antiqua" w:cs="Arial"/>
          <w:b/>
          <w:sz w:val="24"/>
          <w:szCs w:val="24"/>
          <w:lang w:eastAsia="zh-CN"/>
        </w:rPr>
      </w:pPr>
    </w:p>
    <w:p w14:paraId="086C8DDA" w14:textId="77777777" w:rsidR="00840F7A" w:rsidRPr="00840F7A" w:rsidRDefault="00840F7A" w:rsidP="00840F7A">
      <w:pPr>
        <w:spacing w:after="0" w:line="360" w:lineRule="auto"/>
        <w:jc w:val="both"/>
        <w:rPr>
          <w:rFonts w:ascii="Book Antiqua" w:hAnsi="Book Antiqua" w:cs="Arial"/>
          <w:b/>
          <w:i/>
          <w:sz w:val="24"/>
          <w:szCs w:val="24"/>
        </w:rPr>
      </w:pPr>
      <w:r w:rsidRPr="00840F7A">
        <w:rPr>
          <w:rFonts w:ascii="Book Antiqua" w:hAnsi="Book Antiqua" w:cs="Arial"/>
          <w:b/>
          <w:i/>
          <w:sz w:val="24"/>
          <w:szCs w:val="24"/>
        </w:rPr>
        <w:t>Peer review</w:t>
      </w:r>
    </w:p>
    <w:p w14:paraId="2A037D81" w14:textId="11B8AEFD" w:rsidR="00840F7A" w:rsidRPr="00373D70" w:rsidRDefault="00840F7A" w:rsidP="00840F7A">
      <w:pPr>
        <w:spacing w:after="0" w:line="360" w:lineRule="auto"/>
        <w:jc w:val="both"/>
        <w:rPr>
          <w:rFonts w:ascii="Book Antiqua" w:hAnsi="Book Antiqua"/>
          <w:sz w:val="24"/>
          <w:szCs w:val="24"/>
        </w:rPr>
      </w:pPr>
      <w:r w:rsidRPr="00840F7A">
        <w:rPr>
          <w:rFonts w:ascii="Book Antiqua" w:hAnsi="Book Antiqua" w:cs="Arial"/>
          <w:sz w:val="24"/>
          <w:szCs w:val="24"/>
        </w:rPr>
        <w:t>This is an important case report in regard to clinical use of prucalopride.</w:t>
      </w:r>
    </w:p>
    <w:p w14:paraId="6015091D" w14:textId="77777777" w:rsidR="0068228D" w:rsidRPr="009B15AC" w:rsidRDefault="0068228D" w:rsidP="009B15AC">
      <w:pPr>
        <w:spacing w:after="0" w:line="360" w:lineRule="auto"/>
        <w:jc w:val="both"/>
        <w:rPr>
          <w:rFonts w:ascii="Book Antiqua" w:hAnsi="Book Antiqua" w:cs="Arial"/>
          <w:sz w:val="24"/>
          <w:szCs w:val="24"/>
        </w:rPr>
      </w:pPr>
    </w:p>
    <w:p w14:paraId="5DCAC790" w14:textId="003A729B" w:rsidR="000A54D3" w:rsidRPr="009B15AC" w:rsidRDefault="009B15AC" w:rsidP="009B15AC">
      <w:pPr>
        <w:spacing w:after="0" w:line="360" w:lineRule="auto"/>
        <w:jc w:val="both"/>
        <w:rPr>
          <w:rFonts w:ascii="Book Antiqua" w:hAnsi="Book Antiqua" w:cs="Arial"/>
          <w:sz w:val="24"/>
          <w:szCs w:val="24"/>
        </w:rPr>
      </w:pPr>
      <w:r w:rsidRPr="009B15AC">
        <w:rPr>
          <w:rFonts w:ascii="Book Antiqua" w:hAnsi="Book Antiqua"/>
          <w:b/>
          <w:sz w:val="24"/>
          <w:szCs w:val="24"/>
        </w:rPr>
        <w:t>REFERENCES</w:t>
      </w:r>
    </w:p>
    <w:p w14:paraId="20AA6AF1" w14:textId="77777777" w:rsidR="009B15AC" w:rsidRPr="009B15AC" w:rsidRDefault="009B15AC" w:rsidP="009B15AC">
      <w:pPr>
        <w:spacing w:after="0" w:line="360" w:lineRule="auto"/>
        <w:jc w:val="both"/>
        <w:rPr>
          <w:rFonts w:ascii="Book Antiqua" w:hAnsi="Book Antiqua"/>
          <w:color w:val="000000"/>
          <w:sz w:val="24"/>
          <w:szCs w:val="24"/>
        </w:rPr>
      </w:pPr>
      <w:r w:rsidRPr="009B15AC">
        <w:rPr>
          <w:rFonts w:ascii="Book Antiqua" w:hAnsi="Book Antiqua"/>
          <w:color w:val="000000"/>
          <w:sz w:val="24"/>
          <w:szCs w:val="24"/>
        </w:rPr>
        <w:t>1</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Suares NC</w:t>
      </w:r>
      <w:r w:rsidRPr="009B15AC">
        <w:rPr>
          <w:rFonts w:ascii="Book Antiqua" w:hAnsi="Book Antiqua"/>
          <w:color w:val="000000"/>
          <w:sz w:val="24"/>
          <w:szCs w:val="24"/>
        </w:rPr>
        <w:t>, Ford AC. Prevalence of, and risk factors for, chronic idiopathic constipation in the community: systematic review and meta-analysis.</w:t>
      </w:r>
      <w:r w:rsidRPr="009B15AC">
        <w:rPr>
          <w:rStyle w:val="apple-converted-space"/>
          <w:rFonts w:ascii="Book Antiqua" w:hAnsi="Book Antiqua"/>
          <w:color w:val="000000"/>
          <w:sz w:val="24"/>
          <w:szCs w:val="24"/>
        </w:rPr>
        <w:t> </w:t>
      </w:r>
      <w:r w:rsidRPr="009B15AC">
        <w:rPr>
          <w:rFonts w:ascii="Book Antiqua" w:hAnsi="Book Antiqua"/>
          <w:i/>
          <w:iCs/>
          <w:color w:val="000000"/>
          <w:sz w:val="24"/>
          <w:szCs w:val="24"/>
        </w:rPr>
        <w:t>Am J Gastroenterol</w:t>
      </w:r>
      <w:r w:rsidRPr="009B15AC">
        <w:rPr>
          <w:rStyle w:val="apple-converted-space"/>
          <w:rFonts w:ascii="Book Antiqua" w:hAnsi="Book Antiqua"/>
          <w:color w:val="000000"/>
          <w:sz w:val="24"/>
          <w:szCs w:val="24"/>
        </w:rPr>
        <w:t> </w:t>
      </w:r>
      <w:r w:rsidRPr="009B15AC">
        <w:rPr>
          <w:rFonts w:ascii="Book Antiqua" w:hAnsi="Book Antiqua"/>
          <w:color w:val="000000"/>
          <w:sz w:val="24"/>
          <w:szCs w:val="24"/>
        </w:rPr>
        <w:t>2011;</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106</w:t>
      </w:r>
      <w:r w:rsidRPr="009B15AC">
        <w:rPr>
          <w:rFonts w:ascii="Book Antiqua" w:hAnsi="Book Antiqua"/>
          <w:color w:val="000000"/>
          <w:sz w:val="24"/>
          <w:szCs w:val="24"/>
        </w:rPr>
        <w:t>: 1582-191; quiz 1581, 1592 [PMID: 21606976 DOI: 10.1038/ajg.2011.164]</w:t>
      </w:r>
    </w:p>
    <w:p w14:paraId="44D55E87" w14:textId="77777777" w:rsidR="009B15AC" w:rsidRPr="009B15AC" w:rsidRDefault="009B15AC" w:rsidP="009B15AC">
      <w:pPr>
        <w:spacing w:after="0" w:line="360" w:lineRule="auto"/>
        <w:jc w:val="both"/>
        <w:rPr>
          <w:rFonts w:ascii="Book Antiqua" w:hAnsi="Book Antiqua"/>
          <w:color w:val="000000"/>
          <w:sz w:val="24"/>
          <w:szCs w:val="24"/>
        </w:rPr>
      </w:pPr>
      <w:r w:rsidRPr="009B15AC">
        <w:rPr>
          <w:rFonts w:ascii="Book Antiqua" w:hAnsi="Book Antiqua"/>
          <w:color w:val="000000"/>
          <w:sz w:val="24"/>
          <w:szCs w:val="24"/>
        </w:rPr>
        <w:t>2</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Lembo A</w:t>
      </w:r>
      <w:r w:rsidRPr="009B15AC">
        <w:rPr>
          <w:rFonts w:ascii="Book Antiqua" w:hAnsi="Book Antiqua"/>
          <w:color w:val="000000"/>
          <w:sz w:val="24"/>
          <w:szCs w:val="24"/>
        </w:rPr>
        <w:t>, Camilleri M. Chronic constipation.</w:t>
      </w:r>
      <w:r w:rsidRPr="009B15AC">
        <w:rPr>
          <w:rStyle w:val="apple-converted-space"/>
          <w:rFonts w:ascii="Book Antiqua" w:hAnsi="Book Antiqua"/>
          <w:color w:val="000000"/>
          <w:sz w:val="24"/>
          <w:szCs w:val="24"/>
        </w:rPr>
        <w:t> </w:t>
      </w:r>
      <w:r w:rsidRPr="009B15AC">
        <w:rPr>
          <w:rFonts w:ascii="Book Antiqua" w:hAnsi="Book Antiqua"/>
          <w:i/>
          <w:iCs/>
          <w:color w:val="000000"/>
          <w:sz w:val="24"/>
          <w:szCs w:val="24"/>
        </w:rPr>
        <w:t>N Engl J Med</w:t>
      </w:r>
      <w:r w:rsidRPr="009B15AC">
        <w:rPr>
          <w:rStyle w:val="apple-converted-space"/>
          <w:rFonts w:ascii="Book Antiqua" w:hAnsi="Book Antiqua"/>
          <w:color w:val="000000"/>
          <w:sz w:val="24"/>
          <w:szCs w:val="24"/>
        </w:rPr>
        <w:t> </w:t>
      </w:r>
      <w:r w:rsidRPr="009B15AC">
        <w:rPr>
          <w:rFonts w:ascii="Book Antiqua" w:hAnsi="Book Antiqua"/>
          <w:color w:val="000000"/>
          <w:sz w:val="24"/>
          <w:szCs w:val="24"/>
        </w:rPr>
        <w:t>2003;</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349</w:t>
      </w:r>
      <w:r w:rsidRPr="009B15AC">
        <w:rPr>
          <w:rFonts w:ascii="Book Antiqua" w:hAnsi="Book Antiqua"/>
          <w:color w:val="000000"/>
          <w:sz w:val="24"/>
          <w:szCs w:val="24"/>
        </w:rPr>
        <w:t>: 1360-1368 [PMID: 14523145 DOI: 10.1056/NEJMra020995]</w:t>
      </w:r>
    </w:p>
    <w:p w14:paraId="4898415D" w14:textId="77777777" w:rsidR="009B15AC" w:rsidRPr="009B15AC" w:rsidRDefault="009B15AC" w:rsidP="009B15AC">
      <w:pPr>
        <w:spacing w:after="0" w:line="360" w:lineRule="auto"/>
        <w:jc w:val="both"/>
        <w:rPr>
          <w:rFonts w:ascii="Book Antiqua" w:hAnsi="Book Antiqua"/>
          <w:color w:val="000000"/>
          <w:sz w:val="24"/>
          <w:szCs w:val="24"/>
        </w:rPr>
      </w:pPr>
      <w:r w:rsidRPr="009B15AC">
        <w:rPr>
          <w:rFonts w:ascii="Book Antiqua" w:hAnsi="Book Antiqua"/>
          <w:color w:val="000000"/>
          <w:sz w:val="24"/>
          <w:szCs w:val="24"/>
        </w:rPr>
        <w:t>3</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Sun SX</w:t>
      </w:r>
      <w:r w:rsidRPr="009B15AC">
        <w:rPr>
          <w:rFonts w:ascii="Book Antiqua" w:hAnsi="Book Antiqua"/>
          <w:color w:val="000000"/>
          <w:sz w:val="24"/>
          <w:szCs w:val="24"/>
        </w:rPr>
        <w:t>, Dibonaventura M, Purayidathil FW, Wagner JS, Dabbous O, Mody R. Impact of chronic constipation on health-related quality of life, work productivity, and healthcare resource use: an analysis of the National Health and Wellness Survey.</w:t>
      </w:r>
      <w:r w:rsidRPr="009B15AC">
        <w:rPr>
          <w:rStyle w:val="apple-converted-space"/>
          <w:rFonts w:ascii="Book Antiqua" w:hAnsi="Book Antiqua"/>
          <w:color w:val="000000"/>
          <w:sz w:val="24"/>
          <w:szCs w:val="24"/>
        </w:rPr>
        <w:t> </w:t>
      </w:r>
      <w:r w:rsidRPr="009B15AC">
        <w:rPr>
          <w:rFonts w:ascii="Book Antiqua" w:hAnsi="Book Antiqua"/>
          <w:i/>
          <w:iCs/>
          <w:color w:val="000000"/>
          <w:sz w:val="24"/>
          <w:szCs w:val="24"/>
        </w:rPr>
        <w:t>Dig Dis Sci</w:t>
      </w:r>
      <w:r w:rsidRPr="009B15AC">
        <w:rPr>
          <w:rStyle w:val="apple-converted-space"/>
          <w:rFonts w:ascii="Book Antiqua" w:hAnsi="Book Antiqua"/>
          <w:color w:val="000000"/>
          <w:sz w:val="24"/>
          <w:szCs w:val="24"/>
        </w:rPr>
        <w:t> </w:t>
      </w:r>
      <w:r w:rsidRPr="009B15AC">
        <w:rPr>
          <w:rFonts w:ascii="Book Antiqua" w:hAnsi="Book Antiqua"/>
          <w:color w:val="000000"/>
          <w:sz w:val="24"/>
          <w:szCs w:val="24"/>
        </w:rPr>
        <w:t>2011;</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56</w:t>
      </w:r>
      <w:r w:rsidRPr="009B15AC">
        <w:rPr>
          <w:rFonts w:ascii="Book Antiqua" w:hAnsi="Book Antiqua"/>
          <w:color w:val="000000"/>
          <w:sz w:val="24"/>
          <w:szCs w:val="24"/>
        </w:rPr>
        <w:t>: 2688-2695 [PMID: 21380761 DOI: 10.1007/s10620-011-1639-5]</w:t>
      </w:r>
    </w:p>
    <w:p w14:paraId="141066A1" w14:textId="77777777" w:rsidR="009B15AC" w:rsidRPr="009B15AC" w:rsidRDefault="009B15AC" w:rsidP="009B15AC">
      <w:pPr>
        <w:spacing w:after="0" w:line="360" w:lineRule="auto"/>
        <w:jc w:val="both"/>
        <w:rPr>
          <w:rFonts w:ascii="Book Antiqua" w:hAnsi="Book Antiqua"/>
          <w:color w:val="000000"/>
          <w:sz w:val="24"/>
          <w:szCs w:val="24"/>
        </w:rPr>
      </w:pPr>
      <w:r w:rsidRPr="009B15AC">
        <w:rPr>
          <w:rFonts w:ascii="Book Antiqua" w:hAnsi="Book Antiqua"/>
          <w:color w:val="000000"/>
          <w:sz w:val="24"/>
          <w:szCs w:val="24"/>
        </w:rPr>
        <w:t>4</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Tack J</w:t>
      </w:r>
      <w:r w:rsidRPr="009B15AC">
        <w:rPr>
          <w:rFonts w:ascii="Book Antiqua" w:hAnsi="Book Antiqua"/>
          <w:color w:val="000000"/>
          <w:sz w:val="24"/>
          <w:szCs w:val="24"/>
        </w:rPr>
        <w:t>, Müller-Lissner S. Treatment of chronic constipation: current pharmacologic approaches and future directions.</w:t>
      </w:r>
      <w:r w:rsidRPr="009B15AC">
        <w:rPr>
          <w:rStyle w:val="apple-converted-space"/>
          <w:rFonts w:ascii="Book Antiqua" w:hAnsi="Book Antiqua"/>
          <w:color w:val="000000"/>
          <w:sz w:val="24"/>
          <w:szCs w:val="24"/>
        </w:rPr>
        <w:t> </w:t>
      </w:r>
      <w:r w:rsidRPr="009B15AC">
        <w:rPr>
          <w:rFonts w:ascii="Book Antiqua" w:hAnsi="Book Antiqua"/>
          <w:i/>
          <w:iCs/>
          <w:color w:val="000000"/>
          <w:sz w:val="24"/>
          <w:szCs w:val="24"/>
        </w:rPr>
        <w:t>Clin Gastroenterol Hepatol</w:t>
      </w:r>
      <w:r w:rsidRPr="009B15AC">
        <w:rPr>
          <w:rStyle w:val="apple-converted-space"/>
          <w:rFonts w:ascii="Book Antiqua" w:hAnsi="Book Antiqua"/>
          <w:color w:val="000000"/>
          <w:sz w:val="24"/>
          <w:szCs w:val="24"/>
        </w:rPr>
        <w:t> </w:t>
      </w:r>
      <w:r w:rsidRPr="009B15AC">
        <w:rPr>
          <w:rFonts w:ascii="Book Antiqua" w:hAnsi="Book Antiqua"/>
          <w:color w:val="000000"/>
          <w:sz w:val="24"/>
          <w:szCs w:val="24"/>
        </w:rPr>
        <w:t>2009;</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7</w:t>
      </w:r>
      <w:r w:rsidRPr="009B15AC">
        <w:rPr>
          <w:rFonts w:ascii="Book Antiqua" w:hAnsi="Book Antiqua"/>
          <w:color w:val="000000"/>
          <w:sz w:val="24"/>
          <w:szCs w:val="24"/>
        </w:rPr>
        <w:t>: 502-58; quiz 496 [PMID: 19138759 DOI: 10.1016/j.cgh.2008.12.006]</w:t>
      </w:r>
    </w:p>
    <w:p w14:paraId="543DD9CC" w14:textId="2C633D26" w:rsidR="009B15AC" w:rsidRPr="009B15AC" w:rsidRDefault="009B15AC" w:rsidP="009B15AC">
      <w:pPr>
        <w:spacing w:after="0" w:line="360" w:lineRule="auto"/>
        <w:jc w:val="both"/>
        <w:rPr>
          <w:rFonts w:ascii="Book Antiqua" w:hAnsi="Book Antiqua"/>
          <w:color w:val="000000"/>
          <w:sz w:val="24"/>
          <w:szCs w:val="24"/>
        </w:rPr>
      </w:pPr>
      <w:r w:rsidRPr="009B15AC">
        <w:rPr>
          <w:rFonts w:ascii="Book Antiqua" w:hAnsi="Book Antiqua"/>
          <w:color w:val="000000"/>
          <w:sz w:val="24"/>
          <w:szCs w:val="24"/>
        </w:rPr>
        <w:t xml:space="preserve">5 </w:t>
      </w:r>
      <w:r w:rsidRPr="00DC324D">
        <w:rPr>
          <w:rFonts w:ascii="Book Antiqua" w:hAnsi="Book Antiqua"/>
          <w:b/>
          <w:color w:val="000000"/>
          <w:sz w:val="24"/>
          <w:szCs w:val="24"/>
        </w:rPr>
        <w:t xml:space="preserve">American College of Gastroenterology </w:t>
      </w:r>
      <w:r w:rsidRPr="009B15AC">
        <w:rPr>
          <w:rFonts w:ascii="Book Antiqua" w:hAnsi="Book Antiqua"/>
          <w:b/>
          <w:color w:val="000000"/>
          <w:sz w:val="24"/>
          <w:szCs w:val="24"/>
        </w:rPr>
        <w:t xml:space="preserve">Chronic Constipation Task Force. </w:t>
      </w:r>
      <w:r w:rsidRPr="009B15AC">
        <w:rPr>
          <w:rFonts w:ascii="Book Antiqua" w:hAnsi="Book Antiqua"/>
          <w:color w:val="000000"/>
          <w:sz w:val="24"/>
          <w:szCs w:val="24"/>
        </w:rPr>
        <w:t>An evidence-based approach to the management of chronic constipation in North America.</w:t>
      </w:r>
      <w:r w:rsidRPr="009B15AC">
        <w:rPr>
          <w:rStyle w:val="apple-converted-space"/>
          <w:rFonts w:ascii="Book Antiqua" w:hAnsi="Book Antiqua"/>
          <w:color w:val="000000"/>
          <w:sz w:val="24"/>
          <w:szCs w:val="24"/>
        </w:rPr>
        <w:t> </w:t>
      </w:r>
      <w:r w:rsidRPr="009B15AC">
        <w:rPr>
          <w:rFonts w:ascii="Book Antiqua" w:hAnsi="Book Antiqua"/>
          <w:i/>
          <w:iCs/>
          <w:color w:val="000000"/>
          <w:sz w:val="24"/>
          <w:szCs w:val="24"/>
        </w:rPr>
        <w:t>Am J Gastroenterol</w:t>
      </w:r>
      <w:r w:rsidRPr="009B15AC">
        <w:rPr>
          <w:rStyle w:val="apple-converted-space"/>
          <w:rFonts w:ascii="Book Antiqua" w:hAnsi="Book Antiqua"/>
          <w:color w:val="000000"/>
          <w:sz w:val="24"/>
          <w:szCs w:val="24"/>
        </w:rPr>
        <w:t> </w:t>
      </w:r>
      <w:r w:rsidRPr="009B15AC">
        <w:rPr>
          <w:rFonts w:ascii="Book Antiqua" w:hAnsi="Book Antiqua"/>
          <w:color w:val="000000"/>
          <w:sz w:val="24"/>
          <w:szCs w:val="24"/>
        </w:rPr>
        <w:t>2005;</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100 Suppl 1</w:t>
      </w:r>
      <w:r w:rsidRPr="009B15AC">
        <w:rPr>
          <w:rFonts w:ascii="Book Antiqua" w:hAnsi="Book Antiqua"/>
          <w:color w:val="000000"/>
          <w:sz w:val="24"/>
          <w:szCs w:val="24"/>
        </w:rPr>
        <w:t>: S1-S4 [PMID: 16008640 DOI: 10.1111/j.1572-0241.2005.50613_1.x]</w:t>
      </w:r>
    </w:p>
    <w:p w14:paraId="63D9407F" w14:textId="77777777" w:rsidR="009B15AC" w:rsidRPr="009B15AC" w:rsidRDefault="009B15AC" w:rsidP="009B15AC">
      <w:pPr>
        <w:spacing w:after="0" w:line="360" w:lineRule="auto"/>
        <w:jc w:val="both"/>
        <w:rPr>
          <w:rFonts w:ascii="Book Antiqua" w:hAnsi="Book Antiqua"/>
          <w:color w:val="000000"/>
          <w:sz w:val="24"/>
          <w:szCs w:val="24"/>
        </w:rPr>
      </w:pPr>
      <w:r w:rsidRPr="009B15AC">
        <w:rPr>
          <w:rFonts w:ascii="Book Antiqua" w:hAnsi="Book Antiqua"/>
          <w:color w:val="000000"/>
          <w:sz w:val="24"/>
          <w:szCs w:val="24"/>
        </w:rPr>
        <w:t>6</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Gardner VY</w:t>
      </w:r>
      <w:r w:rsidRPr="009B15AC">
        <w:rPr>
          <w:rFonts w:ascii="Book Antiqua" w:hAnsi="Book Antiqua"/>
          <w:color w:val="000000"/>
          <w:sz w:val="24"/>
          <w:szCs w:val="24"/>
        </w:rPr>
        <w:t>, Beckwith JV, Heyneman CA. Cisapride for the treatment of chronic idiopathic constipation.</w:t>
      </w:r>
      <w:r w:rsidRPr="009B15AC">
        <w:rPr>
          <w:rStyle w:val="apple-converted-space"/>
          <w:rFonts w:ascii="Book Antiqua" w:hAnsi="Book Antiqua"/>
          <w:color w:val="000000"/>
          <w:sz w:val="24"/>
          <w:szCs w:val="24"/>
        </w:rPr>
        <w:t> </w:t>
      </w:r>
      <w:r w:rsidRPr="009B15AC">
        <w:rPr>
          <w:rFonts w:ascii="Book Antiqua" w:hAnsi="Book Antiqua"/>
          <w:i/>
          <w:iCs/>
          <w:color w:val="000000"/>
          <w:sz w:val="24"/>
          <w:szCs w:val="24"/>
        </w:rPr>
        <w:t>Ann Pharmacother</w:t>
      </w:r>
      <w:r w:rsidRPr="009B15AC">
        <w:rPr>
          <w:rStyle w:val="apple-converted-space"/>
          <w:rFonts w:ascii="Book Antiqua" w:hAnsi="Book Antiqua"/>
          <w:color w:val="000000"/>
          <w:sz w:val="24"/>
          <w:szCs w:val="24"/>
        </w:rPr>
        <w:t> </w:t>
      </w:r>
      <w:r w:rsidRPr="009B15AC">
        <w:rPr>
          <w:rFonts w:ascii="Book Antiqua" w:hAnsi="Book Antiqua"/>
          <w:color w:val="000000"/>
          <w:sz w:val="24"/>
          <w:szCs w:val="24"/>
        </w:rPr>
        <w:t>1995;</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29</w:t>
      </w:r>
      <w:r w:rsidRPr="009B15AC">
        <w:rPr>
          <w:rFonts w:ascii="Book Antiqua" w:hAnsi="Book Antiqua"/>
          <w:color w:val="000000"/>
          <w:sz w:val="24"/>
          <w:szCs w:val="24"/>
        </w:rPr>
        <w:t>: 1161-1163 [PMID: 8573964]</w:t>
      </w:r>
    </w:p>
    <w:p w14:paraId="208C3CBA" w14:textId="77777777" w:rsidR="009B15AC" w:rsidRPr="009B15AC" w:rsidRDefault="009B15AC" w:rsidP="009B15AC">
      <w:pPr>
        <w:spacing w:after="0" w:line="360" w:lineRule="auto"/>
        <w:jc w:val="both"/>
        <w:rPr>
          <w:rFonts w:ascii="Book Antiqua" w:hAnsi="Book Antiqua"/>
          <w:color w:val="000000"/>
          <w:sz w:val="24"/>
          <w:szCs w:val="24"/>
        </w:rPr>
      </w:pPr>
      <w:r w:rsidRPr="009B15AC">
        <w:rPr>
          <w:rFonts w:ascii="Book Antiqua" w:hAnsi="Book Antiqua"/>
          <w:color w:val="000000"/>
          <w:sz w:val="24"/>
          <w:szCs w:val="24"/>
        </w:rPr>
        <w:t>7</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Kamm MA</w:t>
      </w:r>
      <w:r w:rsidRPr="009B15AC">
        <w:rPr>
          <w:rFonts w:ascii="Book Antiqua" w:hAnsi="Book Antiqua"/>
          <w:color w:val="000000"/>
          <w:sz w:val="24"/>
          <w:szCs w:val="24"/>
        </w:rPr>
        <w:t>, Müller-Lissner S, Talley NJ, Tack J, Boeckxstaens G, Minushkin ON, Kalinin A, Dzieniszewski J, Haeck P, Fordham F, Hugot-Cournez S, Nault B. Tegaserod for the treatment of chronic constipation: a randomized, double-blind, placebo-controlled multinational study.</w:t>
      </w:r>
      <w:r w:rsidRPr="009B15AC">
        <w:rPr>
          <w:rStyle w:val="apple-converted-space"/>
          <w:rFonts w:ascii="Book Antiqua" w:hAnsi="Book Antiqua"/>
          <w:color w:val="000000"/>
          <w:sz w:val="24"/>
          <w:szCs w:val="24"/>
        </w:rPr>
        <w:t> </w:t>
      </w:r>
      <w:r w:rsidRPr="009B15AC">
        <w:rPr>
          <w:rFonts w:ascii="Book Antiqua" w:hAnsi="Book Antiqua"/>
          <w:i/>
          <w:iCs/>
          <w:color w:val="000000"/>
          <w:sz w:val="24"/>
          <w:szCs w:val="24"/>
        </w:rPr>
        <w:t>Am J Gastroenterol</w:t>
      </w:r>
      <w:r w:rsidRPr="009B15AC">
        <w:rPr>
          <w:rStyle w:val="apple-converted-space"/>
          <w:rFonts w:ascii="Book Antiqua" w:hAnsi="Book Antiqua"/>
          <w:color w:val="000000"/>
          <w:sz w:val="24"/>
          <w:szCs w:val="24"/>
        </w:rPr>
        <w:t> </w:t>
      </w:r>
      <w:r w:rsidRPr="009B15AC">
        <w:rPr>
          <w:rFonts w:ascii="Book Antiqua" w:hAnsi="Book Antiqua"/>
          <w:color w:val="000000"/>
          <w:sz w:val="24"/>
          <w:szCs w:val="24"/>
        </w:rPr>
        <w:t>2005;</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100</w:t>
      </w:r>
      <w:r w:rsidRPr="009B15AC">
        <w:rPr>
          <w:rFonts w:ascii="Book Antiqua" w:hAnsi="Book Antiqua"/>
          <w:color w:val="000000"/>
          <w:sz w:val="24"/>
          <w:szCs w:val="24"/>
        </w:rPr>
        <w:t>: 362-372 [PMID: 15667494 DOI: 10.1111/j.1572-0241.2005.40749.x]</w:t>
      </w:r>
    </w:p>
    <w:p w14:paraId="3F027753" w14:textId="77777777" w:rsidR="009B15AC" w:rsidRPr="009B15AC" w:rsidRDefault="009B15AC" w:rsidP="009B15AC">
      <w:pPr>
        <w:spacing w:after="0" w:line="360" w:lineRule="auto"/>
        <w:jc w:val="both"/>
        <w:rPr>
          <w:rFonts w:ascii="Book Antiqua" w:hAnsi="Book Antiqua"/>
          <w:color w:val="000000"/>
          <w:sz w:val="24"/>
          <w:szCs w:val="24"/>
        </w:rPr>
      </w:pPr>
      <w:r w:rsidRPr="009B15AC">
        <w:rPr>
          <w:rFonts w:ascii="Book Antiqua" w:hAnsi="Book Antiqua"/>
          <w:color w:val="000000"/>
          <w:sz w:val="24"/>
          <w:szCs w:val="24"/>
        </w:rPr>
        <w:t>8</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Camilleri M</w:t>
      </w:r>
      <w:r w:rsidRPr="009B15AC">
        <w:rPr>
          <w:rFonts w:ascii="Book Antiqua" w:hAnsi="Book Antiqua"/>
          <w:color w:val="000000"/>
          <w:sz w:val="24"/>
          <w:szCs w:val="24"/>
        </w:rPr>
        <w:t>, Kerstens R, Rykx A, Vandeplassche L. A placebo-controlled trial of prucalopride for severe chronic constipation.</w:t>
      </w:r>
      <w:r w:rsidRPr="009B15AC">
        <w:rPr>
          <w:rStyle w:val="apple-converted-space"/>
          <w:rFonts w:ascii="Book Antiqua" w:hAnsi="Book Antiqua"/>
          <w:color w:val="000000"/>
          <w:sz w:val="24"/>
          <w:szCs w:val="24"/>
        </w:rPr>
        <w:t> </w:t>
      </w:r>
      <w:r w:rsidRPr="009B15AC">
        <w:rPr>
          <w:rFonts w:ascii="Book Antiqua" w:hAnsi="Book Antiqua"/>
          <w:i/>
          <w:iCs/>
          <w:color w:val="000000"/>
          <w:sz w:val="24"/>
          <w:szCs w:val="24"/>
        </w:rPr>
        <w:t>N Engl J Med</w:t>
      </w:r>
      <w:r w:rsidRPr="009B15AC">
        <w:rPr>
          <w:rStyle w:val="apple-converted-space"/>
          <w:rFonts w:ascii="Book Antiqua" w:hAnsi="Book Antiqua"/>
          <w:color w:val="000000"/>
          <w:sz w:val="24"/>
          <w:szCs w:val="24"/>
        </w:rPr>
        <w:t> </w:t>
      </w:r>
      <w:r w:rsidRPr="009B15AC">
        <w:rPr>
          <w:rFonts w:ascii="Book Antiqua" w:hAnsi="Book Antiqua"/>
          <w:color w:val="000000"/>
          <w:sz w:val="24"/>
          <w:szCs w:val="24"/>
        </w:rPr>
        <w:t>2008;</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358</w:t>
      </w:r>
      <w:r w:rsidRPr="009B15AC">
        <w:rPr>
          <w:rFonts w:ascii="Book Antiqua" w:hAnsi="Book Antiqua"/>
          <w:color w:val="000000"/>
          <w:sz w:val="24"/>
          <w:szCs w:val="24"/>
        </w:rPr>
        <w:t>: 2344-2354 [PMID: 18509121 DOI: 10.1056/NEJMoa0800670]</w:t>
      </w:r>
    </w:p>
    <w:p w14:paraId="5CA87721" w14:textId="77777777" w:rsidR="009B15AC" w:rsidRPr="009B15AC" w:rsidRDefault="009B15AC" w:rsidP="009B15AC">
      <w:pPr>
        <w:spacing w:after="0" w:line="360" w:lineRule="auto"/>
        <w:jc w:val="both"/>
        <w:rPr>
          <w:rFonts w:ascii="Book Antiqua" w:hAnsi="Book Antiqua"/>
          <w:color w:val="000000"/>
          <w:sz w:val="24"/>
          <w:szCs w:val="24"/>
        </w:rPr>
      </w:pPr>
      <w:r w:rsidRPr="009B15AC">
        <w:rPr>
          <w:rFonts w:ascii="Book Antiqua" w:hAnsi="Book Antiqua"/>
          <w:color w:val="000000"/>
          <w:sz w:val="24"/>
          <w:szCs w:val="24"/>
        </w:rPr>
        <w:t>9</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Ke M</w:t>
      </w:r>
      <w:r w:rsidRPr="009B15AC">
        <w:rPr>
          <w:rFonts w:ascii="Book Antiqua" w:hAnsi="Book Antiqua"/>
          <w:color w:val="000000"/>
          <w:sz w:val="24"/>
          <w:szCs w:val="24"/>
        </w:rPr>
        <w:t>, Zou D, Yuan Y, Li Y, Lin L, Hao J, Hou X, Kim HJ. Prucalopride in the treatment of chronic constipation in patients from the Asia-Pacific region: a randomized, double-blind, placebo-controlled study.</w:t>
      </w:r>
      <w:r w:rsidRPr="009B15AC">
        <w:rPr>
          <w:rStyle w:val="apple-converted-space"/>
          <w:rFonts w:ascii="Book Antiqua" w:hAnsi="Book Antiqua"/>
          <w:color w:val="000000"/>
          <w:sz w:val="24"/>
          <w:szCs w:val="24"/>
        </w:rPr>
        <w:t> </w:t>
      </w:r>
      <w:r w:rsidRPr="009B15AC">
        <w:rPr>
          <w:rFonts w:ascii="Book Antiqua" w:hAnsi="Book Antiqua"/>
          <w:i/>
          <w:iCs/>
          <w:color w:val="000000"/>
          <w:sz w:val="24"/>
          <w:szCs w:val="24"/>
        </w:rPr>
        <w:t>Neurogastroenterol Motil</w:t>
      </w:r>
      <w:r w:rsidRPr="009B15AC">
        <w:rPr>
          <w:rStyle w:val="apple-converted-space"/>
          <w:rFonts w:ascii="Book Antiqua" w:hAnsi="Book Antiqua"/>
          <w:color w:val="000000"/>
          <w:sz w:val="24"/>
          <w:szCs w:val="24"/>
        </w:rPr>
        <w:t> </w:t>
      </w:r>
      <w:r w:rsidRPr="009B15AC">
        <w:rPr>
          <w:rFonts w:ascii="Book Antiqua" w:hAnsi="Book Antiqua"/>
          <w:color w:val="000000"/>
          <w:sz w:val="24"/>
          <w:szCs w:val="24"/>
        </w:rPr>
        <w:t>2012;</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24</w:t>
      </w:r>
      <w:r w:rsidRPr="009B15AC">
        <w:rPr>
          <w:rFonts w:ascii="Book Antiqua" w:hAnsi="Book Antiqua"/>
          <w:color w:val="000000"/>
          <w:sz w:val="24"/>
          <w:szCs w:val="24"/>
        </w:rPr>
        <w:t>: 999-e541 [PMID: 22882724 DOI: 10.1111/j.1365-2982.2012.01983.x]</w:t>
      </w:r>
    </w:p>
    <w:p w14:paraId="45EF0DDF" w14:textId="77777777" w:rsidR="009B15AC" w:rsidRPr="009B15AC" w:rsidRDefault="009B15AC" w:rsidP="009B15AC">
      <w:pPr>
        <w:spacing w:after="0" w:line="360" w:lineRule="auto"/>
        <w:jc w:val="both"/>
        <w:rPr>
          <w:rFonts w:ascii="Book Antiqua" w:hAnsi="Book Antiqua"/>
          <w:color w:val="000000"/>
          <w:sz w:val="24"/>
          <w:szCs w:val="24"/>
        </w:rPr>
      </w:pPr>
      <w:r w:rsidRPr="009B15AC">
        <w:rPr>
          <w:rFonts w:ascii="Book Antiqua" w:hAnsi="Book Antiqua"/>
          <w:color w:val="000000"/>
          <w:sz w:val="24"/>
          <w:szCs w:val="24"/>
        </w:rPr>
        <w:t>10</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Müller-Lissner S</w:t>
      </w:r>
      <w:r w:rsidRPr="009B15AC">
        <w:rPr>
          <w:rFonts w:ascii="Book Antiqua" w:hAnsi="Book Antiqua"/>
          <w:color w:val="000000"/>
          <w:sz w:val="24"/>
          <w:szCs w:val="24"/>
        </w:rPr>
        <w:t>, Rykx A, Kerstens R, Vandeplassche L. A double-blind, placebo-controlled study of prucalopride in elderly patients with chronic constipation.</w:t>
      </w:r>
      <w:r w:rsidRPr="009B15AC">
        <w:rPr>
          <w:rStyle w:val="apple-converted-space"/>
          <w:rFonts w:ascii="Book Antiqua" w:hAnsi="Book Antiqua"/>
          <w:color w:val="000000"/>
          <w:sz w:val="24"/>
          <w:szCs w:val="24"/>
        </w:rPr>
        <w:t> </w:t>
      </w:r>
      <w:r w:rsidRPr="009B15AC">
        <w:rPr>
          <w:rFonts w:ascii="Book Antiqua" w:hAnsi="Book Antiqua"/>
          <w:i/>
          <w:iCs/>
          <w:color w:val="000000"/>
          <w:sz w:val="24"/>
          <w:szCs w:val="24"/>
        </w:rPr>
        <w:t>Neurogastroenterol Motil</w:t>
      </w:r>
      <w:r w:rsidRPr="009B15AC">
        <w:rPr>
          <w:rStyle w:val="apple-converted-space"/>
          <w:rFonts w:ascii="Book Antiqua" w:hAnsi="Book Antiqua"/>
          <w:color w:val="000000"/>
          <w:sz w:val="24"/>
          <w:szCs w:val="24"/>
        </w:rPr>
        <w:t> </w:t>
      </w:r>
      <w:r w:rsidRPr="009B15AC">
        <w:rPr>
          <w:rFonts w:ascii="Book Antiqua" w:hAnsi="Book Antiqua"/>
          <w:color w:val="000000"/>
          <w:sz w:val="24"/>
          <w:szCs w:val="24"/>
        </w:rPr>
        <w:t>2010;</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22</w:t>
      </w:r>
      <w:r w:rsidRPr="009B15AC">
        <w:rPr>
          <w:rFonts w:ascii="Book Antiqua" w:hAnsi="Book Antiqua"/>
          <w:color w:val="000000"/>
          <w:sz w:val="24"/>
          <w:szCs w:val="24"/>
        </w:rPr>
        <w:t>: 991-98, e255 [PMID: 20529205 DOI: 10.1111/j.1365-2982.2010.01533.x]</w:t>
      </w:r>
    </w:p>
    <w:p w14:paraId="7EF3F887" w14:textId="77777777" w:rsidR="009B15AC" w:rsidRPr="009B15AC" w:rsidRDefault="009B15AC" w:rsidP="009B15AC">
      <w:pPr>
        <w:spacing w:after="0" w:line="360" w:lineRule="auto"/>
        <w:jc w:val="both"/>
        <w:rPr>
          <w:rFonts w:ascii="Book Antiqua" w:hAnsi="Book Antiqua"/>
          <w:color w:val="000000"/>
          <w:sz w:val="24"/>
          <w:szCs w:val="24"/>
        </w:rPr>
      </w:pPr>
      <w:r w:rsidRPr="009B15AC">
        <w:rPr>
          <w:rFonts w:ascii="Book Antiqua" w:hAnsi="Book Antiqua"/>
          <w:color w:val="000000"/>
          <w:sz w:val="24"/>
          <w:szCs w:val="24"/>
        </w:rPr>
        <w:t>11</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Coremans G</w:t>
      </w:r>
      <w:r w:rsidRPr="009B15AC">
        <w:rPr>
          <w:rFonts w:ascii="Book Antiqua" w:hAnsi="Book Antiqua"/>
          <w:color w:val="000000"/>
          <w:sz w:val="24"/>
          <w:szCs w:val="24"/>
        </w:rPr>
        <w:t>, Kerstens R, De Pauw M, Stevens M. Prucalopride is effective in patients with severe chronic constipation in whom laxatives fail to provide adequate relief. Results of a double-blind, placebo-controlled clinical trial.</w:t>
      </w:r>
      <w:r w:rsidRPr="009B15AC">
        <w:rPr>
          <w:rStyle w:val="apple-converted-space"/>
          <w:rFonts w:ascii="Book Antiqua" w:hAnsi="Book Antiqua"/>
          <w:color w:val="000000"/>
          <w:sz w:val="24"/>
          <w:szCs w:val="24"/>
        </w:rPr>
        <w:t> </w:t>
      </w:r>
      <w:r w:rsidRPr="009B15AC">
        <w:rPr>
          <w:rFonts w:ascii="Book Antiqua" w:hAnsi="Book Antiqua"/>
          <w:i/>
          <w:iCs/>
          <w:color w:val="000000"/>
          <w:sz w:val="24"/>
          <w:szCs w:val="24"/>
        </w:rPr>
        <w:t>Digestion</w:t>
      </w:r>
      <w:r w:rsidRPr="009B15AC">
        <w:rPr>
          <w:rStyle w:val="apple-converted-space"/>
          <w:rFonts w:ascii="Book Antiqua" w:hAnsi="Book Antiqua"/>
          <w:color w:val="000000"/>
          <w:sz w:val="24"/>
          <w:szCs w:val="24"/>
        </w:rPr>
        <w:t> </w:t>
      </w:r>
      <w:r w:rsidRPr="009B15AC">
        <w:rPr>
          <w:rFonts w:ascii="Book Antiqua" w:hAnsi="Book Antiqua"/>
          <w:color w:val="000000"/>
          <w:sz w:val="24"/>
          <w:szCs w:val="24"/>
        </w:rPr>
        <w:t>2003;</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67</w:t>
      </w:r>
      <w:r w:rsidRPr="009B15AC">
        <w:rPr>
          <w:rFonts w:ascii="Book Antiqua" w:hAnsi="Book Antiqua"/>
          <w:color w:val="000000"/>
          <w:sz w:val="24"/>
          <w:szCs w:val="24"/>
        </w:rPr>
        <w:t>: 82-89 [PMID: 12743445 DOI: 10.1159/000070202]</w:t>
      </w:r>
    </w:p>
    <w:p w14:paraId="70924F0C" w14:textId="77777777" w:rsidR="009B15AC" w:rsidRPr="009B15AC" w:rsidRDefault="009B15AC" w:rsidP="009B15AC">
      <w:pPr>
        <w:spacing w:after="0" w:line="360" w:lineRule="auto"/>
        <w:jc w:val="both"/>
        <w:rPr>
          <w:rFonts w:ascii="Book Antiqua" w:hAnsi="Book Antiqua"/>
          <w:color w:val="000000"/>
          <w:sz w:val="24"/>
          <w:szCs w:val="24"/>
        </w:rPr>
      </w:pPr>
      <w:r w:rsidRPr="009B15AC">
        <w:rPr>
          <w:rFonts w:ascii="Book Antiqua" w:hAnsi="Book Antiqua"/>
          <w:color w:val="000000"/>
          <w:sz w:val="24"/>
          <w:szCs w:val="24"/>
        </w:rPr>
        <w:t>12</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Tack J</w:t>
      </w:r>
      <w:r w:rsidRPr="009B15AC">
        <w:rPr>
          <w:rFonts w:ascii="Book Antiqua" w:hAnsi="Book Antiqua"/>
          <w:color w:val="000000"/>
          <w:sz w:val="24"/>
          <w:szCs w:val="24"/>
        </w:rPr>
        <w:t>, van Outryve M, Beyens G, Kerstens R, Vandeplassche L. Prucalopride (Resolor) in the treatment of severe chronic constipation in patients dissatisfied with laxatives.</w:t>
      </w:r>
      <w:r w:rsidRPr="009B15AC">
        <w:rPr>
          <w:rStyle w:val="apple-converted-space"/>
          <w:rFonts w:ascii="Book Antiqua" w:hAnsi="Book Antiqua"/>
          <w:color w:val="000000"/>
          <w:sz w:val="24"/>
          <w:szCs w:val="24"/>
        </w:rPr>
        <w:t> </w:t>
      </w:r>
      <w:r w:rsidRPr="009B15AC">
        <w:rPr>
          <w:rFonts w:ascii="Book Antiqua" w:hAnsi="Book Antiqua"/>
          <w:i/>
          <w:iCs/>
          <w:color w:val="000000"/>
          <w:sz w:val="24"/>
          <w:szCs w:val="24"/>
        </w:rPr>
        <w:t>Gut</w:t>
      </w:r>
      <w:r w:rsidRPr="009B15AC">
        <w:rPr>
          <w:rStyle w:val="apple-converted-space"/>
          <w:rFonts w:ascii="Book Antiqua" w:hAnsi="Book Antiqua"/>
          <w:color w:val="000000"/>
          <w:sz w:val="24"/>
          <w:szCs w:val="24"/>
        </w:rPr>
        <w:t> </w:t>
      </w:r>
      <w:r w:rsidRPr="009B15AC">
        <w:rPr>
          <w:rFonts w:ascii="Book Antiqua" w:hAnsi="Book Antiqua"/>
          <w:color w:val="000000"/>
          <w:sz w:val="24"/>
          <w:szCs w:val="24"/>
        </w:rPr>
        <w:t>2009;</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58</w:t>
      </w:r>
      <w:r w:rsidRPr="009B15AC">
        <w:rPr>
          <w:rFonts w:ascii="Book Antiqua" w:hAnsi="Book Antiqua"/>
          <w:color w:val="000000"/>
          <w:sz w:val="24"/>
          <w:szCs w:val="24"/>
        </w:rPr>
        <w:t>: 357-365 [PMID: 18987031 DOI: 10.1136/gut.2008.162404]</w:t>
      </w:r>
    </w:p>
    <w:p w14:paraId="37EF70E0" w14:textId="77777777" w:rsidR="009B15AC" w:rsidRPr="009B15AC" w:rsidRDefault="009B15AC" w:rsidP="009B15AC">
      <w:pPr>
        <w:spacing w:after="0" w:line="360" w:lineRule="auto"/>
        <w:jc w:val="both"/>
        <w:rPr>
          <w:rFonts w:ascii="Book Antiqua" w:hAnsi="Book Antiqua"/>
          <w:color w:val="000000"/>
          <w:sz w:val="24"/>
          <w:szCs w:val="24"/>
        </w:rPr>
      </w:pPr>
      <w:r w:rsidRPr="009B15AC">
        <w:rPr>
          <w:rFonts w:ascii="Book Antiqua" w:hAnsi="Book Antiqua"/>
          <w:color w:val="000000"/>
          <w:sz w:val="24"/>
          <w:szCs w:val="24"/>
        </w:rPr>
        <w:t>13</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Quigley EM</w:t>
      </w:r>
      <w:r w:rsidRPr="009B15AC">
        <w:rPr>
          <w:rFonts w:ascii="Book Antiqua" w:hAnsi="Book Antiqua"/>
          <w:color w:val="000000"/>
          <w:sz w:val="24"/>
          <w:szCs w:val="24"/>
        </w:rPr>
        <w:t>, Vandeplassche L, Kerstens R, Ausma J. Clinical trial: the efficacy, impact on quality of life, and safety and tolerability of prucalopride in severe chronic constipation--a 12-week, randomized, double-blind, placebo-controlled study.</w:t>
      </w:r>
      <w:r w:rsidRPr="009B15AC">
        <w:rPr>
          <w:rStyle w:val="apple-converted-space"/>
          <w:rFonts w:ascii="Book Antiqua" w:hAnsi="Book Antiqua"/>
          <w:color w:val="000000"/>
          <w:sz w:val="24"/>
          <w:szCs w:val="24"/>
        </w:rPr>
        <w:t> </w:t>
      </w:r>
      <w:r w:rsidRPr="009B15AC">
        <w:rPr>
          <w:rFonts w:ascii="Book Antiqua" w:hAnsi="Book Antiqua"/>
          <w:i/>
          <w:iCs/>
          <w:color w:val="000000"/>
          <w:sz w:val="24"/>
          <w:szCs w:val="24"/>
        </w:rPr>
        <w:t>Aliment Pharmacol Ther</w:t>
      </w:r>
      <w:r w:rsidRPr="009B15AC">
        <w:rPr>
          <w:rStyle w:val="apple-converted-space"/>
          <w:rFonts w:ascii="Book Antiqua" w:hAnsi="Book Antiqua"/>
          <w:color w:val="000000"/>
          <w:sz w:val="24"/>
          <w:szCs w:val="24"/>
        </w:rPr>
        <w:t> </w:t>
      </w:r>
      <w:r w:rsidRPr="009B15AC">
        <w:rPr>
          <w:rFonts w:ascii="Book Antiqua" w:hAnsi="Book Antiqua"/>
          <w:color w:val="000000"/>
          <w:sz w:val="24"/>
          <w:szCs w:val="24"/>
        </w:rPr>
        <w:t>2009;</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29</w:t>
      </w:r>
      <w:r w:rsidRPr="009B15AC">
        <w:rPr>
          <w:rFonts w:ascii="Book Antiqua" w:hAnsi="Book Antiqua"/>
          <w:color w:val="000000"/>
          <w:sz w:val="24"/>
          <w:szCs w:val="24"/>
        </w:rPr>
        <w:t>: 315-328 [PMID: 19035970 DOI: 10.1111/j.1365-2046.2008.03884.x]</w:t>
      </w:r>
    </w:p>
    <w:p w14:paraId="77CA2267" w14:textId="77777777" w:rsidR="009B15AC" w:rsidRPr="009B15AC" w:rsidRDefault="009B15AC" w:rsidP="009B15AC">
      <w:pPr>
        <w:spacing w:after="0" w:line="360" w:lineRule="auto"/>
        <w:jc w:val="both"/>
        <w:rPr>
          <w:rFonts w:ascii="Book Antiqua" w:hAnsi="Book Antiqua"/>
          <w:color w:val="000000"/>
          <w:sz w:val="24"/>
          <w:szCs w:val="24"/>
        </w:rPr>
      </w:pPr>
      <w:r w:rsidRPr="009B15AC">
        <w:rPr>
          <w:rFonts w:ascii="Book Antiqua" w:hAnsi="Book Antiqua"/>
          <w:color w:val="000000"/>
          <w:sz w:val="24"/>
          <w:szCs w:val="24"/>
        </w:rPr>
        <w:t>14</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Camilleri M</w:t>
      </w:r>
      <w:r w:rsidRPr="009B15AC">
        <w:rPr>
          <w:rFonts w:ascii="Book Antiqua" w:hAnsi="Book Antiqua"/>
          <w:color w:val="000000"/>
          <w:sz w:val="24"/>
          <w:szCs w:val="24"/>
        </w:rPr>
        <w:t>, Beyens G, Kerstens R, Robinson P, Vandeplassche L. Safety assessment of prucalopride in elderly patients with constipation: a double-blind, placebo-controlled study.</w:t>
      </w:r>
      <w:r w:rsidRPr="009B15AC">
        <w:rPr>
          <w:rStyle w:val="apple-converted-space"/>
          <w:rFonts w:ascii="Book Antiqua" w:hAnsi="Book Antiqua"/>
          <w:color w:val="000000"/>
          <w:sz w:val="24"/>
          <w:szCs w:val="24"/>
        </w:rPr>
        <w:t> </w:t>
      </w:r>
      <w:r w:rsidRPr="009B15AC">
        <w:rPr>
          <w:rFonts w:ascii="Book Antiqua" w:hAnsi="Book Antiqua"/>
          <w:i/>
          <w:iCs/>
          <w:color w:val="000000"/>
          <w:sz w:val="24"/>
          <w:szCs w:val="24"/>
        </w:rPr>
        <w:t>Neurogastroenterol Motil</w:t>
      </w:r>
      <w:r w:rsidRPr="009B15AC">
        <w:rPr>
          <w:rStyle w:val="apple-converted-space"/>
          <w:rFonts w:ascii="Book Antiqua" w:hAnsi="Book Antiqua"/>
          <w:color w:val="000000"/>
          <w:sz w:val="24"/>
          <w:szCs w:val="24"/>
        </w:rPr>
        <w:t> </w:t>
      </w:r>
      <w:r w:rsidRPr="009B15AC">
        <w:rPr>
          <w:rFonts w:ascii="Book Antiqua" w:hAnsi="Book Antiqua"/>
          <w:color w:val="000000"/>
          <w:sz w:val="24"/>
          <w:szCs w:val="24"/>
        </w:rPr>
        <w:t>2009;</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21</w:t>
      </w:r>
      <w:r w:rsidRPr="009B15AC">
        <w:rPr>
          <w:rFonts w:ascii="Book Antiqua" w:hAnsi="Book Antiqua"/>
          <w:color w:val="000000"/>
          <w:sz w:val="24"/>
          <w:szCs w:val="24"/>
        </w:rPr>
        <w:t>: 1256-e117 [PMID: 19751247 DOI: 10.1111/j.1365-2982.2009.01398.x]</w:t>
      </w:r>
    </w:p>
    <w:p w14:paraId="2096D23D" w14:textId="77777777" w:rsidR="009B15AC" w:rsidRPr="009B15AC" w:rsidRDefault="009B15AC" w:rsidP="009B15AC">
      <w:pPr>
        <w:spacing w:after="0" w:line="360" w:lineRule="auto"/>
        <w:jc w:val="both"/>
        <w:rPr>
          <w:rFonts w:ascii="Book Antiqua" w:hAnsi="Book Antiqua"/>
          <w:color w:val="000000"/>
          <w:sz w:val="24"/>
          <w:szCs w:val="24"/>
        </w:rPr>
      </w:pPr>
      <w:r w:rsidRPr="009B15AC">
        <w:rPr>
          <w:rFonts w:ascii="Book Antiqua" w:hAnsi="Book Antiqua"/>
          <w:color w:val="000000"/>
          <w:sz w:val="24"/>
          <w:szCs w:val="24"/>
        </w:rPr>
        <w:t>15</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Naranjo CA</w:t>
      </w:r>
      <w:r w:rsidRPr="009B15AC">
        <w:rPr>
          <w:rFonts w:ascii="Book Antiqua" w:hAnsi="Book Antiqua"/>
          <w:color w:val="000000"/>
          <w:sz w:val="24"/>
          <w:szCs w:val="24"/>
        </w:rPr>
        <w:t>, Busto U, Sellers EM, Sandor P, Ruiz I, Roberts EA, Janecek E, Domecq C, Greenblatt DJ. A method for estimating the probability of adverse drug reactions.</w:t>
      </w:r>
      <w:r w:rsidRPr="009B15AC">
        <w:rPr>
          <w:rStyle w:val="apple-converted-space"/>
          <w:rFonts w:ascii="Book Antiqua" w:hAnsi="Book Antiqua"/>
          <w:color w:val="000000"/>
          <w:sz w:val="24"/>
          <w:szCs w:val="24"/>
        </w:rPr>
        <w:t> </w:t>
      </w:r>
      <w:r w:rsidRPr="009B15AC">
        <w:rPr>
          <w:rFonts w:ascii="Book Antiqua" w:hAnsi="Book Antiqua"/>
          <w:i/>
          <w:iCs/>
          <w:color w:val="000000"/>
          <w:sz w:val="24"/>
          <w:szCs w:val="24"/>
        </w:rPr>
        <w:t>Clin Pharmacol Ther</w:t>
      </w:r>
      <w:r w:rsidRPr="009B15AC">
        <w:rPr>
          <w:rStyle w:val="apple-converted-space"/>
          <w:rFonts w:ascii="Book Antiqua" w:hAnsi="Book Antiqua"/>
          <w:color w:val="000000"/>
          <w:sz w:val="24"/>
          <w:szCs w:val="24"/>
        </w:rPr>
        <w:t> </w:t>
      </w:r>
      <w:r w:rsidRPr="009B15AC">
        <w:rPr>
          <w:rFonts w:ascii="Book Antiqua" w:hAnsi="Book Antiqua"/>
          <w:color w:val="000000"/>
          <w:sz w:val="24"/>
          <w:szCs w:val="24"/>
        </w:rPr>
        <w:t>1981;</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30</w:t>
      </w:r>
      <w:r w:rsidRPr="009B15AC">
        <w:rPr>
          <w:rFonts w:ascii="Book Antiqua" w:hAnsi="Book Antiqua"/>
          <w:color w:val="000000"/>
          <w:sz w:val="24"/>
          <w:szCs w:val="24"/>
        </w:rPr>
        <w:t>: 239-245 [PMID: 7249508 DOI: 10.1038/clpt.1981.154]</w:t>
      </w:r>
    </w:p>
    <w:p w14:paraId="550C3B8F" w14:textId="77777777" w:rsidR="009B15AC" w:rsidRPr="009B15AC" w:rsidRDefault="009B15AC" w:rsidP="009B15AC">
      <w:pPr>
        <w:spacing w:after="0" w:line="360" w:lineRule="auto"/>
        <w:jc w:val="both"/>
        <w:rPr>
          <w:rFonts w:ascii="Book Antiqua" w:hAnsi="Book Antiqua"/>
          <w:color w:val="000000"/>
          <w:sz w:val="24"/>
          <w:szCs w:val="24"/>
        </w:rPr>
      </w:pPr>
      <w:r w:rsidRPr="009B15AC">
        <w:rPr>
          <w:rFonts w:ascii="Book Antiqua" w:hAnsi="Book Antiqua"/>
          <w:color w:val="000000"/>
          <w:sz w:val="24"/>
          <w:szCs w:val="24"/>
        </w:rPr>
        <w:t>16</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Sloots CE</w:t>
      </w:r>
      <w:r w:rsidRPr="009B15AC">
        <w:rPr>
          <w:rFonts w:ascii="Book Antiqua" w:hAnsi="Book Antiqua"/>
          <w:color w:val="000000"/>
          <w:sz w:val="24"/>
          <w:szCs w:val="24"/>
        </w:rPr>
        <w:t>, Rykx A, Cools M, Kerstens R, De Pauw M. Efficacy and safety of prucalopride in patients with chronic noncancer pain suffering from opioid-induced constipation.</w:t>
      </w:r>
      <w:r w:rsidRPr="009B15AC">
        <w:rPr>
          <w:rStyle w:val="apple-converted-space"/>
          <w:rFonts w:ascii="Book Antiqua" w:hAnsi="Book Antiqua"/>
          <w:color w:val="000000"/>
          <w:sz w:val="24"/>
          <w:szCs w:val="24"/>
        </w:rPr>
        <w:t> </w:t>
      </w:r>
      <w:r w:rsidRPr="009B15AC">
        <w:rPr>
          <w:rFonts w:ascii="Book Antiqua" w:hAnsi="Book Antiqua"/>
          <w:i/>
          <w:iCs/>
          <w:color w:val="000000"/>
          <w:sz w:val="24"/>
          <w:szCs w:val="24"/>
        </w:rPr>
        <w:t>Dig Dis Sci</w:t>
      </w:r>
      <w:r w:rsidRPr="009B15AC">
        <w:rPr>
          <w:rStyle w:val="apple-converted-space"/>
          <w:rFonts w:ascii="Book Antiqua" w:hAnsi="Book Antiqua"/>
          <w:color w:val="000000"/>
          <w:sz w:val="24"/>
          <w:szCs w:val="24"/>
        </w:rPr>
        <w:t> </w:t>
      </w:r>
      <w:r w:rsidRPr="009B15AC">
        <w:rPr>
          <w:rFonts w:ascii="Book Antiqua" w:hAnsi="Book Antiqua"/>
          <w:color w:val="000000"/>
          <w:sz w:val="24"/>
          <w:szCs w:val="24"/>
        </w:rPr>
        <w:t>2010;</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55</w:t>
      </w:r>
      <w:r w:rsidRPr="009B15AC">
        <w:rPr>
          <w:rFonts w:ascii="Book Antiqua" w:hAnsi="Book Antiqua"/>
          <w:color w:val="000000"/>
          <w:sz w:val="24"/>
          <w:szCs w:val="24"/>
        </w:rPr>
        <w:t>: 2912-2921 [PMID: 20428949 DOI: 10.1007/s10620-010-1229-y]</w:t>
      </w:r>
    </w:p>
    <w:p w14:paraId="5155CF24" w14:textId="39A70F3F" w:rsidR="009B15AC" w:rsidRPr="009B15AC" w:rsidRDefault="009B15AC" w:rsidP="009B15AC">
      <w:pPr>
        <w:spacing w:after="0" w:line="360" w:lineRule="auto"/>
        <w:jc w:val="both"/>
        <w:rPr>
          <w:rFonts w:ascii="Book Antiqua" w:hAnsi="Book Antiqua"/>
          <w:color w:val="000000"/>
          <w:sz w:val="24"/>
          <w:szCs w:val="24"/>
        </w:rPr>
      </w:pPr>
      <w:r w:rsidRPr="009B15AC">
        <w:rPr>
          <w:rFonts w:ascii="Book Antiqua" w:hAnsi="Book Antiqua"/>
          <w:color w:val="000000"/>
          <w:sz w:val="24"/>
          <w:szCs w:val="24"/>
        </w:rPr>
        <w:t>17</w:t>
      </w:r>
      <w:r w:rsidRPr="009B15AC">
        <w:rPr>
          <w:rStyle w:val="apple-converted-space"/>
          <w:rFonts w:ascii="Book Antiqua" w:hAnsi="Book Antiqua"/>
          <w:color w:val="000000"/>
          <w:sz w:val="24"/>
          <w:szCs w:val="24"/>
        </w:rPr>
        <w:t> </w:t>
      </w:r>
      <w:r>
        <w:rPr>
          <w:rFonts w:ascii="Book Antiqua" w:hAnsi="Book Antiqua" w:cs="Arial" w:hint="eastAsia"/>
          <w:noProof/>
          <w:sz w:val="24"/>
          <w:szCs w:val="24"/>
          <w:lang w:eastAsia="zh-CN"/>
        </w:rPr>
        <w:t xml:space="preserve"> </w:t>
      </w:r>
      <w:r w:rsidRPr="009B15AC">
        <w:rPr>
          <w:rFonts w:ascii="Book Antiqua" w:hAnsi="Book Antiqua" w:cs="Arial"/>
          <w:b/>
          <w:noProof/>
          <w:sz w:val="24"/>
          <w:szCs w:val="24"/>
        </w:rPr>
        <w:t>Krogh K</w:t>
      </w:r>
      <w:r w:rsidRPr="009B15AC">
        <w:rPr>
          <w:rFonts w:ascii="Book Antiqua" w:hAnsi="Book Antiqua" w:cs="Arial"/>
          <w:noProof/>
          <w:sz w:val="24"/>
          <w:szCs w:val="24"/>
        </w:rPr>
        <w:t xml:space="preserve">, Jensen MB, Gandrup P, Laurberg S, Nilsson J, Kerstens R, De Pauw M. Efficacy and tolerability of prucalopride in patients with constipation due to spinal cord injury. </w:t>
      </w:r>
      <w:r w:rsidRPr="009B15AC">
        <w:rPr>
          <w:rFonts w:ascii="Book Antiqua" w:hAnsi="Book Antiqua" w:cs="Arial"/>
          <w:i/>
          <w:noProof/>
          <w:sz w:val="24"/>
          <w:szCs w:val="24"/>
        </w:rPr>
        <w:t>Scand J Gastroenterol</w:t>
      </w:r>
      <w:r w:rsidRPr="009B15AC">
        <w:rPr>
          <w:rFonts w:ascii="Book Antiqua" w:hAnsi="Book Antiqua" w:cs="Arial"/>
          <w:noProof/>
          <w:sz w:val="24"/>
          <w:szCs w:val="24"/>
        </w:rPr>
        <w:t xml:space="preserve"> 2002; </w:t>
      </w:r>
      <w:r w:rsidRPr="009B15AC">
        <w:rPr>
          <w:rFonts w:ascii="Book Antiqua" w:hAnsi="Book Antiqua" w:cs="Arial"/>
          <w:b/>
          <w:noProof/>
          <w:sz w:val="24"/>
          <w:szCs w:val="24"/>
        </w:rPr>
        <w:t>37</w:t>
      </w:r>
      <w:r w:rsidRPr="009B15AC">
        <w:rPr>
          <w:rFonts w:ascii="Book Antiqua" w:hAnsi="Book Antiqua" w:cs="Arial"/>
          <w:noProof/>
          <w:sz w:val="24"/>
          <w:szCs w:val="24"/>
        </w:rPr>
        <w:t>: 431-436 [PMID: 1</w:t>
      </w:r>
      <w:r w:rsidRPr="009B15AC">
        <w:rPr>
          <w:rFonts w:ascii="Book Antiqua" w:hAnsi="Book Antiqua" w:cs="Arial"/>
          <w:noProof/>
          <w:sz w:val="24"/>
          <w:szCs w:val="24"/>
          <w:lang w:eastAsia="zh-CN"/>
        </w:rPr>
        <w:t>1</w:t>
      </w:r>
      <w:r w:rsidRPr="009B15AC">
        <w:rPr>
          <w:rFonts w:ascii="Book Antiqua" w:hAnsi="Book Antiqua" w:cs="Arial"/>
          <w:noProof/>
          <w:sz w:val="24"/>
          <w:szCs w:val="24"/>
        </w:rPr>
        <w:t>989834]</w:t>
      </w:r>
    </w:p>
    <w:p w14:paraId="63F86B06" w14:textId="77777777" w:rsidR="009B15AC" w:rsidRPr="009B15AC" w:rsidRDefault="009B15AC" w:rsidP="009B15AC">
      <w:pPr>
        <w:spacing w:after="0" w:line="360" w:lineRule="auto"/>
        <w:jc w:val="both"/>
        <w:rPr>
          <w:rFonts w:ascii="Book Antiqua" w:hAnsi="Book Antiqua"/>
          <w:color w:val="000000"/>
          <w:sz w:val="24"/>
          <w:szCs w:val="24"/>
        </w:rPr>
      </w:pPr>
      <w:r w:rsidRPr="009B15AC">
        <w:rPr>
          <w:rFonts w:ascii="Book Antiqua" w:hAnsi="Book Antiqua"/>
          <w:color w:val="000000"/>
          <w:sz w:val="24"/>
          <w:szCs w:val="24"/>
        </w:rPr>
        <w:t>18</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De Maeyer JH</w:t>
      </w:r>
      <w:r w:rsidRPr="009B15AC">
        <w:rPr>
          <w:rFonts w:ascii="Book Antiqua" w:hAnsi="Book Antiqua"/>
          <w:color w:val="000000"/>
          <w:sz w:val="24"/>
          <w:szCs w:val="24"/>
        </w:rPr>
        <w:t>, Lefebvre RA, Schuurkes JA. 5-HT4 receptor agonists: similar but not the same.</w:t>
      </w:r>
      <w:r w:rsidRPr="009B15AC">
        <w:rPr>
          <w:rStyle w:val="apple-converted-space"/>
          <w:rFonts w:ascii="Book Antiqua" w:hAnsi="Book Antiqua"/>
          <w:color w:val="000000"/>
          <w:sz w:val="24"/>
          <w:szCs w:val="24"/>
        </w:rPr>
        <w:t> </w:t>
      </w:r>
      <w:r w:rsidRPr="009B15AC">
        <w:rPr>
          <w:rFonts w:ascii="Book Antiqua" w:hAnsi="Book Antiqua"/>
          <w:i/>
          <w:iCs/>
          <w:color w:val="000000"/>
          <w:sz w:val="24"/>
          <w:szCs w:val="24"/>
        </w:rPr>
        <w:t>Neurogastroenterol Motil</w:t>
      </w:r>
      <w:r w:rsidRPr="009B15AC">
        <w:rPr>
          <w:rStyle w:val="apple-converted-space"/>
          <w:rFonts w:ascii="Book Antiqua" w:hAnsi="Book Antiqua"/>
          <w:color w:val="000000"/>
          <w:sz w:val="24"/>
          <w:szCs w:val="24"/>
        </w:rPr>
        <w:t> </w:t>
      </w:r>
      <w:r w:rsidRPr="009B15AC">
        <w:rPr>
          <w:rFonts w:ascii="Book Antiqua" w:hAnsi="Book Antiqua"/>
          <w:color w:val="000000"/>
          <w:sz w:val="24"/>
          <w:szCs w:val="24"/>
        </w:rPr>
        <w:t>2008;</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20</w:t>
      </w:r>
      <w:r w:rsidRPr="009B15AC">
        <w:rPr>
          <w:rFonts w:ascii="Book Antiqua" w:hAnsi="Book Antiqua"/>
          <w:color w:val="000000"/>
          <w:sz w:val="24"/>
          <w:szCs w:val="24"/>
        </w:rPr>
        <w:t>: 99-112 [PMID: 18199093 DOI: 10.1111/j.1365-2982.2007.01059.x]</w:t>
      </w:r>
    </w:p>
    <w:p w14:paraId="4C2EA1F1" w14:textId="77777777" w:rsidR="009B15AC" w:rsidRPr="009B15AC" w:rsidRDefault="009B15AC" w:rsidP="009B15AC">
      <w:pPr>
        <w:spacing w:after="0" w:line="360" w:lineRule="auto"/>
        <w:jc w:val="both"/>
        <w:rPr>
          <w:rFonts w:ascii="Book Antiqua" w:hAnsi="Book Antiqua"/>
          <w:color w:val="000000"/>
          <w:sz w:val="24"/>
          <w:szCs w:val="24"/>
        </w:rPr>
      </w:pPr>
      <w:r w:rsidRPr="009B15AC">
        <w:rPr>
          <w:rFonts w:ascii="Book Antiqua" w:hAnsi="Book Antiqua"/>
          <w:color w:val="000000"/>
          <w:sz w:val="24"/>
          <w:szCs w:val="24"/>
        </w:rPr>
        <w:t>19</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Mohammad S</w:t>
      </w:r>
      <w:r w:rsidRPr="009B15AC">
        <w:rPr>
          <w:rFonts w:ascii="Book Antiqua" w:hAnsi="Book Antiqua"/>
          <w:color w:val="000000"/>
          <w:sz w:val="24"/>
          <w:szCs w:val="24"/>
        </w:rPr>
        <w:t>, Zhou Z, Gong Q, January CT. Blockage of the HERG human cardiac K+ channel by the gastrointestinal prokinetic agent cisapride.</w:t>
      </w:r>
      <w:r w:rsidRPr="009B15AC">
        <w:rPr>
          <w:rStyle w:val="apple-converted-space"/>
          <w:rFonts w:ascii="Book Antiqua" w:hAnsi="Book Antiqua"/>
          <w:color w:val="000000"/>
          <w:sz w:val="24"/>
          <w:szCs w:val="24"/>
        </w:rPr>
        <w:t> </w:t>
      </w:r>
      <w:r w:rsidRPr="009B15AC">
        <w:rPr>
          <w:rFonts w:ascii="Book Antiqua" w:hAnsi="Book Antiqua"/>
          <w:i/>
          <w:iCs/>
          <w:color w:val="000000"/>
          <w:sz w:val="24"/>
          <w:szCs w:val="24"/>
        </w:rPr>
        <w:t>Am J Physiol</w:t>
      </w:r>
      <w:r w:rsidRPr="009B15AC">
        <w:rPr>
          <w:rStyle w:val="apple-converted-space"/>
          <w:rFonts w:ascii="Book Antiqua" w:hAnsi="Book Antiqua"/>
          <w:color w:val="000000"/>
          <w:sz w:val="24"/>
          <w:szCs w:val="24"/>
        </w:rPr>
        <w:t> </w:t>
      </w:r>
      <w:r w:rsidRPr="009B15AC">
        <w:rPr>
          <w:rFonts w:ascii="Book Antiqua" w:hAnsi="Book Antiqua"/>
          <w:color w:val="000000"/>
          <w:sz w:val="24"/>
          <w:szCs w:val="24"/>
        </w:rPr>
        <w:t>1997;</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273</w:t>
      </w:r>
      <w:r w:rsidRPr="009B15AC">
        <w:rPr>
          <w:rFonts w:ascii="Book Antiqua" w:hAnsi="Book Antiqua"/>
          <w:color w:val="000000"/>
          <w:sz w:val="24"/>
          <w:szCs w:val="24"/>
        </w:rPr>
        <w:t>: H2534-H2538 [PMID: 9374794]</w:t>
      </w:r>
    </w:p>
    <w:p w14:paraId="34076F72" w14:textId="77777777" w:rsidR="009B15AC" w:rsidRPr="009B15AC" w:rsidRDefault="009B15AC" w:rsidP="009B15AC">
      <w:pPr>
        <w:spacing w:after="0" w:line="360" w:lineRule="auto"/>
        <w:jc w:val="both"/>
        <w:rPr>
          <w:rFonts w:ascii="Book Antiqua" w:hAnsi="Book Antiqua"/>
          <w:color w:val="000000"/>
          <w:sz w:val="24"/>
          <w:szCs w:val="24"/>
        </w:rPr>
      </w:pPr>
      <w:r w:rsidRPr="009B15AC">
        <w:rPr>
          <w:rFonts w:ascii="Book Antiqua" w:hAnsi="Book Antiqua"/>
          <w:color w:val="000000"/>
          <w:sz w:val="24"/>
          <w:szCs w:val="24"/>
        </w:rPr>
        <w:t>20</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Busti AJ</w:t>
      </w:r>
      <w:r w:rsidRPr="009B15AC">
        <w:rPr>
          <w:rFonts w:ascii="Book Antiqua" w:hAnsi="Book Antiqua"/>
          <w:color w:val="000000"/>
          <w:sz w:val="24"/>
          <w:szCs w:val="24"/>
        </w:rPr>
        <w:t>, Murillo JR, Cryer B. Tegaserod-induced myocardial infarction: case report and hypothesis.</w:t>
      </w:r>
      <w:r w:rsidRPr="009B15AC">
        <w:rPr>
          <w:rStyle w:val="apple-converted-space"/>
          <w:rFonts w:ascii="Book Antiqua" w:hAnsi="Book Antiqua"/>
          <w:color w:val="000000"/>
          <w:sz w:val="24"/>
          <w:szCs w:val="24"/>
        </w:rPr>
        <w:t> </w:t>
      </w:r>
      <w:r w:rsidRPr="009B15AC">
        <w:rPr>
          <w:rFonts w:ascii="Book Antiqua" w:hAnsi="Book Antiqua"/>
          <w:i/>
          <w:iCs/>
          <w:color w:val="000000"/>
          <w:sz w:val="24"/>
          <w:szCs w:val="24"/>
        </w:rPr>
        <w:t>Pharmacotherapy</w:t>
      </w:r>
      <w:r w:rsidRPr="009B15AC">
        <w:rPr>
          <w:rStyle w:val="apple-converted-space"/>
          <w:rFonts w:ascii="Book Antiqua" w:hAnsi="Book Antiqua"/>
          <w:color w:val="000000"/>
          <w:sz w:val="24"/>
          <w:szCs w:val="24"/>
        </w:rPr>
        <w:t> </w:t>
      </w:r>
      <w:r w:rsidRPr="009B15AC">
        <w:rPr>
          <w:rFonts w:ascii="Book Antiqua" w:hAnsi="Book Antiqua"/>
          <w:color w:val="000000"/>
          <w:sz w:val="24"/>
          <w:szCs w:val="24"/>
        </w:rPr>
        <w:t>2004;</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24</w:t>
      </w:r>
      <w:r w:rsidRPr="009B15AC">
        <w:rPr>
          <w:rFonts w:ascii="Book Antiqua" w:hAnsi="Book Antiqua"/>
          <w:color w:val="000000"/>
          <w:sz w:val="24"/>
          <w:szCs w:val="24"/>
        </w:rPr>
        <w:t>: 526-531 [PMID: 15098809 DOI: 10.1592/phco.24.5.526.33351]</w:t>
      </w:r>
    </w:p>
    <w:p w14:paraId="1C4B3A8A" w14:textId="77777777" w:rsidR="009B15AC" w:rsidRPr="009B15AC" w:rsidRDefault="009B15AC" w:rsidP="009B15AC">
      <w:pPr>
        <w:spacing w:after="0" w:line="360" w:lineRule="auto"/>
        <w:jc w:val="both"/>
        <w:rPr>
          <w:rFonts w:ascii="Book Antiqua" w:hAnsi="Book Antiqua"/>
          <w:color w:val="000000"/>
          <w:sz w:val="24"/>
          <w:szCs w:val="24"/>
        </w:rPr>
      </w:pPr>
      <w:r w:rsidRPr="009B15AC">
        <w:rPr>
          <w:rFonts w:ascii="Book Antiqua" w:hAnsi="Book Antiqua"/>
          <w:color w:val="000000"/>
          <w:sz w:val="24"/>
          <w:szCs w:val="24"/>
        </w:rPr>
        <w:t>21</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Lameire NH</w:t>
      </w:r>
      <w:r w:rsidRPr="009B15AC">
        <w:rPr>
          <w:rFonts w:ascii="Book Antiqua" w:hAnsi="Book Antiqua"/>
          <w:color w:val="000000"/>
          <w:sz w:val="24"/>
          <w:szCs w:val="24"/>
        </w:rPr>
        <w:t>. Serotonin and the regulation of renal blood flow in acute renal failure</w:t>
      </w:r>
      <w:r w:rsidRPr="009B15AC">
        <w:rPr>
          <w:rStyle w:val="apple-converted-space"/>
          <w:rFonts w:ascii="Book Antiqua" w:hAnsi="Book Antiqua"/>
          <w:color w:val="000000"/>
          <w:sz w:val="24"/>
          <w:szCs w:val="24"/>
        </w:rPr>
        <w:t> </w:t>
      </w:r>
      <w:r w:rsidRPr="009B15AC">
        <w:rPr>
          <w:rFonts w:ascii="Book Antiqua" w:hAnsi="Book Antiqua"/>
          <w:i/>
          <w:iCs/>
          <w:color w:val="000000"/>
          <w:sz w:val="24"/>
          <w:szCs w:val="24"/>
        </w:rPr>
        <w:t>Am J Kidney Dis</w:t>
      </w:r>
      <w:r w:rsidRPr="009B15AC">
        <w:rPr>
          <w:rStyle w:val="apple-converted-space"/>
          <w:rFonts w:ascii="Book Antiqua" w:hAnsi="Book Antiqua"/>
          <w:color w:val="000000"/>
          <w:sz w:val="24"/>
          <w:szCs w:val="24"/>
        </w:rPr>
        <w:t> </w:t>
      </w:r>
      <w:r w:rsidRPr="009B15AC">
        <w:rPr>
          <w:rFonts w:ascii="Book Antiqua" w:hAnsi="Book Antiqua"/>
          <w:color w:val="000000"/>
          <w:sz w:val="24"/>
          <w:szCs w:val="24"/>
        </w:rPr>
        <w:t>1999;</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33</w:t>
      </w:r>
      <w:r w:rsidRPr="009B15AC">
        <w:rPr>
          <w:rFonts w:ascii="Book Antiqua" w:hAnsi="Book Antiqua"/>
          <w:color w:val="000000"/>
          <w:sz w:val="24"/>
          <w:szCs w:val="24"/>
        </w:rPr>
        <w:t>: LII-LIV [PMID: 10196033 DOI: 10.1016/S0272-6386(99)70211-8]</w:t>
      </w:r>
    </w:p>
    <w:p w14:paraId="0D11769C" w14:textId="77777777" w:rsidR="009B15AC" w:rsidRPr="009B15AC" w:rsidRDefault="009B15AC" w:rsidP="009B15AC">
      <w:pPr>
        <w:spacing w:after="0" w:line="360" w:lineRule="auto"/>
        <w:jc w:val="both"/>
        <w:rPr>
          <w:rFonts w:ascii="Book Antiqua" w:hAnsi="Book Antiqua"/>
          <w:color w:val="000000"/>
          <w:sz w:val="24"/>
          <w:szCs w:val="24"/>
        </w:rPr>
      </w:pPr>
      <w:r w:rsidRPr="009B15AC">
        <w:rPr>
          <w:rFonts w:ascii="Book Antiqua" w:hAnsi="Book Antiqua"/>
          <w:color w:val="000000"/>
          <w:sz w:val="24"/>
          <w:szCs w:val="24"/>
        </w:rPr>
        <w:t>22</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Van Nueten JM</w:t>
      </w:r>
      <w:r w:rsidRPr="009B15AC">
        <w:rPr>
          <w:rFonts w:ascii="Book Antiqua" w:hAnsi="Book Antiqua"/>
          <w:color w:val="000000"/>
          <w:sz w:val="24"/>
          <w:szCs w:val="24"/>
        </w:rPr>
        <w:t>. Serotonin and the blood vessel wall.</w:t>
      </w:r>
      <w:r w:rsidRPr="009B15AC">
        <w:rPr>
          <w:rStyle w:val="apple-converted-space"/>
          <w:rFonts w:ascii="Book Antiqua" w:hAnsi="Book Antiqua"/>
          <w:color w:val="000000"/>
          <w:sz w:val="24"/>
          <w:szCs w:val="24"/>
        </w:rPr>
        <w:t> </w:t>
      </w:r>
      <w:r w:rsidRPr="009B15AC">
        <w:rPr>
          <w:rFonts w:ascii="Book Antiqua" w:hAnsi="Book Antiqua"/>
          <w:i/>
          <w:iCs/>
          <w:color w:val="000000"/>
          <w:sz w:val="24"/>
          <w:szCs w:val="24"/>
        </w:rPr>
        <w:t>J Cardiovasc Pharmacol</w:t>
      </w:r>
      <w:r w:rsidRPr="009B15AC">
        <w:rPr>
          <w:rStyle w:val="apple-converted-space"/>
          <w:rFonts w:ascii="Book Antiqua" w:hAnsi="Book Antiqua"/>
          <w:color w:val="000000"/>
          <w:sz w:val="24"/>
          <w:szCs w:val="24"/>
        </w:rPr>
        <w:t> </w:t>
      </w:r>
      <w:r w:rsidRPr="009B15AC">
        <w:rPr>
          <w:rFonts w:ascii="Book Antiqua" w:hAnsi="Book Antiqua"/>
          <w:color w:val="000000"/>
          <w:sz w:val="24"/>
          <w:szCs w:val="24"/>
        </w:rPr>
        <w:t>1985;</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7 Suppl 7</w:t>
      </w:r>
      <w:r w:rsidRPr="009B15AC">
        <w:rPr>
          <w:rFonts w:ascii="Book Antiqua" w:hAnsi="Book Antiqua"/>
          <w:color w:val="000000"/>
          <w:sz w:val="24"/>
          <w:szCs w:val="24"/>
        </w:rPr>
        <w:t>: S49-S51 [PMID: 2412058]</w:t>
      </w:r>
    </w:p>
    <w:p w14:paraId="71FFF42B" w14:textId="77777777" w:rsidR="009B15AC" w:rsidRPr="009B15AC" w:rsidRDefault="009B15AC" w:rsidP="009B15AC">
      <w:pPr>
        <w:spacing w:after="0" w:line="360" w:lineRule="auto"/>
        <w:jc w:val="both"/>
        <w:rPr>
          <w:rFonts w:ascii="Book Antiqua" w:hAnsi="Book Antiqua"/>
          <w:color w:val="000000"/>
          <w:sz w:val="24"/>
          <w:szCs w:val="24"/>
        </w:rPr>
      </w:pPr>
      <w:r w:rsidRPr="009B15AC">
        <w:rPr>
          <w:rFonts w:ascii="Book Antiqua" w:hAnsi="Book Antiqua"/>
          <w:color w:val="000000"/>
          <w:sz w:val="24"/>
          <w:szCs w:val="24"/>
        </w:rPr>
        <w:t>23</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Endlich K</w:t>
      </w:r>
      <w:r w:rsidRPr="009B15AC">
        <w:rPr>
          <w:rFonts w:ascii="Book Antiqua" w:hAnsi="Book Antiqua"/>
          <w:color w:val="000000"/>
          <w:sz w:val="24"/>
          <w:szCs w:val="24"/>
        </w:rPr>
        <w:t>, Kühn R, Steinhausen M. Visualization of serotonin effects on renal vessels of rats.</w:t>
      </w:r>
      <w:r w:rsidRPr="009B15AC">
        <w:rPr>
          <w:rStyle w:val="apple-converted-space"/>
          <w:rFonts w:ascii="Book Antiqua" w:hAnsi="Book Antiqua"/>
          <w:color w:val="000000"/>
          <w:sz w:val="24"/>
          <w:szCs w:val="24"/>
        </w:rPr>
        <w:t> </w:t>
      </w:r>
      <w:r w:rsidRPr="009B15AC">
        <w:rPr>
          <w:rFonts w:ascii="Book Antiqua" w:hAnsi="Book Antiqua"/>
          <w:i/>
          <w:iCs/>
          <w:color w:val="000000"/>
          <w:sz w:val="24"/>
          <w:szCs w:val="24"/>
        </w:rPr>
        <w:t>Kidney Int</w:t>
      </w:r>
      <w:r w:rsidRPr="009B15AC">
        <w:rPr>
          <w:rStyle w:val="apple-converted-space"/>
          <w:rFonts w:ascii="Book Antiqua" w:hAnsi="Book Antiqua"/>
          <w:color w:val="000000"/>
          <w:sz w:val="24"/>
          <w:szCs w:val="24"/>
        </w:rPr>
        <w:t> </w:t>
      </w:r>
      <w:r w:rsidRPr="009B15AC">
        <w:rPr>
          <w:rFonts w:ascii="Book Antiqua" w:hAnsi="Book Antiqua"/>
          <w:color w:val="000000"/>
          <w:sz w:val="24"/>
          <w:szCs w:val="24"/>
        </w:rPr>
        <w:t>1993;</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43</w:t>
      </w:r>
      <w:r w:rsidRPr="009B15AC">
        <w:rPr>
          <w:rFonts w:ascii="Book Antiqua" w:hAnsi="Book Antiqua"/>
          <w:color w:val="000000"/>
          <w:sz w:val="24"/>
          <w:szCs w:val="24"/>
        </w:rPr>
        <w:t>: 314-323 [PMID: 8441228 DOI: 10.1038/ki.1993.49]</w:t>
      </w:r>
    </w:p>
    <w:p w14:paraId="034709FD" w14:textId="77777777" w:rsidR="009B15AC" w:rsidRPr="009B15AC" w:rsidRDefault="009B15AC" w:rsidP="009B15AC">
      <w:pPr>
        <w:spacing w:after="0" w:line="360" w:lineRule="auto"/>
        <w:jc w:val="both"/>
        <w:rPr>
          <w:rFonts w:ascii="Book Antiqua" w:hAnsi="Book Antiqua"/>
          <w:color w:val="000000"/>
          <w:sz w:val="24"/>
          <w:szCs w:val="24"/>
        </w:rPr>
      </w:pPr>
      <w:r w:rsidRPr="009B15AC">
        <w:rPr>
          <w:rFonts w:ascii="Book Antiqua" w:hAnsi="Book Antiqua"/>
          <w:color w:val="000000"/>
          <w:sz w:val="24"/>
          <w:szCs w:val="24"/>
        </w:rPr>
        <w:t>24</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Dobbins JW</w:t>
      </w:r>
      <w:r w:rsidRPr="009B15AC">
        <w:rPr>
          <w:rFonts w:ascii="Book Antiqua" w:hAnsi="Book Antiqua"/>
          <w:color w:val="000000"/>
          <w:sz w:val="24"/>
          <w:szCs w:val="24"/>
        </w:rPr>
        <w:t>, Binder HJ. Importance of the colon in enteric hyperoxaluria.</w:t>
      </w:r>
      <w:r w:rsidRPr="009B15AC">
        <w:rPr>
          <w:rStyle w:val="apple-converted-space"/>
          <w:rFonts w:ascii="Book Antiqua" w:hAnsi="Book Antiqua"/>
          <w:color w:val="000000"/>
          <w:sz w:val="24"/>
          <w:szCs w:val="24"/>
        </w:rPr>
        <w:t> </w:t>
      </w:r>
      <w:r w:rsidRPr="009B15AC">
        <w:rPr>
          <w:rFonts w:ascii="Book Antiqua" w:hAnsi="Book Antiqua"/>
          <w:i/>
          <w:iCs/>
          <w:color w:val="000000"/>
          <w:sz w:val="24"/>
          <w:szCs w:val="24"/>
        </w:rPr>
        <w:t>N Engl J Med</w:t>
      </w:r>
      <w:r w:rsidRPr="009B15AC">
        <w:rPr>
          <w:rStyle w:val="apple-converted-space"/>
          <w:rFonts w:ascii="Book Antiqua" w:hAnsi="Book Antiqua"/>
          <w:color w:val="000000"/>
          <w:sz w:val="24"/>
          <w:szCs w:val="24"/>
        </w:rPr>
        <w:t> </w:t>
      </w:r>
      <w:r w:rsidRPr="009B15AC">
        <w:rPr>
          <w:rFonts w:ascii="Book Antiqua" w:hAnsi="Book Antiqua"/>
          <w:color w:val="000000"/>
          <w:sz w:val="24"/>
          <w:szCs w:val="24"/>
        </w:rPr>
        <w:t>1977;</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296</w:t>
      </w:r>
      <w:r w:rsidRPr="009B15AC">
        <w:rPr>
          <w:rFonts w:ascii="Book Antiqua" w:hAnsi="Book Antiqua"/>
          <w:color w:val="000000"/>
          <w:sz w:val="24"/>
          <w:szCs w:val="24"/>
        </w:rPr>
        <w:t>: 298-301 [PMID: 831127 DOI: 10.1056/NEJM197702102960602]</w:t>
      </w:r>
    </w:p>
    <w:p w14:paraId="5756E5D5" w14:textId="77777777" w:rsidR="009B15AC" w:rsidRPr="009B15AC" w:rsidRDefault="009B15AC" w:rsidP="009B15AC">
      <w:pPr>
        <w:spacing w:after="0" w:line="360" w:lineRule="auto"/>
        <w:jc w:val="both"/>
        <w:rPr>
          <w:rFonts w:ascii="Book Antiqua" w:hAnsi="Book Antiqua"/>
          <w:color w:val="000000"/>
          <w:sz w:val="24"/>
          <w:szCs w:val="24"/>
        </w:rPr>
      </w:pPr>
      <w:r w:rsidRPr="009B15AC">
        <w:rPr>
          <w:rFonts w:ascii="Book Antiqua" w:hAnsi="Book Antiqua"/>
          <w:color w:val="000000"/>
          <w:sz w:val="24"/>
          <w:szCs w:val="24"/>
        </w:rPr>
        <w:t>25</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Wandzilak TR</w:t>
      </w:r>
      <w:r w:rsidRPr="009B15AC">
        <w:rPr>
          <w:rFonts w:ascii="Book Antiqua" w:hAnsi="Book Antiqua"/>
          <w:color w:val="000000"/>
          <w:sz w:val="24"/>
          <w:szCs w:val="24"/>
        </w:rPr>
        <w:t>, Williams HE. The hyperoxaluric syndromes.</w:t>
      </w:r>
      <w:r w:rsidRPr="009B15AC">
        <w:rPr>
          <w:rStyle w:val="apple-converted-space"/>
          <w:rFonts w:ascii="Book Antiqua" w:hAnsi="Book Antiqua"/>
          <w:color w:val="000000"/>
          <w:sz w:val="24"/>
          <w:szCs w:val="24"/>
        </w:rPr>
        <w:t> </w:t>
      </w:r>
      <w:r w:rsidRPr="009B15AC">
        <w:rPr>
          <w:rFonts w:ascii="Book Antiqua" w:hAnsi="Book Antiqua"/>
          <w:i/>
          <w:iCs/>
          <w:color w:val="000000"/>
          <w:sz w:val="24"/>
          <w:szCs w:val="24"/>
        </w:rPr>
        <w:t>Endocrinol Metab Clin North Am</w:t>
      </w:r>
      <w:r w:rsidRPr="009B15AC">
        <w:rPr>
          <w:rStyle w:val="apple-converted-space"/>
          <w:rFonts w:ascii="Book Antiqua" w:hAnsi="Book Antiqua"/>
          <w:color w:val="000000"/>
          <w:sz w:val="24"/>
          <w:szCs w:val="24"/>
        </w:rPr>
        <w:t> </w:t>
      </w:r>
      <w:r w:rsidRPr="009B15AC">
        <w:rPr>
          <w:rFonts w:ascii="Book Antiqua" w:hAnsi="Book Antiqua"/>
          <w:color w:val="000000"/>
          <w:sz w:val="24"/>
          <w:szCs w:val="24"/>
        </w:rPr>
        <w:t>1990;</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19</w:t>
      </w:r>
      <w:r w:rsidRPr="009B15AC">
        <w:rPr>
          <w:rFonts w:ascii="Book Antiqua" w:hAnsi="Book Antiqua"/>
          <w:color w:val="000000"/>
          <w:sz w:val="24"/>
          <w:szCs w:val="24"/>
        </w:rPr>
        <w:t>: 851-867 [PMID: 2081515]</w:t>
      </w:r>
    </w:p>
    <w:p w14:paraId="3BBBFBB1" w14:textId="77777777" w:rsidR="009B15AC" w:rsidRPr="009B15AC" w:rsidRDefault="009B15AC" w:rsidP="009B15AC">
      <w:pPr>
        <w:spacing w:after="0" w:line="360" w:lineRule="auto"/>
        <w:jc w:val="both"/>
        <w:rPr>
          <w:rFonts w:ascii="Book Antiqua" w:hAnsi="Book Antiqua"/>
          <w:color w:val="000000"/>
          <w:sz w:val="24"/>
          <w:szCs w:val="24"/>
        </w:rPr>
      </w:pPr>
      <w:r w:rsidRPr="009B15AC">
        <w:rPr>
          <w:rFonts w:ascii="Book Antiqua" w:hAnsi="Book Antiqua"/>
          <w:color w:val="000000"/>
          <w:sz w:val="24"/>
          <w:szCs w:val="24"/>
        </w:rPr>
        <w:t>26</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Allison MJ</w:t>
      </w:r>
      <w:r w:rsidRPr="009B15AC">
        <w:rPr>
          <w:rFonts w:ascii="Book Antiqua" w:hAnsi="Book Antiqua"/>
          <w:color w:val="000000"/>
          <w:sz w:val="24"/>
          <w:szCs w:val="24"/>
        </w:rPr>
        <w:t>, Cook HM, Milne DB, Gallagher S, Clayman RV. Oxalate degradation by gastrointestinal bacteria from humans.</w:t>
      </w:r>
      <w:r w:rsidRPr="009B15AC">
        <w:rPr>
          <w:rStyle w:val="apple-converted-space"/>
          <w:rFonts w:ascii="Book Antiqua" w:hAnsi="Book Antiqua"/>
          <w:color w:val="000000"/>
          <w:sz w:val="24"/>
          <w:szCs w:val="24"/>
        </w:rPr>
        <w:t> </w:t>
      </w:r>
      <w:r w:rsidRPr="009B15AC">
        <w:rPr>
          <w:rFonts w:ascii="Book Antiqua" w:hAnsi="Book Antiqua"/>
          <w:i/>
          <w:iCs/>
          <w:color w:val="000000"/>
          <w:sz w:val="24"/>
          <w:szCs w:val="24"/>
        </w:rPr>
        <w:t>J Nutr</w:t>
      </w:r>
      <w:r w:rsidRPr="009B15AC">
        <w:rPr>
          <w:rStyle w:val="apple-converted-space"/>
          <w:rFonts w:ascii="Book Antiqua" w:hAnsi="Book Antiqua"/>
          <w:color w:val="000000"/>
          <w:sz w:val="24"/>
          <w:szCs w:val="24"/>
        </w:rPr>
        <w:t> </w:t>
      </w:r>
      <w:r w:rsidRPr="009B15AC">
        <w:rPr>
          <w:rFonts w:ascii="Book Antiqua" w:hAnsi="Book Antiqua"/>
          <w:color w:val="000000"/>
          <w:sz w:val="24"/>
          <w:szCs w:val="24"/>
        </w:rPr>
        <w:t>1986;</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116</w:t>
      </w:r>
      <w:r w:rsidRPr="009B15AC">
        <w:rPr>
          <w:rFonts w:ascii="Book Antiqua" w:hAnsi="Book Antiqua"/>
          <w:color w:val="000000"/>
          <w:sz w:val="24"/>
          <w:szCs w:val="24"/>
        </w:rPr>
        <w:t>: 455-460 [PMID: 3950772]</w:t>
      </w:r>
    </w:p>
    <w:p w14:paraId="35B38194" w14:textId="77777777" w:rsidR="009B15AC" w:rsidRDefault="009B15AC" w:rsidP="009B15AC">
      <w:pPr>
        <w:spacing w:after="0" w:line="360" w:lineRule="auto"/>
        <w:jc w:val="both"/>
        <w:rPr>
          <w:rFonts w:ascii="Book Antiqua" w:hAnsi="Book Antiqua"/>
          <w:color w:val="000000"/>
          <w:sz w:val="24"/>
          <w:szCs w:val="24"/>
          <w:lang w:eastAsia="zh-CN"/>
        </w:rPr>
      </w:pPr>
      <w:r w:rsidRPr="009B15AC">
        <w:rPr>
          <w:rFonts w:ascii="Book Antiqua" w:hAnsi="Book Antiqua"/>
          <w:color w:val="000000"/>
          <w:sz w:val="24"/>
          <w:szCs w:val="24"/>
        </w:rPr>
        <w:t>27</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Hill P</w:t>
      </w:r>
      <w:r w:rsidRPr="009B15AC">
        <w:rPr>
          <w:rFonts w:ascii="Book Antiqua" w:hAnsi="Book Antiqua"/>
          <w:color w:val="000000"/>
          <w:sz w:val="24"/>
          <w:szCs w:val="24"/>
        </w:rPr>
        <w:t>, Karim M, Davies DR, Roberts IS, Winearls CG. Rapidly progressive irreversible renal failure in patients with pancreatic insufficiency.</w:t>
      </w:r>
      <w:r w:rsidRPr="009B15AC">
        <w:rPr>
          <w:rStyle w:val="apple-converted-space"/>
          <w:rFonts w:ascii="Book Antiqua" w:hAnsi="Book Antiqua"/>
          <w:color w:val="000000"/>
          <w:sz w:val="24"/>
          <w:szCs w:val="24"/>
        </w:rPr>
        <w:t> </w:t>
      </w:r>
      <w:r w:rsidRPr="009B15AC">
        <w:rPr>
          <w:rFonts w:ascii="Book Antiqua" w:hAnsi="Book Antiqua"/>
          <w:i/>
          <w:iCs/>
          <w:color w:val="000000"/>
          <w:sz w:val="24"/>
          <w:szCs w:val="24"/>
        </w:rPr>
        <w:t>Am J Kidney Dis</w:t>
      </w:r>
      <w:r w:rsidRPr="009B15AC">
        <w:rPr>
          <w:rStyle w:val="apple-converted-space"/>
          <w:rFonts w:ascii="Book Antiqua" w:hAnsi="Book Antiqua"/>
          <w:color w:val="000000"/>
          <w:sz w:val="24"/>
          <w:szCs w:val="24"/>
        </w:rPr>
        <w:t> </w:t>
      </w:r>
      <w:r w:rsidRPr="009B15AC">
        <w:rPr>
          <w:rFonts w:ascii="Book Antiqua" w:hAnsi="Book Antiqua"/>
          <w:color w:val="000000"/>
          <w:sz w:val="24"/>
          <w:szCs w:val="24"/>
        </w:rPr>
        <w:t>2003;</w:t>
      </w:r>
      <w:r w:rsidRPr="009B15AC">
        <w:rPr>
          <w:rStyle w:val="apple-converted-space"/>
          <w:rFonts w:ascii="Book Antiqua" w:hAnsi="Book Antiqua"/>
          <w:color w:val="000000"/>
          <w:sz w:val="24"/>
          <w:szCs w:val="24"/>
        </w:rPr>
        <w:t> </w:t>
      </w:r>
      <w:r w:rsidRPr="009B15AC">
        <w:rPr>
          <w:rFonts w:ascii="Book Antiqua" w:hAnsi="Book Antiqua"/>
          <w:b/>
          <w:bCs/>
          <w:color w:val="000000"/>
          <w:sz w:val="24"/>
          <w:szCs w:val="24"/>
        </w:rPr>
        <w:t>42</w:t>
      </w:r>
      <w:r w:rsidRPr="009B15AC">
        <w:rPr>
          <w:rFonts w:ascii="Book Antiqua" w:hAnsi="Book Antiqua"/>
          <w:color w:val="000000"/>
          <w:sz w:val="24"/>
          <w:szCs w:val="24"/>
        </w:rPr>
        <w:t>: 842-845 [PMID: 14520637 DOI: 10.1016/S0272-6386(03)00948-X]</w:t>
      </w:r>
    </w:p>
    <w:p w14:paraId="4BC2A75A" w14:textId="77777777" w:rsidR="009B15AC" w:rsidRDefault="009B15AC" w:rsidP="009B15AC">
      <w:pPr>
        <w:spacing w:after="0" w:line="360" w:lineRule="auto"/>
        <w:jc w:val="both"/>
        <w:rPr>
          <w:rFonts w:ascii="Book Antiqua" w:hAnsi="Book Antiqua"/>
          <w:color w:val="000000"/>
          <w:sz w:val="24"/>
          <w:szCs w:val="24"/>
          <w:lang w:eastAsia="zh-CN"/>
        </w:rPr>
      </w:pPr>
    </w:p>
    <w:p w14:paraId="283783B1" w14:textId="353ED68D" w:rsidR="009B15AC" w:rsidRPr="00691EF4" w:rsidRDefault="009B15AC" w:rsidP="009B15AC">
      <w:pPr>
        <w:pStyle w:val="1"/>
        <w:wordWrap w:val="0"/>
        <w:spacing w:line="360" w:lineRule="auto"/>
        <w:ind w:left="360" w:right="120"/>
        <w:jc w:val="right"/>
        <w:rPr>
          <w:rFonts w:ascii="Book Antiqua" w:hAnsi="Book Antiqua"/>
          <w:b/>
          <w:bCs/>
          <w:lang w:eastAsia="zh-CN"/>
        </w:rPr>
      </w:pPr>
      <w:bookmarkStart w:id="18" w:name="OLE_LINK139"/>
      <w:bookmarkStart w:id="19" w:name="OLE_LINK142"/>
      <w:bookmarkStart w:id="20" w:name="OLE_LINK187"/>
      <w:r w:rsidRPr="00691EF4">
        <w:rPr>
          <w:rStyle w:val="af"/>
          <w:rFonts w:ascii="Book Antiqua" w:hAnsi="Book Antiqua" w:cs="Arial"/>
          <w:noProof/>
        </w:rPr>
        <w:t>P-Reviewers</w:t>
      </w:r>
      <w:r w:rsidRPr="00691EF4">
        <w:rPr>
          <w:rStyle w:val="af"/>
          <w:rFonts w:ascii="Book Antiqua" w:hAnsi="Book Antiqua" w:cs="Arial"/>
          <w:noProof/>
          <w:lang w:eastAsia="zh-CN"/>
        </w:rPr>
        <w:t>:</w:t>
      </w:r>
      <w:r>
        <w:rPr>
          <w:rFonts w:ascii="Book Antiqua" w:hAnsi="Book Antiqua"/>
          <w:bCs/>
        </w:rPr>
        <w:t xml:space="preserve"> </w:t>
      </w:r>
      <w:r w:rsidRPr="009B15AC">
        <w:rPr>
          <w:rFonts w:ascii="Book Antiqua" w:hAnsi="Book Antiqua"/>
          <w:bCs/>
          <w:lang w:eastAsia="zh-CN"/>
        </w:rPr>
        <w:t>Du</w:t>
      </w:r>
      <w:r>
        <w:rPr>
          <w:rFonts w:ascii="Book Antiqua" w:hAnsi="Book Antiqua" w:hint="eastAsia"/>
          <w:bCs/>
          <w:lang w:eastAsia="zh-CN"/>
        </w:rPr>
        <w:t xml:space="preserve"> </w:t>
      </w:r>
      <w:r w:rsidRPr="009B15AC">
        <w:rPr>
          <w:rFonts w:ascii="Book Antiqua" w:hAnsi="Book Antiqua"/>
          <w:bCs/>
          <w:lang w:eastAsia="zh-CN"/>
        </w:rPr>
        <w:t>C</w:t>
      </w:r>
      <w:r w:rsidRPr="009B15AC">
        <w:rPr>
          <w:rFonts w:ascii="Book Antiqua" w:hAnsi="Book Antiqua" w:hint="eastAsia"/>
          <w:bCs/>
          <w:lang w:eastAsia="zh-CN"/>
        </w:rPr>
        <w:t xml:space="preserve">, </w:t>
      </w:r>
      <w:r w:rsidRPr="009B15AC">
        <w:rPr>
          <w:rFonts w:ascii="Book Antiqua" w:hAnsi="Book Antiqua"/>
          <w:bCs/>
          <w:lang w:eastAsia="zh-CN"/>
        </w:rPr>
        <w:t>Gurjar</w:t>
      </w:r>
      <w:r>
        <w:rPr>
          <w:rFonts w:ascii="Book Antiqua" w:hAnsi="Book Antiqua" w:hint="eastAsia"/>
          <w:bCs/>
          <w:lang w:eastAsia="zh-CN"/>
        </w:rPr>
        <w:t xml:space="preserve"> </w:t>
      </w:r>
      <w:r w:rsidRPr="009B15AC">
        <w:rPr>
          <w:rFonts w:ascii="Book Antiqua" w:hAnsi="Book Antiqua"/>
          <w:bCs/>
          <w:lang w:eastAsia="zh-CN"/>
        </w:rPr>
        <w:t>M</w:t>
      </w:r>
      <w:r w:rsidRPr="00691EF4">
        <w:rPr>
          <w:rFonts w:ascii="Book Antiqua" w:hAnsi="Book Antiqua"/>
          <w:bCs/>
          <w:lang w:eastAsia="zh-CN"/>
        </w:rPr>
        <w:t xml:space="preserve">  </w:t>
      </w:r>
      <w:r w:rsidRPr="00691EF4">
        <w:rPr>
          <w:rFonts w:ascii="Book Antiqua" w:hAnsi="Book Antiqua"/>
          <w:b/>
          <w:bCs/>
        </w:rPr>
        <w:t>S-Editor</w:t>
      </w:r>
      <w:r w:rsidRPr="00691EF4">
        <w:rPr>
          <w:rFonts w:ascii="Book Antiqua" w:hAnsi="Book Antiqua"/>
          <w:b/>
          <w:bCs/>
          <w:lang w:eastAsia="zh-CN"/>
        </w:rPr>
        <w:t>:</w:t>
      </w:r>
      <w:r w:rsidRPr="00691EF4">
        <w:rPr>
          <w:rFonts w:ascii="Book Antiqua" w:hAnsi="Book Antiqua"/>
          <w:bCs/>
        </w:rPr>
        <w:t xml:space="preserve"> </w:t>
      </w:r>
      <w:r>
        <w:rPr>
          <w:rFonts w:ascii="Book Antiqua" w:hAnsi="Book Antiqua" w:hint="eastAsia"/>
          <w:bCs/>
          <w:lang w:eastAsia="zh-CN"/>
        </w:rPr>
        <w:t xml:space="preserve">Song XX </w:t>
      </w:r>
      <w:r w:rsidRPr="00691EF4">
        <w:rPr>
          <w:rFonts w:ascii="Book Antiqua" w:hAnsi="Book Antiqua"/>
          <w:b/>
          <w:bCs/>
        </w:rPr>
        <w:t>L-Editor</w:t>
      </w:r>
      <w:r w:rsidRPr="00691EF4">
        <w:rPr>
          <w:rFonts w:ascii="Book Antiqua" w:hAnsi="Book Antiqua"/>
          <w:b/>
          <w:bCs/>
          <w:lang w:eastAsia="zh-CN"/>
        </w:rPr>
        <w:t>:</w:t>
      </w:r>
      <w:r w:rsidRPr="00691EF4">
        <w:rPr>
          <w:rFonts w:ascii="Book Antiqua" w:hAnsi="Book Antiqua"/>
          <w:b/>
          <w:bCs/>
        </w:rPr>
        <w:t xml:space="preserve"> E-Editor</w:t>
      </w:r>
      <w:bookmarkEnd w:id="18"/>
      <w:r w:rsidRPr="00691EF4">
        <w:rPr>
          <w:rFonts w:ascii="Book Antiqua" w:hAnsi="Book Antiqua"/>
          <w:b/>
          <w:bCs/>
          <w:lang w:eastAsia="zh-CN"/>
        </w:rPr>
        <w:t>:</w:t>
      </w:r>
    </w:p>
    <w:bookmarkEnd w:id="19"/>
    <w:bookmarkEnd w:id="20"/>
    <w:p w14:paraId="059B0C67" w14:textId="77777777" w:rsidR="009B15AC" w:rsidRPr="009B15AC" w:rsidRDefault="009B15AC" w:rsidP="009B15AC">
      <w:pPr>
        <w:spacing w:after="0" w:line="360" w:lineRule="auto"/>
        <w:jc w:val="both"/>
        <w:rPr>
          <w:rFonts w:ascii="Book Antiqua" w:hAnsi="Book Antiqua"/>
          <w:color w:val="000000"/>
          <w:sz w:val="24"/>
          <w:szCs w:val="24"/>
          <w:lang w:val="en-US" w:eastAsia="zh-CN"/>
        </w:rPr>
      </w:pPr>
    </w:p>
    <w:p w14:paraId="2D70C9BB" w14:textId="427EE128" w:rsidR="00136123" w:rsidRPr="00373D70" w:rsidRDefault="009B15AC" w:rsidP="009B15AC">
      <w:pPr>
        <w:spacing w:after="0" w:line="360" w:lineRule="auto"/>
        <w:jc w:val="both"/>
        <w:rPr>
          <w:rFonts w:ascii="Book Antiqua" w:hAnsi="Book Antiqua" w:cs="Arial"/>
          <w:sz w:val="24"/>
          <w:szCs w:val="24"/>
        </w:rPr>
      </w:pPr>
      <w:r w:rsidRPr="00373D70">
        <w:rPr>
          <w:rFonts w:ascii="Book Antiqua" w:hAnsi="Book Antiqua" w:cs="Arial"/>
          <w:noProof/>
          <w:sz w:val="24"/>
          <w:szCs w:val="24"/>
          <w:lang w:val="en-US" w:eastAsia="zh-CN"/>
        </w:rPr>
        <w:t xml:space="preserve"> </w:t>
      </w:r>
      <w:r w:rsidR="00136123" w:rsidRPr="00373D70">
        <w:rPr>
          <w:rFonts w:ascii="Book Antiqua" w:hAnsi="Book Antiqua" w:cs="Arial"/>
          <w:noProof/>
          <w:sz w:val="24"/>
          <w:szCs w:val="24"/>
          <w:lang w:val="en-US" w:eastAsia="zh-CN"/>
        </w:rPr>
        <w:drawing>
          <wp:inline distT="0" distB="0" distL="0" distR="0" wp14:anchorId="4BB63EEA" wp14:editId="74DB719D">
            <wp:extent cx="3822700" cy="2044700"/>
            <wp:effectExtent l="0" t="0" r="2540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21651B0" w14:textId="6935BF38" w:rsidR="00840F7A" w:rsidRPr="009B15AC" w:rsidRDefault="00840F7A" w:rsidP="00840F7A">
      <w:pPr>
        <w:spacing w:after="0" w:line="360" w:lineRule="auto"/>
        <w:jc w:val="both"/>
        <w:rPr>
          <w:rFonts w:ascii="Book Antiqua" w:hAnsi="Book Antiqua" w:cs="Arial"/>
          <w:b/>
          <w:sz w:val="24"/>
          <w:szCs w:val="24"/>
          <w:lang w:eastAsia="zh-CN"/>
        </w:rPr>
      </w:pPr>
      <w:r w:rsidRPr="009B15AC">
        <w:rPr>
          <w:rFonts w:ascii="Book Antiqua" w:hAnsi="Book Antiqua" w:cs="Arial"/>
          <w:b/>
          <w:sz w:val="24"/>
          <w:szCs w:val="24"/>
        </w:rPr>
        <w:t>Figure 1</w:t>
      </w:r>
      <w:r w:rsidR="009B15AC" w:rsidRPr="009B15AC">
        <w:rPr>
          <w:rFonts w:ascii="Book Antiqua" w:hAnsi="Book Antiqua" w:cs="Arial" w:hint="eastAsia"/>
          <w:b/>
          <w:sz w:val="24"/>
          <w:szCs w:val="24"/>
          <w:lang w:eastAsia="zh-CN"/>
        </w:rPr>
        <w:t xml:space="preserve"> The level of </w:t>
      </w:r>
      <w:r w:rsidR="009B15AC" w:rsidRPr="009B15AC">
        <w:rPr>
          <w:rFonts w:ascii="Book Antiqua" w:hAnsi="Book Antiqua" w:cs="Arial"/>
          <w:b/>
          <w:sz w:val="24"/>
          <w:szCs w:val="24"/>
        </w:rPr>
        <w:t>patient</w:t>
      </w:r>
      <w:r w:rsidR="009B15AC" w:rsidRPr="009B15AC">
        <w:rPr>
          <w:rFonts w:ascii="Book Antiqua" w:hAnsi="Book Antiqua" w:cs="Arial"/>
          <w:b/>
          <w:sz w:val="24"/>
          <w:szCs w:val="24"/>
          <w:lang w:eastAsia="zh-CN"/>
        </w:rPr>
        <w:t>’</w:t>
      </w:r>
      <w:r w:rsidR="009B15AC" w:rsidRPr="009B15AC">
        <w:rPr>
          <w:rFonts w:ascii="Book Antiqua" w:hAnsi="Book Antiqua" w:cs="Arial" w:hint="eastAsia"/>
          <w:b/>
          <w:sz w:val="24"/>
          <w:szCs w:val="24"/>
          <w:lang w:eastAsia="zh-CN"/>
        </w:rPr>
        <w:t>s</w:t>
      </w:r>
      <w:r w:rsidR="009B15AC" w:rsidRPr="009B15AC">
        <w:rPr>
          <w:rFonts w:ascii="Book Antiqua" w:hAnsi="Book Antiqua" w:cs="Arial"/>
          <w:b/>
          <w:sz w:val="24"/>
          <w:szCs w:val="24"/>
        </w:rPr>
        <w:t xml:space="preserve"> creatinine</w:t>
      </w:r>
      <w:r w:rsidR="009B15AC" w:rsidRPr="009B15AC">
        <w:rPr>
          <w:rFonts w:ascii="Book Antiqua" w:hAnsi="Book Antiqua" w:cs="Arial" w:hint="eastAsia"/>
          <w:b/>
          <w:sz w:val="24"/>
          <w:szCs w:val="24"/>
          <w:lang w:eastAsia="zh-CN"/>
        </w:rPr>
        <w:t>.</w:t>
      </w:r>
    </w:p>
    <w:p w14:paraId="5AF7C454" w14:textId="77777777" w:rsidR="00136123" w:rsidRPr="00373D70" w:rsidRDefault="00136123" w:rsidP="00B95DC7">
      <w:pPr>
        <w:spacing w:after="0" w:line="360" w:lineRule="auto"/>
        <w:jc w:val="both"/>
        <w:rPr>
          <w:rFonts w:ascii="Book Antiqua" w:hAnsi="Book Antiqua" w:cs="Arial"/>
          <w:sz w:val="24"/>
          <w:szCs w:val="24"/>
        </w:rPr>
      </w:pPr>
    </w:p>
    <w:p w14:paraId="4EFE3FAD" w14:textId="77777777" w:rsidR="00136123" w:rsidRPr="00373D70" w:rsidRDefault="00136123" w:rsidP="00B95DC7">
      <w:pPr>
        <w:spacing w:after="0" w:line="360" w:lineRule="auto"/>
        <w:jc w:val="both"/>
        <w:rPr>
          <w:rFonts w:ascii="Book Antiqua" w:hAnsi="Book Antiqua" w:cs="Arial"/>
          <w:b/>
          <w:sz w:val="24"/>
          <w:szCs w:val="24"/>
        </w:rPr>
      </w:pPr>
      <w:r w:rsidRPr="00373D70">
        <w:rPr>
          <w:rFonts w:ascii="Book Antiqua" w:hAnsi="Book Antiqua" w:cs="Arial"/>
          <w:b/>
          <w:noProof/>
          <w:sz w:val="24"/>
          <w:szCs w:val="24"/>
          <w:lang w:val="en-US" w:eastAsia="zh-CN"/>
        </w:rPr>
        <w:drawing>
          <wp:inline distT="0" distB="0" distL="0" distR="0" wp14:anchorId="57CF2AC5" wp14:editId="01462275">
            <wp:extent cx="3870251" cy="3067050"/>
            <wp:effectExtent l="0" t="0" r="0" b="0"/>
            <wp:docPr id="2" name="Picture 1" descr="C:\Residency\Research\GI Case report\Biopsy pics\H&amp;E_10X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idency\Research\GI Case report\Biopsy pics\H&amp;E_10X_2.jpg"/>
                    <pic:cNvPicPr>
                      <a:picLocks noChangeAspect="1" noChangeArrowheads="1"/>
                    </pic:cNvPicPr>
                  </pic:nvPicPr>
                  <pic:blipFill>
                    <a:blip r:embed="rId9"/>
                    <a:srcRect/>
                    <a:stretch>
                      <a:fillRect/>
                    </a:stretch>
                  </pic:blipFill>
                  <pic:spPr bwMode="auto">
                    <a:xfrm>
                      <a:off x="0" y="0"/>
                      <a:ext cx="3870251" cy="3067050"/>
                    </a:xfrm>
                    <a:prstGeom prst="rect">
                      <a:avLst/>
                    </a:prstGeom>
                    <a:noFill/>
                    <a:ln w="9525">
                      <a:noFill/>
                      <a:miter lim="800000"/>
                      <a:headEnd/>
                      <a:tailEnd/>
                    </a:ln>
                  </pic:spPr>
                </pic:pic>
              </a:graphicData>
            </a:graphic>
          </wp:inline>
        </w:drawing>
      </w:r>
    </w:p>
    <w:p w14:paraId="77757791" w14:textId="34BD0C22" w:rsidR="00136123" w:rsidRPr="00373D70" w:rsidRDefault="00525243" w:rsidP="00B95DC7">
      <w:pPr>
        <w:spacing w:after="0" w:line="360" w:lineRule="auto"/>
        <w:jc w:val="both"/>
        <w:rPr>
          <w:rStyle w:val="st"/>
          <w:rFonts w:ascii="Book Antiqua" w:hAnsi="Book Antiqua" w:cs="Arial" w:hint="eastAsia"/>
          <w:color w:val="222222"/>
          <w:sz w:val="24"/>
          <w:szCs w:val="24"/>
          <w:lang w:eastAsia="zh-CN"/>
        </w:rPr>
      </w:pPr>
      <w:r>
        <w:rPr>
          <w:rStyle w:val="st"/>
          <w:rFonts w:ascii="Book Antiqua" w:hAnsi="Book Antiqua" w:cs="Arial" w:hint="eastAsia"/>
          <w:color w:val="222222"/>
          <w:sz w:val="24"/>
          <w:szCs w:val="24"/>
          <w:lang w:eastAsia="zh-CN"/>
        </w:rPr>
        <w:t>2A</w:t>
      </w:r>
    </w:p>
    <w:p w14:paraId="735E6FE3" w14:textId="77777777" w:rsidR="007523E7" w:rsidRPr="00373D70" w:rsidRDefault="007523E7" w:rsidP="00B95DC7">
      <w:pPr>
        <w:spacing w:after="0" w:line="360" w:lineRule="auto"/>
        <w:jc w:val="both"/>
        <w:rPr>
          <w:rFonts w:ascii="Book Antiqua" w:hAnsi="Book Antiqua" w:cs="Arial"/>
          <w:b/>
          <w:sz w:val="24"/>
          <w:szCs w:val="24"/>
        </w:rPr>
      </w:pPr>
      <w:r w:rsidRPr="00373D70">
        <w:rPr>
          <w:rFonts w:ascii="Book Antiqua" w:hAnsi="Book Antiqua" w:cs="Arial"/>
          <w:b/>
          <w:noProof/>
          <w:sz w:val="24"/>
          <w:szCs w:val="24"/>
          <w:lang w:val="en-US" w:eastAsia="zh-CN"/>
        </w:rPr>
        <w:drawing>
          <wp:inline distT="0" distB="0" distL="0" distR="0" wp14:anchorId="0055A127" wp14:editId="0FEA8DB1">
            <wp:extent cx="3926341" cy="3111500"/>
            <wp:effectExtent l="0" t="0" r="0" b="0"/>
            <wp:docPr id="3" name="Picture 2" descr="C:\Residency\Research\GI Case report\Biopsy pics\H&amp;E_40X_polarized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idency\Research\GI Case report\Biopsy pics\H&amp;E_40X_polarized light.jpg"/>
                    <pic:cNvPicPr>
                      <a:picLocks noChangeAspect="1" noChangeArrowheads="1"/>
                    </pic:cNvPicPr>
                  </pic:nvPicPr>
                  <pic:blipFill>
                    <a:blip r:embed="rId10"/>
                    <a:srcRect/>
                    <a:stretch>
                      <a:fillRect/>
                    </a:stretch>
                  </pic:blipFill>
                  <pic:spPr bwMode="auto">
                    <a:xfrm>
                      <a:off x="0" y="0"/>
                      <a:ext cx="3926341" cy="3111500"/>
                    </a:xfrm>
                    <a:prstGeom prst="rect">
                      <a:avLst/>
                    </a:prstGeom>
                    <a:noFill/>
                    <a:ln w="9525">
                      <a:noFill/>
                      <a:miter lim="800000"/>
                      <a:headEnd/>
                      <a:tailEnd/>
                    </a:ln>
                  </pic:spPr>
                </pic:pic>
              </a:graphicData>
            </a:graphic>
          </wp:inline>
        </w:drawing>
      </w:r>
    </w:p>
    <w:p w14:paraId="7C50145D" w14:textId="4284F58E" w:rsidR="00525243" w:rsidRPr="00525243" w:rsidRDefault="00525243" w:rsidP="00B95DC7">
      <w:pPr>
        <w:spacing w:after="0" w:line="360" w:lineRule="auto"/>
        <w:jc w:val="both"/>
        <w:rPr>
          <w:rFonts w:ascii="Book Antiqua" w:hAnsi="Book Antiqua" w:cs="Arial" w:hint="eastAsia"/>
          <w:sz w:val="24"/>
          <w:szCs w:val="24"/>
          <w:lang w:eastAsia="zh-CN"/>
        </w:rPr>
      </w:pPr>
      <w:r w:rsidRPr="00525243">
        <w:rPr>
          <w:rFonts w:ascii="Book Antiqua" w:hAnsi="Book Antiqua" w:cs="Arial" w:hint="eastAsia"/>
          <w:sz w:val="24"/>
          <w:szCs w:val="24"/>
          <w:lang w:eastAsia="zh-CN"/>
        </w:rPr>
        <w:t>2B</w:t>
      </w:r>
    </w:p>
    <w:p w14:paraId="272A1E09" w14:textId="77777777" w:rsidR="00525243" w:rsidRDefault="00525243" w:rsidP="00B95DC7">
      <w:pPr>
        <w:spacing w:after="0" w:line="360" w:lineRule="auto"/>
        <w:jc w:val="both"/>
        <w:rPr>
          <w:rFonts w:ascii="Book Antiqua" w:hAnsi="Book Antiqua" w:cs="Arial" w:hint="eastAsia"/>
          <w:b/>
          <w:sz w:val="24"/>
          <w:szCs w:val="24"/>
          <w:lang w:eastAsia="zh-CN"/>
        </w:rPr>
      </w:pPr>
    </w:p>
    <w:p w14:paraId="1239BA8C" w14:textId="2D68F4FD" w:rsidR="009E70B5" w:rsidRPr="00525243" w:rsidRDefault="00525243" w:rsidP="00B95DC7">
      <w:pPr>
        <w:spacing w:after="0" w:line="360" w:lineRule="auto"/>
        <w:jc w:val="both"/>
        <w:rPr>
          <w:rFonts w:ascii="Book Antiqua" w:hAnsi="Book Antiqua" w:cs="Arial"/>
          <w:color w:val="222222"/>
          <w:sz w:val="24"/>
          <w:szCs w:val="24"/>
          <w:lang w:eastAsia="zh-CN"/>
        </w:rPr>
      </w:pPr>
      <w:r w:rsidRPr="00840F7A">
        <w:rPr>
          <w:rFonts w:ascii="Book Antiqua" w:hAnsi="Book Antiqua" w:cs="Arial"/>
          <w:b/>
          <w:sz w:val="24"/>
          <w:szCs w:val="24"/>
        </w:rPr>
        <w:t>Figure 2</w:t>
      </w:r>
      <w:r w:rsidRPr="00840F7A">
        <w:rPr>
          <w:rFonts w:ascii="Book Antiqua" w:hAnsi="Book Antiqua" w:cs="Arial" w:hint="eastAsia"/>
          <w:b/>
          <w:sz w:val="24"/>
          <w:szCs w:val="24"/>
          <w:lang w:eastAsia="zh-CN"/>
        </w:rPr>
        <w:t xml:space="preserve"> </w:t>
      </w:r>
      <w:r w:rsidRPr="00840F7A">
        <w:rPr>
          <w:rStyle w:val="st"/>
          <w:rFonts w:ascii="Book Antiqua" w:hAnsi="Book Antiqua" w:cs="Arial"/>
          <w:b/>
          <w:color w:val="222222"/>
          <w:sz w:val="24"/>
          <w:szCs w:val="24"/>
        </w:rPr>
        <w:t>Hematoxylin and eosin stain</w:t>
      </w:r>
      <w:r>
        <w:rPr>
          <w:rStyle w:val="st"/>
          <w:rFonts w:ascii="Book Antiqua" w:hAnsi="Book Antiqua" w:cs="Arial" w:hint="eastAsia"/>
          <w:b/>
          <w:color w:val="222222"/>
          <w:sz w:val="24"/>
          <w:szCs w:val="24"/>
          <w:lang w:eastAsia="zh-CN"/>
        </w:rPr>
        <w:t xml:space="preserve">. </w:t>
      </w:r>
      <w:bookmarkStart w:id="21" w:name="_GoBack"/>
      <w:r w:rsidRPr="00525243">
        <w:rPr>
          <w:rStyle w:val="st"/>
          <w:rFonts w:ascii="Book Antiqua" w:hAnsi="Book Antiqua" w:cs="Arial" w:hint="eastAsia"/>
          <w:color w:val="222222"/>
          <w:sz w:val="24"/>
          <w:szCs w:val="24"/>
          <w:lang w:eastAsia="zh-CN"/>
        </w:rPr>
        <w:t xml:space="preserve">A: </w:t>
      </w:r>
      <w:r w:rsidRPr="00525243">
        <w:rPr>
          <w:rStyle w:val="st"/>
          <w:rFonts w:ascii="Book Antiqua" w:hAnsi="Book Antiqua" w:cs="Arial"/>
          <w:color w:val="222222"/>
          <w:sz w:val="24"/>
          <w:szCs w:val="24"/>
        </w:rPr>
        <w:t>Hematoxylin and eosin stain demonstrating moderate interstitial fibrosis and tubular atrophy</w:t>
      </w:r>
      <w:r w:rsidRPr="00525243">
        <w:rPr>
          <w:rStyle w:val="st"/>
          <w:rFonts w:ascii="Book Antiqua" w:hAnsi="Book Antiqua" w:cs="Arial" w:hint="eastAsia"/>
          <w:color w:val="222222"/>
          <w:sz w:val="24"/>
          <w:szCs w:val="24"/>
          <w:lang w:eastAsia="zh-CN"/>
        </w:rPr>
        <w:t>;</w:t>
      </w:r>
      <w:r w:rsidRPr="00525243">
        <w:rPr>
          <w:rStyle w:val="st"/>
          <w:rFonts w:ascii="Book Antiqua" w:hAnsi="Book Antiqua" w:cs="Arial" w:hint="eastAsia"/>
          <w:sz w:val="24"/>
          <w:szCs w:val="24"/>
          <w:lang w:eastAsia="zh-CN"/>
        </w:rPr>
        <w:t xml:space="preserve"> B: </w:t>
      </w:r>
      <w:r w:rsidR="007523E7" w:rsidRPr="00525243">
        <w:rPr>
          <w:rStyle w:val="st"/>
          <w:rFonts w:ascii="Book Antiqua" w:hAnsi="Book Antiqua" w:cs="Arial"/>
          <w:color w:val="222222"/>
          <w:sz w:val="24"/>
          <w:szCs w:val="24"/>
        </w:rPr>
        <w:t xml:space="preserve">Hematoxylin and eosin stain with polarized light demonstrating calcium oxalate deposition within the tubules. </w:t>
      </w:r>
      <w:bookmarkEnd w:id="21"/>
    </w:p>
    <w:sectPr w:rsidR="009E70B5" w:rsidRPr="00525243" w:rsidSect="00323805">
      <w:footerReference w:type="even" r:id="rId11"/>
      <w:footerReference w:type="default" r:id="rId12"/>
      <w:pgSz w:w="12240" w:h="15840"/>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12D2E4" w15:done="0"/>
  <w15:commentEx w15:paraId="36314BBF" w15:done="0"/>
  <w15:commentEx w15:paraId="057A6E67" w15:done="0"/>
  <w15:commentEx w15:paraId="1A6D2BF7" w15:done="0"/>
  <w15:commentEx w15:paraId="693C60E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50EFD1" w14:textId="77777777" w:rsidR="00CA158E" w:rsidRDefault="00CA158E" w:rsidP="004C0199">
      <w:pPr>
        <w:spacing w:after="0" w:line="240" w:lineRule="auto"/>
      </w:pPr>
      <w:r>
        <w:separator/>
      </w:r>
    </w:p>
  </w:endnote>
  <w:endnote w:type="continuationSeparator" w:id="0">
    <w:p w14:paraId="1CC29A00" w14:textId="77777777" w:rsidR="00CA158E" w:rsidRDefault="00CA158E" w:rsidP="004C0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ngs">
    <w:altName w:val="MS Mincho"/>
    <w:panose1 w:val="00000000000000000000"/>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26D9C" w14:textId="77777777" w:rsidR="00B226FF" w:rsidRDefault="004D351F" w:rsidP="00B226FF">
    <w:pPr>
      <w:pStyle w:val="a9"/>
      <w:framePr w:wrap="around" w:vAnchor="text" w:hAnchor="margin" w:xAlign="center" w:y="1"/>
      <w:rPr>
        <w:rStyle w:val="aa"/>
      </w:rPr>
    </w:pPr>
    <w:r>
      <w:rPr>
        <w:rStyle w:val="aa"/>
      </w:rPr>
      <w:fldChar w:fldCharType="begin"/>
    </w:r>
    <w:r w:rsidR="009E70B5">
      <w:rPr>
        <w:rStyle w:val="aa"/>
      </w:rPr>
      <w:instrText xml:space="preserve">PAGE  </w:instrText>
    </w:r>
    <w:r>
      <w:rPr>
        <w:rStyle w:val="aa"/>
      </w:rPr>
      <w:fldChar w:fldCharType="end"/>
    </w:r>
  </w:p>
  <w:p w14:paraId="23E3C14E" w14:textId="77777777" w:rsidR="00B226FF" w:rsidRDefault="00B226FF" w:rsidP="00B226FF">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3D24C" w14:textId="77777777" w:rsidR="00B226FF" w:rsidRPr="00B226FF" w:rsidRDefault="004D351F" w:rsidP="00B226FF">
    <w:pPr>
      <w:pStyle w:val="a9"/>
      <w:framePr w:wrap="around" w:vAnchor="text" w:hAnchor="margin" w:xAlign="center" w:y="1"/>
      <w:rPr>
        <w:rStyle w:val="aa"/>
        <w:rFonts w:ascii="Times New Roman" w:hAnsi="Times New Roman"/>
        <w:sz w:val="24"/>
        <w:szCs w:val="24"/>
      </w:rPr>
    </w:pPr>
    <w:r w:rsidRPr="009E70B5">
      <w:rPr>
        <w:rStyle w:val="aa"/>
        <w:rFonts w:ascii="Times New Roman" w:hAnsi="Times New Roman"/>
        <w:sz w:val="24"/>
        <w:szCs w:val="24"/>
      </w:rPr>
      <w:fldChar w:fldCharType="begin"/>
    </w:r>
    <w:r w:rsidR="00B226FF" w:rsidRPr="00B226FF">
      <w:rPr>
        <w:rStyle w:val="aa"/>
        <w:rFonts w:ascii="Times New Roman" w:hAnsi="Times New Roman"/>
        <w:sz w:val="24"/>
        <w:szCs w:val="24"/>
      </w:rPr>
      <w:instrText xml:space="preserve">PAGE  </w:instrText>
    </w:r>
    <w:r w:rsidRPr="009E70B5">
      <w:rPr>
        <w:rStyle w:val="aa"/>
        <w:rFonts w:ascii="Times New Roman" w:hAnsi="Times New Roman"/>
        <w:sz w:val="24"/>
        <w:szCs w:val="24"/>
      </w:rPr>
      <w:fldChar w:fldCharType="separate"/>
    </w:r>
    <w:r w:rsidR="00CA158E">
      <w:rPr>
        <w:rStyle w:val="aa"/>
        <w:rFonts w:ascii="Times New Roman" w:hAnsi="Times New Roman"/>
        <w:noProof/>
        <w:sz w:val="24"/>
        <w:szCs w:val="24"/>
      </w:rPr>
      <w:t>1</w:t>
    </w:r>
    <w:r w:rsidRPr="009E70B5">
      <w:rPr>
        <w:rStyle w:val="aa"/>
        <w:rFonts w:ascii="Times New Roman" w:hAnsi="Times New Roman"/>
        <w:sz w:val="24"/>
        <w:szCs w:val="24"/>
      </w:rPr>
      <w:fldChar w:fldCharType="end"/>
    </w:r>
  </w:p>
  <w:p w14:paraId="5E679409" w14:textId="77777777" w:rsidR="00B226FF" w:rsidRDefault="00B226FF" w:rsidP="00B226FF">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48378" w14:textId="77777777" w:rsidR="00CA158E" w:rsidRDefault="00CA158E" w:rsidP="004C0199">
      <w:pPr>
        <w:spacing w:after="0" w:line="240" w:lineRule="auto"/>
      </w:pPr>
      <w:r>
        <w:separator/>
      </w:r>
    </w:p>
  </w:footnote>
  <w:footnote w:type="continuationSeparator" w:id="0">
    <w:p w14:paraId="6ADCCCF6" w14:textId="77777777" w:rsidR="00CA158E" w:rsidRDefault="00CA158E" w:rsidP="004C0199">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thika">
    <w15:presenceInfo w15:providerId="Windows Live" w15:userId="b65d2f2001ac1c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1&lt;/Enabled&gt;&lt;ScanUnformatted&gt;1&lt;/ScanUnformatted&gt;&lt;ScanChanges&gt;1&lt;/ScanChanges&gt;&lt;/ENInstantFormat&gt;"/>
    <w:docVar w:name="REFMGR.Layout" w:val="&lt;ENLayout&gt;&lt;Style&gt;New England Journal of Medicine&lt;/Style&gt;&lt;LeftDelim&gt;{&lt;/LeftDelim&gt;&lt;RightDelim&gt;}&lt;/RightDelim&gt;&lt;FontName&gt;Calibri&lt;/FontName&gt;&lt;FontSize&gt;11&lt;/FontSize&gt;&lt;ReflistTitle&gt;Reference Lis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GI case report&lt;/item&gt;&lt;/Libraries&gt;&lt;/ENLibraries&gt;"/>
  </w:docVars>
  <w:rsids>
    <w:rsidRoot w:val="00275FC1"/>
    <w:rsid w:val="000068B5"/>
    <w:rsid w:val="00007B48"/>
    <w:rsid w:val="00022623"/>
    <w:rsid w:val="00035B02"/>
    <w:rsid w:val="0006641E"/>
    <w:rsid w:val="000A3130"/>
    <w:rsid w:val="000A54D3"/>
    <w:rsid w:val="000B2BC5"/>
    <w:rsid w:val="000C7610"/>
    <w:rsid w:val="000C7921"/>
    <w:rsid w:val="001160D6"/>
    <w:rsid w:val="001213C8"/>
    <w:rsid w:val="00136123"/>
    <w:rsid w:val="001C3B89"/>
    <w:rsid w:val="001C45D5"/>
    <w:rsid w:val="001D30B5"/>
    <w:rsid w:val="001D4FEE"/>
    <w:rsid w:val="002165BD"/>
    <w:rsid w:val="00256855"/>
    <w:rsid w:val="00275FC1"/>
    <w:rsid w:val="0028593B"/>
    <w:rsid w:val="002B042E"/>
    <w:rsid w:val="002B0E0F"/>
    <w:rsid w:val="002C5EEC"/>
    <w:rsid w:val="002D6F57"/>
    <w:rsid w:val="002F180B"/>
    <w:rsid w:val="00302A80"/>
    <w:rsid w:val="00323805"/>
    <w:rsid w:val="00372133"/>
    <w:rsid w:val="00373D70"/>
    <w:rsid w:val="00376AC5"/>
    <w:rsid w:val="003B7BF8"/>
    <w:rsid w:val="003D1C20"/>
    <w:rsid w:val="00403E19"/>
    <w:rsid w:val="00425300"/>
    <w:rsid w:val="004829FD"/>
    <w:rsid w:val="004B0DD5"/>
    <w:rsid w:val="004B4B19"/>
    <w:rsid w:val="004C0199"/>
    <w:rsid w:val="004D2F49"/>
    <w:rsid w:val="004D351F"/>
    <w:rsid w:val="005109FE"/>
    <w:rsid w:val="00525243"/>
    <w:rsid w:val="0055740C"/>
    <w:rsid w:val="005D02E2"/>
    <w:rsid w:val="005D0B0A"/>
    <w:rsid w:val="005E25FC"/>
    <w:rsid w:val="00601E95"/>
    <w:rsid w:val="0060314C"/>
    <w:rsid w:val="00603DA3"/>
    <w:rsid w:val="006357A7"/>
    <w:rsid w:val="00645FB8"/>
    <w:rsid w:val="00666519"/>
    <w:rsid w:val="00676E5E"/>
    <w:rsid w:val="00680C3D"/>
    <w:rsid w:val="0068228D"/>
    <w:rsid w:val="006B48E9"/>
    <w:rsid w:val="006D5A04"/>
    <w:rsid w:val="007523E7"/>
    <w:rsid w:val="007653E6"/>
    <w:rsid w:val="007776B7"/>
    <w:rsid w:val="007A4300"/>
    <w:rsid w:val="007B2381"/>
    <w:rsid w:val="007B59D7"/>
    <w:rsid w:val="007F4257"/>
    <w:rsid w:val="00840F7A"/>
    <w:rsid w:val="008455C7"/>
    <w:rsid w:val="008C374C"/>
    <w:rsid w:val="0093468E"/>
    <w:rsid w:val="009807A4"/>
    <w:rsid w:val="009A4D3C"/>
    <w:rsid w:val="009B15AC"/>
    <w:rsid w:val="009C6923"/>
    <w:rsid w:val="009D3BE2"/>
    <w:rsid w:val="009E4F09"/>
    <w:rsid w:val="009E70B5"/>
    <w:rsid w:val="00A01FD9"/>
    <w:rsid w:val="00A20C9D"/>
    <w:rsid w:val="00A62227"/>
    <w:rsid w:val="00AB35D4"/>
    <w:rsid w:val="00AB7ABD"/>
    <w:rsid w:val="00AE4F2A"/>
    <w:rsid w:val="00B226FF"/>
    <w:rsid w:val="00B2767D"/>
    <w:rsid w:val="00B93D06"/>
    <w:rsid w:val="00B95DC7"/>
    <w:rsid w:val="00BA7065"/>
    <w:rsid w:val="00BE67C8"/>
    <w:rsid w:val="00BF03CB"/>
    <w:rsid w:val="00BF1309"/>
    <w:rsid w:val="00BF2427"/>
    <w:rsid w:val="00C43DF3"/>
    <w:rsid w:val="00C50814"/>
    <w:rsid w:val="00C63E98"/>
    <w:rsid w:val="00C82F83"/>
    <w:rsid w:val="00C91C3B"/>
    <w:rsid w:val="00CA158E"/>
    <w:rsid w:val="00CB1469"/>
    <w:rsid w:val="00DC0D28"/>
    <w:rsid w:val="00E53E81"/>
    <w:rsid w:val="00E7142F"/>
    <w:rsid w:val="00E9462E"/>
    <w:rsid w:val="00EB7D8F"/>
    <w:rsid w:val="00F078F4"/>
    <w:rsid w:val="00F1042C"/>
    <w:rsid w:val="00F4191A"/>
    <w:rsid w:val="00F44F74"/>
    <w:rsid w:val="00F456C3"/>
    <w:rsid w:val="00F84667"/>
    <w:rsid w:val="00F90C1A"/>
    <w:rsid w:val="00FA66FE"/>
    <w:rsid w:val="00FB0D5A"/>
    <w:rsid w:val="00FB133F"/>
    <w:rsid w:val="00FF6A95"/>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A94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sz w:val="22"/>
        <w:szCs w:val="22"/>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FC1"/>
    <w:pPr>
      <w:spacing w:after="200" w:line="276" w:lineRule="auto"/>
    </w:pPr>
    <w:rPr>
      <w:lang w:eastAsia="en-US"/>
    </w:rPr>
  </w:style>
  <w:style w:type="paragraph" w:styleId="2">
    <w:name w:val="heading 2"/>
    <w:basedOn w:val="a"/>
    <w:next w:val="a"/>
    <w:link w:val="2Char"/>
    <w:unhideWhenUsed/>
    <w:qFormat/>
    <w:locked/>
    <w:rsid w:val="001C3B8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Char"/>
    <w:unhideWhenUsed/>
    <w:qFormat/>
    <w:locked/>
    <w:rsid w:val="001C3B8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rsid w:val="004C0199"/>
    <w:pPr>
      <w:spacing w:after="0" w:line="240" w:lineRule="auto"/>
    </w:pPr>
    <w:rPr>
      <w:sz w:val="20"/>
      <w:szCs w:val="20"/>
    </w:rPr>
  </w:style>
  <w:style w:type="character" w:customStyle="1" w:styleId="Char">
    <w:name w:val="脚注文本 Char"/>
    <w:basedOn w:val="a0"/>
    <w:link w:val="a3"/>
    <w:uiPriority w:val="99"/>
    <w:semiHidden/>
    <w:locked/>
    <w:rsid w:val="004C0199"/>
    <w:rPr>
      <w:rFonts w:cs="Times New Roman"/>
      <w:sz w:val="20"/>
      <w:szCs w:val="20"/>
    </w:rPr>
  </w:style>
  <w:style w:type="character" w:styleId="a4">
    <w:name w:val="footnote reference"/>
    <w:basedOn w:val="a0"/>
    <w:uiPriority w:val="99"/>
    <w:semiHidden/>
    <w:rsid w:val="004C0199"/>
    <w:rPr>
      <w:rFonts w:cs="Times New Roman"/>
      <w:vertAlign w:val="superscript"/>
    </w:rPr>
  </w:style>
  <w:style w:type="paragraph" w:styleId="a5">
    <w:name w:val="endnote text"/>
    <w:basedOn w:val="a"/>
    <w:link w:val="Char0"/>
    <w:uiPriority w:val="99"/>
    <w:semiHidden/>
    <w:rsid w:val="004C0199"/>
    <w:pPr>
      <w:spacing w:after="0" w:line="240" w:lineRule="auto"/>
    </w:pPr>
    <w:rPr>
      <w:sz w:val="20"/>
      <w:szCs w:val="20"/>
    </w:rPr>
  </w:style>
  <w:style w:type="character" w:customStyle="1" w:styleId="Char0">
    <w:name w:val="尾注文本 Char"/>
    <w:basedOn w:val="a0"/>
    <w:link w:val="a5"/>
    <w:uiPriority w:val="99"/>
    <w:semiHidden/>
    <w:locked/>
    <w:rsid w:val="004C0199"/>
    <w:rPr>
      <w:rFonts w:cs="Times New Roman"/>
      <w:sz w:val="20"/>
      <w:szCs w:val="20"/>
    </w:rPr>
  </w:style>
  <w:style w:type="character" w:styleId="a6">
    <w:name w:val="endnote reference"/>
    <w:basedOn w:val="a0"/>
    <w:uiPriority w:val="99"/>
    <w:semiHidden/>
    <w:rsid w:val="004C0199"/>
    <w:rPr>
      <w:rFonts w:cs="Times New Roman"/>
      <w:vertAlign w:val="superscript"/>
    </w:rPr>
  </w:style>
  <w:style w:type="paragraph" w:styleId="a7">
    <w:name w:val="Balloon Text"/>
    <w:basedOn w:val="a"/>
    <w:link w:val="Char1"/>
    <w:uiPriority w:val="99"/>
    <w:semiHidden/>
    <w:rsid w:val="000C7921"/>
    <w:rPr>
      <w:rFonts w:ascii="Tahoma" w:hAnsi="Tahoma"/>
      <w:sz w:val="16"/>
      <w:szCs w:val="16"/>
    </w:rPr>
  </w:style>
  <w:style w:type="character" w:customStyle="1" w:styleId="Char1">
    <w:name w:val="批注框文本 Char"/>
    <w:basedOn w:val="a0"/>
    <w:link w:val="a7"/>
    <w:uiPriority w:val="99"/>
    <w:semiHidden/>
    <w:rsid w:val="00D877C8"/>
    <w:rPr>
      <w:rFonts w:ascii="Times New Roman" w:hAnsi="Times New Roman"/>
      <w:sz w:val="0"/>
      <w:szCs w:val="0"/>
      <w:lang w:eastAsia="en-US"/>
    </w:rPr>
  </w:style>
  <w:style w:type="paragraph" w:styleId="a8">
    <w:name w:val="Body Text"/>
    <w:basedOn w:val="a"/>
    <w:link w:val="Char2"/>
    <w:uiPriority w:val="99"/>
    <w:rsid w:val="006357A7"/>
    <w:pPr>
      <w:spacing w:after="0" w:line="480" w:lineRule="auto"/>
      <w:jc w:val="both"/>
    </w:pPr>
    <w:rPr>
      <w:rFonts w:ascii="Times New Roman" w:eastAsia="MS Minngs" w:hAnsi="Times New Roman"/>
      <w:sz w:val="24"/>
      <w:szCs w:val="24"/>
      <w:lang w:val="en-US"/>
    </w:rPr>
  </w:style>
  <w:style w:type="character" w:customStyle="1" w:styleId="Char2">
    <w:name w:val="正文文本 Char"/>
    <w:basedOn w:val="a0"/>
    <w:link w:val="a8"/>
    <w:uiPriority w:val="99"/>
    <w:locked/>
    <w:rsid w:val="006357A7"/>
    <w:rPr>
      <w:rFonts w:eastAsia="MS Minngs" w:cs="Times New Roman"/>
      <w:sz w:val="24"/>
      <w:szCs w:val="24"/>
      <w:lang w:val="en-US" w:eastAsia="en-US" w:bidi="ar-SA"/>
    </w:rPr>
  </w:style>
  <w:style w:type="paragraph" w:styleId="a9">
    <w:name w:val="footer"/>
    <w:basedOn w:val="a"/>
    <w:link w:val="Char3"/>
    <w:uiPriority w:val="99"/>
    <w:rsid w:val="006357A7"/>
    <w:pPr>
      <w:tabs>
        <w:tab w:val="center" w:pos="4320"/>
        <w:tab w:val="right" w:pos="8640"/>
      </w:tabs>
    </w:pPr>
  </w:style>
  <w:style w:type="character" w:customStyle="1" w:styleId="Char3">
    <w:name w:val="页脚 Char"/>
    <w:basedOn w:val="a0"/>
    <w:link w:val="a9"/>
    <w:uiPriority w:val="99"/>
    <w:semiHidden/>
    <w:rsid w:val="00D877C8"/>
    <w:rPr>
      <w:lang w:eastAsia="en-US"/>
    </w:rPr>
  </w:style>
  <w:style w:type="character" w:styleId="aa">
    <w:name w:val="page number"/>
    <w:basedOn w:val="a0"/>
    <w:uiPriority w:val="99"/>
    <w:rsid w:val="006357A7"/>
    <w:rPr>
      <w:rFonts w:cs="Times New Roman"/>
    </w:rPr>
  </w:style>
  <w:style w:type="paragraph" w:styleId="ab">
    <w:name w:val="header"/>
    <w:basedOn w:val="a"/>
    <w:link w:val="Char4"/>
    <w:uiPriority w:val="99"/>
    <w:rsid w:val="006357A7"/>
    <w:pPr>
      <w:tabs>
        <w:tab w:val="center" w:pos="4320"/>
        <w:tab w:val="right" w:pos="8640"/>
      </w:tabs>
    </w:pPr>
  </w:style>
  <w:style w:type="character" w:customStyle="1" w:styleId="Char4">
    <w:name w:val="页眉 Char"/>
    <w:basedOn w:val="a0"/>
    <w:link w:val="ab"/>
    <w:uiPriority w:val="99"/>
    <w:semiHidden/>
    <w:rsid w:val="00D877C8"/>
    <w:rPr>
      <w:lang w:eastAsia="en-US"/>
    </w:rPr>
  </w:style>
  <w:style w:type="character" w:customStyle="1" w:styleId="pagecontents1">
    <w:name w:val="pagecontents1"/>
    <w:uiPriority w:val="99"/>
    <w:rsid w:val="00AB35D4"/>
    <w:rPr>
      <w:rFonts w:ascii="Verdana" w:hAnsi="Verdana"/>
      <w:color w:val="000000"/>
      <w:sz w:val="17"/>
    </w:rPr>
  </w:style>
  <w:style w:type="character" w:customStyle="1" w:styleId="st">
    <w:name w:val="st"/>
    <w:basedOn w:val="a0"/>
    <w:rsid w:val="00136123"/>
  </w:style>
  <w:style w:type="character" w:styleId="ac">
    <w:name w:val="annotation reference"/>
    <w:basedOn w:val="a0"/>
    <w:uiPriority w:val="99"/>
    <w:semiHidden/>
    <w:unhideWhenUsed/>
    <w:rsid w:val="00F90C1A"/>
    <w:rPr>
      <w:sz w:val="21"/>
      <w:szCs w:val="21"/>
    </w:rPr>
  </w:style>
  <w:style w:type="paragraph" w:styleId="ad">
    <w:name w:val="annotation text"/>
    <w:basedOn w:val="a"/>
    <w:link w:val="Char5"/>
    <w:uiPriority w:val="99"/>
    <w:semiHidden/>
    <w:unhideWhenUsed/>
    <w:rsid w:val="00F90C1A"/>
  </w:style>
  <w:style w:type="character" w:customStyle="1" w:styleId="Char5">
    <w:name w:val="批注文字 Char"/>
    <w:basedOn w:val="a0"/>
    <w:link w:val="ad"/>
    <w:uiPriority w:val="99"/>
    <w:semiHidden/>
    <w:rsid w:val="00F90C1A"/>
    <w:rPr>
      <w:lang w:eastAsia="en-US"/>
    </w:rPr>
  </w:style>
  <w:style w:type="paragraph" w:styleId="ae">
    <w:name w:val="annotation subject"/>
    <w:basedOn w:val="ad"/>
    <w:next w:val="ad"/>
    <w:link w:val="Char6"/>
    <w:uiPriority w:val="99"/>
    <w:semiHidden/>
    <w:unhideWhenUsed/>
    <w:rsid w:val="00F90C1A"/>
    <w:rPr>
      <w:b/>
      <w:bCs/>
    </w:rPr>
  </w:style>
  <w:style w:type="character" w:customStyle="1" w:styleId="Char6">
    <w:name w:val="批注主题 Char"/>
    <w:basedOn w:val="Char5"/>
    <w:link w:val="ae"/>
    <w:uiPriority w:val="99"/>
    <w:semiHidden/>
    <w:rsid w:val="00F90C1A"/>
    <w:rPr>
      <w:b/>
      <w:bCs/>
      <w:lang w:eastAsia="en-US"/>
    </w:rPr>
  </w:style>
  <w:style w:type="character" w:customStyle="1" w:styleId="2Char">
    <w:name w:val="标题 2 Char"/>
    <w:basedOn w:val="a0"/>
    <w:link w:val="2"/>
    <w:rsid w:val="001C3B89"/>
    <w:rPr>
      <w:rFonts w:asciiTheme="majorHAnsi" w:eastAsiaTheme="majorEastAsia" w:hAnsiTheme="majorHAnsi" w:cstheme="majorBidi"/>
      <w:color w:val="365F91" w:themeColor="accent1" w:themeShade="BF"/>
      <w:sz w:val="26"/>
      <w:szCs w:val="26"/>
      <w:lang w:eastAsia="en-US"/>
    </w:rPr>
  </w:style>
  <w:style w:type="character" w:customStyle="1" w:styleId="3Char">
    <w:name w:val="标题 3 Char"/>
    <w:basedOn w:val="a0"/>
    <w:link w:val="3"/>
    <w:rsid w:val="001C3B89"/>
    <w:rPr>
      <w:rFonts w:asciiTheme="majorHAnsi" w:eastAsiaTheme="majorEastAsia" w:hAnsiTheme="majorHAnsi" w:cstheme="majorBidi"/>
      <w:color w:val="243F60" w:themeColor="accent1" w:themeShade="7F"/>
      <w:sz w:val="24"/>
      <w:szCs w:val="24"/>
      <w:lang w:eastAsia="en-US"/>
    </w:rPr>
  </w:style>
  <w:style w:type="character" w:customStyle="1" w:styleId="apple-converted-space">
    <w:name w:val="apple-converted-space"/>
    <w:basedOn w:val="a0"/>
    <w:rsid w:val="009B15AC"/>
  </w:style>
  <w:style w:type="character" w:styleId="af">
    <w:name w:val="Strong"/>
    <w:uiPriority w:val="22"/>
    <w:qFormat/>
    <w:locked/>
    <w:rsid w:val="009B15AC"/>
    <w:rPr>
      <w:rFonts w:cs="Times New Roman"/>
      <w:b/>
      <w:bCs/>
    </w:rPr>
  </w:style>
  <w:style w:type="paragraph" w:customStyle="1" w:styleId="1">
    <w:name w:val="列出段落1"/>
    <w:basedOn w:val="a"/>
    <w:rsid w:val="009B15AC"/>
    <w:pPr>
      <w:spacing w:after="0" w:line="240" w:lineRule="auto"/>
      <w:ind w:left="720"/>
      <w:contextualSpacing/>
    </w:pPr>
    <w:rPr>
      <w:rFonts w:ascii="Cambria" w:eastAsia="宋体" w:hAnsi="Cambria"/>
      <w:sz w:val="24"/>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sz w:val="22"/>
        <w:szCs w:val="22"/>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FC1"/>
    <w:pPr>
      <w:spacing w:after="200" w:line="276" w:lineRule="auto"/>
    </w:pPr>
    <w:rPr>
      <w:lang w:eastAsia="en-US"/>
    </w:rPr>
  </w:style>
  <w:style w:type="paragraph" w:styleId="2">
    <w:name w:val="heading 2"/>
    <w:basedOn w:val="a"/>
    <w:next w:val="a"/>
    <w:link w:val="2Char"/>
    <w:unhideWhenUsed/>
    <w:qFormat/>
    <w:locked/>
    <w:rsid w:val="001C3B8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Char"/>
    <w:unhideWhenUsed/>
    <w:qFormat/>
    <w:locked/>
    <w:rsid w:val="001C3B8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rsid w:val="004C0199"/>
    <w:pPr>
      <w:spacing w:after="0" w:line="240" w:lineRule="auto"/>
    </w:pPr>
    <w:rPr>
      <w:sz w:val="20"/>
      <w:szCs w:val="20"/>
    </w:rPr>
  </w:style>
  <w:style w:type="character" w:customStyle="1" w:styleId="Char">
    <w:name w:val="脚注文本 Char"/>
    <w:basedOn w:val="a0"/>
    <w:link w:val="a3"/>
    <w:uiPriority w:val="99"/>
    <w:semiHidden/>
    <w:locked/>
    <w:rsid w:val="004C0199"/>
    <w:rPr>
      <w:rFonts w:cs="Times New Roman"/>
      <w:sz w:val="20"/>
      <w:szCs w:val="20"/>
    </w:rPr>
  </w:style>
  <w:style w:type="character" w:styleId="a4">
    <w:name w:val="footnote reference"/>
    <w:basedOn w:val="a0"/>
    <w:uiPriority w:val="99"/>
    <w:semiHidden/>
    <w:rsid w:val="004C0199"/>
    <w:rPr>
      <w:rFonts w:cs="Times New Roman"/>
      <w:vertAlign w:val="superscript"/>
    </w:rPr>
  </w:style>
  <w:style w:type="paragraph" w:styleId="a5">
    <w:name w:val="endnote text"/>
    <w:basedOn w:val="a"/>
    <w:link w:val="Char0"/>
    <w:uiPriority w:val="99"/>
    <w:semiHidden/>
    <w:rsid w:val="004C0199"/>
    <w:pPr>
      <w:spacing w:after="0" w:line="240" w:lineRule="auto"/>
    </w:pPr>
    <w:rPr>
      <w:sz w:val="20"/>
      <w:szCs w:val="20"/>
    </w:rPr>
  </w:style>
  <w:style w:type="character" w:customStyle="1" w:styleId="Char0">
    <w:name w:val="尾注文本 Char"/>
    <w:basedOn w:val="a0"/>
    <w:link w:val="a5"/>
    <w:uiPriority w:val="99"/>
    <w:semiHidden/>
    <w:locked/>
    <w:rsid w:val="004C0199"/>
    <w:rPr>
      <w:rFonts w:cs="Times New Roman"/>
      <w:sz w:val="20"/>
      <w:szCs w:val="20"/>
    </w:rPr>
  </w:style>
  <w:style w:type="character" w:styleId="a6">
    <w:name w:val="endnote reference"/>
    <w:basedOn w:val="a0"/>
    <w:uiPriority w:val="99"/>
    <w:semiHidden/>
    <w:rsid w:val="004C0199"/>
    <w:rPr>
      <w:rFonts w:cs="Times New Roman"/>
      <w:vertAlign w:val="superscript"/>
    </w:rPr>
  </w:style>
  <w:style w:type="paragraph" w:styleId="a7">
    <w:name w:val="Balloon Text"/>
    <w:basedOn w:val="a"/>
    <w:link w:val="Char1"/>
    <w:uiPriority w:val="99"/>
    <w:semiHidden/>
    <w:rsid w:val="000C7921"/>
    <w:rPr>
      <w:rFonts w:ascii="Tahoma" w:hAnsi="Tahoma"/>
      <w:sz w:val="16"/>
      <w:szCs w:val="16"/>
    </w:rPr>
  </w:style>
  <w:style w:type="character" w:customStyle="1" w:styleId="Char1">
    <w:name w:val="批注框文本 Char"/>
    <w:basedOn w:val="a0"/>
    <w:link w:val="a7"/>
    <w:uiPriority w:val="99"/>
    <w:semiHidden/>
    <w:rsid w:val="00D877C8"/>
    <w:rPr>
      <w:rFonts w:ascii="Times New Roman" w:hAnsi="Times New Roman"/>
      <w:sz w:val="0"/>
      <w:szCs w:val="0"/>
      <w:lang w:eastAsia="en-US"/>
    </w:rPr>
  </w:style>
  <w:style w:type="paragraph" w:styleId="a8">
    <w:name w:val="Body Text"/>
    <w:basedOn w:val="a"/>
    <w:link w:val="Char2"/>
    <w:uiPriority w:val="99"/>
    <w:rsid w:val="006357A7"/>
    <w:pPr>
      <w:spacing w:after="0" w:line="480" w:lineRule="auto"/>
      <w:jc w:val="both"/>
    </w:pPr>
    <w:rPr>
      <w:rFonts w:ascii="Times New Roman" w:eastAsia="MS Minngs" w:hAnsi="Times New Roman"/>
      <w:sz w:val="24"/>
      <w:szCs w:val="24"/>
      <w:lang w:val="en-US"/>
    </w:rPr>
  </w:style>
  <w:style w:type="character" w:customStyle="1" w:styleId="Char2">
    <w:name w:val="正文文本 Char"/>
    <w:basedOn w:val="a0"/>
    <w:link w:val="a8"/>
    <w:uiPriority w:val="99"/>
    <w:locked/>
    <w:rsid w:val="006357A7"/>
    <w:rPr>
      <w:rFonts w:eastAsia="MS Minngs" w:cs="Times New Roman"/>
      <w:sz w:val="24"/>
      <w:szCs w:val="24"/>
      <w:lang w:val="en-US" w:eastAsia="en-US" w:bidi="ar-SA"/>
    </w:rPr>
  </w:style>
  <w:style w:type="paragraph" w:styleId="a9">
    <w:name w:val="footer"/>
    <w:basedOn w:val="a"/>
    <w:link w:val="Char3"/>
    <w:uiPriority w:val="99"/>
    <w:rsid w:val="006357A7"/>
    <w:pPr>
      <w:tabs>
        <w:tab w:val="center" w:pos="4320"/>
        <w:tab w:val="right" w:pos="8640"/>
      </w:tabs>
    </w:pPr>
  </w:style>
  <w:style w:type="character" w:customStyle="1" w:styleId="Char3">
    <w:name w:val="页脚 Char"/>
    <w:basedOn w:val="a0"/>
    <w:link w:val="a9"/>
    <w:uiPriority w:val="99"/>
    <w:semiHidden/>
    <w:rsid w:val="00D877C8"/>
    <w:rPr>
      <w:lang w:eastAsia="en-US"/>
    </w:rPr>
  </w:style>
  <w:style w:type="character" w:styleId="aa">
    <w:name w:val="page number"/>
    <w:basedOn w:val="a0"/>
    <w:uiPriority w:val="99"/>
    <w:rsid w:val="006357A7"/>
    <w:rPr>
      <w:rFonts w:cs="Times New Roman"/>
    </w:rPr>
  </w:style>
  <w:style w:type="paragraph" w:styleId="ab">
    <w:name w:val="header"/>
    <w:basedOn w:val="a"/>
    <w:link w:val="Char4"/>
    <w:uiPriority w:val="99"/>
    <w:rsid w:val="006357A7"/>
    <w:pPr>
      <w:tabs>
        <w:tab w:val="center" w:pos="4320"/>
        <w:tab w:val="right" w:pos="8640"/>
      </w:tabs>
    </w:pPr>
  </w:style>
  <w:style w:type="character" w:customStyle="1" w:styleId="Char4">
    <w:name w:val="页眉 Char"/>
    <w:basedOn w:val="a0"/>
    <w:link w:val="ab"/>
    <w:uiPriority w:val="99"/>
    <w:semiHidden/>
    <w:rsid w:val="00D877C8"/>
    <w:rPr>
      <w:lang w:eastAsia="en-US"/>
    </w:rPr>
  </w:style>
  <w:style w:type="character" w:customStyle="1" w:styleId="pagecontents1">
    <w:name w:val="pagecontents1"/>
    <w:uiPriority w:val="99"/>
    <w:rsid w:val="00AB35D4"/>
    <w:rPr>
      <w:rFonts w:ascii="Verdana" w:hAnsi="Verdana"/>
      <w:color w:val="000000"/>
      <w:sz w:val="17"/>
    </w:rPr>
  </w:style>
  <w:style w:type="character" w:customStyle="1" w:styleId="st">
    <w:name w:val="st"/>
    <w:basedOn w:val="a0"/>
    <w:rsid w:val="00136123"/>
  </w:style>
  <w:style w:type="character" w:styleId="ac">
    <w:name w:val="annotation reference"/>
    <w:basedOn w:val="a0"/>
    <w:uiPriority w:val="99"/>
    <w:semiHidden/>
    <w:unhideWhenUsed/>
    <w:rsid w:val="00F90C1A"/>
    <w:rPr>
      <w:sz w:val="21"/>
      <w:szCs w:val="21"/>
    </w:rPr>
  </w:style>
  <w:style w:type="paragraph" w:styleId="ad">
    <w:name w:val="annotation text"/>
    <w:basedOn w:val="a"/>
    <w:link w:val="Char5"/>
    <w:uiPriority w:val="99"/>
    <w:semiHidden/>
    <w:unhideWhenUsed/>
    <w:rsid w:val="00F90C1A"/>
  </w:style>
  <w:style w:type="character" w:customStyle="1" w:styleId="Char5">
    <w:name w:val="批注文字 Char"/>
    <w:basedOn w:val="a0"/>
    <w:link w:val="ad"/>
    <w:uiPriority w:val="99"/>
    <w:semiHidden/>
    <w:rsid w:val="00F90C1A"/>
    <w:rPr>
      <w:lang w:eastAsia="en-US"/>
    </w:rPr>
  </w:style>
  <w:style w:type="paragraph" w:styleId="ae">
    <w:name w:val="annotation subject"/>
    <w:basedOn w:val="ad"/>
    <w:next w:val="ad"/>
    <w:link w:val="Char6"/>
    <w:uiPriority w:val="99"/>
    <w:semiHidden/>
    <w:unhideWhenUsed/>
    <w:rsid w:val="00F90C1A"/>
    <w:rPr>
      <w:b/>
      <w:bCs/>
    </w:rPr>
  </w:style>
  <w:style w:type="character" w:customStyle="1" w:styleId="Char6">
    <w:name w:val="批注主题 Char"/>
    <w:basedOn w:val="Char5"/>
    <w:link w:val="ae"/>
    <w:uiPriority w:val="99"/>
    <w:semiHidden/>
    <w:rsid w:val="00F90C1A"/>
    <w:rPr>
      <w:b/>
      <w:bCs/>
      <w:lang w:eastAsia="en-US"/>
    </w:rPr>
  </w:style>
  <w:style w:type="character" w:customStyle="1" w:styleId="2Char">
    <w:name w:val="标题 2 Char"/>
    <w:basedOn w:val="a0"/>
    <w:link w:val="2"/>
    <w:rsid w:val="001C3B89"/>
    <w:rPr>
      <w:rFonts w:asciiTheme="majorHAnsi" w:eastAsiaTheme="majorEastAsia" w:hAnsiTheme="majorHAnsi" w:cstheme="majorBidi"/>
      <w:color w:val="365F91" w:themeColor="accent1" w:themeShade="BF"/>
      <w:sz w:val="26"/>
      <w:szCs w:val="26"/>
      <w:lang w:eastAsia="en-US"/>
    </w:rPr>
  </w:style>
  <w:style w:type="character" w:customStyle="1" w:styleId="3Char">
    <w:name w:val="标题 3 Char"/>
    <w:basedOn w:val="a0"/>
    <w:link w:val="3"/>
    <w:rsid w:val="001C3B89"/>
    <w:rPr>
      <w:rFonts w:asciiTheme="majorHAnsi" w:eastAsiaTheme="majorEastAsia" w:hAnsiTheme="majorHAnsi" w:cstheme="majorBidi"/>
      <w:color w:val="243F60" w:themeColor="accent1" w:themeShade="7F"/>
      <w:sz w:val="24"/>
      <w:szCs w:val="24"/>
      <w:lang w:eastAsia="en-US"/>
    </w:rPr>
  </w:style>
  <w:style w:type="character" w:customStyle="1" w:styleId="apple-converted-space">
    <w:name w:val="apple-converted-space"/>
    <w:basedOn w:val="a0"/>
    <w:rsid w:val="009B15AC"/>
  </w:style>
  <w:style w:type="character" w:styleId="af">
    <w:name w:val="Strong"/>
    <w:uiPriority w:val="22"/>
    <w:qFormat/>
    <w:locked/>
    <w:rsid w:val="009B15AC"/>
    <w:rPr>
      <w:rFonts w:cs="Times New Roman"/>
      <w:b/>
      <w:bCs/>
    </w:rPr>
  </w:style>
  <w:style w:type="paragraph" w:customStyle="1" w:styleId="1">
    <w:name w:val="列出段落1"/>
    <w:basedOn w:val="a"/>
    <w:rsid w:val="009B15AC"/>
    <w:pPr>
      <w:spacing w:after="0" w:line="240" w:lineRule="auto"/>
      <w:ind w:left="720"/>
      <w:contextualSpacing/>
    </w:pPr>
    <w:rPr>
      <w:rFonts w:ascii="Cambria" w:eastAsia="宋体" w:hAnsi="Cambria"/>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326747">
      <w:bodyDiv w:val="1"/>
      <w:marLeft w:val="0"/>
      <w:marRight w:val="0"/>
      <w:marTop w:val="0"/>
      <w:marBottom w:val="0"/>
      <w:divBdr>
        <w:top w:val="none" w:sz="0" w:space="0" w:color="auto"/>
        <w:left w:val="none" w:sz="0" w:space="0" w:color="auto"/>
        <w:bottom w:val="none" w:sz="0" w:space="0" w:color="auto"/>
        <w:right w:val="none" w:sz="0" w:space="0" w:color="auto"/>
      </w:divBdr>
      <w:divsChild>
        <w:div w:id="334921598">
          <w:marLeft w:val="0"/>
          <w:marRight w:val="0"/>
          <w:marTop w:val="0"/>
          <w:marBottom w:val="0"/>
          <w:divBdr>
            <w:top w:val="none" w:sz="0" w:space="0" w:color="auto"/>
            <w:left w:val="none" w:sz="0" w:space="0" w:color="auto"/>
            <w:bottom w:val="none" w:sz="0" w:space="0" w:color="auto"/>
            <w:right w:val="none" w:sz="0" w:space="0" w:color="auto"/>
          </w:divBdr>
        </w:div>
        <w:div w:id="697657438">
          <w:marLeft w:val="0"/>
          <w:marRight w:val="0"/>
          <w:marTop w:val="0"/>
          <w:marBottom w:val="0"/>
          <w:divBdr>
            <w:top w:val="none" w:sz="0" w:space="0" w:color="auto"/>
            <w:left w:val="none" w:sz="0" w:space="0" w:color="auto"/>
            <w:bottom w:val="none" w:sz="0" w:space="0" w:color="auto"/>
            <w:right w:val="none" w:sz="0" w:space="0" w:color="auto"/>
          </w:divBdr>
        </w:div>
        <w:div w:id="74668715">
          <w:marLeft w:val="0"/>
          <w:marRight w:val="0"/>
          <w:marTop w:val="0"/>
          <w:marBottom w:val="0"/>
          <w:divBdr>
            <w:top w:val="none" w:sz="0" w:space="0" w:color="auto"/>
            <w:left w:val="none" w:sz="0" w:space="0" w:color="auto"/>
            <w:bottom w:val="none" w:sz="0" w:space="0" w:color="auto"/>
            <w:right w:val="none" w:sz="0" w:space="0" w:color="auto"/>
          </w:divBdr>
        </w:div>
        <w:div w:id="1772814628">
          <w:marLeft w:val="0"/>
          <w:marRight w:val="0"/>
          <w:marTop w:val="0"/>
          <w:marBottom w:val="0"/>
          <w:divBdr>
            <w:top w:val="none" w:sz="0" w:space="0" w:color="auto"/>
            <w:left w:val="none" w:sz="0" w:space="0" w:color="auto"/>
            <w:bottom w:val="none" w:sz="0" w:space="0" w:color="auto"/>
            <w:right w:val="none" w:sz="0" w:space="0" w:color="auto"/>
          </w:divBdr>
        </w:div>
        <w:div w:id="1544632826">
          <w:marLeft w:val="0"/>
          <w:marRight w:val="0"/>
          <w:marTop w:val="0"/>
          <w:marBottom w:val="0"/>
          <w:divBdr>
            <w:top w:val="none" w:sz="0" w:space="0" w:color="auto"/>
            <w:left w:val="none" w:sz="0" w:space="0" w:color="auto"/>
            <w:bottom w:val="none" w:sz="0" w:space="0" w:color="auto"/>
            <w:right w:val="none" w:sz="0" w:space="0" w:color="auto"/>
          </w:divBdr>
        </w:div>
        <w:div w:id="1005743032">
          <w:marLeft w:val="0"/>
          <w:marRight w:val="0"/>
          <w:marTop w:val="0"/>
          <w:marBottom w:val="0"/>
          <w:divBdr>
            <w:top w:val="none" w:sz="0" w:space="0" w:color="auto"/>
            <w:left w:val="none" w:sz="0" w:space="0" w:color="auto"/>
            <w:bottom w:val="none" w:sz="0" w:space="0" w:color="auto"/>
            <w:right w:val="none" w:sz="0" w:space="0" w:color="auto"/>
          </w:divBdr>
        </w:div>
        <w:div w:id="141120423">
          <w:marLeft w:val="0"/>
          <w:marRight w:val="0"/>
          <w:marTop w:val="0"/>
          <w:marBottom w:val="0"/>
          <w:divBdr>
            <w:top w:val="none" w:sz="0" w:space="0" w:color="auto"/>
            <w:left w:val="none" w:sz="0" w:space="0" w:color="auto"/>
            <w:bottom w:val="none" w:sz="0" w:space="0" w:color="auto"/>
            <w:right w:val="none" w:sz="0" w:space="0" w:color="auto"/>
          </w:divBdr>
        </w:div>
        <w:div w:id="1146241047">
          <w:marLeft w:val="0"/>
          <w:marRight w:val="0"/>
          <w:marTop w:val="0"/>
          <w:marBottom w:val="0"/>
          <w:divBdr>
            <w:top w:val="none" w:sz="0" w:space="0" w:color="auto"/>
            <w:left w:val="none" w:sz="0" w:space="0" w:color="auto"/>
            <w:bottom w:val="none" w:sz="0" w:space="0" w:color="auto"/>
            <w:right w:val="none" w:sz="0" w:space="0" w:color="auto"/>
          </w:divBdr>
        </w:div>
        <w:div w:id="1422607245">
          <w:marLeft w:val="0"/>
          <w:marRight w:val="0"/>
          <w:marTop w:val="0"/>
          <w:marBottom w:val="0"/>
          <w:divBdr>
            <w:top w:val="none" w:sz="0" w:space="0" w:color="auto"/>
            <w:left w:val="none" w:sz="0" w:space="0" w:color="auto"/>
            <w:bottom w:val="none" w:sz="0" w:space="0" w:color="auto"/>
            <w:right w:val="none" w:sz="0" w:space="0" w:color="auto"/>
          </w:divBdr>
        </w:div>
        <w:div w:id="212234559">
          <w:marLeft w:val="0"/>
          <w:marRight w:val="0"/>
          <w:marTop w:val="0"/>
          <w:marBottom w:val="0"/>
          <w:divBdr>
            <w:top w:val="none" w:sz="0" w:space="0" w:color="auto"/>
            <w:left w:val="none" w:sz="0" w:space="0" w:color="auto"/>
            <w:bottom w:val="none" w:sz="0" w:space="0" w:color="auto"/>
            <w:right w:val="none" w:sz="0" w:space="0" w:color="auto"/>
          </w:divBdr>
        </w:div>
        <w:div w:id="489834882">
          <w:marLeft w:val="0"/>
          <w:marRight w:val="0"/>
          <w:marTop w:val="0"/>
          <w:marBottom w:val="0"/>
          <w:divBdr>
            <w:top w:val="none" w:sz="0" w:space="0" w:color="auto"/>
            <w:left w:val="none" w:sz="0" w:space="0" w:color="auto"/>
            <w:bottom w:val="none" w:sz="0" w:space="0" w:color="auto"/>
            <w:right w:val="none" w:sz="0" w:space="0" w:color="auto"/>
          </w:divBdr>
        </w:div>
        <w:div w:id="222837063">
          <w:marLeft w:val="0"/>
          <w:marRight w:val="0"/>
          <w:marTop w:val="0"/>
          <w:marBottom w:val="0"/>
          <w:divBdr>
            <w:top w:val="none" w:sz="0" w:space="0" w:color="auto"/>
            <w:left w:val="none" w:sz="0" w:space="0" w:color="auto"/>
            <w:bottom w:val="none" w:sz="0" w:space="0" w:color="auto"/>
            <w:right w:val="none" w:sz="0" w:space="0" w:color="auto"/>
          </w:divBdr>
        </w:div>
        <w:div w:id="1628929182">
          <w:marLeft w:val="0"/>
          <w:marRight w:val="0"/>
          <w:marTop w:val="0"/>
          <w:marBottom w:val="0"/>
          <w:divBdr>
            <w:top w:val="none" w:sz="0" w:space="0" w:color="auto"/>
            <w:left w:val="none" w:sz="0" w:space="0" w:color="auto"/>
            <w:bottom w:val="none" w:sz="0" w:space="0" w:color="auto"/>
            <w:right w:val="none" w:sz="0" w:space="0" w:color="auto"/>
          </w:divBdr>
        </w:div>
        <w:div w:id="1727146454">
          <w:marLeft w:val="0"/>
          <w:marRight w:val="0"/>
          <w:marTop w:val="0"/>
          <w:marBottom w:val="0"/>
          <w:divBdr>
            <w:top w:val="none" w:sz="0" w:space="0" w:color="auto"/>
            <w:left w:val="none" w:sz="0" w:space="0" w:color="auto"/>
            <w:bottom w:val="none" w:sz="0" w:space="0" w:color="auto"/>
            <w:right w:val="none" w:sz="0" w:space="0" w:color="auto"/>
          </w:divBdr>
        </w:div>
        <w:div w:id="80609673">
          <w:marLeft w:val="0"/>
          <w:marRight w:val="0"/>
          <w:marTop w:val="0"/>
          <w:marBottom w:val="0"/>
          <w:divBdr>
            <w:top w:val="none" w:sz="0" w:space="0" w:color="auto"/>
            <w:left w:val="none" w:sz="0" w:space="0" w:color="auto"/>
            <w:bottom w:val="none" w:sz="0" w:space="0" w:color="auto"/>
            <w:right w:val="none" w:sz="0" w:space="0" w:color="auto"/>
          </w:divBdr>
        </w:div>
        <w:div w:id="2008169261">
          <w:marLeft w:val="0"/>
          <w:marRight w:val="0"/>
          <w:marTop w:val="0"/>
          <w:marBottom w:val="0"/>
          <w:divBdr>
            <w:top w:val="none" w:sz="0" w:space="0" w:color="auto"/>
            <w:left w:val="none" w:sz="0" w:space="0" w:color="auto"/>
            <w:bottom w:val="none" w:sz="0" w:space="0" w:color="auto"/>
            <w:right w:val="none" w:sz="0" w:space="0" w:color="auto"/>
          </w:divBdr>
        </w:div>
        <w:div w:id="1226141571">
          <w:marLeft w:val="0"/>
          <w:marRight w:val="0"/>
          <w:marTop w:val="0"/>
          <w:marBottom w:val="0"/>
          <w:divBdr>
            <w:top w:val="none" w:sz="0" w:space="0" w:color="auto"/>
            <w:left w:val="none" w:sz="0" w:space="0" w:color="auto"/>
            <w:bottom w:val="none" w:sz="0" w:space="0" w:color="auto"/>
            <w:right w:val="none" w:sz="0" w:space="0" w:color="auto"/>
          </w:divBdr>
        </w:div>
        <w:div w:id="379285445">
          <w:marLeft w:val="0"/>
          <w:marRight w:val="0"/>
          <w:marTop w:val="0"/>
          <w:marBottom w:val="0"/>
          <w:divBdr>
            <w:top w:val="none" w:sz="0" w:space="0" w:color="auto"/>
            <w:left w:val="none" w:sz="0" w:space="0" w:color="auto"/>
            <w:bottom w:val="none" w:sz="0" w:space="0" w:color="auto"/>
            <w:right w:val="none" w:sz="0" w:space="0" w:color="auto"/>
          </w:divBdr>
        </w:div>
        <w:div w:id="2026780396">
          <w:marLeft w:val="0"/>
          <w:marRight w:val="0"/>
          <w:marTop w:val="0"/>
          <w:marBottom w:val="0"/>
          <w:divBdr>
            <w:top w:val="none" w:sz="0" w:space="0" w:color="auto"/>
            <w:left w:val="none" w:sz="0" w:space="0" w:color="auto"/>
            <w:bottom w:val="none" w:sz="0" w:space="0" w:color="auto"/>
            <w:right w:val="none" w:sz="0" w:space="0" w:color="auto"/>
          </w:divBdr>
        </w:div>
        <w:div w:id="510874650">
          <w:marLeft w:val="0"/>
          <w:marRight w:val="0"/>
          <w:marTop w:val="0"/>
          <w:marBottom w:val="0"/>
          <w:divBdr>
            <w:top w:val="none" w:sz="0" w:space="0" w:color="auto"/>
            <w:left w:val="none" w:sz="0" w:space="0" w:color="auto"/>
            <w:bottom w:val="none" w:sz="0" w:space="0" w:color="auto"/>
            <w:right w:val="none" w:sz="0" w:space="0" w:color="auto"/>
          </w:divBdr>
        </w:div>
        <w:div w:id="180317880">
          <w:marLeft w:val="0"/>
          <w:marRight w:val="0"/>
          <w:marTop w:val="0"/>
          <w:marBottom w:val="0"/>
          <w:divBdr>
            <w:top w:val="none" w:sz="0" w:space="0" w:color="auto"/>
            <w:left w:val="none" w:sz="0" w:space="0" w:color="auto"/>
            <w:bottom w:val="none" w:sz="0" w:space="0" w:color="auto"/>
            <w:right w:val="none" w:sz="0" w:space="0" w:color="auto"/>
          </w:divBdr>
        </w:div>
        <w:div w:id="568686936">
          <w:marLeft w:val="0"/>
          <w:marRight w:val="0"/>
          <w:marTop w:val="0"/>
          <w:marBottom w:val="0"/>
          <w:divBdr>
            <w:top w:val="none" w:sz="0" w:space="0" w:color="auto"/>
            <w:left w:val="none" w:sz="0" w:space="0" w:color="auto"/>
            <w:bottom w:val="none" w:sz="0" w:space="0" w:color="auto"/>
            <w:right w:val="none" w:sz="0" w:space="0" w:color="auto"/>
          </w:divBdr>
        </w:div>
        <w:div w:id="1137334680">
          <w:marLeft w:val="0"/>
          <w:marRight w:val="0"/>
          <w:marTop w:val="0"/>
          <w:marBottom w:val="0"/>
          <w:divBdr>
            <w:top w:val="none" w:sz="0" w:space="0" w:color="auto"/>
            <w:left w:val="none" w:sz="0" w:space="0" w:color="auto"/>
            <w:bottom w:val="none" w:sz="0" w:space="0" w:color="auto"/>
            <w:right w:val="none" w:sz="0" w:space="0" w:color="auto"/>
          </w:divBdr>
        </w:div>
        <w:div w:id="1001548265">
          <w:marLeft w:val="0"/>
          <w:marRight w:val="0"/>
          <w:marTop w:val="0"/>
          <w:marBottom w:val="0"/>
          <w:divBdr>
            <w:top w:val="none" w:sz="0" w:space="0" w:color="auto"/>
            <w:left w:val="none" w:sz="0" w:space="0" w:color="auto"/>
            <w:bottom w:val="none" w:sz="0" w:space="0" w:color="auto"/>
            <w:right w:val="none" w:sz="0" w:space="0" w:color="auto"/>
          </w:divBdr>
        </w:div>
        <w:div w:id="801118671">
          <w:marLeft w:val="0"/>
          <w:marRight w:val="0"/>
          <w:marTop w:val="0"/>
          <w:marBottom w:val="0"/>
          <w:divBdr>
            <w:top w:val="none" w:sz="0" w:space="0" w:color="auto"/>
            <w:left w:val="none" w:sz="0" w:space="0" w:color="auto"/>
            <w:bottom w:val="none" w:sz="0" w:space="0" w:color="auto"/>
            <w:right w:val="none" w:sz="0" w:space="0" w:color="auto"/>
          </w:divBdr>
        </w:div>
        <w:div w:id="629478085">
          <w:marLeft w:val="0"/>
          <w:marRight w:val="0"/>
          <w:marTop w:val="0"/>
          <w:marBottom w:val="0"/>
          <w:divBdr>
            <w:top w:val="none" w:sz="0" w:space="0" w:color="auto"/>
            <w:left w:val="none" w:sz="0" w:space="0" w:color="auto"/>
            <w:bottom w:val="none" w:sz="0" w:space="0" w:color="auto"/>
            <w:right w:val="none" w:sz="0" w:space="0" w:color="auto"/>
          </w:divBdr>
        </w:div>
        <w:div w:id="6976984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Residency\Research\GI%20Case%20report\Creatini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5889273603108639"/>
          <c:y val="0.17209635605365281"/>
          <c:w val="0.75387475546881166"/>
          <c:h val="0.63871471587523954"/>
        </c:manualLayout>
      </c:layout>
      <c:scatterChart>
        <c:scatterStyle val="lineMarker"/>
        <c:varyColors val="0"/>
        <c:ser>
          <c:idx val="0"/>
          <c:order val="0"/>
          <c:tx>
            <c:strRef>
              <c:f>Sheet1!$C$1</c:f>
              <c:strCache>
                <c:ptCount val="1"/>
                <c:pt idx="0">
                  <c:v>Creatinine</c:v>
                </c:pt>
              </c:strCache>
            </c:strRef>
          </c:tx>
          <c:dLbls>
            <c:delete val="1"/>
          </c:dLbls>
          <c:xVal>
            <c:numRef>
              <c:f>Sheet1!$B$2:$B$9</c:f>
              <c:numCache>
                <c:formatCode>General</c:formatCode>
                <c:ptCount val="8"/>
                <c:pt idx="0">
                  <c:v>0</c:v>
                </c:pt>
                <c:pt idx="1">
                  <c:v>2</c:v>
                </c:pt>
                <c:pt idx="2">
                  <c:v>4</c:v>
                </c:pt>
                <c:pt idx="3">
                  <c:v>4.5</c:v>
                </c:pt>
                <c:pt idx="4">
                  <c:v>5.0999999999999996</c:v>
                </c:pt>
                <c:pt idx="5">
                  <c:v>6.3</c:v>
                </c:pt>
                <c:pt idx="6">
                  <c:v>6.7</c:v>
                </c:pt>
                <c:pt idx="7">
                  <c:v>7.8</c:v>
                </c:pt>
              </c:numCache>
            </c:numRef>
          </c:xVal>
          <c:yVal>
            <c:numRef>
              <c:f>Sheet1!$C$2:$C$9</c:f>
              <c:numCache>
                <c:formatCode>General</c:formatCode>
                <c:ptCount val="8"/>
                <c:pt idx="0">
                  <c:v>103</c:v>
                </c:pt>
                <c:pt idx="1">
                  <c:v>165</c:v>
                </c:pt>
                <c:pt idx="2">
                  <c:v>270</c:v>
                </c:pt>
                <c:pt idx="3">
                  <c:v>285</c:v>
                </c:pt>
                <c:pt idx="4">
                  <c:v>288</c:v>
                </c:pt>
                <c:pt idx="5">
                  <c:v>309</c:v>
                </c:pt>
                <c:pt idx="6">
                  <c:v>309</c:v>
                </c:pt>
                <c:pt idx="7">
                  <c:v>308</c:v>
                </c:pt>
              </c:numCache>
            </c:numRef>
          </c:yVal>
          <c:smooth val="0"/>
        </c:ser>
        <c:dLbls>
          <c:showLegendKey val="0"/>
          <c:showVal val="1"/>
          <c:showCatName val="1"/>
          <c:showSerName val="0"/>
          <c:showPercent val="0"/>
          <c:showBubbleSize val="0"/>
        </c:dLbls>
        <c:axId val="113531520"/>
        <c:axId val="39805696"/>
      </c:scatterChart>
      <c:valAx>
        <c:axId val="113531520"/>
        <c:scaling>
          <c:orientation val="minMax"/>
        </c:scaling>
        <c:delete val="0"/>
        <c:axPos val="b"/>
        <c:title>
          <c:tx>
            <c:rich>
              <a:bodyPr/>
              <a:lstStyle/>
              <a:p>
                <a:pPr>
                  <a:defRPr/>
                </a:pPr>
                <a:r>
                  <a:rPr lang="en-US"/>
                  <a:t>Time, months</a:t>
                </a:r>
              </a:p>
            </c:rich>
          </c:tx>
          <c:overlay val="0"/>
        </c:title>
        <c:numFmt formatCode="General" sourceLinked="1"/>
        <c:majorTickMark val="out"/>
        <c:minorTickMark val="none"/>
        <c:tickLblPos val="nextTo"/>
        <c:crossAx val="39805696"/>
        <c:crosses val="autoZero"/>
        <c:crossBetween val="midCat"/>
      </c:valAx>
      <c:valAx>
        <c:axId val="39805696"/>
        <c:scaling>
          <c:orientation val="minMax"/>
        </c:scaling>
        <c:delete val="0"/>
        <c:axPos val="l"/>
        <c:majorGridlines/>
        <c:title>
          <c:tx>
            <c:rich>
              <a:bodyPr/>
              <a:lstStyle/>
              <a:p>
                <a:pPr>
                  <a:defRPr/>
                </a:pPr>
                <a:r>
                  <a:rPr lang="en-CA" sz="1000" b="1" i="0" u="none" strike="noStrike" baseline="0"/>
                  <a:t>Creatinine, μmol/L</a:t>
                </a:r>
                <a:endParaRPr lang="en-CA"/>
              </a:p>
            </c:rich>
          </c:tx>
          <c:overlay val="0"/>
        </c:title>
        <c:numFmt formatCode="General" sourceLinked="1"/>
        <c:majorTickMark val="out"/>
        <c:minorTickMark val="none"/>
        <c:tickLblPos val="nextTo"/>
        <c:crossAx val="113531520"/>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EF894-4B1E-48AD-8FDC-736A17B92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7178</Words>
  <Characters>40916</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Prucalopride-induced acute tubular necrosis</vt:lpstr>
    </vt:vector>
  </TitlesOfParts>
  <Company>UHN</Company>
  <LinksUpToDate>false</LinksUpToDate>
  <CharactersWithSpaces>47999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Prucalopride-induced acute tubular necrosis</dc:title>
  <dc:creator>Vithika.Siva</dc:creator>
  <cp:lastModifiedBy>asdasd</cp:lastModifiedBy>
  <cp:revision>3</cp:revision>
  <dcterms:created xsi:type="dcterms:W3CDTF">2014-06-13T22:02:00Z</dcterms:created>
  <dcterms:modified xsi:type="dcterms:W3CDTF">2014-06-16T04:13:00Z</dcterms:modified>
</cp:coreProperties>
</file>