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7505D" w14:textId="2FFBC3BD" w:rsidR="00C73B8F" w:rsidRPr="00C73B8F" w:rsidRDefault="00C73B8F" w:rsidP="00C73B8F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r w:rsidRPr="00C73B8F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Name of journal: World Journal of </w:t>
      </w:r>
      <w:proofErr w:type="spellStart"/>
      <w:r w:rsidRPr="00C73B8F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>Hepatology</w:t>
      </w:r>
      <w:proofErr w:type="spellEnd"/>
    </w:p>
    <w:p w14:paraId="2782DFEC" w14:textId="2F7E455E" w:rsidR="00C73B8F" w:rsidRPr="00C73B8F" w:rsidRDefault="00C73B8F" w:rsidP="00C73B8F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r w:rsidRPr="00C73B8F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ESPS Manuscript NO: </w:t>
      </w:r>
      <w:r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>9585</w:t>
      </w:r>
    </w:p>
    <w:p w14:paraId="27A26BBF" w14:textId="2841E162" w:rsidR="00C73B8F" w:rsidRDefault="00C73B8F" w:rsidP="00C73B8F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r w:rsidRPr="00C73B8F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Columns: </w:t>
      </w:r>
      <w:r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>Original Article</w:t>
      </w:r>
    </w:p>
    <w:p w14:paraId="1D0C553B" w14:textId="77777777" w:rsidR="00C73B8F" w:rsidRDefault="00C73B8F" w:rsidP="00C73B8F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</w:p>
    <w:p w14:paraId="38EF4F45" w14:textId="3602E8D5" w:rsidR="008B56A4" w:rsidRDefault="008B56A4" w:rsidP="00C73B8F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proofErr w:type="spellStart"/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>Telaprevir</w:t>
      </w:r>
      <w:proofErr w:type="spellEnd"/>
      <w:r w:rsidR="00202ED4" w:rsidRPr="00C73B8F">
        <w:rPr>
          <w:rFonts w:ascii="Book Antiqua" w:hAnsi="Book Antiqua" w:cs="Times New Roman"/>
          <w:b/>
          <w:sz w:val="24"/>
          <w:szCs w:val="24"/>
          <w:lang w:val="en-US"/>
        </w:rPr>
        <w:t>-</w:t>
      </w:r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 xml:space="preserve"> and </w:t>
      </w:r>
      <w:proofErr w:type="spellStart"/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>boceprevir</w:t>
      </w:r>
      <w:proofErr w:type="spellEnd"/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 xml:space="preserve">-based </w:t>
      </w:r>
      <w:proofErr w:type="spellStart"/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>tritherapies</w:t>
      </w:r>
      <w:proofErr w:type="spellEnd"/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 xml:space="preserve"> in real practice for </w:t>
      </w:r>
      <w:r w:rsidR="00B47A9A" w:rsidRPr="00C73B8F">
        <w:rPr>
          <w:rFonts w:ascii="Book Antiqua" w:hAnsi="Book Antiqua" w:cs="Times New Roman"/>
          <w:b/>
          <w:sz w:val="24"/>
          <w:szCs w:val="24"/>
          <w:lang w:val="en-US"/>
        </w:rPr>
        <w:t xml:space="preserve">F3-F4 pretreated </w:t>
      </w:r>
      <w:r w:rsidR="00DC6CEF" w:rsidRPr="00DC6CEF">
        <w:rPr>
          <w:rFonts w:ascii="Book Antiqua" w:hAnsi="Book Antiqua" w:cs="Times New Roman"/>
          <w:b/>
          <w:sz w:val="24"/>
          <w:szCs w:val="24"/>
          <w:lang w:val="en-US"/>
        </w:rPr>
        <w:t>hepatitis C virus</w:t>
      </w:r>
      <w:r w:rsidR="00C73B8F" w:rsidRPr="00DC6CEF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C73B8F">
        <w:rPr>
          <w:rFonts w:ascii="Book Antiqua" w:hAnsi="Book Antiqua" w:cs="Times New Roman"/>
          <w:b/>
          <w:sz w:val="24"/>
          <w:szCs w:val="24"/>
          <w:lang w:val="en-US"/>
        </w:rPr>
        <w:t>patients</w:t>
      </w:r>
    </w:p>
    <w:p w14:paraId="7C17D8D0" w14:textId="77777777" w:rsidR="007F78AA" w:rsidRDefault="007F78AA" w:rsidP="00C73B8F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</w:p>
    <w:p w14:paraId="39E5A4AA" w14:textId="139226E2" w:rsidR="007F78AA" w:rsidRPr="007F78AA" w:rsidRDefault="007F78AA" w:rsidP="00C73B8F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 w:rsidRPr="00C73B8F">
        <w:rPr>
          <w:rFonts w:ascii="Book Antiqua" w:hAnsi="Book Antiqua" w:cs="Times New Roman"/>
          <w:sz w:val="24"/>
          <w:szCs w:val="24"/>
        </w:rPr>
        <w:t>Bonnet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D </w:t>
      </w:r>
      <w:r w:rsidRPr="007F78AA">
        <w:rPr>
          <w:rFonts w:ascii="Book Antiqua" w:eastAsia="宋体" w:hAnsi="Book Antiqua" w:cs="Times New Roman" w:hint="eastAsia"/>
          <w:i/>
          <w:sz w:val="24"/>
          <w:szCs w:val="24"/>
          <w:lang w:val="en-US" w:eastAsia="zh-CN"/>
        </w:rPr>
        <w:t>et al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.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Telaprevir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or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Boceprevir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retreatment for severe HCV </w:t>
      </w:r>
    </w:p>
    <w:p w14:paraId="5FE2F97C" w14:textId="77777777" w:rsidR="00F8771C" w:rsidRPr="00C73B8F" w:rsidRDefault="00F8771C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3C0198D" w14:textId="77777777" w:rsidR="00F8771C" w:rsidRPr="00C73B8F" w:rsidRDefault="00F8771C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73B8F">
        <w:rPr>
          <w:rFonts w:ascii="Book Antiqua" w:hAnsi="Book Antiqua" w:cs="Times New Roman"/>
          <w:sz w:val="24"/>
          <w:szCs w:val="24"/>
        </w:rPr>
        <w:t>Delphine Bonnet, Matthieu Guivarch, Emilie Bérard, Jean-Marc Combis, Andre Jean Remy, Andre Glibert, Jean-Louis Payen, Sophie Metivier, Karl Barange, Herve Desmorat, Anaïs Palacin, Florence Nicot, Florence Abravanel, Laurent Alric</w:t>
      </w:r>
    </w:p>
    <w:p w14:paraId="314176DA" w14:textId="77777777" w:rsidR="00F8771C" w:rsidRPr="007F78AA" w:rsidRDefault="00F8771C" w:rsidP="00C73B8F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2858B063" w14:textId="554A66F8" w:rsidR="007F78AA" w:rsidRDefault="00F8771C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proofErr w:type="spellStart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>Delphine</w:t>
      </w:r>
      <w:proofErr w:type="spellEnd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 Bonnet, </w:t>
      </w:r>
      <w:proofErr w:type="spellStart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>Matthieu</w:t>
      </w:r>
      <w:proofErr w:type="spellEnd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>Guivarch</w:t>
      </w:r>
      <w:proofErr w:type="spellEnd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, </w:t>
      </w:r>
      <w:proofErr w:type="spellStart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>Anaïs</w:t>
      </w:r>
      <w:proofErr w:type="spellEnd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>Palacin</w:t>
      </w:r>
      <w:proofErr w:type="spellEnd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>,</w:t>
      </w:r>
      <w:r w:rsidRPr="007F78AA">
        <w:rPr>
          <w:rFonts w:ascii="Book Antiqua" w:hAnsi="Book Antiqua" w:cs="Times New Roman"/>
          <w:b/>
          <w:sz w:val="24"/>
          <w:szCs w:val="24"/>
          <w:vertAlign w:val="superscript"/>
          <w:lang w:val="en-US"/>
        </w:rPr>
        <w:t xml:space="preserve"> </w:t>
      </w:r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Laurent </w:t>
      </w:r>
      <w:proofErr w:type="spellStart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>Alric</w:t>
      </w:r>
      <w:proofErr w:type="spellEnd"/>
      <w:r w:rsidR="007F78AA" w:rsidRPr="007F78AA"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Internal Medicine-Digestive Department,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Purpan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University Hospital, </w:t>
      </w:r>
      <w:r w:rsidR="007F78AA">
        <w:rPr>
          <w:rFonts w:ascii="Book Antiqua" w:hAnsi="Book Antiqua" w:cs="Times New Roman"/>
          <w:sz w:val="24"/>
          <w:szCs w:val="24"/>
          <w:lang w:val="en-US"/>
        </w:rPr>
        <w:t>31059 Toulouse</w:t>
      </w:r>
      <w:r w:rsidR="007F78AA" w:rsidRPr="007F78AA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7F78AA" w:rsidRPr="00C73B8F">
        <w:rPr>
          <w:rFonts w:ascii="Book Antiqua" w:hAnsi="Book Antiqua" w:cs="Times New Roman"/>
          <w:sz w:val="24"/>
          <w:szCs w:val="24"/>
          <w:lang w:val="en-US"/>
        </w:rPr>
        <w:t>cedex</w:t>
      </w:r>
      <w:proofErr w:type="spellEnd"/>
      <w:r w:rsidR="007F78AA" w:rsidRPr="00C73B8F">
        <w:rPr>
          <w:rFonts w:ascii="Book Antiqua" w:hAnsi="Book Antiqua" w:cs="Times New Roman"/>
          <w:sz w:val="24"/>
          <w:szCs w:val="24"/>
          <w:lang w:val="en-US"/>
        </w:rPr>
        <w:t xml:space="preserve"> 9</w:t>
      </w:r>
      <w:r w:rsidR="007F78AA">
        <w:rPr>
          <w:rFonts w:ascii="Book Antiqua" w:hAnsi="Book Antiqua" w:cs="Times New Roman"/>
          <w:sz w:val="24"/>
          <w:szCs w:val="24"/>
          <w:lang w:val="en-US"/>
        </w:rPr>
        <w:t>, France</w:t>
      </w:r>
    </w:p>
    <w:p w14:paraId="0F5576B3" w14:textId="77777777" w:rsidR="007F78AA" w:rsidRDefault="007F78AA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7CCD97D3" w14:textId="7FA165FC" w:rsidR="007F78AA" w:rsidRPr="007F78AA" w:rsidRDefault="00F8771C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</w:pPr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Emilie </w:t>
      </w:r>
      <w:proofErr w:type="spellStart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>Bérard</w:t>
      </w:r>
      <w:proofErr w:type="spellEnd"/>
      <w:r w:rsidR="007F78AA" w:rsidRPr="007F78AA">
        <w:rPr>
          <w:rFonts w:ascii="Book Antiqua" w:eastAsia="宋体" w:hAnsi="Book Antiqua" w:cs="Times New Roman" w:hint="eastAsia"/>
          <w:b/>
          <w:bCs/>
          <w:sz w:val="24"/>
          <w:szCs w:val="24"/>
          <w:lang w:val="en-US" w:eastAsia="zh-CN"/>
        </w:rPr>
        <w:t>,</w:t>
      </w:r>
      <w:r w:rsidRPr="00C73B8F">
        <w:rPr>
          <w:rFonts w:ascii="Book Antiqua" w:hAnsi="Book Antiqua" w:cs="Times New Roman"/>
          <w:bCs/>
          <w:sz w:val="24"/>
          <w:szCs w:val="24"/>
          <w:lang w:val="en-US"/>
        </w:rPr>
        <w:t xml:space="preserve"> Department of Epidemiology, Health Economics and Public Health, Toulouse University Ho</w:t>
      </w:r>
      <w:r w:rsidR="007F78AA">
        <w:rPr>
          <w:rFonts w:ascii="Book Antiqua" w:hAnsi="Book Antiqua" w:cs="Times New Roman"/>
          <w:bCs/>
          <w:sz w:val="24"/>
          <w:szCs w:val="24"/>
          <w:lang w:val="en-US"/>
        </w:rPr>
        <w:t>spital, 31073 Toulouse, France</w:t>
      </w:r>
    </w:p>
    <w:p w14:paraId="08F9F585" w14:textId="77777777" w:rsidR="007F78AA" w:rsidRDefault="007F78AA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</w:pPr>
    </w:p>
    <w:p w14:paraId="1E53CA1C" w14:textId="2407A903" w:rsidR="007F78AA" w:rsidRPr="007F78AA" w:rsidRDefault="007F78AA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Emilie </w:t>
      </w:r>
      <w:proofErr w:type="spellStart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>Bérard</w:t>
      </w:r>
      <w:proofErr w:type="spellEnd"/>
      <w:r w:rsidRPr="007F78AA">
        <w:rPr>
          <w:rFonts w:ascii="Book Antiqua" w:eastAsia="宋体" w:hAnsi="Book Antiqua" w:cs="Times New Roman" w:hint="eastAsia"/>
          <w:b/>
          <w:bCs/>
          <w:sz w:val="24"/>
          <w:szCs w:val="24"/>
          <w:lang w:val="en-US" w:eastAsia="zh-CN"/>
        </w:rPr>
        <w:t>,</w:t>
      </w:r>
      <w:r>
        <w:rPr>
          <w:rFonts w:ascii="Book Antiqua" w:eastAsia="宋体" w:hAnsi="Book Antiqua" w:cs="Times New Roman" w:hint="eastAsia"/>
          <w:b/>
          <w:bCs/>
          <w:sz w:val="24"/>
          <w:szCs w:val="24"/>
          <w:lang w:val="en-US" w:eastAsia="zh-CN"/>
        </w:rPr>
        <w:t xml:space="preserve"> </w:t>
      </w:r>
      <w:r w:rsidR="00F8771C" w:rsidRPr="00C73B8F">
        <w:rPr>
          <w:rFonts w:ascii="Book Antiqua" w:hAnsi="Book Antiqua" w:cs="Times New Roman"/>
          <w:bCs/>
          <w:sz w:val="24"/>
          <w:szCs w:val="24"/>
          <w:lang w:val="en-US"/>
        </w:rPr>
        <w:t>UMR-1027 INSERM-Toulouse III University, 31062 Toulouse, France</w:t>
      </w:r>
    </w:p>
    <w:p w14:paraId="5815103B" w14:textId="77777777" w:rsidR="007F78AA" w:rsidRDefault="007F78AA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54EB9947" w14:textId="12C1279F" w:rsidR="007F78AA" w:rsidRPr="007F78AA" w:rsidRDefault="00F8771C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Jean-Marc </w:t>
      </w:r>
      <w:proofErr w:type="spellStart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>Combis</w:t>
      </w:r>
      <w:proofErr w:type="spellEnd"/>
      <w:r w:rsidR="007F78AA" w:rsidRPr="007F78AA"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Clinique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Ambrois</w:t>
      </w:r>
      <w:r w:rsidR="007F78AA">
        <w:rPr>
          <w:rFonts w:ascii="Book Antiqua" w:hAnsi="Book Antiqua" w:cs="Times New Roman"/>
          <w:sz w:val="24"/>
          <w:szCs w:val="24"/>
          <w:lang w:val="en-US"/>
        </w:rPr>
        <w:t>e</w:t>
      </w:r>
      <w:proofErr w:type="spellEnd"/>
      <w:r w:rsidR="007F78AA">
        <w:rPr>
          <w:rFonts w:ascii="Book Antiqua" w:hAnsi="Book Antiqua" w:cs="Times New Roman"/>
          <w:sz w:val="24"/>
          <w:szCs w:val="24"/>
          <w:lang w:val="en-US"/>
        </w:rPr>
        <w:t xml:space="preserve"> Pare, 31300 Toulouse, France</w:t>
      </w:r>
    </w:p>
    <w:p w14:paraId="3353E0B7" w14:textId="77777777" w:rsidR="007F78AA" w:rsidRDefault="007F78AA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1719BD7B" w14:textId="443AFA76" w:rsidR="007F78AA" w:rsidRPr="007F78AA" w:rsidRDefault="00F8771C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>Andre Jean Remy</w:t>
      </w:r>
      <w:r w:rsidR="007F78AA" w:rsidRPr="007F78AA"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Perpignan General Hos</w:t>
      </w:r>
      <w:r w:rsidR="007F78AA">
        <w:rPr>
          <w:rFonts w:ascii="Book Antiqua" w:hAnsi="Book Antiqua" w:cs="Times New Roman"/>
          <w:sz w:val="24"/>
          <w:szCs w:val="24"/>
          <w:lang w:val="en-US"/>
        </w:rPr>
        <w:t>pital, 66000 Perpignan, France</w:t>
      </w:r>
    </w:p>
    <w:p w14:paraId="3B5D935E" w14:textId="77777777" w:rsidR="007F78AA" w:rsidRDefault="007F78AA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25A763C6" w14:textId="36F26F8E" w:rsidR="007F78AA" w:rsidRPr="007F78AA" w:rsidRDefault="00F8771C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Andre </w:t>
      </w:r>
      <w:proofErr w:type="spellStart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>Glibert</w:t>
      </w:r>
      <w:proofErr w:type="spellEnd"/>
      <w:r w:rsidR="007F78AA" w:rsidRPr="007F78AA"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>,</w:t>
      </w:r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Tarbes General </w:t>
      </w:r>
      <w:r w:rsidR="007F78AA">
        <w:rPr>
          <w:rFonts w:ascii="Book Antiqua" w:hAnsi="Book Antiqua" w:cs="Times New Roman"/>
          <w:sz w:val="24"/>
          <w:szCs w:val="24"/>
          <w:lang w:val="en-US"/>
        </w:rPr>
        <w:t>Hospital, 65000 Tarbes, France</w:t>
      </w:r>
    </w:p>
    <w:p w14:paraId="498572C2" w14:textId="77777777" w:rsidR="007F78AA" w:rsidRDefault="007F78AA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0DAE76AD" w14:textId="0B2C25D2" w:rsidR="007F78AA" w:rsidRPr="007F78AA" w:rsidRDefault="00F8771C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Jean-Louis </w:t>
      </w:r>
      <w:proofErr w:type="spellStart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>Payen</w:t>
      </w:r>
      <w:proofErr w:type="spellEnd"/>
      <w:r w:rsidR="007F78AA" w:rsidRPr="007F78AA"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>,</w:t>
      </w:r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Montauban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General Hospital, 82000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Montauban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>, Fran</w:t>
      </w:r>
      <w:r w:rsidR="007F78AA">
        <w:rPr>
          <w:rFonts w:ascii="Book Antiqua" w:hAnsi="Book Antiqua" w:cs="Times New Roman"/>
          <w:sz w:val="24"/>
          <w:szCs w:val="24"/>
          <w:lang w:val="en-US"/>
        </w:rPr>
        <w:t>ce</w:t>
      </w:r>
    </w:p>
    <w:p w14:paraId="4A55D82D" w14:textId="77777777" w:rsidR="007F78AA" w:rsidRDefault="007F78AA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612CDB6B" w14:textId="32B57112" w:rsidR="007F78AA" w:rsidRDefault="00F8771C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Sophie </w:t>
      </w:r>
      <w:proofErr w:type="spellStart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>Métivier</w:t>
      </w:r>
      <w:proofErr w:type="spellEnd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, Karl </w:t>
      </w:r>
      <w:proofErr w:type="spellStart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>Barange</w:t>
      </w:r>
      <w:proofErr w:type="spellEnd"/>
      <w:r w:rsidR="007F78AA" w:rsidRPr="007F78AA"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Hepatogastroenterology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-Digestive Department,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Purpan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University Hospital,  </w:t>
      </w:r>
      <w:r w:rsidR="007F78AA">
        <w:rPr>
          <w:rFonts w:ascii="Book Antiqua" w:hAnsi="Book Antiqua" w:cs="Times New Roman"/>
          <w:sz w:val="24"/>
          <w:szCs w:val="24"/>
          <w:lang w:val="en-US"/>
        </w:rPr>
        <w:t xml:space="preserve">31059 Toulouse </w:t>
      </w:r>
      <w:proofErr w:type="spellStart"/>
      <w:r w:rsidR="007F78AA">
        <w:rPr>
          <w:rFonts w:ascii="Book Antiqua" w:hAnsi="Book Antiqua" w:cs="Times New Roman"/>
          <w:sz w:val="24"/>
          <w:szCs w:val="24"/>
          <w:lang w:val="en-US"/>
        </w:rPr>
        <w:t>cedex</w:t>
      </w:r>
      <w:proofErr w:type="spellEnd"/>
      <w:r w:rsidR="007F78AA">
        <w:rPr>
          <w:rFonts w:ascii="Book Antiqua" w:hAnsi="Book Antiqua" w:cs="Times New Roman"/>
          <w:sz w:val="24"/>
          <w:szCs w:val="24"/>
          <w:lang w:val="en-US"/>
        </w:rPr>
        <w:t xml:space="preserve"> 9, France</w:t>
      </w:r>
    </w:p>
    <w:p w14:paraId="148735BD" w14:textId="77777777" w:rsidR="007F78AA" w:rsidRPr="007F78AA" w:rsidRDefault="007F78AA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7A52379F" w14:textId="46994512" w:rsidR="007F78AA" w:rsidRPr="007F78AA" w:rsidRDefault="00F8771C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proofErr w:type="spellStart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Hervé</w:t>
      </w:r>
      <w:proofErr w:type="spellEnd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>Desmorat</w:t>
      </w:r>
      <w:proofErr w:type="spellEnd"/>
      <w:r w:rsidR="007F78AA" w:rsidRPr="007F78AA"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Clinique du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Parc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7F78AA">
        <w:rPr>
          <w:rFonts w:ascii="Book Antiqua" w:hAnsi="Book Antiqua" w:cs="Times New Roman"/>
          <w:sz w:val="24"/>
          <w:szCs w:val="24"/>
          <w:lang w:val="en-US"/>
        </w:rPr>
        <w:t xml:space="preserve">31078 Toulouse </w:t>
      </w:r>
      <w:proofErr w:type="spellStart"/>
      <w:r w:rsidR="007F78AA">
        <w:rPr>
          <w:rFonts w:ascii="Book Antiqua" w:hAnsi="Book Antiqua" w:cs="Times New Roman"/>
          <w:sz w:val="24"/>
          <w:szCs w:val="24"/>
          <w:lang w:val="en-US"/>
        </w:rPr>
        <w:t>Cedex</w:t>
      </w:r>
      <w:proofErr w:type="spellEnd"/>
      <w:r w:rsidR="007F78AA">
        <w:rPr>
          <w:rFonts w:ascii="Book Antiqua" w:hAnsi="Book Antiqua" w:cs="Times New Roman"/>
          <w:sz w:val="24"/>
          <w:szCs w:val="24"/>
          <w:lang w:val="en-US"/>
        </w:rPr>
        <w:t xml:space="preserve"> 4, France</w:t>
      </w:r>
    </w:p>
    <w:p w14:paraId="36B33864" w14:textId="77777777" w:rsidR="007F78AA" w:rsidRDefault="007F78AA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2F47EC96" w14:textId="449CCA83" w:rsidR="00F8771C" w:rsidRPr="007F78AA" w:rsidRDefault="00F8771C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Florence </w:t>
      </w:r>
      <w:proofErr w:type="spellStart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>Nicot</w:t>
      </w:r>
      <w:proofErr w:type="spellEnd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, Florence </w:t>
      </w:r>
      <w:proofErr w:type="spellStart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>Abravanel</w:t>
      </w:r>
      <w:proofErr w:type="spellEnd"/>
      <w:r w:rsidR="007F78AA" w:rsidRPr="007F78AA"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>,</w:t>
      </w:r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Virology Unit INSERM U1043,</w:t>
      </w:r>
      <w:r w:rsidR="007F78AA">
        <w:rPr>
          <w:rFonts w:ascii="Book Antiqua" w:hAnsi="Book Antiqua" w:cs="Times New Roman"/>
          <w:sz w:val="24"/>
          <w:szCs w:val="24"/>
          <w:lang w:val="en-US"/>
        </w:rPr>
        <w:t xml:space="preserve"> 31059 Toulouse </w:t>
      </w:r>
      <w:proofErr w:type="spellStart"/>
      <w:r w:rsidR="007F78AA">
        <w:rPr>
          <w:rFonts w:ascii="Book Antiqua" w:hAnsi="Book Antiqua" w:cs="Times New Roman"/>
          <w:sz w:val="24"/>
          <w:szCs w:val="24"/>
          <w:lang w:val="en-US"/>
        </w:rPr>
        <w:t>cedex</w:t>
      </w:r>
      <w:proofErr w:type="spellEnd"/>
      <w:r w:rsidR="007F78AA">
        <w:rPr>
          <w:rFonts w:ascii="Book Antiqua" w:hAnsi="Book Antiqua" w:cs="Times New Roman"/>
          <w:sz w:val="24"/>
          <w:szCs w:val="24"/>
          <w:lang w:val="en-US"/>
        </w:rPr>
        <w:t xml:space="preserve"> 9, France</w:t>
      </w:r>
    </w:p>
    <w:p w14:paraId="37794ECE" w14:textId="77777777" w:rsidR="00F8771C" w:rsidRDefault="00F8771C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5F25C5FB" w14:textId="77777777" w:rsidR="007F78AA" w:rsidRPr="007F78AA" w:rsidRDefault="007F78AA" w:rsidP="007F78A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Laurent </w:t>
      </w:r>
      <w:proofErr w:type="spellStart"/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>Alric</w:t>
      </w:r>
      <w:proofErr w:type="spellEnd"/>
      <w:r w:rsidRPr="007F78AA"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>,</w:t>
      </w:r>
      <w:r w:rsidRPr="007F78AA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UMR152 IRD Toulouse III Univ</w:t>
      </w:r>
      <w:r>
        <w:rPr>
          <w:rFonts w:ascii="Book Antiqua" w:hAnsi="Book Antiqua" w:cs="Times New Roman"/>
          <w:sz w:val="24"/>
          <w:szCs w:val="24"/>
          <w:lang w:val="en-US"/>
        </w:rPr>
        <w:t>ersity, 31400 Toulouse, France</w:t>
      </w:r>
    </w:p>
    <w:p w14:paraId="16B24579" w14:textId="77777777" w:rsidR="007F78AA" w:rsidRPr="007F78AA" w:rsidRDefault="007F78AA" w:rsidP="00C73B8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754C02B1" w14:textId="34664D09" w:rsidR="00F8771C" w:rsidRPr="00594EC3" w:rsidRDefault="00594EC3" w:rsidP="00C73B8F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 w:rsidRPr="00BE6E9E">
        <w:rPr>
          <w:rFonts w:ascii="Book Antiqua" w:hAnsi="Book Antiqua"/>
          <w:b/>
          <w:color w:val="000000"/>
          <w:sz w:val="24"/>
        </w:rPr>
        <w:t>Author contributions:</w:t>
      </w:r>
      <w:r w:rsidRPr="00594EC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Bonnet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D and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Guivarch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M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equally contributed to the work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; </w:t>
      </w:r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>Bonnet</w:t>
      </w:r>
      <w:r w:rsidRPr="00594EC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contributed to</w:t>
      </w:r>
      <w:r w:rsidRPr="00C73B8F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 xml:space="preserve">planning and conducting the study, collecting and interpreting the data, drafting the manuscript; </w:t>
      </w:r>
      <w:proofErr w:type="spellStart"/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>Guivarch</w:t>
      </w:r>
      <w:proofErr w:type="spellEnd"/>
      <w:r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M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contributed to</w:t>
      </w:r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 xml:space="preserve"> planning and conducting the study, collecting and interpreting the data, drafting the manuscript; </w:t>
      </w:r>
      <w:proofErr w:type="spellStart"/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>Berard</w:t>
      </w:r>
      <w:proofErr w:type="spellEnd"/>
      <w:r w:rsidRPr="00594EC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contributed to</w:t>
      </w:r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>biostatistical</w:t>
      </w:r>
      <w:proofErr w:type="spellEnd"/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 xml:space="preserve"> analysis and </w:t>
      </w:r>
      <w:proofErr w:type="spellStart"/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>interpretating</w:t>
      </w:r>
      <w:proofErr w:type="spellEnd"/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 xml:space="preserve"> the data, drafting the manuscript; </w:t>
      </w:r>
      <w:proofErr w:type="spellStart"/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>Combis</w:t>
      </w:r>
      <w:proofErr w:type="spellEnd"/>
      <w:r w:rsidRPr="00594EC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JM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,</w:t>
      </w:r>
      <w:r w:rsidR="00F95879" w:rsidRPr="00F958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95879" w:rsidRPr="00C73B8F">
        <w:rPr>
          <w:rFonts w:ascii="Book Antiqua" w:hAnsi="Book Antiqua" w:cs="Times New Roman"/>
          <w:sz w:val="24"/>
          <w:szCs w:val="24"/>
          <w:lang w:val="en-GB"/>
        </w:rPr>
        <w:t>Remy</w:t>
      </w:r>
      <w:r w:rsidR="00F95879" w:rsidRPr="00594EC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AJ,</w:t>
      </w:r>
      <w:r w:rsidR="00F95879" w:rsidRPr="00F958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F95879" w:rsidRPr="00C73B8F">
        <w:rPr>
          <w:rFonts w:ascii="Book Antiqua" w:hAnsi="Book Antiqua" w:cs="Times New Roman"/>
          <w:sz w:val="24"/>
          <w:szCs w:val="24"/>
          <w:lang w:val="en-GB"/>
        </w:rPr>
        <w:t>Glibert</w:t>
      </w:r>
      <w:proofErr w:type="spellEnd"/>
      <w:r w:rsidR="00F95879" w:rsidRPr="00594EC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A,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proofErr w:type="spellStart"/>
      <w:r w:rsidR="00F95879" w:rsidRPr="00C73B8F">
        <w:rPr>
          <w:rFonts w:ascii="Book Antiqua" w:hAnsi="Book Antiqua" w:cs="Times New Roman"/>
          <w:sz w:val="24"/>
          <w:szCs w:val="24"/>
          <w:lang w:val="en-GB"/>
        </w:rPr>
        <w:t>Payen</w:t>
      </w:r>
      <w:proofErr w:type="spellEnd"/>
      <w:r w:rsidR="00F95879" w:rsidRPr="00594EC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JL,</w:t>
      </w:r>
      <w:r w:rsidR="00F95879" w:rsidRPr="00F958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F95879" w:rsidRPr="00C73B8F">
        <w:rPr>
          <w:rFonts w:ascii="Book Antiqua" w:hAnsi="Book Antiqua" w:cs="Times New Roman"/>
          <w:sz w:val="24"/>
          <w:szCs w:val="24"/>
          <w:lang w:val="en-GB"/>
        </w:rPr>
        <w:t>Desmorat</w:t>
      </w:r>
      <w:proofErr w:type="spellEnd"/>
      <w:r w:rsidR="00F95879" w:rsidRPr="00594EC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H,</w:t>
      </w:r>
      <w:r w:rsidR="00F95879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F95879" w:rsidRPr="00C73B8F">
        <w:rPr>
          <w:rFonts w:ascii="Book Antiqua" w:hAnsi="Book Antiqua" w:cs="Times New Roman"/>
          <w:sz w:val="24"/>
          <w:szCs w:val="24"/>
          <w:lang w:val="en-GB"/>
        </w:rPr>
        <w:t>Métivier</w:t>
      </w:r>
      <w:proofErr w:type="spellEnd"/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S and </w:t>
      </w:r>
      <w:proofErr w:type="spellStart"/>
      <w:r w:rsidR="00F95879" w:rsidRPr="00C73B8F">
        <w:rPr>
          <w:rFonts w:ascii="Book Antiqua" w:hAnsi="Book Antiqua" w:cs="Times New Roman"/>
          <w:sz w:val="24"/>
          <w:szCs w:val="24"/>
          <w:lang w:val="en-GB"/>
        </w:rPr>
        <w:t>Barange</w:t>
      </w:r>
      <w:proofErr w:type="spellEnd"/>
      <w:r w:rsidR="00F95879" w:rsidRPr="00594EC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K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contributed to</w:t>
      </w:r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 xml:space="preserve"> treatment of patients;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proofErr w:type="spellStart"/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>Palacin</w:t>
      </w:r>
      <w:proofErr w:type="spellEnd"/>
      <w:r w:rsidRPr="00594EC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A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contributed to</w:t>
      </w:r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 xml:space="preserve"> collecting data; </w:t>
      </w:r>
      <w:proofErr w:type="spellStart"/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>Nicot</w:t>
      </w:r>
      <w:proofErr w:type="spellEnd"/>
      <w:r w:rsidRPr="00594EC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F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contributed to</w:t>
      </w:r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 xml:space="preserve"> viral monitoring; </w:t>
      </w:r>
      <w:proofErr w:type="spellStart"/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>Abravanel</w:t>
      </w:r>
      <w:proofErr w:type="spellEnd"/>
      <w:r w:rsidRPr="00594EC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F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contributed to</w:t>
      </w:r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 xml:space="preserve"> viral monitoring; </w:t>
      </w:r>
      <w:proofErr w:type="spellStart"/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>Alric</w:t>
      </w:r>
      <w:proofErr w:type="spellEnd"/>
      <w:r w:rsidRPr="00594EC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L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contributed to</w:t>
      </w:r>
      <w:r w:rsidR="00F8771C" w:rsidRPr="00C73B8F">
        <w:rPr>
          <w:rFonts w:ascii="Book Antiqua" w:hAnsi="Book Antiqua" w:cs="Times New Roman"/>
          <w:sz w:val="24"/>
          <w:szCs w:val="24"/>
          <w:lang w:val="en-GB"/>
        </w:rPr>
        <w:t xml:space="preserve"> treatment of patients, planning and conducting the study, interpreting the data, drafting the </w:t>
      </w:r>
      <w:r w:rsidR="00F8771C" w:rsidRPr="00C73B8F">
        <w:rPr>
          <w:rFonts w:ascii="Book Antiqua" w:hAnsi="Book Antiqua" w:cs="Times New Roman"/>
          <w:color w:val="000000" w:themeColor="text1"/>
          <w:sz w:val="24"/>
          <w:szCs w:val="24"/>
          <w:lang w:val="en-GB"/>
        </w:rPr>
        <w:t>manuscript.</w:t>
      </w:r>
    </w:p>
    <w:p w14:paraId="57094658" w14:textId="77777777" w:rsidR="007F78AA" w:rsidRPr="00F95879" w:rsidRDefault="007F78AA" w:rsidP="00C73B8F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00103618" w14:textId="16CBDF2F" w:rsidR="00F8771C" w:rsidRPr="00C73B8F" w:rsidRDefault="00F95879" w:rsidP="00C73B8F">
      <w:pPr>
        <w:spacing w:after="0" w:line="360" w:lineRule="auto"/>
        <w:jc w:val="both"/>
        <w:rPr>
          <w:rStyle w:val="a8"/>
          <w:rFonts w:ascii="Book Antiqua" w:hAnsi="Book Antiqua" w:cs="Times New Roman"/>
          <w:sz w:val="24"/>
          <w:szCs w:val="24"/>
          <w:lang w:val="en-US"/>
        </w:rPr>
      </w:pPr>
      <w:r w:rsidRPr="00F95879">
        <w:rPr>
          <w:rFonts w:ascii="Book Antiqua" w:hAnsi="Book Antiqua" w:cs="Times New Roman"/>
          <w:b/>
          <w:sz w:val="24"/>
          <w:szCs w:val="24"/>
          <w:lang w:val="en-US"/>
        </w:rPr>
        <w:t>Correspondence to:</w:t>
      </w:r>
      <w:r w:rsidR="00F8771C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8771C" w:rsidRPr="00F95879">
        <w:rPr>
          <w:rFonts w:ascii="Book Antiqua" w:hAnsi="Book Antiqua" w:cs="Times New Roman"/>
          <w:b/>
          <w:sz w:val="24"/>
          <w:szCs w:val="24"/>
          <w:lang w:val="en-US"/>
        </w:rPr>
        <w:t xml:space="preserve">Laurent </w:t>
      </w:r>
      <w:proofErr w:type="spellStart"/>
      <w:r w:rsidR="00F8771C" w:rsidRPr="00F95879">
        <w:rPr>
          <w:rFonts w:ascii="Book Antiqua" w:hAnsi="Book Antiqua" w:cs="Times New Roman"/>
          <w:b/>
          <w:sz w:val="24"/>
          <w:szCs w:val="24"/>
          <w:lang w:val="en-US"/>
        </w:rPr>
        <w:t>Alric</w:t>
      </w:r>
      <w:proofErr w:type="spellEnd"/>
      <w:r w:rsidRPr="00F95879">
        <w:rPr>
          <w:rFonts w:ascii="Book Antiqua" w:hAnsi="Book Antiqua" w:cs="Times New Roman" w:hint="eastAsia"/>
          <w:b/>
          <w:sz w:val="24"/>
          <w:szCs w:val="24"/>
          <w:lang w:val="en-US"/>
        </w:rPr>
        <w:t>,</w:t>
      </w:r>
      <w:r w:rsidRPr="00F95879">
        <w:rPr>
          <w:rFonts w:ascii="Book Antiqua" w:hAnsi="Book Antiqua" w:cs="Times New Roman"/>
          <w:b/>
          <w:sz w:val="24"/>
          <w:szCs w:val="24"/>
          <w:lang w:val="en-US"/>
        </w:rPr>
        <w:t xml:space="preserve"> Professor</w:t>
      </w:r>
      <w:r w:rsidRPr="00F95879"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>,</w:t>
      </w:r>
      <w:r w:rsidR="00F8771C" w:rsidRPr="00C73B8F">
        <w:rPr>
          <w:rFonts w:ascii="Book Antiqua" w:hAnsi="Book Antiqua" w:cs="Times New Roman"/>
          <w:sz w:val="24"/>
          <w:szCs w:val="24"/>
          <w:lang w:val="en-US"/>
        </w:rPr>
        <w:t xml:space="preserve"> Internal </w:t>
      </w:r>
      <w:proofErr w:type="spellStart"/>
      <w:r w:rsidR="00F8771C" w:rsidRPr="00C73B8F">
        <w:rPr>
          <w:rFonts w:ascii="Book Antiqua" w:hAnsi="Book Antiqua" w:cs="Times New Roman"/>
          <w:sz w:val="24"/>
          <w:szCs w:val="24"/>
          <w:lang w:val="en-US"/>
        </w:rPr>
        <w:t>Medecine</w:t>
      </w:r>
      <w:proofErr w:type="spellEnd"/>
      <w:r w:rsidR="00F8771C" w:rsidRPr="00C73B8F">
        <w:rPr>
          <w:rFonts w:ascii="Book Antiqua" w:hAnsi="Book Antiqua" w:cs="Times New Roman"/>
          <w:sz w:val="24"/>
          <w:szCs w:val="24"/>
          <w:lang w:val="en-US"/>
        </w:rPr>
        <w:t xml:space="preserve">, Digestive Department, </w:t>
      </w:r>
      <w:proofErr w:type="spellStart"/>
      <w:r w:rsidR="00F8771C" w:rsidRPr="00C73B8F">
        <w:rPr>
          <w:rFonts w:ascii="Book Antiqua" w:hAnsi="Book Antiqua" w:cs="Times New Roman"/>
          <w:sz w:val="24"/>
          <w:szCs w:val="24"/>
          <w:lang w:val="en-US"/>
        </w:rPr>
        <w:t>Pavillon</w:t>
      </w:r>
      <w:proofErr w:type="spellEnd"/>
      <w:r w:rsidR="00F8771C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F8771C" w:rsidRPr="00C73B8F">
        <w:rPr>
          <w:rFonts w:ascii="Book Antiqua" w:hAnsi="Book Antiqua" w:cs="Times New Roman"/>
          <w:sz w:val="24"/>
          <w:szCs w:val="24"/>
          <w:lang w:val="en-US"/>
        </w:rPr>
        <w:t>Dieulafoy</w:t>
      </w:r>
      <w:proofErr w:type="spellEnd"/>
      <w:r w:rsidR="00F8771C" w:rsidRPr="00C73B8F">
        <w:rPr>
          <w:rFonts w:ascii="Book Antiqua" w:hAnsi="Book Antiqua" w:cs="Times New Roman"/>
          <w:sz w:val="24"/>
          <w:szCs w:val="24"/>
          <w:lang w:val="en-US"/>
        </w:rPr>
        <w:t xml:space="preserve">, CHU </w:t>
      </w:r>
      <w:proofErr w:type="spellStart"/>
      <w:r w:rsidR="00F8771C" w:rsidRPr="00C73B8F">
        <w:rPr>
          <w:rFonts w:ascii="Book Antiqua" w:hAnsi="Book Antiqua" w:cs="Times New Roman"/>
          <w:sz w:val="24"/>
          <w:szCs w:val="24"/>
          <w:lang w:val="en-US"/>
        </w:rPr>
        <w:t>Purpan</w:t>
      </w:r>
      <w:proofErr w:type="spellEnd"/>
      <w:r w:rsidR="00F8771C" w:rsidRPr="00C73B8F">
        <w:rPr>
          <w:rFonts w:ascii="Book Antiqua" w:hAnsi="Book Antiqua" w:cs="Times New Roman"/>
          <w:sz w:val="24"/>
          <w:szCs w:val="24"/>
          <w:lang w:val="en-US"/>
        </w:rPr>
        <w:t xml:space="preserve">, TSA 40031, Toulouse 31059 </w:t>
      </w:r>
      <w:proofErr w:type="spellStart"/>
      <w:r w:rsidR="00F8771C" w:rsidRPr="00C73B8F">
        <w:rPr>
          <w:rFonts w:ascii="Book Antiqua" w:hAnsi="Book Antiqua" w:cs="Times New Roman"/>
          <w:sz w:val="24"/>
          <w:szCs w:val="24"/>
          <w:lang w:val="en-US"/>
        </w:rPr>
        <w:t>cedex</w:t>
      </w:r>
      <w:proofErr w:type="spellEnd"/>
      <w:r w:rsidR="00F8771C" w:rsidRPr="00C73B8F">
        <w:rPr>
          <w:rFonts w:ascii="Book Antiqua" w:hAnsi="Book Antiqua" w:cs="Times New Roman"/>
          <w:sz w:val="24"/>
          <w:szCs w:val="24"/>
          <w:lang w:val="en-US"/>
        </w:rPr>
        <w:t>, France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.</w:t>
      </w:r>
      <w:r w:rsidR="00F8771C" w:rsidRPr="00C73B8F">
        <w:rPr>
          <w:rFonts w:ascii="Book Antiqua" w:hAnsi="Book Antiqua" w:cs="Times New Roman"/>
          <w:sz w:val="24"/>
          <w:szCs w:val="24"/>
          <w:lang w:val="en-US"/>
        </w:rPr>
        <w:t xml:space="preserve"> alric.l@chu-purpan-toulouse.fr</w:t>
      </w:r>
    </w:p>
    <w:p w14:paraId="263DDD46" w14:textId="77777777" w:rsidR="00F95879" w:rsidRDefault="00F95879" w:rsidP="00C73B8F">
      <w:pPr>
        <w:spacing w:after="0" w:line="360" w:lineRule="auto"/>
        <w:jc w:val="both"/>
        <w:rPr>
          <w:rStyle w:val="a8"/>
          <w:rFonts w:ascii="Book Antiqua" w:eastAsia="宋体" w:hAnsi="Book Antiqua" w:cs="Times New Roman"/>
          <w:color w:val="auto"/>
          <w:sz w:val="24"/>
          <w:szCs w:val="24"/>
          <w:u w:val="none"/>
          <w:lang w:val="en-US" w:eastAsia="zh-CN"/>
        </w:rPr>
      </w:pPr>
    </w:p>
    <w:p w14:paraId="08F7D884" w14:textId="053F974F" w:rsidR="00F8771C" w:rsidRPr="00C73B8F" w:rsidRDefault="00F95879" w:rsidP="00C73B8F">
      <w:pPr>
        <w:spacing w:after="0" w:line="360" w:lineRule="auto"/>
        <w:jc w:val="both"/>
        <w:rPr>
          <w:rStyle w:val="a8"/>
          <w:rFonts w:ascii="Book Antiqua" w:hAnsi="Book Antiqua" w:cs="Times New Roman"/>
          <w:color w:val="auto"/>
          <w:sz w:val="24"/>
          <w:szCs w:val="24"/>
          <w:u w:val="none"/>
          <w:lang w:val="en-US"/>
        </w:rPr>
      </w:pPr>
      <w:r w:rsidRPr="00D73149">
        <w:rPr>
          <w:rFonts w:ascii="Book Antiqua" w:hAnsi="Book Antiqua"/>
          <w:b/>
          <w:sz w:val="24"/>
        </w:rPr>
        <w:t>Telephone:</w:t>
      </w:r>
      <w:r w:rsidR="00F8771C" w:rsidRPr="00C73B8F">
        <w:rPr>
          <w:rStyle w:val="a8"/>
          <w:rFonts w:ascii="Book Antiqua" w:hAnsi="Book Antiqua" w:cs="Times New Roman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a8"/>
          <w:rFonts w:ascii="Book Antiqua" w:eastAsia="宋体" w:hAnsi="Book Antiqua" w:cs="Times New Roman" w:hint="eastAsia"/>
          <w:color w:val="auto"/>
          <w:sz w:val="24"/>
          <w:szCs w:val="24"/>
          <w:u w:val="none"/>
          <w:lang w:val="en-US" w:eastAsia="zh-CN"/>
        </w:rPr>
        <w:t>+</w:t>
      </w:r>
      <w:r w:rsidR="00F8771C" w:rsidRPr="00C73B8F">
        <w:rPr>
          <w:rStyle w:val="a8"/>
          <w:rFonts w:ascii="Book Antiqua" w:hAnsi="Book Antiqua" w:cs="Times New Roman"/>
          <w:color w:val="auto"/>
          <w:sz w:val="24"/>
          <w:szCs w:val="24"/>
          <w:u w:val="none"/>
          <w:lang w:val="en-US"/>
        </w:rPr>
        <w:t>33</w:t>
      </w:r>
      <w:r>
        <w:rPr>
          <w:rStyle w:val="a8"/>
          <w:rFonts w:ascii="Book Antiqua" w:eastAsia="宋体" w:hAnsi="Book Antiqua" w:cs="Times New Roman" w:hint="eastAsia"/>
          <w:color w:val="auto"/>
          <w:sz w:val="24"/>
          <w:szCs w:val="24"/>
          <w:u w:val="none"/>
          <w:lang w:val="en-US" w:eastAsia="zh-CN"/>
        </w:rPr>
        <w:t>-</w:t>
      </w:r>
      <w:r w:rsidR="00F8771C" w:rsidRPr="00C73B8F">
        <w:rPr>
          <w:rStyle w:val="a8"/>
          <w:rFonts w:ascii="Book Antiqua" w:hAnsi="Book Antiqua" w:cs="Times New Roman"/>
          <w:color w:val="auto"/>
          <w:sz w:val="24"/>
          <w:szCs w:val="24"/>
          <w:u w:val="none"/>
          <w:lang w:val="en-US"/>
        </w:rPr>
        <w:t>5</w:t>
      </w:r>
      <w:r>
        <w:rPr>
          <w:rStyle w:val="a8"/>
          <w:rFonts w:ascii="Book Antiqua" w:eastAsia="宋体" w:hAnsi="Book Antiqua" w:cs="Times New Roman" w:hint="eastAsia"/>
          <w:color w:val="auto"/>
          <w:sz w:val="24"/>
          <w:szCs w:val="24"/>
          <w:u w:val="none"/>
          <w:lang w:val="en-US" w:eastAsia="zh-CN"/>
        </w:rPr>
        <w:t>-</w:t>
      </w:r>
      <w:r w:rsidR="00F8771C" w:rsidRPr="00C73B8F">
        <w:rPr>
          <w:rStyle w:val="a8"/>
          <w:rFonts w:ascii="Book Antiqua" w:hAnsi="Book Antiqua" w:cs="Times New Roman"/>
          <w:color w:val="auto"/>
          <w:sz w:val="24"/>
          <w:szCs w:val="24"/>
          <w:u w:val="none"/>
          <w:lang w:val="en-US"/>
        </w:rPr>
        <w:t>61779551</w:t>
      </w:r>
      <w:r w:rsidR="00F8771C" w:rsidRPr="00F95879">
        <w:rPr>
          <w:rStyle w:val="a8"/>
          <w:rFonts w:ascii="Book Antiqua" w:hAnsi="Book Antiqua" w:cs="Times New Roman"/>
          <w:b/>
          <w:color w:val="auto"/>
          <w:sz w:val="24"/>
          <w:szCs w:val="24"/>
          <w:u w:val="none"/>
          <w:lang w:val="en-US"/>
        </w:rPr>
        <w:t xml:space="preserve"> </w:t>
      </w:r>
      <w:r w:rsidRPr="00F95879">
        <w:rPr>
          <w:rStyle w:val="a8"/>
          <w:rFonts w:ascii="Book Antiqua" w:hAnsi="Book Antiqua" w:cs="Times New Roman"/>
          <w:b/>
          <w:color w:val="auto"/>
          <w:sz w:val="24"/>
          <w:szCs w:val="24"/>
          <w:u w:val="none"/>
          <w:lang w:val="en-US"/>
        </w:rPr>
        <w:t>F</w:t>
      </w:r>
      <w:r w:rsidR="00F8771C" w:rsidRPr="00F95879">
        <w:rPr>
          <w:rStyle w:val="a8"/>
          <w:rFonts w:ascii="Book Antiqua" w:hAnsi="Book Antiqua" w:cs="Times New Roman"/>
          <w:b/>
          <w:color w:val="auto"/>
          <w:sz w:val="24"/>
          <w:szCs w:val="24"/>
          <w:u w:val="none"/>
          <w:lang w:val="en-US"/>
        </w:rPr>
        <w:t>ax</w:t>
      </w:r>
      <w:r w:rsidRPr="00F95879">
        <w:rPr>
          <w:rStyle w:val="a8"/>
          <w:rFonts w:ascii="Book Antiqua" w:eastAsia="宋体" w:hAnsi="Book Antiqua" w:cs="Times New Roman" w:hint="eastAsia"/>
          <w:b/>
          <w:color w:val="auto"/>
          <w:sz w:val="24"/>
          <w:szCs w:val="24"/>
          <w:u w:val="none"/>
          <w:lang w:val="en-US" w:eastAsia="zh-CN"/>
        </w:rPr>
        <w:t>:</w:t>
      </w:r>
      <w:r w:rsidR="00F8771C" w:rsidRPr="00F95879">
        <w:rPr>
          <w:rStyle w:val="a8"/>
          <w:rFonts w:ascii="Book Antiqua" w:hAnsi="Book Antiqua" w:cs="Times New Roman"/>
          <w:b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a8"/>
          <w:rFonts w:ascii="Book Antiqua" w:eastAsia="宋体" w:hAnsi="Book Antiqua" w:cs="Times New Roman" w:hint="eastAsia"/>
          <w:color w:val="auto"/>
          <w:sz w:val="24"/>
          <w:szCs w:val="24"/>
          <w:u w:val="none"/>
          <w:lang w:val="en-US" w:eastAsia="zh-CN"/>
        </w:rPr>
        <w:t>+</w:t>
      </w:r>
      <w:r w:rsidR="00F8771C" w:rsidRPr="00C73B8F">
        <w:rPr>
          <w:rStyle w:val="a8"/>
          <w:rFonts w:ascii="Book Antiqua" w:hAnsi="Book Antiqua" w:cs="Times New Roman"/>
          <w:color w:val="auto"/>
          <w:sz w:val="24"/>
          <w:szCs w:val="24"/>
          <w:u w:val="none"/>
          <w:lang w:val="en-US"/>
        </w:rPr>
        <w:t>33</w:t>
      </w:r>
      <w:r>
        <w:rPr>
          <w:rStyle w:val="a8"/>
          <w:rFonts w:ascii="Book Antiqua" w:eastAsia="宋体" w:hAnsi="Book Antiqua" w:cs="Times New Roman" w:hint="eastAsia"/>
          <w:color w:val="auto"/>
          <w:sz w:val="24"/>
          <w:szCs w:val="24"/>
          <w:u w:val="none"/>
          <w:lang w:val="en-US" w:eastAsia="zh-CN"/>
        </w:rPr>
        <w:t>-</w:t>
      </w:r>
      <w:r w:rsidR="00F8771C" w:rsidRPr="00C73B8F">
        <w:rPr>
          <w:rStyle w:val="a8"/>
          <w:rFonts w:ascii="Book Antiqua" w:hAnsi="Book Antiqua" w:cs="Times New Roman"/>
          <w:color w:val="auto"/>
          <w:sz w:val="24"/>
          <w:szCs w:val="24"/>
          <w:u w:val="none"/>
          <w:lang w:val="en-US"/>
        </w:rPr>
        <w:t>5</w:t>
      </w:r>
      <w:r>
        <w:rPr>
          <w:rStyle w:val="a8"/>
          <w:rFonts w:ascii="Book Antiqua" w:eastAsia="宋体" w:hAnsi="Book Antiqua" w:cs="Times New Roman" w:hint="eastAsia"/>
          <w:color w:val="auto"/>
          <w:sz w:val="24"/>
          <w:szCs w:val="24"/>
          <w:u w:val="none"/>
          <w:lang w:val="en-US" w:eastAsia="zh-CN"/>
        </w:rPr>
        <w:t>-</w:t>
      </w:r>
      <w:r w:rsidR="00F8771C" w:rsidRPr="00C73B8F">
        <w:rPr>
          <w:rStyle w:val="a8"/>
          <w:rFonts w:ascii="Book Antiqua" w:hAnsi="Book Antiqua" w:cs="Times New Roman"/>
          <w:color w:val="auto"/>
          <w:sz w:val="24"/>
          <w:szCs w:val="24"/>
          <w:u w:val="none"/>
          <w:lang w:val="en-US"/>
        </w:rPr>
        <w:t>61772230</w:t>
      </w:r>
    </w:p>
    <w:p w14:paraId="43D104DC" w14:textId="77777777" w:rsidR="00F8771C" w:rsidRPr="00C73B8F" w:rsidRDefault="00F8771C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34F6A594" w14:textId="66BA3F58" w:rsidR="00F95879" w:rsidRPr="00F95879" w:rsidRDefault="00F95879" w:rsidP="00F95879">
      <w:pPr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8150D2">
        <w:rPr>
          <w:rFonts w:ascii="Book Antiqua" w:hAnsi="Book Antiqua"/>
          <w:b/>
          <w:sz w:val="24"/>
        </w:rPr>
        <w:t xml:space="preserve">Received: </w:t>
      </w:r>
      <w:r w:rsidRPr="00F95879">
        <w:rPr>
          <w:rFonts w:ascii="Book Antiqua" w:eastAsia="宋体" w:hAnsi="Book Antiqua" w:hint="eastAsia"/>
          <w:sz w:val="24"/>
          <w:lang w:eastAsia="zh-CN"/>
        </w:rPr>
        <w:t>February 19, 2014</w:t>
      </w:r>
      <w:r>
        <w:rPr>
          <w:rFonts w:ascii="Book Antiqua" w:hAnsi="Book Antiqua" w:hint="eastAsia"/>
          <w:b/>
          <w:sz w:val="24"/>
        </w:rPr>
        <w:t xml:space="preserve"> </w:t>
      </w:r>
      <w:r w:rsidRPr="008150D2">
        <w:rPr>
          <w:rFonts w:ascii="Book Antiqua" w:hAnsi="Book Antiqua"/>
          <w:b/>
          <w:sz w:val="24"/>
        </w:rPr>
        <w:t>Revised:</w:t>
      </w:r>
      <w:r>
        <w:rPr>
          <w:rFonts w:ascii="Book Antiqua" w:hAnsi="Book Antiqua" w:hint="eastAsia"/>
          <w:b/>
          <w:sz w:val="24"/>
        </w:rPr>
        <w:t xml:space="preserve"> </w:t>
      </w:r>
      <w:r w:rsidRPr="00F95879">
        <w:rPr>
          <w:rFonts w:ascii="Book Antiqua" w:eastAsia="宋体" w:hAnsi="Book Antiqua" w:hint="eastAsia"/>
          <w:sz w:val="24"/>
          <w:lang w:eastAsia="zh-CN"/>
        </w:rPr>
        <w:t>June 30, 2014</w:t>
      </w:r>
    </w:p>
    <w:p w14:paraId="75CCCD37" w14:textId="0D4999E4" w:rsidR="00F01546" w:rsidRDefault="00F95879" w:rsidP="00F01546">
      <w:pPr>
        <w:rPr>
          <w:rFonts w:ascii="Book Antiqua" w:hAnsi="Book Antiqua"/>
          <w:color w:val="000000"/>
          <w:sz w:val="24"/>
        </w:rPr>
      </w:pPr>
      <w:proofErr w:type="spellStart"/>
      <w:r w:rsidRPr="008150D2">
        <w:rPr>
          <w:rFonts w:ascii="Book Antiqua" w:hAnsi="Book Antiqua"/>
          <w:b/>
          <w:sz w:val="24"/>
        </w:rPr>
        <w:t>Accepted</w:t>
      </w:r>
      <w:proofErr w:type="spellEnd"/>
      <w:r w:rsidRPr="008150D2">
        <w:rPr>
          <w:rFonts w:ascii="Book Antiqua" w:hAnsi="Book Antiqua"/>
          <w:b/>
          <w:sz w:val="24"/>
        </w:rPr>
        <w:t xml:space="preserve">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9"/>
      <w:bookmarkStart w:id="8" w:name="OLE_LINK10"/>
      <w:bookmarkStart w:id="9" w:name="OLE_LINK13"/>
      <w:bookmarkStart w:id="10" w:name="OLE_LINK14"/>
      <w:bookmarkStart w:id="11" w:name="OLE_LINK17"/>
      <w:bookmarkStart w:id="12" w:name="OLE_LINK18"/>
      <w:bookmarkStart w:id="13" w:name="OLE_LINK19"/>
      <w:bookmarkStart w:id="14" w:name="OLE_LINK22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4"/>
      <w:bookmarkStart w:id="25" w:name="OLE_LINK37"/>
      <w:bookmarkStart w:id="26" w:name="OLE_LINK38"/>
      <w:bookmarkStart w:id="27" w:name="OLE_LINK41"/>
      <w:bookmarkStart w:id="28" w:name="OLE_LINK42"/>
      <w:bookmarkStart w:id="29" w:name="OLE_LINK44"/>
      <w:bookmarkStart w:id="30" w:name="OLE_LINK45"/>
      <w:bookmarkStart w:id="31" w:name="OLE_LINK46"/>
      <w:bookmarkStart w:id="32" w:name="OLE_LINK47"/>
      <w:bookmarkStart w:id="33" w:name="OLE_LINK52"/>
      <w:bookmarkStart w:id="34" w:name="OLE_LINK43"/>
      <w:bookmarkStart w:id="35" w:name="OLE_LINK57"/>
      <w:bookmarkStart w:id="36" w:name="OLE_LINK58"/>
      <w:bookmarkStart w:id="37" w:name="OLE_LINK8"/>
      <w:bookmarkStart w:id="38" w:name="OLE_LINK62"/>
      <w:bookmarkStart w:id="39" w:name="OLE_LINK66"/>
      <w:bookmarkStart w:id="40" w:name="OLE_LINK68"/>
      <w:bookmarkStart w:id="41" w:name="OLE_LINK69"/>
      <w:bookmarkStart w:id="42" w:name="OLE_LINK71"/>
      <w:bookmarkStart w:id="43" w:name="OLE_LINK74"/>
      <w:bookmarkStart w:id="44" w:name="OLE_LINK77"/>
      <w:bookmarkStart w:id="45" w:name="OLE_LINK78"/>
      <w:bookmarkStart w:id="46" w:name="OLE_LINK72"/>
      <w:bookmarkStart w:id="47" w:name="OLE_LINK73"/>
      <w:bookmarkStart w:id="48" w:name="OLE_LINK79"/>
      <w:bookmarkStart w:id="49" w:name="OLE_LINK81"/>
      <w:bookmarkStart w:id="50" w:name="OLE_LINK86"/>
      <w:bookmarkStart w:id="51" w:name="OLE_LINK87"/>
      <w:bookmarkStart w:id="52" w:name="OLE_LINK88"/>
      <w:bookmarkStart w:id="53" w:name="OLE_LINK92"/>
      <w:bookmarkStart w:id="54" w:name="OLE_LINK94"/>
      <w:bookmarkStart w:id="55" w:name="_GoBack"/>
      <w:bookmarkEnd w:id="55"/>
      <w:r w:rsidR="00F01546">
        <w:rPr>
          <w:rFonts w:ascii="Book Antiqua" w:hAnsi="Book Antiqua"/>
          <w:color w:val="000000"/>
          <w:sz w:val="24"/>
        </w:rPr>
        <w:t>August 27, 2014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p w14:paraId="741E17D6" w14:textId="753AED96" w:rsidR="00F95879" w:rsidRDefault="00F95879" w:rsidP="00F95879">
      <w:pPr>
        <w:spacing w:line="360" w:lineRule="auto"/>
        <w:rPr>
          <w:rFonts w:ascii="Book Antiqua" w:hAnsi="Book Antiqua"/>
          <w:b/>
          <w:sz w:val="24"/>
        </w:rPr>
      </w:pPr>
    </w:p>
    <w:p w14:paraId="41856168" w14:textId="77777777" w:rsidR="00F95879" w:rsidRPr="008150D2" w:rsidRDefault="00F95879" w:rsidP="00F95879">
      <w:pPr>
        <w:spacing w:line="360" w:lineRule="auto"/>
        <w:rPr>
          <w:rFonts w:ascii="Book Antiqua" w:hAnsi="Book Antiqua"/>
          <w:b/>
          <w:sz w:val="24"/>
        </w:rPr>
      </w:pPr>
      <w:r w:rsidRPr="00BE6E9E">
        <w:rPr>
          <w:rFonts w:ascii="Book Antiqua" w:hAnsi="Book Antiqua"/>
          <w:b/>
          <w:sz w:val="24"/>
        </w:rPr>
        <w:t>Published online:</w:t>
      </w:r>
      <w:r w:rsidRPr="008150D2">
        <w:rPr>
          <w:rFonts w:ascii="Book Antiqua" w:hAnsi="Book Antiqua"/>
          <w:b/>
          <w:sz w:val="24"/>
        </w:rPr>
        <w:t xml:space="preserve"> </w:t>
      </w:r>
    </w:p>
    <w:p w14:paraId="52D99C07" w14:textId="7D2E7FE9" w:rsidR="00F8771C" w:rsidRPr="00F95879" w:rsidRDefault="00F8771C" w:rsidP="00C73B8F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</w:p>
    <w:p w14:paraId="76CAB190" w14:textId="000535B4" w:rsidR="002A3719" w:rsidRPr="00C73B8F" w:rsidRDefault="006C145F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>A</w:t>
      </w:r>
      <w:r w:rsidR="00F95879" w:rsidRPr="00C73B8F">
        <w:rPr>
          <w:rFonts w:ascii="Book Antiqua" w:hAnsi="Book Antiqua" w:cs="Times New Roman"/>
          <w:b/>
          <w:sz w:val="24"/>
          <w:szCs w:val="24"/>
          <w:lang w:val="en-US"/>
        </w:rPr>
        <w:t>bstract</w:t>
      </w:r>
    </w:p>
    <w:p w14:paraId="590ACF88" w14:textId="0A2D3C7A" w:rsidR="00F77E13" w:rsidRPr="00C73B8F" w:rsidRDefault="00ED77DF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AIM</w:t>
      </w:r>
      <w:r w:rsidR="00F77E13" w:rsidRPr="00C73B8F">
        <w:rPr>
          <w:rFonts w:ascii="Book Antiqua" w:hAnsi="Book Antiqua" w:cs="Times New Roman"/>
          <w:b/>
          <w:sz w:val="24"/>
          <w:szCs w:val="24"/>
          <w:lang w:val="en-US"/>
        </w:rPr>
        <w:t>:</w:t>
      </w:r>
      <w:r w:rsidR="00F77E13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>T</w:t>
      </w:r>
      <w:r w:rsidR="00F77E13" w:rsidRPr="00C73B8F">
        <w:rPr>
          <w:rFonts w:ascii="Book Antiqua" w:hAnsi="Book Antiqua" w:cs="Times New Roman"/>
          <w:sz w:val="24"/>
          <w:szCs w:val="24"/>
          <w:lang w:val="en-US"/>
        </w:rPr>
        <w:t>o assess</w:t>
      </w:r>
      <w:r w:rsidR="00EF4916" w:rsidRPr="00C73B8F">
        <w:rPr>
          <w:rFonts w:ascii="Book Antiqua" w:hAnsi="Book Antiqua" w:cs="Times New Roman"/>
          <w:sz w:val="24"/>
          <w:szCs w:val="24"/>
          <w:lang w:val="en-US"/>
        </w:rPr>
        <w:t>, in a routine practice setting,</w:t>
      </w:r>
      <w:r w:rsidR="00F77E13" w:rsidRPr="00C73B8F">
        <w:rPr>
          <w:rFonts w:ascii="Book Antiqua" w:hAnsi="Book Antiqua" w:cs="Times New Roman"/>
          <w:sz w:val="24"/>
          <w:szCs w:val="24"/>
          <w:lang w:val="en-US"/>
        </w:rPr>
        <w:t xml:space="preserve"> the sustained </w:t>
      </w:r>
      <w:proofErr w:type="spellStart"/>
      <w:r w:rsidR="00F77E13" w:rsidRPr="00C73B8F">
        <w:rPr>
          <w:rFonts w:ascii="Book Antiqua" w:hAnsi="Book Antiqua" w:cs="Times New Roman"/>
          <w:sz w:val="24"/>
          <w:szCs w:val="24"/>
          <w:lang w:val="en-US"/>
        </w:rPr>
        <w:t>virologic</w:t>
      </w:r>
      <w:proofErr w:type="spellEnd"/>
      <w:r w:rsidR="00F77E13" w:rsidRPr="00C73B8F">
        <w:rPr>
          <w:rFonts w:ascii="Book Antiqua" w:hAnsi="Book Antiqua" w:cs="Times New Roman"/>
          <w:sz w:val="24"/>
          <w:szCs w:val="24"/>
          <w:lang w:val="en-US"/>
        </w:rPr>
        <w:t xml:space="preserve"> re</w:t>
      </w:r>
      <w:r w:rsidR="006F239A" w:rsidRPr="00C73B8F">
        <w:rPr>
          <w:rFonts w:ascii="Book Antiqua" w:hAnsi="Book Antiqua" w:cs="Times New Roman"/>
          <w:sz w:val="24"/>
          <w:szCs w:val="24"/>
          <w:lang w:val="en-US"/>
        </w:rPr>
        <w:t>sponse (SVR)</w:t>
      </w:r>
      <w:r w:rsidR="00EF4916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F239A" w:rsidRPr="00C73B8F">
        <w:rPr>
          <w:rFonts w:ascii="Book Antiqua" w:hAnsi="Book Antiqua" w:cs="Times New Roman"/>
          <w:sz w:val="24"/>
          <w:szCs w:val="24"/>
          <w:lang w:val="en-US"/>
        </w:rPr>
        <w:t xml:space="preserve">to </w:t>
      </w:r>
      <w:proofErr w:type="spellStart"/>
      <w:r w:rsidR="00697832" w:rsidRPr="00C73B8F">
        <w:rPr>
          <w:rFonts w:ascii="Book Antiqua" w:hAnsi="Book Antiqua" w:cs="Times New Roman"/>
          <w:sz w:val="24"/>
          <w:szCs w:val="24"/>
          <w:lang w:val="en-US"/>
        </w:rPr>
        <w:t>telaprevir</w:t>
      </w:r>
      <w:proofErr w:type="spellEnd"/>
      <w:r w:rsidR="0069783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F239A" w:rsidRPr="00C73B8F">
        <w:rPr>
          <w:rFonts w:ascii="Book Antiqua" w:hAnsi="Book Antiqua" w:cs="Times New Roman"/>
          <w:sz w:val="24"/>
          <w:szCs w:val="24"/>
          <w:lang w:val="en-US"/>
        </w:rPr>
        <w:t xml:space="preserve">(TPV) or </w:t>
      </w:r>
      <w:proofErr w:type="spellStart"/>
      <w:r w:rsidR="00697832" w:rsidRPr="00C73B8F">
        <w:rPr>
          <w:rFonts w:ascii="Book Antiqua" w:hAnsi="Book Antiqua" w:cs="Times New Roman"/>
          <w:sz w:val="24"/>
          <w:szCs w:val="24"/>
          <w:lang w:val="en-US"/>
        </w:rPr>
        <w:t>boceprevir</w:t>
      </w:r>
      <w:proofErr w:type="spellEnd"/>
      <w:r w:rsidR="0069783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F239A" w:rsidRPr="00C73B8F">
        <w:rPr>
          <w:rFonts w:ascii="Book Antiqua" w:hAnsi="Book Antiqua" w:cs="Times New Roman"/>
          <w:sz w:val="24"/>
          <w:szCs w:val="24"/>
          <w:lang w:val="en-US"/>
        </w:rPr>
        <w:t>(BOC</w:t>
      </w:r>
      <w:r w:rsidR="00AB0B96" w:rsidRPr="00C73B8F">
        <w:rPr>
          <w:rFonts w:ascii="Book Antiqua" w:hAnsi="Book Antiqua" w:cs="Times New Roman"/>
          <w:sz w:val="24"/>
          <w:szCs w:val="24"/>
          <w:lang w:val="en-US"/>
        </w:rPr>
        <w:t>)</w:t>
      </w:r>
      <w:r w:rsidR="00850661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DC6CEF" w:rsidRPr="00C73B8F">
        <w:rPr>
          <w:rFonts w:ascii="Book Antiqua" w:hAnsi="Book Antiqua" w:cs="Times New Roman"/>
          <w:sz w:val="24"/>
          <w:szCs w:val="24"/>
          <w:lang w:val="en-US"/>
        </w:rPr>
        <w:t xml:space="preserve">hepatitis C virus </w:t>
      </w:r>
      <w:r w:rsidR="00DC6CEF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F77E13" w:rsidRPr="00C73B8F">
        <w:rPr>
          <w:rFonts w:ascii="Book Antiqua" w:hAnsi="Book Antiqua" w:cs="Times New Roman"/>
          <w:sz w:val="24"/>
          <w:szCs w:val="24"/>
          <w:lang w:val="en-US"/>
        </w:rPr>
        <w:t>HCV</w:t>
      </w:r>
      <w:r w:rsidR="00DC6CEF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</w:t>
      </w:r>
      <w:r w:rsidR="00F77E13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57D27" w:rsidRPr="00C73B8F">
        <w:rPr>
          <w:rFonts w:ascii="Book Antiqua" w:hAnsi="Book Antiqua" w:cs="Times New Roman"/>
          <w:sz w:val="24"/>
          <w:szCs w:val="24"/>
          <w:lang w:val="en-US"/>
        </w:rPr>
        <w:t>null-</w:t>
      </w:r>
      <w:r w:rsidR="00BC6D2B" w:rsidRPr="00C73B8F">
        <w:rPr>
          <w:rFonts w:ascii="Book Antiqua" w:hAnsi="Book Antiqua" w:cs="Times New Roman"/>
          <w:sz w:val="24"/>
          <w:szCs w:val="24"/>
          <w:lang w:val="en-US"/>
        </w:rPr>
        <w:t>respon</w:t>
      </w:r>
      <w:r w:rsidR="00657D27" w:rsidRPr="00C73B8F">
        <w:rPr>
          <w:rFonts w:ascii="Book Antiqua" w:hAnsi="Book Antiqua" w:cs="Times New Roman"/>
          <w:sz w:val="24"/>
          <w:szCs w:val="24"/>
          <w:lang w:val="en-US"/>
        </w:rPr>
        <w:t xml:space="preserve">ders or </w:t>
      </w:r>
      <w:proofErr w:type="spellStart"/>
      <w:r w:rsidR="00BC6D2B" w:rsidRPr="00C73B8F">
        <w:rPr>
          <w:rFonts w:ascii="Book Antiqua" w:hAnsi="Book Antiqua" w:cs="Times New Roman"/>
          <w:sz w:val="24"/>
          <w:szCs w:val="24"/>
          <w:lang w:val="en-US"/>
        </w:rPr>
        <w:t>relapsers</w:t>
      </w:r>
      <w:proofErr w:type="spellEnd"/>
      <w:r w:rsidR="00BC6D2B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77E13" w:rsidRPr="00C73B8F">
        <w:rPr>
          <w:rFonts w:ascii="Book Antiqua" w:hAnsi="Book Antiqua" w:cs="Times New Roman"/>
          <w:sz w:val="24"/>
          <w:szCs w:val="24"/>
          <w:lang w:val="en-US"/>
        </w:rPr>
        <w:t>with seve</w:t>
      </w:r>
      <w:r w:rsidR="004E5EA8" w:rsidRPr="00C73B8F">
        <w:rPr>
          <w:rFonts w:ascii="Book Antiqua" w:hAnsi="Book Antiqua" w:cs="Times New Roman"/>
          <w:sz w:val="24"/>
          <w:szCs w:val="24"/>
          <w:lang w:val="en-US"/>
        </w:rPr>
        <w:t>re liver fibrosis</w:t>
      </w:r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62E9F4AF" w14:textId="77777777" w:rsidR="00F95879" w:rsidRDefault="00F95879" w:rsidP="00C73B8F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</w:p>
    <w:p w14:paraId="0EC875BE" w14:textId="6CE1943E" w:rsidR="00BE2D91" w:rsidRPr="00C73B8F" w:rsidRDefault="00ED77DF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>METHODS</w:t>
      </w:r>
      <w:r w:rsidR="00F77E13" w:rsidRPr="00C73B8F">
        <w:rPr>
          <w:rFonts w:ascii="Book Antiqua" w:hAnsi="Book Antiqua" w:cs="Times New Roman"/>
          <w:b/>
          <w:sz w:val="24"/>
          <w:szCs w:val="24"/>
          <w:lang w:val="en-US"/>
        </w:rPr>
        <w:t>:</w:t>
      </w:r>
      <w:r w:rsidR="004E5EA8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97832" w:rsidRPr="00C73B8F">
        <w:rPr>
          <w:rFonts w:ascii="Book Antiqua" w:hAnsi="Book Antiqua" w:cs="Times New Roman"/>
          <w:sz w:val="24"/>
          <w:szCs w:val="24"/>
          <w:lang w:val="en-US"/>
        </w:rPr>
        <w:t xml:space="preserve">One hundred twenty-five </w:t>
      </w:r>
      <w:r w:rsidR="00F77E13" w:rsidRPr="00C73B8F">
        <w:rPr>
          <w:rFonts w:ascii="Book Antiqua" w:hAnsi="Book Antiqua" w:cs="Times New Roman"/>
          <w:sz w:val="24"/>
          <w:szCs w:val="24"/>
          <w:lang w:val="en-US"/>
        </w:rPr>
        <w:t>patients were treated prospec</w:t>
      </w:r>
      <w:r w:rsidR="006F239A" w:rsidRPr="00C73B8F">
        <w:rPr>
          <w:rFonts w:ascii="Book Antiqua" w:hAnsi="Book Antiqua" w:cs="Times New Roman"/>
          <w:sz w:val="24"/>
          <w:szCs w:val="24"/>
          <w:lang w:val="en-US"/>
        </w:rPr>
        <w:t xml:space="preserve">tively </w:t>
      </w:r>
      <w:r w:rsidR="00A22551" w:rsidRPr="00C73B8F">
        <w:rPr>
          <w:rFonts w:ascii="Book Antiqua" w:hAnsi="Book Antiqua" w:cs="Times New Roman"/>
          <w:sz w:val="24"/>
          <w:szCs w:val="24"/>
          <w:lang w:val="en-US"/>
        </w:rPr>
        <w:t>for</w:t>
      </w:r>
      <w:r w:rsidR="006F239A" w:rsidRPr="00C73B8F">
        <w:rPr>
          <w:rFonts w:ascii="Book Antiqua" w:hAnsi="Book Antiqua" w:cs="Times New Roman"/>
          <w:sz w:val="24"/>
          <w:szCs w:val="24"/>
          <w:lang w:val="en-US"/>
        </w:rPr>
        <w:t xml:space="preserve"> 48 </w:t>
      </w:r>
      <w:proofErr w:type="spellStart"/>
      <w:r w:rsidR="006F239A"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="006F239A" w:rsidRPr="00C73B8F">
        <w:rPr>
          <w:rFonts w:ascii="Book Antiqua" w:hAnsi="Book Antiqua" w:cs="Times New Roman"/>
          <w:sz w:val="24"/>
          <w:szCs w:val="24"/>
          <w:lang w:val="en-US"/>
        </w:rPr>
        <w:t xml:space="preserve"> with TPV or BOC</w:t>
      </w:r>
      <w:r w:rsidR="00F77E13" w:rsidRPr="00C73B8F">
        <w:rPr>
          <w:rFonts w:ascii="Book Antiqua" w:hAnsi="Book Antiqua" w:cs="Times New Roman"/>
          <w:sz w:val="24"/>
          <w:szCs w:val="24"/>
          <w:lang w:val="en-US"/>
        </w:rPr>
        <w:t xml:space="preserve"> + </w:t>
      </w:r>
      <w:proofErr w:type="spellStart"/>
      <w:r w:rsidR="003B7F84" w:rsidRPr="00C73B8F">
        <w:rPr>
          <w:rFonts w:ascii="Book Antiqua" w:hAnsi="Book Antiqua" w:cs="Times New Roman"/>
          <w:sz w:val="24"/>
          <w:szCs w:val="24"/>
          <w:lang w:val="en-US"/>
        </w:rPr>
        <w:t>p</w:t>
      </w:r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>eg</w:t>
      </w:r>
      <w:r w:rsidR="003B7F84" w:rsidRPr="00C73B8F">
        <w:rPr>
          <w:rFonts w:ascii="Book Antiqua" w:hAnsi="Book Antiqua" w:cs="Times New Roman"/>
          <w:sz w:val="24"/>
          <w:szCs w:val="24"/>
          <w:lang w:val="en-US"/>
        </w:rPr>
        <w:t>ylated</w:t>
      </w:r>
      <w:proofErr w:type="spellEnd"/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>-interferon</w:t>
      </w:r>
      <w:r w:rsidR="003B7F84" w:rsidRPr="00C73B8F">
        <w:rPr>
          <w:rFonts w:ascii="Book Antiqua" w:hAnsi="Book Antiqua" w:cs="Times New Roman"/>
          <w:sz w:val="24"/>
          <w:szCs w:val="24"/>
          <w:lang w:val="en-US"/>
        </w:rPr>
        <w:t xml:space="preserve"> (peg-INF) α2a </w:t>
      </w:r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>+ ribavirin (PR)</w:t>
      </w:r>
      <w:r w:rsidR="002A3719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22551" w:rsidRPr="00C73B8F">
        <w:rPr>
          <w:rFonts w:ascii="Book Antiqua" w:hAnsi="Book Antiqua" w:cs="Times New Roman"/>
          <w:sz w:val="24"/>
          <w:szCs w:val="24"/>
          <w:lang w:val="en-US"/>
        </w:rPr>
        <w:t>according to</w:t>
      </w:r>
      <w:r w:rsidR="00F77E13" w:rsidRPr="00C73B8F">
        <w:rPr>
          <w:rFonts w:ascii="Book Antiqua" w:hAnsi="Book Antiqua" w:cs="Times New Roman"/>
          <w:sz w:val="24"/>
          <w:szCs w:val="24"/>
          <w:lang w:val="en-US"/>
        </w:rPr>
        <w:t xml:space="preserve"> standard treatment schedules without randomization. </w:t>
      </w:r>
      <w:r w:rsidR="009C40C0" w:rsidRPr="00C73B8F">
        <w:rPr>
          <w:rFonts w:ascii="Book Antiqua" w:hAnsi="Book Antiqua" w:cs="Times New Roman"/>
          <w:sz w:val="24"/>
          <w:szCs w:val="24"/>
          <w:lang w:val="en-US"/>
        </w:rPr>
        <w:t xml:space="preserve">These </w:t>
      </w:r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 xml:space="preserve">patients were treated in routine practice </w:t>
      </w:r>
      <w:r w:rsidR="009C40C0" w:rsidRPr="00C73B8F">
        <w:rPr>
          <w:rFonts w:ascii="Book Antiqua" w:hAnsi="Book Antiqua" w:cs="Times New Roman"/>
          <w:sz w:val="24"/>
          <w:szCs w:val="24"/>
          <w:lang w:val="en-US"/>
        </w:rPr>
        <w:t xml:space="preserve">settings </w:t>
      </w:r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>in 10 public or private health care centers</w:t>
      </w:r>
      <w:r w:rsidR="009C40C0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831B7B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>data were prospectively collected. Only patients with severe liver fibrosis (</w:t>
      </w:r>
      <w:proofErr w:type="spellStart"/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07FFB" w:rsidRPr="00C73B8F">
        <w:rPr>
          <w:rFonts w:ascii="Book Antiqua" w:hAnsi="Book Antiqua" w:cs="Times New Roman"/>
          <w:sz w:val="24"/>
          <w:szCs w:val="24"/>
          <w:lang w:val="en-US"/>
        </w:rPr>
        <w:t>score</w:t>
      </w:r>
      <w:r w:rsidR="0099025D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="00807FFB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74CEC" w:rsidRPr="00C73B8F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>F3 or F4</w:t>
      </w:r>
      <w:r w:rsidR="00807FFB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E4ECF" w:rsidRPr="00C73B8F">
        <w:rPr>
          <w:rFonts w:ascii="Book Antiqua" w:hAnsi="Book Antiqua" w:cs="Times New Roman"/>
          <w:sz w:val="24"/>
          <w:szCs w:val="24"/>
          <w:lang w:val="en-US"/>
        </w:rPr>
        <w:t>up</w:t>
      </w:r>
      <w:r w:rsidR="00807FFB" w:rsidRPr="00C73B8F">
        <w:rPr>
          <w:rFonts w:ascii="Book Antiqua" w:hAnsi="Book Antiqua" w:cs="Times New Roman"/>
          <w:sz w:val="24"/>
          <w:szCs w:val="24"/>
          <w:lang w:val="en-US"/>
        </w:rPr>
        <w:t xml:space="preserve">on liver biopsy or liver stiffness assessed by </w:t>
      </w:r>
      <w:proofErr w:type="spellStart"/>
      <w:r w:rsidR="00807FFB" w:rsidRPr="00C73B8F">
        <w:rPr>
          <w:rFonts w:ascii="Book Antiqua" w:hAnsi="Book Antiqua" w:cs="Times New Roman"/>
          <w:sz w:val="24"/>
          <w:szCs w:val="24"/>
          <w:lang w:val="en-US"/>
        </w:rPr>
        <w:t>elastography</w:t>
      </w:r>
      <w:proofErr w:type="spellEnd"/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>),</w:t>
      </w:r>
      <w:r w:rsidR="00657D27" w:rsidRPr="00C73B8F">
        <w:rPr>
          <w:rFonts w:ascii="Book Antiqua" w:hAnsi="Book Antiqua" w:cs="Times New Roman"/>
          <w:sz w:val="24"/>
          <w:szCs w:val="24"/>
          <w:lang w:val="en-US"/>
        </w:rPr>
        <w:t xml:space="preserve"> genotype 1 HCV and who were null-</w:t>
      </w:r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 xml:space="preserve">responders or </w:t>
      </w:r>
      <w:proofErr w:type="spellStart"/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>relapsers</w:t>
      </w:r>
      <w:proofErr w:type="spellEnd"/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 xml:space="preserve"> to prior</w:t>
      </w:r>
      <w:r w:rsidR="0099025D" w:rsidRPr="00C73B8F">
        <w:rPr>
          <w:rFonts w:ascii="Book Antiqua" w:hAnsi="Book Antiqua" w:cs="Times New Roman"/>
          <w:sz w:val="24"/>
          <w:szCs w:val="24"/>
          <w:lang w:val="en-US"/>
        </w:rPr>
        <w:t xml:space="preserve"> PR</w:t>
      </w:r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F2269" w:rsidRPr="00C73B8F">
        <w:rPr>
          <w:rFonts w:ascii="Book Antiqua" w:hAnsi="Book Antiqua" w:cs="Times New Roman"/>
          <w:sz w:val="24"/>
          <w:szCs w:val="24"/>
          <w:lang w:val="en-US"/>
        </w:rPr>
        <w:t xml:space="preserve">combination therapy </w:t>
      </w:r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>were included</w:t>
      </w:r>
      <w:r w:rsidR="00EC6264" w:rsidRPr="00C73B8F">
        <w:rPr>
          <w:rFonts w:ascii="Book Antiqua" w:hAnsi="Book Antiqua" w:cs="Times New Roman"/>
          <w:sz w:val="24"/>
          <w:szCs w:val="24"/>
          <w:lang w:val="en-US"/>
        </w:rPr>
        <w:t xml:space="preserve"> in this study</w:t>
      </w:r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445CC38E" w14:textId="77777777" w:rsidR="00F95879" w:rsidRDefault="00F95879" w:rsidP="00C73B8F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</w:p>
    <w:p w14:paraId="3B59ABA0" w14:textId="2FB07FB8" w:rsidR="004E5EA8" w:rsidRPr="00C73B8F" w:rsidRDefault="00ED77DF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>RESULTS</w:t>
      </w:r>
      <w:r w:rsidR="00F77E13" w:rsidRPr="00C73B8F">
        <w:rPr>
          <w:rFonts w:ascii="Book Antiqua" w:hAnsi="Book Antiqua" w:cs="Times New Roman"/>
          <w:b/>
          <w:sz w:val="24"/>
          <w:szCs w:val="24"/>
          <w:lang w:val="en-US"/>
        </w:rPr>
        <w:t>:</w:t>
      </w:r>
      <w:r w:rsidR="009E6634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proofErr w:type="spellStart"/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>Met</w:t>
      </w:r>
      <w:r w:rsidR="00657D27" w:rsidRPr="00C73B8F">
        <w:rPr>
          <w:rFonts w:ascii="Book Antiqua" w:hAnsi="Book Antiqua" w:cs="Times New Roman"/>
          <w:sz w:val="24"/>
          <w:szCs w:val="24"/>
          <w:lang w:val="en-US"/>
        </w:rPr>
        <w:t>avir</w:t>
      </w:r>
      <w:proofErr w:type="spellEnd"/>
      <w:r w:rsidR="00657D27" w:rsidRPr="00C73B8F">
        <w:rPr>
          <w:rFonts w:ascii="Book Antiqua" w:hAnsi="Book Antiqua" w:cs="Times New Roman"/>
          <w:sz w:val="24"/>
          <w:szCs w:val="24"/>
          <w:lang w:val="en-US"/>
        </w:rPr>
        <w:t xml:space="preserve"> fibrosis scores were F3 in 35 (28%) and F4 in 90 (</w:t>
      </w:r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>72%)</w:t>
      </w:r>
      <w:r w:rsidR="00657D27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9025D" w:rsidRPr="00C73B8F">
        <w:rPr>
          <w:rFonts w:ascii="Book Antiqua" w:hAnsi="Book Antiqua" w:cs="Times New Roman"/>
          <w:sz w:val="24"/>
          <w:szCs w:val="24"/>
          <w:lang w:val="en-US"/>
        </w:rPr>
        <w:t xml:space="preserve">of the </w:t>
      </w:r>
      <w:r w:rsidR="00657D27" w:rsidRPr="00C73B8F">
        <w:rPr>
          <w:rFonts w:ascii="Book Antiqua" w:hAnsi="Book Antiqua" w:cs="Times New Roman"/>
          <w:sz w:val="24"/>
          <w:szCs w:val="24"/>
          <w:lang w:val="en-US"/>
        </w:rPr>
        <w:t>patients</w:t>
      </w:r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F14B0C" w:rsidRPr="00C73B8F">
        <w:rPr>
          <w:rFonts w:ascii="Book Antiqua" w:hAnsi="Book Antiqua" w:cs="Times New Roman"/>
          <w:sz w:val="24"/>
          <w:szCs w:val="24"/>
          <w:lang w:val="en-US"/>
        </w:rPr>
        <w:t xml:space="preserve">In total, </w:t>
      </w:r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>62.9</w:t>
      </w:r>
      <w:r w:rsidR="0099025D" w:rsidRPr="00C73B8F">
        <w:rPr>
          <w:rFonts w:ascii="Book Antiqua" w:hAnsi="Book Antiqua" w:cs="Times New Roman"/>
          <w:sz w:val="24"/>
          <w:szCs w:val="24"/>
          <w:lang w:val="en-US"/>
        </w:rPr>
        <w:t xml:space="preserve">% </w:t>
      </w:r>
      <w:r w:rsidR="00EC6264" w:rsidRPr="00C73B8F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F14B0C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E35F0A" w:rsidRPr="00C73B8F">
        <w:rPr>
          <w:rFonts w:ascii="Book Antiqua" w:hAnsi="Book Antiqua" w:cs="Times New Roman"/>
          <w:sz w:val="24"/>
          <w:szCs w:val="24"/>
          <w:lang w:val="en-US"/>
        </w:rPr>
        <w:t xml:space="preserve">patients were </w:t>
      </w:r>
      <w:r w:rsidR="00EC6264" w:rsidRPr="00C73B8F">
        <w:rPr>
          <w:rFonts w:ascii="Book Antiqua" w:hAnsi="Book Antiqua" w:cs="Times New Roman"/>
          <w:sz w:val="24"/>
          <w:szCs w:val="24"/>
          <w:lang w:val="en-US"/>
        </w:rPr>
        <w:t xml:space="preserve">null-responders </w:t>
      </w:r>
      <w:r w:rsidR="0099025D" w:rsidRPr="00C73B8F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EC6264" w:rsidRPr="00C73B8F">
        <w:rPr>
          <w:rFonts w:ascii="Book Antiqua" w:hAnsi="Book Antiqua" w:cs="Times New Roman"/>
          <w:sz w:val="24"/>
          <w:szCs w:val="24"/>
          <w:lang w:val="en-US"/>
        </w:rPr>
        <w:t xml:space="preserve">37.1% </w:t>
      </w:r>
      <w:proofErr w:type="spellStart"/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>relapsers</w:t>
      </w:r>
      <w:proofErr w:type="spellEnd"/>
      <w:r w:rsidR="005B3740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35F0A" w:rsidRPr="00C73B8F">
        <w:rPr>
          <w:rFonts w:ascii="Book Antiqua" w:hAnsi="Book Antiqua" w:cs="Times New Roman"/>
          <w:sz w:val="24"/>
          <w:szCs w:val="24"/>
          <w:lang w:val="en-US"/>
        </w:rPr>
        <w:t xml:space="preserve">to the </w:t>
      </w:r>
      <w:r w:rsidR="00EC6264" w:rsidRPr="00C73B8F">
        <w:rPr>
          <w:rFonts w:ascii="Book Antiqua" w:hAnsi="Book Antiqua" w:cs="Times New Roman"/>
          <w:sz w:val="24"/>
          <w:szCs w:val="24"/>
          <w:lang w:val="en-US"/>
        </w:rPr>
        <w:t>previous PR</w:t>
      </w:r>
      <w:r w:rsidR="00E35F0A" w:rsidRPr="00C73B8F">
        <w:rPr>
          <w:rFonts w:ascii="Book Antiqua" w:hAnsi="Book Antiqua" w:cs="Times New Roman"/>
          <w:sz w:val="24"/>
          <w:szCs w:val="24"/>
          <w:lang w:val="en-US"/>
        </w:rPr>
        <w:t xml:space="preserve"> therapy</w:t>
      </w:r>
      <w:r w:rsidR="005A51EB"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807FFB" w:rsidRPr="00C73B8F">
        <w:rPr>
          <w:rFonts w:ascii="Book Antiqua" w:hAnsi="Book Antiqua" w:cs="Times New Roman"/>
          <w:sz w:val="24"/>
          <w:szCs w:val="24"/>
          <w:lang w:val="en-US"/>
        </w:rPr>
        <w:t>T</w:t>
      </w:r>
      <w:r w:rsidR="009E6634" w:rsidRPr="00C73B8F">
        <w:rPr>
          <w:rFonts w:ascii="Book Antiqua" w:hAnsi="Book Antiqua" w:cs="Times New Roman"/>
          <w:sz w:val="24"/>
          <w:szCs w:val="24"/>
          <w:lang w:val="en-US"/>
        </w:rPr>
        <w:t>he overall SVR rate</w:t>
      </w:r>
      <w:r w:rsidR="005B092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07FFB" w:rsidRPr="00C73B8F">
        <w:rPr>
          <w:rFonts w:ascii="Book Antiqua" w:hAnsi="Book Antiqua" w:cs="Times New Roman"/>
          <w:sz w:val="24"/>
          <w:szCs w:val="24"/>
          <w:lang w:val="en-US"/>
        </w:rPr>
        <w:t xml:space="preserve">at </w:t>
      </w:r>
      <w:r w:rsidR="005B0922" w:rsidRPr="00C73B8F">
        <w:rPr>
          <w:rFonts w:ascii="Book Antiqua" w:hAnsi="Book Antiqua" w:cs="Times New Roman"/>
          <w:sz w:val="24"/>
          <w:szCs w:val="24"/>
          <w:lang w:val="en-US"/>
        </w:rPr>
        <w:t xml:space="preserve">24 </w:t>
      </w:r>
      <w:proofErr w:type="spellStart"/>
      <w:r w:rsidR="005B0922"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="005B092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B3740" w:rsidRPr="00C73B8F">
        <w:rPr>
          <w:rFonts w:ascii="Book Antiqua" w:hAnsi="Book Antiqua" w:cs="Times New Roman"/>
          <w:sz w:val="24"/>
          <w:szCs w:val="24"/>
          <w:lang w:val="en-US"/>
        </w:rPr>
        <w:t>post-</w:t>
      </w:r>
      <w:r w:rsidR="005B0922" w:rsidRPr="00C73B8F">
        <w:rPr>
          <w:rFonts w:ascii="Book Antiqua" w:hAnsi="Book Antiqua" w:cs="Times New Roman"/>
          <w:sz w:val="24"/>
          <w:szCs w:val="24"/>
          <w:lang w:val="en-US"/>
        </w:rPr>
        <w:t>treatment withdrawal</w:t>
      </w:r>
      <w:r w:rsidR="00294C07" w:rsidRPr="00C73B8F">
        <w:rPr>
          <w:rFonts w:ascii="Book Antiqua" w:hAnsi="Book Antiqua" w:cs="Times New Roman"/>
          <w:sz w:val="24"/>
          <w:szCs w:val="24"/>
          <w:lang w:val="en-US"/>
        </w:rPr>
        <w:t xml:space="preserve"> was 59.8</w:t>
      </w:r>
      <w:r w:rsidR="005B0922" w:rsidRPr="00C73B8F">
        <w:rPr>
          <w:rFonts w:ascii="Book Antiqua" w:hAnsi="Book Antiqua" w:cs="Times New Roman"/>
          <w:sz w:val="24"/>
          <w:szCs w:val="24"/>
          <w:lang w:val="en-US"/>
        </w:rPr>
        <w:t xml:space="preserve">%. </w:t>
      </w:r>
      <w:r w:rsidR="004C132D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5B0922" w:rsidRPr="00C73B8F">
        <w:rPr>
          <w:rFonts w:ascii="Book Antiqua" w:hAnsi="Book Antiqua" w:cs="Times New Roman"/>
          <w:sz w:val="24"/>
          <w:szCs w:val="24"/>
          <w:lang w:val="en-US"/>
        </w:rPr>
        <w:t>SVR</w:t>
      </w:r>
      <w:r w:rsidR="00F77E13" w:rsidRPr="00C73B8F">
        <w:rPr>
          <w:rFonts w:ascii="Book Antiqua" w:hAnsi="Book Antiqua" w:cs="Times New Roman"/>
          <w:sz w:val="24"/>
          <w:szCs w:val="24"/>
          <w:lang w:val="en-US"/>
        </w:rPr>
        <w:t xml:space="preserve"> was </w:t>
      </w:r>
      <w:r w:rsidR="00FC6751" w:rsidRPr="00C73B8F">
        <w:rPr>
          <w:rFonts w:ascii="Book Antiqua" w:hAnsi="Book Antiqua" w:cs="Times New Roman"/>
          <w:sz w:val="24"/>
          <w:szCs w:val="24"/>
          <w:lang w:val="en-US"/>
        </w:rPr>
        <w:t>65</w:t>
      </w:r>
      <w:r w:rsidR="004C132D" w:rsidRPr="00C73B8F">
        <w:rPr>
          <w:rFonts w:ascii="Book Antiqua" w:hAnsi="Book Antiqua" w:cs="Times New Roman"/>
          <w:sz w:val="24"/>
          <w:szCs w:val="24"/>
          <w:lang w:val="en-US"/>
        </w:rPr>
        <w:t>.</w:t>
      </w:r>
      <w:r w:rsidR="00FC6751" w:rsidRPr="00C73B8F">
        <w:rPr>
          <w:rFonts w:ascii="Book Antiqua" w:hAnsi="Book Antiqua" w:cs="Times New Roman"/>
          <w:sz w:val="24"/>
          <w:szCs w:val="24"/>
          <w:lang w:val="en-US"/>
        </w:rPr>
        <w:t>9%</w:t>
      </w:r>
      <w:r w:rsidR="006F239A" w:rsidRPr="00C73B8F">
        <w:rPr>
          <w:rFonts w:ascii="Book Antiqua" w:hAnsi="Book Antiqua" w:cs="Times New Roman"/>
          <w:sz w:val="24"/>
          <w:szCs w:val="24"/>
          <w:lang w:val="en-US"/>
        </w:rPr>
        <w:t xml:space="preserve"> in the TPV group </w:t>
      </w:r>
      <w:r w:rsidR="00FC6751" w:rsidRPr="00C73B8F">
        <w:rPr>
          <w:rFonts w:ascii="Book Antiqua" w:hAnsi="Book Antiqua" w:cs="Times New Roman"/>
          <w:sz w:val="24"/>
          <w:szCs w:val="24"/>
          <w:lang w:val="en-US"/>
        </w:rPr>
        <w:t>and 44</w:t>
      </w:r>
      <w:r w:rsidR="00E84170" w:rsidRPr="00C73B8F">
        <w:rPr>
          <w:rFonts w:ascii="Book Antiqua" w:hAnsi="Book Antiqua" w:cs="Times New Roman"/>
          <w:sz w:val="24"/>
          <w:szCs w:val="24"/>
          <w:lang w:val="en-US"/>
        </w:rPr>
        <w:t>.</w:t>
      </w:r>
      <w:r w:rsidR="00FC6751" w:rsidRPr="00C73B8F">
        <w:rPr>
          <w:rFonts w:ascii="Book Antiqua" w:hAnsi="Book Antiqua" w:cs="Times New Roman"/>
          <w:sz w:val="24"/>
          <w:szCs w:val="24"/>
          <w:lang w:val="en-US"/>
        </w:rPr>
        <w:t>1% in</w:t>
      </w:r>
      <w:r w:rsidR="006F239A" w:rsidRPr="00C73B8F">
        <w:rPr>
          <w:rFonts w:ascii="Book Antiqua" w:hAnsi="Book Antiqua" w:cs="Times New Roman"/>
          <w:sz w:val="24"/>
          <w:szCs w:val="24"/>
          <w:lang w:val="en-US"/>
        </w:rPr>
        <w:t xml:space="preserve"> the BOC group</w:t>
      </w:r>
      <w:r w:rsidR="00515D5A"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9E6634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Independent predictive factors of </w:t>
      </w:r>
      <w:r w:rsidR="00542343" w:rsidRPr="00C73B8F">
        <w:rPr>
          <w:rFonts w:ascii="Book Antiqua" w:hAnsi="Book Antiqua" w:cs="Times New Roman"/>
          <w:sz w:val="24"/>
          <w:szCs w:val="24"/>
          <w:lang w:val="en-US" w:eastAsia="en-US"/>
        </w:rPr>
        <w:t>a</w:t>
      </w:r>
      <w:r w:rsidR="00202ED4" w:rsidRPr="00C73B8F">
        <w:rPr>
          <w:rFonts w:ascii="Book Antiqua" w:hAnsi="Book Antiqua" w:cs="Times New Roman"/>
          <w:sz w:val="24"/>
          <w:szCs w:val="24"/>
          <w:lang w:val="en-US" w:eastAsia="en-US"/>
        </w:rPr>
        <w:t>n</w:t>
      </w:r>
      <w:r w:rsidR="00542343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</w:t>
      </w:r>
      <w:r w:rsidR="009E6634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SVR </w:t>
      </w:r>
      <w:r w:rsidR="00573898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included </w:t>
      </w:r>
      <w:r w:rsidR="00734DCD" w:rsidRPr="00C73B8F">
        <w:rPr>
          <w:rFonts w:ascii="Book Antiqua" w:hAnsi="Book Antiqua" w:cs="Times New Roman"/>
          <w:sz w:val="24"/>
          <w:szCs w:val="24"/>
          <w:lang w:val="en-US" w:eastAsia="en-US"/>
        </w:rPr>
        <w:t>a</w:t>
      </w:r>
      <w:r w:rsidR="005501DA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</w:t>
      </w:r>
      <w:r w:rsidR="009E6634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response to previous treatment, </w:t>
      </w:r>
      <w:proofErr w:type="spellStart"/>
      <w:r w:rsidR="00042E03" w:rsidRPr="00C73B8F">
        <w:rPr>
          <w:rFonts w:ascii="Book Antiqua" w:hAnsi="Book Antiqua" w:cs="Times New Roman"/>
          <w:sz w:val="24"/>
          <w:szCs w:val="24"/>
          <w:lang w:val="en-US" w:eastAsia="en-US"/>
        </w:rPr>
        <w:t>relapsers</w:t>
      </w:r>
      <w:proofErr w:type="spellEnd"/>
      <w:r w:rsidR="00042E03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</w:t>
      </w:r>
      <w:r w:rsidR="008B6E2D" w:rsidRPr="00F95879">
        <w:rPr>
          <w:rFonts w:ascii="Book Antiqua" w:hAnsi="Book Antiqua" w:cs="Times New Roman"/>
          <w:i/>
          <w:sz w:val="24"/>
          <w:szCs w:val="24"/>
          <w:lang w:val="en-US" w:eastAsia="en-US"/>
        </w:rPr>
        <w:t>vs</w:t>
      </w:r>
      <w:r w:rsidR="00042E03" w:rsidRPr="00F95879">
        <w:rPr>
          <w:rFonts w:ascii="Book Antiqua" w:hAnsi="Book Antiqua" w:cs="Times New Roman"/>
          <w:i/>
          <w:sz w:val="24"/>
          <w:szCs w:val="24"/>
          <w:lang w:val="en-US" w:eastAsia="en-US"/>
        </w:rPr>
        <w:t xml:space="preserve"> </w:t>
      </w:r>
      <w:r w:rsidR="00042E03" w:rsidRPr="00C73B8F">
        <w:rPr>
          <w:rFonts w:ascii="Book Antiqua" w:hAnsi="Book Antiqua" w:cs="Times New Roman"/>
          <w:sz w:val="24"/>
          <w:szCs w:val="24"/>
          <w:lang w:val="en-US" w:eastAsia="en-US"/>
        </w:rPr>
        <w:t>null-responders</w:t>
      </w:r>
      <w:r w:rsidR="00515D5A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[</w:t>
      </w:r>
      <w:r w:rsidR="00515D5A" w:rsidRPr="00C73B8F">
        <w:rPr>
          <w:rFonts w:ascii="Book Antiqua" w:hAnsi="Book Antiqua" w:cs="Times New Roman"/>
          <w:sz w:val="24"/>
          <w:szCs w:val="24"/>
          <w:lang w:val="en-US" w:eastAsia="en-US"/>
        </w:rPr>
        <w:t>OR=3.9</w:t>
      </w:r>
      <w:r w:rsidR="009E6634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; 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515D5A" w:rsidRPr="00C73B8F">
        <w:rPr>
          <w:rFonts w:ascii="Book Antiqua" w:hAnsi="Book Antiqua" w:cs="Times New Roman"/>
          <w:sz w:val="24"/>
          <w:szCs w:val="24"/>
          <w:lang w:val="en-US"/>
        </w:rPr>
        <w:t>1.4, 10.6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),</w:t>
      </w:r>
      <w:r w:rsidR="00515D5A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95879" w:rsidRPr="00F95879">
        <w:rPr>
          <w:rFonts w:ascii="Book Antiqua" w:hAnsi="Book Antiqua" w:cs="Times New Roman"/>
          <w:i/>
          <w:sz w:val="24"/>
          <w:szCs w:val="24"/>
          <w:lang w:val="en-US" w:eastAsia="en-US"/>
        </w:rPr>
        <w:t>P</w:t>
      </w:r>
      <w:r w:rsidR="00E55B72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</w:t>
      </w:r>
      <w:r w:rsidR="00515D5A" w:rsidRPr="00C73B8F">
        <w:rPr>
          <w:rFonts w:ascii="Book Antiqua" w:hAnsi="Book Antiqua" w:cs="Times New Roman"/>
          <w:sz w:val="24"/>
          <w:szCs w:val="24"/>
          <w:lang w:val="en-US" w:eastAsia="en-US"/>
        </w:rPr>
        <w:t>=</w:t>
      </w:r>
      <w:r w:rsidR="00E55B72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</w:t>
      </w:r>
      <w:r w:rsidR="00515D5A" w:rsidRPr="00C73B8F">
        <w:rPr>
          <w:rFonts w:ascii="Book Antiqua" w:hAnsi="Book Antiqua" w:cs="Times New Roman"/>
          <w:sz w:val="24"/>
          <w:szCs w:val="24"/>
          <w:lang w:val="en-US" w:eastAsia="en-US"/>
        </w:rPr>
        <w:t>0</w:t>
      </w:r>
      <w:r w:rsidR="00E55B72" w:rsidRPr="00C73B8F">
        <w:rPr>
          <w:rFonts w:ascii="Book Antiqua" w:hAnsi="Book Antiqua" w:cs="Times New Roman"/>
          <w:sz w:val="24"/>
          <w:szCs w:val="24"/>
          <w:lang w:val="en-US" w:eastAsia="en-US"/>
        </w:rPr>
        <w:t>.</w:t>
      </w:r>
      <w:r w:rsidR="00515D5A" w:rsidRPr="00C73B8F">
        <w:rPr>
          <w:rFonts w:ascii="Book Antiqua" w:hAnsi="Book Antiqua" w:cs="Times New Roman"/>
          <w:sz w:val="24"/>
          <w:szCs w:val="24"/>
          <w:lang w:val="en-US" w:eastAsia="en-US"/>
        </w:rPr>
        <w:t>00</w:t>
      </w:r>
      <w:r w:rsidR="00294C07" w:rsidRPr="00C73B8F">
        <w:rPr>
          <w:rFonts w:ascii="Book Antiqua" w:hAnsi="Book Antiqua" w:cs="Times New Roman"/>
          <w:sz w:val="24"/>
          <w:szCs w:val="24"/>
          <w:lang w:val="en-US" w:eastAsia="en-US"/>
        </w:rPr>
        <w:t>8</w:t>
      </w:r>
      <w:r w:rsidR="00515D5A" w:rsidRPr="00C73B8F">
        <w:rPr>
          <w:rFonts w:ascii="Book Antiqua" w:hAnsi="Book Antiqua" w:cs="Times New Roman"/>
          <w:sz w:val="24"/>
          <w:szCs w:val="24"/>
          <w:lang w:val="en-US" w:eastAsia="en-US"/>
        </w:rPr>
        <w:t>4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]</w:t>
      </w:r>
      <w:r w:rsidR="00515D5A" w:rsidRPr="00C73B8F">
        <w:rPr>
          <w:rFonts w:ascii="Book Antiqua" w:hAnsi="Book Antiqua" w:cs="Times New Roman"/>
          <w:sz w:val="24"/>
          <w:szCs w:val="24"/>
          <w:lang w:val="en-US" w:eastAsia="en-US"/>
        </w:rPr>
        <w:t>,</w:t>
      </w:r>
      <w:r w:rsidR="00515D5A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F6A48" w:rsidRPr="00C73B8F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042E03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rapid </w:t>
      </w:r>
      <w:proofErr w:type="spellStart"/>
      <w:r w:rsidR="00042E03" w:rsidRPr="00C73B8F">
        <w:rPr>
          <w:rFonts w:ascii="Book Antiqua" w:hAnsi="Book Antiqua" w:cs="Times New Roman"/>
          <w:sz w:val="24"/>
          <w:szCs w:val="24"/>
          <w:lang w:val="en-US" w:eastAsia="en-US"/>
        </w:rPr>
        <w:t>virological</w:t>
      </w:r>
      <w:proofErr w:type="spellEnd"/>
      <w:r w:rsidR="00042E03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response</w:t>
      </w:r>
      <w:r w:rsidR="00515D5A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</w:t>
      </w:r>
      <w:r w:rsidR="00807FFB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(RVR) 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[</w:t>
      </w:r>
      <w:r w:rsidR="00294C07" w:rsidRPr="00C73B8F">
        <w:rPr>
          <w:rFonts w:ascii="Book Antiqua" w:hAnsi="Book Antiqua" w:cs="Times New Roman"/>
          <w:sz w:val="24"/>
          <w:szCs w:val="24"/>
          <w:lang w:val="en-US"/>
        </w:rPr>
        <w:t xml:space="preserve">OR 6.9 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294C07" w:rsidRPr="00C73B8F">
        <w:rPr>
          <w:rFonts w:ascii="Book Antiqua" w:hAnsi="Book Antiqua" w:cs="Times New Roman"/>
          <w:sz w:val="24"/>
          <w:szCs w:val="24"/>
          <w:lang w:val="en-US"/>
        </w:rPr>
        <w:t>2.6</w:t>
      </w:r>
      <w:r w:rsidR="00365527" w:rsidRPr="00C73B8F">
        <w:rPr>
          <w:rFonts w:ascii="Book Antiqua" w:hAnsi="Book Antiqua" w:cs="Times New Roman"/>
          <w:sz w:val="24"/>
          <w:szCs w:val="24"/>
          <w:lang w:val="en-US"/>
        </w:rPr>
        <w:t>, 18.2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</w:t>
      </w:r>
      <w:r w:rsidR="00365527" w:rsidRPr="00C73B8F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F95879" w:rsidRPr="00F9587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E55B7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65527" w:rsidRPr="00C73B8F">
        <w:rPr>
          <w:rFonts w:ascii="Book Antiqua" w:hAnsi="Book Antiqua" w:cs="Times New Roman"/>
          <w:sz w:val="24"/>
          <w:szCs w:val="24"/>
          <w:lang w:val="en-US"/>
        </w:rPr>
        <w:t>=</w:t>
      </w:r>
      <w:r w:rsidR="00E55B7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65527" w:rsidRPr="00C73B8F">
        <w:rPr>
          <w:rFonts w:ascii="Book Antiqua" w:hAnsi="Book Antiqua" w:cs="Times New Roman"/>
          <w:sz w:val="24"/>
          <w:szCs w:val="24"/>
          <w:lang w:val="en-US"/>
        </w:rPr>
        <w:t>0.001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]</w:t>
      </w:r>
      <w:r w:rsidR="00365527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15D5A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and </w:t>
      </w:r>
      <w:r w:rsidR="005B0922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liver stiffness </w:t>
      </w:r>
      <w:r w:rsidR="001C543C" w:rsidRPr="00C73B8F">
        <w:rPr>
          <w:rFonts w:ascii="Book Antiqua" w:hAnsi="Book Antiqua" w:cs="Times New Roman"/>
          <w:sz w:val="24"/>
          <w:szCs w:val="24"/>
          <w:lang w:val="en-US" w:eastAsia="en-US"/>
        </w:rPr>
        <w:t>lower than</w:t>
      </w:r>
      <w:r w:rsidR="00515D5A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21.3 </w:t>
      </w:r>
      <w:proofErr w:type="spellStart"/>
      <w:r w:rsidR="00171621" w:rsidRPr="00C73B8F">
        <w:rPr>
          <w:rFonts w:ascii="Book Antiqua" w:hAnsi="Book Antiqua" w:cs="Times New Roman"/>
          <w:sz w:val="24"/>
          <w:szCs w:val="24"/>
          <w:lang w:val="en-US" w:eastAsia="en-US"/>
        </w:rPr>
        <w:t>kPa</w:t>
      </w:r>
      <w:proofErr w:type="spellEnd"/>
      <w:r w:rsidR="00CE6C05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[</w:t>
      </w:r>
      <w:r w:rsidR="00365527" w:rsidRPr="00C73B8F">
        <w:rPr>
          <w:rFonts w:ascii="Book Antiqua" w:hAnsi="Book Antiqua" w:cs="Times New Roman"/>
          <w:sz w:val="24"/>
          <w:szCs w:val="24"/>
          <w:lang w:val="en-US"/>
        </w:rPr>
        <w:t>OR</w:t>
      </w:r>
      <w:r w:rsidR="004E5EA8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C543C" w:rsidRPr="00C73B8F">
        <w:rPr>
          <w:rFonts w:ascii="Book Antiqua" w:hAnsi="Book Antiqua" w:cs="Times New Roman"/>
          <w:sz w:val="24"/>
          <w:szCs w:val="24"/>
          <w:lang w:val="en-US"/>
        </w:rPr>
        <w:t xml:space="preserve">8.2 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1C543C" w:rsidRPr="00C73B8F">
        <w:rPr>
          <w:rFonts w:ascii="Book Antiqua" w:hAnsi="Book Antiqua" w:cs="Times New Roman"/>
          <w:sz w:val="24"/>
          <w:szCs w:val="24"/>
          <w:lang w:val="en-US"/>
        </w:rPr>
        <w:t>2.3, 29.5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</w:t>
      </w:r>
      <w:r w:rsidR="001C543C" w:rsidRPr="00C73B8F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F95879" w:rsidRPr="00F9587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E55B7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C543C" w:rsidRPr="00C73B8F">
        <w:rPr>
          <w:rFonts w:ascii="Book Antiqua" w:hAnsi="Book Antiqua" w:cs="Times New Roman"/>
          <w:sz w:val="24"/>
          <w:szCs w:val="24"/>
          <w:lang w:val="en-US"/>
        </w:rPr>
        <w:t>=</w:t>
      </w:r>
      <w:r w:rsidR="00E55B7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C543C" w:rsidRPr="00C73B8F">
        <w:rPr>
          <w:rFonts w:ascii="Book Antiqua" w:hAnsi="Book Antiqua" w:cs="Times New Roman"/>
          <w:sz w:val="24"/>
          <w:szCs w:val="24"/>
          <w:lang w:val="en-US"/>
        </w:rPr>
        <w:t>0.001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]</w:t>
      </w:r>
      <w:r w:rsidR="004E5EA8" w:rsidRPr="00C73B8F">
        <w:rPr>
          <w:rFonts w:ascii="Book Antiqua" w:hAnsi="Book Antiqua" w:cs="Times New Roman"/>
          <w:sz w:val="24"/>
          <w:szCs w:val="24"/>
          <w:lang w:val="en-US"/>
        </w:rPr>
        <w:t>.</w:t>
      </w:r>
      <w:r w:rsidR="009B5F6C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E2D91" w:rsidRPr="00C73B8F">
        <w:rPr>
          <w:rFonts w:ascii="Book Antiqua" w:hAnsi="Book Antiqua" w:cs="Times New Roman"/>
          <w:sz w:val="24"/>
          <w:szCs w:val="24"/>
          <w:lang w:val="en-US"/>
        </w:rPr>
        <w:t>D</w:t>
      </w:r>
      <w:r w:rsidR="00CE6C05" w:rsidRPr="00C73B8F">
        <w:rPr>
          <w:rFonts w:ascii="Book Antiqua" w:hAnsi="Book Antiqua" w:cs="Times New Roman"/>
          <w:sz w:val="24"/>
          <w:szCs w:val="24"/>
          <w:lang w:val="en-US"/>
        </w:rPr>
        <w:t>uring treatment</w:t>
      </w:r>
      <w:r w:rsidR="00CB1CB1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CE6C05" w:rsidRPr="00C73B8F">
        <w:rPr>
          <w:rFonts w:ascii="Book Antiqua" w:hAnsi="Book Antiqua" w:cs="Times New Roman"/>
          <w:sz w:val="24"/>
          <w:szCs w:val="24"/>
          <w:lang w:val="en-US"/>
        </w:rPr>
        <w:t xml:space="preserve"> 63 patients (50.</w:t>
      </w:r>
      <w:r w:rsidR="00BE2D91" w:rsidRPr="00C73B8F">
        <w:rPr>
          <w:rFonts w:ascii="Book Antiqua" w:hAnsi="Book Antiqua" w:cs="Times New Roman"/>
          <w:sz w:val="24"/>
          <w:szCs w:val="24"/>
          <w:lang w:val="en-US"/>
        </w:rPr>
        <w:t xml:space="preserve">8%) had </w:t>
      </w:r>
      <w:r w:rsidR="00807FFB" w:rsidRPr="00C73B8F">
        <w:rPr>
          <w:rFonts w:ascii="Book Antiqua" w:hAnsi="Book Antiqua" w:cs="Times New Roman"/>
          <w:sz w:val="24"/>
          <w:szCs w:val="24"/>
          <w:lang w:val="en-US"/>
        </w:rPr>
        <w:t>at least one</w:t>
      </w:r>
      <w:r w:rsidR="00A43CCF" w:rsidRPr="00C73B8F">
        <w:rPr>
          <w:rFonts w:ascii="Book Antiqua" w:hAnsi="Book Antiqua" w:cs="Times New Roman"/>
          <w:sz w:val="24"/>
          <w:szCs w:val="24"/>
          <w:lang w:val="en-US"/>
        </w:rPr>
        <w:t xml:space="preserve"> severe</w:t>
      </w:r>
      <w:r w:rsidR="00CE6C05" w:rsidRPr="00C73B8F">
        <w:rPr>
          <w:rFonts w:ascii="Book Antiqua" w:hAnsi="Book Antiqua" w:cs="Times New Roman"/>
          <w:sz w:val="24"/>
          <w:szCs w:val="24"/>
          <w:lang w:val="en-US"/>
        </w:rPr>
        <w:t xml:space="preserve"> adverse event (SAE)</w:t>
      </w:r>
      <w:r w:rsidR="00807FFB" w:rsidRPr="00C73B8F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="00BE2D91" w:rsidRPr="00C73B8F">
        <w:rPr>
          <w:rFonts w:ascii="Book Antiqua" w:hAnsi="Book Antiqua" w:cs="Times New Roman"/>
          <w:sz w:val="24"/>
          <w:szCs w:val="24"/>
          <w:lang w:val="en-US"/>
        </w:rPr>
        <w:t>grade 3</w:t>
      </w:r>
      <w:r w:rsidR="00CE6C05" w:rsidRPr="00C73B8F">
        <w:rPr>
          <w:rFonts w:ascii="Book Antiqua" w:hAnsi="Book Antiqua" w:cs="Times New Roman"/>
          <w:sz w:val="24"/>
          <w:szCs w:val="24"/>
          <w:lang w:val="en-US"/>
        </w:rPr>
        <w:t xml:space="preserve"> or 4</w:t>
      </w:r>
      <w:r w:rsidR="00BE2D91" w:rsidRPr="00C73B8F">
        <w:rPr>
          <w:rFonts w:ascii="Book Antiqua" w:hAnsi="Book Antiqua" w:cs="Times New Roman"/>
          <w:sz w:val="24"/>
          <w:szCs w:val="24"/>
          <w:lang w:val="en-US"/>
        </w:rPr>
        <w:t>.</w:t>
      </w:r>
      <w:r w:rsidR="002A3719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425FD" w:rsidRPr="00C73B8F">
        <w:rPr>
          <w:rFonts w:ascii="Book Antiqua" w:hAnsi="Book Antiqua" w:cs="Times New Roman"/>
          <w:sz w:val="24"/>
          <w:szCs w:val="24"/>
          <w:lang w:val="en-US"/>
        </w:rPr>
        <w:t xml:space="preserve">A multivariate </w:t>
      </w:r>
      <w:r w:rsidR="00BE2D91" w:rsidRPr="00C73B8F">
        <w:rPr>
          <w:rFonts w:ascii="Book Antiqua" w:hAnsi="Book Antiqua" w:cs="Times New Roman"/>
          <w:sz w:val="24"/>
          <w:szCs w:val="24"/>
          <w:lang w:val="en-US"/>
        </w:rPr>
        <w:t>analysis identified two factors associated with SAE</w:t>
      </w:r>
      <w:r w:rsidR="00E3128B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="00CE6C05" w:rsidRPr="00C73B8F">
        <w:rPr>
          <w:rFonts w:ascii="Book Antiqua" w:hAnsi="Book Antiqua" w:cs="Times New Roman"/>
          <w:sz w:val="24"/>
          <w:szCs w:val="24"/>
          <w:lang w:val="en-US"/>
        </w:rPr>
        <w:t xml:space="preserve">: </w:t>
      </w:r>
      <w:r w:rsidR="008901CC" w:rsidRPr="00C73B8F">
        <w:rPr>
          <w:rFonts w:ascii="Book Antiqua" w:hAnsi="Book Antiqua" w:cs="Times New Roman"/>
          <w:sz w:val="24"/>
          <w:szCs w:val="24"/>
          <w:lang w:val="en-US"/>
        </w:rPr>
        <w:t>female</w:t>
      </w:r>
      <w:r w:rsidR="001C543C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C607B" w:rsidRPr="00C73B8F">
        <w:rPr>
          <w:rFonts w:ascii="Book Antiqua" w:hAnsi="Book Antiqua" w:cs="Times New Roman"/>
          <w:sz w:val="24"/>
          <w:szCs w:val="24"/>
          <w:lang w:val="en-US"/>
        </w:rPr>
        <w:t xml:space="preserve">gender 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[</w:t>
      </w:r>
      <w:r w:rsidR="001C543C" w:rsidRPr="00C73B8F">
        <w:rPr>
          <w:rFonts w:ascii="Book Antiqua" w:hAnsi="Book Antiqua" w:cs="Times New Roman"/>
          <w:sz w:val="24"/>
          <w:szCs w:val="24"/>
          <w:lang w:val="en-US"/>
        </w:rPr>
        <w:t xml:space="preserve">OR 2.4 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1C543C" w:rsidRPr="00C73B8F">
        <w:rPr>
          <w:rFonts w:ascii="Book Antiqua" w:hAnsi="Book Antiqua" w:cs="Times New Roman"/>
          <w:sz w:val="24"/>
          <w:szCs w:val="24"/>
          <w:lang w:val="en-US"/>
        </w:rPr>
        <w:t>1.1, 5.6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),</w:t>
      </w:r>
      <w:r w:rsidR="001C543C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95879" w:rsidRPr="00F9587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9532C4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C543C" w:rsidRPr="00C73B8F">
        <w:rPr>
          <w:rFonts w:ascii="Book Antiqua" w:hAnsi="Book Antiqua" w:cs="Times New Roman"/>
          <w:sz w:val="24"/>
          <w:szCs w:val="24"/>
          <w:lang w:val="en-US"/>
        </w:rPr>
        <w:t>=</w:t>
      </w:r>
      <w:r w:rsidR="009532C4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C543C" w:rsidRPr="00C73B8F">
        <w:rPr>
          <w:rFonts w:ascii="Book Antiqua" w:hAnsi="Book Antiqua" w:cs="Times New Roman"/>
          <w:sz w:val="24"/>
          <w:szCs w:val="24"/>
          <w:lang w:val="en-US"/>
        </w:rPr>
        <w:t>0.037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]</w:t>
      </w:r>
      <w:r w:rsidR="00CE6C05" w:rsidRPr="00C73B8F">
        <w:rPr>
          <w:rFonts w:ascii="Book Antiqua" w:hAnsi="Book Antiqua" w:cs="Times New Roman"/>
          <w:sz w:val="24"/>
          <w:szCs w:val="24"/>
          <w:lang w:val="en-US"/>
        </w:rPr>
        <w:t xml:space="preserve"> and a platelet count </w:t>
      </w:r>
      <w:r w:rsidR="00CB1CB1" w:rsidRPr="00C73B8F">
        <w:rPr>
          <w:rFonts w:ascii="Book Antiqua" w:hAnsi="Book Antiqua" w:cs="Times New Roman"/>
          <w:sz w:val="24"/>
          <w:szCs w:val="24"/>
          <w:lang w:val="en-US"/>
        </w:rPr>
        <w:t xml:space="preserve">below </w:t>
      </w:r>
      <w:r w:rsidR="00CE6C05" w:rsidRPr="00C73B8F">
        <w:rPr>
          <w:rFonts w:ascii="Book Antiqua" w:hAnsi="Book Antiqua" w:cs="Times New Roman"/>
          <w:sz w:val="24"/>
          <w:szCs w:val="24"/>
          <w:lang w:val="en-US"/>
        </w:rPr>
        <w:t xml:space="preserve">150 </w:t>
      </w:r>
      <w:r w:rsidR="00F95879">
        <w:rPr>
          <w:rFonts w:ascii="Book Antiqua" w:hAnsi="Book Antiqua" w:cs="Times New Roman"/>
          <w:sz w:val="24"/>
          <w:szCs w:val="24"/>
          <w:lang w:val="en-US"/>
        </w:rPr>
        <w:t>×</w:t>
      </w:r>
      <w:r w:rsidR="00CB1CB1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E6C05" w:rsidRPr="00C73B8F">
        <w:rPr>
          <w:rFonts w:ascii="Book Antiqua" w:hAnsi="Book Antiqua" w:cs="Times New Roman"/>
          <w:sz w:val="24"/>
          <w:szCs w:val="24"/>
          <w:lang w:val="en-US"/>
        </w:rPr>
        <w:t>10</w:t>
      </w:r>
      <w:r w:rsidR="00CE6C05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CE6C05" w:rsidRPr="00C73B8F">
        <w:rPr>
          <w:rFonts w:ascii="Book Antiqua" w:hAnsi="Book Antiqua" w:cs="Times New Roman"/>
          <w:sz w:val="24"/>
          <w:szCs w:val="24"/>
          <w:lang w:val="en-US"/>
        </w:rPr>
        <w:t>/ mm</w:t>
      </w:r>
      <w:r w:rsidR="00CE6C05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1C4309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[</w:t>
      </w:r>
      <w:r w:rsidR="001C4309" w:rsidRPr="00C73B8F">
        <w:rPr>
          <w:rFonts w:ascii="Book Antiqua" w:hAnsi="Book Antiqua" w:cs="Times New Roman"/>
          <w:sz w:val="24"/>
          <w:szCs w:val="24"/>
          <w:lang w:val="en-US"/>
        </w:rPr>
        <w:t xml:space="preserve">OR 5.3 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1C4309" w:rsidRPr="00C73B8F">
        <w:rPr>
          <w:rFonts w:ascii="Book Antiqua" w:hAnsi="Book Antiqua" w:cs="Times New Roman"/>
          <w:sz w:val="24"/>
          <w:szCs w:val="24"/>
          <w:lang w:val="en-US"/>
        </w:rPr>
        <w:t>2.3, 12.4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),</w:t>
      </w:r>
      <w:r w:rsidR="00CE6C05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95879" w:rsidRPr="00F9587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9532C4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E6C05" w:rsidRPr="00C73B8F">
        <w:rPr>
          <w:rFonts w:ascii="Book Antiqua" w:hAnsi="Book Antiqua" w:cs="Times New Roman"/>
          <w:sz w:val="24"/>
          <w:szCs w:val="24"/>
          <w:lang w:val="en-US"/>
        </w:rPr>
        <w:t>≤ 0.001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]</w:t>
      </w:r>
      <w:r w:rsidR="00CE6C05" w:rsidRPr="00C73B8F">
        <w:rPr>
          <w:rFonts w:ascii="Book Antiqua" w:hAnsi="Book Antiqua" w:cs="Times New Roman"/>
          <w:sz w:val="24"/>
          <w:szCs w:val="24"/>
          <w:lang w:val="en-US"/>
        </w:rPr>
        <w:t>.</w:t>
      </w:r>
      <w:r w:rsidR="00BE2D91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35C6E817" w14:textId="77777777" w:rsidR="00F95879" w:rsidRDefault="00F95879" w:rsidP="00C73B8F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</w:p>
    <w:p w14:paraId="7A19FC67" w14:textId="06D2E74C" w:rsidR="00BE2D91" w:rsidRPr="00C73B8F" w:rsidRDefault="00F95879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en-US"/>
        </w:rPr>
      </w:pPr>
      <w:r>
        <w:rPr>
          <w:rFonts w:ascii="Book Antiqua" w:hAnsi="Book Antiqua" w:cs="Times New Roman"/>
          <w:b/>
          <w:sz w:val="24"/>
          <w:szCs w:val="24"/>
          <w:lang w:val="en-US" w:eastAsia="en-US"/>
        </w:rPr>
        <w:t>CONCLUSION</w:t>
      </w:r>
      <w:r w:rsidR="00BE2D91" w:rsidRPr="00C73B8F">
        <w:rPr>
          <w:rFonts w:ascii="Book Antiqua" w:hAnsi="Book Antiqua" w:cs="Times New Roman"/>
          <w:b/>
          <w:sz w:val="24"/>
          <w:szCs w:val="24"/>
          <w:lang w:val="en-US" w:eastAsia="en-US"/>
        </w:rPr>
        <w:t xml:space="preserve">: </w:t>
      </w:r>
      <w:r w:rsidR="00C94773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More than </w:t>
      </w:r>
      <w:r w:rsidR="008901CC" w:rsidRPr="00C73B8F">
        <w:rPr>
          <w:rFonts w:ascii="Book Antiqua" w:hAnsi="Book Antiqua" w:cs="Times New Roman"/>
          <w:sz w:val="24"/>
          <w:szCs w:val="24"/>
          <w:lang w:val="en-US" w:eastAsia="en-US"/>
        </w:rPr>
        <w:t>half</w:t>
      </w:r>
      <w:r w:rsidR="002E07CB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of </w:t>
      </w:r>
      <w:r w:rsidR="00160111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these </w:t>
      </w:r>
      <w:r w:rsidR="002E07CB" w:rsidRPr="00C73B8F">
        <w:rPr>
          <w:rFonts w:ascii="Book Antiqua" w:hAnsi="Book Antiqua" w:cs="Times New Roman"/>
          <w:sz w:val="24"/>
          <w:szCs w:val="24"/>
          <w:lang w:val="en-US" w:eastAsia="en-US"/>
        </w:rPr>
        <w:t>difficult</w:t>
      </w:r>
      <w:r w:rsidR="001C1373" w:rsidRPr="00C73B8F">
        <w:rPr>
          <w:rFonts w:ascii="Book Antiqua" w:hAnsi="Book Antiqua" w:cs="Times New Roman"/>
          <w:sz w:val="24"/>
          <w:szCs w:val="24"/>
          <w:lang w:val="en-US" w:eastAsia="en-US"/>
        </w:rPr>
        <w:t>-</w:t>
      </w:r>
      <w:r w:rsidR="002E07CB" w:rsidRPr="00C73B8F">
        <w:rPr>
          <w:rFonts w:ascii="Book Antiqua" w:hAnsi="Book Antiqua" w:cs="Times New Roman"/>
          <w:sz w:val="24"/>
          <w:szCs w:val="24"/>
          <w:lang w:val="en-US" w:eastAsia="en-US"/>
        </w:rPr>
        <w:t>to</w:t>
      </w:r>
      <w:r w:rsidR="001C1373" w:rsidRPr="00C73B8F">
        <w:rPr>
          <w:rFonts w:ascii="Book Antiqua" w:hAnsi="Book Antiqua" w:cs="Times New Roman"/>
          <w:sz w:val="24"/>
          <w:szCs w:val="24"/>
          <w:lang w:val="en-US" w:eastAsia="en-US"/>
        </w:rPr>
        <w:t>-</w:t>
      </w:r>
      <w:r w:rsidR="002E07CB" w:rsidRPr="00C73B8F">
        <w:rPr>
          <w:rFonts w:ascii="Book Antiqua" w:hAnsi="Book Antiqua" w:cs="Times New Roman"/>
          <w:sz w:val="24"/>
          <w:szCs w:val="24"/>
          <w:lang w:val="en-US" w:eastAsia="en-US"/>
        </w:rPr>
        <w:t>treat patients</w:t>
      </w:r>
      <w:r w:rsidR="008901CC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achieved </w:t>
      </w:r>
      <w:r w:rsidR="00D025C0" w:rsidRPr="00C73B8F">
        <w:rPr>
          <w:rFonts w:ascii="Book Antiqua" w:hAnsi="Book Antiqua" w:cs="Times New Roman"/>
          <w:sz w:val="24"/>
          <w:szCs w:val="24"/>
          <w:lang w:val="en-US" w:eastAsia="en-US"/>
        </w:rPr>
        <w:t>a</w:t>
      </w:r>
      <w:r w:rsidR="00202ED4" w:rsidRPr="00C73B8F">
        <w:rPr>
          <w:rFonts w:ascii="Book Antiqua" w:hAnsi="Book Antiqua" w:cs="Times New Roman"/>
          <w:sz w:val="24"/>
          <w:szCs w:val="24"/>
          <w:lang w:val="en-US" w:eastAsia="en-US"/>
        </w:rPr>
        <w:t>n</w:t>
      </w:r>
      <w:r w:rsidR="00D025C0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SVR</w:t>
      </w:r>
      <w:r w:rsidR="005B0922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and had SAE</w:t>
      </w:r>
      <w:r w:rsidR="00DC7087" w:rsidRPr="00C73B8F">
        <w:rPr>
          <w:rFonts w:ascii="Book Antiqua" w:hAnsi="Book Antiqua" w:cs="Times New Roman"/>
          <w:sz w:val="24"/>
          <w:szCs w:val="24"/>
          <w:lang w:val="en-US" w:eastAsia="en-US"/>
        </w:rPr>
        <w:t>s</w:t>
      </w:r>
      <w:r w:rsidR="008901CC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in a</w:t>
      </w:r>
      <w:r w:rsidR="00160111" w:rsidRPr="00C73B8F">
        <w:rPr>
          <w:rFonts w:ascii="Book Antiqua" w:hAnsi="Book Antiqua" w:cs="Times New Roman"/>
          <w:sz w:val="24"/>
          <w:szCs w:val="24"/>
          <w:lang w:val="en-US" w:eastAsia="en-US"/>
        </w:rPr>
        <w:t>n</w:t>
      </w:r>
      <w:r w:rsidR="008901CC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</w:t>
      </w:r>
      <w:r w:rsidR="00F716FC" w:rsidRPr="00C73B8F">
        <w:rPr>
          <w:rFonts w:ascii="Book Antiqua" w:hAnsi="Book Antiqua" w:cs="Times New Roman"/>
          <w:sz w:val="24"/>
          <w:szCs w:val="24"/>
          <w:lang w:val="en-US" w:eastAsia="en-US"/>
        </w:rPr>
        <w:t>actual practice</w:t>
      </w:r>
      <w:r w:rsidR="008901CC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setting</w:t>
      </w:r>
      <w:r w:rsidR="002E07CB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. </w:t>
      </w:r>
      <w:r w:rsidR="00A27611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The </w:t>
      </w:r>
      <w:r w:rsidR="002E07CB" w:rsidRPr="00C73B8F">
        <w:rPr>
          <w:rFonts w:ascii="Book Antiqua" w:hAnsi="Book Antiqua" w:cs="Times New Roman"/>
          <w:sz w:val="24"/>
          <w:szCs w:val="24"/>
          <w:lang w:val="en-US" w:eastAsia="en-US"/>
        </w:rPr>
        <w:t>SVR</w:t>
      </w:r>
      <w:r w:rsidR="00A27611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rate</w:t>
      </w:r>
      <w:r w:rsidR="002E07CB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was influenced by the r</w:t>
      </w:r>
      <w:r w:rsidR="00BE2D91" w:rsidRPr="00C73B8F">
        <w:rPr>
          <w:rFonts w:ascii="Book Antiqua" w:hAnsi="Book Antiqua" w:cs="Times New Roman"/>
          <w:sz w:val="24"/>
          <w:szCs w:val="24"/>
          <w:lang w:val="en-US" w:eastAsia="en-US"/>
        </w:rPr>
        <w:t>e</w:t>
      </w:r>
      <w:r w:rsidR="00042E03" w:rsidRPr="00C73B8F">
        <w:rPr>
          <w:rFonts w:ascii="Book Antiqua" w:hAnsi="Book Antiqua" w:cs="Times New Roman"/>
          <w:sz w:val="24"/>
          <w:szCs w:val="24"/>
          <w:lang w:val="en-US" w:eastAsia="en-US"/>
        </w:rPr>
        <w:t>spons</w:t>
      </w:r>
      <w:r w:rsidR="0089177E" w:rsidRPr="00C73B8F">
        <w:rPr>
          <w:rFonts w:ascii="Book Antiqua" w:hAnsi="Book Antiqua" w:cs="Times New Roman"/>
          <w:sz w:val="24"/>
          <w:szCs w:val="24"/>
          <w:lang w:val="en-US" w:eastAsia="en-US"/>
        </w:rPr>
        <w:t>e to previous</w:t>
      </w:r>
      <w:r w:rsidR="003E3311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PR</w:t>
      </w:r>
      <w:r w:rsidR="0089177E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treatment, </w:t>
      </w:r>
      <w:r w:rsidR="004909AB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the </w:t>
      </w:r>
      <w:r w:rsidR="001C202C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RVR </w:t>
      </w:r>
      <w:r w:rsidR="005B0922" w:rsidRPr="00C73B8F">
        <w:rPr>
          <w:rFonts w:ascii="Book Antiqua" w:hAnsi="Book Antiqua" w:cs="Times New Roman"/>
          <w:sz w:val="24"/>
          <w:szCs w:val="24"/>
          <w:lang w:val="en-US" w:eastAsia="en-US"/>
        </w:rPr>
        <w:t>and liver stiffness.</w:t>
      </w:r>
      <w:r w:rsidR="00BE2D91" w:rsidRPr="00C73B8F">
        <w:rPr>
          <w:rFonts w:ascii="Book Antiqua" w:hAnsi="Book Antiqua" w:cs="Times New Roman"/>
          <w:sz w:val="24"/>
          <w:szCs w:val="24"/>
          <w:lang w:val="en-US" w:eastAsia="en-US"/>
        </w:rPr>
        <w:t xml:space="preserve"> </w:t>
      </w:r>
    </w:p>
    <w:p w14:paraId="51F4EF1B" w14:textId="77777777" w:rsidR="00ED77DF" w:rsidRDefault="00ED77DF" w:rsidP="00C73B8F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17496027" w14:textId="77777777" w:rsidR="00F95879" w:rsidRPr="00F375C3" w:rsidRDefault="00F95879" w:rsidP="00F95879">
      <w:pPr>
        <w:autoSpaceDE w:val="0"/>
        <w:autoSpaceDN w:val="0"/>
        <w:adjustRightInd w:val="0"/>
        <w:rPr>
          <w:rFonts w:ascii="Book Antiqua" w:hAnsi="Book Antiqua" w:cs="Tahoma"/>
          <w:sz w:val="24"/>
          <w:szCs w:val="24"/>
        </w:rPr>
      </w:pPr>
      <w:bookmarkStart w:id="56" w:name="OLE_LINK98"/>
      <w:bookmarkStart w:id="57" w:name="OLE_LINK156"/>
      <w:bookmarkStart w:id="58" w:name="OLE_LINK196"/>
      <w:bookmarkStart w:id="59" w:name="OLE_LINK217"/>
      <w:bookmarkStart w:id="60" w:name="OLE_LINK242"/>
      <w:bookmarkStart w:id="61" w:name="OLE_LINK247"/>
      <w:bookmarkStart w:id="62" w:name="OLE_LINK311"/>
      <w:bookmarkStart w:id="63" w:name="OLE_LINK312"/>
      <w:bookmarkStart w:id="64" w:name="OLE_LINK325"/>
      <w:bookmarkStart w:id="65" w:name="OLE_LINK330"/>
      <w:r w:rsidRPr="00F375C3">
        <w:rPr>
          <w:rFonts w:ascii="Book Antiqua" w:hAnsi="Book Antiqua" w:cs="Tahoma"/>
          <w:sz w:val="24"/>
          <w:szCs w:val="24"/>
          <w:lang w:eastAsia="ja-JP"/>
        </w:rPr>
        <w:t>© 201</w:t>
      </w:r>
      <w:r w:rsidRPr="00F375C3">
        <w:rPr>
          <w:rFonts w:ascii="Book Antiqua" w:hAnsi="Book Antiqua" w:cs="Tahoma" w:hint="eastAsia"/>
          <w:sz w:val="24"/>
          <w:szCs w:val="24"/>
        </w:rPr>
        <w:t>4</w:t>
      </w:r>
      <w:r w:rsidRPr="00F375C3">
        <w:rPr>
          <w:rFonts w:ascii="Book Antiqua" w:hAnsi="Book Antiqua" w:cs="Tahoma"/>
          <w:sz w:val="24"/>
          <w:szCs w:val="24"/>
          <w:lang w:eastAsia="ja-JP"/>
        </w:rPr>
        <w:t xml:space="preserve"> Baishideng Publishing Group </w:t>
      </w:r>
      <w:r w:rsidRPr="00F375C3">
        <w:rPr>
          <w:rFonts w:ascii="Book Antiqua" w:hAnsi="Book Antiqua" w:cs="Tahoma" w:hint="eastAsia"/>
          <w:sz w:val="24"/>
          <w:szCs w:val="24"/>
        </w:rPr>
        <w:t>Inc</w:t>
      </w:r>
      <w:r w:rsidRPr="00F375C3">
        <w:rPr>
          <w:rFonts w:ascii="Book Antiqua" w:hAnsi="Book Antiqua" w:cs="Tahoma"/>
          <w:sz w:val="24"/>
          <w:szCs w:val="24"/>
          <w:lang w:eastAsia="ja-JP"/>
        </w:rPr>
        <w:t>. All rights</w:t>
      </w:r>
      <w:r w:rsidRPr="00F375C3">
        <w:rPr>
          <w:rFonts w:ascii="Book Antiqua" w:hAnsi="Book Antiqua" w:cs="Tahoma"/>
          <w:sz w:val="24"/>
          <w:szCs w:val="24"/>
        </w:rPr>
        <w:t xml:space="preserve"> </w:t>
      </w:r>
      <w:r w:rsidRPr="00F375C3">
        <w:rPr>
          <w:rFonts w:ascii="Book Antiqua" w:hAnsi="Book Antiqua" w:cs="Tahoma"/>
          <w:sz w:val="24"/>
          <w:szCs w:val="24"/>
          <w:lang w:eastAsia="ja-JP"/>
        </w:rPr>
        <w:t>reserved.</w:t>
      </w:r>
    </w:p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p w14:paraId="0D65D92E" w14:textId="77777777" w:rsidR="00F95879" w:rsidRPr="00F95879" w:rsidRDefault="00F95879" w:rsidP="00C73B8F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3C85CA08" w14:textId="5D082807" w:rsidR="00E25653" w:rsidRPr="00C73B8F" w:rsidRDefault="00ED77DF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Key</w:t>
      </w:r>
      <w:r w:rsidR="00F95879"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>words: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C6CEF" w:rsidRPr="00C73B8F">
        <w:rPr>
          <w:rFonts w:ascii="Book Antiqua" w:hAnsi="Book Antiqua" w:cs="Times New Roman"/>
          <w:sz w:val="24"/>
          <w:szCs w:val="24"/>
          <w:lang w:val="en-US"/>
        </w:rPr>
        <w:t>Hepatitis C virus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;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Hepatitis C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;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95879" w:rsidRPr="00C73B8F">
        <w:rPr>
          <w:rFonts w:ascii="Book Antiqua" w:hAnsi="Book Antiqua" w:cs="Times New Roman"/>
          <w:sz w:val="24"/>
          <w:szCs w:val="24"/>
          <w:lang w:val="en-US"/>
        </w:rPr>
        <w:t>A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ntiviral therapy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;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95879" w:rsidRPr="00C73B8F">
        <w:rPr>
          <w:rFonts w:ascii="Book Antiqua" w:hAnsi="Book Antiqua" w:cs="Times New Roman"/>
          <w:sz w:val="24"/>
          <w:szCs w:val="24"/>
          <w:lang w:val="en-US"/>
        </w:rPr>
        <w:t>P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rotease inhibitors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;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F95879" w:rsidRPr="00C73B8F">
        <w:rPr>
          <w:rFonts w:ascii="Book Antiqua" w:hAnsi="Book Antiqua" w:cs="Times New Roman"/>
          <w:sz w:val="24"/>
          <w:szCs w:val="24"/>
          <w:lang w:val="en-US"/>
        </w:rPr>
        <w:t>F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ibroscan</w:t>
      </w:r>
      <w:proofErr w:type="spellEnd"/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;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95879" w:rsidRPr="00C73B8F">
        <w:rPr>
          <w:rFonts w:ascii="Book Antiqua" w:hAnsi="Book Antiqua" w:cs="Times New Roman"/>
          <w:sz w:val="24"/>
          <w:szCs w:val="24"/>
          <w:lang w:val="en-US"/>
        </w:rPr>
        <w:t>L</w:t>
      </w:r>
      <w:r w:rsidR="00450640" w:rsidRPr="00C73B8F">
        <w:rPr>
          <w:rFonts w:ascii="Book Antiqua" w:hAnsi="Book Antiqua" w:cs="Times New Roman"/>
          <w:sz w:val="24"/>
          <w:szCs w:val="24"/>
          <w:lang w:val="en-US"/>
        </w:rPr>
        <w:t>iver stiffnes</w:t>
      </w:r>
      <w:r w:rsidR="00B82C49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;</w:t>
      </w:r>
      <w:r w:rsidR="00450640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95879" w:rsidRPr="00C73B8F">
        <w:rPr>
          <w:rFonts w:ascii="Book Antiqua" w:hAnsi="Book Antiqua" w:cs="Times New Roman"/>
          <w:sz w:val="24"/>
          <w:szCs w:val="24"/>
          <w:lang w:val="en-US"/>
        </w:rPr>
        <w:t>C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irrhosis</w:t>
      </w:r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;</w:t>
      </w:r>
      <w:r w:rsidR="00450640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F95879" w:rsidRPr="00C73B8F">
        <w:rPr>
          <w:rFonts w:ascii="Book Antiqua" w:hAnsi="Book Antiqua" w:cs="Times New Roman"/>
          <w:sz w:val="24"/>
          <w:szCs w:val="24"/>
          <w:lang w:val="en-US"/>
        </w:rPr>
        <w:t>B</w:t>
      </w:r>
      <w:r w:rsidR="00450640" w:rsidRPr="00C73B8F">
        <w:rPr>
          <w:rFonts w:ascii="Book Antiqua" w:hAnsi="Book Antiqua" w:cs="Times New Roman"/>
          <w:sz w:val="24"/>
          <w:szCs w:val="24"/>
          <w:lang w:val="en-US"/>
        </w:rPr>
        <w:t>oceprevir</w:t>
      </w:r>
      <w:proofErr w:type="spellEnd"/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;</w:t>
      </w:r>
      <w:r w:rsidR="00450640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F95879" w:rsidRPr="00C73B8F">
        <w:rPr>
          <w:rFonts w:ascii="Book Antiqua" w:hAnsi="Book Antiqua" w:cs="Times New Roman"/>
          <w:sz w:val="24"/>
          <w:szCs w:val="24"/>
          <w:lang w:val="en-US"/>
        </w:rPr>
        <w:t>T</w:t>
      </w:r>
      <w:r w:rsidR="00450640" w:rsidRPr="00C73B8F">
        <w:rPr>
          <w:rFonts w:ascii="Book Antiqua" w:hAnsi="Book Antiqua" w:cs="Times New Roman"/>
          <w:sz w:val="24"/>
          <w:szCs w:val="24"/>
          <w:lang w:val="en-US"/>
        </w:rPr>
        <w:t>elaprevir</w:t>
      </w:r>
      <w:proofErr w:type="spellEnd"/>
      <w:r w:rsidR="00F9587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;</w:t>
      </w:r>
      <w:r w:rsidR="00450640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95879" w:rsidRPr="00C73B8F">
        <w:rPr>
          <w:rFonts w:ascii="Book Antiqua" w:hAnsi="Book Antiqua" w:cs="Times New Roman"/>
          <w:sz w:val="24"/>
          <w:szCs w:val="24"/>
          <w:lang w:val="en-US"/>
        </w:rPr>
        <w:t>R</w:t>
      </w:r>
      <w:r w:rsidR="00450640" w:rsidRPr="00C73B8F">
        <w:rPr>
          <w:rFonts w:ascii="Book Antiqua" w:hAnsi="Book Antiqua" w:cs="Times New Roman"/>
          <w:sz w:val="24"/>
          <w:szCs w:val="24"/>
          <w:lang w:val="en-US"/>
        </w:rPr>
        <w:t>ibavirin</w:t>
      </w:r>
    </w:p>
    <w:p w14:paraId="73A46BF8" w14:textId="77777777" w:rsidR="00E25653" w:rsidRPr="00C73B8F" w:rsidRDefault="00E25653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05CF0BD9" w14:textId="7839B03F" w:rsidR="0032177E" w:rsidRDefault="00E25653" w:rsidP="00C73B8F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>C</w:t>
      </w:r>
      <w:r w:rsidR="00F95879" w:rsidRPr="00C73B8F">
        <w:rPr>
          <w:rFonts w:ascii="Book Antiqua" w:hAnsi="Book Antiqua" w:cs="Times New Roman"/>
          <w:b/>
          <w:sz w:val="24"/>
          <w:szCs w:val="24"/>
          <w:lang w:val="en-US"/>
        </w:rPr>
        <w:t>ore tip:</w:t>
      </w:r>
      <w:r w:rsidR="00BA2E7F" w:rsidRPr="00C73B8F">
        <w:rPr>
          <w:rFonts w:ascii="Book Antiqua" w:hAnsi="Book Antiqua" w:cs="Times New Roman"/>
          <w:sz w:val="24"/>
          <w:szCs w:val="24"/>
          <w:lang w:val="en-US"/>
        </w:rPr>
        <w:t xml:space="preserve"> To the best of our knowledge, </w:t>
      </w:r>
      <w:r w:rsidR="00DE1BC8" w:rsidRPr="00C73B8F">
        <w:rPr>
          <w:rFonts w:ascii="Book Antiqua" w:hAnsi="Book Antiqua" w:cs="Times New Roman"/>
          <w:sz w:val="24"/>
          <w:szCs w:val="24"/>
          <w:lang w:val="en-US"/>
        </w:rPr>
        <w:t xml:space="preserve">this study marks </w:t>
      </w:r>
      <w:r w:rsidR="00BA2E7F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first time that a significant link has been shown between 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BA2E7F" w:rsidRPr="00C73B8F">
        <w:rPr>
          <w:rFonts w:ascii="Book Antiqua" w:hAnsi="Book Antiqua" w:cs="Times New Roman"/>
          <w:sz w:val="24"/>
          <w:szCs w:val="24"/>
          <w:lang w:val="en-US"/>
        </w:rPr>
        <w:t xml:space="preserve">sustained </w:t>
      </w:r>
      <w:proofErr w:type="spellStart"/>
      <w:r w:rsidR="00BA2E7F" w:rsidRPr="00C73B8F">
        <w:rPr>
          <w:rFonts w:ascii="Book Antiqua" w:hAnsi="Book Antiqua" w:cs="Times New Roman"/>
          <w:sz w:val="24"/>
          <w:szCs w:val="24"/>
          <w:lang w:val="en-US"/>
        </w:rPr>
        <w:t>virological</w:t>
      </w:r>
      <w:proofErr w:type="spellEnd"/>
      <w:r w:rsidR="00BA2E7F" w:rsidRPr="00C73B8F">
        <w:rPr>
          <w:rFonts w:ascii="Book Antiqua" w:hAnsi="Book Antiqua" w:cs="Times New Roman"/>
          <w:sz w:val="24"/>
          <w:szCs w:val="24"/>
          <w:lang w:val="en-US"/>
        </w:rPr>
        <w:t xml:space="preserve"> response to triple therapy and the liver </w:t>
      </w:r>
      <w:r w:rsidR="00BF2376" w:rsidRPr="00C73B8F">
        <w:rPr>
          <w:rFonts w:ascii="Book Antiqua" w:hAnsi="Book Antiqua" w:cs="Times New Roman"/>
          <w:sz w:val="24"/>
          <w:szCs w:val="24"/>
          <w:lang w:val="en-US"/>
        </w:rPr>
        <w:t xml:space="preserve">stiffness measured by </w:t>
      </w:r>
      <w:proofErr w:type="spellStart"/>
      <w:r w:rsidR="00235423" w:rsidRPr="00C73B8F">
        <w:rPr>
          <w:rFonts w:ascii="Book Antiqua" w:hAnsi="Book Antiqua" w:cs="Times New Roman"/>
          <w:sz w:val="24"/>
          <w:szCs w:val="24"/>
          <w:lang w:val="en-US"/>
        </w:rPr>
        <w:t>elastograph</w:t>
      </w:r>
      <w:r w:rsidR="00BF2376" w:rsidRPr="00C73B8F">
        <w:rPr>
          <w:rFonts w:ascii="Book Antiqua" w:hAnsi="Book Antiqua" w:cs="Times New Roman"/>
          <w:sz w:val="24"/>
          <w:szCs w:val="24"/>
          <w:lang w:val="en-US"/>
        </w:rPr>
        <w:t>y</w:t>
      </w:r>
      <w:proofErr w:type="spellEnd"/>
      <w:r w:rsidR="00BA2E7F" w:rsidRPr="00C73B8F">
        <w:rPr>
          <w:rFonts w:ascii="Book Antiqua" w:hAnsi="Book Antiqua" w:cs="Times New Roman"/>
          <w:sz w:val="24"/>
          <w:szCs w:val="24"/>
          <w:lang w:val="en-US"/>
        </w:rPr>
        <w:t xml:space="preserve"> at baseline. We also </w:t>
      </w:r>
      <w:r w:rsidR="00831B7B" w:rsidRPr="00C73B8F">
        <w:rPr>
          <w:rFonts w:ascii="Book Antiqua" w:hAnsi="Book Antiqua" w:cs="Times New Roman"/>
          <w:sz w:val="24"/>
          <w:szCs w:val="24"/>
          <w:lang w:val="en-US"/>
        </w:rPr>
        <w:t>demonstrate</w:t>
      </w:r>
      <w:r w:rsidR="00BA2E7F" w:rsidRPr="00C73B8F">
        <w:rPr>
          <w:rFonts w:ascii="Book Antiqua" w:hAnsi="Book Antiqua" w:cs="Times New Roman"/>
          <w:sz w:val="24"/>
          <w:szCs w:val="24"/>
          <w:lang w:val="en-US"/>
        </w:rPr>
        <w:t xml:space="preserve"> that </w:t>
      </w:r>
      <w:r w:rsidR="00BF2376" w:rsidRPr="00C73B8F">
        <w:rPr>
          <w:rFonts w:ascii="Book Antiqua" w:hAnsi="Book Antiqua" w:cs="Times New Roman"/>
          <w:sz w:val="24"/>
          <w:szCs w:val="24"/>
          <w:lang w:val="en-US"/>
        </w:rPr>
        <w:t>t</w:t>
      </w:r>
      <w:r w:rsidR="00BA2E7F" w:rsidRPr="00C73B8F">
        <w:rPr>
          <w:rFonts w:ascii="Book Antiqua" w:hAnsi="Book Antiqua" w:cs="Times New Roman"/>
          <w:sz w:val="24"/>
          <w:szCs w:val="24"/>
          <w:lang w:val="en-US"/>
        </w:rPr>
        <w:t>riple therapy is poorly tolerated. Two factors p</w:t>
      </w:r>
      <w:r w:rsidR="00C34AAB" w:rsidRPr="00C73B8F">
        <w:rPr>
          <w:rFonts w:ascii="Book Antiqua" w:hAnsi="Book Antiqua" w:cs="Times New Roman"/>
          <w:sz w:val="24"/>
          <w:szCs w:val="24"/>
          <w:lang w:val="en-US"/>
        </w:rPr>
        <w:t>redict</w:t>
      </w:r>
      <w:r w:rsidR="00BF2376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E1BC8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BF2376" w:rsidRPr="00C73B8F">
        <w:rPr>
          <w:rFonts w:ascii="Book Antiqua" w:hAnsi="Book Antiqua" w:cs="Times New Roman"/>
          <w:sz w:val="24"/>
          <w:szCs w:val="24"/>
          <w:lang w:val="en-US"/>
        </w:rPr>
        <w:t>development of serious adverse events</w:t>
      </w:r>
      <w:r w:rsidR="00C34AAB" w:rsidRPr="00C73B8F">
        <w:rPr>
          <w:rFonts w:ascii="Book Antiqua" w:hAnsi="Book Antiqua" w:cs="Times New Roman"/>
          <w:sz w:val="24"/>
          <w:szCs w:val="24"/>
          <w:lang w:val="en-US"/>
        </w:rPr>
        <w:t>:</w:t>
      </w:r>
      <w:r w:rsidR="00BA2E7F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27D91" w:rsidRPr="00C73B8F">
        <w:rPr>
          <w:rFonts w:ascii="Book Antiqua" w:hAnsi="Book Antiqua" w:cs="Times New Roman"/>
          <w:sz w:val="24"/>
          <w:szCs w:val="24"/>
          <w:lang w:val="en-US"/>
        </w:rPr>
        <w:t>female gender</w:t>
      </w:r>
      <w:r w:rsidR="00BA2E7F" w:rsidRPr="00C73B8F">
        <w:rPr>
          <w:rFonts w:ascii="Book Antiqua" w:hAnsi="Book Antiqua" w:cs="Times New Roman"/>
          <w:sz w:val="24"/>
          <w:szCs w:val="24"/>
          <w:lang w:val="en-US"/>
        </w:rPr>
        <w:t xml:space="preserve"> and an initial platelet count of less than 150000/mm</w:t>
      </w:r>
      <w:r w:rsidR="00BE5487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DF55F3" w:rsidRPr="00C73B8F">
        <w:rPr>
          <w:rFonts w:ascii="Book Antiqua" w:hAnsi="Book Antiqua" w:cs="Times New Roman"/>
          <w:sz w:val="24"/>
          <w:szCs w:val="24"/>
          <w:lang w:val="en-US"/>
        </w:rPr>
        <w:t>; these factors facilitate the identification of</w:t>
      </w:r>
      <w:r w:rsidR="00BA2E7F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F2376" w:rsidRPr="00C73B8F">
        <w:rPr>
          <w:rFonts w:ascii="Book Antiqua" w:hAnsi="Book Antiqua" w:cs="Times New Roman"/>
          <w:sz w:val="24"/>
          <w:szCs w:val="24"/>
          <w:lang w:val="en-US"/>
        </w:rPr>
        <w:t>at-risk patients</w:t>
      </w:r>
      <w:r w:rsidR="00BA2E7F" w:rsidRPr="00C73B8F">
        <w:rPr>
          <w:rFonts w:ascii="Book Antiqua" w:hAnsi="Book Antiqua" w:cs="Times New Roman"/>
          <w:sz w:val="24"/>
          <w:szCs w:val="24"/>
          <w:lang w:val="en-US"/>
        </w:rPr>
        <w:t>.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582B52B4" w14:textId="77777777" w:rsidR="00F95879" w:rsidRDefault="00F95879" w:rsidP="00C73B8F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01DF5C03" w14:textId="794C5EAA" w:rsidR="00F95879" w:rsidRPr="00DC6CEF" w:rsidRDefault="00DC6CEF" w:rsidP="00F95879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C73B8F">
        <w:rPr>
          <w:rFonts w:ascii="Book Antiqua" w:hAnsi="Book Antiqua" w:cs="Times New Roman"/>
          <w:sz w:val="24"/>
          <w:szCs w:val="24"/>
        </w:rPr>
        <w:t>Bonnet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D</w:t>
      </w:r>
      <w:r w:rsidRPr="00C73B8F">
        <w:rPr>
          <w:rFonts w:ascii="Book Antiqua" w:hAnsi="Book Antiqua" w:cs="Times New Roman"/>
          <w:sz w:val="24"/>
          <w:szCs w:val="24"/>
        </w:rPr>
        <w:t>, Guivarch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M</w:t>
      </w:r>
      <w:r w:rsidRPr="00C73B8F">
        <w:rPr>
          <w:rFonts w:ascii="Book Antiqua" w:hAnsi="Book Antiqua" w:cs="Times New Roman"/>
          <w:sz w:val="24"/>
          <w:szCs w:val="24"/>
        </w:rPr>
        <w:t>, Bérard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E</w:t>
      </w:r>
      <w:r w:rsidRPr="00C73B8F">
        <w:rPr>
          <w:rFonts w:ascii="Book Antiqua" w:hAnsi="Book Antiqua" w:cs="Times New Roman"/>
          <w:sz w:val="24"/>
          <w:szCs w:val="24"/>
        </w:rPr>
        <w:t>, Combis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JM</w:t>
      </w:r>
      <w:r w:rsidRPr="00C73B8F">
        <w:rPr>
          <w:rFonts w:ascii="Book Antiqua" w:hAnsi="Book Antiqua" w:cs="Times New Roman"/>
          <w:sz w:val="24"/>
          <w:szCs w:val="24"/>
        </w:rPr>
        <w:t>, Remy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AJ</w:t>
      </w:r>
      <w:r w:rsidRPr="00C73B8F">
        <w:rPr>
          <w:rFonts w:ascii="Book Antiqua" w:hAnsi="Book Antiqua" w:cs="Times New Roman"/>
          <w:sz w:val="24"/>
          <w:szCs w:val="24"/>
        </w:rPr>
        <w:t>, Glibert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A</w:t>
      </w:r>
      <w:r w:rsidRPr="00C73B8F">
        <w:rPr>
          <w:rFonts w:ascii="Book Antiqua" w:hAnsi="Book Antiqua" w:cs="Times New Roman"/>
          <w:sz w:val="24"/>
          <w:szCs w:val="24"/>
        </w:rPr>
        <w:t>, Payen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JL</w:t>
      </w:r>
      <w:r w:rsidRPr="00C73B8F">
        <w:rPr>
          <w:rFonts w:ascii="Book Antiqua" w:hAnsi="Book Antiqua" w:cs="Times New Roman"/>
          <w:sz w:val="24"/>
          <w:szCs w:val="24"/>
        </w:rPr>
        <w:t>, Metivier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S</w:t>
      </w:r>
      <w:r w:rsidRPr="00C73B8F">
        <w:rPr>
          <w:rFonts w:ascii="Book Antiqua" w:hAnsi="Book Antiqua" w:cs="Times New Roman"/>
          <w:sz w:val="24"/>
          <w:szCs w:val="24"/>
        </w:rPr>
        <w:t>, Barange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K</w:t>
      </w:r>
      <w:r w:rsidRPr="00C73B8F">
        <w:rPr>
          <w:rFonts w:ascii="Book Antiqua" w:hAnsi="Book Antiqua" w:cs="Times New Roman"/>
          <w:sz w:val="24"/>
          <w:szCs w:val="24"/>
        </w:rPr>
        <w:t>, Desmorat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H</w:t>
      </w:r>
      <w:r w:rsidRPr="00C73B8F">
        <w:rPr>
          <w:rFonts w:ascii="Book Antiqua" w:hAnsi="Book Antiqua" w:cs="Times New Roman"/>
          <w:sz w:val="24"/>
          <w:szCs w:val="24"/>
        </w:rPr>
        <w:t>, Palacin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A</w:t>
      </w:r>
      <w:r w:rsidRPr="00C73B8F">
        <w:rPr>
          <w:rFonts w:ascii="Book Antiqua" w:hAnsi="Book Antiqua" w:cs="Times New Roman"/>
          <w:sz w:val="24"/>
          <w:szCs w:val="24"/>
        </w:rPr>
        <w:t>, Nicot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F</w:t>
      </w:r>
      <w:r w:rsidRPr="00C73B8F">
        <w:rPr>
          <w:rFonts w:ascii="Book Antiqua" w:hAnsi="Book Antiqua" w:cs="Times New Roman"/>
          <w:sz w:val="24"/>
          <w:szCs w:val="24"/>
        </w:rPr>
        <w:t>, Abravanel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F</w:t>
      </w:r>
      <w:r w:rsidRPr="00C73B8F">
        <w:rPr>
          <w:rFonts w:ascii="Book Antiqua" w:hAnsi="Book Antiqua" w:cs="Times New Roman"/>
          <w:sz w:val="24"/>
          <w:szCs w:val="24"/>
        </w:rPr>
        <w:t>, Alric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L. </w:t>
      </w:r>
      <w:proofErr w:type="spellStart"/>
      <w:r w:rsidR="00F95879" w:rsidRPr="00F95879">
        <w:rPr>
          <w:rFonts w:ascii="Book Antiqua" w:hAnsi="Book Antiqua" w:cs="Times New Roman"/>
          <w:sz w:val="24"/>
          <w:szCs w:val="24"/>
          <w:lang w:val="en-US"/>
        </w:rPr>
        <w:t>Telaprevir</w:t>
      </w:r>
      <w:proofErr w:type="spellEnd"/>
      <w:r w:rsidR="00F95879" w:rsidRPr="00F95879">
        <w:rPr>
          <w:rFonts w:ascii="Book Antiqua" w:hAnsi="Book Antiqua" w:cs="Times New Roman"/>
          <w:sz w:val="24"/>
          <w:szCs w:val="24"/>
          <w:lang w:val="en-US"/>
        </w:rPr>
        <w:t xml:space="preserve">- and </w:t>
      </w:r>
      <w:proofErr w:type="spellStart"/>
      <w:r w:rsidR="00F95879" w:rsidRPr="00F95879">
        <w:rPr>
          <w:rFonts w:ascii="Book Antiqua" w:hAnsi="Book Antiqua" w:cs="Times New Roman"/>
          <w:sz w:val="24"/>
          <w:szCs w:val="24"/>
          <w:lang w:val="en-US"/>
        </w:rPr>
        <w:t>boceprevir</w:t>
      </w:r>
      <w:proofErr w:type="spellEnd"/>
      <w:r w:rsidR="00F95879" w:rsidRPr="00F95879">
        <w:rPr>
          <w:rFonts w:ascii="Book Antiqua" w:hAnsi="Book Antiqua" w:cs="Times New Roman"/>
          <w:sz w:val="24"/>
          <w:szCs w:val="24"/>
          <w:lang w:val="en-US"/>
        </w:rPr>
        <w:t xml:space="preserve">-based </w:t>
      </w:r>
      <w:proofErr w:type="spellStart"/>
      <w:r w:rsidR="00F95879" w:rsidRPr="00F95879">
        <w:rPr>
          <w:rFonts w:ascii="Book Antiqua" w:hAnsi="Book Antiqua" w:cs="Times New Roman"/>
          <w:sz w:val="24"/>
          <w:szCs w:val="24"/>
          <w:lang w:val="en-US"/>
        </w:rPr>
        <w:t>tritherapies</w:t>
      </w:r>
      <w:proofErr w:type="spellEnd"/>
      <w:r w:rsidR="00F95879" w:rsidRPr="00F95879">
        <w:rPr>
          <w:rFonts w:ascii="Book Antiqua" w:hAnsi="Book Antiqua" w:cs="Times New Roman"/>
          <w:sz w:val="24"/>
          <w:szCs w:val="24"/>
          <w:lang w:val="en-US"/>
        </w:rPr>
        <w:t xml:space="preserve"> in real practice for F3-F4 pretreated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hepatitis C virus</w:t>
      </w:r>
      <w:r w:rsidR="00F95879" w:rsidRPr="00F95879">
        <w:rPr>
          <w:rFonts w:ascii="Book Antiqua" w:hAnsi="Book Antiqua" w:cs="Times New Roman"/>
          <w:sz w:val="24"/>
          <w:szCs w:val="24"/>
          <w:lang w:val="en-US"/>
        </w:rPr>
        <w:t xml:space="preserve"> patients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. </w:t>
      </w:r>
      <w:r w:rsidRPr="00C341A0">
        <w:rPr>
          <w:rFonts w:ascii="Book Antiqua" w:hAnsi="Book Antiqua"/>
          <w:i/>
          <w:iCs/>
          <w:sz w:val="24"/>
          <w:szCs w:val="24"/>
        </w:rPr>
        <w:t>World J Hepatol</w:t>
      </w:r>
      <w:r>
        <w:rPr>
          <w:rFonts w:ascii="Book Antiqua" w:eastAsia="宋体" w:hAnsi="Book Antiqua" w:hint="eastAsia"/>
          <w:iCs/>
          <w:sz w:val="24"/>
          <w:szCs w:val="24"/>
          <w:lang w:eastAsia="zh-CN"/>
        </w:rPr>
        <w:t xml:space="preserve"> 2014</w:t>
      </w:r>
      <w:r>
        <w:rPr>
          <w:rFonts w:ascii="Book Antiqua" w:eastAsia="宋体" w:hAnsi="Book Antiqua"/>
          <w:iCs/>
          <w:sz w:val="24"/>
          <w:szCs w:val="24"/>
          <w:lang w:eastAsia="zh-CN"/>
        </w:rPr>
        <w:t>;</w:t>
      </w:r>
      <w:r>
        <w:rPr>
          <w:rFonts w:ascii="Book Antiqua" w:eastAsia="宋体" w:hAnsi="Book Antiqua" w:hint="eastAsia"/>
          <w:iCs/>
          <w:sz w:val="24"/>
          <w:szCs w:val="24"/>
          <w:lang w:eastAsia="zh-CN"/>
        </w:rPr>
        <w:t xml:space="preserve"> In press</w:t>
      </w:r>
    </w:p>
    <w:p w14:paraId="77B1BA01" w14:textId="77777777" w:rsidR="00F95879" w:rsidRPr="00F95879" w:rsidRDefault="00F95879" w:rsidP="00C73B8F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730635F5" w14:textId="6F046AC5" w:rsidR="0032177E" w:rsidRPr="00DC6CEF" w:rsidRDefault="00DC6CEF" w:rsidP="00C73B8F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t>INTRODUCTION</w:t>
      </w:r>
    </w:p>
    <w:p w14:paraId="5050E5B3" w14:textId="766836F3" w:rsidR="0032177E" w:rsidRPr="00C73B8F" w:rsidRDefault="0032177E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Approximately 80% of patients infected </w:t>
      </w:r>
      <w:r w:rsidR="00DD4A59" w:rsidRPr="00C73B8F">
        <w:rPr>
          <w:rFonts w:ascii="Book Antiqua" w:hAnsi="Book Antiqua" w:cs="Times New Roman"/>
          <w:sz w:val="24"/>
          <w:szCs w:val="24"/>
          <w:lang w:val="en-US"/>
        </w:rPr>
        <w:t xml:space="preserve">with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the hepatitis C virus (HCV</w:t>
      </w:r>
      <w:r w:rsidR="0098619C" w:rsidRPr="00C73B8F">
        <w:rPr>
          <w:rFonts w:ascii="Book Antiqua" w:hAnsi="Book Antiqua" w:cs="Times New Roman"/>
          <w:sz w:val="24"/>
          <w:szCs w:val="24"/>
          <w:lang w:val="en-US"/>
        </w:rPr>
        <w:t xml:space="preserve">) </w:t>
      </w:r>
      <w:r w:rsidR="00446FC6" w:rsidRPr="00C73B8F">
        <w:rPr>
          <w:rFonts w:ascii="Book Antiqua" w:hAnsi="Book Antiqua" w:cs="Times New Roman"/>
          <w:sz w:val="24"/>
          <w:szCs w:val="24"/>
          <w:lang w:val="en-US"/>
        </w:rPr>
        <w:t>develop chronic infections</w:t>
      </w:r>
      <w:r w:rsidR="00FB37F4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044BC" w:rsidRPr="00C73B8F">
        <w:rPr>
          <w:rFonts w:ascii="Book Antiqua" w:hAnsi="Book Antiqua" w:cs="Times New Roman"/>
          <w:sz w:val="24"/>
          <w:szCs w:val="24"/>
          <w:lang w:val="en-US"/>
        </w:rPr>
        <w:t xml:space="preserve">that </w:t>
      </w:r>
      <w:r w:rsidR="009D4989" w:rsidRPr="00C73B8F">
        <w:rPr>
          <w:rFonts w:ascii="Book Antiqua" w:hAnsi="Book Antiqua" w:cs="Times New Roman"/>
          <w:sz w:val="24"/>
          <w:szCs w:val="24"/>
          <w:lang w:val="en-US"/>
        </w:rPr>
        <w:t xml:space="preserve">could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lead to cirrhosis and hepatocellular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carcinoma</w:t>
      </w:r>
      <w:r w:rsidR="00303EF6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03EF6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1</w:t>
      </w:r>
      <w:r w:rsidR="00303EF6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Combination therapy with </w:t>
      </w:r>
      <w:proofErr w:type="spellStart"/>
      <w:r w:rsidR="00DA16BA" w:rsidRPr="00C73B8F">
        <w:rPr>
          <w:rFonts w:ascii="Book Antiqua" w:hAnsi="Book Antiqua" w:cs="Times New Roman"/>
          <w:sz w:val="24"/>
          <w:szCs w:val="24"/>
          <w:lang w:val="en-US"/>
        </w:rPr>
        <w:t>pegylated</w:t>
      </w:r>
      <w:proofErr w:type="spellEnd"/>
      <w:r w:rsidR="00DA16BA" w:rsidRPr="00C73B8F">
        <w:rPr>
          <w:rFonts w:ascii="Book Antiqua" w:hAnsi="Book Antiqua" w:cs="Times New Roman"/>
          <w:sz w:val="24"/>
          <w:szCs w:val="24"/>
          <w:lang w:val="en-US"/>
        </w:rPr>
        <w:t xml:space="preserve">-interferon (peg-INF) </w:t>
      </w:r>
      <w:r w:rsidR="00BE5487" w:rsidRPr="00C73B8F">
        <w:rPr>
          <w:rFonts w:ascii="Book Antiqua" w:hAnsi="Book Antiqua" w:cs="Times New Roman"/>
          <w:sz w:val="24"/>
          <w:szCs w:val="24"/>
          <w:lang w:val="en-US"/>
        </w:rPr>
        <w:t>α</w:t>
      </w:r>
      <w:r w:rsidR="00DA16BA" w:rsidRPr="00C73B8F">
        <w:rPr>
          <w:rFonts w:ascii="Book Antiqua" w:hAnsi="Book Antiqua" w:cs="Times New Roman"/>
          <w:sz w:val="24"/>
          <w:szCs w:val="24"/>
          <w:lang w:val="en-US"/>
        </w:rPr>
        <w:t>2a</w:t>
      </w:r>
      <w:r w:rsidR="004A307F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+</w:t>
      </w:r>
      <w:r w:rsidR="004A307F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ribavirin (PR) was the firs</w:t>
      </w:r>
      <w:r w:rsidR="00446FC6" w:rsidRPr="00C73B8F">
        <w:rPr>
          <w:rFonts w:ascii="Book Antiqua" w:hAnsi="Book Antiqua" w:cs="Times New Roman"/>
          <w:sz w:val="24"/>
          <w:szCs w:val="24"/>
          <w:lang w:val="en-US"/>
        </w:rPr>
        <w:t xml:space="preserve">t </w:t>
      </w:r>
      <w:r w:rsidR="00431871" w:rsidRPr="00C73B8F">
        <w:rPr>
          <w:rFonts w:ascii="Book Antiqua" w:hAnsi="Book Antiqua" w:cs="Times New Roman"/>
          <w:sz w:val="24"/>
          <w:szCs w:val="24"/>
          <w:lang w:val="en-US"/>
        </w:rPr>
        <w:t xml:space="preserve">demonstrably </w:t>
      </w:r>
      <w:r w:rsidR="00DC6CEF">
        <w:rPr>
          <w:rFonts w:ascii="Book Antiqua" w:hAnsi="Book Antiqua" w:cs="Times New Roman"/>
          <w:sz w:val="24"/>
          <w:szCs w:val="24"/>
          <w:lang w:val="en-US"/>
        </w:rPr>
        <w:t xml:space="preserve">effective </w:t>
      </w:r>
      <w:proofErr w:type="gramStart"/>
      <w:r w:rsidR="00DC6CEF">
        <w:rPr>
          <w:rFonts w:ascii="Book Antiqua" w:hAnsi="Book Antiqua" w:cs="Times New Roman"/>
          <w:sz w:val="24"/>
          <w:szCs w:val="24"/>
          <w:lang w:val="en-US"/>
        </w:rPr>
        <w:t>treatment</w:t>
      </w:r>
      <w:r w:rsidR="00303EF6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03EF6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2,3</w:t>
      </w:r>
      <w:r w:rsidR="00303EF6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. The current combination of PR with protease inhibitor</w:t>
      </w:r>
      <w:r w:rsidR="00F92BF7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(PI</w:t>
      </w:r>
      <w:r w:rsidR="00F92BF7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) </w:t>
      </w:r>
      <w:r w:rsidR="00F92BF7" w:rsidRPr="00C73B8F">
        <w:rPr>
          <w:rFonts w:ascii="Book Antiqua" w:hAnsi="Book Antiqua" w:cs="Times New Roman"/>
          <w:sz w:val="24"/>
          <w:szCs w:val="24"/>
          <w:lang w:val="en-US"/>
        </w:rPr>
        <w:t xml:space="preserve">such as </w:t>
      </w:r>
      <w:proofErr w:type="spellStart"/>
      <w:r w:rsidR="00B14560" w:rsidRPr="00C73B8F">
        <w:rPr>
          <w:rFonts w:ascii="Book Antiqua" w:hAnsi="Book Antiqua" w:cs="Times New Roman"/>
          <w:sz w:val="24"/>
          <w:szCs w:val="24"/>
          <w:lang w:val="en-US"/>
        </w:rPr>
        <w:t>telaprevir</w:t>
      </w:r>
      <w:proofErr w:type="spellEnd"/>
      <w:r w:rsidR="00B14560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(TPV) or </w:t>
      </w:r>
      <w:proofErr w:type="spellStart"/>
      <w:r w:rsidR="00B14560" w:rsidRPr="00C73B8F">
        <w:rPr>
          <w:rFonts w:ascii="Book Antiqua" w:hAnsi="Book Antiqua" w:cs="Times New Roman"/>
          <w:sz w:val="24"/>
          <w:szCs w:val="24"/>
          <w:lang w:val="en-US"/>
        </w:rPr>
        <w:t>boceprevir</w:t>
      </w:r>
      <w:proofErr w:type="spellEnd"/>
      <w:r w:rsidR="00B14560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(BOC) is clearly more benefici</w:t>
      </w:r>
      <w:r w:rsidR="00FB37F4" w:rsidRPr="00C73B8F">
        <w:rPr>
          <w:rFonts w:ascii="Book Antiqua" w:hAnsi="Book Antiqua" w:cs="Times New Roman"/>
          <w:sz w:val="24"/>
          <w:szCs w:val="24"/>
          <w:lang w:val="en-US"/>
        </w:rPr>
        <w:t xml:space="preserve">al </w:t>
      </w:r>
      <w:r w:rsidR="0069603C" w:rsidRPr="00C73B8F">
        <w:rPr>
          <w:rFonts w:ascii="Book Antiqua" w:hAnsi="Book Antiqua" w:cs="Times New Roman"/>
          <w:sz w:val="24"/>
          <w:szCs w:val="24"/>
          <w:lang w:val="en-US"/>
        </w:rPr>
        <w:t>for</w:t>
      </w:r>
      <w:r w:rsidR="004A307F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B37F4" w:rsidRPr="00C73B8F">
        <w:rPr>
          <w:rFonts w:ascii="Book Antiqua" w:hAnsi="Book Antiqua" w:cs="Times New Roman"/>
          <w:sz w:val="24"/>
          <w:szCs w:val="24"/>
          <w:lang w:val="en-US"/>
        </w:rPr>
        <w:t xml:space="preserve">HCV genotype 1 </w:t>
      </w:r>
      <w:proofErr w:type="gramStart"/>
      <w:r w:rsidR="00FB37F4" w:rsidRPr="00C73B8F">
        <w:rPr>
          <w:rFonts w:ascii="Book Antiqua" w:hAnsi="Book Antiqua" w:cs="Times New Roman"/>
          <w:sz w:val="24"/>
          <w:szCs w:val="24"/>
          <w:lang w:val="en-US"/>
        </w:rPr>
        <w:t>patients</w:t>
      </w:r>
      <w:r w:rsidR="00303EF6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03EF6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4-7</w:t>
      </w:r>
      <w:r w:rsidR="00303EF6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74025D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majority of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HCV genotype 1 patients </w:t>
      </w:r>
      <w:r w:rsidR="00232177" w:rsidRPr="00C73B8F">
        <w:rPr>
          <w:rFonts w:ascii="Book Antiqua" w:hAnsi="Book Antiqua" w:cs="Times New Roman"/>
          <w:sz w:val="24"/>
          <w:szCs w:val="24"/>
          <w:lang w:val="en-US"/>
        </w:rPr>
        <w:t xml:space="preserve">demonstrate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a sustained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virological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response (SVR) to TPV (69% to 75%) and B</w:t>
      </w:r>
      <w:r w:rsidR="00446FC6" w:rsidRPr="00C73B8F">
        <w:rPr>
          <w:rFonts w:ascii="Book Antiqua" w:hAnsi="Book Antiqua" w:cs="Times New Roman"/>
          <w:sz w:val="24"/>
          <w:szCs w:val="24"/>
          <w:lang w:val="en-US"/>
        </w:rPr>
        <w:t>OC triple therapy</w:t>
      </w:r>
      <w:r w:rsidR="00AE6BF0" w:rsidRPr="00C73B8F">
        <w:rPr>
          <w:rFonts w:ascii="Book Antiqua" w:hAnsi="Book Antiqua" w:cs="Times New Roman"/>
          <w:sz w:val="24"/>
          <w:szCs w:val="24"/>
          <w:lang w:val="en-US"/>
        </w:rPr>
        <w:t xml:space="preserve"> (68% to 75%) </w:t>
      </w:r>
      <w:r w:rsidR="00A57270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A57270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4-7</w:t>
      </w:r>
      <w:r w:rsidR="00A57270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CC06E6" w:rsidRPr="00C73B8F">
        <w:rPr>
          <w:rFonts w:ascii="Book Antiqua" w:hAnsi="Book Antiqua" w:cs="Times New Roman"/>
          <w:sz w:val="24"/>
          <w:szCs w:val="24"/>
          <w:lang w:val="en-US"/>
        </w:rPr>
        <w:t>However, only 65% of genotype</w:t>
      </w:r>
      <w:r w:rsidR="00F92BF7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C06E6" w:rsidRPr="00C73B8F">
        <w:rPr>
          <w:rFonts w:ascii="Book Antiqua" w:hAnsi="Book Antiqua" w:cs="Times New Roman"/>
          <w:sz w:val="24"/>
          <w:szCs w:val="24"/>
          <w:lang w:val="en-US"/>
        </w:rPr>
        <w:t xml:space="preserve">1 HCV patients who were previously </w:t>
      </w:r>
      <w:r w:rsidR="00F92BF7" w:rsidRPr="00C73B8F">
        <w:rPr>
          <w:rFonts w:ascii="Book Antiqua" w:hAnsi="Book Antiqua" w:cs="Times New Roman"/>
          <w:sz w:val="24"/>
          <w:szCs w:val="24"/>
          <w:lang w:val="en-US"/>
        </w:rPr>
        <w:t>unresponsive</w:t>
      </w:r>
      <w:r w:rsidR="00CC06E6" w:rsidRPr="00C73B8F">
        <w:rPr>
          <w:rFonts w:ascii="Book Antiqua" w:hAnsi="Book Antiqua" w:cs="Times New Roman"/>
          <w:sz w:val="24"/>
          <w:szCs w:val="24"/>
          <w:lang w:val="en-US"/>
        </w:rPr>
        <w:t xml:space="preserve"> to PR therapy produced 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="00CC06E6" w:rsidRPr="00C73B8F">
        <w:rPr>
          <w:rFonts w:ascii="Book Antiqua" w:hAnsi="Book Antiqua" w:cs="Times New Roman"/>
          <w:sz w:val="24"/>
          <w:szCs w:val="24"/>
          <w:lang w:val="en-US"/>
        </w:rPr>
        <w:t xml:space="preserve"> SVR to TPV triple therapy</w:t>
      </w:r>
      <w:r w:rsidR="00AD656F" w:rsidRPr="00C73B8F">
        <w:rPr>
          <w:rFonts w:ascii="Book Antiqua" w:hAnsi="Book Antiqua" w:cs="Times New Roman"/>
          <w:sz w:val="24"/>
          <w:szCs w:val="24"/>
          <w:lang w:val="en-US"/>
        </w:rPr>
        <w:t xml:space="preserve">; </w:t>
      </w:r>
      <w:r w:rsidR="00CC06E6" w:rsidRPr="00C73B8F">
        <w:rPr>
          <w:rFonts w:ascii="Book Antiqua" w:hAnsi="Book Antiqua" w:cs="Times New Roman"/>
          <w:sz w:val="24"/>
          <w:szCs w:val="24"/>
          <w:lang w:val="en-US"/>
        </w:rPr>
        <w:t xml:space="preserve">only 66% </w:t>
      </w:r>
      <w:r w:rsidR="006A2755" w:rsidRPr="00C73B8F">
        <w:rPr>
          <w:rFonts w:ascii="Book Antiqua" w:hAnsi="Book Antiqua" w:cs="Times New Roman"/>
          <w:sz w:val="24"/>
          <w:szCs w:val="24"/>
          <w:lang w:val="en-US"/>
        </w:rPr>
        <w:t>of these unresponsive patients produce 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="006A2755" w:rsidRPr="00C73B8F">
        <w:rPr>
          <w:rFonts w:ascii="Book Antiqua" w:hAnsi="Book Antiqua" w:cs="Times New Roman"/>
          <w:sz w:val="24"/>
          <w:szCs w:val="24"/>
          <w:lang w:val="en-US"/>
        </w:rPr>
        <w:t xml:space="preserve"> SVR</w:t>
      </w:r>
      <w:r w:rsidR="00CC06E6" w:rsidRPr="00C73B8F">
        <w:rPr>
          <w:rFonts w:ascii="Book Antiqua" w:hAnsi="Book Antiqua" w:cs="Times New Roman"/>
          <w:sz w:val="24"/>
          <w:szCs w:val="24"/>
          <w:lang w:val="en-US"/>
        </w:rPr>
        <w:t xml:space="preserve"> to BOC triple therapy</w:t>
      </w:r>
      <w:r w:rsidR="00303EF6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303EF6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8-10</w:t>
      </w:r>
      <w:r w:rsidR="00303EF6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. Some predictive factors</w:t>
      </w:r>
      <w:r w:rsidR="0035459C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such as high baseline viral load, HCV genotype 1a, IL</w:t>
      </w:r>
      <w:r w:rsidR="00E25C87" w:rsidRPr="00C73B8F">
        <w:rPr>
          <w:rFonts w:ascii="Book Antiqua" w:hAnsi="Book Antiqua" w:cs="Times New Roman"/>
          <w:sz w:val="24"/>
          <w:szCs w:val="24"/>
          <w:lang w:val="en-US"/>
        </w:rPr>
        <w:t>-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28B T/T polymorphism and severe liver fibrosis</w:t>
      </w:r>
      <w:r w:rsidR="008C4FE4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have been associated with a poor response to</w:t>
      </w:r>
      <w:r w:rsidR="00446FC6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A47D9" w:rsidRPr="00C73B8F">
        <w:rPr>
          <w:rFonts w:ascii="Book Antiqua" w:hAnsi="Book Antiqua" w:cs="Times New Roman"/>
          <w:sz w:val="24"/>
          <w:szCs w:val="24"/>
          <w:lang w:val="en-US"/>
        </w:rPr>
        <w:t xml:space="preserve">antiviral treatment with </w:t>
      </w:r>
      <w:proofErr w:type="gramStart"/>
      <w:r w:rsidR="006A47D9" w:rsidRPr="00C73B8F">
        <w:rPr>
          <w:rFonts w:ascii="Book Antiqua" w:hAnsi="Book Antiqua" w:cs="Times New Roman"/>
          <w:sz w:val="24"/>
          <w:szCs w:val="24"/>
          <w:lang w:val="en-US"/>
        </w:rPr>
        <w:t>PI</w:t>
      </w:r>
      <w:r w:rsidR="00303EF6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DC6CE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6,</w:t>
      </w:r>
      <w:r w:rsidR="00303EF6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10</w:t>
      </w:r>
      <w:r w:rsidR="00303EF6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Moreover, the data on the benefit of retreating HCV genotype 1 </w:t>
      </w:r>
      <w:r w:rsidR="00A75601" w:rsidRPr="00C73B8F">
        <w:rPr>
          <w:rFonts w:ascii="Book Antiqua" w:hAnsi="Book Antiqua" w:cs="Times New Roman"/>
          <w:sz w:val="24"/>
          <w:szCs w:val="24"/>
          <w:lang w:val="en-US"/>
        </w:rPr>
        <w:t xml:space="preserve">cirrhotic patients who did not respond to a standard PR regimen with triple therapy are </w:t>
      </w:r>
      <w:proofErr w:type="gramStart"/>
      <w:r w:rsidR="00A75601" w:rsidRPr="00C73B8F">
        <w:rPr>
          <w:rFonts w:ascii="Book Antiqua" w:hAnsi="Book Antiqua" w:cs="Times New Roman"/>
          <w:sz w:val="24"/>
          <w:szCs w:val="24"/>
          <w:lang w:val="en-US"/>
        </w:rPr>
        <w:t>inconclusive</w:t>
      </w:r>
      <w:r w:rsidR="00303EF6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03EF6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8-10</w:t>
      </w:r>
      <w:r w:rsidR="00303EF6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A study on small subgroups of null-responder patients with severe liver fibrosis given TPV triple therapy </w:t>
      </w:r>
      <w:r w:rsidR="003E4546" w:rsidRPr="00C73B8F">
        <w:rPr>
          <w:rFonts w:ascii="Book Antiqua" w:hAnsi="Book Antiqua" w:cs="Times New Roman"/>
          <w:sz w:val="24"/>
          <w:szCs w:val="24"/>
          <w:lang w:val="en-US"/>
        </w:rPr>
        <w:t xml:space="preserve">determined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that 39% of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F3 patients </w:t>
      </w:r>
      <w:r w:rsidR="00D72637" w:rsidRPr="00C73B8F">
        <w:rPr>
          <w:rFonts w:ascii="Book Antiqua" w:hAnsi="Book Antiqua" w:cs="Times New Roman"/>
          <w:sz w:val="24"/>
          <w:szCs w:val="24"/>
          <w:lang w:val="en-US"/>
        </w:rPr>
        <w:t xml:space="preserve">and only 14% of </w:t>
      </w:r>
      <w:r w:rsidR="007839CC" w:rsidRPr="00C73B8F">
        <w:rPr>
          <w:rFonts w:ascii="Book Antiqua" w:hAnsi="Book Antiqua" w:cs="Times New Roman"/>
          <w:sz w:val="24"/>
          <w:szCs w:val="24"/>
          <w:lang w:val="en-US"/>
        </w:rPr>
        <w:t xml:space="preserve">patients </w:t>
      </w:r>
      <w:r w:rsidR="00D72637" w:rsidRPr="00C73B8F">
        <w:rPr>
          <w:rFonts w:ascii="Book Antiqua" w:hAnsi="Book Antiqua" w:cs="Times New Roman"/>
          <w:sz w:val="24"/>
          <w:szCs w:val="24"/>
          <w:lang w:val="en-US"/>
        </w:rPr>
        <w:t xml:space="preserve">with </w:t>
      </w:r>
      <w:proofErr w:type="spellStart"/>
      <w:r w:rsidR="00D72637"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="00D72637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72637" w:rsidRPr="00C73B8F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F4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produced </w:t>
      </w:r>
      <w:r w:rsidR="00D025C0" w:rsidRPr="00C73B8F">
        <w:rPr>
          <w:rFonts w:ascii="Book Antiqua" w:hAnsi="Book Antiqua" w:cs="Times New Roman"/>
          <w:sz w:val="24"/>
          <w:szCs w:val="24"/>
          <w:lang w:val="en-US"/>
        </w:rPr>
        <w:t>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="00D025C0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="00D025C0" w:rsidRPr="00C73B8F">
        <w:rPr>
          <w:rFonts w:ascii="Book Antiqua" w:hAnsi="Book Antiqua" w:cs="Times New Roman"/>
          <w:sz w:val="24"/>
          <w:szCs w:val="24"/>
          <w:lang w:val="en-US"/>
        </w:rPr>
        <w:t>SVR</w:t>
      </w:r>
      <w:r w:rsidR="00303EF6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03EF6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8</w:t>
      </w:r>
      <w:r w:rsidR="00303EF6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6C19C1" w:rsidRPr="00C73B8F">
        <w:rPr>
          <w:rFonts w:ascii="Book Antiqua" w:hAnsi="Book Antiqua" w:cs="Times New Roman"/>
          <w:sz w:val="24"/>
          <w:szCs w:val="24"/>
          <w:lang w:val="en-US"/>
        </w:rPr>
        <w:t xml:space="preserve">Therefore,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guidelines and new treatment strategies are required that </w:t>
      </w:r>
      <w:r w:rsidR="00A04414" w:rsidRPr="00C73B8F">
        <w:rPr>
          <w:rFonts w:ascii="Book Antiqua" w:hAnsi="Book Antiqua" w:cs="Times New Roman"/>
          <w:sz w:val="24"/>
          <w:szCs w:val="24"/>
          <w:lang w:val="en-US"/>
        </w:rPr>
        <w:t>consider the</w:t>
      </w:r>
      <w:r w:rsidR="006C19C1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cost and adverse effects of TPV and BOC combined with PR for these difficult</w:t>
      </w:r>
      <w:r w:rsidR="007B0DA7" w:rsidRPr="00C73B8F">
        <w:rPr>
          <w:rFonts w:ascii="Book Antiqua" w:hAnsi="Book Antiqua" w:cs="Times New Roman"/>
          <w:sz w:val="24"/>
          <w:szCs w:val="24"/>
          <w:lang w:val="en-US"/>
        </w:rPr>
        <w:t>-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to-treat patients. </w:t>
      </w:r>
      <w:r w:rsidR="00E71483" w:rsidRPr="00C73B8F">
        <w:rPr>
          <w:rFonts w:ascii="Book Antiqua" w:hAnsi="Book Antiqua" w:cs="Times New Roman"/>
          <w:sz w:val="24"/>
          <w:szCs w:val="24"/>
          <w:lang w:val="en-US"/>
        </w:rPr>
        <w:t>In these pivotal studies performed exclusively in academic centers, m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any patients </w:t>
      </w:r>
      <w:r w:rsidR="00E71483" w:rsidRPr="00C73B8F">
        <w:rPr>
          <w:rFonts w:ascii="Book Antiqua" w:hAnsi="Book Antiqua" w:cs="Times New Roman"/>
          <w:sz w:val="24"/>
          <w:szCs w:val="24"/>
          <w:lang w:val="en-US"/>
        </w:rPr>
        <w:t>experienced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adverse effects despite restricting inclusion criteria and strict obse</w:t>
      </w:r>
      <w:r w:rsidR="00FB37F4" w:rsidRPr="00C73B8F">
        <w:rPr>
          <w:rFonts w:ascii="Book Antiqua" w:hAnsi="Book Antiqua" w:cs="Times New Roman"/>
          <w:sz w:val="24"/>
          <w:szCs w:val="24"/>
          <w:lang w:val="en-US"/>
        </w:rPr>
        <w:t xml:space="preserve">rvance of treatment </w:t>
      </w:r>
      <w:proofErr w:type="gramStart"/>
      <w:r w:rsidR="00DC6CEF">
        <w:rPr>
          <w:rFonts w:ascii="Book Antiqua" w:hAnsi="Book Antiqua" w:cs="Times New Roman"/>
          <w:sz w:val="24"/>
          <w:szCs w:val="24"/>
          <w:lang w:val="en-US"/>
        </w:rPr>
        <w:t>rules</w:t>
      </w:r>
      <w:r w:rsidR="00303EF6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03EF6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5-10</w:t>
      </w:r>
      <w:r w:rsidR="00303EF6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In addition, because very few non-responder patients with severe liver fibrosis were included in these studies, the occurrence of severe adverse effects (SAEs) in this specific population remains unclear. </w:t>
      </w:r>
      <w:r w:rsidR="00E2534A" w:rsidRPr="00C73B8F">
        <w:rPr>
          <w:rFonts w:ascii="Book Antiqua" w:hAnsi="Book Antiqua" w:cs="Times New Roman"/>
          <w:sz w:val="24"/>
          <w:szCs w:val="24"/>
          <w:lang w:val="en-US"/>
        </w:rPr>
        <w:t>Therefore,</w:t>
      </w:r>
      <w:r w:rsidR="00D301C1" w:rsidRPr="00C73B8F">
        <w:rPr>
          <w:rFonts w:ascii="Book Antiqua" w:hAnsi="Book Antiqua" w:cs="Times New Roman"/>
          <w:sz w:val="24"/>
          <w:szCs w:val="24"/>
          <w:lang w:val="en-US"/>
        </w:rPr>
        <w:t xml:space="preserve"> we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need to evaluate </w:t>
      </w:r>
      <w:r w:rsidR="009074D1" w:rsidRPr="00C73B8F">
        <w:rPr>
          <w:rFonts w:ascii="Book Antiqua" w:hAnsi="Book Antiqua" w:cs="Times New Roman"/>
          <w:sz w:val="24"/>
          <w:szCs w:val="24"/>
          <w:lang w:val="en-US"/>
        </w:rPr>
        <w:t>(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F716FC" w:rsidRPr="00C73B8F">
        <w:rPr>
          <w:rFonts w:ascii="Book Antiqua" w:hAnsi="Book Antiqua" w:cs="Times New Roman"/>
          <w:sz w:val="24"/>
          <w:szCs w:val="24"/>
          <w:lang w:val="en-US"/>
        </w:rPr>
        <w:t>actual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practice </w:t>
      </w:r>
      <w:r w:rsidR="009074D1" w:rsidRPr="00C73B8F">
        <w:rPr>
          <w:rFonts w:ascii="Book Antiqua" w:hAnsi="Book Antiqua" w:cs="Times New Roman"/>
          <w:sz w:val="24"/>
          <w:szCs w:val="24"/>
          <w:lang w:val="en-US"/>
        </w:rPr>
        <w:t xml:space="preserve">settings)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the efficacy and safety profile of </w:t>
      </w:r>
      <w:r w:rsidR="00557295" w:rsidRPr="00C73B8F">
        <w:rPr>
          <w:rFonts w:ascii="Book Antiqua" w:hAnsi="Book Antiqua" w:cs="Times New Roman"/>
          <w:sz w:val="24"/>
          <w:szCs w:val="24"/>
          <w:lang w:val="en-US"/>
        </w:rPr>
        <w:t xml:space="preserve">PI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triple therapy in </w:t>
      </w:r>
      <w:r w:rsidR="00D54C7D" w:rsidRPr="00C73B8F">
        <w:rPr>
          <w:rFonts w:ascii="Book Antiqua" w:hAnsi="Book Antiqua" w:cs="Times New Roman"/>
          <w:sz w:val="24"/>
          <w:szCs w:val="24"/>
          <w:lang w:val="en-US"/>
        </w:rPr>
        <w:t>pretreated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HCV genotype 1 patients with severe liver fibrosis. </w:t>
      </w:r>
    </w:p>
    <w:p w14:paraId="4A88DADE" w14:textId="17110410" w:rsidR="0032177E" w:rsidRPr="00C73B8F" w:rsidRDefault="0032177E" w:rsidP="00DC6CEF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This study assesses the SVR and safety profiles of </w:t>
      </w:r>
      <w:r w:rsidR="009C2FB0" w:rsidRPr="00C73B8F">
        <w:rPr>
          <w:rFonts w:ascii="Book Antiqua" w:hAnsi="Book Antiqua" w:cs="Times New Roman"/>
          <w:sz w:val="24"/>
          <w:szCs w:val="24"/>
          <w:lang w:val="en-US"/>
        </w:rPr>
        <w:t xml:space="preserve">triple therapy with TPV or BOC combined </w:t>
      </w:r>
      <w:r w:rsidR="00437FAA" w:rsidRPr="00C73B8F">
        <w:rPr>
          <w:rFonts w:ascii="Book Antiqua" w:hAnsi="Book Antiqua" w:cs="Times New Roman"/>
          <w:sz w:val="24"/>
          <w:szCs w:val="24"/>
          <w:lang w:val="en-US"/>
        </w:rPr>
        <w:t xml:space="preserve">with </w:t>
      </w:r>
      <w:r w:rsidR="009C2FB0" w:rsidRPr="00C73B8F">
        <w:rPr>
          <w:rFonts w:ascii="Book Antiqua" w:hAnsi="Book Antiqua" w:cs="Times New Roman"/>
          <w:sz w:val="24"/>
          <w:szCs w:val="24"/>
          <w:lang w:val="en-US"/>
        </w:rPr>
        <w:t xml:space="preserve">PR in </w:t>
      </w:r>
      <w:r w:rsidR="00ED41F9" w:rsidRPr="00C73B8F">
        <w:rPr>
          <w:rFonts w:ascii="Book Antiqua" w:hAnsi="Book Antiqua" w:cs="Times New Roman"/>
          <w:sz w:val="24"/>
          <w:szCs w:val="24"/>
          <w:lang w:val="en-US"/>
        </w:rPr>
        <w:t xml:space="preserve">HCV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genotype 1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patients</w:t>
      </w:r>
      <w:proofErr w:type="gram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with severe liver fibrosis (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F3 or F4) who </w:t>
      </w:r>
      <w:r w:rsidR="00437FAA" w:rsidRPr="00C73B8F">
        <w:rPr>
          <w:rFonts w:ascii="Book Antiqua" w:hAnsi="Book Antiqua" w:cs="Times New Roman"/>
          <w:sz w:val="24"/>
          <w:szCs w:val="24"/>
          <w:lang w:val="en-US"/>
        </w:rPr>
        <w:t xml:space="preserve">had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previously failed to </w:t>
      </w:r>
      <w:r w:rsidR="003F66F8" w:rsidRPr="00C73B8F">
        <w:rPr>
          <w:rFonts w:ascii="Book Antiqua" w:hAnsi="Book Antiqua" w:cs="Times New Roman"/>
          <w:sz w:val="24"/>
          <w:szCs w:val="24"/>
          <w:lang w:val="en-US"/>
        </w:rPr>
        <w:t>adequately</w:t>
      </w:r>
      <w:r w:rsidR="00437FAA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respond to </w:t>
      </w:r>
      <w:r w:rsidR="00D24BE4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standard PR treatment. This</w:t>
      </w:r>
      <w:r w:rsidR="00662397" w:rsidRPr="00C73B8F">
        <w:rPr>
          <w:rFonts w:ascii="Book Antiqua" w:hAnsi="Book Antiqua" w:cs="Times New Roman"/>
          <w:sz w:val="24"/>
          <w:szCs w:val="24"/>
          <w:lang w:val="en-US"/>
        </w:rPr>
        <w:t xml:space="preserve"> observational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non-randomized prospective </w:t>
      </w:r>
      <w:r w:rsidR="00662397" w:rsidRPr="00C73B8F">
        <w:rPr>
          <w:rFonts w:ascii="Book Antiqua" w:hAnsi="Book Antiqua" w:cs="Times New Roman"/>
          <w:sz w:val="24"/>
          <w:szCs w:val="24"/>
          <w:lang w:val="en-US"/>
        </w:rPr>
        <w:t>cohort</w:t>
      </w:r>
      <w:r w:rsidR="00B77A2A" w:rsidRPr="00C73B8F">
        <w:rPr>
          <w:rFonts w:ascii="Book Antiqua" w:hAnsi="Book Antiqua" w:cs="Times New Roman"/>
          <w:sz w:val="24"/>
          <w:szCs w:val="24"/>
          <w:lang w:val="en-US"/>
        </w:rPr>
        <w:t xml:space="preserve"> study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was </w:t>
      </w:r>
      <w:r w:rsidR="00B510CA" w:rsidRPr="00C73B8F">
        <w:rPr>
          <w:rFonts w:ascii="Book Antiqua" w:hAnsi="Book Antiqua" w:cs="Times New Roman"/>
          <w:sz w:val="24"/>
          <w:szCs w:val="24"/>
          <w:lang w:val="en-US"/>
        </w:rPr>
        <w:t xml:space="preserve">performed in </w:t>
      </w:r>
      <w:r w:rsidR="00F716FC" w:rsidRPr="00C73B8F">
        <w:rPr>
          <w:rFonts w:ascii="Book Antiqua" w:hAnsi="Book Antiqua" w:cs="Times New Roman"/>
          <w:sz w:val="24"/>
          <w:szCs w:val="24"/>
          <w:lang w:val="en-US"/>
        </w:rPr>
        <w:t>actual</w:t>
      </w:r>
      <w:r w:rsidR="00B510CA" w:rsidRPr="00C73B8F">
        <w:rPr>
          <w:rFonts w:ascii="Book Antiqua" w:hAnsi="Book Antiqua" w:cs="Times New Roman"/>
          <w:sz w:val="24"/>
          <w:szCs w:val="24"/>
          <w:lang w:val="en-US"/>
        </w:rPr>
        <w:t xml:space="preserve"> practice</w:t>
      </w:r>
      <w:r w:rsidR="007B624E" w:rsidRPr="00C73B8F">
        <w:rPr>
          <w:rFonts w:ascii="Book Antiqua" w:hAnsi="Book Antiqua" w:cs="Times New Roman"/>
          <w:sz w:val="24"/>
          <w:szCs w:val="24"/>
          <w:lang w:val="en-US"/>
        </w:rPr>
        <w:t xml:space="preserve"> settings</w:t>
      </w:r>
      <w:r w:rsidR="00B510CA" w:rsidRPr="00C73B8F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0AB91A8E" w14:textId="02D58FFD" w:rsidR="003E3311" w:rsidRPr="00DC6CEF" w:rsidRDefault="003E3311" w:rsidP="00C73B8F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0CD62FB2" w14:textId="77777777" w:rsidR="00DC6CEF" w:rsidRDefault="00DC6CEF" w:rsidP="00C73B8F">
      <w:pPr>
        <w:spacing w:after="0" w:line="360" w:lineRule="auto"/>
        <w:jc w:val="both"/>
        <w:rPr>
          <w:rFonts w:ascii="Book Antiqua" w:eastAsia="宋体" w:hAnsi="Book Antiqua"/>
          <w:b/>
          <w:sz w:val="24"/>
          <w:lang w:eastAsia="zh-CN"/>
        </w:rPr>
      </w:pPr>
      <w:r w:rsidRPr="005C3E57">
        <w:rPr>
          <w:rFonts w:ascii="Book Antiqua" w:hAnsi="Book Antiqua"/>
          <w:b/>
          <w:sz w:val="24"/>
        </w:rPr>
        <w:t>MATERIALS AND METHOD</w:t>
      </w:r>
      <w:r>
        <w:rPr>
          <w:rFonts w:ascii="Book Antiqua" w:eastAsia="宋体" w:hAnsi="Book Antiqua" w:hint="eastAsia"/>
          <w:b/>
          <w:sz w:val="24"/>
          <w:lang w:eastAsia="zh-CN"/>
        </w:rPr>
        <w:t>S</w:t>
      </w:r>
    </w:p>
    <w:p w14:paraId="7CF6FC0C" w14:textId="7C2531FC" w:rsidR="009C1040" w:rsidRPr="00DC6CEF" w:rsidRDefault="001745A4" w:rsidP="00C73B8F">
      <w:pPr>
        <w:spacing w:after="0" w:line="360" w:lineRule="auto"/>
        <w:jc w:val="both"/>
        <w:rPr>
          <w:rFonts w:ascii="Book Antiqua" w:eastAsia="宋体" w:hAnsi="Book Antiqua" w:cs="Times New Roman"/>
          <w:b/>
          <w:i/>
          <w:sz w:val="24"/>
          <w:szCs w:val="24"/>
          <w:lang w:val="en-US" w:eastAsia="zh-CN"/>
        </w:rPr>
      </w:pPr>
      <w:r w:rsidRPr="00DC6CEF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Study design and </w:t>
      </w:r>
      <w:r w:rsidR="00437FAA" w:rsidRPr="00DC6CEF">
        <w:rPr>
          <w:rFonts w:ascii="Book Antiqua" w:hAnsi="Book Antiqua" w:cs="Times New Roman"/>
          <w:b/>
          <w:i/>
          <w:sz w:val="24"/>
          <w:szCs w:val="24"/>
          <w:lang w:val="en-US"/>
        </w:rPr>
        <w:t>p</w:t>
      </w:r>
      <w:r w:rsidR="00DC6CEF" w:rsidRPr="00DC6CEF">
        <w:rPr>
          <w:rFonts w:ascii="Book Antiqua" w:hAnsi="Book Antiqua" w:cs="Times New Roman"/>
          <w:b/>
          <w:i/>
          <w:sz w:val="24"/>
          <w:szCs w:val="24"/>
          <w:lang w:val="en-US"/>
        </w:rPr>
        <w:t>atients</w:t>
      </w:r>
    </w:p>
    <w:p w14:paraId="2A30592A" w14:textId="7F9F32C6" w:rsidR="001527FF" w:rsidRPr="00C73B8F" w:rsidRDefault="009C1040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This </w:t>
      </w:r>
      <w:r w:rsidR="00873499" w:rsidRPr="00C73B8F">
        <w:rPr>
          <w:rFonts w:ascii="Book Antiqua" w:hAnsi="Book Antiqua" w:cs="Times New Roman"/>
          <w:sz w:val="24"/>
          <w:szCs w:val="24"/>
          <w:lang w:val="en-US"/>
        </w:rPr>
        <w:t xml:space="preserve">study </w:t>
      </w:r>
      <w:r w:rsidR="00EF21C9" w:rsidRPr="00C73B8F">
        <w:rPr>
          <w:rFonts w:ascii="Book Antiqua" w:hAnsi="Book Antiqua" w:cs="Times New Roman"/>
          <w:sz w:val="24"/>
          <w:szCs w:val="24"/>
          <w:lang w:val="en-US"/>
        </w:rPr>
        <w:t xml:space="preserve">used </w:t>
      </w:r>
      <w:r w:rsidR="00873499" w:rsidRPr="00C73B8F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74270D" w:rsidRPr="00C73B8F">
        <w:rPr>
          <w:rFonts w:ascii="Book Antiqua" w:hAnsi="Book Antiqua" w:cs="Times New Roman"/>
          <w:sz w:val="24"/>
          <w:szCs w:val="24"/>
          <w:lang w:val="en-US"/>
        </w:rPr>
        <w:t>non</w:t>
      </w:r>
      <w:r w:rsidR="00437FAA" w:rsidRPr="00C73B8F">
        <w:rPr>
          <w:rFonts w:ascii="Book Antiqua" w:hAnsi="Book Antiqua" w:cs="Times New Roman"/>
          <w:sz w:val="24"/>
          <w:szCs w:val="24"/>
          <w:lang w:val="en-US"/>
        </w:rPr>
        <w:t>-</w:t>
      </w:r>
      <w:r w:rsidR="0074270D" w:rsidRPr="00C73B8F">
        <w:rPr>
          <w:rFonts w:ascii="Book Antiqua" w:hAnsi="Book Antiqua" w:cs="Times New Roman"/>
          <w:sz w:val="24"/>
          <w:szCs w:val="24"/>
          <w:lang w:val="en-US"/>
        </w:rPr>
        <w:t xml:space="preserve">randomized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multicenter prospective </w:t>
      </w:r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 xml:space="preserve">observational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cohort from a Midi-Pyrénées network (HEPATOMIP) of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hepatogastroenterology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practitioners working in </w:t>
      </w:r>
      <w:r w:rsidR="00EF21C9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Toulouse University hospital and </w:t>
      </w:r>
      <w:r w:rsidR="00462484" w:rsidRPr="00C73B8F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9 general hospitals or private clinics</w:t>
      </w:r>
      <w:r w:rsidR="00873499"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462484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cohort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included 125 consecutive</w:t>
      </w:r>
      <w:r w:rsidR="006F3AF8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3405A" w:rsidRPr="00C73B8F">
        <w:rPr>
          <w:rFonts w:ascii="Book Antiqua" w:hAnsi="Book Antiqua" w:cs="Times New Roman"/>
          <w:sz w:val="24"/>
          <w:szCs w:val="24"/>
          <w:lang w:val="en-US"/>
        </w:rPr>
        <w:t xml:space="preserve">HCV </w:t>
      </w:r>
      <w:r w:rsidR="00EE3315" w:rsidRPr="00C73B8F">
        <w:rPr>
          <w:rFonts w:ascii="Book Antiqua" w:hAnsi="Book Antiqua" w:cs="Times New Roman"/>
          <w:sz w:val="24"/>
          <w:szCs w:val="24"/>
          <w:lang w:val="en-US"/>
        </w:rPr>
        <w:t xml:space="preserve">genotype 1 </w:t>
      </w:r>
      <w:r w:rsidR="006F3AF8" w:rsidRPr="00C73B8F">
        <w:rPr>
          <w:rFonts w:ascii="Book Antiqua" w:hAnsi="Book Antiqua" w:cs="Times New Roman"/>
          <w:sz w:val="24"/>
          <w:szCs w:val="24"/>
          <w:lang w:val="en-US"/>
        </w:rPr>
        <w:t>null-</w:t>
      </w:r>
      <w:r w:rsidR="00873499" w:rsidRPr="00C73B8F">
        <w:rPr>
          <w:rFonts w:ascii="Book Antiqua" w:hAnsi="Book Antiqua" w:cs="Times New Roman"/>
          <w:sz w:val="24"/>
          <w:szCs w:val="24"/>
          <w:lang w:val="en-US"/>
        </w:rPr>
        <w:t xml:space="preserve">responder or </w:t>
      </w:r>
      <w:proofErr w:type="spellStart"/>
      <w:r w:rsidR="00873499" w:rsidRPr="00C73B8F">
        <w:rPr>
          <w:rFonts w:ascii="Book Antiqua" w:hAnsi="Book Antiqua" w:cs="Times New Roman"/>
          <w:sz w:val="24"/>
          <w:szCs w:val="24"/>
          <w:lang w:val="en-US"/>
        </w:rPr>
        <w:t>relapser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patients with severe liver fibrosis </w:t>
      </w:r>
      <w:r w:rsidR="0043405A" w:rsidRPr="00C73B8F">
        <w:rPr>
          <w:rFonts w:ascii="Book Antiqua" w:hAnsi="Book Antiqua" w:cs="Times New Roman"/>
          <w:sz w:val="24"/>
          <w:szCs w:val="24"/>
          <w:lang w:val="en-US"/>
        </w:rPr>
        <w:t>who were</w:t>
      </w:r>
      <w:r w:rsidR="00D77D1F" w:rsidRPr="00C73B8F">
        <w:rPr>
          <w:rFonts w:ascii="Book Antiqua" w:hAnsi="Book Antiqua" w:cs="Times New Roman"/>
          <w:sz w:val="24"/>
          <w:szCs w:val="24"/>
          <w:lang w:val="en-US"/>
        </w:rPr>
        <w:t xml:space="preserve"> seen</w:t>
      </w:r>
      <w:r w:rsidR="0043405A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between February 2011 and </w:t>
      </w:r>
      <w:r w:rsidR="00A57270" w:rsidRPr="00C73B8F">
        <w:rPr>
          <w:rFonts w:ascii="Book Antiqua" w:hAnsi="Book Antiqua" w:cs="Times New Roman"/>
          <w:sz w:val="24"/>
          <w:szCs w:val="24"/>
          <w:lang w:val="en-US"/>
        </w:rPr>
        <w:t>January 2012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. Only</w:t>
      </w:r>
      <w:r w:rsidR="007B624E" w:rsidRPr="00C73B8F">
        <w:rPr>
          <w:rFonts w:ascii="Book Antiqua" w:hAnsi="Book Antiqua" w:cs="Times New Roman"/>
          <w:sz w:val="24"/>
          <w:szCs w:val="24"/>
          <w:lang w:val="en-US"/>
        </w:rPr>
        <w:t xml:space="preserve"> those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patients with severe liver fibrosis having a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fibrosis score of F3 or F4 were included.</w:t>
      </w:r>
    </w:p>
    <w:p w14:paraId="35A861ED" w14:textId="283967A0" w:rsidR="001527FF" w:rsidRPr="00C73B8F" w:rsidRDefault="009C1040" w:rsidP="00DC6CEF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All </w:t>
      </w:r>
      <w:r w:rsidR="00302F10" w:rsidRPr="00C73B8F">
        <w:rPr>
          <w:rFonts w:ascii="Book Antiqua" w:hAnsi="Book Antiqua" w:cs="Times New Roman"/>
          <w:sz w:val="24"/>
          <w:szCs w:val="24"/>
          <w:lang w:val="en-US"/>
        </w:rPr>
        <w:t xml:space="preserve">of the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patients were infected with HCV genotype 1 and </w:t>
      </w:r>
      <w:r w:rsidR="001527FF" w:rsidRPr="00C73B8F">
        <w:rPr>
          <w:rFonts w:ascii="Book Antiqua" w:hAnsi="Book Antiqua" w:cs="Times New Roman"/>
          <w:sz w:val="24"/>
          <w:szCs w:val="24"/>
          <w:lang w:val="en-US"/>
        </w:rPr>
        <w:t>did</w:t>
      </w:r>
      <w:r w:rsidR="00BF2376" w:rsidRPr="00C73B8F">
        <w:rPr>
          <w:rFonts w:ascii="Book Antiqua" w:hAnsi="Book Antiqua" w:cs="Times New Roman"/>
          <w:sz w:val="24"/>
          <w:szCs w:val="24"/>
          <w:lang w:val="en-US"/>
        </w:rPr>
        <w:t xml:space="preserve"> no</w:t>
      </w:r>
      <w:r w:rsidR="001527FF" w:rsidRPr="00C73B8F">
        <w:rPr>
          <w:rFonts w:ascii="Book Antiqua" w:hAnsi="Book Antiqua" w:cs="Times New Roman"/>
          <w:sz w:val="24"/>
          <w:szCs w:val="24"/>
          <w:lang w:val="en-US"/>
        </w:rPr>
        <w:t xml:space="preserve">t </w:t>
      </w:r>
      <w:r w:rsidR="00B47A9A" w:rsidRPr="00C73B8F">
        <w:rPr>
          <w:rFonts w:ascii="Book Antiqua" w:hAnsi="Book Antiqua" w:cs="Times New Roman"/>
          <w:sz w:val="24"/>
          <w:szCs w:val="24"/>
          <w:lang w:val="en-US"/>
        </w:rPr>
        <w:t>achieve</w:t>
      </w:r>
      <w:r w:rsidR="001527FF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025C0" w:rsidRPr="00C73B8F">
        <w:rPr>
          <w:rFonts w:ascii="Book Antiqua" w:hAnsi="Book Antiqua" w:cs="Times New Roman"/>
          <w:sz w:val="24"/>
          <w:szCs w:val="24"/>
          <w:lang w:val="en-US"/>
        </w:rPr>
        <w:t>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="00D025C0" w:rsidRPr="00C73B8F">
        <w:rPr>
          <w:rFonts w:ascii="Book Antiqua" w:hAnsi="Book Antiqua" w:cs="Times New Roman"/>
          <w:sz w:val="24"/>
          <w:szCs w:val="24"/>
          <w:lang w:val="en-US"/>
        </w:rPr>
        <w:t xml:space="preserve"> SVR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172FF" w:rsidRPr="00C73B8F">
        <w:rPr>
          <w:rFonts w:ascii="Book Antiqua" w:hAnsi="Book Antiqua" w:cs="Times New Roman"/>
          <w:sz w:val="24"/>
          <w:szCs w:val="24"/>
          <w:lang w:val="en-US"/>
        </w:rPr>
        <w:t xml:space="preserve">with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previous standard treatment</w:t>
      </w:r>
      <w:r w:rsidR="00EA3021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with </w:t>
      </w:r>
      <w:r w:rsidR="00163790" w:rsidRPr="00C73B8F">
        <w:rPr>
          <w:rFonts w:ascii="Book Antiqua" w:hAnsi="Book Antiqua" w:cs="Times New Roman"/>
          <w:sz w:val="24"/>
          <w:szCs w:val="24"/>
          <w:lang w:val="en-US"/>
        </w:rPr>
        <w:t>p</w:t>
      </w:r>
      <w:r w:rsidR="00316275" w:rsidRPr="00C73B8F">
        <w:rPr>
          <w:rFonts w:ascii="Book Antiqua" w:hAnsi="Book Antiqua" w:cs="Times New Roman"/>
          <w:sz w:val="24"/>
          <w:szCs w:val="24"/>
          <w:lang w:val="en-US"/>
        </w:rPr>
        <w:t>eg</w:t>
      </w:r>
      <w:r w:rsidR="00163790" w:rsidRPr="00C73B8F">
        <w:rPr>
          <w:rFonts w:ascii="Book Antiqua" w:hAnsi="Book Antiqua" w:cs="Times New Roman"/>
          <w:sz w:val="24"/>
          <w:szCs w:val="24"/>
          <w:lang w:val="en-US"/>
        </w:rPr>
        <w:t>-</w:t>
      </w:r>
      <w:r w:rsidR="00316275" w:rsidRPr="00C73B8F">
        <w:rPr>
          <w:rFonts w:ascii="Book Antiqua" w:hAnsi="Book Antiqua" w:cs="Times New Roman"/>
          <w:sz w:val="24"/>
          <w:szCs w:val="24"/>
          <w:lang w:val="en-US"/>
        </w:rPr>
        <w:t>IFN</w:t>
      </w:r>
      <w:r w:rsidR="0023022D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172D8" w:rsidRPr="00C73B8F">
        <w:rPr>
          <w:rFonts w:ascii="Book Antiqua" w:hAnsi="Book Antiqua" w:cs="Times New Roman"/>
          <w:sz w:val="24"/>
          <w:szCs w:val="24"/>
          <w:lang w:val="en-US"/>
        </w:rPr>
        <w:t>α</w:t>
      </w:r>
      <w:r w:rsidR="00316275" w:rsidRPr="00C73B8F">
        <w:rPr>
          <w:rFonts w:ascii="Book Antiqua" w:hAnsi="Book Antiqua" w:cs="Times New Roman"/>
          <w:sz w:val="24"/>
          <w:szCs w:val="24"/>
          <w:lang w:val="en-US"/>
        </w:rPr>
        <w:t>2a or 2b +</w:t>
      </w:r>
      <w:r w:rsidR="00F359CA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16275" w:rsidRPr="00C73B8F">
        <w:rPr>
          <w:rFonts w:ascii="Book Antiqua" w:hAnsi="Book Antiqua" w:cs="Times New Roman"/>
          <w:sz w:val="24"/>
          <w:szCs w:val="24"/>
          <w:lang w:val="en-US"/>
        </w:rPr>
        <w:t>ribavirin</w:t>
      </w:r>
      <w:r w:rsidR="00F359CA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316275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described as </w:t>
      </w:r>
      <w:r w:rsidR="00F359CA" w:rsidRPr="00C73B8F">
        <w:rPr>
          <w:rFonts w:ascii="Book Antiqua" w:hAnsi="Book Antiqua" w:cs="Times New Roman"/>
          <w:sz w:val="24"/>
          <w:szCs w:val="24"/>
          <w:lang w:val="en-US"/>
        </w:rPr>
        <w:t xml:space="preserve">follows </w:t>
      </w:r>
      <w:r w:rsidR="00CF067E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</w:t>
      </w:r>
      <w:r w:rsidR="00CF067E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1</w:t>
      </w:r>
      <w:r w:rsidR="00CF067E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:</w:t>
      </w:r>
      <w:r w:rsidR="00DC6CEF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(1)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relapsers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were defined as patients who achieved undetectable HCV RNA</w:t>
      </w:r>
      <w:r w:rsidR="00154C44" w:rsidRPr="00C73B8F">
        <w:rPr>
          <w:rFonts w:ascii="Book Antiqua" w:hAnsi="Book Antiqua" w:cs="Times New Roman"/>
          <w:sz w:val="24"/>
          <w:szCs w:val="24"/>
          <w:lang w:val="en-US"/>
        </w:rPr>
        <w:t xml:space="preserve"> levels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at the end of 48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DC6CEF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="001527FF" w:rsidRPr="00C73B8F">
        <w:rPr>
          <w:rFonts w:ascii="Book Antiqua" w:hAnsi="Book Antiqua" w:cs="Times New Roman"/>
          <w:sz w:val="24"/>
          <w:szCs w:val="24"/>
          <w:lang w:val="en-US"/>
        </w:rPr>
        <w:t>PR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treatment </w:t>
      </w:r>
      <w:r w:rsidR="00D30127" w:rsidRPr="00C73B8F">
        <w:rPr>
          <w:rFonts w:ascii="Book Antiqua" w:hAnsi="Book Antiqua" w:cs="Times New Roman"/>
          <w:sz w:val="24"/>
          <w:szCs w:val="24"/>
          <w:lang w:val="en-US"/>
        </w:rPr>
        <w:t>and then</w:t>
      </w:r>
      <w:r w:rsidR="00420E98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subsequently relapsed</w:t>
      </w:r>
      <w:r w:rsidR="00290AB3" w:rsidRPr="00C73B8F">
        <w:rPr>
          <w:rFonts w:ascii="Book Antiqua" w:hAnsi="Book Antiqua" w:cs="Times New Roman"/>
          <w:sz w:val="24"/>
          <w:szCs w:val="24"/>
          <w:lang w:val="en-US"/>
        </w:rPr>
        <w:t>;</w:t>
      </w:r>
      <w:r w:rsidR="00DC6CEF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and (2)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null-responders failed to achieve a decrease of at least 2 log HCV RNA IU/ml during </w:t>
      </w:r>
      <w:r w:rsidR="001527FF" w:rsidRPr="00C73B8F">
        <w:rPr>
          <w:rFonts w:ascii="Book Antiqua" w:hAnsi="Book Antiqua" w:cs="Times New Roman"/>
          <w:sz w:val="24"/>
          <w:szCs w:val="24"/>
          <w:lang w:val="en-US"/>
        </w:rPr>
        <w:t>PR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treatment given for at least 24 w</w:t>
      </w:r>
      <w:r w:rsidR="00DC6CEF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78DD80CE" w14:textId="71F3F948" w:rsidR="0074270D" w:rsidRPr="00C73B8F" w:rsidRDefault="006F3AF8" w:rsidP="00DC6CEF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>Partial responders to previous therapy were not included in the study.</w:t>
      </w:r>
      <w:r w:rsidR="00DC6CEF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 xml:space="preserve">After an interval of at least 6 </w:t>
      </w:r>
      <w:proofErr w:type="spellStart"/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>mo</w:t>
      </w:r>
      <w:proofErr w:type="spellEnd"/>
      <w:r w:rsidR="00F359CA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359CA" w:rsidRPr="00C73B8F">
        <w:rPr>
          <w:rFonts w:ascii="Book Antiqua" w:hAnsi="Book Antiqua" w:cs="Times New Roman"/>
          <w:sz w:val="24"/>
          <w:szCs w:val="24"/>
          <w:lang w:val="en-US"/>
        </w:rPr>
        <w:t xml:space="preserve">patients </w:t>
      </w:r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 xml:space="preserve">were given either 12 </w:t>
      </w:r>
      <w:proofErr w:type="spellStart"/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DC6CEF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 xml:space="preserve"> of TPV (750 mg every 8 h, Janssen-</w:t>
      </w:r>
      <w:proofErr w:type="spellStart"/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>Cilag</w:t>
      </w:r>
      <w:proofErr w:type="spellEnd"/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>Issy</w:t>
      </w:r>
      <w:proofErr w:type="spellEnd"/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 xml:space="preserve"> les </w:t>
      </w:r>
      <w:proofErr w:type="spellStart"/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>Moulineaux</w:t>
      </w:r>
      <w:proofErr w:type="spellEnd"/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 xml:space="preserve">, France) combined with PR (Roche, </w:t>
      </w:r>
      <w:proofErr w:type="spellStart"/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>Meylan</w:t>
      </w:r>
      <w:proofErr w:type="spellEnd"/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 xml:space="preserve">, France) </w:t>
      </w:r>
      <w:r w:rsidR="001F1AAF" w:rsidRPr="00C73B8F">
        <w:rPr>
          <w:rFonts w:ascii="Book Antiqua" w:hAnsi="Book Antiqua" w:cs="Times New Roman"/>
          <w:sz w:val="24"/>
          <w:szCs w:val="24"/>
          <w:lang w:val="en-US"/>
        </w:rPr>
        <w:t>followed by</w:t>
      </w:r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 xml:space="preserve"> 36 </w:t>
      </w:r>
      <w:proofErr w:type="spellStart"/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lastRenderedPageBreak/>
        <w:t>w</w:t>
      </w:r>
      <w:r w:rsidR="00DC6CEF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 xml:space="preserve"> of PR or 4 </w:t>
      </w:r>
      <w:proofErr w:type="spellStart"/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DC6CEF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 xml:space="preserve"> (lead-in phase) of PR followed by 44 </w:t>
      </w:r>
      <w:proofErr w:type="spellStart"/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DC6CEF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 xml:space="preserve"> of PR and BOC (800 mg every 8 h (MSD, Courbevoie, France)</w:t>
      </w:r>
      <w:r w:rsidR="0009442D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>according to</w:t>
      </w:r>
      <w:r w:rsidR="00316275" w:rsidRPr="00C73B8F">
        <w:rPr>
          <w:rFonts w:ascii="Book Antiqua" w:hAnsi="Book Antiqua" w:cs="Times New Roman"/>
          <w:sz w:val="24"/>
          <w:szCs w:val="24"/>
          <w:lang w:val="en-US"/>
        </w:rPr>
        <w:t xml:space="preserve"> French label</w:t>
      </w:r>
      <w:r w:rsidR="0009442D" w:rsidRPr="00C73B8F">
        <w:rPr>
          <w:rFonts w:ascii="Book Antiqua" w:hAnsi="Book Antiqua" w:cs="Times New Roman"/>
          <w:sz w:val="24"/>
          <w:szCs w:val="24"/>
          <w:lang w:val="en-US"/>
        </w:rPr>
        <w:t xml:space="preserve"> guidelines</w:t>
      </w:r>
      <w:r w:rsidR="00EF276C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[12]</w:t>
      </w:r>
      <w:r w:rsidR="00BD20ED" w:rsidRPr="00C73B8F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>French National Agency of drugs and health products security, ANSM cohort temporary use authorization n° 324 and n° 330</w:t>
      </w:r>
      <w:r w:rsidR="00BD20ED" w:rsidRPr="00C73B8F">
        <w:rPr>
          <w:rFonts w:ascii="Book Antiqua" w:hAnsi="Book Antiqua" w:cs="Times New Roman"/>
          <w:sz w:val="24"/>
          <w:szCs w:val="24"/>
          <w:lang w:val="en-US"/>
        </w:rPr>
        <w:t>)</w:t>
      </w:r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316275" w:rsidRPr="00C73B8F">
        <w:rPr>
          <w:rFonts w:ascii="Book Antiqua" w:hAnsi="Book Antiqua" w:cs="Times New Roman"/>
          <w:sz w:val="24"/>
          <w:szCs w:val="24"/>
          <w:lang w:val="en-US"/>
        </w:rPr>
        <w:t xml:space="preserve">In this observational cohort, </w:t>
      </w:r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>TPV or BOC triple therapy was selected by each physician</w:t>
      </w:r>
      <w:r w:rsidR="0048305A" w:rsidRPr="00C73B8F">
        <w:rPr>
          <w:rFonts w:ascii="Book Antiqua" w:hAnsi="Book Antiqua" w:cs="Times New Roman"/>
          <w:sz w:val="24"/>
          <w:szCs w:val="24"/>
          <w:lang w:val="en-US"/>
        </w:rPr>
        <w:t xml:space="preserve">; however, </w:t>
      </w:r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>all</w:t>
      </w:r>
      <w:r w:rsidR="00F54DBA" w:rsidRPr="00C73B8F">
        <w:rPr>
          <w:rFonts w:ascii="Book Antiqua" w:hAnsi="Book Antiqua" w:cs="Times New Roman"/>
          <w:sz w:val="24"/>
          <w:szCs w:val="24"/>
          <w:lang w:val="en-US"/>
        </w:rPr>
        <w:t xml:space="preserve"> of the</w:t>
      </w:r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 xml:space="preserve"> patients received the same schedule of PR</w:t>
      </w:r>
      <w:r w:rsidR="00C2396D" w:rsidRPr="00C73B8F">
        <w:rPr>
          <w:rFonts w:ascii="Book Antiqua" w:hAnsi="Book Antiqua" w:cs="Times New Roman"/>
          <w:sz w:val="24"/>
          <w:szCs w:val="24"/>
          <w:lang w:val="en-US"/>
        </w:rPr>
        <w:t>, as follows</w:t>
      </w:r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 xml:space="preserve">: </w:t>
      </w:r>
      <w:r w:rsidR="00DA16BA" w:rsidRPr="00C73B8F">
        <w:rPr>
          <w:rFonts w:ascii="Book Antiqua" w:hAnsi="Book Antiqua" w:cs="Times New Roman"/>
          <w:sz w:val="24"/>
          <w:szCs w:val="24"/>
          <w:lang w:val="en-US"/>
        </w:rPr>
        <w:t>peg</w:t>
      </w:r>
      <w:r w:rsidR="0089707D" w:rsidRPr="00C73B8F">
        <w:rPr>
          <w:rFonts w:ascii="Book Antiqua" w:hAnsi="Book Antiqua" w:cs="Times New Roman"/>
          <w:sz w:val="24"/>
          <w:szCs w:val="24"/>
          <w:lang w:val="en-US"/>
        </w:rPr>
        <w:t>-</w:t>
      </w:r>
      <w:r w:rsidR="00DA16BA" w:rsidRPr="00C73B8F">
        <w:rPr>
          <w:rFonts w:ascii="Book Antiqua" w:hAnsi="Book Antiqua" w:cs="Times New Roman"/>
          <w:sz w:val="24"/>
          <w:szCs w:val="24"/>
          <w:lang w:val="en-US"/>
        </w:rPr>
        <w:t xml:space="preserve">IFN </w:t>
      </w:r>
      <w:r w:rsidR="00523338" w:rsidRPr="00C73B8F">
        <w:rPr>
          <w:rFonts w:ascii="Book Antiqua" w:hAnsi="Book Antiqua" w:cs="Times New Roman"/>
          <w:sz w:val="24"/>
          <w:szCs w:val="24"/>
          <w:lang w:val="en-US"/>
        </w:rPr>
        <w:t>α</w:t>
      </w:r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>2a (180</w:t>
      </w:r>
      <w:r w:rsidR="00DC6CEF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>g</w:t>
      </w:r>
      <w:r w:rsidR="00A16BF4" w:rsidRPr="00C73B8F">
        <w:rPr>
          <w:rFonts w:ascii="Book Antiqua" w:hAnsi="Book Antiqua" w:cs="Times New Roman"/>
          <w:sz w:val="24"/>
          <w:szCs w:val="24"/>
          <w:lang w:val="en-US"/>
        </w:rPr>
        <w:t>/</w:t>
      </w:r>
      <w:proofErr w:type="spellStart"/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>wk</w:t>
      </w:r>
      <w:proofErr w:type="spellEnd"/>
      <w:r w:rsidR="001745A4" w:rsidRPr="00C73B8F">
        <w:rPr>
          <w:rFonts w:ascii="Book Antiqua" w:hAnsi="Book Antiqua" w:cs="Times New Roman"/>
          <w:sz w:val="24"/>
          <w:szCs w:val="24"/>
          <w:lang w:val="en-US"/>
        </w:rPr>
        <w:t xml:space="preserve">) + ribavirin (1000 to 1200 mg/d, depending on body weight). </w:t>
      </w:r>
      <w:r w:rsidR="00FB4D9C" w:rsidRPr="00C73B8F">
        <w:rPr>
          <w:rFonts w:ascii="Book Antiqua" w:hAnsi="Book Antiqua" w:cs="Times New Roman"/>
          <w:sz w:val="24"/>
          <w:szCs w:val="24"/>
          <w:lang w:val="en-US"/>
        </w:rPr>
        <w:t>The Toulouse University review board approved this cohort</w:t>
      </w:r>
      <w:r w:rsidR="001F4BE7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296D8A" w:rsidRPr="00C73B8F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235778" w:rsidRPr="00C73B8F">
        <w:rPr>
          <w:rFonts w:ascii="Book Antiqua" w:hAnsi="Book Antiqua" w:cs="Times New Roman"/>
          <w:sz w:val="24"/>
          <w:szCs w:val="24"/>
          <w:lang w:val="en-US"/>
        </w:rPr>
        <w:t xml:space="preserve">all </w:t>
      </w:r>
      <w:r w:rsidR="001F4BE7" w:rsidRPr="00C73B8F">
        <w:rPr>
          <w:rFonts w:ascii="Book Antiqua" w:hAnsi="Book Antiqua" w:cs="Times New Roman"/>
          <w:sz w:val="24"/>
          <w:szCs w:val="24"/>
          <w:lang w:val="en-US"/>
        </w:rPr>
        <w:t xml:space="preserve">of the </w:t>
      </w:r>
      <w:r w:rsidR="00296D8A" w:rsidRPr="00C73B8F">
        <w:rPr>
          <w:rFonts w:ascii="Book Antiqua" w:hAnsi="Book Antiqua" w:cs="Times New Roman"/>
          <w:sz w:val="24"/>
          <w:szCs w:val="24"/>
          <w:lang w:val="en-US"/>
        </w:rPr>
        <w:t>patients provided written informed consent.</w:t>
      </w:r>
    </w:p>
    <w:p w14:paraId="64A35C57" w14:textId="706EE3D7" w:rsidR="00281AAF" w:rsidRPr="00C73B8F" w:rsidRDefault="000F77A6" w:rsidP="00DC6CEF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235778" w:rsidRPr="00C73B8F">
        <w:rPr>
          <w:rFonts w:ascii="Book Antiqua" w:hAnsi="Book Antiqua" w:cs="Times New Roman"/>
          <w:sz w:val="24"/>
          <w:szCs w:val="24"/>
          <w:lang w:val="en-US"/>
        </w:rPr>
        <w:t xml:space="preserve">quantification of </w:t>
      </w:r>
      <w:r w:rsidR="000C3600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>HCV RNA</w:t>
      </w:r>
      <w:r w:rsidR="000C3600" w:rsidRPr="00C73B8F">
        <w:rPr>
          <w:rFonts w:ascii="Book Antiqua" w:hAnsi="Book Antiqua" w:cs="Times New Roman"/>
          <w:sz w:val="24"/>
          <w:szCs w:val="24"/>
          <w:lang w:val="en-US"/>
        </w:rPr>
        <w:t xml:space="preserve"> level</w:t>
      </w:r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 xml:space="preserve"> was </w:t>
      </w:r>
      <w:r w:rsidR="00235778" w:rsidRPr="00C73B8F">
        <w:rPr>
          <w:rFonts w:ascii="Book Antiqua" w:hAnsi="Book Antiqua" w:cs="Times New Roman"/>
          <w:sz w:val="24"/>
          <w:szCs w:val="24"/>
          <w:lang w:val="en-US"/>
        </w:rPr>
        <w:t>performed</w:t>
      </w:r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341B1" w:rsidRPr="00C73B8F">
        <w:rPr>
          <w:rFonts w:ascii="Book Antiqua" w:hAnsi="Book Antiqua" w:cs="Times New Roman"/>
          <w:sz w:val="24"/>
          <w:szCs w:val="24"/>
          <w:lang w:val="en-US"/>
        </w:rPr>
        <w:t xml:space="preserve">at baseline, then </w:t>
      </w:r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 xml:space="preserve">every 4 </w:t>
      </w:r>
      <w:proofErr w:type="spellStart"/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DC6CEF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 xml:space="preserve"> during triple therapy and </w:t>
      </w:r>
      <w:r w:rsidR="00DA72D8" w:rsidRPr="00C73B8F">
        <w:rPr>
          <w:rFonts w:ascii="Book Antiqua" w:hAnsi="Book Antiqua" w:cs="Times New Roman"/>
          <w:sz w:val="24"/>
          <w:szCs w:val="24"/>
          <w:lang w:val="en-US"/>
        </w:rPr>
        <w:t xml:space="preserve">at </w:t>
      </w:r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 xml:space="preserve">12 and 24 </w:t>
      </w:r>
      <w:proofErr w:type="spellStart"/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DC6CEF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A72D8" w:rsidRPr="00C73B8F">
        <w:rPr>
          <w:rFonts w:ascii="Book Antiqua" w:hAnsi="Book Antiqua" w:cs="Times New Roman"/>
          <w:sz w:val="24"/>
          <w:szCs w:val="24"/>
          <w:lang w:val="en-US"/>
        </w:rPr>
        <w:t xml:space="preserve">following </w:t>
      </w:r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>treatment withdrawal using real-time PCR (</w:t>
      </w:r>
      <w:r w:rsidR="00DE3309" w:rsidRPr="00C73B8F">
        <w:rPr>
          <w:rFonts w:ascii="Book Antiqua" w:hAnsi="Book Antiqua" w:cs="Times New Roman"/>
          <w:sz w:val="24"/>
          <w:szCs w:val="24"/>
          <w:lang w:val="en-US"/>
        </w:rPr>
        <w:t xml:space="preserve">COBAS </w:t>
      </w:r>
      <w:proofErr w:type="spellStart"/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>Amplicor</w:t>
      </w:r>
      <w:proofErr w:type="spellEnd"/>
      <w:r w:rsidR="00246849" w:rsidRPr="00C73B8F">
        <w:rPr>
          <w:rFonts w:ascii="Book Antiqua" w:hAnsi="Book Antiqua" w:cs="Times New Roman"/>
          <w:sz w:val="24"/>
          <w:szCs w:val="24"/>
          <w:lang w:val="en-US"/>
        </w:rPr>
        <w:t>/</w:t>
      </w:r>
      <w:proofErr w:type="spellStart"/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TaqMan</w:t>
      </w:r>
      <w:proofErr w:type="spellEnd"/>
      <w:r w:rsidR="00246849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 xml:space="preserve"> Roche </w:t>
      </w:r>
      <w:r w:rsidR="00246849" w:rsidRPr="00C73B8F">
        <w:rPr>
          <w:rFonts w:ascii="Book Antiqua" w:hAnsi="Book Antiqua" w:cs="Times New Roman"/>
          <w:sz w:val="24"/>
          <w:szCs w:val="24"/>
          <w:lang w:val="en-US"/>
        </w:rPr>
        <w:t>Diagnostics</w:t>
      </w:r>
      <w:r w:rsidR="00656890" w:rsidRPr="00C73B8F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gramStart"/>
      <w:r w:rsidR="00656890" w:rsidRPr="00C73B8F">
        <w:rPr>
          <w:rFonts w:ascii="Book Antiqua" w:hAnsi="Book Antiqua" w:cs="Times New Roman"/>
          <w:sz w:val="24"/>
          <w:szCs w:val="24"/>
          <w:lang w:val="en-US"/>
        </w:rPr>
        <w:t>Basel</w:t>
      </w:r>
      <w:proofErr w:type="gramEnd"/>
      <w:r w:rsidR="00656890" w:rsidRPr="00C73B8F">
        <w:rPr>
          <w:rFonts w:ascii="Book Antiqua" w:hAnsi="Book Antiqua" w:cs="Times New Roman"/>
          <w:sz w:val="24"/>
          <w:szCs w:val="24"/>
          <w:lang w:val="en-US"/>
        </w:rPr>
        <w:t>, Switzerland</w:t>
      </w:r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>) with a lower detection limit of 15 IU/</w:t>
      </w:r>
      <w:proofErr w:type="spellStart"/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>m</w:t>
      </w:r>
      <w:r w:rsidR="00DC6CEF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L</w:t>
      </w:r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>.</w:t>
      </w:r>
      <w:proofErr w:type="spellEnd"/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 xml:space="preserve"> Fibrosis was evaluated by </w:t>
      </w:r>
      <w:r w:rsidR="00C56DF3" w:rsidRPr="00C73B8F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 xml:space="preserve">liver biopsy or </w:t>
      </w:r>
      <w:r w:rsidR="00170E06" w:rsidRPr="00C73B8F">
        <w:rPr>
          <w:rFonts w:ascii="Book Antiqua" w:hAnsi="Book Antiqua" w:cs="Times New Roman"/>
          <w:sz w:val="24"/>
          <w:szCs w:val="24"/>
          <w:lang w:val="en-US"/>
        </w:rPr>
        <w:t xml:space="preserve">by </w:t>
      </w:r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 xml:space="preserve">measuring </w:t>
      </w:r>
      <w:r w:rsidR="004E50DB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>liver stiffness</w:t>
      </w:r>
      <w:r w:rsidR="001527FF" w:rsidRPr="00C73B8F">
        <w:rPr>
          <w:rFonts w:ascii="Book Antiqua" w:hAnsi="Book Antiqua" w:cs="Times New Roman"/>
          <w:sz w:val="24"/>
          <w:szCs w:val="24"/>
          <w:lang w:val="en-US"/>
        </w:rPr>
        <w:t xml:space="preserve"> (LS)</w:t>
      </w:r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 xml:space="preserve"> according to the </w:t>
      </w:r>
      <w:r w:rsidR="000D3C68" w:rsidRPr="00C73B8F">
        <w:rPr>
          <w:rFonts w:ascii="Book Antiqua" w:hAnsi="Book Antiqua" w:cs="Times New Roman"/>
          <w:sz w:val="24"/>
          <w:szCs w:val="24"/>
          <w:lang w:val="en-US"/>
        </w:rPr>
        <w:t xml:space="preserve">manufacturer’s </w:t>
      </w:r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>instructions (</w:t>
      </w:r>
      <w:proofErr w:type="spellStart"/>
      <w:r w:rsidR="001527FF" w:rsidRPr="00C73B8F">
        <w:rPr>
          <w:rFonts w:ascii="Book Antiqua" w:hAnsi="Book Antiqua" w:cs="Times New Roman"/>
          <w:sz w:val="24"/>
          <w:szCs w:val="24"/>
          <w:lang w:val="en-US"/>
        </w:rPr>
        <w:t>Fibroscan</w:t>
      </w:r>
      <w:proofErr w:type="spellEnd"/>
      <w:r w:rsidR="001527FF" w:rsidRPr="00C73B8F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="0056532A" w:rsidRPr="00C73B8F">
        <w:rPr>
          <w:rFonts w:ascii="Book Antiqua" w:hAnsi="Book Antiqua" w:cs="Times New Roman"/>
          <w:sz w:val="24"/>
          <w:szCs w:val="24"/>
          <w:lang w:val="en-US"/>
        </w:rPr>
        <w:t>E</w:t>
      </w:r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>chosens</w:t>
      </w:r>
      <w:proofErr w:type="spellEnd"/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 xml:space="preserve">). The results </w:t>
      </w:r>
      <w:r w:rsidR="001527FF" w:rsidRPr="00C73B8F">
        <w:rPr>
          <w:rFonts w:ascii="Book Antiqua" w:hAnsi="Book Antiqua" w:cs="Times New Roman"/>
          <w:sz w:val="24"/>
          <w:szCs w:val="24"/>
          <w:lang w:val="en-US"/>
        </w:rPr>
        <w:t>were</w:t>
      </w:r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 xml:space="preserve"> expressed in kilop</w:t>
      </w:r>
      <w:r w:rsidR="00296D8A" w:rsidRPr="00C73B8F">
        <w:rPr>
          <w:rFonts w:ascii="Book Antiqua" w:hAnsi="Book Antiqua" w:cs="Times New Roman"/>
          <w:sz w:val="24"/>
          <w:szCs w:val="24"/>
          <w:lang w:val="en-US"/>
        </w:rPr>
        <w:t>ascals (</w:t>
      </w:r>
      <w:proofErr w:type="spellStart"/>
      <w:r w:rsidR="00171621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="00296D8A" w:rsidRPr="00C73B8F">
        <w:rPr>
          <w:rFonts w:ascii="Book Antiqua" w:hAnsi="Book Antiqua" w:cs="Times New Roman"/>
          <w:sz w:val="24"/>
          <w:szCs w:val="24"/>
          <w:lang w:val="en-US"/>
        </w:rPr>
        <w:t xml:space="preserve">). </w:t>
      </w:r>
      <w:proofErr w:type="spellStart"/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 xml:space="preserve"> F3 was define</w:t>
      </w:r>
      <w:r w:rsidR="006A570A">
        <w:rPr>
          <w:rFonts w:ascii="Book Antiqua" w:hAnsi="Book Antiqua" w:cs="Times New Roman"/>
          <w:sz w:val="24"/>
          <w:szCs w:val="24"/>
          <w:lang w:val="en-US"/>
        </w:rPr>
        <w:t>d by a liver stiffness of 9.5-</w:t>
      </w:r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 xml:space="preserve">12.4 </w:t>
      </w:r>
      <w:proofErr w:type="spellStart"/>
      <w:r w:rsidR="00171621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proofErr w:type="spellStart"/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 xml:space="preserve"> F4 cirrhotic patients </w:t>
      </w:r>
      <w:r w:rsidR="00C32E79" w:rsidRPr="00C73B8F">
        <w:rPr>
          <w:rFonts w:ascii="Book Antiqua" w:hAnsi="Book Antiqua" w:cs="Times New Roman"/>
          <w:sz w:val="24"/>
          <w:szCs w:val="24"/>
          <w:lang w:val="en-US"/>
        </w:rPr>
        <w:t xml:space="preserve">were defined by </w:t>
      </w:r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 xml:space="preserve">values </w:t>
      </w:r>
      <w:r w:rsidR="00170E06" w:rsidRPr="00C73B8F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 xml:space="preserve">up to 12.5 </w:t>
      </w:r>
      <w:proofErr w:type="spellStart"/>
      <w:r w:rsidR="00171621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="009C1040" w:rsidRPr="00C73B8F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6A1A5908" w14:textId="77777777" w:rsidR="00242700" w:rsidRPr="00C73B8F" w:rsidRDefault="00242700" w:rsidP="00C73B8F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0FD68989" w14:textId="324C5D92" w:rsidR="00281AAF" w:rsidRPr="006A570A" w:rsidRDefault="006A570A" w:rsidP="00C73B8F">
      <w:pPr>
        <w:spacing w:after="0" w:line="360" w:lineRule="auto"/>
        <w:jc w:val="both"/>
        <w:rPr>
          <w:rFonts w:ascii="Book Antiqua" w:eastAsia="宋体" w:hAnsi="Book Antiqua" w:cs="Times New Roman"/>
          <w:b/>
          <w:i/>
          <w:sz w:val="24"/>
          <w:szCs w:val="24"/>
          <w:lang w:val="en-US" w:eastAsia="zh-CN"/>
        </w:rPr>
      </w:pPr>
      <w:r w:rsidRPr="006A570A">
        <w:rPr>
          <w:rFonts w:ascii="Book Antiqua" w:hAnsi="Book Antiqua" w:cs="Times New Roman"/>
          <w:b/>
          <w:i/>
          <w:sz w:val="24"/>
          <w:szCs w:val="24"/>
          <w:lang w:val="en-US"/>
        </w:rPr>
        <w:t>Efficacy</w:t>
      </w:r>
    </w:p>
    <w:p w14:paraId="34670963" w14:textId="27931381" w:rsidR="00281AAF" w:rsidRPr="00C73B8F" w:rsidRDefault="00281AAF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The response to triple therapy </w:t>
      </w:r>
      <w:r w:rsidR="007205EA" w:rsidRPr="00C73B8F">
        <w:rPr>
          <w:rFonts w:ascii="Book Antiqua" w:hAnsi="Book Antiqua" w:cs="Times New Roman"/>
          <w:sz w:val="24"/>
          <w:szCs w:val="24"/>
          <w:lang w:val="en-US"/>
        </w:rPr>
        <w:t xml:space="preserve">could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be</w:t>
      </w:r>
      <w:r w:rsidR="00701674" w:rsidRPr="00C73B8F">
        <w:rPr>
          <w:rFonts w:ascii="Book Antiqua" w:hAnsi="Book Antiqua" w:cs="Times New Roman"/>
          <w:sz w:val="24"/>
          <w:szCs w:val="24"/>
          <w:lang w:val="en-US"/>
        </w:rPr>
        <w:t xml:space="preserve"> summarized as</w:t>
      </w:r>
      <w:r w:rsidR="006A570A">
        <w:rPr>
          <w:rFonts w:ascii="Book Antiqua" w:hAnsi="Book Antiqua" w:cs="Times New Roman"/>
          <w:sz w:val="24"/>
          <w:szCs w:val="24"/>
          <w:lang w:val="en-US"/>
        </w:rPr>
        <w:t>:</w:t>
      </w:r>
      <w:r w:rsidR="006A570A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(1) </w:t>
      </w:r>
      <w:r w:rsidR="008341B1" w:rsidRPr="00C73B8F">
        <w:rPr>
          <w:rFonts w:ascii="Book Antiqua" w:hAnsi="Book Antiqua" w:cs="Times New Roman"/>
          <w:sz w:val="24"/>
          <w:szCs w:val="24"/>
          <w:lang w:val="en-US"/>
        </w:rPr>
        <w:t>A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rapid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virological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response (RVR),</w:t>
      </w:r>
      <w:r w:rsidRPr="006A570A">
        <w:rPr>
          <w:rFonts w:ascii="Book Antiqua" w:hAnsi="Book Antiqua" w:cs="Times New Roman"/>
          <w:i/>
          <w:sz w:val="24"/>
          <w:szCs w:val="24"/>
          <w:lang w:val="en-US"/>
        </w:rPr>
        <w:t xml:space="preserve"> i</w:t>
      </w:r>
      <w:r w:rsidR="00A05CB1" w:rsidRPr="006A570A">
        <w:rPr>
          <w:rFonts w:ascii="Book Antiqua" w:hAnsi="Book Antiqua" w:cs="Times New Roman"/>
          <w:i/>
          <w:sz w:val="24"/>
          <w:szCs w:val="24"/>
          <w:lang w:val="en-US"/>
        </w:rPr>
        <w:t>.</w:t>
      </w:r>
      <w:r w:rsidRPr="006A570A">
        <w:rPr>
          <w:rFonts w:ascii="Book Antiqua" w:hAnsi="Book Antiqua" w:cs="Times New Roman"/>
          <w:i/>
          <w:sz w:val="24"/>
          <w:szCs w:val="24"/>
          <w:lang w:val="en-US"/>
        </w:rPr>
        <w:t>e.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negative </w:t>
      </w:r>
      <w:r w:rsidR="00A05CB1" w:rsidRPr="00C73B8F">
        <w:rPr>
          <w:rFonts w:ascii="Book Antiqua" w:hAnsi="Book Antiqua" w:cs="Times New Roman"/>
          <w:sz w:val="24"/>
          <w:szCs w:val="24"/>
          <w:lang w:val="en-US"/>
        </w:rPr>
        <w:t xml:space="preserve">for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HCV RNA after 4 weeks of triple therapy</w:t>
      </w:r>
      <w:r w:rsidR="00E31474" w:rsidRPr="00C73B8F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defined as week 4 for the TPV group and week 8 for the BOC group</w:t>
      </w:r>
      <w:r w:rsidR="00E31474" w:rsidRPr="00C73B8F">
        <w:rPr>
          <w:rFonts w:ascii="Book Antiqua" w:hAnsi="Book Antiqua" w:cs="Times New Roman"/>
          <w:sz w:val="24"/>
          <w:szCs w:val="24"/>
          <w:lang w:val="en-US"/>
        </w:rPr>
        <w:t>)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; </w:t>
      </w:r>
      <w:r w:rsidR="006A570A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(2) </w:t>
      </w:r>
      <w:r w:rsidR="008341B1" w:rsidRPr="00C73B8F">
        <w:rPr>
          <w:rFonts w:ascii="Book Antiqua" w:hAnsi="Book Antiqua" w:cs="Times New Roman"/>
          <w:sz w:val="24"/>
          <w:szCs w:val="24"/>
          <w:lang w:val="en-US"/>
        </w:rPr>
        <w:t>A</w:t>
      </w:r>
      <w:r w:rsidR="00CB1DF3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virological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response (VR), </w:t>
      </w:r>
      <w:r w:rsidRPr="00676239">
        <w:rPr>
          <w:rFonts w:ascii="Book Antiqua" w:hAnsi="Book Antiqua" w:cs="Times New Roman"/>
          <w:i/>
          <w:sz w:val="24"/>
          <w:szCs w:val="24"/>
          <w:lang w:val="en-US"/>
        </w:rPr>
        <w:t>i.e.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negative </w:t>
      </w:r>
      <w:r w:rsidR="00701674" w:rsidRPr="00C73B8F">
        <w:rPr>
          <w:rFonts w:ascii="Book Antiqua" w:hAnsi="Book Antiqua" w:cs="Times New Roman"/>
          <w:sz w:val="24"/>
          <w:szCs w:val="24"/>
          <w:lang w:val="en-US"/>
        </w:rPr>
        <w:t xml:space="preserve">for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HCV RNA at the end of triple therapy; </w:t>
      </w:r>
      <w:r w:rsidR="006A570A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and (3) o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 xml:space="preserve">r </w:t>
      </w:r>
      <w:r w:rsidR="00237B4D" w:rsidRPr="00C73B8F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sustained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virological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response (SVR),</w:t>
      </w:r>
      <w:r w:rsidRPr="006A570A">
        <w:rPr>
          <w:rFonts w:ascii="Book Antiqua" w:hAnsi="Book Antiqua" w:cs="Times New Roman"/>
          <w:i/>
          <w:sz w:val="24"/>
          <w:szCs w:val="24"/>
          <w:lang w:val="en-US"/>
        </w:rPr>
        <w:t xml:space="preserve"> i.e.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negative </w:t>
      </w:r>
      <w:r w:rsidR="00701674" w:rsidRPr="00C73B8F">
        <w:rPr>
          <w:rFonts w:ascii="Book Antiqua" w:hAnsi="Book Antiqua" w:cs="Times New Roman"/>
          <w:sz w:val="24"/>
          <w:szCs w:val="24"/>
          <w:lang w:val="en-US"/>
        </w:rPr>
        <w:t xml:space="preserve">for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HCV RNA 24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after the end of treatment. </w:t>
      </w:r>
    </w:p>
    <w:p w14:paraId="6FDFF2C7" w14:textId="77777777" w:rsidR="000C6DDA" w:rsidRPr="00C73B8F" w:rsidRDefault="000C6DDA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7D71B7FF" w14:textId="7D3A7C4F" w:rsidR="009C1040" w:rsidRPr="00676239" w:rsidRDefault="00676239" w:rsidP="00C73B8F">
      <w:pPr>
        <w:spacing w:after="0" w:line="360" w:lineRule="auto"/>
        <w:jc w:val="both"/>
        <w:rPr>
          <w:rFonts w:ascii="Book Antiqua" w:eastAsia="宋体" w:hAnsi="Book Antiqua" w:cs="Times New Roman"/>
          <w:b/>
          <w:i/>
          <w:sz w:val="24"/>
          <w:szCs w:val="24"/>
          <w:lang w:val="en-US" w:eastAsia="zh-CN"/>
        </w:rPr>
      </w:pPr>
      <w:r w:rsidRPr="00676239">
        <w:rPr>
          <w:rFonts w:ascii="Book Antiqua" w:hAnsi="Book Antiqua" w:cs="Times New Roman"/>
          <w:b/>
          <w:i/>
          <w:sz w:val="24"/>
          <w:szCs w:val="24"/>
          <w:lang w:val="en-US"/>
        </w:rPr>
        <w:t>Safety and adverse events</w:t>
      </w:r>
    </w:p>
    <w:p w14:paraId="0EACADA5" w14:textId="202C4F10" w:rsidR="009C1040" w:rsidRPr="00C73B8F" w:rsidRDefault="009C1040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>All</w:t>
      </w:r>
      <w:r w:rsidR="0061038A" w:rsidRPr="00C73B8F">
        <w:rPr>
          <w:rFonts w:ascii="Book Antiqua" w:hAnsi="Book Antiqua" w:cs="Times New Roman"/>
          <w:sz w:val="24"/>
          <w:szCs w:val="24"/>
          <w:lang w:val="en-US"/>
        </w:rPr>
        <w:t xml:space="preserve"> of the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patients were seen by their physicians at baseline, every 2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during the first 2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mo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, every 4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000F6" w:rsidRPr="00C73B8F">
        <w:rPr>
          <w:rFonts w:ascii="Book Antiqua" w:hAnsi="Book Antiqua" w:cs="Times New Roman"/>
          <w:sz w:val="24"/>
          <w:szCs w:val="24"/>
          <w:lang w:val="en-US"/>
        </w:rPr>
        <w:t xml:space="preserve">during </w:t>
      </w:r>
      <w:r w:rsidR="00E35F0A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following phase of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therapy</w:t>
      </w:r>
      <w:r w:rsidR="00384BF1" w:rsidRPr="00C73B8F">
        <w:rPr>
          <w:rFonts w:ascii="Book Antiqua" w:hAnsi="Book Antiqua" w:cs="Times New Roman"/>
          <w:sz w:val="24"/>
          <w:szCs w:val="24"/>
          <w:lang w:val="en-US"/>
        </w:rPr>
        <w:t xml:space="preserve"> and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then </w:t>
      </w:r>
      <w:r w:rsidR="00384BF1" w:rsidRPr="00C73B8F">
        <w:rPr>
          <w:rFonts w:ascii="Book Antiqua" w:hAnsi="Book Antiqua" w:cs="Times New Roman"/>
          <w:sz w:val="24"/>
          <w:szCs w:val="24"/>
          <w:lang w:val="en-US"/>
        </w:rPr>
        <w:t xml:space="preserve">every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4, 12, and 24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after treatment withdrawal. Adverse events were graded by investigators according to a modified World Health Organization grading system. Non</w:t>
      </w:r>
      <w:r w:rsidR="00C321CE" w:rsidRPr="00C73B8F">
        <w:rPr>
          <w:rFonts w:ascii="Book Antiqua" w:hAnsi="Book Antiqua" w:cs="Times New Roman"/>
          <w:sz w:val="24"/>
          <w:szCs w:val="24"/>
          <w:lang w:val="en-US"/>
        </w:rPr>
        <w:t>-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life-threatening adverse events and hematological disorders were managed according to </w:t>
      </w:r>
      <w:r w:rsidR="001527FF" w:rsidRPr="00C73B8F">
        <w:rPr>
          <w:rFonts w:ascii="Book Antiqua" w:hAnsi="Book Antiqua" w:cs="Times New Roman"/>
          <w:sz w:val="24"/>
          <w:szCs w:val="24"/>
          <w:lang w:val="en-US"/>
        </w:rPr>
        <w:t>the French association of the study of the liver (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AFEF</w:t>
      </w:r>
      <w:r w:rsidR="001527FF" w:rsidRPr="00C73B8F">
        <w:rPr>
          <w:rFonts w:ascii="Book Antiqua" w:hAnsi="Book Antiqua" w:cs="Times New Roman"/>
          <w:sz w:val="24"/>
          <w:szCs w:val="24"/>
          <w:lang w:val="en-US"/>
        </w:rPr>
        <w:t>)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by reducing the ribavirin dose and/or giving erythropoietin</w:t>
      </w:r>
      <w:r w:rsidR="00A07B16" w:rsidRPr="00C73B8F">
        <w:rPr>
          <w:rFonts w:ascii="Book Antiqua" w:hAnsi="Book Antiqua" w:cs="Times New Roman"/>
          <w:sz w:val="24"/>
          <w:szCs w:val="24"/>
          <w:lang w:val="en-US"/>
        </w:rPr>
        <w:t xml:space="preserve"> (EPO)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at the discretion of the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physician</w:t>
      </w:r>
      <w:r w:rsidR="00CF067E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CF067E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CF067E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1</w:t>
      </w:r>
      <w:r w:rsidR="00CF067E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E42F70" w:rsidRPr="00C73B8F">
        <w:rPr>
          <w:rFonts w:ascii="Book Antiqua" w:hAnsi="Book Antiqua" w:cs="Times New Roman"/>
          <w:sz w:val="24"/>
          <w:szCs w:val="24"/>
          <w:lang w:val="en-US"/>
        </w:rPr>
        <w:t xml:space="preserve">EPO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was recommended when the patie</w:t>
      </w:r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 xml:space="preserve">nt’s </w:t>
      </w:r>
      <w:r w:rsidR="00550DAA" w:rsidRPr="00C73B8F">
        <w:rPr>
          <w:rFonts w:ascii="Book Antiqua" w:hAnsi="Book Antiqua" w:cs="Times New Roman"/>
          <w:sz w:val="24"/>
          <w:szCs w:val="24"/>
          <w:lang w:val="en-US"/>
        </w:rPr>
        <w:lastRenderedPageBreak/>
        <w:t>hemoglobin (</w:t>
      </w:r>
      <w:proofErr w:type="spellStart"/>
      <w:r w:rsidR="00550DAA" w:rsidRPr="00C73B8F">
        <w:rPr>
          <w:rFonts w:ascii="Book Antiqua" w:hAnsi="Book Antiqua" w:cs="Times New Roman"/>
          <w:sz w:val="24"/>
          <w:szCs w:val="24"/>
          <w:lang w:val="en-US"/>
        </w:rPr>
        <w:t>Hb</w:t>
      </w:r>
      <w:proofErr w:type="spellEnd"/>
      <w:r w:rsidR="00550DAA" w:rsidRPr="00C73B8F">
        <w:rPr>
          <w:rFonts w:ascii="Book Antiqua" w:hAnsi="Book Antiqua" w:cs="Times New Roman"/>
          <w:sz w:val="24"/>
          <w:szCs w:val="24"/>
          <w:lang w:val="en-US"/>
        </w:rPr>
        <w:t xml:space="preserve">) level </w:t>
      </w:r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 xml:space="preserve">dropped to </w:t>
      </w:r>
      <w:r w:rsidR="00E36EA7" w:rsidRPr="00C73B8F">
        <w:rPr>
          <w:rFonts w:ascii="Book Antiqua" w:hAnsi="Book Antiqua" w:cs="Times New Roman"/>
          <w:sz w:val="24"/>
          <w:szCs w:val="24"/>
          <w:lang w:val="en-US"/>
        </w:rPr>
        <w:t xml:space="preserve">less than </w:t>
      </w:r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>1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0 g</w:t>
      </w:r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>/</w:t>
      </w:r>
      <w:proofErr w:type="spellStart"/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>d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L</w:t>
      </w:r>
      <w:proofErr w:type="spellEnd"/>
      <w:r w:rsidR="00D911F9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despite a previous reduction in the ribavirin dose by 200</w:t>
      </w:r>
      <w:r w:rsidR="008A596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mg/d.</w:t>
      </w:r>
      <w:r w:rsidR="00B56A94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7B5064FA" w14:textId="77777777" w:rsidR="000A0B1B" w:rsidRPr="00C73B8F" w:rsidRDefault="000A0B1B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259C9AF7" w14:textId="77777777" w:rsidR="00676239" w:rsidRDefault="00676239" w:rsidP="00C73B8F">
      <w:pPr>
        <w:spacing w:after="0" w:line="360" w:lineRule="auto"/>
        <w:jc w:val="both"/>
        <w:rPr>
          <w:rFonts w:ascii="Book Antiqua" w:eastAsia="宋体" w:hAnsi="Book Antiqua"/>
          <w:b/>
          <w:i/>
          <w:sz w:val="24"/>
          <w:lang w:eastAsia="zh-CN"/>
        </w:rPr>
      </w:pPr>
      <w:r w:rsidRPr="0093385B">
        <w:rPr>
          <w:rFonts w:ascii="Book Antiqua" w:hAnsi="Book Antiqua"/>
          <w:b/>
          <w:i/>
          <w:sz w:val="24"/>
        </w:rPr>
        <w:t>Statistical analysi</w:t>
      </w:r>
      <w:r>
        <w:rPr>
          <w:rFonts w:ascii="Book Antiqua" w:eastAsia="宋体" w:hAnsi="Book Antiqua" w:hint="eastAsia"/>
          <w:b/>
          <w:i/>
          <w:sz w:val="24"/>
          <w:lang w:eastAsia="zh-CN"/>
        </w:rPr>
        <w:t>s</w:t>
      </w:r>
    </w:p>
    <w:p w14:paraId="1DBC9FAE" w14:textId="0C0A4C9B" w:rsidR="00CC766F" w:rsidRPr="00C73B8F" w:rsidRDefault="00CC766F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>Statistical analyses were performed using STATA software, release 11.2 (STATA Corporation, College Station, TX, USA). Numbers and frequenc</w:t>
      </w:r>
      <w:r w:rsidR="00473415" w:rsidRPr="00C73B8F">
        <w:rPr>
          <w:rFonts w:ascii="Book Antiqua" w:hAnsi="Book Antiqua" w:cs="Times New Roman"/>
          <w:sz w:val="24"/>
          <w:szCs w:val="24"/>
          <w:lang w:val="en-US"/>
        </w:rPr>
        <w:t>ies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were used for </w:t>
      </w:r>
      <w:r w:rsidR="00481F2F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described qualitative data</w:t>
      </w:r>
      <w:r w:rsidR="00B54F14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676239">
        <w:rPr>
          <w:rFonts w:ascii="Book Antiqua" w:hAnsi="Book Antiqua" w:cs="Times New Roman"/>
          <w:sz w:val="24"/>
          <w:szCs w:val="24"/>
          <w:lang w:val="en-US"/>
        </w:rPr>
        <w:t xml:space="preserve"> and means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±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SD or medians (inter-quartile range: IQR) </w:t>
      </w:r>
      <w:r w:rsidR="004A273B" w:rsidRPr="00C73B8F">
        <w:rPr>
          <w:rFonts w:ascii="Book Antiqua" w:hAnsi="Book Antiqua" w:cs="Times New Roman"/>
          <w:sz w:val="24"/>
          <w:szCs w:val="24"/>
          <w:lang w:val="en-US"/>
        </w:rPr>
        <w:t xml:space="preserve">were used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when the normality assumption </w:t>
      </w:r>
      <w:r w:rsidR="008636D7" w:rsidRPr="00C73B8F">
        <w:rPr>
          <w:rFonts w:ascii="Book Antiqua" w:hAnsi="Book Antiqua" w:cs="Times New Roman"/>
          <w:sz w:val="24"/>
          <w:szCs w:val="24"/>
          <w:lang w:val="en-US"/>
        </w:rPr>
        <w:t xml:space="preserve">was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not met for quantitative data. </w:t>
      </w:r>
      <w:r w:rsidR="000F0177" w:rsidRPr="00C73B8F">
        <w:rPr>
          <w:rFonts w:ascii="Book Antiqua" w:hAnsi="Book Antiqua" w:cs="Times New Roman"/>
          <w:sz w:val="24"/>
          <w:szCs w:val="24"/>
          <w:lang w:val="en-US"/>
        </w:rPr>
        <w:t>The q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ualitative variables were compared between groups (TPV and BOC groups; SVR and no-SVR groups; SAEs and no-SAEs groups) using the </w:t>
      </w:r>
      <w:r w:rsidRPr="00676239">
        <w:rPr>
          <w:rFonts w:ascii="Book Antiqua" w:hAnsi="Book Antiqua" w:cs="Times New Roman"/>
          <w:i/>
          <w:sz w:val="24"/>
          <w:szCs w:val="24"/>
          <w:lang w:val="en-US"/>
        </w:rPr>
        <w:sym w:font="Symbol" w:char="F063"/>
      </w:r>
      <w:r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-test (or Fisher’s exact test for small expected numbers). Student’s </w:t>
      </w:r>
      <w:r w:rsidRPr="00676239">
        <w:rPr>
          <w:rFonts w:ascii="Book Antiqua" w:hAnsi="Book Antiqua" w:cs="Times New Roman"/>
          <w:i/>
          <w:sz w:val="24"/>
          <w:szCs w:val="24"/>
          <w:lang w:val="en-US"/>
        </w:rPr>
        <w:t>t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-test was used to compare the distribution of quantitative data</w:t>
      </w:r>
      <w:r w:rsidR="00B56A94" w:rsidRPr="00C73B8F">
        <w:rPr>
          <w:rFonts w:ascii="Book Antiqua" w:hAnsi="Book Antiqua" w:cs="Times New Roman"/>
          <w:sz w:val="24"/>
          <w:szCs w:val="24"/>
          <w:lang w:val="en-US"/>
        </w:rPr>
        <w:t>. Alternatively, the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Mann-Whitney test </w:t>
      </w:r>
      <w:r w:rsidR="00B56A94" w:rsidRPr="00C73B8F">
        <w:rPr>
          <w:rFonts w:ascii="Book Antiqua" w:hAnsi="Book Antiqua" w:cs="Times New Roman"/>
          <w:sz w:val="24"/>
          <w:szCs w:val="24"/>
          <w:lang w:val="en-US"/>
        </w:rPr>
        <w:t xml:space="preserve">was used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when </w:t>
      </w:r>
      <w:r w:rsidR="00530424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distribution was not normal or when homoscedasticity was rejected. </w:t>
      </w:r>
      <w:r w:rsidR="00B058BF" w:rsidRPr="00C73B8F">
        <w:rPr>
          <w:rFonts w:ascii="Book Antiqua" w:hAnsi="Book Antiqua" w:cs="Times New Roman"/>
          <w:sz w:val="24"/>
          <w:szCs w:val="24"/>
          <w:lang w:val="en-US"/>
        </w:rPr>
        <w:t xml:space="preserve">We assessed </w:t>
      </w:r>
      <w:r w:rsidR="00454FA9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B058BF" w:rsidRPr="00C73B8F">
        <w:rPr>
          <w:rFonts w:ascii="Book Antiqua" w:hAnsi="Book Antiqua" w:cs="Times New Roman"/>
          <w:sz w:val="24"/>
          <w:szCs w:val="24"/>
          <w:lang w:val="en-US"/>
        </w:rPr>
        <w:t xml:space="preserve">accuracy of liver stiffness </w:t>
      </w:r>
      <w:r w:rsidR="008E5BFB" w:rsidRPr="00C73B8F">
        <w:rPr>
          <w:rFonts w:ascii="Book Antiqua" w:hAnsi="Book Antiqua" w:cs="Times New Roman"/>
          <w:sz w:val="24"/>
          <w:szCs w:val="24"/>
          <w:lang w:val="en-US"/>
        </w:rPr>
        <w:t>to predict</w:t>
      </w:r>
      <w:r w:rsidR="00B058BF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B65A6" w:rsidRPr="00C73B8F">
        <w:rPr>
          <w:rFonts w:ascii="Book Antiqua" w:hAnsi="Book Antiqua" w:cs="Times New Roman"/>
          <w:sz w:val="24"/>
          <w:szCs w:val="24"/>
          <w:lang w:val="en-US"/>
        </w:rPr>
        <w:t>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="003B65A6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058BF" w:rsidRPr="00C73B8F">
        <w:rPr>
          <w:rFonts w:ascii="Book Antiqua" w:hAnsi="Book Antiqua" w:cs="Times New Roman"/>
          <w:sz w:val="24"/>
          <w:szCs w:val="24"/>
          <w:lang w:val="en-US"/>
        </w:rPr>
        <w:t xml:space="preserve">SVR according to </w:t>
      </w:r>
      <w:r w:rsidR="007F5449" w:rsidRPr="00C73B8F">
        <w:rPr>
          <w:rFonts w:ascii="Book Antiqua" w:hAnsi="Book Antiqua" w:cs="Times New Roman"/>
          <w:sz w:val="24"/>
          <w:szCs w:val="24"/>
          <w:lang w:val="en-US"/>
        </w:rPr>
        <w:t xml:space="preserve">receiver operating 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>characteristic</w:t>
      </w:r>
      <w:r w:rsidR="007F5449" w:rsidRPr="00C73B8F">
        <w:rPr>
          <w:rFonts w:ascii="Book Antiqua" w:hAnsi="Book Antiqua" w:cs="Times New Roman"/>
          <w:sz w:val="24"/>
          <w:szCs w:val="24"/>
          <w:lang w:val="en-US"/>
        </w:rPr>
        <w:t xml:space="preserve"> (R</w:t>
      </w:r>
      <w:r w:rsidR="00B058BF" w:rsidRPr="00C73B8F">
        <w:rPr>
          <w:rFonts w:ascii="Book Antiqua" w:hAnsi="Book Antiqua" w:cs="Times New Roman"/>
          <w:sz w:val="24"/>
          <w:szCs w:val="24"/>
          <w:lang w:val="en-US"/>
        </w:rPr>
        <w:t>OC</w:t>
      </w:r>
      <w:r w:rsidR="007F5449" w:rsidRPr="00C73B8F">
        <w:rPr>
          <w:rFonts w:ascii="Book Antiqua" w:hAnsi="Book Antiqua" w:cs="Times New Roman"/>
          <w:sz w:val="24"/>
          <w:szCs w:val="24"/>
          <w:lang w:val="en-US"/>
        </w:rPr>
        <w:t xml:space="preserve">) </w:t>
      </w:r>
      <w:r w:rsidR="00B058BF" w:rsidRPr="00C73B8F">
        <w:rPr>
          <w:rFonts w:ascii="Book Antiqua" w:hAnsi="Book Antiqua" w:cs="Times New Roman"/>
          <w:sz w:val="24"/>
          <w:szCs w:val="24"/>
          <w:lang w:val="en-US"/>
        </w:rPr>
        <w:t>curve</w:t>
      </w:r>
      <w:r w:rsidR="00240A37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="00B058BF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E5BFB" w:rsidRPr="00C73B8F">
        <w:rPr>
          <w:rFonts w:ascii="Book Antiqua" w:hAnsi="Book Antiqua" w:cs="Times New Roman"/>
          <w:sz w:val="24"/>
          <w:szCs w:val="24"/>
          <w:lang w:val="en-US"/>
        </w:rPr>
        <w:t>(plotting sensitivity versus 1-specific</w:t>
      </w:r>
      <w:r w:rsidR="003E468C" w:rsidRPr="00C73B8F">
        <w:rPr>
          <w:rFonts w:ascii="Book Antiqua" w:hAnsi="Book Antiqua" w:cs="Times New Roman"/>
          <w:sz w:val="24"/>
          <w:szCs w:val="24"/>
          <w:lang w:val="en-US"/>
        </w:rPr>
        <w:t>i</w:t>
      </w:r>
      <w:r w:rsidR="008E5BFB" w:rsidRPr="00C73B8F">
        <w:rPr>
          <w:rFonts w:ascii="Book Antiqua" w:hAnsi="Book Antiqua" w:cs="Times New Roman"/>
          <w:sz w:val="24"/>
          <w:szCs w:val="24"/>
          <w:lang w:val="en-US"/>
        </w:rPr>
        <w:t>ty at various cut-off settings)</w:t>
      </w:r>
      <w:r w:rsidR="003D5C2E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8E5BFB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058BF" w:rsidRPr="00C73B8F">
        <w:rPr>
          <w:rFonts w:ascii="Book Antiqua" w:hAnsi="Book Antiqua" w:cs="Times New Roman"/>
          <w:sz w:val="24"/>
          <w:szCs w:val="24"/>
          <w:lang w:val="en-US"/>
        </w:rPr>
        <w:t xml:space="preserve">and we defined the optimal </w:t>
      </w:r>
      <w:r w:rsidR="00752435" w:rsidRPr="00C73B8F">
        <w:rPr>
          <w:rFonts w:ascii="Book Antiqua" w:hAnsi="Book Antiqua" w:cs="Times New Roman"/>
          <w:sz w:val="24"/>
          <w:szCs w:val="24"/>
          <w:lang w:val="en-US"/>
        </w:rPr>
        <w:t xml:space="preserve">liver stiffness </w:t>
      </w:r>
      <w:r w:rsidR="00B058BF" w:rsidRPr="00C73B8F">
        <w:rPr>
          <w:rFonts w:ascii="Book Antiqua" w:hAnsi="Book Antiqua" w:cs="Times New Roman"/>
          <w:sz w:val="24"/>
          <w:szCs w:val="24"/>
          <w:lang w:val="en-US"/>
        </w:rPr>
        <w:t>cut-off value of 21.3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E17DC8" w:rsidRPr="00C73B8F">
        <w:rPr>
          <w:rFonts w:ascii="Book Antiqua" w:hAnsi="Book Antiqua" w:cs="Times New Roman"/>
          <w:sz w:val="24"/>
          <w:szCs w:val="24"/>
          <w:lang w:val="en-US"/>
        </w:rPr>
        <w:t>k</w:t>
      </w:r>
      <w:r w:rsidR="00171621" w:rsidRPr="00C73B8F">
        <w:rPr>
          <w:rFonts w:ascii="Book Antiqua" w:hAnsi="Book Antiqua" w:cs="Times New Roman"/>
          <w:sz w:val="24"/>
          <w:szCs w:val="24"/>
          <w:lang w:val="en-US"/>
        </w:rPr>
        <w:t>Pa</w:t>
      </w:r>
      <w:proofErr w:type="spellEnd"/>
      <w:r w:rsidR="00B058BF" w:rsidRPr="00C73B8F">
        <w:rPr>
          <w:rFonts w:ascii="Book Antiqua" w:hAnsi="Book Antiqua" w:cs="Times New Roman"/>
          <w:sz w:val="24"/>
          <w:szCs w:val="24"/>
          <w:lang w:val="en-US"/>
        </w:rPr>
        <w:t xml:space="preserve"> according to the </w:t>
      </w:r>
      <w:r w:rsidR="00752435" w:rsidRPr="00C73B8F">
        <w:rPr>
          <w:rFonts w:ascii="Book Antiqua" w:hAnsi="Book Antiqua" w:cs="Times New Roman"/>
          <w:sz w:val="24"/>
          <w:szCs w:val="24"/>
          <w:lang w:val="en-US"/>
        </w:rPr>
        <w:t>best</w:t>
      </w:r>
      <w:r w:rsidR="00B058BF" w:rsidRPr="00C73B8F">
        <w:rPr>
          <w:rFonts w:ascii="Book Antiqua" w:hAnsi="Book Antiqua" w:cs="Times New Roman"/>
          <w:sz w:val="24"/>
          <w:szCs w:val="24"/>
          <w:lang w:val="en-US"/>
        </w:rPr>
        <w:t xml:space="preserve"> rate of correct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 xml:space="preserve">ly </w:t>
      </w:r>
      <w:r w:rsidR="00B058BF" w:rsidRPr="00C73B8F">
        <w:rPr>
          <w:rFonts w:ascii="Book Antiqua" w:hAnsi="Book Antiqua" w:cs="Times New Roman"/>
          <w:sz w:val="24"/>
          <w:szCs w:val="24"/>
          <w:lang w:val="en-US"/>
        </w:rPr>
        <w:t xml:space="preserve">classified subjects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{[</w:t>
      </w:r>
      <w:r w:rsidR="008E5BFB" w:rsidRPr="00C73B8F">
        <w:rPr>
          <w:rFonts w:ascii="Book Antiqua" w:hAnsi="Book Antiqua" w:cs="Times New Roman"/>
          <w:sz w:val="24"/>
          <w:szCs w:val="24"/>
          <w:lang w:val="en-US"/>
        </w:rPr>
        <w:t>(</w:t>
      </w:r>
      <w:r w:rsidR="00B058BF" w:rsidRPr="00C73B8F">
        <w:rPr>
          <w:rFonts w:ascii="Book Antiqua" w:hAnsi="Book Antiqua" w:cs="Times New Roman"/>
          <w:sz w:val="24"/>
          <w:szCs w:val="24"/>
          <w:lang w:val="en-US"/>
        </w:rPr>
        <w:t>true positives</w:t>
      </w:r>
      <w:r w:rsidR="00EF5DAE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058BF" w:rsidRPr="00C73B8F">
        <w:rPr>
          <w:rFonts w:ascii="Book Antiqua" w:hAnsi="Book Antiqua" w:cs="Times New Roman"/>
          <w:sz w:val="24"/>
          <w:szCs w:val="24"/>
          <w:lang w:val="en-US"/>
        </w:rPr>
        <w:t>+</w:t>
      </w:r>
      <w:r w:rsidR="00EF5DAE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058BF" w:rsidRPr="00C73B8F">
        <w:rPr>
          <w:rFonts w:ascii="Book Antiqua" w:hAnsi="Book Antiqua" w:cs="Times New Roman"/>
          <w:sz w:val="24"/>
          <w:szCs w:val="24"/>
          <w:lang w:val="en-US"/>
        </w:rPr>
        <w:t>true negatives</w:t>
      </w:r>
      <w:r w:rsidR="008E5BFB" w:rsidRPr="00C73B8F">
        <w:rPr>
          <w:rFonts w:ascii="Book Antiqua" w:hAnsi="Book Antiqua" w:cs="Times New Roman"/>
          <w:sz w:val="24"/>
          <w:szCs w:val="24"/>
          <w:lang w:val="en-US"/>
        </w:rPr>
        <w:t>)</w:t>
      </w:r>
      <w:r w:rsidR="00B058BF" w:rsidRPr="00C73B8F">
        <w:rPr>
          <w:rFonts w:ascii="Book Antiqua" w:hAnsi="Book Antiqua" w:cs="Times New Roman"/>
          <w:sz w:val="24"/>
          <w:szCs w:val="24"/>
          <w:lang w:val="en-US"/>
        </w:rPr>
        <w:t>/total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]</w:t>
      </w:r>
      <w:r w:rsidR="00B058BF" w:rsidRPr="00C73B8F">
        <w:rPr>
          <w:rFonts w:ascii="Book Antiqua" w:hAnsi="Book Antiqua" w:cs="Times New Roman"/>
          <w:sz w:val="24"/>
          <w:szCs w:val="24"/>
          <w:lang w:val="en-US"/>
        </w:rPr>
        <w:t>; 69.2%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}</w:t>
      </w:r>
      <w:r w:rsidR="00B058BF" w:rsidRPr="00C73B8F">
        <w:rPr>
          <w:rFonts w:ascii="Book Antiqua" w:hAnsi="Book Antiqua" w:cs="Times New Roman"/>
          <w:sz w:val="24"/>
          <w:szCs w:val="24"/>
          <w:lang w:val="en-US"/>
        </w:rPr>
        <w:t>.</w:t>
      </w:r>
      <w:r w:rsidR="00B058BF" w:rsidRPr="00C73B8F">
        <w:rPr>
          <w:rFonts w:ascii="Book Antiqua" w:eastAsia="Calibri" w:hAnsi="Book Antiqua" w:cs="Times New Roman"/>
          <w:sz w:val="24"/>
          <w:szCs w:val="24"/>
          <w:lang w:val="en-US" w:eastAsia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Odds ratios (OR</w:t>
      </w:r>
      <w:r w:rsidR="00EF5DAE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="00676239">
        <w:rPr>
          <w:rFonts w:ascii="Book Antiqua" w:hAnsi="Book Antiqua" w:cs="Times New Roman"/>
          <w:sz w:val="24"/>
          <w:szCs w:val="24"/>
          <w:lang w:val="en-US"/>
        </w:rPr>
        <w:t>) for SVR or SAE and 95%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CI</w:t>
      </w:r>
      <w:r w:rsidR="00EF5DAE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were assessed using a logistic regression model. The variables initially included in the model were those associated with SVR or SAE in </w:t>
      </w:r>
      <w:r w:rsidR="00FE6AB9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proofErr w:type="spellStart"/>
      <w:r w:rsidR="00676239">
        <w:rPr>
          <w:rFonts w:ascii="Book Antiqua" w:hAnsi="Book Antiqua" w:cs="Times New Roman"/>
          <w:sz w:val="24"/>
          <w:szCs w:val="24"/>
          <w:lang w:val="en-US"/>
        </w:rPr>
        <w:t>univariate</w:t>
      </w:r>
      <w:proofErr w:type="spellEnd"/>
      <w:r w:rsidR="00676239">
        <w:rPr>
          <w:rFonts w:ascii="Book Antiqua" w:hAnsi="Book Antiqua" w:cs="Times New Roman"/>
          <w:sz w:val="24"/>
          <w:szCs w:val="24"/>
          <w:lang w:val="en-US"/>
        </w:rPr>
        <w:t xml:space="preserve"> analysis (</w:t>
      </w:r>
      <w:r w:rsidR="00676239" w:rsidRPr="0067623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value</w:t>
      </w:r>
      <w:r w:rsidR="00422EFC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&lt;</w:t>
      </w:r>
      <w:r w:rsidR="00422EFC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0.20)</w:t>
      </w:r>
      <w:r w:rsidR="0020217F" w:rsidRPr="00C73B8F">
        <w:rPr>
          <w:rFonts w:ascii="Book Antiqua" w:hAnsi="Book Antiqua" w:cs="Times New Roman"/>
          <w:sz w:val="24"/>
          <w:szCs w:val="24"/>
          <w:lang w:val="en-US"/>
        </w:rPr>
        <w:t xml:space="preserve">. A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backward procedure was applied to assess variables that were significantly and independently associated with SVR (or SAE) (</w:t>
      </w:r>
      <w:r w:rsidRPr="0067623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value &lt; 0.05). </w:t>
      </w:r>
      <w:r w:rsidR="006B7BEC" w:rsidRPr="00C73B8F">
        <w:rPr>
          <w:rFonts w:ascii="Book Antiqua" w:hAnsi="Book Antiqua" w:cs="Times New Roman"/>
          <w:sz w:val="24"/>
          <w:szCs w:val="24"/>
          <w:lang w:val="en-US"/>
        </w:rPr>
        <w:t xml:space="preserve">Because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the linearity hypothesis was not fully respected, the following continuous variables were transformed into ordered data: liver stiffness (&lt;</w:t>
      </w:r>
      <w:r w:rsidR="00E009F6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21.3 </w:t>
      </w:r>
      <w:proofErr w:type="spellStart"/>
      <w:r w:rsidR="00171621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B6E2D" w:rsidRPr="00676239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≥</w:t>
      </w:r>
      <w:r w:rsidR="00E009F6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21.3 </w:t>
      </w:r>
      <w:proofErr w:type="spellStart"/>
      <w:r w:rsidR="00171621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>) for the SVR model, platelet count (&lt;</w:t>
      </w:r>
      <w:r w:rsidR="00E009F6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150 </w:t>
      </w:r>
      <w:r w:rsidR="00676239">
        <w:rPr>
          <w:rFonts w:ascii="Book Antiqua" w:hAnsi="Book Antiqua" w:cs="Times New Roman"/>
          <w:sz w:val="24"/>
          <w:szCs w:val="24"/>
          <w:lang w:val="en-US"/>
        </w:rPr>
        <w:t>×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10</w:t>
      </w:r>
      <w:r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/mm</w:t>
      </w:r>
      <w:r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76239" w:rsidRPr="00676239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≥</w:t>
      </w:r>
      <w:r w:rsidR="00E009F6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150 </w:t>
      </w:r>
      <w:r w:rsidR="00676239">
        <w:rPr>
          <w:rFonts w:ascii="Book Antiqua" w:hAnsi="Book Antiqua" w:cs="Times New Roman"/>
          <w:sz w:val="24"/>
          <w:szCs w:val="24"/>
          <w:lang w:val="en-US"/>
        </w:rPr>
        <w:t>×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10</w:t>
      </w:r>
      <w:r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/mm</w:t>
      </w:r>
      <w:r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) for the SAE model. Interactions between independent covariates were tested in </w:t>
      </w:r>
      <w:r w:rsidR="00E009F6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final regression models</w:t>
      </w:r>
      <w:r w:rsidR="00D76612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and none </w:t>
      </w:r>
      <w:r w:rsidR="00D76612" w:rsidRPr="00C73B8F">
        <w:rPr>
          <w:rFonts w:ascii="Book Antiqua" w:hAnsi="Book Antiqua" w:cs="Times New Roman"/>
          <w:sz w:val="24"/>
          <w:szCs w:val="24"/>
          <w:lang w:val="en-US"/>
        </w:rPr>
        <w:t xml:space="preserve">of these interactions was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significant. All </w:t>
      </w:r>
      <w:r w:rsidR="00D76612" w:rsidRPr="00C73B8F">
        <w:rPr>
          <w:rFonts w:ascii="Book Antiqua" w:hAnsi="Book Antiqua" w:cs="Times New Roman"/>
          <w:sz w:val="24"/>
          <w:szCs w:val="24"/>
          <w:lang w:val="en-US"/>
        </w:rPr>
        <w:t xml:space="preserve">of the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reported </w:t>
      </w:r>
      <w:r w:rsidR="00D76612" w:rsidRPr="0067623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values are two-sided</w:t>
      </w:r>
      <w:r w:rsidR="00D32B72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and the significance threshold was set at &lt; 0.05. </w:t>
      </w:r>
    </w:p>
    <w:p w14:paraId="755C33C3" w14:textId="77777777" w:rsidR="009D117B" w:rsidRPr="00C73B8F" w:rsidRDefault="009D117B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6D3AB1A7" w14:textId="0DA080D1" w:rsidR="00C76898" w:rsidRPr="00C73B8F" w:rsidRDefault="00676239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>RESULTS</w:t>
      </w:r>
    </w:p>
    <w:p w14:paraId="7FBE5092" w14:textId="35AA1A18" w:rsidR="00C76898" w:rsidRPr="00676239" w:rsidRDefault="00C76898" w:rsidP="00C73B8F">
      <w:pPr>
        <w:spacing w:after="0" w:line="360" w:lineRule="auto"/>
        <w:jc w:val="both"/>
        <w:rPr>
          <w:rFonts w:ascii="Book Antiqua" w:eastAsia="宋体" w:hAnsi="Book Antiqua" w:cs="Times New Roman"/>
          <w:b/>
          <w:i/>
          <w:sz w:val="24"/>
          <w:szCs w:val="24"/>
          <w:lang w:val="en-US" w:eastAsia="zh-CN"/>
        </w:rPr>
      </w:pPr>
      <w:r w:rsidRPr="00676239">
        <w:rPr>
          <w:rFonts w:ascii="Book Antiqua" w:hAnsi="Book Antiqua" w:cs="Times New Roman"/>
          <w:b/>
          <w:i/>
          <w:sz w:val="24"/>
          <w:szCs w:val="24"/>
          <w:lang w:val="en-US"/>
        </w:rPr>
        <w:t>Characte</w:t>
      </w:r>
      <w:r w:rsidR="00676239" w:rsidRPr="00676239">
        <w:rPr>
          <w:rFonts w:ascii="Book Antiqua" w:hAnsi="Book Antiqua" w:cs="Times New Roman"/>
          <w:b/>
          <w:i/>
          <w:sz w:val="24"/>
          <w:szCs w:val="24"/>
          <w:lang w:val="en-US"/>
        </w:rPr>
        <w:t>ristics of patients at baseline</w:t>
      </w:r>
    </w:p>
    <w:p w14:paraId="4325E973" w14:textId="3DF7D64A" w:rsidR="00C76898" w:rsidRPr="00C73B8F" w:rsidRDefault="00C76898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>This prospective cohort included 125 HCV geno</w:t>
      </w:r>
      <w:r w:rsidR="007803AC" w:rsidRPr="00C73B8F">
        <w:rPr>
          <w:rFonts w:ascii="Book Antiqua" w:hAnsi="Book Antiqua" w:cs="Times New Roman"/>
          <w:sz w:val="24"/>
          <w:szCs w:val="24"/>
          <w:lang w:val="en-US"/>
        </w:rPr>
        <w:t>t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ype 1 patients (Table 1). </w:t>
      </w:r>
      <w:r w:rsidR="009D7E32" w:rsidRPr="00C73B8F">
        <w:rPr>
          <w:rFonts w:ascii="Book Antiqua" w:hAnsi="Book Antiqua" w:cs="Times New Roman"/>
          <w:sz w:val="24"/>
          <w:szCs w:val="24"/>
          <w:lang w:val="en-US"/>
        </w:rPr>
        <w:t>None of the patients had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responded to previous treatment with standard PR combination</w:t>
      </w:r>
      <w:r w:rsidR="004B1B6A" w:rsidRPr="00C73B8F">
        <w:rPr>
          <w:rFonts w:ascii="Book Antiqua" w:hAnsi="Book Antiqua" w:cs="Times New Roman"/>
          <w:sz w:val="24"/>
          <w:szCs w:val="24"/>
          <w:lang w:val="en-US"/>
        </w:rPr>
        <w:t xml:space="preserve"> t</w:t>
      </w:r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 xml:space="preserve">herapy. </w:t>
      </w:r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lastRenderedPageBreak/>
        <w:t>There were 46/124</w:t>
      </w:r>
      <w:r w:rsidR="004B1B6A" w:rsidRPr="00C73B8F">
        <w:rPr>
          <w:rFonts w:ascii="Book Antiqua" w:hAnsi="Book Antiqua" w:cs="Times New Roman"/>
          <w:sz w:val="24"/>
          <w:szCs w:val="24"/>
          <w:lang w:val="en-US"/>
        </w:rPr>
        <w:t xml:space="preserve"> (37.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1</w:t>
      </w:r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 xml:space="preserve">%) previous </w:t>
      </w:r>
      <w:proofErr w:type="spellStart"/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>relapsers</w:t>
      </w:r>
      <w:proofErr w:type="spellEnd"/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 xml:space="preserve"> and 78/124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(62.4</w:t>
      </w:r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>9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%) null-responders</w:t>
      </w:r>
      <w:r w:rsidR="00202166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202166" w:rsidRPr="00C73B8F">
        <w:rPr>
          <w:rFonts w:ascii="Book Antiqua" w:hAnsi="Book Antiqua" w:cs="Times New Roman"/>
          <w:sz w:val="24"/>
          <w:szCs w:val="24"/>
          <w:lang w:val="en-US"/>
        </w:rPr>
        <w:t xml:space="preserve">there were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more men (64.8%) than women (35.2%). HCV subtype 1b (56.8%) infections were more frequent than HCV subtype 1a (31.2%)</w:t>
      </w:r>
      <w:r w:rsidR="007B60C1" w:rsidRPr="00C73B8F">
        <w:rPr>
          <w:rFonts w:ascii="Book Antiqua" w:hAnsi="Book Antiqua" w:cs="Times New Roman"/>
          <w:sz w:val="24"/>
          <w:szCs w:val="24"/>
          <w:lang w:val="en-US"/>
        </w:rPr>
        <w:t xml:space="preserve"> infections, although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the HCV genotype was not defined as 1b or 1a in 12% of cases. </w:t>
      </w:r>
      <w:r w:rsidR="00F43824" w:rsidRPr="00C73B8F">
        <w:rPr>
          <w:rFonts w:ascii="Book Antiqua" w:hAnsi="Book Antiqua" w:cs="Times New Roman"/>
          <w:sz w:val="24"/>
          <w:szCs w:val="24"/>
          <w:lang w:val="en-US"/>
        </w:rPr>
        <w:t>As expected in this</w:t>
      </w:r>
      <w:r w:rsidR="006F3AF8" w:rsidRPr="00C73B8F">
        <w:rPr>
          <w:rFonts w:ascii="Book Antiqua" w:hAnsi="Book Antiqua" w:cs="Times New Roman"/>
          <w:sz w:val="24"/>
          <w:szCs w:val="24"/>
          <w:lang w:val="en-US"/>
        </w:rPr>
        <w:t xml:space="preserve"> population of </w:t>
      </w:r>
      <w:proofErr w:type="spellStart"/>
      <w:r w:rsidR="006F3AF8" w:rsidRPr="00C73B8F">
        <w:rPr>
          <w:rFonts w:ascii="Book Antiqua" w:hAnsi="Book Antiqua" w:cs="Times New Roman"/>
          <w:sz w:val="24"/>
          <w:szCs w:val="24"/>
          <w:lang w:val="en-US"/>
        </w:rPr>
        <w:t>relapsers</w:t>
      </w:r>
      <w:proofErr w:type="spellEnd"/>
      <w:r w:rsidR="006F3AF8" w:rsidRPr="00C73B8F">
        <w:rPr>
          <w:rFonts w:ascii="Book Antiqua" w:hAnsi="Book Antiqua" w:cs="Times New Roman"/>
          <w:sz w:val="24"/>
          <w:szCs w:val="24"/>
          <w:lang w:val="en-US"/>
        </w:rPr>
        <w:t xml:space="preserve"> and null-</w:t>
      </w:r>
      <w:r w:rsidR="00F43824" w:rsidRPr="00C73B8F">
        <w:rPr>
          <w:rFonts w:ascii="Book Antiqua" w:hAnsi="Book Antiqua" w:cs="Times New Roman"/>
          <w:sz w:val="24"/>
          <w:szCs w:val="24"/>
          <w:lang w:val="en-US"/>
        </w:rPr>
        <w:t xml:space="preserve">responders to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prior antiviral therapy, only 15.4% of </w:t>
      </w:r>
      <w:r w:rsidR="00A13B37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F43824" w:rsidRPr="00C73B8F">
        <w:rPr>
          <w:rFonts w:ascii="Book Antiqua" w:hAnsi="Book Antiqua" w:cs="Times New Roman"/>
          <w:sz w:val="24"/>
          <w:szCs w:val="24"/>
          <w:lang w:val="en-US"/>
        </w:rPr>
        <w:t xml:space="preserve">patients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had an IL</w:t>
      </w:r>
      <w:r w:rsidR="002D3A1E" w:rsidRPr="00C73B8F">
        <w:rPr>
          <w:rFonts w:ascii="Book Antiqua" w:hAnsi="Book Antiqua" w:cs="Times New Roman"/>
          <w:sz w:val="24"/>
          <w:szCs w:val="24"/>
          <w:lang w:val="en-US"/>
        </w:rPr>
        <w:t>-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28B genotype C/C. All </w:t>
      </w:r>
      <w:r w:rsidR="00CF5657" w:rsidRPr="00C73B8F">
        <w:rPr>
          <w:rFonts w:ascii="Book Antiqua" w:hAnsi="Book Antiqua" w:cs="Times New Roman"/>
          <w:sz w:val="24"/>
          <w:szCs w:val="24"/>
          <w:lang w:val="en-US"/>
        </w:rPr>
        <w:t xml:space="preserve">of the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patients had severe liver fibrosis: 28% were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F3 and 72% were c</w:t>
      </w:r>
      <w:r w:rsidR="004B1B6A" w:rsidRPr="00C73B8F">
        <w:rPr>
          <w:rFonts w:ascii="Book Antiqua" w:hAnsi="Book Antiqua" w:cs="Times New Roman"/>
          <w:sz w:val="24"/>
          <w:szCs w:val="24"/>
          <w:lang w:val="en-US"/>
        </w:rPr>
        <w:t>irrhotic</w:t>
      </w:r>
      <w:r w:rsidR="009871AD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4B1B6A" w:rsidRPr="00C73B8F">
        <w:rPr>
          <w:rFonts w:ascii="Book Antiqua" w:hAnsi="Book Antiqua" w:cs="Times New Roman"/>
          <w:sz w:val="24"/>
          <w:szCs w:val="24"/>
          <w:lang w:val="en-US"/>
        </w:rPr>
        <w:t xml:space="preserve"> with a </w:t>
      </w:r>
      <w:proofErr w:type="spellStart"/>
      <w:r w:rsidR="004B1B6A"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="004B1B6A" w:rsidRPr="00C73B8F">
        <w:rPr>
          <w:rFonts w:ascii="Book Antiqua" w:hAnsi="Book Antiqua" w:cs="Times New Roman"/>
          <w:sz w:val="24"/>
          <w:szCs w:val="24"/>
          <w:lang w:val="en-US"/>
        </w:rPr>
        <w:t xml:space="preserve"> F4 score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.</w:t>
      </w:r>
      <w:r w:rsidR="004B1B6A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All </w:t>
      </w:r>
      <w:r w:rsidR="008C6D92" w:rsidRPr="00C73B8F">
        <w:rPr>
          <w:rFonts w:ascii="Book Antiqua" w:hAnsi="Book Antiqua" w:cs="Times New Roman"/>
          <w:sz w:val="24"/>
          <w:szCs w:val="24"/>
          <w:lang w:val="en-US"/>
        </w:rPr>
        <w:t xml:space="preserve">except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2 of the cirrhotic patients were classified </w:t>
      </w:r>
      <w:r w:rsidR="00783DE6" w:rsidRPr="00C73B8F">
        <w:rPr>
          <w:rFonts w:ascii="Book Antiqua" w:hAnsi="Book Antiqua" w:cs="Times New Roman"/>
          <w:sz w:val="24"/>
          <w:szCs w:val="24"/>
          <w:lang w:val="en-US"/>
        </w:rPr>
        <w:t xml:space="preserve">as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Child</w:t>
      </w:r>
      <w:r w:rsidR="00783DE6" w:rsidRPr="00C73B8F">
        <w:rPr>
          <w:rFonts w:ascii="Book Antiqua" w:hAnsi="Book Antiqua" w:cs="Times New Roman"/>
          <w:sz w:val="24"/>
          <w:szCs w:val="24"/>
          <w:lang w:val="en-US"/>
        </w:rPr>
        <w:t>-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Pugh</w:t>
      </w:r>
      <w:r w:rsidR="00783DE6" w:rsidRPr="00C73B8F">
        <w:rPr>
          <w:rFonts w:ascii="Book Antiqua" w:hAnsi="Book Antiqua" w:cs="Times New Roman"/>
          <w:sz w:val="24"/>
          <w:szCs w:val="24"/>
          <w:lang w:val="en-US"/>
        </w:rPr>
        <w:t xml:space="preserve"> class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A. Triple therapy was not randomized</w:t>
      </w:r>
      <w:r w:rsidR="00783DE6" w:rsidRPr="00C73B8F">
        <w:rPr>
          <w:rFonts w:ascii="Book Antiqua" w:hAnsi="Book Antiqua" w:cs="Times New Roman"/>
          <w:sz w:val="24"/>
          <w:szCs w:val="24"/>
          <w:lang w:val="en-US"/>
        </w:rPr>
        <w:t>;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TPV or BOC was selected by the patient’s physician</w:t>
      </w:r>
      <w:r w:rsidR="007E1142" w:rsidRPr="00C73B8F">
        <w:rPr>
          <w:rFonts w:ascii="Book Antiqua" w:hAnsi="Book Antiqua" w:cs="Times New Roman"/>
          <w:sz w:val="24"/>
          <w:szCs w:val="24"/>
          <w:lang w:val="en-US"/>
        </w:rPr>
        <w:t>, with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72% of the patients treated with TPV and 28% </w:t>
      </w:r>
      <w:r w:rsidR="0073112C" w:rsidRPr="00C73B8F">
        <w:rPr>
          <w:rFonts w:ascii="Book Antiqua" w:hAnsi="Book Antiqua" w:cs="Times New Roman"/>
          <w:sz w:val="24"/>
          <w:szCs w:val="24"/>
          <w:lang w:val="en-US"/>
        </w:rPr>
        <w:t xml:space="preserve">treated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with BOC. We observed no difference in the subsequent parameters for the two groups.</w:t>
      </w:r>
    </w:p>
    <w:p w14:paraId="2079B6B9" w14:textId="77777777" w:rsidR="00C76898" w:rsidRPr="00C73B8F" w:rsidRDefault="00C76898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786397CB" w14:textId="7AB4A290" w:rsidR="00C76898" w:rsidRPr="00676239" w:rsidRDefault="00C76898" w:rsidP="00C73B8F">
      <w:pPr>
        <w:spacing w:after="0" w:line="360" w:lineRule="auto"/>
        <w:jc w:val="both"/>
        <w:rPr>
          <w:rFonts w:ascii="Book Antiqua" w:eastAsia="宋体" w:hAnsi="Book Antiqua" w:cs="Times New Roman"/>
          <w:b/>
          <w:i/>
          <w:sz w:val="24"/>
          <w:szCs w:val="24"/>
          <w:lang w:val="en-US" w:eastAsia="zh-CN"/>
        </w:rPr>
      </w:pPr>
      <w:proofErr w:type="spellStart"/>
      <w:r w:rsidRPr="00676239">
        <w:rPr>
          <w:rFonts w:ascii="Book Antiqua" w:hAnsi="Book Antiqua" w:cs="Times New Roman"/>
          <w:b/>
          <w:i/>
          <w:sz w:val="24"/>
          <w:szCs w:val="24"/>
          <w:lang w:val="en-US"/>
        </w:rPr>
        <w:t>Virol</w:t>
      </w:r>
      <w:r w:rsidR="00676239" w:rsidRPr="00676239">
        <w:rPr>
          <w:rFonts w:ascii="Book Antiqua" w:hAnsi="Book Antiqua" w:cs="Times New Roman"/>
          <w:b/>
          <w:i/>
          <w:sz w:val="24"/>
          <w:szCs w:val="24"/>
          <w:lang w:val="en-US"/>
        </w:rPr>
        <w:t>ogic</w:t>
      </w:r>
      <w:proofErr w:type="spellEnd"/>
      <w:r w:rsidR="00676239" w:rsidRPr="00676239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 response to triple therapy</w:t>
      </w:r>
    </w:p>
    <w:p w14:paraId="1FC3369E" w14:textId="64BAD7BE" w:rsidR="00DF6BA9" w:rsidRPr="00C73B8F" w:rsidRDefault="00082681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>The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ov</w:t>
      </w:r>
      <w:r w:rsidR="006068B7" w:rsidRPr="00C73B8F">
        <w:rPr>
          <w:rFonts w:ascii="Book Antiqua" w:hAnsi="Book Antiqua" w:cs="Times New Roman"/>
          <w:sz w:val="24"/>
          <w:szCs w:val="24"/>
          <w:lang w:val="en-US"/>
        </w:rPr>
        <w:t>erall SVR</w:t>
      </w:r>
      <w:r w:rsidR="00A0769A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068B7" w:rsidRPr="00C73B8F">
        <w:rPr>
          <w:rFonts w:ascii="Book Antiqua" w:hAnsi="Book Antiqua" w:cs="Times New Roman"/>
          <w:sz w:val="24"/>
          <w:szCs w:val="24"/>
          <w:lang w:val="en-US"/>
        </w:rPr>
        <w:t>rate</w:t>
      </w:r>
      <w:r w:rsidR="005D4DB9" w:rsidRPr="00C73B8F">
        <w:rPr>
          <w:rFonts w:ascii="Book Antiqua" w:hAnsi="Book Antiqua" w:cs="Times New Roman"/>
          <w:sz w:val="24"/>
          <w:szCs w:val="24"/>
          <w:lang w:val="en-US"/>
        </w:rPr>
        <w:t xml:space="preserve"> (Table 2) </w:t>
      </w:r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>was 59.8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%</w:t>
      </w:r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 xml:space="preserve"> (73/122</w:t>
      </w:r>
      <w:r w:rsidR="008C7CDB" w:rsidRPr="00C73B8F">
        <w:rPr>
          <w:rFonts w:ascii="Book Antiqua" w:hAnsi="Book Antiqua" w:cs="Times New Roman"/>
          <w:sz w:val="24"/>
          <w:szCs w:val="24"/>
          <w:lang w:val="en-US"/>
        </w:rPr>
        <w:t xml:space="preserve"> patients)</w:t>
      </w:r>
      <w:r w:rsidR="00EC0268" w:rsidRPr="00C73B8F">
        <w:rPr>
          <w:rFonts w:ascii="Book Antiqua" w:hAnsi="Book Antiqua" w:cs="Times New Roman"/>
          <w:sz w:val="24"/>
          <w:szCs w:val="24"/>
          <w:lang w:val="en-US"/>
        </w:rPr>
        <w:t>. From the overall population</w:t>
      </w:r>
      <w:r w:rsidR="008C7CDB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EC0268" w:rsidRPr="00C73B8F">
        <w:rPr>
          <w:rFonts w:ascii="Book Antiqua" w:hAnsi="Book Antiqua" w:cs="Times New Roman"/>
          <w:sz w:val="24"/>
          <w:szCs w:val="24"/>
          <w:lang w:val="en-US"/>
        </w:rPr>
        <w:t xml:space="preserve"> 92 patients </w:t>
      </w:r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>(75.4</w:t>
      </w:r>
      <w:r w:rsidR="00567C6D" w:rsidRPr="00C73B8F">
        <w:rPr>
          <w:rFonts w:ascii="Book Antiqua" w:hAnsi="Book Antiqua" w:cs="Times New Roman"/>
          <w:sz w:val="24"/>
          <w:szCs w:val="24"/>
          <w:lang w:val="en-US"/>
        </w:rPr>
        <w:t xml:space="preserve">%) </w:t>
      </w:r>
      <w:r w:rsidR="00EC0268" w:rsidRPr="00C73B8F">
        <w:rPr>
          <w:rFonts w:ascii="Book Antiqua" w:hAnsi="Book Antiqua" w:cs="Times New Roman"/>
          <w:sz w:val="24"/>
          <w:szCs w:val="24"/>
          <w:lang w:val="en-US"/>
        </w:rPr>
        <w:t xml:space="preserve">had </w:t>
      </w:r>
      <w:r w:rsidR="008C7CDB" w:rsidRPr="00C73B8F">
        <w:rPr>
          <w:rFonts w:ascii="Book Antiqua" w:hAnsi="Book Antiqua" w:cs="Times New Roman"/>
          <w:sz w:val="24"/>
          <w:szCs w:val="24"/>
          <w:lang w:val="en-US"/>
        </w:rPr>
        <w:t xml:space="preserve">undetectable </w:t>
      </w:r>
      <w:r w:rsidR="007E1142" w:rsidRPr="00C73B8F">
        <w:rPr>
          <w:rFonts w:ascii="Book Antiqua" w:hAnsi="Book Antiqua" w:cs="Times New Roman"/>
          <w:sz w:val="24"/>
          <w:szCs w:val="24"/>
          <w:lang w:val="en-US"/>
        </w:rPr>
        <w:t xml:space="preserve">HCV RNA levels </w:t>
      </w:r>
      <w:r w:rsidR="00EC0268" w:rsidRPr="00C73B8F">
        <w:rPr>
          <w:rFonts w:ascii="Book Antiqua" w:hAnsi="Book Antiqua" w:cs="Times New Roman"/>
          <w:sz w:val="24"/>
          <w:szCs w:val="24"/>
          <w:lang w:val="en-US"/>
        </w:rPr>
        <w:t>at the end of triple therapy</w:t>
      </w:r>
      <w:r w:rsidR="00BE4D0A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EC0268" w:rsidRPr="00C73B8F">
        <w:rPr>
          <w:rFonts w:ascii="Book Antiqua" w:hAnsi="Book Antiqua" w:cs="Times New Roman"/>
          <w:sz w:val="24"/>
          <w:szCs w:val="24"/>
          <w:lang w:val="en-US"/>
        </w:rPr>
        <w:t xml:space="preserve"> and 19</w:t>
      </w:r>
      <w:r w:rsidR="00567C6D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E4D0A" w:rsidRPr="00C73B8F">
        <w:rPr>
          <w:rFonts w:ascii="Book Antiqua" w:hAnsi="Book Antiqua" w:cs="Times New Roman"/>
          <w:sz w:val="24"/>
          <w:szCs w:val="24"/>
          <w:lang w:val="en-US"/>
        </w:rPr>
        <w:t xml:space="preserve">patients </w:t>
      </w:r>
      <w:r w:rsidR="00567C6D" w:rsidRPr="00C73B8F">
        <w:rPr>
          <w:rFonts w:ascii="Book Antiqua" w:hAnsi="Book Antiqua" w:cs="Times New Roman"/>
          <w:sz w:val="24"/>
          <w:szCs w:val="24"/>
          <w:lang w:val="en-US"/>
        </w:rPr>
        <w:t xml:space="preserve">(20.6%) </w:t>
      </w:r>
      <w:r w:rsidR="00EC0268" w:rsidRPr="00C73B8F">
        <w:rPr>
          <w:rFonts w:ascii="Book Antiqua" w:hAnsi="Book Antiqua" w:cs="Times New Roman"/>
          <w:sz w:val="24"/>
          <w:szCs w:val="24"/>
          <w:lang w:val="en-US"/>
        </w:rPr>
        <w:t xml:space="preserve">relapsed </w:t>
      </w:r>
      <w:r w:rsidR="008C7CDB" w:rsidRPr="00C73B8F">
        <w:rPr>
          <w:rFonts w:ascii="Book Antiqua" w:hAnsi="Book Antiqua" w:cs="Times New Roman"/>
          <w:sz w:val="24"/>
          <w:szCs w:val="24"/>
          <w:lang w:val="en-US"/>
        </w:rPr>
        <w:t xml:space="preserve">during the </w:t>
      </w:r>
      <w:r w:rsidR="00567C6D" w:rsidRPr="00C73B8F">
        <w:rPr>
          <w:rFonts w:ascii="Book Antiqua" w:hAnsi="Book Antiqua" w:cs="Times New Roman"/>
          <w:sz w:val="24"/>
          <w:szCs w:val="24"/>
          <w:lang w:val="en-US"/>
        </w:rPr>
        <w:t>post</w:t>
      </w:r>
      <w:r w:rsidR="007E1142" w:rsidRPr="00C73B8F">
        <w:rPr>
          <w:rFonts w:ascii="Book Antiqua" w:hAnsi="Book Antiqua" w:cs="Times New Roman"/>
          <w:sz w:val="24"/>
          <w:szCs w:val="24"/>
          <w:lang w:val="en-US"/>
        </w:rPr>
        <w:t>-</w:t>
      </w:r>
      <w:r w:rsidR="00567C6D" w:rsidRPr="00C73B8F">
        <w:rPr>
          <w:rFonts w:ascii="Book Antiqua" w:hAnsi="Book Antiqua" w:cs="Times New Roman"/>
          <w:sz w:val="24"/>
          <w:szCs w:val="24"/>
          <w:lang w:val="en-US"/>
        </w:rPr>
        <w:t xml:space="preserve">treatment </w:t>
      </w:r>
      <w:r w:rsidR="008C7CDB" w:rsidRPr="00C73B8F">
        <w:rPr>
          <w:rFonts w:ascii="Book Antiqua" w:hAnsi="Book Antiqua" w:cs="Times New Roman"/>
          <w:sz w:val="24"/>
          <w:szCs w:val="24"/>
          <w:lang w:val="en-US"/>
        </w:rPr>
        <w:t>follow-up</w:t>
      </w:r>
      <w:r w:rsidR="00EC0268"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6068B7" w:rsidRPr="00C73B8F">
        <w:rPr>
          <w:rFonts w:ascii="Book Antiqua" w:hAnsi="Book Antiqua" w:cs="Times New Roman"/>
          <w:sz w:val="24"/>
          <w:szCs w:val="24"/>
          <w:lang w:val="en-US"/>
        </w:rPr>
        <w:t xml:space="preserve">Three of </w:t>
      </w:r>
      <w:r w:rsidR="00567C6D" w:rsidRPr="00C73B8F">
        <w:rPr>
          <w:rFonts w:ascii="Book Antiqua" w:hAnsi="Book Antiqua" w:cs="Times New Roman"/>
          <w:sz w:val="24"/>
          <w:szCs w:val="24"/>
          <w:lang w:val="en-US"/>
        </w:rPr>
        <w:t>the</w:t>
      </w:r>
      <w:r w:rsidR="006068B7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57</w:t>
      </w:r>
      <w:r w:rsidR="00567C6D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068B7" w:rsidRPr="00C73B8F">
        <w:rPr>
          <w:rFonts w:ascii="Book Antiqua" w:hAnsi="Book Antiqua" w:cs="Times New Roman"/>
          <w:sz w:val="24"/>
          <w:szCs w:val="24"/>
          <w:lang w:val="en-US"/>
        </w:rPr>
        <w:t>patients</w:t>
      </w:r>
      <w:r w:rsidR="00567C6D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068B7" w:rsidRPr="00C73B8F">
        <w:rPr>
          <w:rFonts w:ascii="Book Antiqua" w:hAnsi="Book Antiqua" w:cs="Times New Roman"/>
          <w:sz w:val="24"/>
          <w:szCs w:val="24"/>
          <w:lang w:val="en-US"/>
        </w:rPr>
        <w:t>(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5.2</w:t>
      </w:r>
      <w:r w:rsidR="006068B7" w:rsidRPr="00C73B8F">
        <w:rPr>
          <w:rFonts w:ascii="Book Antiqua" w:hAnsi="Book Antiqua" w:cs="Times New Roman"/>
          <w:sz w:val="24"/>
          <w:szCs w:val="24"/>
          <w:lang w:val="en-US"/>
        </w:rPr>
        <w:t xml:space="preserve">%) with negative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HCV</w:t>
      </w:r>
      <w:r w:rsidR="006068B7" w:rsidRPr="00C73B8F">
        <w:rPr>
          <w:rFonts w:ascii="Book Antiqua" w:hAnsi="Book Antiqua" w:cs="Times New Roman"/>
          <w:sz w:val="24"/>
          <w:szCs w:val="24"/>
          <w:lang w:val="en-US"/>
        </w:rPr>
        <w:t xml:space="preserve"> RNA</w:t>
      </w:r>
      <w:r w:rsidR="00567C6D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E5873" w:rsidRPr="00C73B8F">
        <w:rPr>
          <w:rFonts w:ascii="Book Antiqua" w:hAnsi="Book Antiqua" w:cs="Times New Roman"/>
          <w:sz w:val="24"/>
          <w:szCs w:val="24"/>
          <w:lang w:val="en-US"/>
        </w:rPr>
        <w:t xml:space="preserve">levels </w:t>
      </w:r>
      <w:r w:rsidR="00C73F0E" w:rsidRPr="00C73B8F">
        <w:rPr>
          <w:rFonts w:ascii="Book Antiqua" w:hAnsi="Book Antiqua" w:cs="Times New Roman"/>
          <w:sz w:val="24"/>
          <w:szCs w:val="24"/>
          <w:lang w:val="en-US"/>
        </w:rPr>
        <w:t xml:space="preserve">at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12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after</w:t>
      </w:r>
      <w:r w:rsidR="00567C6D" w:rsidRPr="00C73B8F">
        <w:rPr>
          <w:rFonts w:ascii="Book Antiqua" w:hAnsi="Book Antiqua" w:cs="Times New Roman"/>
          <w:sz w:val="24"/>
          <w:szCs w:val="24"/>
          <w:lang w:val="en-US"/>
        </w:rPr>
        <w:t xml:space="preserve"> the end of triple therapy</w:t>
      </w:r>
      <w:r w:rsidR="006068B7" w:rsidRPr="00C73B8F">
        <w:rPr>
          <w:rFonts w:ascii="Book Antiqua" w:hAnsi="Book Antiqua" w:cs="Times New Roman"/>
          <w:sz w:val="24"/>
          <w:szCs w:val="24"/>
          <w:lang w:val="en-US"/>
        </w:rPr>
        <w:t xml:space="preserve"> suffered a late relapse after the twelfth week. These </w:t>
      </w:r>
      <w:r w:rsidR="006E2E78" w:rsidRPr="00C73B8F">
        <w:rPr>
          <w:rFonts w:ascii="Book Antiqua" w:hAnsi="Book Antiqua" w:cs="Times New Roman"/>
          <w:sz w:val="24"/>
          <w:szCs w:val="24"/>
          <w:lang w:val="en-US"/>
        </w:rPr>
        <w:t xml:space="preserve">three </w:t>
      </w:r>
      <w:r w:rsidR="006068B7" w:rsidRPr="00C73B8F">
        <w:rPr>
          <w:rFonts w:ascii="Book Antiqua" w:hAnsi="Book Antiqua" w:cs="Times New Roman"/>
          <w:sz w:val="24"/>
          <w:szCs w:val="24"/>
          <w:lang w:val="en-US"/>
        </w:rPr>
        <w:t xml:space="preserve">patients were null-responders to previous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PR</w:t>
      </w:r>
      <w:r w:rsidR="006068B7" w:rsidRPr="00C73B8F">
        <w:rPr>
          <w:rFonts w:ascii="Book Antiqua" w:hAnsi="Book Antiqua" w:cs="Times New Roman"/>
          <w:sz w:val="24"/>
          <w:szCs w:val="24"/>
          <w:lang w:val="en-US"/>
        </w:rPr>
        <w:t xml:space="preserve"> treatment</w:t>
      </w:r>
      <w:r w:rsidR="004A051B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6068B7" w:rsidRPr="00C73B8F">
        <w:rPr>
          <w:rFonts w:ascii="Book Antiqua" w:hAnsi="Book Antiqua" w:cs="Times New Roman"/>
          <w:sz w:val="24"/>
          <w:szCs w:val="24"/>
          <w:lang w:val="en-US"/>
        </w:rPr>
        <w:t xml:space="preserve"> and one of </w:t>
      </w:r>
      <w:r w:rsidR="004A051B" w:rsidRPr="00C73B8F">
        <w:rPr>
          <w:rFonts w:ascii="Book Antiqua" w:hAnsi="Book Antiqua" w:cs="Times New Roman"/>
          <w:sz w:val="24"/>
          <w:szCs w:val="24"/>
          <w:lang w:val="en-US"/>
        </w:rPr>
        <w:t xml:space="preserve">these patients </w:t>
      </w:r>
      <w:r w:rsidR="006068B7" w:rsidRPr="00C73B8F">
        <w:rPr>
          <w:rFonts w:ascii="Book Antiqua" w:hAnsi="Book Antiqua" w:cs="Times New Roman"/>
          <w:sz w:val="24"/>
          <w:szCs w:val="24"/>
          <w:lang w:val="en-US"/>
        </w:rPr>
        <w:t xml:space="preserve">had a </w:t>
      </w:r>
      <w:r w:rsidR="008D6DD4" w:rsidRPr="00C73B8F">
        <w:rPr>
          <w:rFonts w:ascii="Book Antiqua" w:hAnsi="Book Antiqua" w:cs="Times New Roman"/>
          <w:sz w:val="24"/>
          <w:szCs w:val="24"/>
          <w:lang w:val="en-US"/>
        </w:rPr>
        <w:t>RVR</w:t>
      </w:r>
      <w:r w:rsidR="006068B7" w:rsidRPr="00C73B8F">
        <w:rPr>
          <w:rFonts w:ascii="Book Antiqua" w:hAnsi="Book Antiqua" w:cs="Times New Roman"/>
          <w:sz w:val="24"/>
          <w:szCs w:val="24"/>
          <w:lang w:val="en-US"/>
        </w:rPr>
        <w:t xml:space="preserve"> during triple therapy. </w:t>
      </w:r>
      <w:r w:rsidR="003E5873" w:rsidRPr="00C73B8F">
        <w:rPr>
          <w:rFonts w:ascii="Book Antiqua" w:hAnsi="Book Antiqua" w:cs="Times New Roman"/>
          <w:sz w:val="24"/>
          <w:szCs w:val="24"/>
          <w:lang w:val="en-US"/>
        </w:rPr>
        <w:t>The remaining</w:t>
      </w:r>
      <w:r w:rsidR="004728A6" w:rsidRPr="00C73B8F">
        <w:rPr>
          <w:rFonts w:ascii="Book Antiqua" w:hAnsi="Book Antiqua" w:cs="Times New Roman"/>
          <w:sz w:val="24"/>
          <w:szCs w:val="24"/>
          <w:lang w:val="en-US"/>
        </w:rPr>
        <w:t xml:space="preserve"> 73 patients maintained their SVR </w:t>
      </w:r>
      <w:r w:rsidR="006839CD" w:rsidRPr="00C73B8F">
        <w:rPr>
          <w:rFonts w:ascii="Book Antiqua" w:hAnsi="Book Antiqua" w:cs="Times New Roman"/>
          <w:sz w:val="24"/>
          <w:szCs w:val="24"/>
          <w:lang w:val="en-US"/>
        </w:rPr>
        <w:t>until</w:t>
      </w:r>
      <w:r w:rsidR="00E16EC6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728A6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end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367209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follow-up </w:t>
      </w:r>
      <w:r w:rsidR="00367209" w:rsidRPr="00C73B8F">
        <w:rPr>
          <w:rFonts w:ascii="Book Antiqua" w:hAnsi="Book Antiqua" w:cs="Times New Roman"/>
          <w:sz w:val="24"/>
          <w:szCs w:val="24"/>
          <w:lang w:val="en-US"/>
        </w:rPr>
        <w:t xml:space="preserve">period, </w:t>
      </w:r>
      <w:r w:rsidR="004728A6" w:rsidRPr="00C73B8F">
        <w:rPr>
          <w:rFonts w:ascii="Book Antiqua" w:hAnsi="Book Antiqua" w:cs="Times New Roman"/>
          <w:sz w:val="24"/>
          <w:szCs w:val="24"/>
          <w:lang w:val="en-US"/>
        </w:rPr>
        <w:t xml:space="preserve">24 </w:t>
      </w:r>
      <w:proofErr w:type="spellStart"/>
      <w:r w:rsidR="004728A6"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="004728A6" w:rsidRPr="00C73B8F">
        <w:rPr>
          <w:rFonts w:ascii="Book Antiqua" w:hAnsi="Book Antiqua" w:cs="Times New Roman"/>
          <w:sz w:val="24"/>
          <w:szCs w:val="24"/>
          <w:lang w:val="en-US"/>
        </w:rPr>
        <w:t xml:space="preserve"> after triple therapy withdrawal. </w:t>
      </w:r>
      <w:r w:rsidR="00F94DAA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SVR </w:t>
      </w:r>
      <w:r w:rsidR="00F94DAA" w:rsidRPr="00C73B8F">
        <w:rPr>
          <w:rFonts w:ascii="Book Antiqua" w:hAnsi="Book Antiqua" w:cs="Times New Roman"/>
          <w:sz w:val="24"/>
          <w:szCs w:val="24"/>
          <w:lang w:val="en-US"/>
        </w:rPr>
        <w:t xml:space="preserve">rate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was higher</w:t>
      </w:r>
      <w:r w:rsidR="00A0769A" w:rsidRPr="00C73B8F">
        <w:rPr>
          <w:rFonts w:ascii="Book Antiqua" w:hAnsi="Book Antiqua" w:cs="Times New Roman"/>
          <w:sz w:val="24"/>
          <w:szCs w:val="24"/>
          <w:lang w:val="en-US"/>
        </w:rPr>
        <w:t xml:space="preserve"> (Table 2)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in the TPV group (65.9%) than in</w:t>
      </w:r>
      <w:r w:rsidR="00A428DD" w:rsidRPr="00C73B8F">
        <w:rPr>
          <w:rFonts w:ascii="Book Antiqua" w:hAnsi="Book Antiqua" w:cs="Times New Roman"/>
          <w:sz w:val="24"/>
          <w:szCs w:val="24"/>
          <w:lang w:val="en-US"/>
        </w:rPr>
        <w:t xml:space="preserve"> the BOC group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[</w:t>
      </w:r>
      <w:r w:rsidR="00A428DD" w:rsidRPr="00C73B8F">
        <w:rPr>
          <w:rFonts w:ascii="Book Antiqua" w:hAnsi="Book Antiqua" w:cs="Times New Roman"/>
          <w:sz w:val="24"/>
          <w:szCs w:val="24"/>
          <w:lang w:val="en-US"/>
        </w:rPr>
        <w:t xml:space="preserve">44.1%; </w:t>
      </w:r>
      <w:r w:rsidR="00676239" w:rsidRPr="0067623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A428DD" w:rsidRPr="00C73B8F">
        <w:rPr>
          <w:rFonts w:ascii="Book Antiqua" w:hAnsi="Book Antiqua" w:cs="Times New Roman"/>
          <w:sz w:val="24"/>
          <w:szCs w:val="24"/>
          <w:lang w:val="en-US"/>
        </w:rPr>
        <w:t> = 0.0276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, OR = 2.49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1.1, 5</w:t>
      </w:r>
      <w:r w:rsidR="00762083" w:rsidRPr="00C73B8F">
        <w:rPr>
          <w:rFonts w:ascii="Book Antiqua" w:hAnsi="Book Antiqua" w:cs="Times New Roman"/>
          <w:sz w:val="24"/>
          <w:szCs w:val="24"/>
          <w:lang w:val="en-US"/>
        </w:rPr>
        <w:t>.5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</w:t>
      </w:r>
      <w:r w:rsidR="00762083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univariate</w:t>
      </w:r>
      <w:proofErr w:type="spellEnd"/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analysis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]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DF06BD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SVR </w:t>
      </w:r>
      <w:r w:rsidR="00DF06BD" w:rsidRPr="00C73B8F">
        <w:rPr>
          <w:rFonts w:ascii="Book Antiqua" w:hAnsi="Book Antiqua" w:cs="Times New Roman"/>
          <w:sz w:val="24"/>
          <w:szCs w:val="24"/>
          <w:lang w:val="en-US"/>
        </w:rPr>
        <w:t xml:space="preserve">rate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was not significantly influenced by the HCV subtype (1a or 1b), IL</w:t>
      </w:r>
      <w:r w:rsidR="00E16EC6" w:rsidRPr="00C73B8F">
        <w:rPr>
          <w:rFonts w:ascii="Book Antiqua" w:hAnsi="Book Antiqua" w:cs="Times New Roman"/>
          <w:sz w:val="24"/>
          <w:szCs w:val="24"/>
          <w:lang w:val="en-US"/>
        </w:rPr>
        <w:t>-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28B genotype or viral load at baseline. Non-c</w:t>
      </w:r>
      <w:r w:rsidR="0025620C" w:rsidRPr="00C73B8F">
        <w:rPr>
          <w:rFonts w:ascii="Book Antiqua" w:hAnsi="Book Antiqua" w:cs="Times New Roman"/>
          <w:sz w:val="24"/>
          <w:szCs w:val="24"/>
          <w:lang w:val="en-US"/>
        </w:rPr>
        <w:t>irrhotic patients tended to have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a better SVR than </w:t>
      </w:r>
      <w:r w:rsidR="00A3243E" w:rsidRPr="00C73B8F">
        <w:rPr>
          <w:rFonts w:ascii="Book Antiqua" w:hAnsi="Book Antiqua" w:cs="Times New Roman"/>
          <w:sz w:val="24"/>
          <w:szCs w:val="24"/>
          <w:lang w:val="en-US"/>
        </w:rPr>
        <w:t>the patients</w:t>
      </w:r>
      <w:r w:rsidR="00E16EC6" w:rsidRPr="00C73B8F">
        <w:rPr>
          <w:rFonts w:ascii="Book Antiqua" w:hAnsi="Book Antiqua" w:cs="Times New Roman"/>
          <w:sz w:val="24"/>
          <w:szCs w:val="24"/>
          <w:lang w:val="en-US"/>
        </w:rPr>
        <w:t xml:space="preserve"> with cirrhosis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(Table 2)</w:t>
      </w:r>
      <w:r w:rsidR="008859F0" w:rsidRPr="00C73B8F">
        <w:rPr>
          <w:rFonts w:ascii="Book Antiqua" w:hAnsi="Book Antiqua" w:cs="Times New Roman"/>
          <w:sz w:val="24"/>
          <w:szCs w:val="24"/>
          <w:lang w:val="en-US"/>
        </w:rPr>
        <w:t>; however, this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difference </w:t>
      </w:r>
      <w:r w:rsidR="00265F5B" w:rsidRPr="00C73B8F">
        <w:rPr>
          <w:rFonts w:ascii="Book Antiqua" w:hAnsi="Book Antiqua" w:cs="Times New Roman"/>
          <w:sz w:val="24"/>
          <w:szCs w:val="24"/>
          <w:lang w:val="en-US"/>
        </w:rPr>
        <w:t xml:space="preserve">did not reach statistical significance </w:t>
      </w:r>
      <w:r w:rsidR="00CF067E" w:rsidRPr="00C73B8F">
        <w:rPr>
          <w:rFonts w:ascii="Book Antiqua" w:hAnsi="Book Antiqua" w:cs="Times New Roman"/>
          <w:sz w:val="24"/>
          <w:szCs w:val="24"/>
          <w:lang w:val="en-US"/>
        </w:rPr>
        <w:t xml:space="preserve">(68.6% for </w:t>
      </w:r>
      <w:proofErr w:type="spellStart"/>
      <w:r w:rsidR="00CF067E"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="00CF067E" w:rsidRPr="00C73B8F">
        <w:rPr>
          <w:rFonts w:ascii="Book Antiqua" w:hAnsi="Book Antiqua" w:cs="Times New Roman"/>
          <w:sz w:val="24"/>
          <w:szCs w:val="24"/>
          <w:lang w:val="en-US"/>
        </w:rPr>
        <w:t xml:space="preserve"> F3 and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56.3% f</w:t>
      </w:r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 xml:space="preserve">or </w:t>
      </w:r>
      <w:proofErr w:type="spellStart"/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 xml:space="preserve"> F4, </w:t>
      </w:r>
      <w:r w:rsidR="00676239" w:rsidRPr="0067623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EC682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>=</w:t>
      </w:r>
      <w:r w:rsidR="00EC682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>0.212). Only 23 of the 52 patients (44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%) in the subgroup of very difficult-to-treat patients</w:t>
      </w:r>
      <w:r w:rsidR="00E16EC6" w:rsidRPr="00C73B8F">
        <w:rPr>
          <w:rFonts w:ascii="Book Antiqua" w:hAnsi="Book Antiqua" w:cs="Times New Roman"/>
          <w:sz w:val="24"/>
          <w:szCs w:val="24"/>
          <w:lang w:val="en-US"/>
        </w:rPr>
        <w:t xml:space="preserve"> (those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with cirrhosis and a null-response to prior therapy</w:t>
      </w:r>
      <w:r w:rsidR="00E16EC6" w:rsidRPr="00C73B8F">
        <w:rPr>
          <w:rFonts w:ascii="Book Antiqua" w:hAnsi="Book Antiqua" w:cs="Times New Roman"/>
          <w:sz w:val="24"/>
          <w:szCs w:val="24"/>
          <w:lang w:val="en-US"/>
        </w:rPr>
        <w:t>)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5620C" w:rsidRPr="00C73B8F">
        <w:rPr>
          <w:rFonts w:ascii="Book Antiqua" w:hAnsi="Book Antiqua" w:cs="Times New Roman"/>
          <w:sz w:val="24"/>
          <w:szCs w:val="24"/>
          <w:lang w:val="en-US"/>
        </w:rPr>
        <w:t>achieved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025C0" w:rsidRPr="00C73B8F">
        <w:rPr>
          <w:rFonts w:ascii="Book Antiqua" w:hAnsi="Book Antiqua" w:cs="Times New Roman"/>
          <w:sz w:val="24"/>
          <w:szCs w:val="24"/>
          <w:lang w:val="en-US"/>
        </w:rPr>
        <w:t>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="00D025C0" w:rsidRPr="00C73B8F">
        <w:rPr>
          <w:rFonts w:ascii="Book Antiqua" w:hAnsi="Book Antiqua" w:cs="Times New Roman"/>
          <w:sz w:val="24"/>
          <w:szCs w:val="24"/>
          <w:lang w:val="en-US"/>
        </w:rPr>
        <w:t xml:space="preserve"> SVR</w:t>
      </w:r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62546F" w:rsidRPr="00C73B8F">
        <w:rPr>
          <w:rFonts w:ascii="Book Antiqua" w:hAnsi="Book Antiqua" w:cs="Times New Roman"/>
          <w:sz w:val="24"/>
          <w:szCs w:val="24"/>
          <w:lang w:val="en-US"/>
        </w:rPr>
        <w:t xml:space="preserve">Among </w:t>
      </w:r>
      <w:r w:rsidR="00510EDC" w:rsidRPr="00C73B8F">
        <w:rPr>
          <w:rFonts w:ascii="Book Antiqua" w:hAnsi="Book Antiqua" w:cs="Times New Roman"/>
          <w:sz w:val="24"/>
          <w:szCs w:val="24"/>
          <w:lang w:val="en-US"/>
        </w:rPr>
        <w:t xml:space="preserve">these </w:t>
      </w:r>
      <w:r w:rsidR="003F1770" w:rsidRPr="00C73B8F">
        <w:rPr>
          <w:rFonts w:ascii="Book Antiqua" w:hAnsi="Book Antiqua" w:cs="Times New Roman"/>
          <w:sz w:val="24"/>
          <w:szCs w:val="24"/>
          <w:lang w:val="en-US"/>
        </w:rPr>
        <w:t xml:space="preserve">SVR </w:t>
      </w:r>
      <w:r w:rsidR="00510EDC" w:rsidRPr="00C73B8F">
        <w:rPr>
          <w:rFonts w:ascii="Book Antiqua" w:hAnsi="Book Antiqua" w:cs="Times New Roman"/>
          <w:sz w:val="24"/>
          <w:szCs w:val="24"/>
          <w:lang w:val="en-US"/>
        </w:rPr>
        <w:t>patients</w:t>
      </w:r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>, 20/23 (8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7%) </w:t>
      </w:r>
      <w:r w:rsidR="0062546F" w:rsidRPr="00C73B8F">
        <w:rPr>
          <w:rFonts w:ascii="Book Antiqua" w:hAnsi="Book Antiqua" w:cs="Times New Roman"/>
          <w:sz w:val="24"/>
          <w:szCs w:val="24"/>
          <w:lang w:val="en-US"/>
        </w:rPr>
        <w:t>were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given TPV</w:t>
      </w:r>
      <w:r w:rsidR="00281AAF" w:rsidRPr="00C73B8F">
        <w:rPr>
          <w:rFonts w:ascii="Book Antiqua" w:hAnsi="Book Antiqua" w:cs="Times New Roman"/>
          <w:sz w:val="24"/>
          <w:szCs w:val="24"/>
          <w:lang w:val="en-US"/>
        </w:rPr>
        <w:t xml:space="preserve"> triple therapy and 3/23</w:t>
      </w:r>
      <w:r w:rsidR="00FC1BFE" w:rsidRPr="00C73B8F">
        <w:rPr>
          <w:rFonts w:ascii="Book Antiqua" w:hAnsi="Book Antiqua" w:cs="Times New Roman"/>
          <w:sz w:val="24"/>
          <w:szCs w:val="24"/>
          <w:lang w:val="en-US"/>
        </w:rPr>
        <w:t xml:space="preserve"> (13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%</w:t>
      </w:r>
      <w:r w:rsidR="008475B9" w:rsidRPr="00C73B8F">
        <w:rPr>
          <w:rFonts w:ascii="Book Antiqua" w:hAnsi="Book Antiqua" w:cs="Times New Roman"/>
          <w:sz w:val="24"/>
          <w:szCs w:val="24"/>
          <w:lang w:val="en-US"/>
        </w:rPr>
        <w:t>)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02964" w:rsidRPr="00C73B8F">
        <w:rPr>
          <w:rFonts w:ascii="Book Antiqua" w:hAnsi="Book Antiqua" w:cs="Times New Roman"/>
          <w:sz w:val="24"/>
          <w:szCs w:val="24"/>
          <w:lang w:val="en-US"/>
        </w:rPr>
        <w:t xml:space="preserve">were given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BOC triple therapy. Neither decreasing the </w:t>
      </w:r>
      <w:r w:rsidR="00762083" w:rsidRPr="00C73B8F">
        <w:rPr>
          <w:rFonts w:ascii="Book Antiqua" w:hAnsi="Book Antiqua" w:cs="Times New Roman"/>
          <w:sz w:val="24"/>
          <w:szCs w:val="24"/>
          <w:lang w:val="en-US"/>
        </w:rPr>
        <w:t>ribavirin dosage nor anemia was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associated with a loss of SVR (Table 2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>).</w:t>
      </w:r>
      <w:r w:rsidR="00762083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1F130638" w14:textId="397C1BC1" w:rsidR="00DF6BA9" w:rsidRPr="00C73B8F" w:rsidRDefault="00762083" w:rsidP="00676239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>Patients who</w:t>
      </w:r>
      <w:r w:rsidR="008D6DD4" w:rsidRPr="00C73B8F">
        <w:rPr>
          <w:rFonts w:ascii="Book Antiqua" w:hAnsi="Book Antiqua" w:cs="Times New Roman"/>
          <w:sz w:val="24"/>
          <w:szCs w:val="24"/>
          <w:lang w:val="en-US"/>
        </w:rPr>
        <w:t xml:space="preserve"> exhibited </w:t>
      </w:r>
      <w:r w:rsidR="00246D10" w:rsidRPr="00C73B8F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8D6DD4" w:rsidRPr="00C73B8F">
        <w:rPr>
          <w:rFonts w:ascii="Book Antiqua" w:hAnsi="Book Antiqua" w:cs="Times New Roman"/>
          <w:sz w:val="24"/>
          <w:szCs w:val="24"/>
          <w:lang w:val="en-US"/>
        </w:rPr>
        <w:t xml:space="preserve">RVR </w:t>
      </w:r>
      <w:r w:rsidR="00CF067E" w:rsidRPr="00C73B8F">
        <w:rPr>
          <w:rFonts w:ascii="Book Antiqua" w:hAnsi="Book Antiqua" w:cs="Times New Roman"/>
          <w:sz w:val="24"/>
          <w:szCs w:val="24"/>
          <w:lang w:val="en-US"/>
        </w:rPr>
        <w:t>(Figure</w:t>
      </w:r>
      <w:r w:rsidR="008D6DD4" w:rsidRPr="00C73B8F">
        <w:rPr>
          <w:rFonts w:ascii="Book Antiqua" w:hAnsi="Book Antiqua" w:cs="Times New Roman"/>
          <w:sz w:val="24"/>
          <w:szCs w:val="24"/>
          <w:lang w:val="en-US"/>
        </w:rPr>
        <w:t xml:space="preserve"> 1A)</w:t>
      </w:r>
      <w:r w:rsidR="000B1ED1" w:rsidRPr="00C73B8F">
        <w:rPr>
          <w:rFonts w:ascii="Book Antiqua" w:hAnsi="Book Antiqua" w:cs="Times New Roman"/>
          <w:sz w:val="24"/>
          <w:szCs w:val="24"/>
          <w:lang w:val="en-US"/>
        </w:rPr>
        <w:t>, defined as a negative viral load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4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after the </w:t>
      </w:r>
      <w:r w:rsidR="002D5B87" w:rsidRPr="00C73B8F">
        <w:rPr>
          <w:rFonts w:ascii="Book Antiqua" w:hAnsi="Book Antiqua" w:cs="Times New Roman"/>
          <w:sz w:val="24"/>
          <w:szCs w:val="24"/>
          <w:lang w:val="en-US"/>
        </w:rPr>
        <w:t xml:space="preserve">initiation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of PI therapy</w:t>
      </w:r>
      <w:r w:rsidR="000B1ED1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had a better SVR than </w:t>
      </w:r>
      <w:r w:rsidR="0008735E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patients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who </w:t>
      </w:r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t>did not have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this rapid drop </w:t>
      </w:r>
      <w:r w:rsidR="00442204" w:rsidRPr="00C73B8F">
        <w:rPr>
          <w:rFonts w:ascii="Book Antiqua" w:hAnsi="Book Antiqua" w:cs="Times New Roman"/>
          <w:sz w:val="24"/>
          <w:szCs w:val="24"/>
          <w:lang w:val="en-US"/>
        </w:rPr>
        <w:t xml:space="preserve">in the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HCV RNA load (76.3</w:t>
      </w:r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t>%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B6E2D" w:rsidRPr="00676239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36.4</w:t>
      </w:r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t>%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, respectively, </w:t>
      </w:r>
      <w:r w:rsidR="00676239" w:rsidRPr="0067623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CF0070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&lt;</w:t>
      </w:r>
      <w:r w:rsidR="00CF0070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0.00</w:t>
      </w:r>
      <w:r w:rsidR="00FC1BFE" w:rsidRPr="00C73B8F">
        <w:rPr>
          <w:rFonts w:ascii="Book Antiqua" w:hAnsi="Book Antiqua" w:cs="Times New Roman"/>
          <w:sz w:val="24"/>
          <w:szCs w:val="24"/>
          <w:lang w:val="en-US"/>
        </w:rPr>
        <w:t>0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1)</w:t>
      </w:r>
      <w:r w:rsidR="008D6DD4" w:rsidRPr="00C73B8F">
        <w:rPr>
          <w:rFonts w:ascii="Book Antiqua" w:hAnsi="Book Antiqua" w:cs="Times New Roman"/>
          <w:sz w:val="24"/>
          <w:szCs w:val="24"/>
          <w:lang w:val="en-US"/>
        </w:rPr>
        <w:t>.</w:t>
      </w:r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t xml:space="preserve"> In the overall </w:t>
      </w:r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population </w:t>
      </w:r>
      <w:r w:rsidR="00CF067E" w:rsidRPr="00C73B8F">
        <w:rPr>
          <w:rFonts w:ascii="Book Antiqua" w:hAnsi="Book Antiqua" w:cs="Times New Roman"/>
          <w:sz w:val="24"/>
          <w:szCs w:val="24"/>
          <w:lang w:val="en-US"/>
        </w:rPr>
        <w:t>(Figure</w:t>
      </w:r>
      <w:r w:rsidR="00E74684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t xml:space="preserve">1B), </w:t>
      </w:r>
      <w:r w:rsidR="00FC3AF7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proofErr w:type="spellStart"/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t>relapsers</w:t>
      </w:r>
      <w:proofErr w:type="spellEnd"/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t xml:space="preserve"> to prior PR therapy had a better SVR than </w:t>
      </w:r>
      <w:r w:rsidR="00707986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t xml:space="preserve">null-responders (80% </w:t>
      </w:r>
      <w:r w:rsidR="00676239" w:rsidRPr="00676239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t xml:space="preserve"> 47.4%, </w:t>
      </w:r>
      <w:r w:rsidR="00676239" w:rsidRPr="00676239">
        <w:rPr>
          <w:rFonts w:ascii="Book Antiqua" w:hAnsi="Book Antiqua" w:cs="Times New Roman"/>
          <w:i/>
          <w:sz w:val="24"/>
          <w:szCs w:val="24"/>
          <w:lang w:val="en-US"/>
        </w:rPr>
        <w:t xml:space="preserve">P </w:t>
      </w:r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t>= 0.0004).</w:t>
      </w:r>
      <w:r w:rsidR="005931BA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t xml:space="preserve">This higher rate of SVR observed in </w:t>
      </w:r>
      <w:r w:rsidR="00FC3AF7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t xml:space="preserve">prior PR </w:t>
      </w:r>
      <w:proofErr w:type="spellStart"/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t>relapsers</w:t>
      </w:r>
      <w:proofErr w:type="spellEnd"/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t xml:space="preserve"> compared </w:t>
      </w:r>
      <w:r w:rsidR="009827B0" w:rsidRPr="00C73B8F">
        <w:rPr>
          <w:rFonts w:ascii="Book Antiqua" w:hAnsi="Book Antiqua" w:cs="Times New Roman"/>
          <w:sz w:val="24"/>
          <w:szCs w:val="24"/>
          <w:lang w:val="en-US"/>
        </w:rPr>
        <w:t xml:space="preserve">with the </w:t>
      </w:r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t xml:space="preserve">null-responders remained significant in </w:t>
      </w:r>
      <w:r w:rsidR="00FD0D62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t xml:space="preserve">TPV or BOC subgroups (80.6% </w:t>
      </w:r>
      <w:r w:rsidR="00676239" w:rsidRPr="00676239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t xml:space="preserve"> 54.9%, 77.8% </w:t>
      </w:r>
      <w:r w:rsidR="008B6E2D" w:rsidRPr="00676239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t xml:space="preserve"> 32%, respectively, </w:t>
      </w:r>
      <w:r w:rsidR="00676239" w:rsidRPr="0067623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491B4B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F6BA9" w:rsidRPr="00C73B8F">
        <w:rPr>
          <w:rFonts w:ascii="Book Antiqua" w:hAnsi="Book Antiqua" w:cs="Times New Roman"/>
          <w:sz w:val="24"/>
          <w:szCs w:val="24"/>
          <w:lang w:val="en-US"/>
        </w:rPr>
        <w:t>&lt; 0.05)</w:t>
      </w:r>
      <w:r w:rsidR="007A3FDD" w:rsidRPr="00C73B8F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7E25C60" w14:textId="6CDA17B8" w:rsidR="00C76898" w:rsidRPr="00C73B8F" w:rsidRDefault="00683835" w:rsidP="00676239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>Overall, i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>n the triple therapy population</w:t>
      </w:r>
      <w:r w:rsidR="00DA1CCC" w:rsidRPr="00C73B8F">
        <w:rPr>
          <w:rFonts w:ascii="Book Antiqua" w:hAnsi="Book Antiqua" w:cs="Times New Roman"/>
          <w:sz w:val="24"/>
          <w:szCs w:val="24"/>
          <w:lang w:val="en-US"/>
        </w:rPr>
        <w:t xml:space="preserve"> (Table</w:t>
      </w:r>
      <w:r w:rsidR="00002D47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A1CCC" w:rsidRPr="00C73B8F">
        <w:rPr>
          <w:rFonts w:ascii="Book Antiqua" w:hAnsi="Book Antiqua" w:cs="Times New Roman"/>
          <w:sz w:val="24"/>
          <w:szCs w:val="24"/>
          <w:lang w:val="en-US"/>
        </w:rPr>
        <w:t>2)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8508F2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>liver stiffness (LS) value</w:t>
      </w:r>
      <w:r w:rsidR="007A3FDD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A3FDD" w:rsidRPr="00C73B8F">
        <w:rPr>
          <w:rFonts w:ascii="Book Antiqua" w:hAnsi="Book Antiqua" w:cs="Times New Roman"/>
          <w:sz w:val="24"/>
          <w:szCs w:val="24"/>
          <w:lang w:val="en-US"/>
        </w:rPr>
        <w:t xml:space="preserve">were </w:t>
      </w:r>
      <w:r w:rsidR="00A428DD" w:rsidRPr="00C73B8F">
        <w:rPr>
          <w:rFonts w:ascii="Book Antiqua" w:hAnsi="Book Antiqua" w:cs="Times New Roman"/>
          <w:sz w:val="24"/>
          <w:szCs w:val="24"/>
          <w:lang w:val="en-US"/>
        </w:rPr>
        <w:t>significantly lower (</w:t>
      </w:r>
      <w:r w:rsidR="00676239" w:rsidRPr="0067623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450BF4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428DD" w:rsidRPr="00C73B8F">
        <w:rPr>
          <w:rFonts w:ascii="Book Antiqua" w:hAnsi="Book Antiqua" w:cs="Times New Roman"/>
          <w:sz w:val="24"/>
          <w:szCs w:val="24"/>
          <w:lang w:val="en-US"/>
        </w:rPr>
        <w:t>=</w:t>
      </w:r>
      <w:r w:rsidR="00450BF4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428DD" w:rsidRPr="00C73B8F">
        <w:rPr>
          <w:rFonts w:ascii="Book Antiqua" w:hAnsi="Book Antiqua" w:cs="Times New Roman"/>
          <w:sz w:val="24"/>
          <w:szCs w:val="24"/>
          <w:lang w:val="en-US"/>
        </w:rPr>
        <w:t>0.0296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>)</w:t>
      </w:r>
      <w:r w:rsidR="00762083" w:rsidRPr="00C73B8F">
        <w:rPr>
          <w:rFonts w:ascii="Book Antiqua" w:hAnsi="Book Antiqua" w:cs="Times New Roman"/>
          <w:sz w:val="24"/>
          <w:szCs w:val="24"/>
          <w:lang w:val="en-US"/>
        </w:rPr>
        <w:t xml:space="preserve"> in </w:t>
      </w:r>
      <w:r w:rsidR="00450BF4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762083" w:rsidRPr="00C73B8F">
        <w:rPr>
          <w:rFonts w:ascii="Book Antiqua" w:hAnsi="Book Antiqua" w:cs="Times New Roman"/>
          <w:sz w:val="24"/>
          <w:szCs w:val="24"/>
          <w:lang w:val="en-US"/>
        </w:rPr>
        <w:t>patients with 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="00762083" w:rsidRPr="00C73B8F">
        <w:rPr>
          <w:rFonts w:ascii="Book Antiqua" w:hAnsi="Book Antiqua" w:cs="Times New Roman"/>
          <w:sz w:val="24"/>
          <w:szCs w:val="24"/>
          <w:lang w:val="en-US"/>
        </w:rPr>
        <w:t xml:space="preserve"> SVR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[</w:t>
      </w:r>
      <w:r w:rsidR="00002D47" w:rsidRPr="00C73B8F">
        <w:rPr>
          <w:rFonts w:ascii="Book Antiqua" w:hAnsi="Book Antiqua" w:cs="Times New Roman"/>
          <w:sz w:val="24"/>
          <w:szCs w:val="24"/>
          <w:lang w:val="en-US"/>
        </w:rPr>
        <w:t>median:</w:t>
      </w:r>
      <w:r w:rsidR="005931BA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62083" w:rsidRPr="00C73B8F">
        <w:rPr>
          <w:rFonts w:ascii="Book Antiqua" w:hAnsi="Book Antiqua" w:cs="Times New Roman"/>
          <w:sz w:val="24"/>
          <w:szCs w:val="24"/>
          <w:lang w:val="en-US"/>
        </w:rPr>
        <w:t xml:space="preserve">13.9 </w:t>
      </w:r>
      <w:proofErr w:type="spellStart"/>
      <w:r w:rsidR="00171621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 xml:space="preserve">, IQR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>9.4-19.7</w:t>
      </w:r>
      <w:r w:rsidR="00676239" w:rsidRPr="00C73B8F">
        <w:rPr>
          <w:rFonts w:ascii="Book Antiqua" w:hAnsi="Book Antiqua" w:cs="Times New Roman"/>
          <w:sz w:val="24"/>
          <w:szCs w:val="24"/>
          <w:lang w:val="en-US"/>
        </w:rPr>
        <w:t>)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 xml:space="preserve">] than in </w:t>
      </w:r>
      <w:r w:rsidR="001D6DB5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>patients who failed to have 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 xml:space="preserve"> SVR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[</w:t>
      </w:r>
      <w:r w:rsidR="00002D47" w:rsidRPr="00C73B8F">
        <w:rPr>
          <w:rFonts w:ascii="Book Antiqua" w:hAnsi="Book Antiqua" w:cs="Times New Roman"/>
          <w:sz w:val="24"/>
          <w:szCs w:val="24"/>
          <w:lang w:val="en-US"/>
        </w:rPr>
        <w:t xml:space="preserve">median: 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>17.3</w:t>
      </w:r>
      <w:r w:rsidR="00762083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171621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 xml:space="preserve">, IQR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>11.5-28.8</w:t>
      </w:r>
      <w:r w:rsidR="00676239" w:rsidRPr="00C73B8F">
        <w:rPr>
          <w:rFonts w:ascii="Book Antiqua" w:hAnsi="Book Antiqua" w:cs="Times New Roman"/>
          <w:sz w:val="24"/>
          <w:szCs w:val="24"/>
          <w:lang w:val="en-US"/>
        </w:rPr>
        <w:t>)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 xml:space="preserve">].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The corresponding area under the ROC curve</w:t>
      </w:r>
      <w:r w:rsidR="00DA1CCC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F067E" w:rsidRPr="00C73B8F">
        <w:rPr>
          <w:rFonts w:ascii="Book Antiqua" w:hAnsi="Book Antiqua" w:cs="Times New Roman"/>
          <w:sz w:val="24"/>
          <w:szCs w:val="24"/>
          <w:lang w:val="en-US"/>
        </w:rPr>
        <w:t>(Figure</w:t>
      </w:r>
      <w:r w:rsidR="002245DE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A1CCC" w:rsidRPr="00C73B8F">
        <w:rPr>
          <w:rFonts w:ascii="Book Antiqua" w:hAnsi="Book Antiqua" w:cs="Times New Roman"/>
          <w:sz w:val="24"/>
          <w:szCs w:val="24"/>
          <w:lang w:val="en-US"/>
        </w:rPr>
        <w:t>2)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predicting SVR was 0.64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0.52- 0.76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. The optimal LS cut-off value associated with </w:t>
      </w:r>
      <w:r w:rsidR="0060524B" w:rsidRPr="00C73B8F">
        <w:rPr>
          <w:rFonts w:ascii="Book Antiqua" w:hAnsi="Book Antiqua" w:cs="Times New Roman"/>
          <w:sz w:val="24"/>
          <w:szCs w:val="24"/>
          <w:lang w:val="en-US"/>
        </w:rPr>
        <w:t>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="0060524B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SVR was 21.3 </w:t>
      </w:r>
      <w:proofErr w:type="spellStart"/>
      <w:r w:rsidR="00171621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, which had a predictive positive value of 66.7%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43, 85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and a negative predictive value of 70%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57, 80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>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 xml:space="preserve"> SVR occurred in 70% of the patients with a LS below 21.3 </w:t>
      </w:r>
      <w:proofErr w:type="spellStart"/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 xml:space="preserve"> and in 33.3% of the patients with a LS of up to 21.3 </w:t>
      </w:r>
      <w:proofErr w:type="spellStart"/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676239" w:rsidRPr="0067623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 xml:space="preserve"> = 0.002).</w:t>
      </w:r>
    </w:p>
    <w:p w14:paraId="01FE940A" w14:textId="0D0E4B1D" w:rsidR="00C76898" w:rsidRPr="00C73B8F" w:rsidRDefault="001D71FA" w:rsidP="00676239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The logistic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regression analysis </w:t>
      </w:r>
      <w:r w:rsidR="00CF067E" w:rsidRPr="00C73B8F">
        <w:rPr>
          <w:rFonts w:ascii="Book Antiqua" w:hAnsi="Book Antiqua" w:cs="Times New Roman"/>
          <w:sz w:val="24"/>
          <w:szCs w:val="24"/>
          <w:lang w:val="en-US"/>
        </w:rPr>
        <w:t xml:space="preserve">(Table </w:t>
      </w:r>
      <w:r w:rsidR="00DA1CCC" w:rsidRPr="00C73B8F">
        <w:rPr>
          <w:rFonts w:ascii="Book Antiqua" w:hAnsi="Book Antiqua" w:cs="Times New Roman"/>
          <w:sz w:val="24"/>
          <w:szCs w:val="24"/>
          <w:lang w:val="en-US"/>
        </w:rPr>
        <w:t xml:space="preserve">2)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showed that only </w:t>
      </w:r>
      <w:r w:rsidR="006E2E78" w:rsidRPr="00C73B8F">
        <w:rPr>
          <w:rFonts w:ascii="Book Antiqua" w:hAnsi="Book Antiqua" w:cs="Times New Roman"/>
          <w:sz w:val="24"/>
          <w:szCs w:val="24"/>
          <w:lang w:val="en-US"/>
        </w:rPr>
        <w:t xml:space="preserve">three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factors were independently associated with SVR</w:t>
      </w:r>
      <w:r w:rsidR="00954492" w:rsidRPr="00C73B8F">
        <w:rPr>
          <w:rFonts w:ascii="Book Antiqua" w:hAnsi="Book Antiqua" w:cs="Times New Roman"/>
          <w:sz w:val="24"/>
          <w:szCs w:val="24"/>
          <w:lang w:val="en-US"/>
        </w:rPr>
        <w:t>. These factors were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a relapse after 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>PR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treatment, the LS value, </w:t>
      </w:r>
      <w:r w:rsidR="00762083" w:rsidRPr="00C73B8F">
        <w:rPr>
          <w:rFonts w:ascii="Book Antiqua" w:hAnsi="Book Antiqua" w:cs="Times New Roman"/>
          <w:sz w:val="24"/>
          <w:szCs w:val="24"/>
          <w:lang w:val="en-US"/>
        </w:rPr>
        <w:t>and a RVR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to triple therapy. </w:t>
      </w:r>
      <w:r w:rsidR="00977641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 xml:space="preserve">SVR </w:t>
      </w:r>
      <w:r w:rsidR="00977641" w:rsidRPr="00C73B8F">
        <w:rPr>
          <w:rFonts w:ascii="Book Antiqua" w:hAnsi="Book Antiqua" w:cs="Times New Roman"/>
          <w:sz w:val="24"/>
          <w:szCs w:val="24"/>
          <w:lang w:val="en-US"/>
        </w:rPr>
        <w:t xml:space="preserve">rate 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 xml:space="preserve">was greater in </w:t>
      </w:r>
      <w:r w:rsidR="00726AEB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 xml:space="preserve">prior </w:t>
      </w:r>
      <w:proofErr w:type="spellStart"/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>relapsers</w:t>
      </w:r>
      <w:proofErr w:type="spellEnd"/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 xml:space="preserve"> than in</w:t>
      </w:r>
      <w:r w:rsidR="00726AEB" w:rsidRPr="00C73B8F">
        <w:rPr>
          <w:rFonts w:ascii="Book Antiqua" w:hAnsi="Book Antiqua" w:cs="Times New Roman"/>
          <w:sz w:val="24"/>
          <w:szCs w:val="24"/>
          <w:lang w:val="en-US"/>
        </w:rPr>
        <w:t xml:space="preserve"> the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 xml:space="preserve"> prior null-responders to PR therapy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[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 xml:space="preserve">OR 3.9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>1.4, 10.6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676239" w:rsidRPr="0067623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0B4FCC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>=</w:t>
      </w:r>
      <w:r w:rsidR="000B4FCC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E07FF" w:rsidRPr="00C73B8F">
        <w:rPr>
          <w:rFonts w:ascii="Book Antiqua" w:hAnsi="Book Antiqua" w:cs="Times New Roman"/>
          <w:sz w:val="24"/>
          <w:szCs w:val="24"/>
          <w:lang w:val="en-US"/>
        </w:rPr>
        <w:t>0.004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]</w:t>
      </w:r>
      <w:r w:rsidR="00BE07FF" w:rsidRPr="00C73B8F">
        <w:rPr>
          <w:rFonts w:ascii="Book Antiqua" w:hAnsi="Book Antiqua" w:cs="Times New Roman"/>
          <w:i/>
          <w:sz w:val="24"/>
          <w:szCs w:val="24"/>
          <w:lang w:val="en-US"/>
        </w:rPr>
        <w:t xml:space="preserve">. 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 xml:space="preserve">A LS of less than 21.3 </w:t>
      </w:r>
      <w:proofErr w:type="spellStart"/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 xml:space="preserve"> was associated with an improved response to triple therapy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[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 xml:space="preserve">OR 8.2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>2.3, 29.5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676239" w:rsidRPr="0067623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 xml:space="preserve"> = 0.001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]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75515B" w:rsidRPr="00C73B8F">
        <w:rPr>
          <w:rFonts w:ascii="Book Antiqua" w:hAnsi="Book Antiqua" w:cs="Times New Roman"/>
          <w:sz w:val="24"/>
          <w:szCs w:val="24"/>
          <w:lang w:val="en-US"/>
        </w:rPr>
        <w:t>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="0075515B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SVR was associated with </w:t>
      </w:r>
      <w:r w:rsidR="00195B0A" w:rsidRPr="00C73B8F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RVR under triple therapy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[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OR 6.9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2.48, 18.2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676239" w:rsidRPr="0067623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414805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=</w:t>
      </w:r>
      <w:r w:rsidR="00414805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0.001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]</w:t>
      </w:r>
      <w:r w:rsidR="00CD5575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defined as HCV RNA</w:t>
      </w:r>
      <w:r w:rsidR="00E95E1E" w:rsidRPr="00C73B8F">
        <w:rPr>
          <w:rFonts w:ascii="Book Antiqua" w:hAnsi="Book Antiqua" w:cs="Times New Roman"/>
          <w:sz w:val="24"/>
          <w:szCs w:val="24"/>
          <w:lang w:val="en-US"/>
        </w:rPr>
        <w:t>-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negative after 4 </w:t>
      </w:r>
      <w:proofErr w:type="spellStart"/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of antiviral treatment (week 4 in the TPV group and week 8 in the BOC group). </w:t>
      </w:r>
      <w:r w:rsidR="00A515FE" w:rsidRPr="00C73B8F">
        <w:rPr>
          <w:rFonts w:ascii="Book Antiqua" w:hAnsi="Book Antiqua" w:cs="Times New Roman"/>
          <w:sz w:val="24"/>
          <w:szCs w:val="24"/>
          <w:lang w:val="en-US"/>
        </w:rPr>
        <w:t>The m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ultivariate analysis revealed no difference in the SVRs of the TPV and BOC groups. </w:t>
      </w:r>
    </w:p>
    <w:p w14:paraId="1E81E9D9" w14:textId="77777777" w:rsidR="00C76898" w:rsidRPr="00C73B8F" w:rsidRDefault="00C76898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78F4F5BC" w14:textId="3D1F86EC" w:rsidR="00C76898" w:rsidRPr="00676239" w:rsidRDefault="00676239" w:rsidP="00C73B8F">
      <w:pPr>
        <w:spacing w:after="0" w:line="360" w:lineRule="auto"/>
        <w:jc w:val="both"/>
        <w:rPr>
          <w:rFonts w:ascii="Book Antiqua" w:eastAsia="宋体" w:hAnsi="Book Antiqua" w:cs="Times New Roman"/>
          <w:b/>
          <w:i/>
          <w:sz w:val="24"/>
          <w:szCs w:val="24"/>
          <w:lang w:val="en-US" w:eastAsia="zh-CN"/>
        </w:rPr>
      </w:pPr>
      <w:r w:rsidRPr="00676239">
        <w:rPr>
          <w:rFonts w:ascii="Book Antiqua" w:hAnsi="Book Antiqua" w:cs="Times New Roman"/>
          <w:b/>
          <w:i/>
          <w:sz w:val="24"/>
          <w:szCs w:val="24"/>
          <w:lang w:val="en-US"/>
        </w:rPr>
        <w:t>Safety</w:t>
      </w:r>
    </w:p>
    <w:p w14:paraId="68841E36" w14:textId="7E2F3F3D" w:rsidR="00C76898" w:rsidRPr="00C73B8F" w:rsidRDefault="00C76898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>Adverse events ≥</w:t>
      </w:r>
      <w:r w:rsidR="005D4DB9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grade 1 occurred in 102/124 patients (82.2%) an</w:t>
      </w:r>
      <w:r w:rsidR="00002D47" w:rsidRPr="00C73B8F">
        <w:rPr>
          <w:rFonts w:ascii="Book Antiqua" w:hAnsi="Book Antiqua" w:cs="Times New Roman"/>
          <w:sz w:val="24"/>
          <w:szCs w:val="24"/>
          <w:lang w:val="en-US"/>
        </w:rPr>
        <w:t>d were significantly more frequent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in </w:t>
      </w:r>
      <w:r w:rsidR="00911251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patients receiving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TPV (</w:t>
      </w:r>
      <w:r w:rsidRPr="00676239">
        <w:rPr>
          <w:rFonts w:ascii="Book Antiqua" w:hAnsi="Book Antiqua" w:cs="Times New Roman"/>
          <w:i/>
          <w:sz w:val="24"/>
          <w:szCs w:val="24"/>
          <w:lang w:val="en-US"/>
        </w:rPr>
        <w:t>n</w:t>
      </w:r>
      <w:r w:rsidR="005B0D83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= 79/89, 88.8%) </w:t>
      </w:r>
      <w:r w:rsidR="00911251" w:rsidRPr="00C73B8F">
        <w:rPr>
          <w:rFonts w:ascii="Book Antiqua" w:hAnsi="Book Antiqua" w:cs="Times New Roman"/>
          <w:sz w:val="24"/>
          <w:szCs w:val="24"/>
          <w:lang w:val="en-US"/>
        </w:rPr>
        <w:t xml:space="preserve">compared with the patients receiving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BOC (</w:t>
      </w:r>
      <w:r w:rsidRPr="00676239">
        <w:rPr>
          <w:rFonts w:ascii="Book Antiqua" w:hAnsi="Book Antiqua" w:cs="Times New Roman"/>
          <w:i/>
          <w:sz w:val="24"/>
          <w:szCs w:val="24"/>
          <w:lang w:val="en-US"/>
        </w:rPr>
        <w:t>n</w:t>
      </w:r>
      <w:r w:rsidR="00DD4300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=</w:t>
      </w:r>
      <w:r w:rsidR="00DD4300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23/35, 65.7%)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[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OR 4.12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1.4; 12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76239" w:rsidRPr="0067623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5B0D83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=</w:t>
      </w:r>
      <w:r w:rsidR="005B0D83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0.0059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E95E1E" w:rsidRPr="00C73B8F">
        <w:rPr>
          <w:rFonts w:ascii="Book Antiqua" w:hAnsi="Book Antiqua" w:cs="Times New Roman"/>
          <w:sz w:val="24"/>
          <w:szCs w:val="24"/>
          <w:lang w:val="en-US"/>
        </w:rPr>
        <w:t xml:space="preserve">Approximately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half of the patients (63: 50.8%) </w:t>
      </w:r>
      <w:r w:rsidR="0012687A" w:rsidRPr="00C73B8F">
        <w:rPr>
          <w:rFonts w:ascii="Book Antiqua" w:hAnsi="Book Antiqua" w:cs="Times New Roman"/>
          <w:sz w:val="24"/>
          <w:szCs w:val="24"/>
          <w:lang w:val="en-US"/>
        </w:rPr>
        <w:t>su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ffered a SAE ≥ grade 3 during treatment</w:t>
      </w:r>
      <w:r w:rsidR="00DA1CCC" w:rsidRPr="00C73B8F">
        <w:rPr>
          <w:rFonts w:ascii="Book Antiqua" w:hAnsi="Book Antiqua" w:cs="Times New Roman"/>
          <w:sz w:val="24"/>
          <w:szCs w:val="24"/>
          <w:lang w:val="en-US"/>
        </w:rPr>
        <w:t xml:space="preserve"> (Table 3)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FC55BF" w:rsidRPr="00C73B8F">
        <w:rPr>
          <w:rFonts w:ascii="Book Antiqua" w:hAnsi="Book Antiqua" w:cs="Times New Roman"/>
          <w:sz w:val="24"/>
          <w:szCs w:val="24"/>
          <w:lang w:val="en-US"/>
        </w:rPr>
        <w:t xml:space="preserve">These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grade 3 or 4 SAEs were</w:t>
      </w:r>
      <w:r w:rsidR="007B6619" w:rsidRPr="00C73B8F">
        <w:rPr>
          <w:rFonts w:ascii="Book Antiqua" w:hAnsi="Book Antiqua" w:cs="Times New Roman"/>
          <w:sz w:val="24"/>
          <w:szCs w:val="24"/>
          <w:lang w:val="en-US"/>
        </w:rPr>
        <w:t xml:space="preserve"> as follows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: thrombo</w:t>
      </w:r>
      <w:r w:rsidR="0012687A" w:rsidRPr="00C73B8F">
        <w:rPr>
          <w:rFonts w:ascii="Book Antiqua" w:hAnsi="Book Antiqua" w:cs="Times New Roman"/>
          <w:sz w:val="24"/>
          <w:szCs w:val="24"/>
          <w:lang w:val="en-US"/>
        </w:rPr>
        <w:t>cyto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penia (</w:t>
      </w:r>
      <w:r w:rsidRPr="00676239">
        <w:rPr>
          <w:rFonts w:ascii="Book Antiqua" w:hAnsi="Book Antiqua" w:cs="Times New Roman"/>
          <w:i/>
          <w:sz w:val="24"/>
          <w:szCs w:val="24"/>
          <w:lang w:val="en-US"/>
        </w:rPr>
        <w:t>n</w:t>
      </w:r>
      <w:r w:rsidR="00E34FB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= 4</w:t>
      </w:r>
      <w:r w:rsidR="00002D47" w:rsidRPr="00C73B8F">
        <w:rPr>
          <w:rFonts w:ascii="Book Antiqua" w:hAnsi="Book Antiqua" w:cs="Times New Roman"/>
          <w:sz w:val="24"/>
          <w:szCs w:val="24"/>
          <w:lang w:val="en-US"/>
        </w:rPr>
        <w:t>2, 66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%), neutropenia (</w:t>
      </w:r>
      <w:r w:rsidR="00002D47" w:rsidRPr="00676239">
        <w:rPr>
          <w:rFonts w:ascii="Book Antiqua" w:hAnsi="Book Antiqua" w:cs="Times New Roman"/>
          <w:i/>
          <w:sz w:val="24"/>
          <w:szCs w:val="24"/>
          <w:lang w:val="en-US"/>
        </w:rPr>
        <w:t>n</w:t>
      </w:r>
      <w:r w:rsidR="00E34FB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02D47" w:rsidRPr="00C73B8F">
        <w:rPr>
          <w:rFonts w:ascii="Book Antiqua" w:hAnsi="Book Antiqua" w:cs="Times New Roman"/>
          <w:sz w:val="24"/>
          <w:szCs w:val="24"/>
          <w:lang w:val="en-US"/>
        </w:rPr>
        <w:t>= 21, 33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%), anemia (</w:t>
      </w:r>
      <w:r w:rsidRPr="00676239">
        <w:rPr>
          <w:rFonts w:ascii="Book Antiqua" w:hAnsi="Book Antiqua" w:cs="Times New Roman"/>
          <w:i/>
          <w:sz w:val="24"/>
          <w:szCs w:val="24"/>
          <w:lang w:val="en-US"/>
        </w:rPr>
        <w:t>n</w:t>
      </w:r>
      <w:r w:rsidR="00E34FB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=</w:t>
      </w:r>
      <w:r w:rsidR="00E34FB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18, </w:t>
      </w:r>
      <w:r w:rsidR="00002D47" w:rsidRPr="00C73B8F">
        <w:rPr>
          <w:rFonts w:ascii="Book Antiqua" w:hAnsi="Book Antiqua" w:cs="Times New Roman"/>
          <w:sz w:val="24"/>
          <w:szCs w:val="24"/>
          <w:lang w:val="en-US"/>
        </w:rPr>
        <w:t>28.5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%), severe infection (</w:t>
      </w:r>
      <w:r w:rsidRPr="00676239">
        <w:rPr>
          <w:rFonts w:ascii="Book Antiqua" w:hAnsi="Book Antiqua" w:cs="Times New Roman"/>
          <w:i/>
          <w:sz w:val="24"/>
          <w:szCs w:val="24"/>
          <w:lang w:val="en-US"/>
        </w:rPr>
        <w:t>n</w:t>
      </w:r>
      <w:r w:rsidR="00E34FB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=</w:t>
      </w:r>
      <w:r w:rsidR="00E34FB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4, 6.3%), </w:t>
      </w:r>
      <w:r w:rsidR="005D4DB9" w:rsidRPr="00C73B8F">
        <w:rPr>
          <w:rFonts w:ascii="Book Antiqua" w:hAnsi="Book Antiqua" w:cs="Times New Roman"/>
          <w:sz w:val="24"/>
          <w:szCs w:val="24"/>
          <w:lang w:val="en-US"/>
        </w:rPr>
        <w:t>fatigue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Pr="00676239">
        <w:rPr>
          <w:rFonts w:ascii="Book Antiqua" w:hAnsi="Book Antiqua" w:cs="Times New Roman"/>
          <w:i/>
          <w:sz w:val="24"/>
          <w:szCs w:val="24"/>
          <w:lang w:val="en-US"/>
        </w:rPr>
        <w:t>n</w:t>
      </w:r>
      <w:r w:rsidR="00E34FB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=</w:t>
      </w:r>
      <w:r w:rsidR="00E34FB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3, 4.7%), skin rash (</w:t>
      </w:r>
      <w:r w:rsidRPr="00676239">
        <w:rPr>
          <w:rFonts w:ascii="Book Antiqua" w:hAnsi="Book Antiqua" w:cs="Times New Roman"/>
          <w:i/>
          <w:sz w:val="24"/>
          <w:szCs w:val="24"/>
          <w:lang w:val="en-US"/>
        </w:rPr>
        <w:t>n</w:t>
      </w:r>
      <w:r w:rsidR="00E34FB2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= 2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>, 3.2</w:t>
      </w:r>
      <w:r w:rsidR="0012687A" w:rsidRPr="00C73B8F">
        <w:rPr>
          <w:rFonts w:ascii="Book Antiqua" w:hAnsi="Book Antiqua" w:cs="Times New Roman"/>
          <w:sz w:val="24"/>
          <w:szCs w:val="24"/>
          <w:lang w:val="en-US"/>
        </w:rPr>
        <w:t>%), and hepatic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failure</w:t>
      </w:r>
      <w:r w:rsidR="00002D47" w:rsidRPr="00C73B8F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002D47" w:rsidRPr="00676239">
        <w:rPr>
          <w:rFonts w:ascii="Book Antiqua" w:hAnsi="Book Antiqua" w:cs="Times New Roman"/>
          <w:i/>
          <w:sz w:val="24"/>
          <w:szCs w:val="24"/>
          <w:lang w:val="en-US"/>
        </w:rPr>
        <w:t>n</w:t>
      </w:r>
      <w:r w:rsidR="00B45455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02D47" w:rsidRPr="00C73B8F">
        <w:rPr>
          <w:rFonts w:ascii="Book Antiqua" w:hAnsi="Book Antiqua" w:cs="Times New Roman"/>
          <w:sz w:val="24"/>
          <w:szCs w:val="24"/>
          <w:lang w:val="en-US"/>
        </w:rPr>
        <w:t>=</w:t>
      </w:r>
      <w:r w:rsidR="00B45455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02D47" w:rsidRPr="00C73B8F">
        <w:rPr>
          <w:rFonts w:ascii="Book Antiqua" w:hAnsi="Book Antiqua" w:cs="Times New Roman"/>
          <w:sz w:val="24"/>
          <w:szCs w:val="24"/>
          <w:lang w:val="en-US"/>
        </w:rPr>
        <w:t>2, 3.2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%). The total percentage exceeds 100% because some subjects had several grade 3 or 4 SAEs. None of the patients died during treatment. Neither the fibrosis stage (F3 or F4) nor the protease inhibitor used</w:t>
      </w:r>
      <w:r w:rsidR="0012687A" w:rsidRPr="00C73B8F">
        <w:rPr>
          <w:rFonts w:ascii="Book Antiqua" w:hAnsi="Book Antiqua" w:cs="Times New Roman"/>
          <w:sz w:val="24"/>
          <w:szCs w:val="24"/>
          <w:lang w:val="en-US"/>
        </w:rPr>
        <w:t xml:space="preserve"> (TPV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or</w:t>
      </w:r>
      <w:r w:rsidR="0012687A" w:rsidRPr="00C73B8F">
        <w:rPr>
          <w:rFonts w:ascii="Book Antiqua" w:hAnsi="Book Antiqua" w:cs="Times New Roman"/>
          <w:sz w:val="24"/>
          <w:szCs w:val="24"/>
          <w:lang w:val="en-US"/>
        </w:rPr>
        <w:t xml:space="preserve"> BOC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)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lastRenderedPageBreak/>
        <w:t>influenced the occurrence of SAE</w:t>
      </w:r>
      <w:r w:rsidR="00F16346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>EPO use and blood transfusion</w:t>
      </w:r>
      <w:r w:rsidR="00E17D53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 xml:space="preserve"> were analyzed among the 125 patients.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A total of 17 patients (13.6%) were given blood transfusions</w:t>
      </w:r>
      <w:r w:rsidR="00F06B87" w:rsidRPr="00C73B8F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and 65 </w:t>
      </w:r>
      <w:r w:rsidR="00F06B87" w:rsidRPr="00C73B8F">
        <w:rPr>
          <w:rFonts w:ascii="Book Antiqua" w:hAnsi="Book Antiqua" w:cs="Times New Roman"/>
          <w:sz w:val="24"/>
          <w:szCs w:val="24"/>
          <w:lang w:val="en-US"/>
        </w:rPr>
        <w:t xml:space="preserve">patients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(52%) </w:t>
      </w:r>
      <w:r w:rsidR="00F16346" w:rsidRPr="00C73B8F">
        <w:rPr>
          <w:rFonts w:ascii="Book Antiqua" w:hAnsi="Book Antiqua" w:cs="Times New Roman"/>
          <w:sz w:val="24"/>
          <w:szCs w:val="24"/>
          <w:lang w:val="en-US"/>
        </w:rPr>
        <w:t>received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2687A" w:rsidRPr="00C73B8F">
        <w:rPr>
          <w:rFonts w:ascii="Book Antiqua" w:hAnsi="Book Antiqua" w:cs="Times New Roman"/>
          <w:sz w:val="24"/>
          <w:szCs w:val="24"/>
          <w:lang w:val="en-US"/>
        </w:rPr>
        <w:t xml:space="preserve">EPO.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The frequencies of EPO use and blood transfusion</w:t>
      </w:r>
      <w:r w:rsidR="00BD4266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in the </w:t>
      </w:r>
      <w:r w:rsidR="0012687A" w:rsidRPr="00C73B8F">
        <w:rPr>
          <w:rFonts w:ascii="Book Antiqua" w:hAnsi="Book Antiqua" w:cs="Times New Roman"/>
          <w:sz w:val="24"/>
          <w:szCs w:val="24"/>
          <w:lang w:val="en-US"/>
        </w:rPr>
        <w:t>TPV and BOC</w:t>
      </w:r>
      <w:r w:rsidR="00F83BBC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groups were 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>not significantly different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Treatment was discontinued </w:t>
      </w:r>
      <w:r w:rsidR="000B79CA" w:rsidRPr="00C73B8F">
        <w:rPr>
          <w:rFonts w:ascii="Book Antiqua" w:hAnsi="Book Antiqua" w:cs="Times New Roman"/>
          <w:sz w:val="24"/>
          <w:szCs w:val="24"/>
          <w:lang w:val="en-US"/>
        </w:rPr>
        <w:t xml:space="preserve">because of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SAE</w:t>
      </w:r>
      <w:r w:rsidR="000B79CA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in 11 patients (8.9%)</w:t>
      </w:r>
      <w:r w:rsidR="00D00277" w:rsidRPr="00C73B8F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6D598DB6" w14:textId="77777777" w:rsidR="00B74297" w:rsidRDefault="00E97105" w:rsidP="00B74297">
      <w:pPr>
        <w:spacing w:after="0" w:line="360" w:lineRule="auto"/>
        <w:ind w:firstLineChars="100" w:firstLine="240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u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nivariate</w:t>
      </w:r>
      <w:proofErr w:type="spellEnd"/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analysis</w:t>
      </w:r>
      <w:r w:rsidR="00AC6F4B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028EB" w:rsidRPr="00C73B8F">
        <w:rPr>
          <w:rFonts w:ascii="Book Antiqua" w:hAnsi="Book Antiqua" w:cs="Times New Roman"/>
          <w:sz w:val="24"/>
          <w:szCs w:val="24"/>
          <w:lang w:val="en-US"/>
        </w:rPr>
        <w:t>(</w:t>
      </w:r>
      <w:r w:rsidR="00AC6F4B" w:rsidRPr="00C73B8F">
        <w:rPr>
          <w:rFonts w:ascii="Book Antiqua" w:hAnsi="Book Antiqua" w:cs="Times New Roman"/>
          <w:sz w:val="24"/>
          <w:szCs w:val="24"/>
          <w:lang w:val="en-US"/>
        </w:rPr>
        <w:t>Table 4)</w:t>
      </w:r>
      <w:r w:rsidR="00C76898" w:rsidRPr="00C73B8F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showed </w:t>
      </w:r>
      <w:r w:rsidR="006E2E78" w:rsidRPr="00C73B8F">
        <w:rPr>
          <w:rFonts w:ascii="Book Antiqua" w:hAnsi="Book Antiqua" w:cs="Times New Roman"/>
          <w:sz w:val="24"/>
          <w:szCs w:val="24"/>
          <w:lang w:val="en-US"/>
        </w:rPr>
        <w:t xml:space="preserve">four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factors associated with 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SAE during triple therapy. Women ha</w:t>
      </w:r>
      <w:r w:rsidR="00D00277" w:rsidRPr="00C73B8F">
        <w:rPr>
          <w:rFonts w:ascii="Book Antiqua" w:hAnsi="Book Antiqua" w:cs="Times New Roman"/>
          <w:sz w:val="24"/>
          <w:szCs w:val="24"/>
          <w:lang w:val="en-US"/>
        </w:rPr>
        <w:t xml:space="preserve">d SAEs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more 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>frequently</w:t>
      </w:r>
      <w:r w:rsidR="00105B86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(62.8%) than men (44.4%, </w:t>
      </w:r>
      <w:r w:rsidR="00676239" w:rsidRPr="0067623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8853DB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=</w:t>
      </w:r>
      <w:r w:rsidR="00AB02D6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0.05). </w:t>
      </w:r>
      <w:r w:rsidR="00AB02D6" w:rsidRPr="00C73B8F">
        <w:rPr>
          <w:rFonts w:ascii="Book Antiqua" w:hAnsi="Book Antiqua" w:cs="Times New Roman"/>
          <w:sz w:val="24"/>
          <w:szCs w:val="24"/>
          <w:lang w:val="en-US"/>
        </w:rPr>
        <w:t>The p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latelet counts 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 xml:space="preserve">(mean ± SD)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were lower in </w:t>
      </w:r>
      <w:r w:rsidR="00ED7EF2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patients who had a SAE (143.5 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 xml:space="preserve">± 65.4 </w:t>
      </w:r>
      <w:r w:rsidR="00676239">
        <w:rPr>
          <w:rFonts w:ascii="Book Antiqua" w:hAnsi="Book Antiqua" w:cs="Times New Roman"/>
          <w:sz w:val="24"/>
          <w:szCs w:val="24"/>
          <w:lang w:val="en-US"/>
        </w:rPr>
        <w:t>×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10</w:t>
      </w:r>
      <w:r w:rsidR="00C76898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676239">
        <w:rPr>
          <w:rFonts w:ascii="Book Antiqua" w:hAnsi="Book Antiqua" w:cs="Times New Roman"/>
          <w:sz w:val="24"/>
          <w:szCs w:val="24"/>
          <w:lang w:val="en-US"/>
        </w:rPr>
        <w:t>/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mm</w:t>
      </w:r>
      <w:r w:rsidR="00C76898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)</w:t>
      </w:r>
      <w:r w:rsidR="00C76898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than in </w:t>
      </w:r>
      <w:r w:rsidR="00802AE5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patients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with no SAE 191.1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 xml:space="preserve"> ± 54.9 </w:t>
      </w:r>
      <w:r w:rsidR="00676239">
        <w:rPr>
          <w:rFonts w:ascii="Book Antiqua" w:hAnsi="Book Antiqua" w:cs="Times New Roman"/>
          <w:sz w:val="24"/>
          <w:szCs w:val="24"/>
          <w:lang w:val="en-US"/>
        </w:rPr>
        <w:t>×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10</w:t>
      </w:r>
      <w:r w:rsidR="00C76898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676239">
        <w:rPr>
          <w:rFonts w:ascii="Book Antiqua" w:hAnsi="Book Antiqua" w:cs="Times New Roman"/>
          <w:sz w:val="24"/>
          <w:szCs w:val="24"/>
          <w:lang w:val="en-US"/>
        </w:rPr>
        <w:t>/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mm</w:t>
      </w:r>
      <w:r w:rsidR="00C76898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676239" w:rsidRPr="0067623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≤ 0.0001). SAEs were more frequent in patients with </w:t>
      </w:r>
      <w:r w:rsidR="00105B86" w:rsidRPr="00C73B8F">
        <w:rPr>
          <w:rFonts w:ascii="Book Antiqua" w:hAnsi="Book Antiqua" w:cs="Times New Roman"/>
          <w:sz w:val="24"/>
          <w:szCs w:val="24"/>
          <w:lang w:val="en-US"/>
        </w:rPr>
        <w:t>low levels of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serum albumin (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 xml:space="preserve">median: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39.4 ± 4.9 and 42 ± 4.9 g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>/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L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676239" w:rsidRPr="0067623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55674C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=</w:t>
      </w:r>
      <w:r w:rsidR="0055674C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0.02) or </w:t>
      </w:r>
      <w:r w:rsidR="004A5731" w:rsidRPr="00C73B8F">
        <w:rPr>
          <w:rFonts w:ascii="Book Antiqua" w:hAnsi="Book Antiqua" w:cs="Times New Roman"/>
          <w:sz w:val="24"/>
          <w:szCs w:val="24"/>
          <w:lang w:val="en-US"/>
        </w:rPr>
        <w:t xml:space="preserve">with a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high bilirubin concentration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[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 xml:space="preserve">median: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13.1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 xml:space="preserve">IQR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>9.1-19.1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 xml:space="preserve"> and 10.8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8-13.5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</w:t>
      </w:r>
      <w:r w:rsidR="00676239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>M/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L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676239" w:rsidRPr="0067623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>= 0.036</w:t>
      </w:r>
      <w:r w:rsidR="0067623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]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. The two factors that remained independently associated with SAE occurrence</w:t>
      </w:r>
      <w:r w:rsidR="00AC6F4B" w:rsidRPr="00C73B8F">
        <w:rPr>
          <w:rFonts w:ascii="Book Antiqua" w:hAnsi="Book Antiqua" w:cs="Times New Roman"/>
          <w:sz w:val="24"/>
          <w:szCs w:val="24"/>
          <w:lang w:val="en-US"/>
        </w:rPr>
        <w:t xml:space="preserve"> (Table 4)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were being f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 xml:space="preserve">emale </w:t>
      </w:r>
      <w:r w:rsidR="00B74297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[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 xml:space="preserve">OR 2.4 </w:t>
      </w:r>
      <w:r w:rsidR="00B74297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>1.1, 5.6</w:t>
      </w:r>
      <w:r w:rsidR="00B74297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</w:t>
      </w:r>
      <w:r w:rsidR="000B1503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74297" w:rsidRPr="00B74297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0B1503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>=</w:t>
      </w:r>
      <w:r w:rsidR="000B1503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>0.037</w:t>
      </w:r>
      <w:r w:rsidR="00B74297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]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and a platelet count </w:t>
      </w:r>
      <w:r w:rsidR="00AE547C" w:rsidRPr="00C73B8F">
        <w:rPr>
          <w:rFonts w:ascii="Book Antiqua" w:hAnsi="Book Antiqua" w:cs="Times New Roman"/>
          <w:sz w:val="24"/>
          <w:szCs w:val="24"/>
          <w:lang w:val="en-US"/>
        </w:rPr>
        <w:t xml:space="preserve">lower than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150 </w:t>
      </w:r>
      <w:r w:rsidR="00B74297">
        <w:rPr>
          <w:rFonts w:ascii="Book Antiqua" w:hAnsi="Book Antiqua" w:cs="Times New Roman"/>
          <w:sz w:val="24"/>
          <w:szCs w:val="24"/>
          <w:lang w:val="en-US"/>
        </w:rPr>
        <w:t>×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10</w:t>
      </w:r>
      <w:r w:rsidR="00C76898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/mm</w:t>
      </w:r>
      <w:r w:rsidR="00C76898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74297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[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 xml:space="preserve">OR 5.3 </w:t>
      </w:r>
      <w:r w:rsidR="00B74297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>2.3, 12.4</w:t>
      </w:r>
      <w:r w:rsidR="00B74297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</w:t>
      </w:r>
      <w:r w:rsidR="00965724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74297" w:rsidRPr="00B74297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965724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≤</w:t>
      </w:r>
      <w:r w:rsidR="00965724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0.001</w:t>
      </w:r>
      <w:r w:rsidR="00B74297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]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105B86" w:rsidRPr="00C73B8F">
        <w:rPr>
          <w:rFonts w:ascii="Book Antiqua" w:hAnsi="Book Antiqua" w:cs="Times New Roman"/>
          <w:sz w:val="24"/>
          <w:szCs w:val="24"/>
          <w:lang w:val="en-US"/>
        </w:rPr>
        <w:t xml:space="preserve">A greater number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of the patients </w:t>
      </w:r>
      <w:r w:rsidR="00105B86" w:rsidRPr="00C73B8F">
        <w:rPr>
          <w:rFonts w:ascii="Book Antiqua" w:hAnsi="Book Antiqua" w:cs="Times New Roman"/>
          <w:sz w:val="24"/>
          <w:szCs w:val="24"/>
          <w:lang w:val="en-US"/>
        </w:rPr>
        <w:t>with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platelet count</w:t>
      </w:r>
      <w:r w:rsidR="00105B86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A1D06" w:rsidRPr="00C73B8F">
        <w:rPr>
          <w:rFonts w:ascii="Book Antiqua" w:hAnsi="Book Antiqua" w:cs="Times New Roman"/>
          <w:sz w:val="24"/>
          <w:szCs w:val="24"/>
          <w:lang w:val="en-US"/>
        </w:rPr>
        <w:t xml:space="preserve">lower than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150 </w:t>
      </w:r>
      <w:r w:rsidR="00B74297">
        <w:rPr>
          <w:rFonts w:ascii="Book Antiqua" w:hAnsi="Book Antiqua" w:cs="Times New Roman"/>
          <w:sz w:val="24"/>
          <w:szCs w:val="24"/>
          <w:lang w:val="en-US"/>
        </w:rPr>
        <w:t>×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10</w:t>
      </w:r>
      <w:r w:rsidR="00C76898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B74297">
        <w:rPr>
          <w:rFonts w:ascii="Book Antiqua" w:hAnsi="Book Antiqua" w:cs="Times New Roman"/>
          <w:sz w:val="24"/>
          <w:szCs w:val="24"/>
          <w:lang w:val="en-US"/>
        </w:rPr>
        <w:t>/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mm</w:t>
      </w:r>
      <w:r w:rsidR="00C76898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(75.6</w:t>
      </w:r>
      <w:r w:rsidR="00852A91" w:rsidRPr="00C73B8F">
        <w:rPr>
          <w:rFonts w:ascii="Book Antiqua" w:hAnsi="Book Antiqua" w:cs="Times New Roman"/>
          <w:sz w:val="24"/>
          <w:szCs w:val="24"/>
          <w:lang w:val="en-US"/>
        </w:rPr>
        <w:t xml:space="preserve">%) experienced an SAE than did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those </w:t>
      </w:r>
      <w:r w:rsidR="00EE3B39" w:rsidRPr="00C73B8F">
        <w:rPr>
          <w:rFonts w:ascii="Book Antiqua" w:hAnsi="Book Antiqua" w:cs="Times New Roman"/>
          <w:sz w:val="24"/>
          <w:szCs w:val="24"/>
          <w:lang w:val="en-US"/>
        </w:rPr>
        <w:t>with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platelet count</w:t>
      </w:r>
      <w:r w:rsidR="00EE3B39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5220B" w:rsidRPr="00C73B8F">
        <w:rPr>
          <w:rFonts w:ascii="Book Antiqua" w:hAnsi="Book Antiqua" w:cs="Times New Roman"/>
          <w:sz w:val="24"/>
          <w:szCs w:val="24"/>
          <w:lang w:val="en-US"/>
        </w:rPr>
        <w:t xml:space="preserve">higher than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 xml:space="preserve">this cutoff (37.5%; </w:t>
      </w:r>
      <w:r w:rsidR="00B74297" w:rsidRPr="00B74297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740F4C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=</w:t>
      </w:r>
      <w:r w:rsidR="00740F4C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76898" w:rsidRPr="00C73B8F">
        <w:rPr>
          <w:rFonts w:ascii="Book Antiqua" w:hAnsi="Book Antiqua" w:cs="Times New Roman"/>
          <w:sz w:val="24"/>
          <w:szCs w:val="24"/>
          <w:lang w:val="en-US"/>
        </w:rPr>
        <w:t>0.0001).</w:t>
      </w:r>
      <w:bookmarkStart w:id="66" w:name="_Toc361036558"/>
    </w:p>
    <w:p w14:paraId="1B3FE44D" w14:textId="77777777" w:rsidR="00B74297" w:rsidRDefault="00B74297" w:rsidP="00B74297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72449FA0" w14:textId="7D26260D" w:rsidR="005579B3" w:rsidRPr="00B74297" w:rsidRDefault="00EF5D38" w:rsidP="00C73B8F">
      <w:pPr>
        <w:spacing w:after="0" w:line="360" w:lineRule="auto"/>
        <w:jc w:val="both"/>
        <w:rPr>
          <w:rFonts w:ascii="Book Antiqua" w:eastAsia="宋体" w:hAnsi="Book Antiqua" w:cs="Times New Roman"/>
          <w:i/>
          <w:sz w:val="24"/>
          <w:szCs w:val="24"/>
          <w:lang w:val="en-US" w:eastAsia="zh-CN"/>
        </w:rPr>
      </w:pPr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>DISCUSSION</w:t>
      </w:r>
      <w:bookmarkEnd w:id="66"/>
    </w:p>
    <w:p w14:paraId="4DACA520" w14:textId="5D72683A" w:rsidR="00CC1398" w:rsidRPr="00C73B8F" w:rsidRDefault="00987481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>PI</w:t>
      </w:r>
      <w:r w:rsidR="006116CF" w:rsidRPr="00C73B8F">
        <w:rPr>
          <w:rFonts w:ascii="Book Antiqua" w:hAnsi="Book Antiqua" w:cs="Times New Roman"/>
          <w:sz w:val="24"/>
          <w:szCs w:val="24"/>
          <w:lang w:val="en-US"/>
        </w:rPr>
        <w:t xml:space="preserve"> therapy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ha</w:t>
      </w:r>
      <w:r w:rsidR="00DA2BE5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rarely been used to treat patients with severe liver </w:t>
      </w:r>
      <w:r w:rsidR="00484B17" w:rsidRPr="00C73B8F">
        <w:rPr>
          <w:rFonts w:ascii="Book Antiqua" w:hAnsi="Book Antiqua" w:cs="Times New Roman"/>
          <w:sz w:val="24"/>
          <w:szCs w:val="24"/>
          <w:lang w:val="en-US"/>
        </w:rPr>
        <w:t xml:space="preserve">fibrosis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who failed to respond to prior treatment with PR. The few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F3 or F4 patients treated were selected from within larger studies and do not always reflect the population seen in routine clinical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practice</w:t>
      </w:r>
      <w:r w:rsidR="009E04C7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E04C7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5-10</w:t>
      </w:r>
      <w:r w:rsidR="009E04C7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The main objective of this study was to assess the effectiveness of triple therapy for difficult-to-treat patients with severe liver fibrosis who </w:t>
      </w:r>
      <w:r w:rsidR="00060F85" w:rsidRPr="00C73B8F">
        <w:rPr>
          <w:rFonts w:ascii="Book Antiqua" w:hAnsi="Book Antiqua" w:cs="Times New Roman"/>
          <w:sz w:val="24"/>
          <w:szCs w:val="24"/>
          <w:lang w:val="en-US"/>
        </w:rPr>
        <w:t>were n</w:t>
      </w:r>
      <w:r w:rsidR="00242700" w:rsidRPr="00C73B8F">
        <w:rPr>
          <w:rFonts w:ascii="Book Antiqua" w:hAnsi="Book Antiqua" w:cs="Times New Roman"/>
          <w:sz w:val="24"/>
          <w:szCs w:val="24"/>
          <w:lang w:val="en-US"/>
        </w:rPr>
        <w:t>ull-</w:t>
      </w:r>
      <w:r w:rsidR="00060F85" w:rsidRPr="00C73B8F">
        <w:rPr>
          <w:rFonts w:ascii="Book Antiqua" w:hAnsi="Book Antiqua" w:cs="Times New Roman"/>
          <w:sz w:val="24"/>
          <w:szCs w:val="24"/>
          <w:lang w:val="en-US"/>
        </w:rPr>
        <w:t xml:space="preserve">responders or </w:t>
      </w:r>
      <w:proofErr w:type="spellStart"/>
      <w:r w:rsidR="00060F85" w:rsidRPr="00C73B8F">
        <w:rPr>
          <w:rFonts w:ascii="Book Antiqua" w:hAnsi="Book Antiqua" w:cs="Times New Roman"/>
          <w:sz w:val="24"/>
          <w:szCs w:val="24"/>
          <w:lang w:val="en-US"/>
        </w:rPr>
        <w:t>relapsers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to prior PR treatment. </w:t>
      </w:r>
      <w:r w:rsidR="002E6CDA" w:rsidRPr="00C73B8F">
        <w:rPr>
          <w:rFonts w:ascii="Book Antiqua" w:hAnsi="Book Antiqua" w:cs="Times New Roman"/>
          <w:sz w:val="24"/>
          <w:szCs w:val="24"/>
          <w:lang w:val="en-US"/>
        </w:rPr>
        <w:t xml:space="preserve">It is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necessary to </w:t>
      </w:r>
      <w:r w:rsidR="002E6CDA" w:rsidRPr="00C73B8F">
        <w:rPr>
          <w:rFonts w:ascii="Book Antiqua" w:hAnsi="Book Antiqua" w:cs="Times New Roman"/>
          <w:sz w:val="24"/>
          <w:szCs w:val="24"/>
          <w:lang w:val="en-US"/>
        </w:rPr>
        <w:t xml:space="preserve">understand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how patients tolerate these treatments to identify </w:t>
      </w:r>
      <w:r w:rsidR="006F0D20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patients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most at risk of suffering severe adverse side effects. </w:t>
      </w:r>
    </w:p>
    <w:p w14:paraId="73479AF5" w14:textId="5653727A" w:rsidR="00A76401" w:rsidRPr="00C73B8F" w:rsidRDefault="00987481" w:rsidP="00B74297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>The overall SVR</w:t>
      </w:r>
      <w:r w:rsidR="00C96C28" w:rsidRPr="00C73B8F">
        <w:rPr>
          <w:rFonts w:ascii="Book Antiqua" w:hAnsi="Book Antiqua" w:cs="Times New Roman"/>
          <w:sz w:val="24"/>
          <w:szCs w:val="24"/>
          <w:lang w:val="en-US"/>
        </w:rPr>
        <w:t xml:space="preserve"> rate </w:t>
      </w:r>
      <w:r w:rsidR="000E4789" w:rsidRPr="00C73B8F">
        <w:rPr>
          <w:rFonts w:ascii="Book Antiqua" w:hAnsi="Book Antiqua" w:cs="Times New Roman"/>
          <w:sz w:val="24"/>
          <w:szCs w:val="24"/>
          <w:lang w:val="en-US"/>
        </w:rPr>
        <w:t xml:space="preserve">of 59.8% </w:t>
      </w:r>
      <w:r w:rsidR="004506D3" w:rsidRPr="00C73B8F">
        <w:rPr>
          <w:rFonts w:ascii="Book Antiqua" w:hAnsi="Book Antiqua" w:cs="Times New Roman"/>
          <w:sz w:val="24"/>
          <w:szCs w:val="24"/>
          <w:lang w:val="en-US"/>
        </w:rPr>
        <w:t xml:space="preserve">at </w:t>
      </w:r>
      <w:r w:rsidR="00C96C28" w:rsidRPr="00C73B8F">
        <w:rPr>
          <w:rFonts w:ascii="Book Antiqua" w:hAnsi="Book Antiqua" w:cs="Times New Roman"/>
          <w:sz w:val="24"/>
          <w:szCs w:val="24"/>
          <w:lang w:val="en-US"/>
        </w:rPr>
        <w:t xml:space="preserve">24 </w:t>
      </w:r>
      <w:proofErr w:type="spellStart"/>
      <w:r w:rsidR="00C96C28"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B74297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="00C96C28" w:rsidRPr="00C73B8F">
        <w:rPr>
          <w:rFonts w:ascii="Book Antiqua" w:hAnsi="Book Antiqua" w:cs="Times New Roman"/>
          <w:sz w:val="24"/>
          <w:szCs w:val="24"/>
          <w:lang w:val="en-US"/>
        </w:rPr>
        <w:t xml:space="preserve"> post-treatment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was satisfactory</w:t>
      </w:r>
      <w:r w:rsidR="00A76401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E1A90" w:rsidRPr="00C73B8F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5651B7" w:rsidRPr="00C73B8F">
        <w:rPr>
          <w:rFonts w:ascii="Book Antiqua" w:hAnsi="Book Antiqua" w:cs="Times New Roman"/>
          <w:sz w:val="24"/>
          <w:szCs w:val="24"/>
          <w:lang w:val="en-US"/>
        </w:rPr>
        <w:t xml:space="preserve">this </w:t>
      </w:r>
      <w:r w:rsidR="00242700" w:rsidRPr="00C73B8F">
        <w:rPr>
          <w:rFonts w:ascii="Book Antiqua" w:hAnsi="Book Antiqua" w:cs="Times New Roman"/>
          <w:sz w:val="24"/>
          <w:szCs w:val="24"/>
          <w:lang w:val="en-US"/>
        </w:rPr>
        <w:t>difficult</w:t>
      </w:r>
      <w:r w:rsidR="004A385B" w:rsidRPr="00C73B8F">
        <w:rPr>
          <w:rFonts w:ascii="Book Antiqua" w:hAnsi="Book Antiqua" w:cs="Times New Roman"/>
          <w:sz w:val="24"/>
          <w:szCs w:val="24"/>
          <w:lang w:val="en-US"/>
        </w:rPr>
        <w:t>-to-treat</w:t>
      </w:r>
      <w:r w:rsidR="004506D3" w:rsidRPr="00C73B8F">
        <w:rPr>
          <w:rFonts w:ascii="Book Antiqua" w:hAnsi="Book Antiqua" w:cs="Times New Roman"/>
          <w:sz w:val="24"/>
          <w:szCs w:val="24"/>
          <w:lang w:val="en-US"/>
        </w:rPr>
        <w:t xml:space="preserve"> population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This high rate shows that PI </w:t>
      </w:r>
      <w:r w:rsidR="000213D4" w:rsidRPr="00C73B8F">
        <w:rPr>
          <w:rFonts w:ascii="Book Antiqua" w:hAnsi="Book Antiqua" w:cs="Times New Roman"/>
          <w:sz w:val="24"/>
          <w:szCs w:val="24"/>
          <w:lang w:val="en-US"/>
        </w:rPr>
        <w:t>could</w:t>
      </w:r>
      <w:r w:rsidR="00212DA8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be used successfully in routine clinical practice, including for patients with severe liver fibrosis</w:t>
      </w:r>
      <w:r w:rsidR="00A76401" w:rsidRPr="00C73B8F">
        <w:rPr>
          <w:rFonts w:ascii="Book Antiqua" w:hAnsi="Book Antiqua" w:cs="Times New Roman"/>
          <w:sz w:val="24"/>
          <w:szCs w:val="24"/>
          <w:lang w:val="en-US"/>
        </w:rPr>
        <w:t>, with an efficac</w:t>
      </w:r>
      <w:r w:rsidR="004E384D" w:rsidRPr="00C73B8F">
        <w:rPr>
          <w:rFonts w:ascii="Book Antiqua" w:hAnsi="Book Antiqua" w:cs="Times New Roman"/>
          <w:sz w:val="24"/>
          <w:szCs w:val="24"/>
          <w:lang w:val="en-US"/>
        </w:rPr>
        <w:t>y equivalent to results obtain</w:t>
      </w:r>
      <w:r w:rsidR="002E6CDA" w:rsidRPr="00C73B8F">
        <w:rPr>
          <w:rFonts w:ascii="Book Antiqua" w:hAnsi="Book Antiqua" w:cs="Times New Roman"/>
          <w:sz w:val="24"/>
          <w:szCs w:val="24"/>
          <w:lang w:val="en-US"/>
        </w:rPr>
        <w:t>ed</w:t>
      </w:r>
      <w:r w:rsidR="004E384D" w:rsidRPr="00C73B8F">
        <w:rPr>
          <w:rFonts w:ascii="Book Antiqua" w:hAnsi="Book Antiqua" w:cs="Times New Roman"/>
          <w:sz w:val="24"/>
          <w:szCs w:val="24"/>
          <w:lang w:val="en-US"/>
        </w:rPr>
        <w:t xml:space="preserve"> in controlled trials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The SVR rate for patients in the RESPOND-2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trial</w:t>
      </w:r>
      <w:r w:rsidR="009E04C7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E04C7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10</w:t>
      </w:r>
      <w:r w:rsidR="009E04C7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]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with severe liver fibrosis (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F3 or F4) who failed to respond to previous treatment and were re</w:t>
      </w:r>
      <w:r w:rsidR="005D4DB9" w:rsidRPr="00C73B8F">
        <w:rPr>
          <w:rFonts w:ascii="Book Antiqua" w:hAnsi="Book Antiqua" w:cs="Times New Roman"/>
          <w:sz w:val="24"/>
          <w:szCs w:val="24"/>
          <w:lang w:val="en-US"/>
        </w:rPr>
        <w:t>treated with BOC was 55.5%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2E6CDA" w:rsidRPr="00C73B8F">
        <w:rPr>
          <w:rFonts w:ascii="Book Antiqua" w:hAnsi="Book Antiqua" w:cs="Times New Roman"/>
          <w:sz w:val="24"/>
          <w:szCs w:val="24"/>
          <w:lang w:val="en-US"/>
        </w:rPr>
        <w:t>This study, however,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was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carried out on a limited number of patients. The SVR rate for our patients treated with BOC was 44.1%. The lower response rate for our BOC-treated patients </w:t>
      </w:r>
      <w:r w:rsidR="00C6463E" w:rsidRPr="00C73B8F">
        <w:rPr>
          <w:rFonts w:ascii="Book Antiqua" w:hAnsi="Book Antiqua" w:cs="Times New Roman"/>
          <w:sz w:val="24"/>
          <w:szCs w:val="24"/>
          <w:lang w:val="en-US"/>
        </w:rPr>
        <w:t xml:space="preserve">might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be due to the type of response of these patients to the prior treatment. The majority of </w:t>
      </w:r>
      <w:r w:rsidR="0003798D" w:rsidRPr="00C73B8F">
        <w:rPr>
          <w:rFonts w:ascii="Book Antiqua" w:hAnsi="Book Antiqua" w:cs="Times New Roman"/>
          <w:sz w:val="24"/>
          <w:szCs w:val="24"/>
          <w:lang w:val="en-US"/>
        </w:rPr>
        <w:t xml:space="preserve">patients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in the RESPOND-2</w:t>
      </w:r>
      <w:r w:rsidR="00C45DAE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study</w:t>
      </w:r>
      <w:r w:rsidR="009E04C7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E04C7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10</w:t>
      </w:r>
      <w:r w:rsidR="009E04C7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]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were </w:t>
      </w:r>
      <w:proofErr w:type="spellStart"/>
      <w:r w:rsidR="00C96C28" w:rsidRPr="00C73B8F">
        <w:rPr>
          <w:rFonts w:ascii="Book Antiqua" w:hAnsi="Book Antiqua" w:cs="Times New Roman"/>
          <w:sz w:val="24"/>
          <w:szCs w:val="24"/>
          <w:lang w:val="en-US"/>
        </w:rPr>
        <w:t>relapsers</w:t>
      </w:r>
      <w:proofErr w:type="spellEnd"/>
      <w:r w:rsidR="00C96C28" w:rsidRPr="00C73B8F">
        <w:rPr>
          <w:rFonts w:ascii="Book Antiqua" w:hAnsi="Book Antiqua" w:cs="Times New Roman"/>
          <w:sz w:val="24"/>
          <w:szCs w:val="24"/>
          <w:lang w:val="en-US"/>
        </w:rPr>
        <w:t xml:space="preserve"> (64%)</w:t>
      </w:r>
      <w:r w:rsidR="00354D9F" w:rsidRPr="00C73B8F">
        <w:rPr>
          <w:rFonts w:ascii="Book Antiqua" w:hAnsi="Book Antiqua" w:cs="Times New Roman"/>
          <w:sz w:val="24"/>
          <w:szCs w:val="24"/>
          <w:lang w:val="en-US"/>
        </w:rPr>
        <w:t xml:space="preserve">, whereas the majority </w:t>
      </w:r>
      <w:r w:rsidR="00C96C28" w:rsidRPr="00C73B8F">
        <w:rPr>
          <w:rFonts w:ascii="Book Antiqua" w:hAnsi="Book Antiqua" w:cs="Times New Roman"/>
          <w:sz w:val="24"/>
          <w:szCs w:val="24"/>
          <w:lang w:val="en-US"/>
        </w:rPr>
        <w:t>(73.5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%) of our</w:t>
      </w:r>
      <w:r w:rsidR="00354D9F" w:rsidRPr="00C73B8F">
        <w:rPr>
          <w:rFonts w:ascii="Book Antiqua" w:hAnsi="Book Antiqua" w:cs="Times New Roman"/>
          <w:sz w:val="24"/>
          <w:szCs w:val="24"/>
          <w:lang w:val="en-US"/>
        </w:rPr>
        <w:t xml:space="preserve"> patients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were null-responders. The SVR rate for the patients in the REALIZE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trial</w:t>
      </w:r>
      <w:r w:rsidR="009E04C7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E04C7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8</w:t>
      </w:r>
      <w:r w:rsidR="009E04C7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who had severe liver fibrosis (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F3 and F4) and who were given</w:t>
      </w:r>
      <w:r w:rsidR="005D4DB9" w:rsidRPr="00C73B8F">
        <w:rPr>
          <w:rFonts w:ascii="Book Antiqua" w:hAnsi="Book Antiqua" w:cs="Times New Roman"/>
          <w:sz w:val="24"/>
          <w:szCs w:val="24"/>
          <w:lang w:val="en-US"/>
        </w:rPr>
        <w:t xml:space="preserve"> TPV triple therapy was 56%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. The SVR for our patients given TPV tripl</w:t>
      </w:r>
      <w:r w:rsidR="00EA6D90" w:rsidRPr="00C73B8F">
        <w:rPr>
          <w:rFonts w:ascii="Book Antiqua" w:hAnsi="Book Antiqua" w:cs="Times New Roman"/>
          <w:sz w:val="24"/>
          <w:szCs w:val="24"/>
          <w:lang w:val="en-US"/>
        </w:rPr>
        <w:t xml:space="preserve">e therapy was 65.9%, </w:t>
      </w:r>
      <w:r w:rsidR="0040545E" w:rsidRPr="00C73B8F">
        <w:rPr>
          <w:rFonts w:ascii="Book Antiqua" w:hAnsi="Book Antiqua" w:cs="Times New Roman"/>
          <w:sz w:val="24"/>
          <w:szCs w:val="24"/>
          <w:lang w:val="en-US"/>
        </w:rPr>
        <w:t xml:space="preserve">which was better </w:t>
      </w:r>
      <w:r w:rsidR="00EA6D90" w:rsidRPr="00C73B8F">
        <w:rPr>
          <w:rFonts w:ascii="Book Antiqua" w:hAnsi="Book Antiqua" w:cs="Times New Roman"/>
          <w:sz w:val="24"/>
          <w:szCs w:val="24"/>
          <w:lang w:val="en-US"/>
        </w:rPr>
        <w:t>than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that of the REALIZE patients. However, the SVR rate for those REALIZE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patients</w:t>
      </w:r>
      <w:r w:rsidR="009E04C7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E04C7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8</w:t>
      </w:r>
      <w:r w:rsidR="009E04C7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]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classified as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F3 was similar (66.4</w:t>
      </w:r>
      <w:r w:rsidR="00F344DA" w:rsidRPr="00C73B8F">
        <w:rPr>
          <w:rFonts w:ascii="Book Antiqua" w:hAnsi="Book Antiqua" w:cs="Times New Roman"/>
          <w:sz w:val="24"/>
          <w:szCs w:val="24"/>
          <w:lang w:val="en-US"/>
        </w:rPr>
        <w:t xml:space="preserve">%) to </w:t>
      </w:r>
      <w:r w:rsidR="005D1F4C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rate for </w:t>
      </w:r>
      <w:r w:rsidR="00F344DA" w:rsidRPr="00C73B8F">
        <w:rPr>
          <w:rFonts w:ascii="Book Antiqua" w:hAnsi="Book Antiqua" w:cs="Times New Roman"/>
          <w:sz w:val="24"/>
          <w:szCs w:val="24"/>
          <w:lang w:val="en-US"/>
        </w:rPr>
        <w:t>our patients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.</w:t>
      </w:r>
      <w:r w:rsidR="00446560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1D109D25" w14:textId="45626E52" w:rsidR="00987481" w:rsidRPr="00C73B8F" w:rsidRDefault="00987481" w:rsidP="00B74297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>We identified elem</w:t>
      </w:r>
      <w:r w:rsidR="006116CF" w:rsidRPr="00C73B8F">
        <w:rPr>
          <w:rFonts w:ascii="Book Antiqua" w:hAnsi="Book Antiqua" w:cs="Times New Roman"/>
          <w:sz w:val="24"/>
          <w:szCs w:val="24"/>
          <w:lang w:val="en-US"/>
        </w:rPr>
        <w:t xml:space="preserve">ents predicting </w:t>
      </w:r>
      <w:r w:rsidR="005D1F4C" w:rsidRPr="00C73B8F">
        <w:rPr>
          <w:rFonts w:ascii="Book Antiqua" w:hAnsi="Book Antiqua" w:cs="Times New Roman"/>
          <w:sz w:val="24"/>
          <w:szCs w:val="24"/>
          <w:lang w:val="en-US"/>
        </w:rPr>
        <w:t>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="005D1F4C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116CF" w:rsidRPr="00C73B8F">
        <w:rPr>
          <w:rFonts w:ascii="Book Antiqua" w:hAnsi="Book Antiqua" w:cs="Times New Roman"/>
          <w:sz w:val="24"/>
          <w:szCs w:val="24"/>
          <w:lang w:val="en-US"/>
        </w:rPr>
        <w:t>SVR. One of the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main predictive factors of the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virological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response to triple therapy </w:t>
      </w:r>
      <w:r w:rsidR="00EA6D90" w:rsidRPr="00C73B8F">
        <w:rPr>
          <w:rFonts w:ascii="Book Antiqua" w:hAnsi="Book Antiqua" w:cs="Times New Roman"/>
          <w:sz w:val="24"/>
          <w:szCs w:val="24"/>
          <w:lang w:val="en-US"/>
        </w:rPr>
        <w:t>was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the type of response to the previous PR treatment.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Relapsers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on the previ</w:t>
      </w:r>
      <w:r w:rsidR="00EB0608" w:rsidRPr="00C73B8F">
        <w:rPr>
          <w:rFonts w:ascii="Book Antiqua" w:hAnsi="Book Antiqua" w:cs="Times New Roman"/>
          <w:sz w:val="24"/>
          <w:szCs w:val="24"/>
          <w:lang w:val="en-US"/>
        </w:rPr>
        <w:t>ous treatment had very high SVR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D1F4C" w:rsidRPr="00C73B8F">
        <w:rPr>
          <w:rFonts w:ascii="Book Antiqua" w:hAnsi="Book Antiqua" w:cs="Times New Roman"/>
          <w:sz w:val="24"/>
          <w:szCs w:val="24"/>
          <w:lang w:val="en-US"/>
        </w:rPr>
        <w:t xml:space="preserve">rates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(80%)</w:t>
      </w:r>
      <w:r w:rsidR="001F5C08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D1F4C" w:rsidRPr="00C73B8F">
        <w:rPr>
          <w:rFonts w:ascii="Book Antiqua" w:hAnsi="Book Antiqua" w:cs="Times New Roman"/>
          <w:sz w:val="24"/>
          <w:szCs w:val="24"/>
          <w:lang w:val="en-US"/>
        </w:rPr>
        <w:t xml:space="preserve">whereas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the SVR </w:t>
      </w:r>
      <w:r w:rsidR="00A6124A" w:rsidRPr="00C73B8F">
        <w:rPr>
          <w:rFonts w:ascii="Book Antiqua" w:hAnsi="Book Antiqua" w:cs="Times New Roman"/>
          <w:sz w:val="24"/>
          <w:szCs w:val="24"/>
          <w:lang w:val="en-US"/>
        </w:rPr>
        <w:t>of null-responders was only 47.4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%</w:t>
      </w:r>
      <w:r w:rsidR="00EA6D90" w:rsidRPr="00C73B8F">
        <w:rPr>
          <w:rFonts w:ascii="Book Antiqua" w:hAnsi="Book Antiqua" w:cs="Times New Roman"/>
          <w:sz w:val="24"/>
          <w:szCs w:val="24"/>
          <w:lang w:val="en-US"/>
        </w:rPr>
        <w:t>.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In the overall population, the type of response to a previous treatment was independently associated with the SVR to triple therapy. This influence of the type of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virological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response to PR treatment on the SVR </w:t>
      </w:r>
      <w:r w:rsidR="008A1C37" w:rsidRPr="00C73B8F">
        <w:rPr>
          <w:rFonts w:ascii="Book Antiqua" w:hAnsi="Book Antiqua" w:cs="Times New Roman"/>
          <w:sz w:val="24"/>
          <w:szCs w:val="24"/>
          <w:lang w:val="en-US"/>
        </w:rPr>
        <w:t xml:space="preserve">to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triple therapy was also described in phase III studies for patient</w:t>
      </w:r>
      <w:r w:rsidR="007823E1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8582E" w:rsidRPr="00C73B8F">
        <w:rPr>
          <w:rFonts w:ascii="Book Antiqua" w:hAnsi="Book Antiqua" w:cs="Times New Roman"/>
          <w:sz w:val="24"/>
          <w:szCs w:val="24"/>
          <w:lang w:val="en-US"/>
        </w:rPr>
        <w:t>treated with</w:t>
      </w:r>
      <w:r w:rsidR="00363DBD" w:rsidRPr="00C73B8F">
        <w:rPr>
          <w:rFonts w:ascii="Book Antiqua" w:hAnsi="Book Antiqua" w:cs="Times New Roman"/>
          <w:sz w:val="24"/>
          <w:szCs w:val="24"/>
          <w:lang w:val="en-US"/>
        </w:rPr>
        <w:t xml:space="preserve"> both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TPV and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BOC</w:t>
      </w:r>
      <w:r w:rsidR="009E04C7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E04C7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8-10</w:t>
      </w:r>
      <w:r w:rsidR="009E04C7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EC457F" w:rsidRPr="00C73B8F">
        <w:rPr>
          <w:rFonts w:ascii="Book Antiqua" w:hAnsi="Book Antiqua" w:cs="Times New Roman"/>
          <w:sz w:val="24"/>
          <w:szCs w:val="24"/>
          <w:lang w:val="en-US"/>
        </w:rPr>
        <w:t>We observed an unexpected</w:t>
      </w:r>
      <w:r w:rsidR="007823E1" w:rsidRPr="00C73B8F">
        <w:rPr>
          <w:rFonts w:ascii="Book Antiqua" w:hAnsi="Book Antiqua" w:cs="Times New Roman"/>
          <w:sz w:val="24"/>
          <w:szCs w:val="24"/>
          <w:lang w:val="en-US"/>
        </w:rPr>
        <w:t>ly</w:t>
      </w:r>
      <w:r w:rsidR="00EC457F" w:rsidRPr="00C73B8F">
        <w:rPr>
          <w:rFonts w:ascii="Book Antiqua" w:hAnsi="Book Antiqua" w:cs="Times New Roman"/>
          <w:sz w:val="24"/>
          <w:szCs w:val="24"/>
          <w:lang w:val="en-US"/>
        </w:rPr>
        <w:t xml:space="preserve"> high SVR (54</w:t>
      </w:r>
      <w:r w:rsidR="00B74297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.</w:t>
      </w:r>
      <w:r w:rsidR="00EC457F" w:rsidRPr="00C73B8F">
        <w:rPr>
          <w:rFonts w:ascii="Book Antiqua" w:hAnsi="Book Antiqua" w:cs="Times New Roman"/>
          <w:sz w:val="24"/>
          <w:szCs w:val="24"/>
          <w:lang w:val="en-US"/>
        </w:rPr>
        <w:t>9%) with TPV triple therapy in our previous null-responders (28 o</w:t>
      </w:r>
      <w:r w:rsidR="008A1C37" w:rsidRPr="00C73B8F">
        <w:rPr>
          <w:rFonts w:ascii="Book Antiqua" w:hAnsi="Book Antiqua" w:cs="Times New Roman"/>
          <w:sz w:val="24"/>
          <w:szCs w:val="24"/>
          <w:lang w:val="en-US"/>
        </w:rPr>
        <w:t>f</w:t>
      </w:r>
      <w:r w:rsidR="00EC457F" w:rsidRPr="00C73B8F">
        <w:rPr>
          <w:rFonts w:ascii="Book Antiqua" w:hAnsi="Book Antiqua" w:cs="Times New Roman"/>
          <w:sz w:val="24"/>
          <w:szCs w:val="24"/>
          <w:lang w:val="en-US"/>
        </w:rPr>
        <w:t xml:space="preserve"> 51 patients). This rate is </w:t>
      </w:r>
      <w:r w:rsidR="007823E1" w:rsidRPr="00C73B8F">
        <w:rPr>
          <w:rFonts w:ascii="Book Antiqua" w:hAnsi="Book Antiqua" w:cs="Times New Roman"/>
          <w:sz w:val="24"/>
          <w:szCs w:val="24"/>
          <w:lang w:val="en-US"/>
        </w:rPr>
        <w:t xml:space="preserve">approximately twofold </w:t>
      </w:r>
      <w:r w:rsidR="00EC457F" w:rsidRPr="00C73B8F">
        <w:rPr>
          <w:rFonts w:ascii="Book Antiqua" w:hAnsi="Book Antiqua" w:cs="Times New Roman"/>
          <w:sz w:val="24"/>
          <w:szCs w:val="24"/>
          <w:lang w:val="en-US"/>
        </w:rPr>
        <w:t xml:space="preserve">higher than the SVR </w:t>
      </w:r>
      <w:r w:rsidR="009303A1" w:rsidRPr="00C73B8F">
        <w:rPr>
          <w:rFonts w:ascii="Book Antiqua" w:hAnsi="Book Antiqua" w:cs="Times New Roman"/>
          <w:sz w:val="24"/>
          <w:szCs w:val="24"/>
          <w:lang w:val="en-US"/>
        </w:rPr>
        <w:t xml:space="preserve">rate observed </w:t>
      </w:r>
      <w:r w:rsidR="00EC457F" w:rsidRPr="00C73B8F">
        <w:rPr>
          <w:rFonts w:ascii="Book Antiqua" w:hAnsi="Book Antiqua" w:cs="Times New Roman"/>
          <w:sz w:val="24"/>
          <w:szCs w:val="24"/>
          <w:lang w:val="en-US"/>
        </w:rPr>
        <w:t xml:space="preserve">in the REALIZE study in the same population of null-responders with severe liver </w:t>
      </w:r>
      <w:proofErr w:type="gramStart"/>
      <w:r w:rsidR="00EC457F" w:rsidRPr="00C73B8F">
        <w:rPr>
          <w:rFonts w:ascii="Book Antiqua" w:hAnsi="Book Antiqua" w:cs="Times New Roman"/>
          <w:sz w:val="24"/>
          <w:szCs w:val="24"/>
          <w:lang w:val="en-US"/>
        </w:rPr>
        <w:t>fibrosis</w:t>
      </w:r>
      <w:r w:rsidR="00EC457F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EC457F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8</w:t>
      </w:r>
      <w:r w:rsidR="00EC457F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EC457F" w:rsidRPr="00C73B8F">
        <w:rPr>
          <w:rFonts w:ascii="Book Antiqua" w:hAnsi="Book Antiqua" w:cs="Times New Roman"/>
          <w:sz w:val="24"/>
          <w:szCs w:val="24"/>
          <w:lang w:val="en-US"/>
        </w:rPr>
        <w:t xml:space="preserve">. A more detailed comparison of the characteristics of cirrhotic patients in phase III studies and our patients </w:t>
      </w:r>
      <w:r w:rsidR="008A1C37" w:rsidRPr="00C73B8F">
        <w:rPr>
          <w:rFonts w:ascii="Book Antiqua" w:hAnsi="Book Antiqua" w:cs="Times New Roman"/>
          <w:sz w:val="24"/>
          <w:szCs w:val="24"/>
          <w:lang w:val="en-US"/>
        </w:rPr>
        <w:t xml:space="preserve">in the current study </w:t>
      </w:r>
      <w:r w:rsidR="00EC457F" w:rsidRPr="00C73B8F">
        <w:rPr>
          <w:rFonts w:ascii="Book Antiqua" w:hAnsi="Book Antiqua" w:cs="Times New Roman"/>
          <w:sz w:val="24"/>
          <w:szCs w:val="24"/>
          <w:lang w:val="en-US"/>
        </w:rPr>
        <w:t xml:space="preserve">should provide a better understanding of this difference in </w:t>
      </w:r>
      <w:r w:rsidR="00B3288F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EC457F" w:rsidRPr="00C73B8F">
        <w:rPr>
          <w:rFonts w:ascii="Book Antiqua" w:hAnsi="Book Antiqua" w:cs="Times New Roman"/>
          <w:sz w:val="24"/>
          <w:szCs w:val="24"/>
          <w:lang w:val="en-US"/>
        </w:rPr>
        <w:t>SVR</w:t>
      </w:r>
      <w:r w:rsidR="00B3288F" w:rsidRPr="00C73B8F">
        <w:rPr>
          <w:rFonts w:ascii="Book Antiqua" w:hAnsi="Book Antiqua" w:cs="Times New Roman"/>
          <w:sz w:val="24"/>
          <w:szCs w:val="24"/>
          <w:lang w:val="en-US"/>
        </w:rPr>
        <w:t xml:space="preserve"> rate</w:t>
      </w:r>
      <w:r w:rsidR="00EC457F" w:rsidRPr="00C73B8F">
        <w:rPr>
          <w:rFonts w:ascii="Book Antiqua" w:hAnsi="Book Antiqua" w:cs="Times New Roman"/>
          <w:sz w:val="24"/>
          <w:szCs w:val="24"/>
          <w:lang w:val="en-US"/>
        </w:rPr>
        <w:t>.</w:t>
      </w:r>
      <w:r w:rsidR="00951CC3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We confirmed that </w:t>
      </w:r>
      <w:r w:rsidR="00697520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patients who relapse after a previous double-therapy benefit more from PI treatment than null-responders. However</w:t>
      </w:r>
      <w:r w:rsidR="00EA6D90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we also </w:t>
      </w:r>
      <w:r w:rsidR="00C86A18" w:rsidRPr="00C73B8F">
        <w:rPr>
          <w:rFonts w:ascii="Book Antiqua" w:hAnsi="Book Antiqua" w:cs="Times New Roman"/>
          <w:sz w:val="24"/>
          <w:szCs w:val="24"/>
          <w:lang w:val="en-US"/>
        </w:rPr>
        <w:t xml:space="preserve">determined </w:t>
      </w:r>
      <w:r w:rsidR="00EA6D90" w:rsidRPr="00C73B8F">
        <w:rPr>
          <w:rFonts w:ascii="Book Antiqua" w:hAnsi="Book Antiqua" w:cs="Times New Roman"/>
          <w:sz w:val="24"/>
          <w:szCs w:val="24"/>
          <w:lang w:val="en-US"/>
        </w:rPr>
        <w:t>that an encouraging SVR could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be obtained for </w:t>
      </w:r>
      <w:r w:rsidR="00782B9C" w:rsidRPr="00C73B8F">
        <w:rPr>
          <w:rFonts w:ascii="Book Antiqua" w:hAnsi="Book Antiqua" w:cs="Times New Roman"/>
          <w:sz w:val="24"/>
          <w:szCs w:val="24"/>
          <w:lang w:val="en-US"/>
        </w:rPr>
        <w:t>greater than one-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third of previous null-responder cirrhotic patients</w:t>
      </w:r>
      <w:r w:rsidR="00654521" w:rsidRPr="00C73B8F">
        <w:rPr>
          <w:rFonts w:ascii="Book Antiqua" w:hAnsi="Book Antiqua" w:cs="Times New Roman"/>
          <w:sz w:val="24"/>
          <w:szCs w:val="24"/>
          <w:lang w:val="en-US"/>
        </w:rPr>
        <w:t>; therefore,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triple therapy with TPV or BOC should be offered to these patients, especially </w:t>
      </w:r>
      <w:r w:rsidR="00C22B31" w:rsidRPr="00C73B8F">
        <w:rPr>
          <w:rFonts w:ascii="Book Antiqua" w:hAnsi="Book Antiqua" w:cs="Times New Roman"/>
          <w:sz w:val="24"/>
          <w:szCs w:val="24"/>
          <w:lang w:val="en-US"/>
        </w:rPr>
        <w:t xml:space="preserve">to the patients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who could not be included in new drug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trials</w:t>
      </w:r>
      <w:r w:rsidR="009E04C7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E04C7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13</w:t>
      </w:r>
      <w:r w:rsidR="009E04C7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The rationale for treating null-responders to PR therapy with severe liver fibrosis is that </w:t>
      </w:r>
      <w:r w:rsidR="004E6A29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second generation of direct-acting antiviral drugs (DAAs) </w:t>
      </w:r>
      <w:r w:rsidR="00616774" w:rsidRPr="00C73B8F">
        <w:rPr>
          <w:rFonts w:ascii="Book Antiqua" w:hAnsi="Book Antiqua" w:cs="Times New Roman"/>
          <w:sz w:val="24"/>
          <w:szCs w:val="24"/>
          <w:lang w:val="en-US"/>
        </w:rPr>
        <w:t xml:space="preserve">would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be used in the </w:t>
      </w:r>
      <w:r w:rsidR="004E5EAC" w:rsidRPr="00C73B8F">
        <w:rPr>
          <w:rFonts w:ascii="Book Antiqua" w:hAnsi="Book Antiqua" w:cs="Times New Roman"/>
          <w:sz w:val="24"/>
          <w:szCs w:val="24"/>
          <w:lang w:val="en-US"/>
        </w:rPr>
        <w:t>near</w:t>
      </w:r>
      <w:r w:rsidR="004E6A29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future to obtain a higher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SVR</w:t>
      </w:r>
      <w:r w:rsidR="009E04C7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E04C7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14</w:t>
      </w:r>
      <w:r w:rsidR="009E04C7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21695CE6" w14:textId="668F604E" w:rsidR="00987481" w:rsidRPr="00C73B8F" w:rsidRDefault="00987481" w:rsidP="00B74297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We have shown an overall difference in the SVR of patients </w:t>
      </w:r>
      <w:r w:rsidR="003A383D" w:rsidRPr="00C73B8F">
        <w:rPr>
          <w:rFonts w:ascii="Book Antiqua" w:hAnsi="Book Antiqua" w:cs="Times New Roman"/>
          <w:sz w:val="24"/>
          <w:szCs w:val="24"/>
          <w:lang w:val="en-US"/>
        </w:rPr>
        <w:t xml:space="preserve">treated with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TPV (65.9%) and BOC (44.1%). This difference was significant </w:t>
      </w:r>
      <w:r w:rsidR="00685E9F" w:rsidRPr="00C73B8F">
        <w:rPr>
          <w:rFonts w:ascii="Book Antiqua" w:hAnsi="Book Antiqua" w:cs="Times New Roman"/>
          <w:sz w:val="24"/>
          <w:szCs w:val="24"/>
          <w:lang w:val="en-US"/>
        </w:rPr>
        <w:t>in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12AA7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univariate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analysis</w:t>
      </w:r>
      <w:r w:rsidR="00064E88" w:rsidRPr="00C73B8F">
        <w:rPr>
          <w:rFonts w:ascii="Book Antiqua" w:hAnsi="Book Antiqua" w:cs="Times New Roman"/>
          <w:sz w:val="24"/>
          <w:szCs w:val="24"/>
          <w:lang w:val="en-US"/>
        </w:rPr>
        <w:t xml:space="preserve">; however, it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does not appear to be an independent value in</w:t>
      </w:r>
      <w:r w:rsidR="003863F2" w:rsidRPr="00C73B8F">
        <w:rPr>
          <w:rFonts w:ascii="Book Antiqua" w:hAnsi="Book Antiqua" w:cs="Times New Roman"/>
          <w:sz w:val="24"/>
          <w:szCs w:val="24"/>
          <w:lang w:val="en-US"/>
        </w:rPr>
        <w:t xml:space="preserve"> the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multivariate analysis. There were more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lastRenderedPageBreak/>
        <w:t>null-responders to PR treatment in our BOC subgroup (73.5%) than in the TPV subgroup (58.6%). A</w:t>
      </w:r>
      <w:r w:rsidR="00B65F04" w:rsidRPr="00C73B8F">
        <w:rPr>
          <w:rFonts w:ascii="Book Antiqua" w:hAnsi="Book Antiqua" w:cs="Times New Roman"/>
          <w:sz w:val="24"/>
          <w:szCs w:val="24"/>
          <w:lang w:val="en-US"/>
        </w:rPr>
        <w:t>n a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nalysis of the response to triple therapy </w:t>
      </w:r>
      <w:r w:rsidR="004E5EAC" w:rsidRPr="00C73B8F">
        <w:rPr>
          <w:rFonts w:ascii="Book Antiqua" w:hAnsi="Book Antiqua" w:cs="Times New Roman"/>
          <w:sz w:val="24"/>
          <w:szCs w:val="24"/>
          <w:lang w:val="en-US"/>
        </w:rPr>
        <w:t>(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in terms of the previous response</w:t>
      </w:r>
      <w:r w:rsidR="004E5EAC" w:rsidRPr="00C73B8F">
        <w:rPr>
          <w:rFonts w:ascii="Book Antiqua" w:hAnsi="Book Antiqua" w:cs="Times New Roman"/>
          <w:sz w:val="24"/>
          <w:szCs w:val="24"/>
          <w:lang w:val="en-US"/>
        </w:rPr>
        <w:t>)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indicated that the SVRs of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relapsers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in the TPV (80.6%) and BOC (</w:t>
      </w:r>
      <w:r w:rsidR="00967604" w:rsidRPr="00C73B8F">
        <w:rPr>
          <w:rFonts w:ascii="Book Antiqua" w:hAnsi="Book Antiqua" w:cs="Times New Roman"/>
          <w:sz w:val="24"/>
          <w:szCs w:val="24"/>
          <w:lang w:val="en-US"/>
        </w:rPr>
        <w:t xml:space="preserve">77.8%) subgroups were similar.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BOC tended to be less effective for </w:t>
      </w:r>
      <w:r w:rsidR="00B65F04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null-responders to prior PR therapy</w:t>
      </w:r>
      <w:r w:rsidR="00B65F04" w:rsidRPr="00C73B8F">
        <w:rPr>
          <w:rFonts w:ascii="Book Antiqua" w:hAnsi="Book Antiqua" w:cs="Times New Roman"/>
          <w:sz w:val="24"/>
          <w:szCs w:val="24"/>
          <w:lang w:val="en-US"/>
        </w:rPr>
        <w:t xml:space="preserve">, although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this </w:t>
      </w:r>
      <w:r w:rsidR="00B65F04" w:rsidRPr="00C73B8F">
        <w:rPr>
          <w:rFonts w:ascii="Book Antiqua" w:hAnsi="Book Antiqua" w:cs="Times New Roman"/>
          <w:sz w:val="24"/>
          <w:szCs w:val="24"/>
          <w:lang w:val="en-US"/>
        </w:rPr>
        <w:t xml:space="preserve">difference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was not significant after</w:t>
      </w:r>
      <w:r w:rsidR="004D3DE8" w:rsidRPr="00C73B8F">
        <w:rPr>
          <w:rFonts w:ascii="Book Antiqua" w:hAnsi="Book Antiqua" w:cs="Times New Roman"/>
          <w:sz w:val="24"/>
          <w:szCs w:val="24"/>
          <w:lang w:val="en-US"/>
        </w:rPr>
        <w:t xml:space="preserve"> the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multivariate analysis. 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 xml:space="preserve">Our study was not a randomized study; each clinician could choose to use TPV or BOC, although all of the patients were given the same treatment with the same doses of peg-IFN α2a + ribavirin, unlike those in the CUPIC </w:t>
      </w:r>
      <w:proofErr w:type="gramStart"/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>trial</w:t>
      </w:r>
      <w:r w:rsidR="00E71B1E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E71B1E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15</w:t>
      </w:r>
      <w:r w:rsidR="00E71B1E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>, which used peg-IFN α2a or α</w:t>
      </w:r>
      <w:r w:rsidR="00E71B1E" w:rsidRPr="00C73B8F" w:rsidDel="000D7F7A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 xml:space="preserve">b.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More of our patients were </w:t>
      </w:r>
      <w:r w:rsidR="00D70560" w:rsidRPr="00C73B8F">
        <w:rPr>
          <w:rFonts w:ascii="Book Antiqua" w:hAnsi="Book Antiqua" w:cs="Times New Roman"/>
          <w:sz w:val="24"/>
          <w:szCs w:val="24"/>
          <w:lang w:val="en-US"/>
        </w:rPr>
        <w:t xml:space="preserve">treated with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TPV than BOC because TPV </w:t>
      </w:r>
      <w:r w:rsidR="00DC7D7A"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as </w:t>
      </w:r>
      <w:r w:rsidR="000E3C0C" w:rsidRPr="00C73B8F">
        <w:rPr>
          <w:rFonts w:ascii="Book Antiqua" w:hAnsi="Book Antiqua" w:cs="Times New Roman"/>
          <w:sz w:val="24"/>
          <w:szCs w:val="24"/>
          <w:lang w:val="en-US"/>
        </w:rPr>
        <w:t xml:space="preserve">approved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for use in France</w:t>
      </w:r>
      <w:r w:rsidR="00967604" w:rsidRPr="00C73B8F">
        <w:rPr>
          <w:rFonts w:ascii="Book Antiqua" w:hAnsi="Book Antiqua" w:cs="Times New Roman"/>
          <w:sz w:val="24"/>
          <w:szCs w:val="24"/>
          <w:lang w:val="en-US"/>
        </w:rPr>
        <w:t xml:space="preserve"> in January 2011</w:t>
      </w:r>
      <w:r w:rsidR="00F05491" w:rsidRPr="00C73B8F">
        <w:rPr>
          <w:rFonts w:ascii="Book Antiqua" w:hAnsi="Book Antiqua" w:cs="Times New Roman"/>
          <w:sz w:val="24"/>
          <w:szCs w:val="24"/>
          <w:lang w:val="en-US"/>
        </w:rPr>
        <w:t xml:space="preserve">, and </w:t>
      </w:r>
      <w:r w:rsidR="003B163D" w:rsidRPr="00C73B8F">
        <w:rPr>
          <w:rFonts w:ascii="Book Antiqua" w:hAnsi="Book Antiqua" w:cs="Times New Roman"/>
          <w:sz w:val="24"/>
          <w:szCs w:val="24"/>
          <w:lang w:val="en-US"/>
        </w:rPr>
        <w:t xml:space="preserve">BOC was </w:t>
      </w:r>
      <w:r w:rsidR="000E3C0C" w:rsidRPr="00C73B8F">
        <w:rPr>
          <w:rFonts w:ascii="Book Antiqua" w:hAnsi="Book Antiqua" w:cs="Times New Roman"/>
          <w:sz w:val="24"/>
          <w:szCs w:val="24"/>
          <w:lang w:val="en-US"/>
        </w:rPr>
        <w:t>approved</w:t>
      </w:r>
      <w:r w:rsidR="003B163D" w:rsidRPr="00C73B8F">
        <w:rPr>
          <w:rFonts w:ascii="Book Antiqua" w:hAnsi="Book Antiqua" w:cs="Times New Roman"/>
          <w:sz w:val="24"/>
          <w:szCs w:val="24"/>
          <w:lang w:val="en-US"/>
        </w:rPr>
        <w:t xml:space="preserve"> at a </w:t>
      </w:r>
      <w:r w:rsidR="00967604" w:rsidRPr="00C73B8F">
        <w:rPr>
          <w:rFonts w:ascii="Book Antiqua" w:hAnsi="Book Antiqua" w:cs="Times New Roman"/>
          <w:sz w:val="24"/>
          <w:szCs w:val="24"/>
          <w:lang w:val="en-US"/>
        </w:rPr>
        <w:t>later</w:t>
      </w:r>
      <w:r w:rsidR="003B163D" w:rsidRPr="00C73B8F">
        <w:rPr>
          <w:rFonts w:ascii="Book Antiqua" w:hAnsi="Book Antiqua" w:cs="Times New Roman"/>
          <w:sz w:val="24"/>
          <w:szCs w:val="24"/>
          <w:lang w:val="en-US"/>
        </w:rPr>
        <w:t xml:space="preserve"> date</w:t>
      </w:r>
      <w:r w:rsidR="00967604"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The possible difference betwe</w:t>
      </w:r>
      <w:r w:rsidR="00533C77" w:rsidRPr="00C73B8F">
        <w:rPr>
          <w:rFonts w:ascii="Book Antiqua" w:hAnsi="Book Antiqua" w:cs="Times New Roman"/>
          <w:sz w:val="24"/>
          <w:szCs w:val="24"/>
          <w:lang w:val="en-US"/>
        </w:rPr>
        <w:t xml:space="preserve">en the SVR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of the TPV and BOC groups should be confirmed in a randomized trial </w:t>
      </w:r>
      <w:r w:rsidR="00F05491" w:rsidRPr="00C73B8F">
        <w:rPr>
          <w:rFonts w:ascii="Book Antiqua" w:hAnsi="Book Antiqua" w:cs="Times New Roman"/>
          <w:sz w:val="24"/>
          <w:szCs w:val="24"/>
          <w:lang w:val="en-US"/>
        </w:rPr>
        <w:t xml:space="preserve">that includes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more patients. However, taking into account the development of new DAAs</w:t>
      </w:r>
      <w:r w:rsidR="00DC7D7A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such a ran</w:t>
      </w:r>
      <w:r w:rsidR="00CE1199" w:rsidRPr="00C73B8F">
        <w:rPr>
          <w:rFonts w:ascii="Book Antiqua" w:hAnsi="Book Antiqua" w:cs="Times New Roman"/>
          <w:sz w:val="24"/>
          <w:szCs w:val="24"/>
          <w:lang w:val="en-US"/>
        </w:rPr>
        <w:t xml:space="preserve">domized study </w:t>
      </w:r>
      <w:r w:rsidR="00D17BC1" w:rsidRPr="00C73B8F">
        <w:rPr>
          <w:rFonts w:ascii="Book Antiqua" w:hAnsi="Book Antiqua" w:cs="Times New Roman"/>
          <w:sz w:val="24"/>
          <w:szCs w:val="24"/>
          <w:lang w:val="en-US"/>
        </w:rPr>
        <w:t>is unlikely to</w:t>
      </w:r>
      <w:r w:rsidR="00CE1199" w:rsidRPr="00C73B8F">
        <w:rPr>
          <w:rFonts w:ascii="Book Antiqua" w:hAnsi="Book Antiqua" w:cs="Times New Roman"/>
          <w:sz w:val="24"/>
          <w:szCs w:val="24"/>
          <w:lang w:val="en-US"/>
        </w:rPr>
        <w:t xml:space="preserve"> be </w:t>
      </w:r>
      <w:r w:rsidR="00DC7D7A" w:rsidRPr="00C73B8F">
        <w:rPr>
          <w:rFonts w:ascii="Book Antiqua" w:hAnsi="Book Antiqua" w:cs="Times New Roman"/>
          <w:sz w:val="24"/>
          <w:szCs w:val="24"/>
          <w:lang w:val="en-US"/>
        </w:rPr>
        <w:t>completed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. Two meta-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analyses</w:t>
      </w:r>
      <w:r w:rsidR="009E04C7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E04C7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16,17</w:t>
      </w:r>
      <w:r w:rsidR="009E04C7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compared the efficacy of TPV and BOC. Both</w:t>
      </w:r>
      <w:r w:rsidR="00F05491" w:rsidRPr="00C73B8F">
        <w:rPr>
          <w:rFonts w:ascii="Book Antiqua" w:hAnsi="Book Antiqua" w:cs="Times New Roman"/>
          <w:sz w:val="24"/>
          <w:szCs w:val="24"/>
          <w:lang w:val="en-US"/>
        </w:rPr>
        <w:t xml:space="preserve"> studies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1131F" w:rsidRPr="00C73B8F">
        <w:rPr>
          <w:rFonts w:ascii="Book Antiqua" w:hAnsi="Book Antiqua" w:cs="Times New Roman"/>
          <w:sz w:val="24"/>
          <w:szCs w:val="24"/>
          <w:lang w:val="en-US"/>
        </w:rPr>
        <w:t xml:space="preserve">determined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that the SVR for TPV was </w:t>
      </w:r>
      <w:r w:rsidR="00D17BC1" w:rsidRPr="00C73B8F">
        <w:rPr>
          <w:rFonts w:ascii="Book Antiqua" w:hAnsi="Book Antiqua" w:cs="Times New Roman"/>
          <w:sz w:val="24"/>
          <w:szCs w:val="24"/>
          <w:lang w:val="en-US"/>
        </w:rPr>
        <w:t>superior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. These meta-analyses included only a few trials on hete</w:t>
      </w:r>
      <w:r w:rsidR="00F344DA" w:rsidRPr="00C73B8F">
        <w:rPr>
          <w:rFonts w:ascii="Book Antiqua" w:hAnsi="Book Antiqua" w:cs="Times New Roman"/>
          <w:sz w:val="24"/>
          <w:szCs w:val="24"/>
          <w:lang w:val="en-US"/>
        </w:rPr>
        <w:t>rogeneous populations. The</w:t>
      </w:r>
      <w:r w:rsidR="00A4398A" w:rsidRPr="00C73B8F">
        <w:rPr>
          <w:rFonts w:ascii="Book Antiqua" w:hAnsi="Book Antiqua" w:cs="Times New Roman"/>
          <w:sz w:val="24"/>
          <w:szCs w:val="24"/>
          <w:lang w:val="en-US"/>
        </w:rPr>
        <w:t xml:space="preserve"> results could not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be extrapolated to routine clinical practice</w:t>
      </w:r>
      <w:r w:rsidR="00D17BC1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although they are compatible with our findings.</w:t>
      </w:r>
      <w:r w:rsidR="00967604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In the overall populati</w:t>
      </w:r>
      <w:r w:rsidR="00685E9F" w:rsidRPr="00C73B8F">
        <w:rPr>
          <w:rFonts w:ascii="Book Antiqua" w:hAnsi="Book Antiqua" w:cs="Times New Roman"/>
          <w:sz w:val="24"/>
          <w:szCs w:val="24"/>
          <w:lang w:val="en-US"/>
        </w:rPr>
        <w:t>on, a RVR was observed in 66.7%</w:t>
      </w:r>
      <w:r w:rsidR="00D17BC1" w:rsidRPr="00C73B8F">
        <w:rPr>
          <w:rFonts w:ascii="Book Antiqua" w:hAnsi="Book Antiqua" w:cs="Times New Roman"/>
          <w:sz w:val="24"/>
          <w:szCs w:val="24"/>
          <w:lang w:val="en-US"/>
        </w:rPr>
        <w:t xml:space="preserve"> of individuals</w:t>
      </w:r>
      <w:r w:rsidR="00685E9F"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E57D1A" w:rsidRPr="00C73B8F">
        <w:rPr>
          <w:rFonts w:ascii="Book Antiqua" w:hAnsi="Book Antiqua" w:cs="Times New Roman"/>
          <w:sz w:val="24"/>
          <w:szCs w:val="24"/>
          <w:lang w:val="en-US"/>
        </w:rPr>
        <w:t xml:space="preserve">A RVR was observed for </w:t>
      </w:r>
      <w:r w:rsidR="00685E9F" w:rsidRPr="00C73B8F">
        <w:rPr>
          <w:rFonts w:ascii="Book Antiqua" w:hAnsi="Book Antiqua" w:cs="Times New Roman"/>
          <w:sz w:val="24"/>
          <w:szCs w:val="24"/>
          <w:lang w:val="en-US"/>
        </w:rPr>
        <w:t xml:space="preserve">76.3% </w:t>
      </w:r>
      <w:r w:rsidR="00E57D1A" w:rsidRPr="00C73B8F">
        <w:rPr>
          <w:rFonts w:ascii="Book Antiqua" w:hAnsi="Book Antiqua" w:cs="Times New Roman"/>
          <w:sz w:val="24"/>
          <w:szCs w:val="24"/>
          <w:lang w:val="en-US"/>
        </w:rPr>
        <w:t xml:space="preserve">of the patients treated with </w:t>
      </w:r>
      <w:r w:rsidR="00685E9F" w:rsidRPr="00C73B8F">
        <w:rPr>
          <w:rFonts w:ascii="Book Antiqua" w:hAnsi="Book Antiqua" w:cs="Times New Roman"/>
          <w:sz w:val="24"/>
          <w:szCs w:val="24"/>
          <w:lang w:val="en-US"/>
        </w:rPr>
        <w:t xml:space="preserve">TPV and </w:t>
      </w:r>
      <w:r w:rsidR="00E57D1A" w:rsidRPr="00C73B8F">
        <w:rPr>
          <w:rFonts w:ascii="Book Antiqua" w:hAnsi="Book Antiqua" w:cs="Times New Roman"/>
          <w:sz w:val="24"/>
          <w:szCs w:val="24"/>
          <w:lang w:val="en-US"/>
        </w:rPr>
        <w:t xml:space="preserve">for </w:t>
      </w:r>
      <w:r w:rsidR="00685E9F" w:rsidRPr="00C73B8F">
        <w:rPr>
          <w:rFonts w:ascii="Book Antiqua" w:hAnsi="Book Antiqua" w:cs="Times New Roman"/>
          <w:sz w:val="24"/>
          <w:szCs w:val="24"/>
          <w:lang w:val="en-US"/>
        </w:rPr>
        <w:t>31.6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% </w:t>
      </w:r>
      <w:r w:rsidR="00E57D1A" w:rsidRPr="00C73B8F">
        <w:rPr>
          <w:rFonts w:ascii="Book Antiqua" w:hAnsi="Book Antiqua" w:cs="Times New Roman"/>
          <w:sz w:val="24"/>
          <w:szCs w:val="24"/>
          <w:lang w:val="en-US"/>
        </w:rPr>
        <w:t>of the patients treated with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BOC. A Spa</w:t>
      </w:r>
      <w:r w:rsidR="00533C77" w:rsidRPr="00C73B8F">
        <w:rPr>
          <w:rFonts w:ascii="Book Antiqua" w:hAnsi="Book Antiqua" w:cs="Times New Roman"/>
          <w:sz w:val="24"/>
          <w:szCs w:val="24"/>
          <w:lang w:val="en-US"/>
        </w:rPr>
        <w:t>nish study found tha</w:t>
      </w:r>
      <w:r w:rsidR="0032309B" w:rsidRPr="00C73B8F">
        <w:rPr>
          <w:rFonts w:ascii="Book Antiqua" w:hAnsi="Book Antiqua" w:cs="Times New Roman"/>
          <w:sz w:val="24"/>
          <w:szCs w:val="24"/>
          <w:lang w:val="en-US"/>
        </w:rPr>
        <w:t xml:space="preserve">t the </w:t>
      </w:r>
      <w:r w:rsidR="00533C77" w:rsidRPr="00C73B8F">
        <w:rPr>
          <w:rFonts w:ascii="Book Antiqua" w:hAnsi="Book Antiqua" w:cs="Times New Roman"/>
          <w:sz w:val="24"/>
          <w:szCs w:val="24"/>
          <w:lang w:val="en-US"/>
        </w:rPr>
        <w:t>RVR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was significantly higher in the TPV patients, suggesting </w:t>
      </w:r>
      <w:r w:rsidR="00E5186F" w:rsidRPr="00C73B8F">
        <w:rPr>
          <w:rFonts w:ascii="Book Antiqua" w:hAnsi="Book Antiqua" w:cs="Times New Roman"/>
          <w:sz w:val="24"/>
          <w:szCs w:val="24"/>
          <w:lang w:val="en-US"/>
        </w:rPr>
        <w:t xml:space="preserve">that </w:t>
      </w:r>
      <w:r w:rsidR="00E57D1A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drug </w:t>
      </w:r>
      <w:r w:rsidR="00E5186F" w:rsidRPr="00C73B8F">
        <w:rPr>
          <w:rFonts w:ascii="Book Antiqua" w:hAnsi="Book Antiqua" w:cs="Times New Roman"/>
          <w:sz w:val="24"/>
          <w:szCs w:val="24"/>
          <w:lang w:val="en-US"/>
        </w:rPr>
        <w:t xml:space="preserve">acted more </w:t>
      </w:r>
      <w:proofErr w:type="gramStart"/>
      <w:r w:rsidR="00E5186F" w:rsidRPr="00C73B8F">
        <w:rPr>
          <w:rFonts w:ascii="Book Antiqua" w:hAnsi="Book Antiqua" w:cs="Times New Roman"/>
          <w:sz w:val="24"/>
          <w:szCs w:val="24"/>
          <w:lang w:val="en-US"/>
        </w:rPr>
        <w:t>rapidly</w:t>
      </w:r>
      <w:r w:rsidR="0032309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2309B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18</w:t>
      </w:r>
      <w:r w:rsidR="0032309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967604"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Close monitoring of the </w:t>
      </w:r>
      <w:r w:rsidR="002A01E3" w:rsidRPr="00C73B8F">
        <w:rPr>
          <w:rFonts w:ascii="Book Antiqua" w:hAnsi="Book Antiqua" w:cs="Times New Roman"/>
          <w:sz w:val="24"/>
          <w:szCs w:val="24"/>
          <w:lang w:val="en-US"/>
        </w:rPr>
        <w:t xml:space="preserve">viral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load, especially at the start of treatment, </w:t>
      </w:r>
      <w:r w:rsidR="004A6288" w:rsidRPr="00C73B8F">
        <w:rPr>
          <w:rFonts w:ascii="Book Antiqua" w:hAnsi="Book Antiqua" w:cs="Times New Roman"/>
          <w:sz w:val="24"/>
          <w:szCs w:val="24"/>
          <w:lang w:val="en-US"/>
        </w:rPr>
        <w:t xml:space="preserve">could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lead to </w:t>
      </w:r>
      <w:r w:rsidR="002A1739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selection of a sub-group of patients very likely to have </w:t>
      </w:r>
      <w:r w:rsidR="00D025C0" w:rsidRPr="00C73B8F">
        <w:rPr>
          <w:rFonts w:ascii="Book Antiqua" w:hAnsi="Book Antiqua" w:cs="Times New Roman"/>
          <w:sz w:val="24"/>
          <w:szCs w:val="24"/>
          <w:lang w:val="en-US"/>
        </w:rPr>
        <w:t>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="00D025C0" w:rsidRPr="00C73B8F">
        <w:rPr>
          <w:rFonts w:ascii="Book Antiqua" w:hAnsi="Book Antiqua" w:cs="Times New Roman"/>
          <w:sz w:val="24"/>
          <w:szCs w:val="24"/>
          <w:lang w:val="en-US"/>
        </w:rPr>
        <w:t xml:space="preserve"> SVR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This information could strongly motivate these difficult-to-treat patients on prolonged treatment for 48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B74297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to adhere </w:t>
      </w:r>
      <w:r w:rsidR="00E05D35" w:rsidRPr="00C73B8F">
        <w:rPr>
          <w:rFonts w:ascii="Book Antiqua" w:hAnsi="Book Antiqua" w:cs="Times New Roman"/>
          <w:sz w:val="24"/>
          <w:szCs w:val="24"/>
          <w:lang w:val="en-US"/>
        </w:rPr>
        <w:t xml:space="preserve">more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closely to the treatment protocol.</w:t>
      </w:r>
    </w:p>
    <w:p w14:paraId="621DAFD4" w14:textId="155C0D4B" w:rsidR="00987481" w:rsidRPr="00C73B8F" w:rsidRDefault="00987481" w:rsidP="00B74297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We </w:t>
      </w:r>
      <w:r w:rsidR="00F21BB5" w:rsidRPr="00C73B8F">
        <w:rPr>
          <w:rFonts w:ascii="Book Antiqua" w:hAnsi="Book Antiqua" w:cs="Times New Roman"/>
          <w:sz w:val="24"/>
          <w:szCs w:val="24"/>
          <w:lang w:val="en-US"/>
        </w:rPr>
        <w:t xml:space="preserve">found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no link between the degree of liver fibrosis,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F3 or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F4, and </w:t>
      </w:r>
      <w:r w:rsidR="000E6885" w:rsidRPr="00C73B8F">
        <w:rPr>
          <w:rFonts w:ascii="Book Antiqua" w:hAnsi="Book Antiqua" w:cs="Times New Roman"/>
          <w:sz w:val="24"/>
          <w:szCs w:val="24"/>
          <w:lang w:val="en-US"/>
        </w:rPr>
        <w:t>the</w:t>
      </w:r>
      <w:r w:rsidR="00D025C0" w:rsidRPr="00C73B8F">
        <w:rPr>
          <w:rFonts w:ascii="Book Antiqua" w:hAnsi="Book Antiqua" w:cs="Times New Roman"/>
          <w:sz w:val="24"/>
          <w:szCs w:val="24"/>
          <w:lang w:val="en-US"/>
        </w:rPr>
        <w:t xml:space="preserve"> SVR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E05D35" w:rsidRPr="00C73B8F">
        <w:rPr>
          <w:rFonts w:ascii="Book Antiqua" w:hAnsi="Book Antiqua" w:cs="Times New Roman"/>
          <w:sz w:val="24"/>
          <w:szCs w:val="24"/>
          <w:lang w:val="en-US"/>
        </w:rPr>
        <w:t xml:space="preserve">However,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we </w:t>
      </w:r>
      <w:r w:rsidR="005200CD" w:rsidRPr="00C73B8F">
        <w:rPr>
          <w:rFonts w:ascii="Book Antiqua" w:hAnsi="Book Antiqua" w:cs="Times New Roman"/>
          <w:sz w:val="24"/>
          <w:szCs w:val="24"/>
          <w:lang w:val="en-US"/>
        </w:rPr>
        <w:t>demonstrated a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statistically significant link between the SVR and the LS measured by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Fibroscan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® at inclusion. </w:t>
      </w:r>
      <w:r w:rsidR="00775645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SVR </w:t>
      </w:r>
      <w:r w:rsidR="00775645" w:rsidRPr="00C73B8F">
        <w:rPr>
          <w:rFonts w:ascii="Book Antiqua" w:hAnsi="Book Antiqua" w:cs="Times New Roman"/>
          <w:sz w:val="24"/>
          <w:szCs w:val="24"/>
          <w:lang w:val="en-US"/>
        </w:rPr>
        <w:t xml:space="preserve">rate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was significan</w:t>
      </w:r>
      <w:r w:rsidR="0032309B" w:rsidRPr="00C73B8F">
        <w:rPr>
          <w:rFonts w:ascii="Book Antiqua" w:hAnsi="Book Antiqua" w:cs="Times New Roman"/>
          <w:sz w:val="24"/>
          <w:szCs w:val="24"/>
          <w:lang w:val="en-US"/>
        </w:rPr>
        <w:t xml:space="preserve">tly higher in </w:t>
      </w:r>
      <w:r w:rsidR="005C60F0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32309B" w:rsidRPr="00C73B8F">
        <w:rPr>
          <w:rFonts w:ascii="Book Antiqua" w:hAnsi="Book Antiqua" w:cs="Times New Roman"/>
          <w:sz w:val="24"/>
          <w:szCs w:val="24"/>
          <w:lang w:val="en-US"/>
        </w:rPr>
        <w:t xml:space="preserve">patients </w:t>
      </w:r>
      <w:proofErr w:type="gramStart"/>
      <w:r w:rsidR="00E05912" w:rsidRPr="00C73B8F">
        <w:rPr>
          <w:rFonts w:ascii="Book Antiqua" w:hAnsi="Book Antiqua" w:cs="Times New Roman"/>
          <w:sz w:val="24"/>
          <w:szCs w:val="24"/>
          <w:lang w:val="en-US"/>
        </w:rPr>
        <w:t>with 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proofErr w:type="gram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LS </w:t>
      </w:r>
      <w:r w:rsidR="00685E9F" w:rsidRPr="00C73B8F">
        <w:rPr>
          <w:rFonts w:ascii="Book Antiqua" w:hAnsi="Book Antiqua" w:cs="Times New Roman"/>
          <w:sz w:val="24"/>
          <w:szCs w:val="24"/>
          <w:lang w:val="en-US"/>
        </w:rPr>
        <w:t>under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21.3 </w:t>
      </w:r>
      <w:proofErr w:type="spellStart"/>
      <w:r w:rsidR="00171621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This LS value of 21.3 </w:t>
      </w:r>
      <w:proofErr w:type="spellStart"/>
      <w:r w:rsidR="00171621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is well above the </w:t>
      </w:r>
      <w:r w:rsidR="00C01915" w:rsidRPr="00C73B8F">
        <w:rPr>
          <w:rFonts w:ascii="Book Antiqua" w:hAnsi="Book Antiqua" w:cs="Times New Roman"/>
          <w:sz w:val="24"/>
          <w:szCs w:val="24"/>
          <w:lang w:val="en-US"/>
        </w:rPr>
        <w:t xml:space="preserve">value of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12.5 </w:t>
      </w:r>
      <w:proofErr w:type="spellStart"/>
      <w:r w:rsidR="00171621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933E7" w:rsidRPr="00C73B8F">
        <w:rPr>
          <w:rFonts w:ascii="Book Antiqua" w:hAnsi="Book Antiqua" w:cs="Times New Roman"/>
          <w:sz w:val="24"/>
          <w:szCs w:val="24"/>
          <w:lang w:val="en-US"/>
        </w:rPr>
        <w:t xml:space="preserve">that is typically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used to diagnose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cirrhosis</w:t>
      </w:r>
      <w:r w:rsidR="0032309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2309B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22</w:t>
      </w:r>
      <w:r w:rsidR="0032309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8726FE" w:rsidRPr="00C73B8F">
        <w:rPr>
          <w:rFonts w:ascii="Book Antiqua" w:hAnsi="Book Antiqua" w:cs="Times New Roman"/>
          <w:sz w:val="24"/>
          <w:szCs w:val="24"/>
          <w:lang w:val="en-US"/>
        </w:rPr>
        <w:t>, suggesting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that the population of patients with Child-Pugh</w:t>
      </w:r>
      <w:r w:rsidR="00651DC3" w:rsidRPr="00C73B8F">
        <w:rPr>
          <w:rFonts w:ascii="Book Antiqua" w:hAnsi="Book Antiqua" w:cs="Times New Roman"/>
          <w:sz w:val="24"/>
          <w:szCs w:val="24"/>
          <w:lang w:val="en-US"/>
        </w:rPr>
        <w:t xml:space="preserve"> class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A cirrhosis is heterogeneous. The prognosis for </w:t>
      </w:r>
      <w:r w:rsidR="008726FE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patients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with a high LS value is </w:t>
      </w:r>
      <w:r w:rsidR="00B66B65" w:rsidRPr="00C73B8F">
        <w:rPr>
          <w:rFonts w:ascii="Book Antiqua" w:hAnsi="Book Antiqua" w:cs="Times New Roman"/>
          <w:sz w:val="24"/>
          <w:szCs w:val="24"/>
          <w:lang w:val="en-US"/>
        </w:rPr>
        <w:t xml:space="preserve">likely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different </w:t>
      </w:r>
      <w:r w:rsidR="00B66B65" w:rsidRPr="00C73B8F">
        <w:rPr>
          <w:rFonts w:ascii="Book Antiqua" w:hAnsi="Book Antiqua" w:cs="Times New Roman"/>
          <w:sz w:val="24"/>
          <w:szCs w:val="24"/>
          <w:lang w:val="en-US"/>
        </w:rPr>
        <w:t xml:space="preserve">from the prognosis for the patients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with lower LS values. A previous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study</w:t>
      </w:r>
      <w:r w:rsidR="0032309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2309B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23</w:t>
      </w:r>
      <w:r w:rsidR="0032309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of patients treated with </w:t>
      </w:r>
      <w:r w:rsidR="00CC1398" w:rsidRPr="00C73B8F">
        <w:rPr>
          <w:rFonts w:ascii="Book Antiqua" w:hAnsi="Book Antiqua" w:cs="Times New Roman"/>
          <w:sz w:val="24"/>
          <w:szCs w:val="24"/>
          <w:lang w:val="en-US"/>
        </w:rPr>
        <w:t>PR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showed that the liver LS values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lastRenderedPageBreak/>
        <w:t>were sig</w:t>
      </w:r>
      <w:r w:rsidR="00CC1398" w:rsidRPr="00C73B8F">
        <w:rPr>
          <w:rFonts w:ascii="Book Antiqua" w:hAnsi="Book Antiqua" w:cs="Times New Roman"/>
          <w:sz w:val="24"/>
          <w:szCs w:val="24"/>
          <w:lang w:val="en-US"/>
        </w:rPr>
        <w:t>nificantly lower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in patients having </w:t>
      </w:r>
      <w:r w:rsidR="00D025C0" w:rsidRPr="00C73B8F">
        <w:rPr>
          <w:rFonts w:ascii="Book Antiqua" w:hAnsi="Book Antiqua" w:cs="Times New Roman"/>
          <w:sz w:val="24"/>
          <w:szCs w:val="24"/>
          <w:lang w:val="en-US"/>
        </w:rPr>
        <w:t>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="00D025C0" w:rsidRPr="00C73B8F">
        <w:rPr>
          <w:rFonts w:ascii="Book Antiqua" w:hAnsi="Book Antiqua" w:cs="Times New Roman"/>
          <w:sz w:val="24"/>
          <w:szCs w:val="24"/>
          <w:lang w:val="en-US"/>
        </w:rPr>
        <w:t xml:space="preserve"> SVR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than in</w:t>
      </w:r>
      <w:r w:rsidR="00CC1398" w:rsidRPr="00C73B8F">
        <w:rPr>
          <w:rFonts w:ascii="Book Antiqua" w:hAnsi="Book Antiqua" w:cs="Times New Roman"/>
          <w:sz w:val="24"/>
          <w:szCs w:val="24"/>
          <w:lang w:val="en-US"/>
        </w:rPr>
        <w:t xml:space="preserve"> non-responders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B66B65" w:rsidRPr="00C73B8F">
        <w:rPr>
          <w:rFonts w:ascii="Book Antiqua" w:hAnsi="Book Antiqua" w:cs="Times New Roman"/>
          <w:sz w:val="24"/>
          <w:szCs w:val="24"/>
          <w:lang w:val="en-US"/>
        </w:rPr>
        <w:t>The</w:t>
      </w:r>
      <w:r w:rsidR="00651DC3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LS value </w:t>
      </w:r>
      <w:r w:rsidR="00B66B65" w:rsidRPr="00C73B8F">
        <w:rPr>
          <w:rFonts w:ascii="Book Antiqua" w:hAnsi="Book Antiqua" w:cs="Times New Roman"/>
          <w:sz w:val="24"/>
          <w:szCs w:val="24"/>
          <w:lang w:val="en-US"/>
        </w:rPr>
        <w:t xml:space="preserve">could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be used to identify portal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hypertension</w:t>
      </w:r>
      <w:r w:rsidR="0032309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2309B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24-27</w:t>
      </w:r>
      <w:r w:rsidR="0032309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. Various studies have give</w:t>
      </w:r>
      <w:r w:rsidR="00CE1199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thresholds from 13.6 </w:t>
      </w:r>
      <w:proofErr w:type="spellStart"/>
      <w:r w:rsidR="00171621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to 48 </w:t>
      </w:r>
      <w:proofErr w:type="spellStart"/>
      <w:r w:rsidR="00171621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="00620EAD" w:rsidRPr="00C73B8F">
        <w:rPr>
          <w:rFonts w:ascii="Book Antiqua" w:hAnsi="Book Antiqua" w:cs="Times New Roman"/>
          <w:sz w:val="24"/>
          <w:szCs w:val="24"/>
          <w:lang w:val="en-US"/>
        </w:rPr>
        <w:t xml:space="preserve"> for portal hypertension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One study on patients with various liver diseases </w:t>
      </w:r>
      <w:r w:rsidR="00620EAD" w:rsidRPr="00C73B8F">
        <w:rPr>
          <w:rFonts w:ascii="Book Antiqua" w:hAnsi="Book Antiqua" w:cs="Times New Roman"/>
          <w:sz w:val="24"/>
          <w:szCs w:val="24"/>
          <w:lang w:val="en-US"/>
        </w:rPr>
        <w:t xml:space="preserve">observed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that a threshold of 21 </w:t>
      </w:r>
      <w:proofErr w:type="spellStart"/>
      <w:r w:rsidR="00171621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16623" w:rsidRPr="00C73B8F">
        <w:rPr>
          <w:rFonts w:ascii="Book Antiqua" w:hAnsi="Book Antiqua" w:cs="Times New Roman"/>
          <w:sz w:val="24"/>
          <w:szCs w:val="24"/>
          <w:lang w:val="en-US"/>
        </w:rPr>
        <w:t xml:space="preserve">is useful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for predicting significant p</w:t>
      </w:r>
      <w:r w:rsidR="00E5186F" w:rsidRPr="00C73B8F">
        <w:rPr>
          <w:rFonts w:ascii="Book Antiqua" w:hAnsi="Book Antiqua" w:cs="Times New Roman"/>
          <w:sz w:val="24"/>
          <w:szCs w:val="24"/>
          <w:lang w:val="en-US"/>
        </w:rPr>
        <w:t xml:space="preserve">ortal </w:t>
      </w:r>
      <w:proofErr w:type="gramStart"/>
      <w:r w:rsidR="00E5186F" w:rsidRPr="00C73B8F">
        <w:rPr>
          <w:rFonts w:ascii="Book Antiqua" w:hAnsi="Book Antiqua" w:cs="Times New Roman"/>
          <w:sz w:val="24"/>
          <w:szCs w:val="24"/>
          <w:lang w:val="en-US"/>
        </w:rPr>
        <w:t>hypertension</w:t>
      </w:r>
      <w:r w:rsidR="0032309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2309B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25</w:t>
      </w:r>
      <w:r w:rsidR="0032309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09689D" w:rsidRPr="00C73B8F">
        <w:rPr>
          <w:rFonts w:ascii="Book Antiqua" w:hAnsi="Book Antiqua" w:cs="Times New Roman"/>
          <w:sz w:val="24"/>
          <w:szCs w:val="24"/>
          <w:lang w:val="en-US"/>
        </w:rPr>
        <w:t>. O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ther studies specifically included patients with hepatitis C for diagnosing non-invasive portal hypertension. </w:t>
      </w:r>
      <w:r w:rsidR="000E6885" w:rsidRPr="00C73B8F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2B3569" w:rsidRPr="00C73B8F">
        <w:rPr>
          <w:rFonts w:ascii="Book Antiqua" w:hAnsi="Book Antiqua" w:cs="Times New Roman"/>
          <w:sz w:val="24"/>
          <w:szCs w:val="24"/>
          <w:lang w:val="en-US"/>
        </w:rPr>
        <w:t xml:space="preserve">LS </w:t>
      </w:r>
      <w:r w:rsidR="000E6885" w:rsidRPr="00C73B8F">
        <w:rPr>
          <w:rFonts w:ascii="Book Antiqua" w:hAnsi="Book Antiqua" w:cs="Times New Roman"/>
          <w:sz w:val="24"/>
          <w:szCs w:val="24"/>
          <w:lang w:val="en-US"/>
        </w:rPr>
        <w:t xml:space="preserve">threshold of 19.8 </w:t>
      </w:r>
      <w:proofErr w:type="spellStart"/>
      <w:proofErr w:type="gramStart"/>
      <w:r w:rsidR="000E6885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="002B3569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2B3569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26</w:t>
      </w:r>
      <w:r w:rsidR="002B3569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0E6885" w:rsidRPr="00C73B8F">
        <w:rPr>
          <w:rFonts w:ascii="Book Antiqua" w:hAnsi="Book Antiqua" w:cs="Times New Roman"/>
          <w:sz w:val="24"/>
          <w:szCs w:val="24"/>
          <w:lang w:val="en-US"/>
        </w:rPr>
        <w:t xml:space="preserve"> in one study and of 21.5 </w:t>
      </w:r>
      <w:proofErr w:type="spellStart"/>
      <w:r w:rsidR="000E6885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="000E6885" w:rsidRPr="00C73B8F">
        <w:rPr>
          <w:rFonts w:ascii="Book Antiqua" w:hAnsi="Book Antiqua" w:cs="Times New Roman"/>
          <w:sz w:val="24"/>
          <w:szCs w:val="24"/>
          <w:lang w:val="en-US"/>
        </w:rPr>
        <w:t xml:space="preserve"> in two others</w:t>
      </w:r>
      <w:r w:rsidR="002B3569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2B3569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 xml:space="preserve">22, </w:t>
      </w:r>
      <w:r w:rsidR="002B3569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27]</w:t>
      </w:r>
      <w:r w:rsidR="000E6885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3569" w:rsidRPr="00C73B8F">
        <w:rPr>
          <w:rFonts w:ascii="Book Antiqua" w:hAnsi="Book Antiqua" w:cs="Times New Roman"/>
          <w:sz w:val="24"/>
          <w:szCs w:val="24"/>
          <w:lang w:val="en-US"/>
        </w:rPr>
        <w:t xml:space="preserve">enabled to </w:t>
      </w:r>
      <w:r w:rsidR="000E6885" w:rsidRPr="00C73B8F">
        <w:rPr>
          <w:rFonts w:ascii="Book Antiqua" w:hAnsi="Book Antiqua" w:cs="Times New Roman"/>
          <w:sz w:val="24"/>
          <w:szCs w:val="24"/>
          <w:lang w:val="en-US"/>
        </w:rPr>
        <w:t>accu</w:t>
      </w:r>
      <w:r w:rsidR="00F93012" w:rsidRPr="00C73B8F">
        <w:rPr>
          <w:rFonts w:ascii="Book Antiqua" w:hAnsi="Book Antiqua" w:cs="Times New Roman"/>
          <w:sz w:val="24"/>
          <w:szCs w:val="24"/>
          <w:lang w:val="en-US"/>
        </w:rPr>
        <w:t xml:space="preserve">rately predict the presence of </w:t>
      </w:r>
      <w:r w:rsidR="000E6885" w:rsidRPr="00C73B8F">
        <w:rPr>
          <w:rFonts w:ascii="Book Antiqua" w:hAnsi="Book Antiqua" w:cs="Times New Roman"/>
          <w:sz w:val="24"/>
          <w:szCs w:val="24"/>
          <w:lang w:val="en-US"/>
        </w:rPr>
        <w:t xml:space="preserve">esophageal varices </w:t>
      </w:r>
      <w:r w:rsidR="00F93012" w:rsidRPr="00C73B8F">
        <w:rPr>
          <w:rFonts w:ascii="Book Antiqua" w:hAnsi="Book Antiqua" w:cs="Times New Roman"/>
          <w:sz w:val="24"/>
          <w:szCs w:val="24"/>
          <w:lang w:val="en-US"/>
        </w:rPr>
        <w:t xml:space="preserve">in this population.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These threshold values </w:t>
      </w:r>
      <w:r w:rsidR="00CE1199" w:rsidRPr="00C73B8F">
        <w:rPr>
          <w:rFonts w:ascii="Book Antiqua" w:hAnsi="Book Antiqua" w:cs="Times New Roman"/>
          <w:sz w:val="24"/>
          <w:szCs w:val="24"/>
          <w:lang w:val="en-US"/>
        </w:rPr>
        <w:t>assessed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in studies on heterogeneous populations are </w:t>
      </w:r>
      <w:r w:rsidR="00230E7D" w:rsidRPr="00C73B8F">
        <w:rPr>
          <w:rFonts w:ascii="Book Antiqua" w:hAnsi="Book Antiqua" w:cs="Times New Roman"/>
          <w:sz w:val="24"/>
          <w:szCs w:val="24"/>
          <w:lang w:val="en-US"/>
        </w:rPr>
        <w:t xml:space="preserve">similar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to the thresholds </w:t>
      </w:r>
      <w:r w:rsidR="00BB5A86" w:rsidRPr="00C73B8F">
        <w:rPr>
          <w:rFonts w:ascii="Book Antiqua" w:hAnsi="Book Antiqua" w:cs="Times New Roman"/>
          <w:sz w:val="24"/>
          <w:szCs w:val="24"/>
          <w:lang w:val="en-US"/>
        </w:rPr>
        <w:t xml:space="preserve">that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we identified as predictive of </w:t>
      </w:r>
      <w:r w:rsidR="00BB5A86" w:rsidRPr="00C73B8F">
        <w:rPr>
          <w:rFonts w:ascii="Book Antiqua" w:hAnsi="Book Antiqua" w:cs="Times New Roman"/>
          <w:sz w:val="24"/>
          <w:szCs w:val="24"/>
          <w:lang w:val="en-US"/>
        </w:rPr>
        <w:t>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="00BB5A86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SVR. Our finding of a link between the LS value and the SVR suggests that there is a subgroup of patients with severe liver fibrosis who have high LS values and </w:t>
      </w:r>
      <w:r w:rsidR="00474275" w:rsidRPr="00C73B8F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5F4A96" w:rsidRPr="00C73B8F">
        <w:rPr>
          <w:rFonts w:ascii="Book Antiqua" w:hAnsi="Book Antiqua" w:cs="Times New Roman"/>
          <w:sz w:val="24"/>
          <w:szCs w:val="24"/>
          <w:lang w:val="en-US"/>
        </w:rPr>
        <w:t>diminished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response to triple therapy with PI. The threshold identified in this study should be confirmed by studies on larger populations of patients.</w:t>
      </w:r>
    </w:p>
    <w:p w14:paraId="27EF54C6" w14:textId="19A0FE5D" w:rsidR="00987481" w:rsidRPr="00C73B8F" w:rsidRDefault="00987481" w:rsidP="00B74297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One of our secondary objectives was to assess how well PI treatment was tolerated by difficult-to-treat patients in the context of routine clinical practice. </w:t>
      </w:r>
      <w:r w:rsidR="007A060E" w:rsidRPr="00C73B8F">
        <w:rPr>
          <w:rFonts w:ascii="Book Antiqua" w:hAnsi="Book Antiqua" w:cs="Times New Roman"/>
          <w:sz w:val="24"/>
          <w:szCs w:val="24"/>
          <w:lang w:val="en-US"/>
        </w:rPr>
        <w:t xml:space="preserve">Because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the great majority </w:t>
      </w:r>
      <w:r w:rsidR="00025BAB" w:rsidRPr="00C73B8F">
        <w:rPr>
          <w:rFonts w:ascii="Book Antiqua" w:hAnsi="Book Antiqua" w:cs="Times New Roman"/>
          <w:sz w:val="24"/>
          <w:szCs w:val="24"/>
          <w:lang w:val="en-US"/>
        </w:rPr>
        <w:t xml:space="preserve">of patients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suffered </w:t>
      </w:r>
      <w:r w:rsidR="008E0B2A" w:rsidRPr="00C73B8F">
        <w:rPr>
          <w:rFonts w:ascii="Book Antiqua" w:hAnsi="Book Antiqua" w:cs="Times New Roman"/>
          <w:sz w:val="24"/>
          <w:szCs w:val="24"/>
          <w:lang w:val="en-US"/>
        </w:rPr>
        <w:t xml:space="preserve">from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at least one side effect, we focused on the development of severe side effects and the factors predicting their development. We </w:t>
      </w:r>
      <w:r w:rsidR="001A6AEB" w:rsidRPr="00C73B8F">
        <w:rPr>
          <w:rFonts w:ascii="Book Antiqua" w:hAnsi="Book Antiqua" w:cs="Times New Roman"/>
          <w:sz w:val="24"/>
          <w:szCs w:val="24"/>
          <w:lang w:val="en-US"/>
        </w:rPr>
        <w:t xml:space="preserve">determined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that 50.8% of patients </w:t>
      </w:r>
      <w:r w:rsidR="00F353C4" w:rsidRPr="00C73B8F">
        <w:rPr>
          <w:rFonts w:ascii="Book Antiqua" w:hAnsi="Book Antiqua" w:cs="Times New Roman"/>
          <w:sz w:val="24"/>
          <w:szCs w:val="24"/>
          <w:lang w:val="en-US"/>
        </w:rPr>
        <w:t xml:space="preserve">treated with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PI developed </w:t>
      </w:r>
      <w:r w:rsidR="00CB1074" w:rsidRPr="00C73B8F">
        <w:rPr>
          <w:rFonts w:ascii="Book Antiqua" w:hAnsi="Book Antiqua" w:cs="Times New Roman"/>
          <w:sz w:val="24"/>
          <w:szCs w:val="24"/>
          <w:lang w:val="en-US"/>
        </w:rPr>
        <w:t xml:space="preserve">these severe </w:t>
      </w:r>
      <w:r w:rsidR="007C2028" w:rsidRPr="00C73B8F">
        <w:rPr>
          <w:rFonts w:ascii="Book Antiqua" w:hAnsi="Book Antiqua" w:cs="Times New Roman"/>
          <w:sz w:val="24"/>
          <w:szCs w:val="24"/>
          <w:lang w:val="en-US"/>
        </w:rPr>
        <w:t>adverse reactions, causing 8.9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% of </w:t>
      </w:r>
      <w:r w:rsidR="00AC676A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patients to abandon their treatment early. The preliminary results of the CUPIC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trial</w:t>
      </w:r>
      <w:r w:rsidR="0032309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2309B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15</w:t>
      </w:r>
      <w:r w:rsidR="0032309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09689D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212E6" w:rsidRPr="00C73B8F">
        <w:rPr>
          <w:rFonts w:ascii="Book Antiqua" w:hAnsi="Book Antiqua" w:cs="Times New Roman"/>
          <w:sz w:val="24"/>
          <w:szCs w:val="24"/>
          <w:lang w:val="en-US"/>
        </w:rPr>
        <w:t xml:space="preserve">demonstrated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that 40% of patients suffered 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SAE after 16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B74297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="00F4648C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and 14.7% of </w:t>
      </w:r>
      <w:r w:rsidR="00F4648C" w:rsidRPr="00C73B8F">
        <w:rPr>
          <w:rFonts w:ascii="Book Antiqua" w:hAnsi="Book Antiqua" w:cs="Times New Roman"/>
          <w:sz w:val="24"/>
          <w:szCs w:val="24"/>
          <w:lang w:val="en-US"/>
        </w:rPr>
        <w:t xml:space="preserve">these patients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abandoned treatment prematurely. Published studies indicate that 57% of patients on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TPV</w:t>
      </w:r>
      <w:r w:rsidR="0032309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2309B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8,9</w:t>
      </w:r>
      <w:r w:rsidR="0032309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suffered 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SAE</w:t>
      </w:r>
      <w:r w:rsidR="00025BAB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as did </w:t>
      </w:r>
      <w:r w:rsidR="00F344DA" w:rsidRPr="00C73B8F">
        <w:rPr>
          <w:rFonts w:ascii="Book Antiqua" w:hAnsi="Book Antiqua" w:cs="Times New Roman"/>
          <w:sz w:val="24"/>
          <w:szCs w:val="24"/>
          <w:lang w:val="en-US"/>
        </w:rPr>
        <w:t>40.4% of those on BOC</w:t>
      </w:r>
      <w:r w:rsidR="00C369EE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C369EE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28</w:t>
      </w:r>
      <w:r w:rsidR="00C369EE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In phase III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trial</w:t>
      </w:r>
      <w:r w:rsidR="00626F3F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="0032309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2309B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28</w:t>
      </w:r>
      <w:r w:rsidR="0032309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, SAEs were observed in only 16% of patients with severe liver fibrosis,</w:t>
      </w:r>
      <w:r w:rsidR="00F4648C" w:rsidRPr="00C73B8F">
        <w:rPr>
          <w:rFonts w:ascii="Book Antiqua" w:hAnsi="Book Antiqua" w:cs="Times New Roman"/>
          <w:sz w:val="24"/>
          <w:szCs w:val="24"/>
          <w:lang w:val="en-US"/>
        </w:rPr>
        <w:t xml:space="preserve"> which was a much lower percentage than in our </w:t>
      </w:r>
      <w:r w:rsidR="00025BAB" w:rsidRPr="00C73B8F">
        <w:rPr>
          <w:rFonts w:ascii="Book Antiqua" w:hAnsi="Book Antiqua" w:cs="Times New Roman"/>
          <w:sz w:val="24"/>
          <w:szCs w:val="24"/>
          <w:lang w:val="en-US"/>
        </w:rPr>
        <w:t>findings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This type of difference between initial studies and </w:t>
      </w:r>
      <w:r w:rsidR="002B041A" w:rsidRPr="00C73B8F">
        <w:rPr>
          <w:rFonts w:ascii="Book Antiqua" w:hAnsi="Book Antiqua" w:cs="Times New Roman"/>
          <w:sz w:val="24"/>
          <w:szCs w:val="24"/>
          <w:lang w:val="en-US"/>
        </w:rPr>
        <w:t>routine clinical</w:t>
      </w:r>
      <w:r w:rsidR="00EC348A" w:rsidRPr="00C73B8F">
        <w:rPr>
          <w:rFonts w:ascii="Book Antiqua" w:hAnsi="Book Antiqua" w:cs="Times New Roman"/>
          <w:sz w:val="24"/>
          <w:szCs w:val="24"/>
          <w:lang w:val="en-US"/>
        </w:rPr>
        <w:t xml:space="preserve"> practice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is not uncommon; 24% of our patients had at least one criterion that would have exclude</w:t>
      </w:r>
      <w:r w:rsidR="0032309B" w:rsidRPr="00C73B8F">
        <w:rPr>
          <w:rFonts w:ascii="Book Antiqua" w:hAnsi="Book Antiqua" w:cs="Times New Roman"/>
          <w:sz w:val="24"/>
          <w:szCs w:val="24"/>
          <w:lang w:val="en-US"/>
        </w:rPr>
        <w:t xml:space="preserve">d them from a phase III trial.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Our patients were also older than </w:t>
      </w:r>
      <w:r w:rsidR="00C10EE2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patients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included in phase III trials and </w:t>
      </w:r>
      <w:r w:rsidR="0074059D" w:rsidRPr="00C73B8F">
        <w:rPr>
          <w:rFonts w:ascii="Book Antiqua" w:hAnsi="Book Antiqua" w:cs="Times New Roman"/>
          <w:sz w:val="24"/>
          <w:szCs w:val="24"/>
          <w:lang w:val="en-US"/>
        </w:rPr>
        <w:t xml:space="preserve">were likely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more fragile, </w:t>
      </w:r>
      <w:r w:rsidR="00C57DBA" w:rsidRPr="00C73B8F">
        <w:rPr>
          <w:rFonts w:ascii="Book Antiqua" w:hAnsi="Book Antiqua" w:cs="Times New Roman"/>
          <w:sz w:val="24"/>
          <w:szCs w:val="24"/>
          <w:lang w:val="en-US"/>
        </w:rPr>
        <w:t xml:space="preserve">making them more </w:t>
      </w:r>
      <w:r w:rsidR="00C25BB1" w:rsidRPr="00C73B8F">
        <w:rPr>
          <w:rFonts w:ascii="Book Antiqua" w:hAnsi="Book Antiqua" w:cs="Times New Roman"/>
          <w:sz w:val="24"/>
          <w:szCs w:val="24"/>
          <w:lang w:val="en-US"/>
        </w:rPr>
        <w:t xml:space="preserve">susceptible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to 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="00E51576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SAE. None of our patients died during follow-up, unlike </w:t>
      </w:r>
      <w:r w:rsidR="00E51576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patients in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the CUPIC trial.</w:t>
      </w:r>
    </w:p>
    <w:p w14:paraId="2393F3F7" w14:textId="68AF154C" w:rsidR="00E54923" w:rsidRPr="00C73B8F" w:rsidRDefault="00987481" w:rsidP="00B74297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We had to </w:t>
      </w:r>
      <w:r w:rsidR="00CA2AED" w:rsidRPr="00C73B8F">
        <w:rPr>
          <w:rFonts w:ascii="Book Antiqua" w:hAnsi="Book Antiqua" w:cs="Times New Roman"/>
          <w:sz w:val="24"/>
          <w:szCs w:val="24"/>
          <w:lang w:val="en-US"/>
        </w:rPr>
        <w:t xml:space="preserve">administer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EPO to </w:t>
      </w:r>
      <w:r w:rsidR="007C2028" w:rsidRPr="00C73B8F">
        <w:rPr>
          <w:rFonts w:ascii="Book Antiqua" w:hAnsi="Book Antiqua" w:cs="Times New Roman"/>
          <w:sz w:val="24"/>
          <w:szCs w:val="24"/>
          <w:lang w:val="en-US"/>
        </w:rPr>
        <w:t>52</w:t>
      </w:r>
      <w:r w:rsidR="00E54923" w:rsidRPr="00C73B8F">
        <w:rPr>
          <w:rFonts w:ascii="Book Antiqua" w:hAnsi="Book Antiqua" w:cs="Times New Roman"/>
          <w:sz w:val="24"/>
          <w:szCs w:val="24"/>
          <w:lang w:val="en-US"/>
        </w:rPr>
        <w:t xml:space="preserve">% of </w:t>
      </w:r>
      <w:r w:rsidR="00C25BB1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patients in this study </w:t>
      </w:r>
      <w:r w:rsidR="00E54923" w:rsidRPr="00C73B8F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D32D91" w:rsidRPr="00C73B8F">
        <w:rPr>
          <w:rFonts w:ascii="Book Antiqua" w:hAnsi="Book Antiqua" w:cs="Times New Roman"/>
          <w:sz w:val="24"/>
          <w:szCs w:val="24"/>
          <w:lang w:val="en-US"/>
        </w:rPr>
        <w:t xml:space="preserve">had to </w:t>
      </w:r>
      <w:r w:rsidR="00E54923" w:rsidRPr="00C73B8F">
        <w:rPr>
          <w:rFonts w:ascii="Book Antiqua" w:hAnsi="Book Antiqua" w:cs="Times New Roman"/>
          <w:sz w:val="24"/>
          <w:szCs w:val="24"/>
          <w:lang w:val="en-US"/>
        </w:rPr>
        <w:t>reduce the ribavi</w:t>
      </w:r>
      <w:r w:rsidR="007C2028" w:rsidRPr="00C73B8F">
        <w:rPr>
          <w:rFonts w:ascii="Book Antiqua" w:hAnsi="Book Antiqua" w:cs="Times New Roman"/>
          <w:sz w:val="24"/>
          <w:szCs w:val="24"/>
          <w:lang w:val="en-US"/>
        </w:rPr>
        <w:t>rin dose for 38.7</w:t>
      </w:r>
      <w:r w:rsidR="004E3A0B" w:rsidRPr="00C73B8F">
        <w:rPr>
          <w:rFonts w:ascii="Book Antiqua" w:hAnsi="Book Antiqua" w:cs="Times New Roman"/>
          <w:sz w:val="24"/>
          <w:szCs w:val="24"/>
          <w:lang w:val="en-US"/>
        </w:rPr>
        <w:t>%</w:t>
      </w:r>
      <w:r w:rsidR="00D137FC" w:rsidRPr="00C73B8F">
        <w:rPr>
          <w:rFonts w:ascii="Book Antiqua" w:hAnsi="Book Antiqua" w:cs="Times New Roman"/>
          <w:sz w:val="24"/>
          <w:szCs w:val="24"/>
          <w:lang w:val="en-US"/>
        </w:rPr>
        <w:t xml:space="preserve"> of the patients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7A3362" w:rsidRPr="00C73B8F">
        <w:rPr>
          <w:rFonts w:ascii="Book Antiqua" w:hAnsi="Book Antiqua" w:cs="Times New Roman"/>
          <w:sz w:val="24"/>
          <w:szCs w:val="24"/>
          <w:lang w:val="en-US"/>
        </w:rPr>
        <w:t>In addition,</w:t>
      </w:r>
      <w:r w:rsidR="007C2028" w:rsidRPr="00C73B8F">
        <w:rPr>
          <w:rFonts w:ascii="Book Antiqua" w:hAnsi="Book Antiqua" w:cs="Times New Roman"/>
          <w:sz w:val="24"/>
          <w:szCs w:val="24"/>
          <w:lang w:val="en-US"/>
        </w:rPr>
        <w:t xml:space="preserve"> 13.6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% of the patients required a blood transfusion. Reducing the ribavirin dose had no effect on the SVR for our patients. Anemia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was treated in the SPRINT-2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trial</w:t>
      </w:r>
      <w:r w:rsidR="0032309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32309B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7</w:t>
      </w:r>
      <w:r w:rsidR="0032309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892145" w:rsidRPr="00C73B8F">
        <w:rPr>
          <w:rFonts w:ascii="Book Antiqua" w:hAnsi="Book Antiqua" w:cs="Times New Roman"/>
          <w:sz w:val="24"/>
          <w:szCs w:val="24"/>
          <w:lang w:val="en-US"/>
        </w:rPr>
        <w:t xml:space="preserve">similarly to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our study,</w:t>
      </w:r>
      <w:r w:rsidR="00E54923" w:rsidRPr="00C73B8F">
        <w:rPr>
          <w:rFonts w:ascii="Book Antiqua" w:hAnsi="Book Antiqua" w:cs="Times New Roman"/>
          <w:sz w:val="24"/>
          <w:szCs w:val="24"/>
          <w:lang w:val="en-US"/>
        </w:rPr>
        <w:t xml:space="preserve"> with a reduction </w:t>
      </w:r>
      <w:r w:rsidR="00892145" w:rsidRPr="00C73B8F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E54923" w:rsidRPr="00C73B8F">
        <w:rPr>
          <w:rFonts w:ascii="Book Antiqua" w:hAnsi="Book Antiqua" w:cs="Times New Roman"/>
          <w:sz w:val="24"/>
          <w:szCs w:val="24"/>
          <w:lang w:val="en-US"/>
        </w:rPr>
        <w:t>the ribavi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rin dose for only 8% of patients</w:t>
      </w:r>
      <w:r w:rsidR="00892145" w:rsidRPr="00C73B8F">
        <w:rPr>
          <w:rFonts w:ascii="Book Antiqua" w:hAnsi="Book Antiqua" w:cs="Times New Roman"/>
          <w:sz w:val="24"/>
          <w:szCs w:val="24"/>
          <w:lang w:val="en-US"/>
        </w:rPr>
        <w:t>;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C098F" w:rsidRPr="00C73B8F">
        <w:rPr>
          <w:rFonts w:ascii="Book Antiqua" w:hAnsi="Book Antiqua" w:cs="Times New Roman"/>
          <w:sz w:val="24"/>
          <w:szCs w:val="24"/>
          <w:lang w:val="en-US"/>
        </w:rPr>
        <w:t xml:space="preserve">EPO was used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for 38</w:t>
      </w:r>
      <w:r w:rsidR="003F4F80" w:rsidRPr="00C73B8F">
        <w:rPr>
          <w:rFonts w:ascii="Book Antiqua" w:hAnsi="Book Antiqua" w:cs="Times New Roman"/>
          <w:sz w:val="24"/>
          <w:szCs w:val="24"/>
          <w:lang w:val="en-US"/>
        </w:rPr>
        <w:t xml:space="preserve">% </w:t>
      </w:r>
      <w:r w:rsidR="002C098F" w:rsidRPr="00C73B8F">
        <w:rPr>
          <w:rFonts w:ascii="Book Antiqua" w:hAnsi="Book Antiqua" w:cs="Times New Roman"/>
          <w:sz w:val="24"/>
          <w:szCs w:val="24"/>
          <w:lang w:val="en-US"/>
        </w:rPr>
        <w:t>of patients</w:t>
      </w:r>
      <w:r w:rsidR="002926B8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2C098F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F4F80" w:rsidRPr="00C73B8F">
        <w:rPr>
          <w:rFonts w:ascii="Book Antiqua" w:hAnsi="Book Antiqua" w:cs="Times New Roman"/>
          <w:sz w:val="24"/>
          <w:szCs w:val="24"/>
          <w:lang w:val="en-US"/>
        </w:rPr>
        <w:t xml:space="preserve">and a combination </w:t>
      </w:r>
      <w:r w:rsidR="00994BBE" w:rsidRPr="00C73B8F">
        <w:rPr>
          <w:rFonts w:ascii="Book Antiqua" w:hAnsi="Book Antiqua" w:cs="Times New Roman"/>
          <w:sz w:val="24"/>
          <w:szCs w:val="24"/>
          <w:lang w:val="en-US"/>
        </w:rPr>
        <w:t xml:space="preserve">of the </w:t>
      </w:r>
      <w:r w:rsidR="002926B8" w:rsidRPr="00C73B8F">
        <w:rPr>
          <w:rFonts w:ascii="Book Antiqua" w:hAnsi="Book Antiqua" w:cs="Times New Roman"/>
          <w:sz w:val="24"/>
          <w:szCs w:val="24"/>
          <w:lang w:val="en-US"/>
        </w:rPr>
        <w:t>reducing the ribavirin dose and EPO was used</w:t>
      </w:r>
      <w:r w:rsidR="00994BBE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F4F80" w:rsidRPr="00C73B8F">
        <w:rPr>
          <w:rFonts w:ascii="Book Antiqua" w:hAnsi="Book Antiqua" w:cs="Times New Roman"/>
          <w:sz w:val="24"/>
          <w:szCs w:val="24"/>
          <w:lang w:val="en-US"/>
        </w:rPr>
        <w:t>for 44%</w:t>
      </w:r>
      <w:r w:rsidR="002C098F" w:rsidRPr="00C73B8F">
        <w:rPr>
          <w:rFonts w:ascii="Book Antiqua" w:hAnsi="Book Antiqua" w:cs="Times New Roman"/>
          <w:sz w:val="24"/>
          <w:szCs w:val="24"/>
          <w:lang w:val="en-US"/>
        </w:rPr>
        <w:t xml:space="preserve"> of patients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TPV </w:t>
      </w:r>
      <w:r w:rsidR="006614E7" w:rsidRPr="00C73B8F">
        <w:rPr>
          <w:rFonts w:ascii="Book Antiqua" w:hAnsi="Book Antiqua" w:cs="Times New Roman"/>
          <w:sz w:val="24"/>
          <w:szCs w:val="24"/>
          <w:lang w:val="en-US"/>
        </w:rPr>
        <w:t xml:space="preserve">appeared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to cause anemia more frequently than BOC among our patients</w:t>
      </w:r>
      <w:r w:rsidR="008640EB" w:rsidRPr="00C73B8F">
        <w:rPr>
          <w:rFonts w:ascii="Book Antiqua" w:hAnsi="Book Antiqua" w:cs="Times New Roman"/>
          <w:sz w:val="24"/>
          <w:szCs w:val="24"/>
          <w:lang w:val="en-US"/>
        </w:rPr>
        <w:t xml:space="preserve">; however, this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difference was not significant. TPV treatment was not an independent factor </w:t>
      </w:r>
      <w:r w:rsidR="00FE05A8" w:rsidRPr="00C73B8F">
        <w:rPr>
          <w:rFonts w:ascii="Book Antiqua" w:hAnsi="Book Antiqua" w:cs="Times New Roman"/>
          <w:sz w:val="24"/>
          <w:szCs w:val="24"/>
          <w:lang w:val="en-US"/>
        </w:rPr>
        <w:t xml:space="preserve">suggesting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the development of SAEs in our study.</w:t>
      </w:r>
      <w:r w:rsidR="003F4F80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54923" w:rsidRPr="00C73B8F">
        <w:rPr>
          <w:rFonts w:ascii="Book Antiqua" w:hAnsi="Book Antiqua" w:cs="Times New Roman"/>
          <w:sz w:val="24"/>
          <w:szCs w:val="24"/>
          <w:lang w:val="en-US"/>
        </w:rPr>
        <w:t xml:space="preserve">We have confirmed that patients with severe liver fibrosis, </w:t>
      </w:r>
      <w:r w:rsidR="0008204B" w:rsidRPr="00C73B8F">
        <w:rPr>
          <w:rFonts w:ascii="Book Antiqua" w:hAnsi="Book Antiqua" w:cs="Times New Roman"/>
          <w:sz w:val="24"/>
          <w:szCs w:val="24"/>
          <w:lang w:val="en-US"/>
        </w:rPr>
        <w:t xml:space="preserve">whether </w:t>
      </w:r>
      <w:proofErr w:type="spellStart"/>
      <w:r w:rsidR="00E54923"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="00E54923" w:rsidRPr="00C73B8F">
        <w:rPr>
          <w:rFonts w:ascii="Book Antiqua" w:hAnsi="Book Antiqua" w:cs="Times New Roman"/>
          <w:sz w:val="24"/>
          <w:szCs w:val="24"/>
          <w:lang w:val="en-US"/>
        </w:rPr>
        <w:t xml:space="preserve"> F3 or F4, do not readily tolerate triple therapy with PI and suffer</w:t>
      </w:r>
      <w:r w:rsidR="00994BBE" w:rsidRPr="00C73B8F">
        <w:rPr>
          <w:rFonts w:ascii="Book Antiqua" w:hAnsi="Book Antiqua" w:cs="Times New Roman"/>
          <w:sz w:val="24"/>
          <w:szCs w:val="24"/>
          <w:lang w:val="en-US"/>
        </w:rPr>
        <w:t xml:space="preserve"> from</w:t>
      </w:r>
      <w:r w:rsidR="00E54923" w:rsidRPr="00C73B8F">
        <w:rPr>
          <w:rFonts w:ascii="Book Antiqua" w:hAnsi="Book Antiqua" w:cs="Times New Roman"/>
          <w:sz w:val="24"/>
          <w:szCs w:val="24"/>
          <w:lang w:val="en-US"/>
        </w:rPr>
        <w:t xml:space="preserve"> a high incidence of SAE</w:t>
      </w:r>
      <w:r w:rsidR="00F54E65" w:rsidRPr="00C73B8F">
        <w:rPr>
          <w:rFonts w:ascii="Book Antiqua" w:hAnsi="Book Antiqua" w:cs="Times New Roman"/>
          <w:sz w:val="24"/>
          <w:szCs w:val="24"/>
          <w:lang w:val="en-US"/>
        </w:rPr>
        <w:t>s</w:t>
      </w:r>
      <w:r w:rsidR="00E54923"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We </w:t>
      </w:r>
      <w:r w:rsidR="005D6BF2" w:rsidRPr="00C73B8F">
        <w:rPr>
          <w:rFonts w:ascii="Book Antiqua" w:hAnsi="Book Antiqua" w:cs="Times New Roman"/>
          <w:sz w:val="24"/>
          <w:szCs w:val="24"/>
          <w:lang w:val="en-US"/>
        </w:rPr>
        <w:t xml:space="preserve">determined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that two factors were independently associated with the development of 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SAE. One </w:t>
      </w:r>
      <w:r w:rsidR="00D723FE" w:rsidRPr="00C73B8F">
        <w:rPr>
          <w:rFonts w:ascii="Book Antiqua" w:hAnsi="Book Antiqua" w:cs="Times New Roman"/>
          <w:sz w:val="24"/>
          <w:szCs w:val="24"/>
          <w:lang w:val="en-US"/>
        </w:rPr>
        <w:t xml:space="preserve">factor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was the platelet count at inclusion</w:t>
      </w:r>
      <w:r w:rsidR="00994BBE" w:rsidRPr="00C73B8F">
        <w:rPr>
          <w:rFonts w:ascii="Book Antiqua" w:hAnsi="Book Antiqua" w:cs="Times New Roman"/>
          <w:sz w:val="24"/>
          <w:szCs w:val="24"/>
          <w:lang w:val="en-US"/>
        </w:rPr>
        <w:t>, which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was significantly lower in </w:t>
      </w:r>
      <w:r w:rsidR="00F3093B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patients who developed 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SAE. The threshold for development of 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SAE was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150000 platelets/mm³</w:t>
      </w:r>
      <w:proofErr w:type="gram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Data </w:t>
      </w:r>
      <w:r w:rsidR="007E045D" w:rsidRPr="00C73B8F">
        <w:rPr>
          <w:rFonts w:ascii="Book Antiqua" w:hAnsi="Book Antiqua" w:cs="Times New Roman"/>
          <w:sz w:val="24"/>
          <w:szCs w:val="24"/>
          <w:lang w:val="en-US"/>
        </w:rPr>
        <w:t xml:space="preserve">from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the CUPIC </w:t>
      </w:r>
      <w:proofErr w:type="gramStart"/>
      <w:r w:rsidRPr="00C73B8F">
        <w:rPr>
          <w:rFonts w:ascii="Book Antiqua" w:hAnsi="Book Antiqua" w:cs="Times New Roman"/>
          <w:sz w:val="24"/>
          <w:szCs w:val="24"/>
          <w:lang w:val="en-US"/>
        </w:rPr>
        <w:t>cohort</w:t>
      </w:r>
      <w:r w:rsidR="00D7363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D7363B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15</w:t>
      </w:r>
      <w:r w:rsidR="00D7363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indicate that a threshold</w:t>
      </w:r>
      <w:r w:rsidR="00E54923" w:rsidRPr="00C73B8F">
        <w:rPr>
          <w:rFonts w:ascii="Book Antiqua" w:hAnsi="Book Antiqua" w:cs="Times New Roman"/>
          <w:sz w:val="24"/>
          <w:szCs w:val="24"/>
          <w:lang w:val="en-US"/>
        </w:rPr>
        <w:t xml:space="preserve"> of 100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000/mm³ was predictive of death and severe complications. </w:t>
      </w:r>
      <w:r w:rsidR="00BF24AD" w:rsidRPr="00C73B8F">
        <w:rPr>
          <w:rFonts w:ascii="Book Antiqua" w:hAnsi="Book Antiqua" w:cs="Times New Roman"/>
          <w:sz w:val="24"/>
          <w:szCs w:val="24"/>
          <w:lang w:val="en-US"/>
        </w:rPr>
        <w:t xml:space="preserve">Some of our patients had </w:t>
      </w:r>
      <w:proofErr w:type="spellStart"/>
      <w:r w:rsidR="00BF24AD"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="00BF24AD" w:rsidRPr="00C73B8F">
        <w:rPr>
          <w:rFonts w:ascii="Book Antiqua" w:hAnsi="Book Antiqua" w:cs="Times New Roman"/>
          <w:sz w:val="24"/>
          <w:szCs w:val="24"/>
          <w:lang w:val="en-US"/>
        </w:rPr>
        <w:t xml:space="preserve"> F3 or F4 scores</w:t>
      </w:r>
      <w:r w:rsidR="00A92DAF" w:rsidRPr="00C73B8F">
        <w:rPr>
          <w:rFonts w:ascii="Book Antiqua" w:hAnsi="Book Antiqua" w:cs="Times New Roman"/>
          <w:sz w:val="24"/>
          <w:szCs w:val="24"/>
          <w:lang w:val="en-US"/>
        </w:rPr>
        <w:t xml:space="preserve">, whereas </w:t>
      </w:r>
      <w:r w:rsidR="00BF24AD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CUPIC </w:t>
      </w:r>
      <w:proofErr w:type="gramStart"/>
      <w:r w:rsidR="00BF24AD" w:rsidRPr="00C73B8F">
        <w:rPr>
          <w:rFonts w:ascii="Book Antiqua" w:hAnsi="Book Antiqua" w:cs="Times New Roman"/>
          <w:sz w:val="24"/>
          <w:szCs w:val="24"/>
          <w:lang w:val="en-US"/>
        </w:rPr>
        <w:t>cohort</w:t>
      </w:r>
      <w:r w:rsidR="004E3A0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4E3A0B" w:rsidRPr="00C73B8F">
        <w:rPr>
          <w:rFonts w:ascii="Book Antiqua" w:hAnsi="Book Antiqua" w:cs="Times New Roman"/>
          <w:bCs/>
          <w:color w:val="000000" w:themeColor="text1"/>
          <w:sz w:val="24"/>
          <w:szCs w:val="24"/>
          <w:vertAlign w:val="superscript"/>
          <w:lang w:val="en-US"/>
        </w:rPr>
        <w:t>15</w:t>
      </w:r>
      <w:r w:rsidR="004E3A0B"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4E3A0B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F24AD" w:rsidRPr="00C73B8F">
        <w:rPr>
          <w:rFonts w:ascii="Book Antiqua" w:hAnsi="Book Antiqua" w:cs="Times New Roman"/>
          <w:sz w:val="24"/>
          <w:szCs w:val="24"/>
          <w:lang w:val="en-US"/>
        </w:rPr>
        <w:t xml:space="preserve">included only patients with cirrhosis; this </w:t>
      </w:r>
      <w:r w:rsidR="00A155FE" w:rsidRPr="00C73B8F">
        <w:rPr>
          <w:rFonts w:ascii="Book Antiqua" w:hAnsi="Book Antiqua" w:cs="Times New Roman"/>
          <w:sz w:val="24"/>
          <w:szCs w:val="24"/>
          <w:lang w:val="en-US"/>
        </w:rPr>
        <w:t xml:space="preserve">difference </w:t>
      </w:r>
      <w:r w:rsidR="00BF24AD" w:rsidRPr="00C73B8F">
        <w:rPr>
          <w:rFonts w:ascii="Book Antiqua" w:hAnsi="Book Antiqua" w:cs="Times New Roman"/>
          <w:sz w:val="24"/>
          <w:szCs w:val="24"/>
          <w:lang w:val="en-US"/>
        </w:rPr>
        <w:t xml:space="preserve">could account for the lower SVR rate in the CUPIC study. </w:t>
      </w:r>
      <w:r w:rsidR="00F5326F" w:rsidRPr="00C73B8F">
        <w:rPr>
          <w:rFonts w:ascii="Book Antiqua" w:hAnsi="Book Antiqua" w:cs="Times New Roman"/>
          <w:sz w:val="24"/>
          <w:szCs w:val="24"/>
          <w:lang w:val="en-US"/>
        </w:rPr>
        <w:t>Female gender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is the second factor independently associated with </w:t>
      </w:r>
      <w:r w:rsidR="005E0563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development of 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SAE. The PI dose should not be scaled to the patient’s body weight</w:t>
      </w:r>
      <w:r w:rsidR="000E15DF" w:rsidRPr="00C73B8F">
        <w:rPr>
          <w:rFonts w:ascii="Book Antiqua" w:hAnsi="Book Antiqua" w:cs="Times New Roman"/>
          <w:sz w:val="24"/>
          <w:szCs w:val="24"/>
          <w:lang w:val="en-US"/>
        </w:rPr>
        <w:t xml:space="preserve">; however,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further studies on men and women are need</w:t>
      </w:r>
      <w:r w:rsidR="0008204B" w:rsidRPr="00C73B8F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to define any differences in body mass index in men and women to </w:t>
      </w:r>
      <w:r w:rsidR="00E54923" w:rsidRPr="00C73B8F">
        <w:rPr>
          <w:rFonts w:ascii="Book Antiqua" w:hAnsi="Book Antiqua" w:cs="Times New Roman"/>
          <w:sz w:val="24"/>
          <w:szCs w:val="24"/>
          <w:lang w:val="en-US"/>
        </w:rPr>
        <w:t>assess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whether this factor influences tolerance. </w:t>
      </w:r>
    </w:p>
    <w:p w14:paraId="7E0321DE" w14:textId="02FFA905" w:rsidR="007F3E2C" w:rsidRPr="00C73B8F" w:rsidRDefault="00987481" w:rsidP="00B74297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In conclusion, we studied a </w:t>
      </w:r>
      <w:r w:rsidR="007C2028" w:rsidRPr="00C73B8F">
        <w:rPr>
          <w:rFonts w:ascii="Book Antiqua" w:hAnsi="Book Antiqua" w:cs="Times New Roman"/>
          <w:sz w:val="24"/>
          <w:szCs w:val="24"/>
          <w:lang w:val="en-US"/>
        </w:rPr>
        <w:t>larg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e cohort of patients with genotype 1 HCV infection and severe liver fibrosis</w:t>
      </w:r>
      <w:r w:rsidR="007E045D" w:rsidRPr="00C73B8F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Metavir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F3 or F4</w:t>
      </w:r>
      <w:r w:rsidR="007E045D" w:rsidRPr="00C73B8F">
        <w:rPr>
          <w:rFonts w:ascii="Book Antiqua" w:hAnsi="Book Antiqua" w:cs="Times New Roman"/>
          <w:sz w:val="24"/>
          <w:szCs w:val="24"/>
          <w:lang w:val="en-US"/>
        </w:rPr>
        <w:t>)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who had failed to </w:t>
      </w:r>
      <w:r w:rsidR="00BA4C12" w:rsidRPr="00C73B8F">
        <w:rPr>
          <w:rFonts w:ascii="Book Antiqua" w:hAnsi="Book Antiqua" w:cs="Times New Roman"/>
          <w:sz w:val="24"/>
          <w:szCs w:val="24"/>
          <w:lang w:val="en-US"/>
        </w:rPr>
        <w:t xml:space="preserve">respond to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an earlier</w:t>
      </w:r>
      <w:r w:rsidRPr="00C73B8F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 xml:space="preserve"> PR treatment.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Our data obtained in routine clinical practice confirm the satisfactory efficacy of PI triple therapy. We have also </w:t>
      </w:r>
      <w:r w:rsidR="00BD77D2" w:rsidRPr="00C73B8F">
        <w:rPr>
          <w:rFonts w:ascii="Book Antiqua" w:hAnsi="Book Antiqua" w:cs="Times New Roman"/>
          <w:sz w:val="24"/>
          <w:szCs w:val="24"/>
          <w:lang w:val="en-US"/>
        </w:rPr>
        <w:t xml:space="preserve">demonstrated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that a</w:t>
      </w:r>
      <w:r w:rsidR="00583630" w:rsidRPr="00C73B8F">
        <w:rPr>
          <w:rFonts w:ascii="Book Antiqua" w:hAnsi="Book Antiqua" w:cs="Times New Roman"/>
          <w:sz w:val="24"/>
          <w:szCs w:val="24"/>
          <w:lang w:val="en-US"/>
        </w:rPr>
        <w:t xml:space="preserve"> threshold value of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21.3 </w:t>
      </w:r>
      <w:proofErr w:type="spellStart"/>
      <w:r w:rsidR="00171621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of LS is associated with </w:t>
      </w:r>
      <w:r w:rsidR="00D025C0" w:rsidRPr="00C73B8F">
        <w:rPr>
          <w:rFonts w:ascii="Book Antiqua" w:hAnsi="Book Antiqua" w:cs="Times New Roman"/>
          <w:sz w:val="24"/>
          <w:szCs w:val="24"/>
          <w:lang w:val="en-US"/>
        </w:rPr>
        <w:t>a</w:t>
      </w:r>
      <w:r w:rsidR="00202ED4" w:rsidRPr="00C73B8F">
        <w:rPr>
          <w:rFonts w:ascii="Book Antiqua" w:hAnsi="Book Antiqua" w:cs="Times New Roman"/>
          <w:sz w:val="24"/>
          <w:szCs w:val="24"/>
          <w:lang w:val="en-US"/>
        </w:rPr>
        <w:t>n</w:t>
      </w:r>
      <w:r w:rsidR="00D025C0" w:rsidRPr="00C73B8F">
        <w:rPr>
          <w:rFonts w:ascii="Book Antiqua" w:hAnsi="Book Antiqua" w:cs="Times New Roman"/>
          <w:sz w:val="24"/>
          <w:szCs w:val="24"/>
          <w:lang w:val="en-US"/>
        </w:rPr>
        <w:t xml:space="preserve"> SVR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BA4C12" w:rsidRPr="00C73B8F">
        <w:rPr>
          <w:rFonts w:ascii="Book Antiqua" w:hAnsi="Book Antiqua" w:cs="Times New Roman"/>
          <w:sz w:val="24"/>
          <w:szCs w:val="24"/>
          <w:lang w:val="en-US"/>
        </w:rPr>
        <w:t xml:space="preserve">However,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triple therapy with</w:t>
      </w:r>
      <w:r w:rsidR="00E54923" w:rsidRPr="00C73B8F">
        <w:rPr>
          <w:rFonts w:ascii="Book Antiqua" w:hAnsi="Book Antiqua" w:cs="Times New Roman"/>
          <w:sz w:val="24"/>
          <w:szCs w:val="24"/>
          <w:lang w:val="en-US"/>
        </w:rPr>
        <w:t xml:space="preserve"> PI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is rather poorly tolerated. We </w:t>
      </w:r>
      <w:r w:rsidR="00583630" w:rsidRPr="00C73B8F">
        <w:rPr>
          <w:rFonts w:ascii="Book Antiqua" w:hAnsi="Book Antiqua" w:cs="Times New Roman"/>
          <w:sz w:val="24"/>
          <w:szCs w:val="24"/>
          <w:lang w:val="en-US"/>
        </w:rPr>
        <w:t xml:space="preserve">should use better methods to select patients for PI treatment and should be able to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offer </w:t>
      </w:r>
      <w:r w:rsidR="00583630" w:rsidRPr="00C73B8F">
        <w:rPr>
          <w:rFonts w:ascii="Book Antiqua" w:hAnsi="Book Antiqua" w:cs="Times New Roman"/>
          <w:sz w:val="24"/>
          <w:szCs w:val="24"/>
          <w:lang w:val="en-US"/>
        </w:rPr>
        <w:t>the</w:t>
      </w:r>
      <w:r w:rsidR="00354B0B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patients at </w:t>
      </w:r>
      <w:r w:rsidR="00BA4C12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greatest risk of </w:t>
      </w:r>
      <w:r w:rsidR="00354B0B" w:rsidRPr="00C73B8F">
        <w:rPr>
          <w:rFonts w:ascii="Book Antiqua" w:hAnsi="Book Antiqua" w:cs="Times New Roman"/>
          <w:sz w:val="24"/>
          <w:szCs w:val="24"/>
          <w:lang w:val="en-US"/>
        </w:rPr>
        <w:t xml:space="preserve">treatment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failure </w:t>
      </w:r>
      <w:r w:rsidR="00354B0B" w:rsidRPr="00C73B8F">
        <w:rPr>
          <w:rFonts w:ascii="Book Antiqua" w:hAnsi="Book Antiqua" w:cs="Times New Roman"/>
          <w:sz w:val="24"/>
          <w:szCs w:val="24"/>
          <w:lang w:val="en-US"/>
        </w:rPr>
        <w:t xml:space="preserve">(as well as those with an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intolerance </w:t>
      </w:r>
      <w:r w:rsidR="00BA4C12" w:rsidRPr="00C73B8F">
        <w:rPr>
          <w:rFonts w:ascii="Book Antiqua" w:hAnsi="Book Antiqua" w:cs="Times New Roman"/>
          <w:sz w:val="24"/>
          <w:szCs w:val="24"/>
          <w:lang w:val="en-US"/>
        </w:rPr>
        <w:t xml:space="preserve">for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other therapies</w:t>
      </w:r>
      <w:r w:rsidR="00354B0B" w:rsidRPr="00C73B8F">
        <w:rPr>
          <w:rFonts w:ascii="Book Antiqua" w:hAnsi="Book Antiqua" w:cs="Times New Roman"/>
          <w:sz w:val="24"/>
          <w:szCs w:val="24"/>
          <w:lang w:val="en-US"/>
        </w:rPr>
        <w:t>)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A4C12" w:rsidRPr="00C73B8F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second generation of </w:t>
      </w:r>
      <w:r w:rsidRPr="00C73B8F">
        <w:rPr>
          <w:rFonts w:ascii="Book Antiqua" w:hAnsi="Book Antiqua" w:cs="Times New Roman"/>
          <w:color w:val="000000" w:themeColor="text1"/>
          <w:sz w:val="24"/>
          <w:szCs w:val="24"/>
          <w:lang w:val="en-US"/>
        </w:rPr>
        <w:t>new DAAs.</w:t>
      </w:r>
    </w:p>
    <w:p w14:paraId="5B917268" w14:textId="77777777" w:rsidR="00B74297" w:rsidRDefault="00B74297" w:rsidP="00F95879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</w:p>
    <w:p w14:paraId="1FD0F887" w14:textId="1886FB15" w:rsidR="00B74297" w:rsidRDefault="00B74297" w:rsidP="00F95879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>ACKNOWLEDGEMENTS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3C1B1661" w14:textId="7456F081" w:rsidR="00F95879" w:rsidRPr="00C73B8F" w:rsidRDefault="00B74297" w:rsidP="00F9587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We would like </w:t>
      </w:r>
      <w:r w:rsidR="00F95879" w:rsidRPr="00C73B8F">
        <w:rPr>
          <w:rFonts w:ascii="Book Antiqua" w:hAnsi="Book Antiqua" w:cs="Times New Roman"/>
          <w:sz w:val="24"/>
          <w:szCs w:val="24"/>
          <w:lang w:val="en-US"/>
        </w:rPr>
        <w:t xml:space="preserve">to 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thanks for </w:t>
      </w:r>
      <w:r w:rsidR="00F95879" w:rsidRPr="00C73B8F">
        <w:rPr>
          <w:rFonts w:ascii="Book Antiqua" w:hAnsi="Book Antiqua" w:cs="Times New Roman"/>
          <w:sz w:val="24"/>
          <w:szCs w:val="24"/>
          <w:lang w:val="en-US"/>
        </w:rPr>
        <w:t>Julie Laurent for technical assistance in statistical analysis and Dr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.</w:t>
      </w:r>
      <w:r w:rsidR="00F95879" w:rsidRPr="00C73B8F">
        <w:rPr>
          <w:rFonts w:ascii="Book Antiqua" w:hAnsi="Book Antiqua" w:cs="Times New Roman"/>
          <w:sz w:val="24"/>
          <w:szCs w:val="24"/>
          <w:lang w:val="en-US"/>
        </w:rPr>
        <w:t xml:space="preserve"> Owen Parks for English corrections.</w:t>
      </w:r>
    </w:p>
    <w:p w14:paraId="59374B5E" w14:textId="77777777" w:rsidR="007D6C18" w:rsidRPr="00F95879" w:rsidRDefault="007D6C18" w:rsidP="00C73B8F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</w:pPr>
    </w:p>
    <w:p w14:paraId="3DCA7264" w14:textId="77777777" w:rsidR="00E25653" w:rsidRPr="00C73B8F" w:rsidRDefault="00E25653" w:rsidP="00C73B8F">
      <w:pPr>
        <w:pStyle w:val="ac"/>
        <w:spacing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bookmarkStart w:id="67" w:name="OLE_LINK36"/>
      <w:bookmarkStart w:id="68" w:name="OLE_LINK89"/>
      <w:bookmarkStart w:id="69" w:name="OLE_LINK95"/>
      <w:bookmarkStart w:id="70" w:name="OLE_LINK124"/>
      <w:bookmarkStart w:id="71" w:name="OLE_LINK131"/>
      <w:bookmarkStart w:id="72" w:name="OLE_LINK134"/>
      <w:bookmarkStart w:id="73" w:name="OLE_LINK218"/>
      <w:r w:rsidRPr="00C73B8F">
        <w:rPr>
          <w:rFonts w:ascii="Book Antiqua" w:hAnsi="Book Antiqua"/>
          <w:b/>
          <w:sz w:val="24"/>
          <w:szCs w:val="24"/>
          <w:lang w:val="en-US"/>
        </w:rPr>
        <w:t>COMMENTS</w:t>
      </w:r>
    </w:p>
    <w:bookmarkEnd w:id="67"/>
    <w:bookmarkEnd w:id="68"/>
    <w:bookmarkEnd w:id="69"/>
    <w:bookmarkEnd w:id="70"/>
    <w:bookmarkEnd w:id="71"/>
    <w:bookmarkEnd w:id="72"/>
    <w:p w14:paraId="1A933FF2" w14:textId="77777777" w:rsidR="00E25653" w:rsidRPr="00C73B8F" w:rsidRDefault="00E25653" w:rsidP="00C73B8F">
      <w:pPr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val="en-US"/>
        </w:rPr>
      </w:pPr>
      <w:r w:rsidRPr="00C73B8F">
        <w:rPr>
          <w:rFonts w:ascii="Book Antiqua" w:hAnsi="Book Antiqua"/>
          <w:b/>
          <w:bCs/>
          <w:i/>
          <w:sz w:val="24"/>
          <w:szCs w:val="24"/>
          <w:lang w:val="en-US"/>
        </w:rPr>
        <w:lastRenderedPageBreak/>
        <w:t>Background</w:t>
      </w:r>
    </w:p>
    <w:p w14:paraId="1E08E3AF" w14:textId="1593F183" w:rsidR="00C24722" w:rsidRPr="00C73B8F" w:rsidRDefault="00F44D08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/>
          <w:sz w:val="24"/>
          <w:szCs w:val="24"/>
          <w:lang w:val="en-US"/>
        </w:rPr>
        <w:t xml:space="preserve">The addition </w:t>
      </w:r>
      <w:r w:rsidR="005C4E6B" w:rsidRPr="00C73B8F">
        <w:rPr>
          <w:rFonts w:ascii="Book Antiqua" w:hAnsi="Book Antiqua"/>
          <w:sz w:val="24"/>
          <w:szCs w:val="24"/>
          <w:lang w:val="en-US"/>
        </w:rPr>
        <w:t xml:space="preserve">of </w:t>
      </w:r>
      <w:proofErr w:type="spellStart"/>
      <w:r w:rsidR="00B74297" w:rsidRPr="00C73B8F">
        <w:rPr>
          <w:rFonts w:ascii="Book Antiqua" w:hAnsi="Book Antiqua" w:cs="Times New Roman"/>
          <w:sz w:val="24"/>
          <w:szCs w:val="24"/>
          <w:lang w:val="en-US"/>
        </w:rPr>
        <w:t>telaprevir</w:t>
      </w:r>
      <w:proofErr w:type="spellEnd"/>
      <w:r w:rsidR="00B74297" w:rsidRPr="00C73B8F">
        <w:rPr>
          <w:rFonts w:ascii="Book Antiqua" w:hAnsi="Book Antiqua" w:cs="Times New Roman"/>
          <w:sz w:val="24"/>
          <w:szCs w:val="24"/>
          <w:lang w:val="en-US"/>
        </w:rPr>
        <w:t xml:space="preserve"> (TPV)</w:t>
      </w:r>
      <w:r w:rsidR="005C4E6B" w:rsidRPr="00C73B8F">
        <w:rPr>
          <w:rFonts w:ascii="Book Antiqua" w:hAnsi="Book Antiqua"/>
          <w:sz w:val="24"/>
          <w:szCs w:val="24"/>
          <w:lang w:val="en-US"/>
        </w:rPr>
        <w:t xml:space="preserve"> or </w:t>
      </w:r>
      <w:proofErr w:type="spellStart"/>
      <w:r w:rsidR="00B74297" w:rsidRPr="00C73B8F">
        <w:rPr>
          <w:rFonts w:ascii="Book Antiqua" w:hAnsi="Book Antiqua" w:cs="Times New Roman"/>
          <w:sz w:val="24"/>
          <w:szCs w:val="24"/>
          <w:lang w:val="en-US"/>
        </w:rPr>
        <w:t>boceprevir</w:t>
      </w:r>
      <w:proofErr w:type="spellEnd"/>
      <w:r w:rsidR="00B74297" w:rsidRPr="00C73B8F">
        <w:rPr>
          <w:rFonts w:ascii="Book Antiqua" w:hAnsi="Book Antiqua" w:cs="Times New Roman"/>
          <w:sz w:val="24"/>
          <w:szCs w:val="24"/>
          <w:lang w:val="en-US"/>
        </w:rPr>
        <w:t xml:space="preserve"> (BOC)</w:t>
      </w:r>
      <w:r w:rsidR="005C4E6B" w:rsidRPr="00C73B8F">
        <w:rPr>
          <w:rFonts w:ascii="Book Antiqua" w:hAnsi="Book Antiqua"/>
          <w:sz w:val="24"/>
          <w:szCs w:val="24"/>
          <w:lang w:val="en-US"/>
        </w:rPr>
        <w:t xml:space="preserve"> </w:t>
      </w:r>
      <w:r w:rsidR="005C4E6B" w:rsidRPr="00C73B8F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E71B1E" w:rsidRPr="00C73B8F">
        <w:rPr>
          <w:rFonts w:ascii="Book Antiqua" w:hAnsi="Book Antiqua" w:cs="Times New Roman"/>
          <w:sz w:val="24"/>
          <w:szCs w:val="24"/>
          <w:lang w:val="en-US"/>
        </w:rPr>
        <w:t>treatment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="005C4E6B" w:rsidRPr="00C73B8F">
        <w:rPr>
          <w:rFonts w:ascii="Book Antiqua" w:hAnsi="Book Antiqua" w:cs="Times New Roman"/>
          <w:sz w:val="24"/>
          <w:szCs w:val="24"/>
          <w:lang w:val="en-US"/>
        </w:rPr>
        <w:t xml:space="preserve">genotype 1 </w:t>
      </w:r>
      <w:r w:rsidR="00B74297" w:rsidRPr="00C73B8F">
        <w:rPr>
          <w:rFonts w:ascii="Book Antiqua" w:hAnsi="Book Antiqua" w:cs="Times New Roman"/>
          <w:sz w:val="24"/>
          <w:szCs w:val="24"/>
          <w:lang w:val="en-US"/>
        </w:rPr>
        <w:t xml:space="preserve">hepatitis C virus </w:t>
      </w:r>
      <w:r w:rsidR="00B74297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="00B74297" w:rsidRPr="00C73B8F">
        <w:rPr>
          <w:rFonts w:ascii="Book Antiqua" w:hAnsi="Book Antiqua" w:cs="Times New Roman"/>
          <w:sz w:val="24"/>
          <w:szCs w:val="24"/>
          <w:lang w:val="en-US"/>
        </w:rPr>
        <w:t>HCV</w:t>
      </w:r>
      <w:r w:rsidR="00B74297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</w:t>
      </w:r>
      <w:r w:rsidR="005C4E6B" w:rsidRPr="00C73B8F">
        <w:rPr>
          <w:rFonts w:ascii="Book Antiqua" w:hAnsi="Book Antiqua" w:cs="Times New Roman"/>
          <w:sz w:val="24"/>
          <w:szCs w:val="24"/>
          <w:lang w:val="en-US"/>
        </w:rPr>
        <w:t xml:space="preserve"> patients has significantly increased the sustained </w:t>
      </w:r>
      <w:proofErr w:type="spellStart"/>
      <w:r w:rsidR="005C4E6B" w:rsidRPr="00C73B8F">
        <w:rPr>
          <w:rFonts w:ascii="Book Antiqua" w:hAnsi="Book Antiqua" w:cs="Times New Roman"/>
          <w:sz w:val="24"/>
          <w:szCs w:val="24"/>
          <w:lang w:val="en-US"/>
        </w:rPr>
        <w:t>virologic</w:t>
      </w:r>
      <w:proofErr w:type="spellEnd"/>
      <w:r w:rsidR="005C4E6B" w:rsidRPr="00C73B8F">
        <w:rPr>
          <w:rFonts w:ascii="Book Antiqua" w:hAnsi="Book Antiqua" w:cs="Times New Roman"/>
          <w:sz w:val="24"/>
          <w:szCs w:val="24"/>
          <w:lang w:val="en-US"/>
        </w:rPr>
        <w:t xml:space="preserve"> response rate of </w:t>
      </w:r>
      <w:proofErr w:type="spellStart"/>
      <w:r w:rsidR="00B74297" w:rsidRPr="00C73B8F">
        <w:rPr>
          <w:rFonts w:ascii="Book Antiqua" w:hAnsi="Book Antiqua" w:cs="Times New Roman"/>
          <w:sz w:val="24"/>
          <w:szCs w:val="24"/>
          <w:lang w:val="en-US"/>
        </w:rPr>
        <w:t>pegylated</w:t>
      </w:r>
      <w:proofErr w:type="spellEnd"/>
      <w:r w:rsidR="00B74297" w:rsidRPr="00C73B8F">
        <w:rPr>
          <w:rFonts w:ascii="Book Antiqua" w:hAnsi="Book Antiqua" w:cs="Times New Roman"/>
          <w:sz w:val="24"/>
          <w:szCs w:val="24"/>
          <w:lang w:val="en-US"/>
        </w:rPr>
        <w:t>-interferon (peg-INF)</w:t>
      </w:r>
      <w:r w:rsidR="00BC6203" w:rsidRPr="00C73B8F">
        <w:rPr>
          <w:rFonts w:ascii="Book Antiqua" w:hAnsi="Book Antiqua" w:cs="Times New Roman"/>
          <w:sz w:val="24"/>
          <w:szCs w:val="24"/>
          <w:lang w:val="en-US"/>
        </w:rPr>
        <w:t xml:space="preserve"> α2a</w:t>
      </w:r>
      <w:r w:rsidR="00BC6203" w:rsidRPr="00C73B8F" w:rsidDel="00C824F1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C4E6B" w:rsidRPr="00C73B8F">
        <w:rPr>
          <w:rFonts w:ascii="Book Antiqua" w:hAnsi="Book Antiqua" w:cs="Times New Roman"/>
          <w:sz w:val="24"/>
          <w:szCs w:val="24"/>
          <w:lang w:val="en-US"/>
        </w:rPr>
        <w:t xml:space="preserve">+ </w:t>
      </w:r>
      <w:r w:rsidR="00B74297" w:rsidRPr="00C73B8F">
        <w:rPr>
          <w:rFonts w:ascii="Book Antiqua" w:hAnsi="Book Antiqua" w:cs="Times New Roman"/>
          <w:sz w:val="24"/>
          <w:szCs w:val="24"/>
          <w:lang w:val="en-US"/>
        </w:rPr>
        <w:t>ribavirin (PR)</w:t>
      </w:r>
      <w:r w:rsidR="005C4E6B"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9C764A" w:rsidRPr="00C73B8F">
        <w:rPr>
          <w:rFonts w:ascii="Book Antiqua" w:hAnsi="Book Antiqua" w:cs="Times New Roman"/>
          <w:sz w:val="24"/>
          <w:szCs w:val="24"/>
          <w:lang w:val="en-US"/>
        </w:rPr>
        <w:t>Data on these new therapeutic options are limited in the</w:t>
      </w:r>
      <w:r w:rsidR="00D86B5F" w:rsidRPr="00C73B8F">
        <w:rPr>
          <w:rFonts w:ascii="Book Antiqua" w:hAnsi="Book Antiqua" w:cs="Times New Roman"/>
          <w:sz w:val="24"/>
          <w:szCs w:val="24"/>
          <w:lang w:val="en-US"/>
        </w:rPr>
        <w:t xml:space="preserve"> setting of very difficult</w:t>
      </w:r>
      <w:r w:rsidR="005E00A2" w:rsidRPr="00C73B8F">
        <w:rPr>
          <w:rFonts w:ascii="Book Antiqua" w:hAnsi="Book Antiqua" w:cs="Times New Roman"/>
          <w:sz w:val="24"/>
          <w:szCs w:val="24"/>
          <w:lang w:val="en-US"/>
        </w:rPr>
        <w:t>-to-treat patients</w:t>
      </w:r>
      <w:r w:rsidR="00C24722" w:rsidRPr="00C73B8F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BC6203" w:rsidRPr="00C73B8F">
        <w:rPr>
          <w:rFonts w:ascii="Book Antiqua" w:hAnsi="Book Antiqua" w:cs="Times New Roman"/>
          <w:sz w:val="24"/>
          <w:szCs w:val="24"/>
          <w:lang w:val="en-US"/>
        </w:rPr>
        <w:t xml:space="preserve">although </w:t>
      </w:r>
      <w:r w:rsidR="00C24722" w:rsidRPr="00C73B8F">
        <w:rPr>
          <w:rFonts w:ascii="Book Antiqua" w:hAnsi="Book Antiqua" w:cs="Times New Roman"/>
          <w:sz w:val="24"/>
          <w:szCs w:val="24"/>
          <w:lang w:val="en-US"/>
        </w:rPr>
        <w:t xml:space="preserve">these patients are in the highest priority for </w:t>
      </w:r>
      <w:r w:rsidR="007F443E" w:rsidRPr="00C73B8F">
        <w:rPr>
          <w:rFonts w:ascii="Book Antiqua" w:hAnsi="Book Antiqua" w:cs="Times New Roman"/>
          <w:sz w:val="24"/>
          <w:szCs w:val="24"/>
          <w:lang w:val="en-US"/>
        </w:rPr>
        <w:t xml:space="preserve">achieving </w:t>
      </w:r>
      <w:r w:rsidR="00C24722" w:rsidRPr="00C73B8F">
        <w:rPr>
          <w:rFonts w:ascii="Book Antiqua" w:hAnsi="Book Antiqua" w:cs="Times New Roman"/>
          <w:sz w:val="24"/>
          <w:szCs w:val="24"/>
          <w:lang w:val="en-US"/>
        </w:rPr>
        <w:t xml:space="preserve">viral </w:t>
      </w:r>
      <w:r w:rsidR="00A84E62" w:rsidRPr="00C73B8F">
        <w:rPr>
          <w:rFonts w:ascii="Book Antiqua" w:hAnsi="Book Antiqua" w:cs="Times New Roman"/>
          <w:sz w:val="24"/>
          <w:szCs w:val="24"/>
          <w:lang w:val="en-US"/>
        </w:rPr>
        <w:t>clearance</w:t>
      </w:r>
      <w:r w:rsidR="009C764A" w:rsidRPr="00C73B8F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4A3979A4" w14:textId="77777777" w:rsidR="00B74297" w:rsidRDefault="00B74297" w:rsidP="00C73B8F">
      <w:pPr>
        <w:spacing w:after="0" w:line="360" w:lineRule="auto"/>
        <w:jc w:val="both"/>
        <w:rPr>
          <w:rFonts w:ascii="Book Antiqua" w:eastAsia="宋体" w:hAnsi="Book Antiqua"/>
          <w:b/>
          <w:bCs/>
          <w:i/>
          <w:sz w:val="24"/>
          <w:szCs w:val="24"/>
          <w:lang w:val="en-US" w:eastAsia="zh-CN"/>
        </w:rPr>
      </w:pPr>
    </w:p>
    <w:p w14:paraId="56136FF6" w14:textId="77777777" w:rsidR="00E25653" w:rsidRPr="00C73B8F" w:rsidRDefault="00E25653" w:rsidP="00C73B8F">
      <w:pPr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val="en-US"/>
        </w:rPr>
      </w:pPr>
      <w:r w:rsidRPr="00C73B8F">
        <w:rPr>
          <w:rFonts w:ascii="Book Antiqua" w:hAnsi="Book Antiqua"/>
          <w:b/>
          <w:bCs/>
          <w:i/>
          <w:sz w:val="24"/>
          <w:szCs w:val="24"/>
          <w:lang w:val="en-US"/>
        </w:rPr>
        <w:t>Research frontiers</w:t>
      </w:r>
    </w:p>
    <w:p w14:paraId="42BB23D5" w14:textId="64138892" w:rsidR="000A70D7" w:rsidRPr="00C73B8F" w:rsidRDefault="000A70D7" w:rsidP="00C73B8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C73B8F">
        <w:rPr>
          <w:rFonts w:ascii="Book Antiqua" w:hAnsi="Book Antiqua"/>
          <w:sz w:val="24"/>
          <w:szCs w:val="24"/>
          <w:lang w:val="en-US"/>
        </w:rPr>
        <w:t>T</w:t>
      </w:r>
      <w:r w:rsidR="00E5221B" w:rsidRPr="00C73B8F">
        <w:rPr>
          <w:rFonts w:ascii="Book Antiqua" w:hAnsi="Book Antiqua"/>
          <w:sz w:val="24"/>
          <w:szCs w:val="24"/>
          <w:lang w:val="en-US"/>
        </w:rPr>
        <w:t xml:space="preserve">he research </w:t>
      </w:r>
      <w:r w:rsidR="00DC730D" w:rsidRPr="00C73B8F">
        <w:rPr>
          <w:rFonts w:ascii="Book Antiqua" w:hAnsi="Book Antiqua"/>
          <w:sz w:val="24"/>
          <w:szCs w:val="24"/>
          <w:lang w:val="en-US"/>
        </w:rPr>
        <w:t xml:space="preserve">goal </w:t>
      </w:r>
      <w:r w:rsidR="00453C4C" w:rsidRPr="00C73B8F">
        <w:rPr>
          <w:rFonts w:ascii="Book Antiqua" w:hAnsi="Book Antiqua"/>
          <w:sz w:val="24"/>
          <w:szCs w:val="24"/>
          <w:lang w:val="en-US"/>
        </w:rPr>
        <w:t>is to assess the efficacy</w:t>
      </w:r>
      <w:r w:rsidR="00E5221B" w:rsidRPr="00C73B8F">
        <w:rPr>
          <w:rFonts w:ascii="Book Antiqua" w:hAnsi="Book Antiqua"/>
          <w:sz w:val="24"/>
          <w:szCs w:val="24"/>
          <w:lang w:val="en-US"/>
        </w:rPr>
        <w:t xml:space="preserve"> and </w:t>
      </w:r>
      <w:r w:rsidR="00DC327D" w:rsidRPr="00C73B8F">
        <w:rPr>
          <w:rFonts w:ascii="Book Antiqua" w:hAnsi="Book Antiqua"/>
          <w:sz w:val="24"/>
          <w:szCs w:val="24"/>
          <w:lang w:val="en-US"/>
        </w:rPr>
        <w:t>safety</w:t>
      </w:r>
      <w:r w:rsidR="00E5221B" w:rsidRPr="00C73B8F">
        <w:rPr>
          <w:rFonts w:ascii="Book Antiqua" w:hAnsi="Book Antiqua"/>
          <w:sz w:val="24"/>
          <w:szCs w:val="24"/>
          <w:lang w:val="en-US"/>
        </w:rPr>
        <w:t xml:space="preserve"> of </w:t>
      </w:r>
      <w:proofErr w:type="spellStart"/>
      <w:r w:rsidR="00E5221B" w:rsidRPr="00C73B8F">
        <w:rPr>
          <w:rFonts w:ascii="Book Antiqua" w:hAnsi="Book Antiqua"/>
          <w:sz w:val="24"/>
          <w:szCs w:val="24"/>
          <w:lang w:val="en-US"/>
        </w:rPr>
        <w:t>telaprevir</w:t>
      </w:r>
      <w:proofErr w:type="spellEnd"/>
      <w:r w:rsidR="00375B67" w:rsidRPr="00C73B8F">
        <w:rPr>
          <w:rFonts w:ascii="Book Antiqua" w:hAnsi="Book Antiqua"/>
          <w:sz w:val="24"/>
          <w:szCs w:val="24"/>
          <w:lang w:val="en-US"/>
        </w:rPr>
        <w:t>-</w:t>
      </w:r>
      <w:r w:rsidR="00E5221B" w:rsidRPr="00C73B8F">
        <w:rPr>
          <w:rFonts w:ascii="Book Antiqua" w:hAnsi="Book Antiqua"/>
          <w:sz w:val="24"/>
          <w:szCs w:val="24"/>
          <w:lang w:val="en-US"/>
        </w:rPr>
        <w:t xml:space="preserve"> and </w:t>
      </w:r>
      <w:proofErr w:type="spellStart"/>
      <w:r w:rsidR="00E5221B" w:rsidRPr="00C73B8F">
        <w:rPr>
          <w:rFonts w:ascii="Book Antiqua" w:hAnsi="Book Antiqua"/>
          <w:sz w:val="24"/>
          <w:szCs w:val="24"/>
          <w:lang w:val="en-US"/>
        </w:rPr>
        <w:t>boceprevir</w:t>
      </w:r>
      <w:proofErr w:type="spellEnd"/>
      <w:r w:rsidR="00E5221B" w:rsidRPr="00C73B8F">
        <w:rPr>
          <w:rFonts w:ascii="Book Antiqua" w:hAnsi="Book Antiqua"/>
          <w:sz w:val="24"/>
          <w:szCs w:val="24"/>
          <w:lang w:val="en-US"/>
        </w:rPr>
        <w:t xml:space="preserve">-based triple therapies in a </w:t>
      </w:r>
      <w:proofErr w:type="spellStart"/>
      <w:r w:rsidR="00E5221B" w:rsidRPr="00C73B8F">
        <w:rPr>
          <w:rFonts w:ascii="Book Antiqua" w:hAnsi="Book Antiqua"/>
          <w:sz w:val="24"/>
          <w:szCs w:val="24"/>
          <w:lang w:val="en-US"/>
        </w:rPr>
        <w:t>multicentric</w:t>
      </w:r>
      <w:proofErr w:type="spellEnd"/>
      <w:r w:rsidR="0025037F" w:rsidRPr="00C73B8F">
        <w:rPr>
          <w:rFonts w:ascii="Book Antiqua" w:hAnsi="Book Antiqua"/>
          <w:sz w:val="24"/>
          <w:szCs w:val="24"/>
          <w:lang w:val="en-US"/>
        </w:rPr>
        <w:t xml:space="preserve"> </w:t>
      </w:r>
      <w:r w:rsidR="00E5221B" w:rsidRPr="00C73B8F">
        <w:rPr>
          <w:rFonts w:ascii="Book Antiqua" w:hAnsi="Book Antiqua"/>
          <w:sz w:val="24"/>
          <w:szCs w:val="24"/>
          <w:lang w:val="en-US"/>
        </w:rPr>
        <w:t xml:space="preserve">cohort of </w:t>
      </w:r>
      <w:r w:rsidR="00E5221B" w:rsidRPr="00C73B8F">
        <w:rPr>
          <w:rFonts w:ascii="Book Antiqua" w:hAnsi="Book Antiqua" w:cs="Times New Roman"/>
          <w:sz w:val="24"/>
          <w:szCs w:val="24"/>
          <w:lang w:val="en-US"/>
        </w:rPr>
        <w:t>previously treated HCV-genotype 1 patients with severe liver fibrosis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56411890" w14:textId="77777777" w:rsidR="00B74297" w:rsidRDefault="00B74297" w:rsidP="00C73B8F">
      <w:pPr>
        <w:spacing w:after="0" w:line="360" w:lineRule="auto"/>
        <w:jc w:val="both"/>
        <w:rPr>
          <w:rFonts w:ascii="Book Antiqua" w:eastAsia="宋体" w:hAnsi="Book Antiqua"/>
          <w:b/>
          <w:bCs/>
          <w:i/>
          <w:sz w:val="24"/>
          <w:szCs w:val="24"/>
          <w:lang w:val="en-US" w:eastAsia="zh-CN"/>
        </w:rPr>
      </w:pPr>
    </w:p>
    <w:p w14:paraId="205A78B3" w14:textId="77777777" w:rsidR="00E25653" w:rsidRPr="00C73B8F" w:rsidRDefault="00E25653" w:rsidP="00C73B8F">
      <w:pPr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val="en-US"/>
        </w:rPr>
      </w:pPr>
      <w:r w:rsidRPr="00C73B8F">
        <w:rPr>
          <w:rFonts w:ascii="Book Antiqua" w:hAnsi="Book Antiqua"/>
          <w:b/>
          <w:bCs/>
          <w:i/>
          <w:sz w:val="24"/>
          <w:szCs w:val="24"/>
          <w:lang w:val="en-US"/>
        </w:rPr>
        <w:t>Innovations and breakthroughs</w:t>
      </w:r>
    </w:p>
    <w:p w14:paraId="49D52818" w14:textId="1AC91084" w:rsidR="004D13F2" w:rsidRPr="00C73B8F" w:rsidRDefault="00F50C6C" w:rsidP="00C73B8F">
      <w:pPr>
        <w:spacing w:after="0" w:line="360" w:lineRule="auto"/>
        <w:jc w:val="both"/>
        <w:rPr>
          <w:rFonts w:ascii="Book Antiqua" w:hAnsi="Book Antiqua"/>
          <w:i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>In the clinical setting, the e</w:t>
      </w:r>
      <w:r w:rsidR="00242700" w:rsidRPr="00C73B8F">
        <w:rPr>
          <w:rFonts w:ascii="Book Antiqua" w:hAnsi="Book Antiqua" w:cs="Times New Roman"/>
          <w:sz w:val="24"/>
          <w:szCs w:val="24"/>
          <w:lang w:val="en-US"/>
        </w:rPr>
        <w:t>fficac</w:t>
      </w:r>
      <w:r w:rsidR="004D13F2" w:rsidRPr="00C73B8F">
        <w:rPr>
          <w:rFonts w:ascii="Book Antiqua" w:hAnsi="Book Antiqua" w:cs="Times New Roman"/>
          <w:sz w:val="24"/>
          <w:szCs w:val="24"/>
          <w:lang w:val="en-US"/>
        </w:rPr>
        <w:t xml:space="preserve">y of TPV and BOC-based triple therapies in previously treated </w:t>
      </w:r>
      <w:r w:rsidR="00560281" w:rsidRPr="00C73B8F">
        <w:rPr>
          <w:rFonts w:ascii="Book Antiqua" w:hAnsi="Book Antiqua" w:cs="Times New Roman"/>
          <w:sz w:val="24"/>
          <w:szCs w:val="24"/>
          <w:lang w:val="en-US"/>
        </w:rPr>
        <w:t xml:space="preserve">HCV-genotype 1 </w:t>
      </w:r>
      <w:proofErr w:type="gramStart"/>
      <w:r w:rsidR="004D13F2" w:rsidRPr="00C73B8F">
        <w:rPr>
          <w:rFonts w:ascii="Book Antiqua" w:hAnsi="Book Antiqua" w:cs="Times New Roman"/>
          <w:sz w:val="24"/>
          <w:szCs w:val="24"/>
          <w:lang w:val="en-US"/>
        </w:rPr>
        <w:t>patients</w:t>
      </w:r>
      <w:proofErr w:type="gramEnd"/>
      <w:r w:rsidR="004D13F2" w:rsidRPr="00C73B8F">
        <w:rPr>
          <w:rFonts w:ascii="Book Antiqua" w:hAnsi="Book Antiqua" w:cs="Times New Roman"/>
          <w:sz w:val="24"/>
          <w:szCs w:val="24"/>
          <w:lang w:val="en-US"/>
        </w:rPr>
        <w:t xml:space="preserve"> with severe liver fibrosis is </w:t>
      </w:r>
      <w:r w:rsidR="007A40E8" w:rsidRPr="00C73B8F">
        <w:rPr>
          <w:rFonts w:ascii="Book Antiqua" w:hAnsi="Book Antiqua"/>
          <w:sz w:val="24"/>
          <w:szCs w:val="24"/>
          <w:lang w:val="en-US"/>
        </w:rPr>
        <w:t>similar or even better</w:t>
      </w:r>
      <w:r w:rsidR="00EA2485" w:rsidRPr="00C73B8F">
        <w:rPr>
          <w:rFonts w:ascii="Book Antiqua" w:hAnsi="Book Antiqua" w:cs="Times New Roman"/>
          <w:sz w:val="24"/>
          <w:szCs w:val="24"/>
          <w:lang w:val="en-US"/>
        </w:rPr>
        <w:t xml:space="preserve"> than</w:t>
      </w:r>
      <w:r w:rsidR="007A40E8" w:rsidRPr="00C73B8F">
        <w:rPr>
          <w:rFonts w:ascii="Book Antiqua" w:hAnsi="Book Antiqua" w:cs="Times New Roman"/>
          <w:sz w:val="24"/>
          <w:szCs w:val="24"/>
          <w:lang w:val="en-US"/>
        </w:rPr>
        <w:t xml:space="preserve"> the results obtained in</w:t>
      </w:r>
      <w:r w:rsidR="00FF20A7" w:rsidRPr="00C73B8F">
        <w:rPr>
          <w:rFonts w:ascii="Book Antiqua" w:hAnsi="Book Antiqua" w:cs="Times New Roman"/>
          <w:sz w:val="24"/>
          <w:szCs w:val="24"/>
          <w:lang w:val="en-US"/>
        </w:rPr>
        <w:t xml:space="preserve"> contro</w:t>
      </w:r>
      <w:r w:rsidR="004D13F2" w:rsidRPr="00C73B8F">
        <w:rPr>
          <w:rFonts w:ascii="Book Antiqua" w:hAnsi="Book Antiqua" w:cs="Times New Roman"/>
          <w:sz w:val="24"/>
          <w:szCs w:val="24"/>
          <w:lang w:val="en-US"/>
        </w:rPr>
        <w:t>l</w:t>
      </w:r>
      <w:r w:rsidR="00FF20A7" w:rsidRPr="00C73B8F">
        <w:rPr>
          <w:rFonts w:ascii="Book Antiqua" w:hAnsi="Book Antiqua" w:cs="Times New Roman"/>
          <w:sz w:val="24"/>
          <w:szCs w:val="24"/>
          <w:lang w:val="en-US"/>
        </w:rPr>
        <w:t>l</w:t>
      </w:r>
      <w:r w:rsidR="004D13F2" w:rsidRPr="00C73B8F">
        <w:rPr>
          <w:rFonts w:ascii="Book Antiqua" w:hAnsi="Book Antiqua" w:cs="Times New Roman"/>
          <w:sz w:val="24"/>
          <w:szCs w:val="24"/>
          <w:lang w:val="en-US"/>
        </w:rPr>
        <w:t>ed trials (overall SVR 59</w:t>
      </w:r>
      <w:r w:rsidR="00D34051" w:rsidRPr="00C73B8F">
        <w:rPr>
          <w:rFonts w:ascii="Book Antiqua" w:hAnsi="Book Antiqua" w:cs="Times New Roman"/>
          <w:sz w:val="24"/>
          <w:szCs w:val="24"/>
          <w:lang w:val="en-US"/>
        </w:rPr>
        <w:t>.</w:t>
      </w:r>
      <w:r w:rsidR="004D13F2" w:rsidRPr="00C73B8F">
        <w:rPr>
          <w:rFonts w:ascii="Book Antiqua" w:hAnsi="Book Antiqua" w:cs="Times New Roman"/>
          <w:sz w:val="24"/>
          <w:szCs w:val="24"/>
          <w:lang w:val="en-US"/>
        </w:rPr>
        <w:t>8%).</w:t>
      </w:r>
      <w:r w:rsidR="00560281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0229F" w:rsidRPr="00C73B8F">
        <w:rPr>
          <w:rFonts w:ascii="Book Antiqua" w:hAnsi="Book Antiqua" w:cs="Times New Roman"/>
          <w:sz w:val="24"/>
          <w:szCs w:val="24"/>
          <w:lang w:val="en-US"/>
        </w:rPr>
        <w:t>The</w:t>
      </w:r>
      <w:r w:rsidR="00D34051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641DF" w:rsidRPr="00C73B8F">
        <w:rPr>
          <w:rFonts w:ascii="Book Antiqua" w:hAnsi="Book Antiqua" w:cs="Times New Roman"/>
          <w:sz w:val="24"/>
          <w:szCs w:val="24"/>
          <w:lang w:val="en-US"/>
        </w:rPr>
        <w:t>SVR i</w:t>
      </w:r>
      <w:r w:rsidR="00290D8A" w:rsidRPr="00C73B8F">
        <w:rPr>
          <w:rFonts w:ascii="Book Antiqua" w:hAnsi="Book Antiqua" w:cs="Times New Roman"/>
          <w:sz w:val="24"/>
          <w:szCs w:val="24"/>
          <w:lang w:val="en-US"/>
        </w:rPr>
        <w:t>s inversely correlated to liver stif</w:t>
      </w:r>
      <w:r w:rsidR="005B43B7" w:rsidRPr="00C73B8F">
        <w:rPr>
          <w:rFonts w:ascii="Book Antiqua" w:hAnsi="Book Antiqua" w:cs="Times New Roman"/>
          <w:sz w:val="24"/>
          <w:szCs w:val="24"/>
          <w:lang w:val="en-US"/>
        </w:rPr>
        <w:t>fness</w:t>
      </w:r>
      <w:r w:rsidR="00DC730D" w:rsidRPr="00C73B8F">
        <w:rPr>
          <w:rFonts w:ascii="Book Antiqua" w:hAnsi="Book Antiqua" w:cs="Times New Roman"/>
          <w:sz w:val="24"/>
          <w:szCs w:val="24"/>
          <w:lang w:val="en-US"/>
        </w:rPr>
        <w:t>, as</w:t>
      </w:r>
      <w:r w:rsidR="005B43B7" w:rsidRPr="00C73B8F">
        <w:rPr>
          <w:rFonts w:ascii="Book Antiqua" w:hAnsi="Book Antiqua" w:cs="Times New Roman"/>
          <w:sz w:val="24"/>
          <w:szCs w:val="24"/>
          <w:lang w:val="en-US"/>
        </w:rPr>
        <w:t xml:space="preserve"> assessed by </w:t>
      </w:r>
      <w:proofErr w:type="spellStart"/>
      <w:r w:rsidR="005B43B7" w:rsidRPr="00C73B8F">
        <w:rPr>
          <w:rFonts w:ascii="Book Antiqua" w:hAnsi="Book Antiqua" w:cs="Times New Roman"/>
          <w:sz w:val="24"/>
          <w:szCs w:val="24"/>
          <w:lang w:val="en-US"/>
        </w:rPr>
        <w:t>elastography</w:t>
      </w:r>
      <w:proofErr w:type="spellEnd"/>
      <w:r w:rsidR="005B43B7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90D8A" w:rsidRPr="00C73B8F">
        <w:rPr>
          <w:rFonts w:ascii="Book Antiqua" w:hAnsi="Book Antiqua" w:cs="Times New Roman"/>
          <w:sz w:val="24"/>
          <w:szCs w:val="24"/>
          <w:lang w:val="en-US"/>
        </w:rPr>
        <w:t>with a cut-off of 21</w:t>
      </w:r>
      <w:r w:rsidR="003E1439" w:rsidRPr="00C73B8F">
        <w:rPr>
          <w:rFonts w:ascii="Book Antiqua" w:hAnsi="Book Antiqua" w:cs="Times New Roman"/>
          <w:sz w:val="24"/>
          <w:szCs w:val="24"/>
          <w:lang w:val="en-US"/>
        </w:rPr>
        <w:t>.</w:t>
      </w:r>
      <w:r w:rsidR="001F78F7" w:rsidRPr="00C73B8F">
        <w:rPr>
          <w:rFonts w:ascii="Book Antiqua" w:hAnsi="Book Antiqua" w:cs="Times New Roman"/>
          <w:sz w:val="24"/>
          <w:szCs w:val="24"/>
          <w:lang w:val="en-US"/>
        </w:rPr>
        <w:t>3</w:t>
      </w:r>
      <w:r w:rsidR="00290D8A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171621" w:rsidRPr="00C73B8F">
        <w:rPr>
          <w:rFonts w:ascii="Book Antiqua" w:hAnsi="Book Antiqua" w:cs="Times New Roman"/>
          <w:sz w:val="24"/>
          <w:szCs w:val="24"/>
          <w:lang w:val="en-US"/>
        </w:rPr>
        <w:t>kPa</w:t>
      </w:r>
      <w:proofErr w:type="spellEnd"/>
      <w:r w:rsidR="00DC730D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290D8A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E1439" w:rsidRPr="00C73B8F">
        <w:rPr>
          <w:rFonts w:ascii="Book Antiqua" w:hAnsi="Book Antiqua" w:cs="Times New Roman"/>
          <w:sz w:val="24"/>
          <w:szCs w:val="24"/>
          <w:lang w:val="en-US"/>
        </w:rPr>
        <w:t xml:space="preserve">which is </w:t>
      </w:r>
      <w:r w:rsidR="00290D8A" w:rsidRPr="00C73B8F">
        <w:rPr>
          <w:rFonts w:ascii="Book Antiqua" w:hAnsi="Book Antiqua" w:cs="Times New Roman"/>
          <w:sz w:val="24"/>
          <w:szCs w:val="24"/>
          <w:lang w:val="en-US"/>
        </w:rPr>
        <w:t xml:space="preserve">predictive of </w:t>
      </w:r>
      <w:r w:rsidR="00DC730D" w:rsidRPr="00C73B8F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290D8A" w:rsidRPr="00C73B8F">
        <w:rPr>
          <w:rFonts w:ascii="Book Antiqua" w:hAnsi="Book Antiqua" w:cs="Times New Roman"/>
          <w:sz w:val="24"/>
          <w:szCs w:val="24"/>
          <w:lang w:val="en-US"/>
        </w:rPr>
        <w:t>poor response rate.</w:t>
      </w:r>
      <w:r w:rsidR="001E4E9A" w:rsidRPr="00C73B8F">
        <w:rPr>
          <w:rFonts w:ascii="Book Antiqua" w:hAnsi="Book Antiqua" w:cs="Times New Roman"/>
          <w:sz w:val="24"/>
          <w:szCs w:val="24"/>
          <w:lang w:val="en-US"/>
        </w:rPr>
        <w:t xml:space="preserve"> These treatments are poorly tolerated</w:t>
      </w:r>
      <w:r w:rsidR="00C14495" w:rsidRPr="00C73B8F">
        <w:rPr>
          <w:rFonts w:ascii="Book Antiqua" w:hAnsi="Book Antiqua" w:cs="Times New Roman"/>
          <w:sz w:val="24"/>
          <w:szCs w:val="24"/>
          <w:lang w:val="en-US"/>
        </w:rPr>
        <w:t>,</w:t>
      </w:r>
      <w:r w:rsidR="001E4E9A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07805" w:rsidRPr="00C73B8F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1E4E9A" w:rsidRPr="00C73B8F">
        <w:rPr>
          <w:rFonts w:ascii="Book Antiqua" w:hAnsi="Book Antiqua" w:cs="Times New Roman"/>
          <w:sz w:val="24"/>
          <w:szCs w:val="24"/>
          <w:lang w:val="en-US"/>
        </w:rPr>
        <w:t xml:space="preserve">half of </w:t>
      </w:r>
      <w:r w:rsidR="00C14495" w:rsidRPr="00C73B8F">
        <w:rPr>
          <w:rFonts w:ascii="Book Antiqua" w:hAnsi="Book Antiqua" w:cs="Times New Roman"/>
          <w:sz w:val="24"/>
          <w:szCs w:val="24"/>
          <w:lang w:val="en-US"/>
        </w:rPr>
        <w:t xml:space="preserve">all </w:t>
      </w:r>
      <w:r w:rsidR="001E4E9A" w:rsidRPr="00C73B8F">
        <w:rPr>
          <w:rFonts w:ascii="Book Antiqua" w:hAnsi="Book Antiqua" w:cs="Times New Roman"/>
          <w:sz w:val="24"/>
          <w:szCs w:val="24"/>
          <w:lang w:val="en-US"/>
        </w:rPr>
        <w:t xml:space="preserve">patients </w:t>
      </w:r>
      <w:r w:rsidR="00607805" w:rsidRPr="00C73B8F">
        <w:rPr>
          <w:rFonts w:ascii="Book Antiqua" w:hAnsi="Book Antiqua" w:cs="Times New Roman"/>
          <w:sz w:val="24"/>
          <w:szCs w:val="24"/>
          <w:lang w:val="en-US"/>
        </w:rPr>
        <w:t xml:space="preserve">experience </w:t>
      </w:r>
      <w:r w:rsidR="001E4E9A" w:rsidRPr="00C73B8F">
        <w:rPr>
          <w:rFonts w:ascii="Book Antiqua" w:hAnsi="Book Antiqua" w:cs="Times New Roman"/>
          <w:sz w:val="24"/>
          <w:szCs w:val="24"/>
          <w:lang w:val="en-US"/>
        </w:rPr>
        <w:t>at least one</w:t>
      </w:r>
      <w:r w:rsidR="00D90134" w:rsidRPr="00C73B8F">
        <w:rPr>
          <w:rFonts w:ascii="Book Antiqua" w:hAnsi="Book Antiqua" w:cs="Times New Roman"/>
          <w:sz w:val="24"/>
          <w:szCs w:val="24"/>
          <w:lang w:val="en-US"/>
        </w:rPr>
        <w:t xml:space="preserve"> grade 3-</w:t>
      </w:r>
      <w:r w:rsidR="001E4E9A" w:rsidRPr="00C73B8F">
        <w:rPr>
          <w:rFonts w:ascii="Book Antiqua" w:hAnsi="Book Antiqua" w:cs="Times New Roman"/>
          <w:sz w:val="24"/>
          <w:szCs w:val="24"/>
          <w:lang w:val="en-US"/>
        </w:rPr>
        <w:t>4 adverse event.</w:t>
      </w:r>
    </w:p>
    <w:p w14:paraId="1A58434D" w14:textId="77777777" w:rsidR="00B74297" w:rsidRDefault="00B74297" w:rsidP="00C73B8F">
      <w:pPr>
        <w:spacing w:after="0" w:line="360" w:lineRule="auto"/>
        <w:jc w:val="both"/>
        <w:rPr>
          <w:rFonts w:ascii="Book Antiqua" w:eastAsia="宋体" w:hAnsi="Book Antiqua"/>
          <w:b/>
          <w:bCs/>
          <w:i/>
          <w:sz w:val="24"/>
          <w:szCs w:val="24"/>
          <w:lang w:val="en-US" w:eastAsia="zh-CN"/>
        </w:rPr>
      </w:pPr>
    </w:p>
    <w:p w14:paraId="116FFBFC" w14:textId="77777777" w:rsidR="00E25653" w:rsidRPr="00C73B8F" w:rsidRDefault="00E25653" w:rsidP="00C73B8F">
      <w:pPr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val="en-US"/>
        </w:rPr>
      </w:pPr>
      <w:r w:rsidRPr="00C73B8F">
        <w:rPr>
          <w:rFonts w:ascii="Book Antiqua" w:hAnsi="Book Antiqua"/>
          <w:b/>
          <w:bCs/>
          <w:i/>
          <w:sz w:val="24"/>
          <w:szCs w:val="24"/>
          <w:lang w:val="en-US"/>
        </w:rPr>
        <w:t xml:space="preserve">Applications </w:t>
      </w:r>
    </w:p>
    <w:p w14:paraId="1022AF2B" w14:textId="3A3CA676" w:rsidR="008652BC" w:rsidRPr="00C73B8F" w:rsidRDefault="009B7F34" w:rsidP="00C73B8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C73B8F">
        <w:rPr>
          <w:rFonts w:ascii="Book Antiqua" w:hAnsi="Book Antiqua"/>
          <w:sz w:val="24"/>
          <w:szCs w:val="24"/>
          <w:lang w:val="en-US"/>
        </w:rPr>
        <w:t xml:space="preserve">This study suggests that </w:t>
      </w:r>
      <w:proofErr w:type="spellStart"/>
      <w:r w:rsidRPr="00C73B8F">
        <w:rPr>
          <w:rFonts w:ascii="Book Antiqua" w:hAnsi="Book Antiqua"/>
          <w:sz w:val="24"/>
          <w:szCs w:val="24"/>
          <w:lang w:val="en-US"/>
        </w:rPr>
        <w:t>telaprevir</w:t>
      </w:r>
      <w:proofErr w:type="spellEnd"/>
      <w:r w:rsidRPr="00C73B8F">
        <w:rPr>
          <w:rFonts w:ascii="Book Antiqua" w:hAnsi="Book Antiqua"/>
          <w:sz w:val="24"/>
          <w:szCs w:val="24"/>
          <w:lang w:val="en-US"/>
        </w:rPr>
        <w:t xml:space="preserve"> and </w:t>
      </w:r>
      <w:proofErr w:type="spellStart"/>
      <w:r w:rsidRPr="00C73B8F">
        <w:rPr>
          <w:rFonts w:ascii="Book Antiqua" w:hAnsi="Book Antiqua"/>
          <w:sz w:val="24"/>
          <w:szCs w:val="24"/>
          <w:lang w:val="en-US"/>
        </w:rPr>
        <w:t>b</w:t>
      </w:r>
      <w:r w:rsidR="00254F8D" w:rsidRPr="00C73B8F">
        <w:rPr>
          <w:rFonts w:ascii="Book Antiqua" w:hAnsi="Book Antiqua"/>
          <w:sz w:val="24"/>
          <w:szCs w:val="24"/>
          <w:lang w:val="en-US"/>
        </w:rPr>
        <w:t>oceprevir</w:t>
      </w:r>
      <w:proofErr w:type="spellEnd"/>
      <w:r w:rsidR="00254F8D" w:rsidRPr="00C73B8F">
        <w:rPr>
          <w:rFonts w:ascii="Book Antiqua" w:hAnsi="Book Antiqua"/>
          <w:sz w:val="24"/>
          <w:szCs w:val="24"/>
          <w:lang w:val="en-US"/>
        </w:rPr>
        <w:t xml:space="preserve">-based triple therapies </w:t>
      </w:r>
      <w:r w:rsidR="007B17BE" w:rsidRPr="00C73B8F">
        <w:rPr>
          <w:rFonts w:ascii="Book Antiqua" w:hAnsi="Book Antiqua"/>
          <w:sz w:val="24"/>
          <w:szCs w:val="24"/>
          <w:lang w:val="en-US"/>
        </w:rPr>
        <w:t xml:space="preserve">could </w:t>
      </w:r>
      <w:r w:rsidR="00254F8D" w:rsidRPr="00C73B8F">
        <w:rPr>
          <w:rFonts w:ascii="Book Antiqua" w:hAnsi="Book Antiqua"/>
          <w:sz w:val="24"/>
          <w:szCs w:val="24"/>
          <w:lang w:val="en-US"/>
        </w:rPr>
        <w:t xml:space="preserve">be used </w:t>
      </w:r>
      <w:r w:rsidR="00306FB9" w:rsidRPr="00C73B8F">
        <w:rPr>
          <w:rFonts w:ascii="Book Antiqua" w:hAnsi="Book Antiqua"/>
          <w:sz w:val="24"/>
          <w:szCs w:val="24"/>
          <w:lang w:val="en-US"/>
        </w:rPr>
        <w:t xml:space="preserve">in </w:t>
      </w:r>
      <w:r w:rsidR="002B041A" w:rsidRPr="00C73B8F">
        <w:rPr>
          <w:rFonts w:ascii="Book Antiqua" w:hAnsi="Book Antiqua"/>
          <w:sz w:val="24"/>
          <w:szCs w:val="24"/>
          <w:lang w:val="en-US"/>
        </w:rPr>
        <w:t>clinical practice</w:t>
      </w:r>
      <w:r w:rsidR="00306FB9" w:rsidRPr="00C73B8F">
        <w:rPr>
          <w:rFonts w:ascii="Book Antiqua" w:hAnsi="Book Antiqua"/>
          <w:sz w:val="24"/>
          <w:szCs w:val="24"/>
          <w:lang w:val="en-US"/>
        </w:rPr>
        <w:t xml:space="preserve"> </w:t>
      </w:r>
      <w:r w:rsidR="00254F8D" w:rsidRPr="00C73B8F">
        <w:rPr>
          <w:rFonts w:ascii="Book Antiqua" w:hAnsi="Book Antiqua"/>
          <w:sz w:val="24"/>
          <w:szCs w:val="24"/>
          <w:lang w:val="en-US"/>
        </w:rPr>
        <w:t xml:space="preserve">in </w:t>
      </w:r>
      <w:r w:rsidR="005B43B7" w:rsidRPr="00C73B8F">
        <w:rPr>
          <w:rFonts w:ascii="Book Antiqua" w:hAnsi="Book Antiqua"/>
          <w:sz w:val="24"/>
          <w:szCs w:val="24"/>
          <w:lang w:val="en-US"/>
        </w:rPr>
        <w:t>the subset of very difficult</w:t>
      </w:r>
      <w:r w:rsidR="00254F8D" w:rsidRPr="00C73B8F">
        <w:rPr>
          <w:rFonts w:ascii="Book Antiqua" w:hAnsi="Book Antiqua"/>
          <w:sz w:val="24"/>
          <w:szCs w:val="24"/>
          <w:lang w:val="en-US"/>
        </w:rPr>
        <w:t>-to-treat patients</w:t>
      </w:r>
      <w:r w:rsidR="004F7F95" w:rsidRPr="00C73B8F">
        <w:rPr>
          <w:rFonts w:ascii="Book Antiqua" w:hAnsi="Book Antiqua"/>
          <w:sz w:val="24"/>
          <w:szCs w:val="24"/>
          <w:lang w:val="en-US"/>
        </w:rPr>
        <w:t>; these triple therapies resulted in</w:t>
      </w:r>
      <w:r w:rsidR="00254F8D" w:rsidRPr="00C73B8F">
        <w:rPr>
          <w:rFonts w:ascii="Book Antiqua" w:hAnsi="Book Antiqua"/>
          <w:sz w:val="24"/>
          <w:szCs w:val="24"/>
          <w:lang w:val="en-US"/>
        </w:rPr>
        <w:t xml:space="preserve"> a viral cl</w:t>
      </w:r>
      <w:r w:rsidR="00C14495" w:rsidRPr="00C73B8F">
        <w:rPr>
          <w:rFonts w:ascii="Book Antiqua" w:hAnsi="Book Antiqua"/>
          <w:sz w:val="24"/>
          <w:szCs w:val="24"/>
          <w:lang w:val="en-US"/>
        </w:rPr>
        <w:t>ea</w:t>
      </w:r>
      <w:r w:rsidR="00254F8D" w:rsidRPr="00C73B8F">
        <w:rPr>
          <w:rFonts w:ascii="Book Antiqua" w:hAnsi="Book Antiqua"/>
          <w:sz w:val="24"/>
          <w:szCs w:val="24"/>
          <w:lang w:val="en-US"/>
        </w:rPr>
        <w:t xml:space="preserve">rance rate similar </w:t>
      </w:r>
      <w:r w:rsidR="00C14495" w:rsidRPr="00C73B8F">
        <w:rPr>
          <w:rFonts w:ascii="Book Antiqua" w:hAnsi="Book Antiqua"/>
          <w:sz w:val="24"/>
          <w:szCs w:val="24"/>
          <w:lang w:val="en-US"/>
        </w:rPr>
        <w:t xml:space="preserve">to </w:t>
      </w:r>
      <w:r w:rsidR="00F17785" w:rsidRPr="00C73B8F">
        <w:rPr>
          <w:rFonts w:ascii="Book Antiqua" w:hAnsi="Book Antiqua"/>
          <w:sz w:val="24"/>
          <w:szCs w:val="24"/>
          <w:lang w:val="en-US"/>
        </w:rPr>
        <w:t xml:space="preserve">or even better </w:t>
      </w:r>
      <w:r w:rsidRPr="00C73B8F">
        <w:rPr>
          <w:rFonts w:ascii="Book Antiqua" w:hAnsi="Book Antiqua"/>
          <w:sz w:val="24"/>
          <w:szCs w:val="24"/>
          <w:lang w:val="en-US"/>
        </w:rPr>
        <w:t>than</w:t>
      </w:r>
      <w:r w:rsidR="00254F8D" w:rsidRPr="00C73B8F">
        <w:rPr>
          <w:rFonts w:ascii="Book Antiqua" w:hAnsi="Book Antiqua"/>
          <w:sz w:val="24"/>
          <w:szCs w:val="24"/>
          <w:lang w:val="en-US"/>
        </w:rPr>
        <w:t xml:space="preserve"> </w:t>
      </w:r>
      <w:r w:rsidR="004F7F95" w:rsidRPr="00C73B8F">
        <w:rPr>
          <w:rFonts w:ascii="Book Antiqua" w:hAnsi="Book Antiqua"/>
          <w:sz w:val="24"/>
          <w:szCs w:val="24"/>
          <w:lang w:val="en-US"/>
        </w:rPr>
        <w:t>the rate</w:t>
      </w:r>
      <w:r w:rsidR="00990536" w:rsidRPr="00C73B8F">
        <w:rPr>
          <w:rFonts w:ascii="Book Antiqua" w:hAnsi="Book Antiqua"/>
          <w:sz w:val="24"/>
          <w:szCs w:val="24"/>
          <w:lang w:val="en-US"/>
        </w:rPr>
        <w:t>s</w:t>
      </w:r>
      <w:r w:rsidR="00254F8D" w:rsidRPr="00C73B8F">
        <w:rPr>
          <w:rFonts w:ascii="Book Antiqua" w:hAnsi="Book Antiqua"/>
          <w:sz w:val="24"/>
          <w:szCs w:val="24"/>
          <w:lang w:val="en-US"/>
        </w:rPr>
        <w:t xml:space="preserve"> obtain</w:t>
      </w:r>
      <w:r w:rsidR="00E5221B" w:rsidRPr="00C73B8F">
        <w:rPr>
          <w:rFonts w:ascii="Book Antiqua" w:hAnsi="Book Antiqua"/>
          <w:sz w:val="24"/>
          <w:szCs w:val="24"/>
          <w:lang w:val="en-US"/>
        </w:rPr>
        <w:t>ed</w:t>
      </w:r>
      <w:r w:rsidR="00254F8D" w:rsidRPr="00C73B8F">
        <w:rPr>
          <w:rFonts w:ascii="Book Antiqua" w:hAnsi="Book Antiqua"/>
          <w:sz w:val="24"/>
          <w:szCs w:val="24"/>
          <w:lang w:val="en-US"/>
        </w:rPr>
        <w:t xml:space="preserve"> in controlled trials. </w:t>
      </w:r>
      <w:r w:rsidR="00990536" w:rsidRPr="00C73B8F">
        <w:rPr>
          <w:rFonts w:ascii="Book Antiqua" w:hAnsi="Book Antiqua"/>
          <w:sz w:val="24"/>
          <w:szCs w:val="24"/>
          <w:lang w:val="en-US"/>
        </w:rPr>
        <w:t>A</w:t>
      </w:r>
      <w:r w:rsidR="00202ED4" w:rsidRPr="00C73B8F">
        <w:rPr>
          <w:rFonts w:ascii="Book Antiqua" w:hAnsi="Book Antiqua"/>
          <w:sz w:val="24"/>
          <w:szCs w:val="24"/>
          <w:lang w:val="en-US"/>
        </w:rPr>
        <w:t>n</w:t>
      </w:r>
      <w:r w:rsidR="00A1630E" w:rsidRPr="00C73B8F">
        <w:rPr>
          <w:rFonts w:ascii="Book Antiqua" w:hAnsi="Book Antiqua"/>
          <w:sz w:val="24"/>
          <w:szCs w:val="24"/>
          <w:lang w:val="en-US"/>
        </w:rPr>
        <w:t xml:space="preserve"> SVR </w:t>
      </w:r>
      <w:r w:rsidR="008D39C0" w:rsidRPr="00C73B8F">
        <w:rPr>
          <w:rFonts w:ascii="Book Antiqua" w:hAnsi="Book Antiqua"/>
          <w:sz w:val="24"/>
          <w:szCs w:val="24"/>
          <w:lang w:val="en-US"/>
        </w:rPr>
        <w:t xml:space="preserve">was </w:t>
      </w:r>
      <w:r w:rsidR="00A1630E" w:rsidRPr="00C73B8F">
        <w:rPr>
          <w:rFonts w:ascii="Book Antiqua" w:hAnsi="Book Antiqua"/>
          <w:sz w:val="24"/>
          <w:szCs w:val="24"/>
          <w:lang w:val="en-US"/>
        </w:rPr>
        <w:t>achieved even in cirrhosis patients</w:t>
      </w:r>
      <w:r w:rsidR="008652BC" w:rsidRPr="00C73B8F">
        <w:rPr>
          <w:rFonts w:ascii="Book Antiqua" w:hAnsi="Book Antiqua"/>
          <w:sz w:val="24"/>
          <w:szCs w:val="24"/>
          <w:lang w:val="en-US"/>
        </w:rPr>
        <w:t>. However, p</w:t>
      </w:r>
      <w:r w:rsidR="00A1630E" w:rsidRPr="00C73B8F">
        <w:rPr>
          <w:rFonts w:ascii="Book Antiqua" w:hAnsi="Book Antiqua"/>
          <w:sz w:val="24"/>
          <w:szCs w:val="24"/>
          <w:lang w:val="en-US"/>
        </w:rPr>
        <w:t>atients with the most advanced stage of fibrosis should be considered for other treatments</w:t>
      </w:r>
      <w:r w:rsidR="00202ED4" w:rsidRPr="00C73B8F">
        <w:rPr>
          <w:rFonts w:ascii="Book Antiqua" w:hAnsi="Book Antiqua"/>
          <w:sz w:val="24"/>
          <w:szCs w:val="24"/>
          <w:lang w:val="en-US"/>
        </w:rPr>
        <w:t xml:space="preserve"> because</w:t>
      </w:r>
      <w:r w:rsidR="00CA0DB2" w:rsidRPr="00C73B8F">
        <w:rPr>
          <w:rFonts w:ascii="Book Antiqua" w:hAnsi="Book Antiqua"/>
          <w:sz w:val="24"/>
          <w:szCs w:val="24"/>
          <w:lang w:val="en-US"/>
        </w:rPr>
        <w:t xml:space="preserve"> </w:t>
      </w:r>
      <w:r w:rsidR="00A1630E" w:rsidRPr="00C73B8F">
        <w:rPr>
          <w:rFonts w:ascii="Book Antiqua" w:hAnsi="Book Antiqua"/>
          <w:sz w:val="24"/>
          <w:szCs w:val="24"/>
          <w:lang w:val="en-US"/>
        </w:rPr>
        <w:t xml:space="preserve">these treatments are significantly less efficient when the liver stiffness is higher than 21.3 </w:t>
      </w:r>
      <w:proofErr w:type="spellStart"/>
      <w:r w:rsidR="00171621" w:rsidRPr="00C73B8F">
        <w:rPr>
          <w:rFonts w:ascii="Book Antiqua" w:hAnsi="Book Antiqua"/>
          <w:sz w:val="24"/>
          <w:szCs w:val="24"/>
          <w:lang w:val="en-US"/>
        </w:rPr>
        <w:t>kPa</w:t>
      </w:r>
      <w:proofErr w:type="spellEnd"/>
      <w:r w:rsidR="00A1630E" w:rsidRPr="00C73B8F">
        <w:rPr>
          <w:rFonts w:ascii="Book Antiqua" w:hAnsi="Book Antiqua"/>
          <w:sz w:val="24"/>
          <w:szCs w:val="24"/>
          <w:lang w:val="en-US"/>
        </w:rPr>
        <w:t xml:space="preserve"> and </w:t>
      </w:r>
      <w:r w:rsidR="00C14495" w:rsidRPr="00C73B8F">
        <w:rPr>
          <w:rFonts w:ascii="Book Antiqua" w:hAnsi="Book Antiqua"/>
          <w:sz w:val="24"/>
          <w:szCs w:val="24"/>
          <w:lang w:val="en-US"/>
        </w:rPr>
        <w:t xml:space="preserve">are </w:t>
      </w:r>
      <w:r w:rsidR="00A1630E" w:rsidRPr="00C73B8F">
        <w:rPr>
          <w:rFonts w:ascii="Book Antiqua" w:hAnsi="Book Antiqua"/>
          <w:sz w:val="24"/>
          <w:szCs w:val="24"/>
          <w:lang w:val="en-US"/>
        </w:rPr>
        <w:t xml:space="preserve">significantly less tolerated in </w:t>
      </w:r>
      <w:r w:rsidR="00C14495" w:rsidRPr="00C73B8F">
        <w:rPr>
          <w:rFonts w:ascii="Book Antiqua" w:hAnsi="Book Antiqua"/>
          <w:sz w:val="24"/>
          <w:szCs w:val="24"/>
          <w:lang w:val="en-US"/>
        </w:rPr>
        <w:t xml:space="preserve">the </w:t>
      </w:r>
      <w:r w:rsidR="00A1630E" w:rsidRPr="00C73B8F">
        <w:rPr>
          <w:rFonts w:ascii="Book Antiqua" w:hAnsi="Book Antiqua"/>
          <w:sz w:val="24"/>
          <w:szCs w:val="24"/>
          <w:lang w:val="en-US"/>
        </w:rPr>
        <w:t xml:space="preserve">presence of biological markers of advanced liver fibrosis (platelet count </w:t>
      </w:r>
      <w:r w:rsidR="00A1630E" w:rsidRPr="00C73B8F">
        <w:rPr>
          <w:rFonts w:ascii="Book Antiqua" w:hAnsi="Book Antiqua" w:cs="Times New Roman"/>
          <w:sz w:val="24"/>
          <w:szCs w:val="24"/>
          <w:lang w:val="en-US"/>
        </w:rPr>
        <w:t xml:space="preserve">&lt; 150 </w:t>
      </w:r>
      <w:r w:rsidR="00B74297">
        <w:rPr>
          <w:rFonts w:ascii="Book Antiqua" w:hAnsi="Book Antiqua" w:cs="Times New Roman"/>
          <w:sz w:val="24"/>
          <w:szCs w:val="24"/>
          <w:lang w:val="en-US"/>
        </w:rPr>
        <w:t>×</w:t>
      </w:r>
      <w:r w:rsidR="00A1630E" w:rsidRPr="00C73B8F">
        <w:rPr>
          <w:rFonts w:ascii="Book Antiqua" w:hAnsi="Book Antiqua" w:cs="Times New Roman"/>
          <w:sz w:val="24"/>
          <w:szCs w:val="24"/>
          <w:lang w:val="en-US"/>
        </w:rPr>
        <w:t xml:space="preserve"> 10³/mm³</w:t>
      </w:r>
      <w:r w:rsidR="00A1630E" w:rsidRPr="00C73B8F">
        <w:rPr>
          <w:rFonts w:ascii="Book Antiqua" w:hAnsi="Book Antiqua"/>
          <w:sz w:val="24"/>
          <w:szCs w:val="24"/>
          <w:lang w:val="en-US"/>
        </w:rPr>
        <w:t xml:space="preserve">). </w:t>
      </w:r>
    </w:p>
    <w:p w14:paraId="471AA588" w14:textId="77777777" w:rsidR="00B74297" w:rsidRDefault="00B74297" w:rsidP="00C73B8F">
      <w:pPr>
        <w:spacing w:after="0" w:line="360" w:lineRule="auto"/>
        <w:jc w:val="both"/>
        <w:rPr>
          <w:rFonts w:ascii="Book Antiqua" w:eastAsia="宋体" w:hAnsi="Book Antiqua"/>
          <w:b/>
          <w:bCs/>
          <w:i/>
          <w:sz w:val="24"/>
          <w:szCs w:val="24"/>
          <w:lang w:val="en-US" w:eastAsia="zh-CN"/>
        </w:rPr>
      </w:pPr>
    </w:p>
    <w:p w14:paraId="1DA6B614" w14:textId="77777777" w:rsidR="00E25653" w:rsidRPr="00C73B8F" w:rsidRDefault="00E25653" w:rsidP="00C73B8F">
      <w:pPr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val="en-US"/>
        </w:rPr>
      </w:pPr>
      <w:r w:rsidRPr="00C73B8F">
        <w:rPr>
          <w:rFonts w:ascii="Book Antiqua" w:hAnsi="Book Antiqua"/>
          <w:b/>
          <w:bCs/>
          <w:i/>
          <w:sz w:val="24"/>
          <w:szCs w:val="24"/>
          <w:lang w:val="en-US"/>
        </w:rPr>
        <w:t>Terminology</w:t>
      </w:r>
    </w:p>
    <w:p w14:paraId="69DF6274" w14:textId="2162DA0A" w:rsidR="00BB10F7" w:rsidRPr="00C73B8F" w:rsidRDefault="009F1AFB" w:rsidP="00C73B8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C73B8F">
        <w:rPr>
          <w:rFonts w:ascii="Book Antiqua" w:hAnsi="Book Antiqua"/>
          <w:sz w:val="24"/>
          <w:szCs w:val="24"/>
          <w:lang w:val="en-US"/>
        </w:rPr>
        <w:lastRenderedPageBreak/>
        <w:t xml:space="preserve">Sustained </w:t>
      </w:r>
      <w:proofErr w:type="spellStart"/>
      <w:r w:rsidRPr="00C73B8F">
        <w:rPr>
          <w:rFonts w:ascii="Book Antiqua" w:hAnsi="Book Antiqua"/>
          <w:sz w:val="24"/>
          <w:szCs w:val="24"/>
          <w:lang w:val="en-US"/>
        </w:rPr>
        <w:t>virological</w:t>
      </w:r>
      <w:proofErr w:type="spellEnd"/>
      <w:r w:rsidRPr="00C73B8F">
        <w:rPr>
          <w:rFonts w:ascii="Book Antiqua" w:hAnsi="Book Antiqua"/>
          <w:sz w:val="24"/>
          <w:szCs w:val="24"/>
          <w:lang w:val="en-US"/>
        </w:rPr>
        <w:t xml:space="preserve"> response (SVR</w:t>
      </w:r>
      <w:r w:rsidR="00BB10F7" w:rsidRPr="00C73B8F">
        <w:rPr>
          <w:rFonts w:ascii="Book Antiqua" w:hAnsi="Book Antiqua"/>
          <w:sz w:val="24"/>
          <w:szCs w:val="24"/>
          <w:lang w:val="en-US"/>
        </w:rPr>
        <w:t>):</w:t>
      </w:r>
      <w:r w:rsidR="00E217A7" w:rsidRPr="00C73B8F">
        <w:rPr>
          <w:rFonts w:ascii="Book Antiqua" w:hAnsi="Book Antiqua"/>
          <w:sz w:val="24"/>
          <w:szCs w:val="24"/>
          <w:lang w:val="en-US"/>
        </w:rPr>
        <w:t xml:space="preserve"> undetectable </w:t>
      </w:r>
      <w:r w:rsidR="008E5078" w:rsidRPr="00C73B8F">
        <w:rPr>
          <w:rFonts w:ascii="Book Antiqua" w:hAnsi="Book Antiqua"/>
          <w:sz w:val="24"/>
          <w:szCs w:val="24"/>
          <w:lang w:val="en-US"/>
        </w:rPr>
        <w:t xml:space="preserve">levels of </w:t>
      </w:r>
      <w:r w:rsidR="00E217A7" w:rsidRPr="00C73B8F">
        <w:rPr>
          <w:rFonts w:ascii="Book Antiqua" w:hAnsi="Book Antiqua"/>
          <w:sz w:val="24"/>
          <w:szCs w:val="24"/>
          <w:lang w:val="en-US"/>
        </w:rPr>
        <w:t xml:space="preserve">viral RNA at 24 </w:t>
      </w:r>
      <w:proofErr w:type="spellStart"/>
      <w:r w:rsidR="00E217A7" w:rsidRPr="00C73B8F">
        <w:rPr>
          <w:rFonts w:ascii="Book Antiqua" w:hAnsi="Book Antiqua"/>
          <w:sz w:val="24"/>
          <w:szCs w:val="24"/>
          <w:lang w:val="en-US"/>
        </w:rPr>
        <w:t>w</w:t>
      </w:r>
      <w:r w:rsidR="00B74297">
        <w:rPr>
          <w:rFonts w:ascii="Book Antiqua" w:eastAsia="宋体" w:hAnsi="Book Antiqua" w:hint="eastAsia"/>
          <w:sz w:val="24"/>
          <w:szCs w:val="24"/>
          <w:lang w:val="en-US" w:eastAsia="zh-CN"/>
        </w:rPr>
        <w:t>k</w:t>
      </w:r>
      <w:proofErr w:type="spellEnd"/>
      <w:r w:rsidR="00E217A7" w:rsidRPr="00C73B8F">
        <w:rPr>
          <w:rFonts w:ascii="Book Antiqua" w:hAnsi="Book Antiqua"/>
          <w:sz w:val="24"/>
          <w:szCs w:val="24"/>
          <w:lang w:val="en-US"/>
        </w:rPr>
        <w:t xml:space="preserve"> </w:t>
      </w:r>
      <w:r w:rsidR="008E5078" w:rsidRPr="00C73B8F">
        <w:rPr>
          <w:rFonts w:ascii="Book Antiqua" w:hAnsi="Book Antiqua"/>
          <w:sz w:val="24"/>
          <w:szCs w:val="24"/>
          <w:lang w:val="en-US"/>
        </w:rPr>
        <w:t xml:space="preserve">following </w:t>
      </w:r>
      <w:r w:rsidR="00B74297">
        <w:rPr>
          <w:rFonts w:ascii="Book Antiqua" w:hAnsi="Book Antiqua"/>
          <w:sz w:val="24"/>
          <w:szCs w:val="24"/>
          <w:lang w:val="en-US"/>
        </w:rPr>
        <w:t>treatment completion</w:t>
      </w:r>
      <w:r w:rsidR="00B74297">
        <w:rPr>
          <w:rFonts w:ascii="Book Antiqua" w:eastAsia="宋体" w:hAnsi="Book Antiqua" w:hint="eastAsia"/>
          <w:sz w:val="24"/>
          <w:szCs w:val="24"/>
          <w:lang w:val="en-US" w:eastAsia="zh-CN"/>
        </w:rPr>
        <w:t xml:space="preserve">; </w:t>
      </w:r>
      <w:r w:rsidRPr="00C73B8F">
        <w:rPr>
          <w:rFonts w:ascii="Book Antiqua" w:hAnsi="Book Antiqua"/>
          <w:sz w:val="24"/>
          <w:szCs w:val="24"/>
          <w:lang w:val="en-US"/>
        </w:rPr>
        <w:t xml:space="preserve">Rapid </w:t>
      </w:r>
      <w:proofErr w:type="spellStart"/>
      <w:r w:rsidRPr="00C73B8F">
        <w:rPr>
          <w:rFonts w:ascii="Book Antiqua" w:hAnsi="Book Antiqua"/>
          <w:sz w:val="24"/>
          <w:szCs w:val="24"/>
          <w:lang w:val="en-US"/>
        </w:rPr>
        <w:t>virological</w:t>
      </w:r>
      <w:proofErr w:type="spellEnd"/>
      <w:r w:rsidRPr="00C73B8F">
        <w:rPr>
          <w:rFonts w:ascii="Book Antiqua" w:hAnsi="Book Antiqua"/>
          <w:sz w:val="24"/>
          <w:szCs w:val="24"/>
          <w:lang w:val="en-US"/>
        </w:rPr>
        <w:t xml:space="preserve"> response (R</w:t>
      </w:r>
      <w:r w:rsidR="00BB10F7" w:rsidRPr="00C73B8F">
        <w:rPr>
          <w:rFonts w:ascii="Book Antiqua" w:hAnsi="Book Antiqua"/>
          <w:sz w:val="24"/>
          <w:szCs w:val="24"/>
          <w:lang w:val="en-US"/>
        </w:rPr>
        <w:t>VR</w:t>
      </w:r>
      <w:r w:rsidR="00E217A7" w:rsidRPr="00C73B8F">
        <w:rPr>
          <w:rFonts w:ascii="Book Antiqua" w:hAnsi="Book Antiqua"/>
          <w:sz w:val="24"/>
          <w:szCs w:val="24"/>
          <w:lang w:val="en-US"/>
        </w:rPr>
        <w:t>)</w:t>
      </w:r>
      <w:r w:rsidR="00BB10F7" w:rsidRPr="00C73B8F">
        <w:rPr>
          <w:rFonts w:ascii="Book Antiqua" w:hAnsi="Book Antiqua"/>
          <w:sz w:val="24"/>
          <w:szCs w:val="24"/>
          <w:lang w:val="en-US"/>
        </w:rPr>
        <w:t>:</w:t>
      </w:r>
      <w:r w:rsidR="00E217A7" w:rsidRPr="00C73B8F">
        <w:rPr>
          <w:rFonts w:ascii="Book Antiqua" w:hAnsi="Book Antiqua"/>
          <w:sz w:val="24"/>
          <w:szCs w:val="24"/>
          <w:lang w:val="en-US"/>
        </w:rPr>
        <w:t xml:space="preserve"> undetectable </w:t>
      </w:r>
      <w:r w:rsidR="008E5078" w:rsidRPr="00C73B8F">
        <w:rPr>
          <w:rFonts w:ascii="Book Antiqua" w:hAnsi="Book Antiqua"/>
          <w:sz w:val="24"/>
          <w:szCs w:val="24"/>
          <w:lang w:val="en-US"/>
        </w:rPr>
        <w:t xml:space="preserve">levels of </w:t>
      </w:r>
      <w:r w:rsidR="00E217A7" w:rsidRPr="00C73B8F">
        <w:rPr>
          <w:rFonts w:ascii="Book Antiqua" w:hAnsi="Book Antiqua"/>
          <w:sz w:val="24"/>
          <w:szCs w:val="24"/>
          <w:lang w:val="en-US"/>
        </w:rPr>
        <w:t xml:space="preserve">viral RNA at week 4 or week 8 after </w:t>
      </w:r>
      <w:proofErr w:type="gramStart"/>
      <w:r w:rsidR="00E217A7" w:rsidRPr="00C73B8F">
        <w:rPr>
          <w:rFonts w:ascii="Book Antiqua" w:hAnsi="Book Antiqua"/>
          <w:sz w:val="24"/>
          <w:szCs w:val="24"/>
          <w:lang w:val="en-US"/>
        </w:rPr>
        <w:t>initiation</w:t>
      </w:r>
      <w:proofErr w:type="gramEnd"/>
      <w:r w:rsidR="00E217A7" w:rsidRPr="00C73B8F">
        <w:rPr>
          <w:rFonts w:ascii="Book Antiqua" w:hAnsi="Book Antiqua"/>
          <w:sz w:val="24"/>
          <w:szCs w:val="24"/>
          <w:lang w:val="en-US"/>
        </w:rPr>
        <w:t xml:space="preserve"> of </w:t>
      </w:r>
      <w:proofErr w:type="spellStart"/>
      <w:r w:rsidR="00E217A7" w:rsidRPr="00C73B8F">
        <w:rPr>
          <w:rFonts w:ascii="Book Antiqua" w:hAnsi="Book Antiqua"/>
          <w:sz w:val="24"/>
          <w:szCs w:val="24"/>
          <w:lang w:val="en-US"/>
        </w:rPr>
        <w:t>telaprevir</w:t>
      </w:r>
      <w:proofErr w:type="spellEnd"/>
      <w:r w:rsidR="001C4316" w:rsidRPr="00C73B8F">
        <w:rPr>
          <w:rFonts w:ascii="Book Antiqua" w:hAnsi="Book Antiqua"/>
          <w:sz w:val="24"/>
          <w:szCs w:val="24"/>
          <w:lang w:val="en-US"/>
        </w:rPr>
        <w:t>-</w:t>
      </w:r>
      <w:r w:rsidR="00E217A7" w:rsidRPr="00C73B8F">
        <w:rPr>
          <w:rFonts w:ascii="Book Antiqua" w:hAnsi="Book Antiqua"/>
          <w:sz w:val="24"/>
          <w:szCs w:val="24"/>
          <w:lang w:val="en-US"/>
        </w:rPr>
        <w:t xml:space="preserve"> or </w:t>
      </w:r>
      <w:proofErr w:type="spellStart"/>
      <w:r w:rsidR="00E217A7" w:rsidRPr="00C73B8F">
        <w:rPr>
          <w:rFonts w:ascii="Book Antiqua" w:hAnsi="Book Antiqua"/>
          <w:sz w:val="24"/>
          <w:szCs w:val="24"/>
          <w:lang w:val="en-US"/>
        </w:rPr>
        <w:t>boceprevir</w:t>
      </w:r>
      <w:proofErr w:type="spellEnd"/>
      <w:r w:rsidR="00E217A7" w:rsidRPr="00C73B8F">
        <w:rPr>
          <w:rFonts w:ascii="Book Antiqua" w:hAnsi="Book Antiqua"/>
          <w:sz w:val="24"/>
          <w:szCs w:val="24"/>
          <w:lang w:val="en-US"/>
        </w:rPr>
        <w:t>-based triple therapies, respectively.</w:t>
      </w:r>
    </w:p>
    <w:p w14:paraId="644D33F6" w14:textId="77777777" w:rsidR="00B74297" w:rsidRDefault="00B74297" w:rsidP="00C73B8F">
      <w:pPr>
        <w:spacing w:after="0" w:line="360" w:lineRule="auto"/>
        <w:jc w:val="both"/>
        <w:rPr>
          <w:rFonts w:ascii="Book Antiqua" w:eastAsia="宋体" w:hAnsi="Book Antiqua"/>
          <w:b/>
          <w:bCs/>
          <w:i/>
          <w:sz w:val="24"/>
          <w:szCs w:val="24"/>
          <w:lang w:val="en-US" w:eastAsia="zh-CN"/>
        </w:rPr>
      </w:pPr>
    </w:p>
    <w:p w14:paraId="39D0E69D" w14:textId="77777777" w:rsidR="00BA5B48" w:rsidRPr="00C73B8F" w:rsidRDefault="00E25653" w:rsidP="00C73B8F">
      <w:pPr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val="en-US"/>
        </w:rPr>
      </w:pPr>
      <w:r w:rsidRPr="00C73B8F">
        <w:rPr>
          <w:rFonts w:ascii="Book Antiqua" w:hAnsi="Book Antiqua"/>
          <w:b/>
          <w:bCs/>
          <w:i/>
          <w:sz w:val="24"/>
          <w:szCs w:val="24"/>
          <w:lang w:val="en-US"/>
        </w:rPr>
        <w:t>Peer review</w:t>
      </w:r>
    </w:p>
    <w:bookmarkEnd w:id="73"/>
    <w:p w14:paraId="171BB1AE" w14:textId="6756F894" w:rsidR="00E25653" w:rsidRPr="00C73B8F" w:rsidRDefault="00B74297" w:rsidP="00C73B8F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This manuscript by Bonnet </w:t>
      </w:r>
      <w:r w:rsidRPr="00B74297">
        <w:rPr>
          <w:rFonts w:ascii="Book Antiqua" w:hAnsi="Book Antiqua"/>
          <w:i/>
          <w:sz w:val="24"/>
          <w:szCs w:val="24"/>
          <w:lang w:val="en-US"/>
        </w:rPr>
        <w:t xml:space="preserve">et al </w:t>
      </w:r>
      <w:r w:rsidRPr="00B74297">
        <w:rPr>
          <w:rFonts w:ascii="Book Antiqua" w:hAnsi="Book Antiqua"/>
          <w:sz w:val="24"/>
          <w:szCs w:val="24"/>
          <w:lang w:val="en-US"/>
        </w:rPr>
        <w:t xml:space="preserve">described the efficacy and safety of </w:t>
      </w:r>
      <w:proofErr w:type="spellStart"/>
      <w:r w:rsidRPr="00B74297">
        <w:rPr>
          <w:rFonts w:ascii="Book Antiqua" w:hAnsi="Book Antiqua"/>
          <w:sz w:val="24"/>
          <w:szCs w:val="24"/>
          <w:lang w:val="en-US"/>
        </w:rPr>
        <w:t>Telaprevir</w:t>
      </w:r>
      <w:proofErr w:type="spellEnd"/>
      <w:r w:rsidRPr="00B74297">
        <w:rPr>
          <w:rFonts w:ascii="Book Antiqua" w:hAnsi="Book Antiqua"/>
          <w:sz w:val="24"/>
          <w:szCs w:val="24"/>
          <w:lang w:val="en-US"/>
        </w:rPr>
        <w:t xml:space="preserve"> or </w:t>
      </w:r>
      <w:proofErr w:type="spellStart"/>
      <w:r w:rsidRPr="00B74297">
        <w:rPr>
          <w:rFonts w:ascii="Book Antiqua" w:hAnsi="Book Antiqua"/>
          <w:sz w:val="24"/>
          <w:szCs w:val="24"/>
          <w:lang w:val="en-US"/>
        </w:rPr>
        <w:t>Boceprevir</w:t>
      </w:r>
      <w:proofErr w:type="spellEnd"/>
      <w:r w:rsidRPr="00B74297">
        <w:rPr>
          <w:rFonts w:ascii="Book Antiqua" w:hAnsi="Book Antiqua"/>
          <w:sz w:val="24"/>
          <w:szCs w:val="24"/>
          <w:lang w:val="en-US"/>
        </w:rPr>
        <w:t xml:space="preserve"> therapy for treatment experienced patients with advanced fibrosis. The majority of patients were cirrhosis (F4 72%) and null-responder to prior therapy (63%), thus reflecting most difficult-to-treat patients. The results are encouraging showing high SVR rate in prior </w:t>
      </w:r>
      <w:proofErr w:type="spellStart"/>
      <w:r w:rsidRPr="00B74297">
        <w:rPr>
          <w:rFonts w:ascii="Book Antiqua" w:hAnsi="Book Antiqua"/>
          <w:sz w:val="24"/>
          <w:szCs w:val="24"/>
          <w:lang w:val="en-US"/>
        </w:rPr>
        <w:t>relapsers</w:t>
      </w:r>
      <w:proofErr w:type="spellEnd"/>
      <w:r w:rsidRPr="00B74297">
        <w:rPr>
          <w:rFonts w:ascii="Book Antiqua" w:hAnsi="Book Antiqua"/>
          <w:sz w:val="24"/>
          <w:szCs w:val="24"/>
          <w:lang w:val="en-US"/>
        </w:rPr>
        <w:t xml:space="preserve"> (80%) and even in null-responders (47%) with low rate of premature discontinuation due to SAE (8%) and no death. This information in real-life setting may be of value for physicians treating hepatitis C.</w:t>
      </w:r>
    </w:p>
    <w:p w14:paraId="1C7C0E85" w14:textId="77777777" w:rsidR="00E25653" w:rsidRPr="00C73B8F" w:rsidRDefault="00E25653" w:rsidP="00C73B8F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</w:pPr>
    </w:p>
    <w:p w14:paraId="2C8E799D" w14:textId="03137F57" w:rsidR="00EF276C" w:rsidRPr="00F95F68" w:rsidRDefault="00B74297" w:rsidP="00F95F68">
      <w:pPr>
        <w:spacing w:after="0" w:line="360" w:lineRule="auto"/>
        <w:jc w:val="both"/>
        <w:rPr>
          <w:rFonts w:ascii="Book Antiqua" w:eastAsia="宋体" w:hAnsi="Book Antiqua" w:cs="Times New Roman"/>
          <w:color w:val="000000" w:themeColor="text1"/>
          <w:sz w:val="24"/>
          <w:szCs w:val="24"/>
          <w:lang w:val="en-US" w:eastAsia="zh-CN"/>
        </w:rPr>
      </w:pPr>
      <w:r w:rsidRPr="00F95F68">
        <w:rPr>
          <w:rFonts w:ascii="Book Antiqua" w:hAnsi="Book Antiqua" w:cs="Times New Roman"/>
          <w:b/>
          <w:sz w:val="24"/>
          <w:szCs w:val="24"/>
          <w:lang w:val="en-US"/>
        </w:rPr>
        <w:t>REFERENCES</w:t>
      </w:r>
    </w:p>
    <w:p w14:paraId="598AE814" w14:textId="2CB829E0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1 </w:t>
      </w:r>
      <w:proofErr w:type="spellStart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Dienstag</w:t>
      </w:r>
      <w:proofErr w:type="spellEnd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JL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Ghany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MG, Morgan TR, Di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Bisceglie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Bonkovsky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HL, Kim HY,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Seeff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LB, Szabo G, Wright EC, Sterling RK, Everson GT, Lindsay KL, Lee WM,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Lok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AS,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Morishima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Stoddard AM, Everhart JE</w:t>
      </w:r>
      <w:r>
        <w:rPr>
          <w:rFonts w:ascii="Book Antiqua" w:hAnsi="Book Antiqua" w:cs="Times New Roman"/>
          <w:sz w:val="24"/>
          <w:szCs w:val="24"/>
          <w:lang w:val="en-US"/>
        </w:rPr>
        <w:t>; HALT-C Trial Group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. A prospective study of the rate of progression in compensated, histologically advanced chronic hepatitis C. 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Hepatology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2011;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54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396-405 [PMID: 21520194 DOI: 10.1002/hep.24370.24370]</w:t>
      </w:r>
    </w:p>
    <w:p w14:paraId="7EA40C2C" w14:textId="7673F71B" w:rsidR="00F95F68" w:rsidRPr="00F95F68" w:rsidRDefault="00F95F68" w:rsidP="00F95F68">
      <w:pPr>
        <w:pStyle w:val="a4"/>
        <w:spacing w:after="0" w:line="360" w:lineRule="auto"/>
        <w:ind w:left="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F95F68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2 </w:t>
      </w:r>
      <w:r w:rsidRPr="00F95F68">
        <w:rPr>
          <w:rFonts w:ascii="Book Antiqua" w:hAnsi="Book Antiqua" w:cs="Times New Roman"/>
          <w:b/>
          <w:sz w:val="24"/>
          <w:szCs w:val="24"/>
          <w:lang w:val="en-US"/>
        </w:rPr>
        <w:t>Fried MW</w:t>
      </w:r>
      <w:r w:rsidRPr="00F95F6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F95F68">
        <w:rPr>
          <w:rFonts w:ascii="Book Antiqua" w:hAnsi="Book Antiqua" w:cs="Times New Roman"/>
          <w:bCs/>
          <w:sz w:val="24"/>
          <w:szCs w:val="24"/>
          <w:lang w:val="en-US"/>
        </w:rPr>
        <w:t>Shiffman</w:t>
      </w:r>
      <w:proofErr w:type="spellEnd"/>
      <w:r w:rsidRPr="00F95F68">
        <w:rPr>
          <w:rFonts w:ascii="Book Antiqua" w:hAnsi="Book Antiqua" w:cs="Times New Roman"/>
          <w:bCs/>
          <w:sz w:val="24"/>
          <w:szCs w:val="24"/>
          <w:lang w:val="en-US"/>
        </w:rPr>
        <w:t xml:space="preserve"> ML</w:t>
      </w:r>
      <w:r w:rsidRPr="00F95F68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F95F68">
        <w:rPr>
          <w:rFonts w:ascii="Book Antiqua" w:hAnsi="Book Antiqua" w:cs="Times New Roman"/>
          <w:bCs/>
          <w:sz w:val="24"/>
          <w:szCs w:val="24"/>
          <w:lang w:val="en-US"/>
        </w:rPr>
        <w:t>Reddy</w:t>
      </w:r>
      <w:r w:rsidRPr="00F95F68">
        <w:rPr>
          <w:rFonts w:ascii="Book Antiqua" w:hAnsi="Book Antiqua" w:cs="Times New Roman"/>
          <w:sz w:val="24"/>
          <w:szCs w:val="24"/>
          <w:lang w:val="en-US"/>
        </w:rPr>
        <w:t xml:space="preserve"> KR, Smith C, </w:t>
      </w:r>
      <w:proofErr w:type="spellStart"/>
      <w:r w:rsidRPr="00F95F68">
        <w:rPr>
          <w:rFonts w:ascii="Book Antiqua" w:hAnsi="Book Antiqua" w:cs="Times New Roman"/>
          <w:sz w:val="24"/>
          <w:szCs w:val="24"/>
          <w:lang w:val="en-US"/>
        </w:rPr>
        <w:t>Marinos</w:t>
      </w:r>
      <w:proofErr w:type="spellEnd"/>
      <w:r w:rsidRPr="00F95F68">
        <w:rPr>
          <w:rFonts w:ascii="Book Antiqua" w:hAnsi="Book Antiqua" w:cs="Times New Roman"/>
          <w:sz w:val="24"/>
          <w:szCs w:val="24"/>
          <w:lang w:val="en-US"/>
        </w:rPr>
        <w:t xml:space="preserve"> G, </w:t>
      </w:r>
      <w:proofErr w:type="spellStart"/>
      <w:r w:rsidRPr="00F95F68">
        <w:rPr>
          <w:rFonts w:ascii="Book Antiqua" w:hAnsi="Book Antiqua" w:cs="Times New Roman"/>
          <w:sz w:val="24"/>
          <w:szCs w:val="24"/>
          <w:lang w:val="en-US"/>
        </w:rPr>
        <w:t>Gonçales</w:t>
      </w:r>
      <w:proofErr w:type="spellEnd"/>
      <w:r w:rsidRPr="00F95F68">
        <w:rPr>
          <w:rFonts w:ascii="Book Antiqua" w:hAnsi="Book Antiqua" w:cs="Times New Roman"/>
          <w:sz w:val="24"/>
          <w:szCs w:val="24"/>
          <w:lang w:val="en-US"/>
        </w:rPr>
        <w:t xml:space="preserve"> FL Jr, </w:t>
      </w:r>
      <w:proofErr w:type="spellStart"/>
      <w:r w:rsidRPr="00F95F68">
        <w:rPr>
          <w:rFonts w:ascii="Book Antiqua" w:hAnsi="Book Antiqua" w:cs="Times New Roman"/>
          <w:sz w:val="24"/>
          <w:szCs w:val="24"/>
          <w:lang w:val="en-US"/>
        </w:rPr>
        <w:t>Häussinger</w:t>
      </w:r>
      <w:proofErr w:type="spellEnd"/>
      <w:r w:rsidRPr="00F95F68">
        <w:rPr>
          <w:rFonts w:ascii="Book Antiqua" w:hAnsi="Book Antiqua" w:cs="Times New Roman"/>
          <w:sz w:val="24"/>
          <w:szCs w:val="24"/>
          <w:lang w:val="en-US"/>
        </w:rPr>
        <w:t xml:space="preserve"> D, </w:t>
      </w:r>
      <w:proofErr w:type="spellStart"/>
      <w:r w:rsidRPr="00F95F68">
        <w:rPr>
          <w:rFonts w:ascii="Book Antiqua" w:hAnsi="Book Antiqua" w:cs="Times New Roman"/>
          <w:sz w:val="24"/>
          <w:szCs w:val="24"/>
          <w:lang w:val="en-US"/>
        </w:rPr>
        <w:t>Diago</w:t>
      </w:r>
      <w:proofErr w:type="spellEnd"/>
      <w:r w:rsidRPr="00F95F68">
        <w:rPr>
          <w:rFonts w:ascii="Book Antiqua" w:hAnsi="Book Antiqua" w:cs="Times New Roman"/>
          <w:sz w:val="24"/>
          <w:szCs w:val="24"/>
          <w:lang w:val="en-US"/>
        </w:rPr>
        <w:t xml:space="preserve"> M, </w:t>
      </w:r>
      <w:proofErr w:type="spellStart"/>
      <w:r w:rsidRPr="00F95F68">
        <w:rPr>
          <w:rFonts w:ascii="Book Antiqua" w:hAnsi="Book Antiqua" w:cs="Times New Roman"/>
          <w:sz w:val="24"/>
          <w:szCs w:val="24"/>
          <w:lang w:val="en-US"/>
        </w:rPr>
        <w:t>Carosi</w:t>
      </w:r>
      <w:proofErr w:type="spellEnd"/>
      <w:r w:rsidRPr="00F95F68">
        <w:rPr>
          <w:rFonts w:ascii="Book Antiqua" w:hAnsi="Book Antiqua" w:cs="Times New Roman"/>
          <w:sz w:val="24"/>
          <w:szCs w:val="24"/>
          <w:lang w:val="en-US"/>
        </w:rPr>
        <w:t xml:space="preserve"> G, </w:t>
      </w:r>
      <w:proofErr w:type="spellStart"/>
      <w:r w:rsidRPr="00F95F68">
        <w:rPr>
          <w:rFonts w:ascii="Book Antiqua" w:hAnsi="Book Antiqua" w:cs="Times New Roman"/>
          <w:sz w:val="24"/>
          <w:szCs w:val="24"/>
          <w:lang w:val="en-US"/>
        </w:rPr>
        <w:t>Dhumeaux</w:t>
      </w:r>
      <w:proofErr w:type="spellEnd"/>
      <w:r w:rsidRPr="00F95F68">
        <w:rPr>
          <w:rFonts w:ascii="Book Antiqua" w:hAnsi="Book Antiqua" w:cs="Times New Roman"/>
          <w:sz w:val="24"/>
          <w:szCs w:val="24"/>
          <w:lang w:val="en-US"/>
        </w:rPr>
        <w:t xml:space="preserve"> D, </w:t>
      </w:r>
      <w:proofErr w:type="spellStart"/>
      <w:r w:rsidRPr="00F95F68">
        <w:rPr>
          <w:rFonts w:ascii="Book Antiqua" w:hAnsi="Book Antiqua" w:cs="Times New Roman"/>
          <w:sz w:val="24"/>
          <w:szCs w:val="24"/>
          <w:lang w:val="en-US"/>
        </w:rPr>
        <w:t>Craxi</w:t>
      </w:r>
      <w:proofErr w:type="spellEnd"/>
      <w:r w:rsidRPr="00F95F68">
        <w:rPr>
          <w:rFonts w:ascii="Book Antiqua" w:hAnsi="Book Antiqua" w:cs="Times New Roman"/>
          <w:sz w:val="24"/>
          <w:szCs w:val="24"/>
          <w:lang w:val="en-US"/>
        </w:rPr>
        <w:t xml:space="preserve"> A, Lin A, Hoffman J, Yu J. </w:t>
      </w:r>
      <w:proofErr w:type="spellStart"/>
      <w:r w:rsidRPr="00F95F68">
        <w:rPr>
          <w:rFonts w:ascii="Book Antiqua" w:hAnsi="Book Antiqua" w:cs="Times New Roman"/>
          <w:sz w:val="24"/>
          <w:szCs w:val="24"/>
          <w:lang w:val="en-US"/>
        </w:rPr>
        <w:t>Peginterferon</w:t>
      </w:r>
      <w:proofErr w:type="spellEnd"/>
      <w:r w:rsidRPr="00F95F68">
        <w:rPr>
          <w:rFonts w:ascii="Book Antiqua" w:hAnsi="Book Antiqua" w:cs="Times New Roman"/>
          <w:sz w:val="24"/>
          <w:szCs w:val="24"/>
          <w:lang w:val="en-US"/>
        </w:rPr>
        <w:t xml:space="preserve"> alfa-2a plus ribavirin for chronic hepatitis C virus infection. </w:t>
      </w:r>
      <w:hyperlink r:id="rId9" w:history="1">
        <w:r w:rsidRPr="00F95F68">
          <w:rPr>
            <w:rFonts w:ascii="Book Antiqua" w:hAnsi="Book Antiqua" w:cs="Times New Roman"/>
            <w:i/>
            <w:sz w:val="24"/>
            <w:szCs w:val="24"/>
            <w:lang w:val="en-US"/>
          </w:rPr>
          <w:t>N</w:t>
        </w:r>
      </w:hyperlink>
      <w:r w:rsidRPr="00F95F68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F95F68">
        <w:rPr>
          <w:rFonts w:ascii="Book Antiqua" w:hAnsi="Book Antiqua" w:cs="Times New Roman"/>
          <w:i/>
          <w:sz w:val="24"/>
          <w:szCs w:val="24"/>
          <w:lang w:val="en-US"/>
        </w:rPr>
        <w:t>Engl</w:t>
      </w:r>
      <w:proofErr w:type="spellEnd"/>
      <w:r w:rsidRPr="00F95F68">
        <w:rPr>
          <w:rFonts w:ascii="Book Antiqua" w:hAnsi="Book Antiqua" w:cs="Times New Roman"/>
          <w:i/>
          <w:sz w:val="24"/>
          <w:szCs w:val="24"/>
          <w:lang w:val="en-US"/>
        </w:rPr>
        <w:t xml:space="preserve"> J Med</w:t>
      </w:r>
      <w:r w:rsidRPr="00F95F68">
        <w:rPr>
          <w:rFonts w:ascii="Book Antiqua" w:hAnsi="Book Antiqua" w:cs="Times New Roman"/>
          <w:sz w:val="24"/>
          <w:szCs w:val="24"/>
          <w:lang w:val="en-US"/>
        </w:rPr>
        <w:t xml:space="preserve"> 2002; </w:t>
      </w:r>
      <w:r w:rsidRPr="00F95F68">
        <w:rPr>
          <w:rFonts w:ascii="Book Antiqua" w:hAnsi="Book Antiqua" w:cs="Times New Roman"/>
          <w:b/>
          <w:sz w:val="24"/>
          <w:szCs w:val="24"/>
          <w:lang w:val="en-US"/>
        </w:rPr>
        <w:t>347</w:t>
      </w:r>
      <w:r w:rsidRPr="00F95F68">
        <w:rPr>
          <w:rFonts w:ascii="Book Antiqua" w:hAnsi="Book Antiqua" w:cs="Times New Roman"/>
          <w:sz w:val="24"/>
          <w:szCs w:val="24"/>
          <w:lang w:val="en-US"/>
        </w:rPr>
        <w:t>:975-982 [PMID</w:t>
      </w:r>
      <w:r w:rsidRPr="00F95F68">
        <w:rPr>
          <w:rFonts w:ascii="Book Antiqua" w:hAnsi="Book Antiqua" w:cs="Times New Roman"/>
          <w:sz w:val="24"/>
          <w:szCs w:val="24"/>
          <w:lang w:val="en-US" w:eastAsia="zh-CN"/>
        </w:rPr>
        <w:t>:</w:t>
      </w:r>
      <w:r w:rsidRPr="00F95F68">
        <w:rPr>
          <w:rFonts w:ascii="Book Antiqua" w:hAnsi="Book Antiqua" w:cs="Times New Roman"/>
          <w:sz w:val="24"/>
          <w:szCs w:val="24"/>
          <w:lang w:val="en-US"/>
        </w:rPr>
        <w:t xml:space="preserve"> 123244553]</w:t>
      </w:r>
    </w:p>
    <w:p w14:paraId="3D697A18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3 </w:t>
      </w:r>
      <w:proofErr w:type="spellStart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Manns</w:t>
      </w:r>
      <w:proofErr w:type="spellEnd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MP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McHutchison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JG, Gordon SC,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Rustgi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VK,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Shiffman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Reindollar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Goodman ZD,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Koury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Ling M, Albrecht JK.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Peginterferon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alfa-2b plus ribavirin compared with interferon alfa-2b plus ribavirin for initial treatment of chronic hepatitis C: a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randomised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trial.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2001;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358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958-965 [PMID: 11583749]</w:t>
      </w:r>
    </w:p>
    <w:p w14:paraId="127DB7C0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4 </w:t>
      </w:r>
      <w:proofErr w:type="spellStart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Cammà</w:t>
      </w:r>
      <w:proofErr w:type="spellEnd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Cabibbo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Bronte F,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Enea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Licata A,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Attanasio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Andriulli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Craxì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Retreatment with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pegylated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interferon plus ribavirin of chronic hepatitis C non-responders to interferon plus ribavirin: a meta-analysis.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Hepatol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2009;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51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675-681 [PMID: 19665247 DOI: 10.1016/j.jhep.2009.06.018]</w:t>
      </w:r>
    </w:p>
    <w:p w14:paraId="7BFEE9BC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5 </w:t>
      </w:r>
      <w:proofErr w:type="spellStart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Kwo</w:t>
      </w:r>
      <w:proofErr w:type="spellEnd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PY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Lawitz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EJ, McCone J, Schiff ER,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Vierling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Pound D, Davis MN, Galati JS, Gordon SC,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Ravendhran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Rossaro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Anderson FH, Jacobson IM, Rubin R,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Koury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Pedicone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LD, Brass CA,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Chaudhri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Albrecht JK. Efficacy of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boceprevir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an NS3 protease inhibitor, in combination with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peginterferon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alfa-2b and ribavirin in treatment-naive patients with genotype 1 hepatitis C infection (SPRINT-1): an open-label,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randomised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multicentre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phase 2 trial.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2010;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376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705-716 [PMID: 20692693 DOI: 10.1016/S0140-6736(10)60934-8]</w:t>
      </w:r>
    </w:p>
    <w:p w14:paraId="7D59B8D8" w14:textId="3020DFA4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6 </w:t>
      </w:r>
      <w:proofErr w:type="spellStart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Hézode</w:t>
      </w:r>
      <w:proofErr w:type="spellEnd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Forestier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Dusheiko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Ferenci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Pol S,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Goeser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Bronowicki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JP,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Bourlière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Gharakhanian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Bengtsson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McNair L, George S,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Kieffer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Kwong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Kauffman RS,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Alam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Pawlotsky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Zeuzem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; PROVE2 Study Team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Telaprevir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peginterferon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with or without ribavirin for chronic HCV infection.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2009;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360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1839-1850 [PMID: 19403903 DOI: 10.1056/NEJMoa0807650]</w:t>
      </w:r>
    </w:p>
    <w:p w14:paraId="761537B8" w14:textId="79B5B9E0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7 </w:t>
      </w:r>
      <w:proofErr w:type="spellStart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Poordad</w:t>
      </w:r>
      <w:proofErr w:type="spellEnd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McCone J, Bacon BR, Bruno S,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Manns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MP,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Sulkowski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MS, Jacobson IM, Reddy KR, Goodman ZD,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Boparai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DiNubile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MJ,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Sniukiene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Brass CA, Albrecht JK,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Bronowicki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JP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; SPRINT-2 Investigators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proofErr w:type="spellStart"/>
      <w:proofErr w:type="gram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Boceprevir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untreated chronic HCV genotype 1 infection.</w:t>
      </w:r>
      <w:proofErr w:type="gram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2011;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364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1195-1206 [PMID: 21449783]</w:t>
      </w:r>
    </w:p>
    <w:p w14:paraId="2707746C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8 </w:t>
      </w:r>
      <w:proofErr w:type="spellStart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Zeuzem</w:t>
      </w:r>
      <w:proofErr w:type="spellEnd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Andreone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Pol S,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Lawitz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Diago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Roberts S, Focaccia R,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Younossi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Z, Foster GR,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Horban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Ferenci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Nevens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Müllhaupt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Pockros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Terg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Shouval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van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Hoek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Weiland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Van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Heeswijk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De Meyer S, Luo D,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Boogaerts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Polo R,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Picchio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Beumont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Telaprevir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retreatment of HCV infection.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2011;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364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2417-2428 [PMID: 21696308 DOI: 10.1056/NEJMoa1013086]</w:t>
      </w:r>
    </w:p>
    <w:p w14:paraId="640A2055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9 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Liu J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Jadhav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PR, Amur S, Fleischer R,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Hammerstrom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Lewis L,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Naeger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O'Rear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Pacanowski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Robertson S,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Seo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Soon G,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Birnkrant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D. Response-guided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telaprevir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therapy in prior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relapsers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? </w:t>
      </w:r>
      <w:proofErr w:type="gram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The role of bridging data from treatment-naïve and experienced subjects.</w:t>
      </w:r>
      <w:proofErr w:type="gram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Hepatology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2013;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57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897-902 [PMID: 22487907 DOI: 10.1002/hep.25764]</w:t>
      </w:r>
    </w:p>
    <w:p w14:paraId="7387598F" w14:textId="6687B939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10 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Bacon BR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Gordon SC,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Lawitz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Marcellin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Vierling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Zeuzem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Poordad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Goodman ZD, Sings HL,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Boparai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Burroughs M, Brass CA, Albrecht JK, Esteban R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; HCV RESPOND-2 Investigators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Boceprevir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previously treated chronic HCV genotype 1 infection.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2011;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364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1207-1217 [PMID: 21449784 DOI: 10.1056/NEJMoa1009482]</w:t>
      </w:r>
    </w:p>
    <w:p w14:paraId="2A83A661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11 </w:t>
      </w:r>
      <w:proofErr w:type="spellStart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Wedemeyer</w:t>
      </w:r>
      <w:proofErr w:type="spellEnd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Jensen DM,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Godofsky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Mani N,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Pawlotsky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Miller V. Recommendations for standardized nomenclature and definitions of viral response in trials of hepatitis C virus investigational agents. 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Hepatology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2012;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56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2398-2403 [PMID: 22707382 DOI: 10.1002/hep.25888]</w:t>
      </w:r>
    </w:p>
    <w:p w14:paraId="1792B294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12 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Leroy V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Serfaty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Bourlière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Bronowicki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JP,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Delasalle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Pariente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Pol S,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Zoulim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Pageaux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GP. Protease inhibitor-based triple therapy in chronic hepatitis C: guidelines by the French Association for the Study of the Liver.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Liver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2012;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32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1477-1492 [PMID: 22891751 DOI: 10.1111/j.1478-3231.2012.02856.x]</w:t>
      </w:r>
    </w:p>
    <w:p w14:paraId="71D99B59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13 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Liang TJ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Ghany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MG. Current and future therapies for hepatitis C virus infection.</w:t>
      </w:r>
      <w:proofErr w:type="gram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2013;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368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1907-1917 [PMID: 23675659 DOI: 10.1056/NEJMra1213651]</w:t>
      </w:r>
    </w:p>
    <w:p w14:paraId="44299F64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14 </w:t>
      </w:r>
      <w:proofErr w:type="spellStart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Lawitz</w:t>
      </w:r>
      <w:proofErr w:type="spellEnd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Mangia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Wyles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Rodriguez-Torres 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Hassanein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Gordon SC, Schultz M, Davis MN,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Kayali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Z, Reddy KR, Jacobson IM,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Kowdley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KV, Nyberg L, Subramanian GM, Hyland RH,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Arterburn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Jiang D, McNally J,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Brainard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Symonds WT,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McHutchison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JG, Sheikh AM,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Younossi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Z,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Gane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EJ. </w:t>
      </w:r>
      <w:proofErr w:type="spellStart"/>
      <w:proofErr w:type="gram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Sofosbuvir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previously untreated chronic hepatitis C infection.</w:t>
      </w:r>
      <w:proofErr w:type="gram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2013;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368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1878-1887 [PMID: 23607594 DOI: 10.1056/NEJMoa1214853]</w:t>
      </w:r>
    </w:p>
    <w:p w14:paraId="0BD49520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15 </w:t>
      </w:r>
      <w:proofErr w:type="spellStart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Hézode</w:t>
      </w:r>
      <w:proofErr w:type="spellEnd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Fontaine H,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Dorival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Larrey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Zoulim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Canva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de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Ledinghen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Poynard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Samuel D,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Bourlière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Zarski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JP,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Raabe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JJ,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Alric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Marcellin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Riachi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Bernard PH,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Loustaud-Ratti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Métivier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Tran A,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Serfaty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Abergel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Causse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X, Di Martino V,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Guyader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Lucidarme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Grando-Lemaire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Hillon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Feray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Dao T,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Cacoub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Rosa I,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Attali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Petrov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-Sanchez V,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Barthe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Pawlotsky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Pol S,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Carrat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Bronowicki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JP. Triple therapy in treatment-experienced patients with HCV-cirrhosis in a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multicentre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cohort of the French Early Access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Programme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(ANRS CO20-CUPIC) - NCT01514890.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Hepatol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2013;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59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434-441 [PMID: 23669289 DOI: 10.1016/j.jhep.2013.04.035]</w:t>
      </w:r>
    </w:p>
    <w:p w14:paraId="75699F46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16 </w:t>
      </w:r>
      <w:proofErr w:type="spellStart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Sitole</w:t>
      </w:r>
      <w:proofErr w:type="spellEnd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Silva M, Spooner L,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Comee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MK, Malloy M.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Telaprevir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versus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boceprevir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chronic hepatitis C: a meta-analysis of data from phase II and III trials. 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2013;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35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190-197 [PMID: 23369368 DOI: 10.1016/j.clinthera.2012.12.017]</w:t>
      </w:r>
    </w:p>
    <w:p w14:paraId="7010388A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17 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Cure S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Diels J,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Gavart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Bianic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Jones E. Efficacy of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telaprevir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boceprevir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treatment-naïve and treatment-experienced genotype 1 chronic hepatitis C patients: an indirect comparison using Bayesian network meta-analysis. 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Curr</w:t>
      </w:r>
      <w:proofErr w:type="spellEnd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Med Res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Opin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2012;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28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1841-1856 [PMID: 23016967 DOI: 10.1185/03007995.2012.734798]</w:t>
      </w:r>
    </w:p>
    <w:p w14:paraId="3955E691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18 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Benito JM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Sánchez-Parra C, Maida I, Aguilera A,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Rallón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NI, Rick F,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Labarga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Fernández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-Montero JV, Barreiro P, Soriano V. Triple combination therapy for hepatitis C with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telaprevir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exhibits greater early antiviral activity than with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boceprevir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Antivir</w:t>
      </w:r>
      <w:proofErr w:type="spellEnd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2013;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18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709-715 [PMID: 23645335 DOI: 10.3851/IMP261]</w:t>
      </w:r>
    </w:p>
    <w:p w14:paraId="2F7B19D3" w14:textId="581CC22F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19 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Sherman KE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Flamm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SL,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Afdhal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NH, Nelson DR,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Sulkowski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MS, Everson GT, Fried MW, Adler 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Reesink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HW, Martin 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Sankoh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AJ,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Adda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Kauffman RS, George S, Wright CI,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Poordad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; ILLUMINATE Study Team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Response-guided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telaprevir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combination treatment for hepatitis C virus infection.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2011;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365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1014-1024 [PMID: 21916639 DOI: 10.1056/NEJMoa1014463]</w:t>
      </w:r>
    </w:p>
    <w:p w14:paraId="209A82A1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20 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Foster GR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Zeuzem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Andreone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Pol S,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Lawitz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EJ,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Diago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Roberts S,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Pockros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PJ,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Younossi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Z,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Lonjon-Domanec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De Meyer S, Luo D, George S,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Beumont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Picchio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G. Sustained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virologic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response rates with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telaprevir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by response after 4 weeks of lead-in therapy in patients with prior treatment failure.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Hepatol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2013;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58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488-494 [PMID: 23183521 DOI: 10.1016/j.jhep.2012.11.013]</w:t>
      </w:r>
    </w:p>
    <w:p w14:paraId="62921F32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21 </w:t>
      </w:r>
      <w:proofErr w:type="spellStart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Poordad</w:t>
      </w:r>
      <w:proofErr w:type="spellEnd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Bronowicki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JP, Gordon SC,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Zeuzem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Jacobson IM,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Sulkowski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MS,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Poynard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Morgan TR,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Molony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Pedicone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LD, Sings HL, Burroughs MH,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Sniukiene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Boparai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Goteti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VS, Brass CA, Albrecht JK, Bacon BR. Factors that predict response of patients with hepatitis C virus infection to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boceprevir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Gastroenterology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2012;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143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608-18.e1-5 [PMID: 22626609 DOI: 10.1053/j.gastro.2012.05.011]</w:t>
      </w:r>
    </w:p>
    <w:p w14:paraId="1AC3B0A9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22 </w:t>
      </w:r>
      <w:proofErr w:type="spellStart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Castéra</w:t>
      </w:r>
      <w:proofErr w:type="spellEnd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Le Bail B,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Roudot-Thoraval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Bernard PH,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Foucher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Merrouche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Couzigou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de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Lédinghen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V. Early detection in routine clinical practice of cirrhosis and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oesophageal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varices in chronic hepatitis C: comparison of transient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elastography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FibroScan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) with standard laboratory tests and non-invasive scores.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Hepatol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2009;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50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59-68 [PMID: 19013661 DOI: 10.1016/j.jhep.2008.08.018]</w:t>
      </w:r>
    </w:p>
    <w:p w14:paraId="605D01A9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23 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Patel K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Friedrich-Rust M, Lurie Y,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Grigorescu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Stanciu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Lee CM, Schiff ER,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Häussinger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Manns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MP,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Gerken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Colle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Torbenson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Pulkstenis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Subramanian GM,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McHutchison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JG,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Zeuzem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FibroSURE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FibroScan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relation to treatment response in chronic hepatitis C virus.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2011;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17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4581-4589 [PMID: 22147963 DOI: 10.3748/wjg.v17.i41.4581]</w:t>
      </w:r>
    </w:p>
    <w:p w14:paraId="6B15880F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24 </w:t>
      </w:r>
      <w:proofErr w:type="spellStart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Forestier</w:t>
      </w:r>
      <w:proofErr w:type="spellEnd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N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Gaus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Herrmann E,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Sarrazin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Bojunga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Poynard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Albert J, Gerber L, Schneider MD,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Dultz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Zeuzem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Friedrich-Rust M. Acoustic radiation force impulse 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imaging for evaluation of antiviral treatment response in chronic hepatitis C.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Gastrointestin</w:t>
      </w:r>
      <w:proofErr w:type="spellEnd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Liver Dis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2012;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21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367-373 [PMID: 23256119]</w:t>
      </w:r>
    </w:p>
    <w:p w14:paraId="34119538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25 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Bureau C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Metivier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Peron JM, Selves J,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Robic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MA,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Gourraud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PA,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Rouquet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Dupuis E,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Alric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Vinel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JP. Transient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elastography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accurately predicts presence of significant portal hypertension in patients with chronic liver disease.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Aliment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2008;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27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1261-1268 [PMID: 18397389 DOI: 10.1111/j.1365-2036.2008.03701.x]</w:t>
      </w:r>
    </w:p>
    <w:p w14:paraId="2196633B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26 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Pritchett S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Cardenas A, Manning D, Curry 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Afdhal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NH.</w:t>
      </w:r>
      <w:proofErr w:type="gram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 optimal cut-off for predicting large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oesophageal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varices using transient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elastography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is disease specific.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Viral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2011;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18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e75-e80 [PMID: 21040236 DOI: 10.1111/j.1365-2893.2010.01375.x]</w:t>
      </w:r>
    </w:p>
    <w:p w14:paraId="216998C4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27 </w:t>
      </w:r>
      <w:proofErr w:type="spellStart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Vizzutti</w:t>
      </w:r>
      <w:proofErr w:type="spellEnd"/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Arena U,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Romanelli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RG,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Rega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Foschi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Colagrande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Petrarca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Moscarella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Belli G,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Zignego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AL,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Marra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Laffi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Pinzani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Liver stiffness measurement predicts severe portal hypertension in patients with HCV-related cirrhosis. 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Hepatology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2007;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45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1290-1297 [PMID: 17464971]</w:t>
      </w:r>
    </w:p>
    <w:p w14:paraId="6B1651DF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28 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Bruno S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Vierling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Esteban R, Nyberg LM,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Tanno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Goodman Z,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Poordad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Bacon B,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Gottesdiener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Pedicone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LD, Albrecht JK, Brass CA, Thompson S, Burroughs MH. </w:t>
      </w:r>
      <w:proofErr w:type="gram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Efficacy and safety of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boceprevir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plus </w:t>
      </w:r>
      <w:proofErr w:type="spellStart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peginterferon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-ribavirin in patients with HCV G1 infection and advanced fibrosis/cirrhosis.</w:t>
      </w:r>
      <w:proofErr w:type="gram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F95F68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Hepatol</w:t>
      </w:r>
      <w:proofErr w:type="spellEnd"/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 2013; </w:t>
      </w:r>
      <w:r w:rsidRPr="00F95F68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58</w:t>
      </w:r>
      <w:r w:rsidRPr="00F95F68">
        <w:rPr>
          <w:rFonts w:ascii="Book Antiqua" w:eastAsia="宋体" w:hAnsi="Book Antiqua" w:cs="宋体"/>
          <w:sz w:val="24"/>
          <w:szCs w:val="24"/>
          <w:lang w:val="en-US" w:eastAsia="zh-CN"/>
        </w:rPr>
        <w:t>: 479-487 [PMID: 23183529 DOI: 10.1016/j.jhep.2012.11.020]</w:t>
      </w:r>
    </w:p>
    <w:p w14:paraId="05C48BAF" w14:textId="77777777" w:rsidR="00261235" w:rsidRDefault="00261235" w:rsidP="00F95F68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</w:p>
    <w:p w14:paraId="09983F05" w14:textId="71DACB48" w:rsidR="00F95F68" w:rsidRPr="00F95F68" w:rsidRDefault="00F95F68" w:rsidP="00F95F68">
      <w:pPr>
        <w:wordWrap w:val="0"/>
        <w:ind w:left="361" w:hangingChars="150" w:hanging="361"/>
        <w:jc w:val="right"/>
        <w:rPr>
          <w:rFonts w:ascii="Book Antiqua" w:hAnsi="Book Antiqua"/>
          <w:sz w:val="24"/>
          <w:szCs w:val="24"/>
        </w:rPr>
      </w:pPr>
      <w:r w:rsidRPr="00F95F68">
        <w:rPr>
          <w:rFonts w:ascii="Book Antiqua" w:hAnsi="Book Antiqua"/>
          <w:b/>
          <w:bCs/>
          <w:color w:val="000000"/>
          <w:sz w:val="24"/>
          <w:szCs w:val="24"/>
        </w:rPr>
        <w:t>P-Reviewer</w:t>
      </w:r>
      <w:r w:rsidRPr="00F95F68">
        <w:rPr>
          <w:rFonts w:ascii="Book Antiqua" w:hAnsi="Book Antiqua" w:hint="eastAsia"/>
          <w:b/>
          <w:bCs/>
          <w:color w:val="000000"/>
          <w:sz w:val="24"/>
          <w:szCs w:val="24"/>
        </w:rPr>
        <w:t xml:space="preserve">: </w:t>
      </w:r>
      <w:r>
        <w:rPr>
          <w:rFonts w:ascii="Book Antiqua" w:eastAsia="宋体" w:hAnsi="Book Antiqua"/>
          <w:color w:val="000000"/>
          <w:sz w:val="24"/>
          <w:szCs w:val="24"/>
          <w:lang w:eastAsia="zh-CN"/>
        </w:rPr>
        <w:t>Kurosaki</w:t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 </w:t>
      </w:r>
      <w:r w:rsidRPr="00F95F68">
        <w:rPr>
          <w:rFonts w:ascii="Book Antiqua" w:eastAsia="宋体" w:hAnsi="Book Antiqua"/>
          <w:color w:val="000000"/>
          <w:sz w:val="24"/>
          <w:szCs w:val="24"/>
          <w:lang w:eastAsia="zh-CN"/>
        </w:rPr>
        <w:t>M</w:t>
      </w:r>
      <w:r w:rsidRPr="00F95F68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, Liu J</w:t>
      </w:r>
      <w:r>
        <w:rPr>
          <w:rFonts w:ascii="Tahoma" w:eastAsia="宋体" w:hAnsi="Tahoma" w:cs="Tahoma" w:hint="eastAsia"/>
          <w:color w:val="000000"/>
          <w:sz w:val="18"/>
          <w:szCs w:val="18"/>
          <w:shd w:val="clear" w:color="auto" w:fill="FFFFFF"/>
          <w:lang w:eastAsia="zh-CN"/>
        </w:rPr>
        <w:t xml:space="preserve"> </w:t>
      </w:r>
      <w:r w:rsidRPr="00F95F68">
        <w:rPr>
          <w:rFonts w:ascii="Book Antiqua" w:hAnsi="Book Antiqua"/>
          <w:b/>
          <w:bCs/>
          <w:color w:val="000000"/>
          <w:sz w:val="24"/>
          <w:szCs w:val="24"/>
        </w:rPr>
        <w:t>S</w:t>
      </w:r>
      <w:r w:rsidRPr="00F95F68">
        <w:rPr>
          <w:rFonts w:ascii="Book Antiqua" w:hAnsi="Book Antiqua" w:hint="eastAsia"/>
          <w:b/>
          <w:bCs/>
          <w:color w:val="000000"/>
          <w:sz w:val="24"/>
          <w:szCs w:val="24"/>
        </w:rPr>
        <w:t>-</w:t>
      </w:r>
      <w:r w:rsidRPr="00F95F68">
        <w:rPr>
          <w:rFonts w:ascii="Book Antiqua" w:hAnsi="Book Antiqua"/>
          <w:b/>
          <w:bCs/>
          <w:color w:val="000000"/>
          <w:sz w:val="24"/>
          <w:szCs w:val="24"/>
        </w:rPr>
        <w:t>Editor</w:t>
      </w:r>
      <w:r w:rsidRPr="00F95F68">
        <w:rPr>
          <w:rFonts w:ascii="Book Antiqua" w:hAnsi="Book Antiqua" w:hint="eastAsia"/>
          <w:b/>
          <w:bCs/>
          <w:color w:val="000000"/>
          <w:sz w:val="24"/>
          <w:szCs w:val="24"/>
        </w:rPr>
        <w:t>:</w:t>
      </w:r>
      <w:r w:rsidRPr="00F95F68"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Song XX </w:t>
      </w:r>
      <w:r w:rsidRPr="00F95F68">
        <w:rPr>
          <w:rFonts w:ascii="Book Antiqua" w:hAnsi="Book Antiqua"/>
          <w:b/>
          <w:bCs/>
          <w:color w:val="000000"/>
          <w:sz w:val="24"/>
          <w:szCs w:val="24"/>
        </w:rPr>
        <w:t>L</w:t>
      </w:r>
      <w:r w:rsidRPr="00F95F68">
        <w:rPr>
          <w:rFonts w:ascii="Book Antiqua" w:hAnsi="Book Antiqua" w:hint="eastAsia"/>
          <w:b/>
          <w:bCs/>
          <w:color w:val="000000"/>
          <w:sz w:val="24"/>
          <w:szCs w:val="24"/>
        </w:rPr>
        <w:t>-</w:t>
      </w:r>
      <w:r w:rsidRPr="00F95F68">
        <w:rPr>
          <w:rFonts w:ascii="Book Antiqua" w:hAnsi="Book Antiqua"/>
          <w:b/>
          <w:bCs/>
          <w:color w:val="000000"/>
          <w:sz w:val="24"/>
          <w:szCs w:val="24"/>
        </w:rPr>
        <w:t>Editor</w:t>
      </w:r>
      <w:r w:rsidRPr="00F95F68">
        <w:rPr>
          <w:rFonts w:ascii="Book Antiqua" w:hAnsi="Book Antiqua" w:hint="eastAsia"/>
          <w:b/>
          <w:bCs/>
          <w:color w:val="000000"/>
          <w:sz w:val="24"/>
          <w:szCs w:val="24"/>
        </w:rPr>
        <w:t>:</w:t>
      </w:r>
      <w:r w:rsidRPr="00F95F68"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 w:rsidRPr="00F95F68">
        <w:rPr>
          <w:rFonts w:ascii="Book Antiqua" w:hAnsi="Book Antiqua"/>
          <w:b/>
          <w:bCs/>
          <w:color w:val="000000"/>
          <w:sz w:val="24"/>
          <w:szCs w:val="24"/>
        </w:rPr>
        <w:t>E</w:t>
      </w:r>
      <w:r w:rsidRPr="00F95F68">
        <w:rPr>
          <w:rFonts w:ascii="Book Antiqua" w:hAnsi="Book Antiqua" w:hint="eastAsia"/>
          <w:b/>
          <w:bCs/>
          <w:color w:val="000000"/>
          <w:sz w:val="24"/>
          <w:szCs w:val="24"/>
        </w:rPr>
        <w:t>-</w:t>
      </w:r>
      <w:r w:rsidRPr="00F95F68">
        <w:rPr>
          <w:rFonts w:ascii="Book Antiqua" w:hAnsi="Book Antiqua"/>
          <w:b/>
          <w:bCs/>
          <w:color w:val="000000"/>
          <w:sz w:val="24"/>
          <w:szCs w:val="24"/>
        </w:rPr>
        <w:t>Editor</w:t>
      </w:r>
      <w:r w:rsidRPr="00F95F68">
        <w:rPr>
          <w:rFonts w:ascii="Book Antiqua" w:hAnsi="Book Antiqua" w:hint="eastAsia"/>
          <w:b/>
          <w:bCs/>
          <w:color w:val="000000"/>
          <w:sz w:val="24"/>
          <w:szCs w:val="24"/>
        </w:rPr>
        <w:t>:</w:t>
      </w:r>
    </w:p>
    <w:p w14:paraId="5BCE04BA" w14:textId="77777777" w:rsidR="00F95F68" w:rsidRPr="00F95F68" w:rsidRDefault="00F95F68" w:rsidP="00F95F68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602F6694" w14:textId="77777777" w:rsidR="00261235" w:rsidRPr="00A373C8" w:rsidRDefault="00261235" w:rsidP="0026123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A373C8">
        <w:rPr>
          <w:rFonts w:ascii="Book Antiqua" w:hAnsi="Book Antiqua" w:cs="Times New Roman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4A74CA10" wp14:editId="4A41B328">
            <wp:extent cx="5619750" cy="3405187"/>
            <wp:effectExtent l="0" t="0" r="19050" b="2413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715D93F" w14:textId="157F29D7" w:rsidR="00B74297" w:rsidRDefault="00261235" w:rsidP="00261235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r w:rsidRPr="00A373C8">
        <w:rPr>
          <w:rFonts w:ascii="Book Antiqua" w:hAnsi="Book Antiqua" w:cs="Times New Roman"/>
          <w:noProof/>
          <w:sz w:val="24"/>
          <w:szCs w:val="24"/>
          <w:lang w:val="en-US" w:eastAsia="zh-CN"/>
        </w:rPr>
        <w:drawing>
          <wp:inline distT="0" distB="0" distL="0" distR="0" wp14:anchorId="17C75661" wp14:editId="4D88E0C7">
            <wp:extent cx="5760720" cy="4005580"/>
            <wp:effectExtent l="0" t="0" r="11430" b="13970"/>
            <wp:docPr id="2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D3DABC6" w14:textId="0BD0A503" w:rsidR="00261235" w:rsidRPr="00F95F68" w:rsidRDefault="00F95F68" w:rsidP="0026123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t>Figure 1</w:t>
      </w:r>
      <w:r w:rsidRPr="00F95F68">
        <w:rPr>
          <w:rFonts w:ascii="Book Antiqua" w:hAnsi="Book Antiqua" w:cs="Times New Roman"/>
          <w:b/>
          <w:sz w:val="24"/>
          <w:szCs w:val="24"/>
          <w:lang w:val="en-US"/>
        </w:rPr>
        <w:t xml:space="preserve"> Sustained </w:t>
      </w:r>
      <w:proofErr w:type="spellStart"/>
      <w:r w:rsidRPr="00F95F68">
        <w:rPr>
          <w:rFonts w:ascii="Book Antiqua" w:hAnsi="Book Antiqua" w:cs="Times New Roman"/>
          <w:b/>
          <w:sz w:val="24"/>
          <w:szCs w:val="24"/>
          <w:lang w:val="en-US"/>
        </w:rPr>
        <w:t>virological</w:t>
      </w:r>
      <w:proofErr w:type="spellEnd"/>
      <w:r w:rsidRPr="00F95F68">
        <w:rPr>
          <w:rFonts w:ascii="Book Antiqua" w:hAnsi="Book Antiqua" w:cs="Times New Roman"/>
          <w:b/>
          <w:sz w:val="24"/>
          <w:szCs w:val="24"/>
          <w:lang w:val="en-US"/>
        </w:rPr>
        <w:t xml:space="preserve"> response</w:t>
      </w:r>
      <w:r w:rsidRPr="00F95F68"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>.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="00261235" w:rsidRPr="00F95F68">
        <w:rPr>
          <w:rFonts w:ascii="Book Antiqua" w:hAnsi="Book Antiqua" w:cs="Times New Roman"/>
          <w:sz w:val="24"/>
          <w:szCs w:val="24"/>
          <w:lang w:val="en-US"/>
        </w:rPr>
        <w:t>A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:</w:t>
      </w:r>
      <w:r w:rsidR="00261235" w:rsidRPr="00F95F6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F95F68">
        <w:rPr>
          <w:rFonts w:ascii="Book Antiqua" w:hAnsi="Book Antiqua" w:cs="Times New Roman"/>
          <w:sz w:val="24"/>
          <w:szCs w:val="24"/>
          <w:lang w:val="en-US"/>
        </w:rPr>
        <w:t>I</w:t>
      </w:r>
      <w:r w:rsidR="00261235" w:rsidRPr="00F95F68">
        <w:rPr>
          <w:rFonts w:ascii="Book Antiqua" w:hAnsi="Book Antiqua" w:cs="Times New Roman"/>
          <w:sz w:val="24"/>
          <w:szCs w:val="24"/>
          <w:lang w:val="en-US"/>
        </w:rPr>
        <w:t xml:space="preserve">nfluence of rapid </w:t>
      </w:r>
      <w:proofErr w:type="spellStart"/>
      <w:r w:rsidR="00261235" w:rsidRPr="00F95F68">
        <w:rPr>
          <w:rFonts w:ascii="Book Antiqua" w:hAnsi="Book Antiqua" w:cs="Times New Roman"/>
          <w:sz w:val="24"/>
          <w:szCs w:val="24"/>
          <w:lang w:val="en-US"/>
        </w:rPr>
        <w:t>virological</w:t>
      </w:r>
      <w:proofErr w:type="spellEnd"/>
      <w:r w:rsidR="00261235" w:rsidRPr="00F95F68">
        <w:rPr>
          <w:rFonts w:ascii="Book Antiqua" w:hAnsi="Book Antiqua" w:cs="Times New Roman"/>
          <w:sz w:val="24"/>
          <w:szCs w:val="24"/>
          <w:lang w:val="en-US"/>
        </w:rPr>
        <w:t xml:space="preserve"> response on sustained </w:t>
      </w:r>
      <w:proofErr w:type="spellStart"/>
      <w:r w:rsidR="00261235" w:rsidRPr="00F95F68">
        <w:rPr>
          <w:rFonts w:ascii="Book Antiqua" w:hAnsi="Book Antiqua" w:cs="Times New Roman"/>
          <w:sz w:val="24"/>
          <w:szCs w:val="24"/>
          <w:lang w:val="en-US"/>
        </w:rPr>
        <w:t>virological</w:t>
      </w:r>
      <w:proofErr w:type="spellEnd"/>
      <w:r w:rsidR="00261235" w:rsidRPr="00F95F68">
        <w:rPr>
          <w:rFonts w:ascii="Book Antiqua" w:hAnsi="Book Antiqua" w:cs="Times New Roman"/>
          <w:sz w:val="24"/>
          <w:szCs w:val="24"/>
          <w:lang w:val="en-US"/>
        </w:rPr>
        <w:t xml:space="preserve"> response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.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Patients with rapid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virological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response (RVR) </w:t>
      </w:r>
      <w:r w:rsidRPr="00F95F68">
        <w:rPr>
          <w:rFonts w:ascii="Book Antiqua" w:hAnsi="Book Antiqua" w:cs="Times New Roman"/>
          <w:i/>
          <w:sz w:val="24"/>
          <w:szCs w:val="24"/>
          <w:lang w:val="en-US"/>
        </w:rPr>
        <w:t>vs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patients without RVR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,</w:t>
      </w:r>
      <w:r w:rsidRPr="00F95F68">
        <w:rPr>
          <w:rFonts w:ascii="Book Antiqua" w:eastAsia="宋体" w:hAnsi="Book Antiqua" w:cs="Times New Roman" w:hint="eastAsia"/>
          <w:sz w:val="24"/>
          <w:szCs w:val="24"/>
          <w:vertAlign w:val="superscript"/>
          <w:lang w:val="en-US" w:eastAsia="zh-CN"/>
        </w:rPr>
        <w:t xml:space="preserve"> </w:t>
      </w:r>
      <w:proofErr w:type="spellStart"/>
      <w:r w:rsidRPr="00F95F68">
        <w:rPr>
          <w:rFonts w:ascii="Book Antiqua" w:eastAsia="宋体" w:hAnsi="Book Antiqua" w:cs="Times New Roman" w:hint="eastAsia"/>
          <w:sz w:val="24"/>
          <w:szCs w:val="24"/>
          <w:vertAlign w:val="superscript"/>
          <w:lang w:val="en-US" w:eastAsia="zh-CN"/>
        </w:rPr>
        <w:t>b</w:t>
      </w:r>
      <w:r w:rsidRPr="00F95F68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&lt; 0.001</w:t>
      </w:r>
      <w:r>
        <w:rPr>
          <w:rFonts w:ascii="Book Antiqua" w:hAnsi="Book Antiqua" w:cs="Times New Roman"/>
          <w:sz w:val="24"/>
          <w:szCs w:val="24"/>
          <w:lang w:val="en-US"/>
        </w:rPr>
        <w:t>;</w:t>
      </w:r>
      <w:r w:rsidR="00261235" w:rsidRPr="00F95F68">
        <w:rPr>
          <w:rFonts w:ascii="Book Antiqua" w:hAnsi="Book Antiqua" w:cs="Times New Roman"/>
          <w:sz w:val="24"/>
          <w:szCs w:val="24"/>
          <w:lang w:val="en-US"/>
        </w:rPr>
        <w:t xml:space="preserve"> B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:</w:t>
      </w:r>
      <w:r w:rsidR="00261235" w:rsidRPr="00F95F6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F95F68">
        <w:rPr>
          <w:rFonts w:ascii="Book Antiqua" w:hAnsi="Book Antiqua" w:cs="Times New Roman"/>
          <w:sz w:val="24"/>
          <w:szCs w:val="24"/>
          <w:lang w:val="en-US"/>
        </w:rPr>
        <w:t>I</w:t>
      </w:r>
      <w:r w:rsidR="00261235" w:rsidRPr="00F95F68">
        <w:rPr>
          <w:rFonts w:ascii="Book Antiqua" w:hAnsi="Book Antiqua" w:cs="Times New Roman"/>
          <w:sz w:val="24"/>
          <w:szCs w:val="24"/>
          <w:lang w:val="en-US"/>
        </w:rPr>
        <w:t xml:space="preserve">nfluence of response to previous treatment on sustained </w:t>
      </w:r>
      <w:proofErr w:type="spellStart"/>
      <w:r w:rsidR="00261235" w:rsidRPr="00F95F68">
        <w:rPr>
          <w:rFonts w:ascii="Book Antiqua" w:hAnsi="Book Antiqua" w:cs="Times New Roman"/>
          <w:sz w:val="24"/>
          <w:szCs w:val="24"/>
          <w:lang w:val="en-US"/>
        </w:rPr>
        <w:t>virological</w:t>
      </w:r>
      <w:proofErr w:type="spellEnd"/>
      <w:r w:rsidR="00261235" w:rsidRPr="00F95F68">
        <w:rPr>
          <w:rFonts w:ascii="Book Antiqua" w:hAnsi="Book Antiqua" w:cs="Times New Roman"/>
          <w:sz w:val="24"/>
          <w:szCs w:val="24"/>
          <w:lang w:val="en-US"/>
        </w:rPr>
        <w:t xml:space="preserve"> response.</w:t>
      </w:r>
      <w:r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Prior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relapsers</w:t>
      </w:r>
      <w:proofErr w:type="spellEnd"/>
      <w:r w:rsidRPr="00F95F68">
        <w:rPr>
          <w:rFonts w:ascii="Book Antiqua" w:hAnsi="Book Antiqua" w:cs="Times New Roman"/>
          <w:i/>
          <w:sz w:val="24"/>
          <w:szCs w:val="24"/>
          <w:lang w:val="en-US"/>
        </w:rPr>
        <w:t xml:space="preserve"> vs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prior null-responders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,</w:t>
      </w:r>
      <w:r w:rsidRPr="00F95F68">
        <w:rPr>
          <w:rFonts w:ascii="Book Antiqua" w:hAnsi="Book Antiqua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proofErr w:type="gramStart"/>
      <w:r w:rsidRPr="00C73B8F">
        <w:rPr>
          <w:rFonts w:ascii="Book Antiqua" w:hAnsi="Book Antiqua" w:cs="Times New Roman"/>
          <w:sz w:val="24"/>
          <w:szCs w:val="24"/>
          <w:vertAlign w:val="superscript"/>
          <w:lang w:val="en-US"/>
        </w:rPr>
        <w:t>a</w:t>
      </w:r>
      <w:r w:rsidRPr="00F95F68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proofErr w:type="spellEnd"/>
      <w:proofErr w:type="gramEnd"/>
      <w:r w:rsidRPr="00F95F68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&lt; 0.05.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="00261235" w:rsidRPr="00C73B8F">
        <w:rPr>
          <w:rFonts w:ascii="Book Antiqua" w:hAnsi="Book Antiqua" w:cs="Times New Roman"/>
          <w:sz w:val="24"/>
          <w:szCs w:val="24"/>
          <w:lang w:val="en-US"/>
        </w:rPr>
        <w:t xml:space="preserve">Sustained </w:t>
      </w:r>
      <w:proofErr w:type="spellStart"/>
      <w:r w:rsidR="00261235" w:rsidRPr="00C73B8F">
        <w:rPr>
          <w:rFonts w:ascii="Book Antiqua" w:hAnsi="Book Antiqua" w:cs="Times New Roman"/>
          <w:sz w:val="24"/>
          <w:szCs w:val="24"/>
          <w:lang w:val="en-US"/>
        </w:rPr>
        <w:lastRenderedPageBreak/>
        <w:t>virological</w:t>
      </w:r>
      <w:proofErr w:type="spellEnd"/>
      <w:r w:rsidR="00261235" w:rsidRPr="00C73B8F">
        <w:rPr>
          <w:rFonts w:ascii="Book Antiqua" w:hAnsi="Book Antiqua" w:cs="Times New Roman"/>
          <w:sz w:val="24"/>
          <w:szCs w:val="24"/>
          <w:lang w:val="en-US"/>
        </w:rPr>
        <w:t xml:space="preserve"> response was analyzed 24 </w:t>
      </w:r>
      <w:proofErr w:type="spellStart"/>
      <w:r w:rsidR="00261235"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="00261235" w:rsidRPr="00C73B8F">
        <w:rPr>
          <w:rFonts w:ascii="Book Antiqua" w:hAnsi="Book Antiqua" w:cs="Times New Roman"/>
          <w:sz w:val="24"/>
          <w:szCs w:val="24"/>
          <w:lang w:val="en-US"/>
        </w:rPr>
        <w:t xml:space="preserve"> after treatment withdrawal for 122 patients (overall numbers of patients: 88 in the </w:t>
      </w:r>
      <w:proofErr w:type="spellStart"/>
      <w:r w:rsidR="00261235" w:rsidRPr="00C73B8F">
        <w:rPr>
          <w:rFonts w:ascii="Book Antiqua" w:hAnsi="Book Antiqua" w:cs="Times New Roman"/>
          <w:sz w:val="24"/>
          <w:szCs w:val="24"/>
          <w:lang w:val="en-US"/>
        </w:rPr>
        <w:t>telaprevir</w:t>
      </w:r>
      <w:proofErr w:type="spellEnd"/>
      <w:r w:rsidR="00261235" w:rsidRPr="00C73B8F">
        <w:rPr>
          <w:rFonts w:ascii="Book Antiqua" w:hAnsi="Book Antiqua" w:cs="Times New Roman"/>
          <w:sz w:val="24"/>
          <w:szCs w:val="24"/>
          <w:lang w:val="en-US"/>
        </w:rPr>
        <w:t xml:space="preserve"> group, 34 in the </w:t>
      </w:r>
      <w:proofErr w:type="spellStart"/>
      <w:r w:rsidR="00261235" w:rsidRPr="00C73B8F">
        <w:rPr>
          <w:rFonts w:ascii="Book Antiqua" w:hAnsi="Book Antiqua" w:cs="Times New Roman"/>
          <w:sz w:val="24"/>
          <w:szCs w:val="24"/>
          <w:lang w:val="en-US"/>
        </w:rPr>
        <w:t>boceprevir</w:t>
      </w:r>
      <w:proofErr w:type="spellEnd"/>
      <w:r w:rsidR="00261235" w:rsidRPr="00C73B8F">
        <w:rPr>
          <w:rFonts w:ascii="Book Antiqua" w:hAnsi="Book Antiqua" w:cs="Times New Roman"/>
          <w:sz w:val="24"/>
          <w:szCs w:val="24"/>
          <w:lang w:val="en-US"/>
        </w:rPr>
        <w:t xml:space="preserve"> group).</w:t>
      </w:r>
    </w:p>
    <w:p w14:paraId="404F4799" w14:textId="77777777" w:rsidR="00F95F68" w:rsidRDefault="00F95F68" w:rsidP="00261235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</w:p>
    <w:p w14:paraId="4A27B1B3" w14:textId="77777777" w:rsidR="00F95F68" w:rsidRDefault="00EF276C" w:rsidP="00F95F68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 w:rsidRPr="00C73B8F">
        <w:rPr>
          <w:rFonts w:ascii="Book Antiqua" w:hAnsi="Book Antiqua" w:cs="Times New Roman"/>
          <w:noProof/>
          <w:sz w:val="24"/>
          <w:szCs w:val="24"/>
          <w:lang w:val="en-US" w:eastAsia="zh-CN"/>
        </w:rPr>
        <w:drawing>
          <wp:inline distT="0" distB="0" distL="0" distR="0" wp14:anchorId="7D448EFB" wp14:editId="4A2E3316">
            <wp:extent cx="5762625" cy="3827160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9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2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6DEE49" w14:textId="19F5F4E1" w:rsidR="00F95F68" w:rsidRPr="00C73B8F" w:rsidRDefault="00F95F68" w:rsidP="00F95F6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t>Figure 2</w:t>
      </w:r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 xml:space="preserve"> Diagnostic value of liver stiffness measurement to predict sustained </w:t>
      </w:r>
      <w:proofErr w:type="spellStart"/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>virological</w:t>
      </w:r>
      <w:proofErr w:type="spellEnd"/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 xml:space="preserve"> response.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The area under the receiver operating characteristic curve was 0.64 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(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0.52- 0.76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)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286EDAE8" w14:textId="77777777" w:rsidR="00B74297" w:rsidRDefault="00B74297" w:rsidP="00B74297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</w:p>
    <w:p w14:paraId="3FD0BAFE" w14:textId="3BA9F0AA" w:rsidR="00B74297" w:rsidRPr="00F95F68" w:rsidRDefault="00F95F68" w:rsidP="00B74297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t>Table 1</w:t>
      </w:r>
      <w:r w:rsidR="00B74297" w:rsidRPr="00C73B8F">
        <w:rPr>
          <w:rFonts w:ascii="Book Antiqua" w:hAnsi="Book Antiqua" w:cs="Times New Roman"/>
          <w:b/>
          <w:sz w:val="24"/>
          <w:szCs w:val="24"/>
          <w:lang w:val="en-US"/>
        </w:rPr>
        <w:t xml:space="preserve"> Demograph</w:t>
      </w:r>
      <w:r>
        <w:rPr>
          <w:rFonts w:ascii="Book Antiqua" w:hAnsi="Book Antiqua" w:cs="Times New Roman"/>
          <w:b/>
          <w:sz w:val="24"/>
          <w:szCs w:val="24"/>
          <w:lang w:val="en-US"/>
        </w:rPr>
        <w:t>ic and baseline characteristics</w:t>
      </w:r>
    </w:p>
    <w:tbl>
      <w:tblPr>
        <w:tblStyle w:val="af"/>
        <w:tblW w:w="0" w:type="auto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551"/>
      </w:tblGrid>
      <w:tr w:rsidR="00B74297" w:rsidRPr="00C73B8F" w14:paraId="24F11C78" w14:textId="77777777" w:rsidTr="001B0149">
        <w:tc>
          <w:tcPr>
            <w:tcW w:w="5812" w:type="dxa"/>
          </w:tcPr>
          <w:p w14:paraId="45A26B67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eastAsiaTheme="minorEastAsia" w:hAnsi="Book Antiqua" w:cstheme="minorBidi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Triple therapy: Peg-IFN</w:t>
            </w: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</w:t>
            </w: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 xml:space="preserve">2a+Ribavirin+Protease inhibitor, </w:t>
            </w:r>
            <w:r w:rsidRPr="00F95F68">
              <w:rPr>
                <w:rFonts w:ascii="Book Antiqua" w:hAnsi="Book Antiqua"/>
                <w:i/>
                <w:sz w:val="24"/>
                <w:szCs w:val="24"/>
                <w:lang w:val="en-US"/>
              </w:rPr>
              <w:t>n</w:t>
            </w:r>
          </w:p>
          <w:p w14:paraId="02FF330D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eastAsiaTheme="minorEastAsia" w:hAnsi="Book Antiqua" w:cstheme="minorBidi"/>
                <w:sz w:val="24"/>
                <w:szCs w:val="24"/>
                <w:lang w:val="en-US"/>
              </w:rPr>
            </w:pPr>
            <w:proofErr w:type="spellStart"/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Telaprevir</w:t>
            </w:r>
            <w:proofErr w:type="spellEnd"/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 xml:space="preserve">, </w:t>
            </w:r>
            <w:r w:rsidRPr="00F95F68">
              <w:rPr>
                <w:rFonts w:ascii="Book Antiqua" w:hAnsi="Book Antiqua"/>
                <w:i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 xml:space="preserve"> (%)</w:t>
            </w:r>
          </w:p>
          <w:p w14:paraId="13562B07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eastAsiaTheme="minorEastAsia" w:hAnsi="Book Antiqua" w:cstheme="minorBidi"/>
                <w:sz w:val="24"/>
                <w:szCs w:val="24"/>
                <w:lang w:val="en-US"/>
              </w:rPr>
            </w:pPr>
            <w:proofErr w:type="spellStart"/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Boceprevir</w:t>
            </w:r>
            <w:proofErr w:type="spellEnd"/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 xml:space="preserve">, </w:t>
            </w:r>
            <w:r w:rsidRPr="00F95F68">
              <w:rPr>
                <w:rFonts w:ascii="Book Antiqua" w:hAnsi="Book Antiqua"/>
                <w:i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 xml:space="preserve"> (%)</w:t>
            </w:r>
          </w:p>
          <w:p w14:paraId="6BBD72F3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eastAsiaTheme="minorEastAsia" w:hAnsi="Book Antiqua" w:cstheme="minorBidi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Ribavirin dosage mg/kg, mean(SD)</w:t>
            </w:r>
          </w:p>
        </w:tc>
        <w:tc>
          <w:tcPr>
            <w:tcW w:w="2551" w:type="dxa"/>
          </w:tcPr>
          <w:p w14:paraId="5DEFC917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highlight w:val="magenta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125</w:t>
            </w:r>
          </w:p>
          <w:p w14:paraId="53025816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eastAsiaTheme="minorEastAsia" w:hAnsi="Book Antiqua" w:cstheme="minorBidi"/>
                <w:sz w:val="24"/>
                <w:szCs w:val="24"/>
                <w:lang w:val="en-US"/>
              </w:rPr>
            </w:pPr>
          </w:p>
          <w:p w14:paraId="1BFA30F1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eastAsiaTheme="minorEastAsia" w:hAnsi="Book Antiqua" w:cstheme="minorBidi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90 (72)</w:t>
            </w:r>
          </w:p>
          <w:p w14:paraId="68344512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eastAsiaTheme="minorEastAsia" w:hAnsi="Book Antiqua" w:cstheme="minorBidi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35 (28)</w:t>
            </w:r>
          </w:p>
          <w:p w14:paraId="384AB43B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14.4 (2.1)</w:t>
            </w:r>
          </w:p>
        </w:tc>
      </w:tr>
      <w:tr w:rsidR="00B74297" w:rsidRPr="00C73B8F" w14:paraId="74D1696E" w14:textId="77777777" w:rsidTr="001B0149">
        <w:tc>
          <w:tcPr>
            <w:tcW w:w="5812" w:type="dxa"/>
          </w:tcPr>
          <w:p w14:paraId="50DDE3AF" w14:textId="73289188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3B8F">
              <w:rPr>
                <w:rFonts w:ascii="Book Antiqua" w:hAnsi="Book Antiqua"/>
                <w:sz w:val="24"/>
                <w:szCs w:val="24"/>
              </w:rPr>
              <w:t>Age, y</w:t>
            </w:r>
            <w:r w:rsidR="00F95F68">
              <w:rPr>
                <w:rFonts w:ascii="Book Antiqua" w:hAnsi="Book Antiqua"/>
                <w:sz w:val="24"/>
                <w:szCs w:val="24"/>
              </w:rPr>
              <w:t>r</w:t>
            </w:r>
            <w:r w:rsidRPr="00C73B8F">
              <w:rPr>
                <w:rFonts w:ascii="Book Antiqua" w:hAnsi="Book Antiqua"/>
                <w:sz w:val="24"/>
                <w:szCs w:val="24"/>
              </w:rPr>
              <w:t>, mean (SD)</w:t>
            </w:r>
          </w:p>
        </w:tc>
        <w:tc>
          <w:tcPr>
            <w:tcW w:w="2551" w:type="dxa"/>
          </w:tcPr>
          <w:p w14:paraId="6B74A456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3B8F">
              <w:rPr>
                <w:rFonts w:ascii="Book Antiqua" w:hAnsi="Book Antiqua"/>
                <w:sz w:val="24"/>
                <w:szCs w:val="24"/>
              </w:rPr>
              <w:t>56.2 (9.7)</w:t>
            </w:r>
          </w:p>
        </w:tc>
      </w:tr>
      <w:tr w:rsidR="00B74297" w:rsidRPr="00C73B8F" w14:paraId="01EE1A0C" w14:textId="77777777" w:rsidTr="001B0149">
        <w:tc>
          <w:tcPr>
            <w:tcW w:w="5812" w:type="dxa"/>
          </w:tcPr>
          <w:p w14:paraId="20C69A46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3B8F">
              <w:rPr>
                <w:rFonts w:ascii="Book Antiqua" w:hAnsi="Book Antiqua"/>
                <w:sz w:val="24"/>
                <w:szCs w:val="24"/>
              </w:rPr>
              <w:t xml:space="preserve">Gender, </w:t>
            </w:r>
            <w:r w:rsidRPr="00F95F68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Pr="00C73B8F">
              <w:rPr>
                <w:rFonts w:ascii="Book Antiqua" w:hAnsi="Book Antiqua"/>
                <w:sz w:val="24"/>
                <w:szCs w:val="24"/>
              </w:rPr>
              <w:t xml:space="preserve"> (%)</w:t>
            </w:r>
          </w:p>
          <w:p w14:paraId="7E1925E6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3B8F">
              <w:rPr>
                <w:rFonts w:ascii="Book Antiqua" w:hAnsi="Book Antiqua"/>
                <w:sz w:val="24"/>
                <w:szCs w:val="24"/>
              </w:rPr>
              <w:t>Male</w:t>
            </w:r>
          </w:p>
          <w:p w14:paraId="25CFEAC8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3B8F">
              <w:rPr>
                <w:rFonts w:ascii="Book Antiqua" w:hAnsi="Book Antiqua"/>
                <w:sz w:val="24"/>
                <w:szCs w:val="24"/>
              </w:rPr>
              <w:t>Female</w:t>
            </w:r>
          </w:p>
        </w:tc>
        <w:tc>
          <w:tcPr>
            <w:tcW w:w="2551" w:type="dxa"/>
          </w:tcPr>
          <w:p w14:paraId="346EC8A8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1914B23F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3B8F">
              <w:rPr>
                <w:rFonts w:ascii="Book Antiqua" w:hAnsi="Book Antiqua"/>
                <w:sz w:val="24"/>
                <w:szCs w:val="24"/>
              </w:rPr>
              <w:t>81 (64.8)</w:t>
            </w:r>
          </w:p>
          <w:p w14:paraId="4A06CCDD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3B8F">
              <w:rPr>
                <w:rFonts w:ascii="Book Antiqua" w:hAnsi="Book Antiqua"/>
                <w:sz w:val="24"/>
                <w:szCs w:val="24"/>
              </w:rPr>
              <w:t>44 (35.2)</w:t>
            </w:r>
          </w:p>
        </w:tc>
      </w:tr>
      <w:tr w:rsidR="00B74297" w:rsidRPr="00C73B8F" w14:paraId="420888A5" w14:textId="77777777" w:rsidTr="001B0149">
        <w:tc>
          <w:tcPr>
            <w:tcW w:w="5812" w:type="dxa"/>
          </w:tcPr>
          <w:p w14:paraId="2669F715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HCV genotype,</w:t>
            </w:r>
            <w:r w:rsidRPr="00F95F68">
              <w:rPr>
                <w:rFonts w:ascii="Book Antiqua" w:hAnsi="Book Antiqua"/>
                <w:i/>
                <w:sz w:val="24"/>
                <w:szCs w:val="24"/>
                <w:lang w:val="en-US"/>
              </w:rPr>
              <w:t xml:space="preserve"> n</w:t>
            </w: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 xml:space="preserve"> (%)</w:t>
            </w:r>
          </w:p>
          <w:p w14:paraId="4A38A75D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1a</w:t>
            </w:r>
          </w:p>
          <w:p w14:paraId="7A79773E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lastRenderedPageBreak/>
              <w:t>1b</w:t>
            </w:r>
          </w:p>
          <w:p w14:paraId="20E08B46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undetermined subtype 1</w:t>
            </w:r>
          </w:p>
        </w:tc>
        <w:tc>
          <w:tcPr>
            <w:tcW w:w="2551" w:type="dxa"/>
          </w:tcPr>
          <w:p w14:paraId="614BB8BF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30FB59B2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39 (31.2)</w:t>
            </w:r>
          </w:p>
          <w:p w14:paraId="35ACC121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lastRenderedPageBreak/>
              <w:t>71 (56.8)</w:t>
            </w:r>
          </w:p>
          <w:p w14:paraId="3F79E30F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15 (12)</w:t>
            </w:r>
          </w:p>
        </w:tc>
      </w:tr>
      <w:tr w:rsidR="00B74297" w:rsidRPr="00C73B8F" w14:paraId="4CCD390E" w14:textId="77777777" w:rsidTr="001B0149">
        <w:tc>
          <w:tcPr>
            <w:tcW w:w="5812" w:type="dxa"/>
          </w:tcPr>
          <w:p w14:paraId="5C6F05BF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3B8F">
              <w:rPr>
                <w:rFonts w:ascii="Book Antiqua" w:hAnsi="Book Antiqua"/>
                <w:i/>
                <w:sz w:val="24"/>
                <w:szCs w:val="24"/>
              </w:rPr>
              <w:lastRenderedPageBreak/>
              <w:t>IL28B</w:t>
            </w:r>
            <w:r w:rsidRPr="00C73B8F">
              <w:rPr>
                <w:rFonts w:ascii="Book Antiqua" w:hAnsi="Book Antiqua"/>
                <w:sz w:val="24"/>
                <w:szCs w:val="24"/>
              </w:rPr>
              <w:t xml:space="preserve"> genotype (rs12979860) </w:t>
            </w:r>
          </w:p>
          <w:p w14:paraId="2A3C4821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3B8F">
              <w:rPr>
                <w:rFonts w:ascii="Book Antiqua" w:hAnsi="Book Antiqua"/>
                <w:sz w:val="24"/>
                <w:szCs w:val="24"/>
              </w:rPr>
              <w:t xml:space="preserve">C/T or T/T, </w:t>
            </w:r>
            <w:r w:rsidRPr="00F95F68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Pr="00C73B8F">
              <w:rPr>
                <w:rFonts w:ascii="Book Antiqua" w:hAnsi="Book Antiqua"/>
                <w:sz w:val="24"/>
                <w:szCs w:val="24"/>
              </w:rPr>
              <w:t xml:space="preserve"> (%)</w:t>
            </w:r>
          </w:p>
        </w:tc>
        <w:tc>
          <w:tcPr>
            <w:tcW w:w="2551" w:type="dxa"/>
          </w:tcPr>
          <w:p w14:paraId="65A7E85C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758A1179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73B8F">
              <w:rPr>
                <w:rFonts w:ascii="Book Antiqua" w:hAnsi="Book Antiqua"/>
                <w:sz w:val="24"/>
                <w:szCs w:val="24"/>
              </w:rPr>
              <w:t>88 (84.6)</w:t>
            </w:r>
          </w:p>
        </w:tc>
      </w:tr>
      <w:tr w:rsidR="00B74297" w:rsidRPr="00C73B8F" w14:paraId="19E26396" w14:textId="77777777" w:rsidTr="001B0149">
        <w:tc>
          <w:tcPr>
            <w:tcW w:w="5812" w:type="dxa"/>
          </w:tcPr>
          <w:p w14:paraId="7812AFB7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Viral load, mean (log10 IU/ mL)</w:t>
            </w:r>
          </w:p>
        </w:tc>
        <w:tc>
          <w:tcPr>
            <w:tcW w:w="2551" w:type="dxa"/>
          </w:tcPr>
          <w:p w14:paraId="7FEBF351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6.3 (0.7)</w:t>
            </w:r>
          </w:p>
        </w:tc>
      </w:tr>
      <w:tr w:rsidR="00B74297" w:rsidRPr="00C73B8F" w14:paraId="5D3DDCFF" w14:textId="77777777" w:rsidTr="001B0149">
        <w:tc>
          <w:tcPr>
            <w:tcW w:w="5812" w:type="dxa"/>
          </w:tcPr>
          <w:p w14:paraId="1D134065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eastAsiaTheme="minorEastAsia" w:hAnsi="Book Antiqua" w:cstheme="minorBidi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 xml:space="preserve">Prior response to anti-viral therapy, </w:t>
            </w:r>
            <w:r w:rsidRPr="00F95F68">
              <w:rPr>
                <w:rFonts w:ascii="Book Antiqua" w:hAnsi="Book Antiqua"/>
                <w:i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 xml:space="preserve"> (%)</w:t>
            </w:r>
          </w:p>
          <w:p w14:paraId="069A2070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eastAsiaTheme="minorEastAsia" w:hAnsi="Book Antiqua" w:cstheme="minorBidi"/>
                <w:sz w:val="24"/>
                <w:szCs w:val="24"/>
                <w:lang w:val="en-US"/>
              </w:rPr>
            </w:pPr>
            <w:proofErr w:type="spellStart"/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Relapsers</w:t>
            </w:r>
            <w:proofErr w:type="spellEnd"/>
          </w:p>
          <w:p w14:paraId="61DB0F93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eastAsiaTheme="minorEastAsia" w:hAnsi="Book Antiqua" w:cstheme="minorBidi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Null-responders</w:t>
            </w:r>
          </w:p>
        </w:tc>
        <w:tc>
          <w:tcPr>
            <w:tcW w:w="2551" w:type="dxa"/>
          </w:tcPr>
          <w:p w14:paraId="2BF15EA8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eastAsiaTheme="minorEastAsia" w:hAnsi="Book Antiqua" w:cstheme="minorBidi"/>
                <w:sz w:val="24"/>
                <w:szCs w:val="24"/>
                <w:lang w:val="en-US"/>
              </w:rPr>
            </w:pPr>
          </w:p>
          <w:p w14:paraId="65C92E38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eastAsiaTheme="minorEastAsia" w:hAnsi="Book Antiqua" w:cstheme="minorBidi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46 (37.1)</w:t>
            </w:r>
          </w:p>
          <w:p w14:paraId="71FEF65A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78 (62.9)</w:t>
            </w:r>
          </w:p>
        </w:tc>
      </w:tr>
      <w:tr w:rsidR="00B74297" w:rsidRPr="00C73B8F" w14:paraId="105BC647" w14:textId="77777777" w:rsidTr="001B0149">
        <w:tc>
          <w:tcPr>
            <w:tcW w:w="5812" w:type="dxa"/>
          </w:tcPr>
          <w:p w14:paraId="2953F7AF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 xml:space="preserve">Liver fibrosis grade, </w:t>
            </w:r>
            <w:r w:rsidRPr="00F95F68">
              <w:rPr>
                <w:rFonts w:ascii="Book Antiqua" w:hAnsi="Book Antiqua"/>
                <w:i/>
                <w:sz w:val="24"/>
                <w:szCs w:val="24"/>
                <w:lang w:val="en-US"/>
              </w:rPr>
              <w:t xml:space="preserve">n </w:t>
            </w: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(%)</w:t>
            </w:r>
          </w:p>
          <w:p w14:paraId="1551AE46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Metavir</w:t>
            </w:r>
            <w:proofErr w:type="spellEnd"/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 xml:space="preserve"> F3</w:t>
            </w:r>
          </w:p>
          <w:p w14:paraId="799761A8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Metavir</w:t>
            </w:r>
            <w:proofErr w:type="spellEnd"/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 xml:space="preserve"> F4</w:t>
            </w:r>
          </w:p>
        </w:tc>
        <w:tc>
          <w:tcPr>
            <w:tcW w:w="2551" w:type="dxa"/>
          </w:tcPr>
          <w:p w14:paraId="3F8A6D02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3C84ACAF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35 (28)</w:t>
            </w:r>
          </w:p>
          <w:p w14:paraId="48E18FF0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90 (72)</w:t>
            </w:r>
          </w:p>
        </w:tc>
      </w:tr>
      <w:tr w:rsidR="00B74297" w:rsidRPr="00C73B8F" w14:paraId="5BA02A6E" w14:textId="77777777" w:rsidTr="001B0149">
        <w:tc>
          <w:tcPr>
            <w:tcW w:w="5812" w:type="dxa"/>
          </w:tcPr>
          <w:p w14:paraId="2BD24E56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 xml:space="preserve">Child-Pugh score, </w:t>
            </w:r>
            <w:r w:rsidRPr="00F95F68">
              <w:rPr>
                <w:rFonts w:ascii="Book Antiqua" w:hAnsi="Book Antiqua"/>
                <w:i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 xml:space="preserve"> (%)</w:t>
            </w:r>
          </w:p>
          <w:p w14:paraId="3E140A17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A</w:t>
            </w:r>
          </w:p>
          <w:p w14:paraId="21D3EDD2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B</w:t>
            </w:r>
          </w:p>
          <w:p w14:paraId="5A57667B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C</w:t>
            </w:r>
          </w:p>
        </w:tc>
        <w:tc>
          <w:tcPr>
            <w:tcW w:w="2551" w:type="dxa"/>
          </w:tcPr>
          <w:p w14:paraId="66036AAD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2C206190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123 (98.4)</w:t>
            </w:r>
          </w:p>
          <w:p w14:paraId="714BAEAC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1 (0.8)</w:t>
            </w:r>
          </w:p>
          <w:p w14:paraId="7F78E2C2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1 (0.8)</w:t>
            </w:r>
          </w:p>
        </w:tc>
      </w:tr>
      <w:tr w:rsidR="00B74297" w:rsidRPr="00C73B8F" w14:paraId="301C0624" w14:textId="77777777" w:rsidTr="001B0149">
        <w:tc>
          <w:tcPr>
            <w:tcW w:w="5812" w:type="dxa"/>
          </w:tcPr>
          <w:p w14:paraId="2A88A4D7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Liver stiffness values (</w:t>
            </w:r>
            <w:proofErr w:type="spellStart"/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kPa</w:t>
            </w:r>
            <w:proofErr w:type="spellEnd"/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</w:p>
          <w:p w14:paraId="57288EA4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Mean (SD)</w:t>
            </w:r>
          </w:p>
          <w:p w14:paraId="49F50ECE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551" w:type="dxa"/>
          </w:tcPr>
          <w:p w14:paraId="5945DDE2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685E1A44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17.5 (10.3)</w:t>
            </w:r>
          </w:p>
          <w:p w14:paraId="7D228382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14.3 (10.4-20.6)</w:t>
            </w:r>
          </w:p>
        </w:tc>
      </w:tr>
      <w:tr w:rsidR="00B74297" w:rsidRPr="00C73B8F" w14:paraId="118C8C38" w14:textId="77777777" w:rsidTr="001B0149">
        <w:tc>
          <w:tcPr>
            <w:tcW w:w="5812" w:type="dxa"/>
          </w:tcPr>
          <w:p w14:paraId="3E246CEB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Oesophageal</w:t>
            </w:r>
            <w:proofErr w:type="spellEnd"/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 xml:space="preserve"> varices, </w:t>
            </w:r>
            <w:r w:rsidRPr="00F95F68">
              <w:rPr>
                <w:rFonts w:ascii="Book Antiqua" w:hAnsi="Book Antiqua"/>
                <w:i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 xml:space="preserve"> (%)</w:t>
            </w:r>
          </w:p>
          <w:p w14:paraId="1673450C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None</w:t>
            </w:r>
          </w:p>
          <w:p w14:paraId="5F2C9062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Grade 1</w:t>
            </w:r>
          </w:p>
          <w:p w14:paraId="4BABF431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Grade 2 or 3</w:t>
            </w:r>
          </w:p>
        </w:tc>
        <w:tc>
          <w:tcPr>
            <w:tcW w:w="2551" w:type="dxa"/>
          </w:tcPr>
          <w:p w14:paraId="1EC3C78E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57CB5E90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92 (75.4)</w:t>
            </w:r>
          </w:p>
          <w:p w14:paraId="2FF79B32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16 (13.1)</w:t>
            </w:r>
          </w:p>
          <w:p w14:paraId="4909A1AF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14 (11.5)</w:t>
            </w:r>
          </w:p>
        </w:tc>
      </w:tr>
      <w:tr w:rsidR="00B74297" w:rsidRPr="00C73B8F" w14:paraId="6E9AE868" w14:textId="77777777" w:rsidTr="001B0149">
        <w:tc>
          <w:tcPr>
            <w:tcW w:w="5812" w:type="dxa"/>
          </w:tcPr>
          <w:p w14:paraId="57EC0B6C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Mean hemoglobin level (g/</w:t>
            </w:r>
            <w:proofErr w:type="spellStart"/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dL</w:t>
            </w:r>
            <w:proofErr w:type="spellEnd"/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, mean (SD)</w:t>
            </w:r>
          </w:p>
          <w:p w14:paraId="157F083A" w14:textId="76E3B12C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 xml:space="preserve">Mean platelet count </w:t>
            </w:r>
            <w:r w:rsidR="00F95F68">
              <w:rPr>
                <w:rFonts w:ascii="Book Antiqua" w:hAnsi="Book Antiqua"/>
                <w:sz w:val="24"/>
                <w:szCs w:val="24"/>
                <w:lang w:val="en-US"/>
              </w:rPr>
              <w:t>×</w:t>
            </w:r>
            <w:r w:rsidR="00F95F68">
              <w:rPr>
                <w:rFonts w:ascii="Book Antiqua" w:eastAsia="宋体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10</w:t>
            </w:r>
            <w:r w:rsidRPr="00C73B8F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3</w:t>
            </w: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/mm</w:t>
            </w:r>
            <w:r w:rsidRPr="00C73B8F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3</w:t>
            </w: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, mean (SD)</w:t>
            </w:r>
          </w:p>
          <w:p w14:paraId="456B5251" w14:textId="3942BF34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 xml:space="preserve">Mean neutrophil count </w:t>
            </w:r>
            <w:r w:rsidR="00F95F68">
              <w:rPr>
                <w:rFonts w:ascii="Book Antiqua" w:hAnsi="Book Antiqua"/>
                <w:sz w:val="24"/>
                <w:szCs w:val="24"/>
                <w:lang w:val="en-US"/>
              </w:rPr>
              <w:t>×</w:t>
            </w:r>
            <w:r w:rsidR="00F95F68">
              <w:rPr>
                <w:rFonts w:ascii="Book Antiqua" w:eastAsia="宋体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10</w:t>
            </w:r>
            <w:r w:rsidRPr="00C73B8F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3</w:t>
            </w: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/mm</w:t>
            </w:r>
            <w:r w:rsidRPr="00C73B8F">
              <w:rPr>
                <w:rFonts w:ascii="Book Antiqua" w:hAnsi="Book Antiqua"/>
                <w:sz w:val="24"/>
                <w:szCs w:val="24"/>
                <w:vertAlign w:val="superscript"/>
                <w:lang w:val="en-US"/>
              </w:rPr>
              <w:t>3</w:t>
            </w: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, mean (SD)</w:t>
            </w:r>
          </w:p>
        </w:tc>
        <w:tc>
          <w:tcPr>
            <w:tcW w:w="2551" w:type="dxa"/>
          </w:tcPr>
          <w:p w14:paraId="4141BE93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15.1 (1.6)</w:t>
            </w:r>
          </w:p>
          <w:p w14:paraId="1238DC61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165.69 (64.9)</w:t>
            </w:r>
          </w:p>
          <w:p w14:paraId="2A6B39F3" w14:textId="77777777" w:rsidR="00B74297" w:rsidRPr="00C73B8F" w:rsidRDefault="00B74297" w:rsidP="00F95F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/>
                <w:sz w:val="24"/>
                <w:szCs w:val="24"/>
                <w:lang w:val="en-US"/>
              </w:rPr>
              <w:t>3.4 (1.2)</w:t>
            </w:r>
          </w:p>
        </w:tc>
      </w:tr>
    </w:tbl>
    <w:p w14:paraId="5393F807" w14:textId="417F70DC" w:rsidR="00F95F68" w:rsidRPr="00F95F68" w:rsidRDefault="00F95F68" w:rsidP="00B7429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Relapsers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were defined as patients who had undetectable levels of HCV RNA at the end of prior treatment and subsequently relapsed. Null-responders failed to achieve a decline of at least 2 log HCV RNA IU/m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L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during peg-INF α2a + ribavirin treatment after a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 minimum duration of 24 w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Peg-INF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: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Pegylated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>-interferon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;</w:t>
      </w:r>
      <w:r w:rsidRPr="00F95F6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HCV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: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Hepatitis C virus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;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IQR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: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Inter-quartile range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.</w:t>
      </w:r>
    </w:p>
    <w:p w14:paraId="7B790DE2" w14:textId="4945CFB6" w:rsidR="00B74297" w:rsidRPr="00F95F68" w:rsidRDefault="00B74297" w:rsidP="00B74297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br w:type="page"/>
      </w:r>
      <w:r w:rsidR="00F95F68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Table 2</w:t>
      </w:r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 xml:space="preserve"> Factors associated with</w:t>
      </w:r>
      <w:r w:rsidR="00F95F68">
        <w:rPr>
          <w:rFonts w:ascii="Book Antiqua" w:hAnsi="Book Antiqua" w:cs="Times New Roman"/>
          <w:b/>
          <w:sz w:val="24"/>
          <w:szCs w:val="24"/>
          <w:lang w:val="en-US"/>
        </w:rPr>
        <w:t xml:space="preserve"> sustained </w:t>
      </w:r>
      <w:proofErr w:type="spellStart"/>
      <w:r w:rsidR="00F95F68">
        <w:rPr>
          <w:rFonts w:ascii="Book Antiqua" w:hAnsi="Book Antiqua" w:cs="Times New Roman"/>
          <w:b/>
          <w:sz w:val="24"/>
          <w:szCs w:val="24"/>
          <w:lang w:val="en-US"/>
        </w:rPr>
        <w:t>virological</w:t>
      </w:r>
      <w:proofErr w:type="spellEnd"/>
      <w:r w:rsidR="00F95F68">
        <w:rPr>
          <w:rFonts w:ascii="Book Antiqua" w:hAnsi="Book Antiqua" w:cs="Times New Roman"/>
          <w:b/>
          <w:sz w:val="24"/>
          <w:szCs w:val="24"/>
          <w:lang w:val="en-US"/>
        </w:rPr>
        <w:t xml:space="preserve"> response</w:t>
      </w:r>
    </w:p>
    <w:tbl>
      <w:tblPr>
        <w:tblW w:w="10491" w:type="dxa"/>
        <w:tblInd w:w="2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1984"/>
        <w:gridCol w:w="1560"/>
        <w:gridCol w:w="1560"/>
      </w:tblGrid>
      <w:tr w:rsidR="00B74297" w:rsidRPr="00C73B8F" w14:paraId="7EAA64A2" w14:textId="77777777" w:rsidTr="001B0149">
        <w:trPr>
          <w:cantSplit/>
          <w:trHeight w:val="826"/>
          <w:tblHeader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168BD6" w14:textId="77777777" w:rsidR="00B74297" w:rsidRPr="00C73B8F" w:rsidRDefault="00B74297" w:rsidP="00F95F68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FF90CB" w14:textId="103D4267" w:rsidR="00B74297" w:rsidRPr="00C73B8F" w:rsidRDefault="00B74297" w:rsidP="00F95F68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No </w:t>
            </w:r>
            <w:r w:rsidR="00F95F68"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sustained </w:t>
            </w:r>
            <w:proofErr w:type="spellStart"/>
            <w:r w:rsidR="00F95F68"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virological</w:t>
            </w:r>
            <w:proofErr w:type="spellEnd"/>
            <w:r w:rsidR="00F95F68"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res</w:t>
            </w: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ponse</w:t>
            </w:r>
          </w:p>
          <w:p w14:paraId="0784110D" w14:textId="2518290F" w:rsidR="00B74297" w:rsidRPr="00F95F68" w:rsidRDefault="00F95F68" w:rsidP="00F95F68">
            <w:pPr>
              <w:keepNext/>
              <w:adjustRightInd w:val="0"/>
              <w:spacing w:after="0" w:line="360" w:lineRule="auto"/>
              <w:jc w:val="both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95F68">
              <w:rPr>
                <w:rFonts w:ascii="Book Antiqua" w:hAnsi="Book Antiqua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n</w:t>
            </w:r>
            <w:r w:rsidRPr="00F95F68">
              <w:rPr>
                <w:rFonts w:ascii="Book Antiqua" w:eastAsia="宋体" w:hAnsi="Book Antiqua" w:cs="Times New Roman"/>
                <w:b/>
                <w:bCs/>
                <w:i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=</w:t>
            </w:r>
            <w:r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EC9C1" w14:textId="1B8FDD6C" w:rsidR="00B74297" w:rsidRPr="00C73B8F" w:rsidRDefault="00B74297" w:rsidP="00F95F68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Sustained </w:t>
            </w:r>
            <w:proofErr w:type="spellStart"/>
            <w:r w:rsidR="00F95F68"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virological</w:t>
            </w:r>
            <w:proofErr w:type="spellEnd"/>
            <w:r w:rsidR="00F95F68"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r</w:t>
            </w: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esponse</w:t>
            </w:r>
          </w:p>
          <w:p w14:paraId="30DEED7F" w14:textId="0280103F" w:rsidR="00B74297" w:rsidRPr="00F95F68" w:rsidRDefault="00B74297" w:rsidP="00F95F68">
            <w:pPr>
              <w:keepNext/>
              <w:adjustRightInd w:val="0"/>
              <w:spacing w:after="0" w:line="360" w:lineRule="auto"/>
              <w:jc w:val="both"/>
              <w:rPr>
                <w:rFonts w:ascii="Book Antiqua" w:eastAsia="宋体" w:hAnsi="Book Antiqua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95F68">
              <w:rPr>
                <w:rFonts w:ascii="Book Antiqua" w:hAnsi="Book Antiqua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n</w:t>
            </w:r>
            <w:r w:rsidR="00F95F68" w:rsidRPr="00F95F68">
              <w:rPr>
                <w:rFonts w:ascii="Book Antiqua" w:eastAsia="宋体" w:hAnsi="Book Antiqua" w:cs="Times New Roman" w:hint="eastAsia"/>
                <w:b/>
                <w:bCs/>
                <w:i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=</w:t>
            </w:r>
            <w:r w:rsidR="00F95F68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="00F95F68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49E8B1" w14:textId="7C388C4F" w:rsidR="00B74297" w:rsidRPr="00C73B8F" w:rsidRDefault="00F95F68" w:rsidP="00F95F68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P</w:t>
            </w:r>
            <w:r w:rsidR="00B74297"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-value</w:t>
            </w:r>
            <w:r w:rsidR="00B74297"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="00B74297"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univariate</w:t>
            </w:r>
            <w:proofErr w:type="spellEnd"/>
            <w:r w:rsidR="00B74297"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analysis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570BA0B" w14:textId="60648686" w:rsidR="00B74297" w:rsidRPr="00C73B8F" w:rsidRDefault="00F95F68" w:rsidP="00F95F68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P</w:t>
            </w:r>
            <w:r w:rsidR="00B74297"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-value</w:t>
            </w:r>
          </w:p>
          <w:p w14:paraId="009E3FD8" w14:textId="77777777" w:rsidR="00B74297" w:rsidRPr="00C73B8F" w:rsidRDefault="00B74297" w:rsidP="00F95F68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multivariate analysis</w:t>
            </w:r>
          </w:p>
          <w:p w14:paraId="52040115" w14:textId="77777777" w:rsidR="00B74297" w:rsidRPr="00C73B8F" w:rsidRDefault="00B74297" w:rsidP="00F95F68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OR </w:t>
            </w:r>
            <w:r w:rsidRPr="00C73B8F">
              <w:rPr>
                <w:rFonts w:ascii="Book Antiqua" w:hAnsi="Book Antiqua" w:cs="Times New Roman"/>
                <w:sz w:val="24"/>
                <w:szCs w:val="24"/>
              </w:rPr>
              <w:t>[</w:t>
            </w:r>
            <w:r w:rsidRPr="00C73B8F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95% CI</w:t>
            </w:r>
            <w:r w:rsidRPr="00C73B8F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</w:tc>
      </w:tr>
      <w:tr w:rsidR="00B74297" w:rsidRPr="00C73B8F" w14:paraId="15C594DA" w14:textId="77777777" w:rsidTr="001B0149">
        <w:trPr>
          <w:cantSplit/>
          <w:trHeight w:val="512"/>
        </w:trPr>
        <w:tc>
          <w:tcPr>
            <w:tcW w:w="3686" w:type="dxa"/>
            <w:tcBorders>
              <w:top w:val="single" w:sz="4" w:space="0" w:color="auto"/>
            </w:tcBorders>
          </w:tcPr>
          <w:p w14:paraId="69E396A2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Protease inhibitor, </w:t>
            </w:r>
            <w:r w:rsidRPr="00F95F68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  <w:p w14:paraId="5B16A163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Telaprevir</w:t>
            </w:r>
            <w:proofErr w:type="spellEnd"/>
          </w:p>
          <w:p w14:paraId="0E3A3952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Boceprevir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AB5B6E8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  <w:p w14:paraId="5836E45B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30 (34.1)</w:t>
            </w:r>
          </w:p>
          <w:p w14:paraId="4CE35D7C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19 (55.9)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9864380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  <w:p w14:paraId="3ED85D17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58 (65.9)</w:t>
            </w:r>
          </w:p>
          <w:p w14:paraId="0D782229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15 (44.1)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4C33A76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  <w:p w14:paraId="60A6AA37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0.0276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4DCE8A7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</w:p>
          <w:p w14:paraId="59D6455A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NS</w:t>
            </w:r>
            <w:r w:rsidRPr="00C73B8F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0C2F831D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/>
              </w:rPr>
            </w:pPr>
          </w:p>
        </w:tc>
      </w:tr>
      <w:tr w:rsidR="00B74297" w:rsidRPr="00C73B8F" w14:paraId="7074A345" w14:textId="77777777" w:rsidTr="001B0149">
        <w:trPr>
          <w:cantSplit/>
          <w:trHeight w:val="497"/>
        </w:trPr>
        <w:tc>
          <w:tcPr>
            <w:tcW w:w="3686" w:type="dxa"/>
          </w:tcPr>
          <w:p w14:paraId="57EC3434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Gender, </w:t>
            </w:r>
            <w:r w:rsidRPr="00F95F68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  <w:p w14:paraId="1B9B93E6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Male</w:t>
            </w:r>
          </w:p>
          <w:p w14:paraId="3A858C56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701" w:type="dxa"/>
          </w:tcPr>
          <w:p w14:paraId="30659868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  <w:p w14:paraId="4494AD77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27 (34.2)</w:t>
            </w:r>
          </w:p>
          <w:p w14:paraId="16CF8659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2 (51.2)</w:t>
            </w:r>
          </w:p>
        </w:tc>
        <w:tc>
          <w:tcPr>
            <w:tcW w:w="1984" w:type="dxa"/>
          </w:tcPr>
          <w:p w14:paraId="3261CF30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6D562985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52 (65.8)</w:t>
            </w:r>
          </w:p>
          <w:p w14:paraId="1D83BF4A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21 (48.8)</w:t>
            </w:r>
          </w:p>
        </w:tc>
        <w:tc>
          <w:tcPr>
            <w:tcW w:w="1560" w:type="dxa"/>
          </w:tcPr>
          <w:p w14:paraId="624E49FB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07902B0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0.0675</w:t>
            </w:r>
          </w:p>
        </w:tc>
        <w:tc>
          <w:tcPr>
            <w:tcW w:w="1560" w:type="dxa"/>
          </w:tcPr>
          <w:p w14:paraId="6D691857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3D7ABED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NS</w:t>
            </w:r>
            <w:r w:rsidRPr="00C73B8F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33EB99B6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B74297" w:rsidRPr="00C73B8F" w14:paraId="2952C97B" w14:textId="77777777" w:rsidTr="001B0149">
        <w:trPr>
          <w:cantSplit/>
          <w:trHeight w:val="512"/>
        </w:trPr>
        <w:tc>
          <w:tcPr>
            <w:tcW w:w="3686" w:type="dxa"/>
          </w:tcPr>
          <w:p w14:paraId="45A88B32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HCV genotype 1 subtype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F95F68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 xml:space="preserve"> 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  <w:p w14:paraId="6DF0E40A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1a</w:t>
            </w:r>
          </w:p>
          <w:p w14:paraId="4D693C88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701" w:type="dxa"/>
          </w:tcPr>
          <w:p w14:paraId="594412A2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238BB9E7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17 (45.9)</w:t>
            </w:r>
          </w:p>
          <w:p w14:paraId="42679FB8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26 (37.1)</w:t>
            </w:r>
          </w:p>
        </w:tc>
        <w:tc>
          <w:tcPr>
            <w:tcW w:w="1984" w:type="dxa"/>
          </w:tcPr>
          <w:p w14:paraId="1C6736A7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3EA87238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20 (54.1)</w:t>
            </w:r>
          </w:p>
          <w:p w14:paraId="5F32A81B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44 (62.9)</w:t>
            </w:r>
          </w:p>
        </w:tc>
        <w:tc>
          <w:tcPr>
            <w:tcW w:w="1560" w:type="dxa"/>
          </w:tcPr>
          <w:p w14:paraId="356804E0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728FE2E2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0.8051</w:t>
            </w:r>
          </w:p>
        </w:tc>
        <w:tc>
          <w:tcPr>
            <w:tcW w:w="1560" w:type="dxa"/>
          </w:tcPr>
          <w:p w14:paraId="14FFEC51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3919AEC7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4297" w:rsidRPr="00C73B8F" w14:paraId="28B8B92D" w14:textId="77777777" w:rsidTr="001B0149">
        <w:trPr>
          <w:cantSplit/>
          <w:trHeight w:val="174"/>
        </w:trPr>
        <w:tc>
          <w:tcPr>
            <w:tcW w:w="3686" w:type="dxa"/>
          </w:tcPr>
          <w:p w14:paraId="68084E92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IL28B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genotype, </w:t>
            </w:r>
            <w:r w:rsidRPr="00C73B8F">
              <w:rPr>
                <w:rFonts w:ascii="Book Antiqua" w:hAnsi="Book Antiqua" w:cs="Times New Roman"/>
                <w:sz w:val="24"/>
                <w:szCs w:val="24"/>
              </w:rPr>
              <w:t>rs12979860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, </w:t>
            </w:r>
            <w:r w:rsidRPr="00F95F68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(%)</w:t>
            </w:r>
          </w:p>
          <w:p w14:paraId="21BB1D8B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C/C</w:t>
            </w:r>
          </w:p>
          <w:p w14:paraId="2269238E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C/T or T/T</w:t>
            </w:r>
          </w:p>
        </w:tc>
        <w:tc>
          <w:tcPr>
            <w:tcW w:w="1701" w:type="dxa"/>
          </w:tcPr>
          <w:p w14:paraId="3685D20F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46D84A43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4 (25)</w:t>
            </w:r>
          </w:p>
          <w:p w14:paraId="72A5CABF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40 (45.5)</w:t>
            </w:r>
          </w:p>
        </w:tc>
        <w:tc>
          <w:tcPr>
            <w:tcW w:w="1984" w:type="dxa"/>
          </w:tcPr>
          <w:p w14:paraId="5D5FFC7E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46665865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12 (75)</w:t>
            </w:r>
          </w:p>
          <w:p w14:paraId="5F5A06BD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48 (54.5)</w:t>
            </w:r>
          </w:p>
        </w:tc>
        <w:tc>
          <w:tcPr>
            <w:tcW w:w="1560" w:type="dxa"/>
          </w:tcPr>
          <w:p w14:paraId="1BC157A8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634C7716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0.4420</w:t>
            </w:r>
          </w:p>
        </w:tc>
        <w:tc>
          <w:tcPr>
            <w:tcW w:w="1560" w:type="dxa"/>
          </w:tcPr>
          <w:p w14:paraId="07816388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09D41866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4297" w:rsidRPr="00C73B8F" w14:paraId="7148C648" w14:textId="77777777" w:rsidTr="001B0149">
        <w:trPr>
          <w:cantSplit/>
          <w:trHeight w:val="879"/>
        </w:trPr>
        <w:tc>
          <w:tcPr>
            <w:tcW w:w="3686" w:type="dxa"/>
          </w:tcPr>
          <w:p w14:paraId="51A4CF0F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Response to prior therapy, </w:t>
            </w:r>
            <w:r w:rsidRPr="00F95F68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  <w:p w14:paraId="3AA858E0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Null-responders</w:t>
            </w:r>
          </w:p>
          <w:p w14:paraId="67666ED3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Relapsers</w:t>
            </w:r>
          </w:p>
        </w:tc>
        <w:tc>
          <w:tcPr>
            <w:tcW w:w="1701" w:type="dxa"/>
          </w:tcPr>
          <w:p w14:paraId="5FB6929B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7A232B1B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40 (52.6)</w:t>
            </w:r>
          </w:p>
          <w:p w14:paraId="3239B31B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9 (20)</w:t>
            </w:r>
          </w:p>
        </w:tc>
        <w:tc>
          <w:tcPr>
            <w:tcW w:w="1984" w:type="dxa"/>
          </w:tcPr>
          <w:p w14:paraId="6A98D5DE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0451954C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36 (47.4)</w:t>
            </w:r>
          </w:p>
          <w:p w14:paraId="48D92A73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36 (80)</w:t>
            </w:r>
          </w:p>
        </w:tc>
        <w:tc>
          <w:tcPr>
            <w:tcW w:w="1560" w:type="dxa"/>
          </w:tcPr>
          <w:p w14:paraId="4E3E4D33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47248C0C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FF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1560" w:type="dxa"/>
          </w:tcPr>
          <w:p w14:paraId="601D7F20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0.008</w:t>
            </w:r>
          </w:p>
          <w:p w14:paraId="66A2D580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1.0</w:t>
            </w:r>
          </w:p>
          <w:p w14:paraId="0FE57867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3.9 [1.4-10.6]</w:t>
            </w:r>
          </w:p>
        </w:tc>
      </w:tr>
      <w:tr w:rsidR="00B74297" w:rsidRPr="00C73B8F" w14:paraId="1A888C1D" w14:textId="77777777" w:rsidTr="001B0149">
        <w:trPr>
          <w:cantSplit/>
          <w:trHeight w:val="434"/>
        </w:trPr>
        <w:tc>
          <w:tcPr>
            <w:tcW w:w="3686" w:type="dxa"/>
          </w:tcPr>
          <w:p w14:paraId="0FEBA135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Grade of liver fibrosis, </w:t>
            </w:r>
            <w:r w:rsidRPr="00F95F68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  <w:p w14:paraId="5D943B0E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Metavir</w:t>
            </w:r>
            <w:proofErr w:type="spellEnd"/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F3</w:t>
            </w:r>
          </w:p>
          <w:p w14:paraId="1AAA68E5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Metavir</w:t>
            </w:r>
            <w:proofErr w:type="spellEnd"/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F4</w:t>
            </w:r>
          </w:p>
        </w:tc>
        <w:tc>
          <w:tcPr>
            <w:tcW w:w="1701" w:type="dxa"/>
          </w:tcPr>
          <w:p w14:paraId="1686E6BF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  <w:p w14:paraId="504EE0C9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11 (31.4)</w:t>
            </w:r>
          </w:p>
          <w:p w14:paraId="7D127015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38 (43.7)</w:t>
            </w:r>
          </w:p>
        </w:tc>
        <w:tc>
          <w:tcPr>
            <w:tcW w:w="1984" w:type="dxa"/>
          </w:tcPr>
          <w:p w14:paraId="4762D981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363EF7B7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24 (68.6)</w:t>
            </w:r>
          </w:p>
          <w:p w14:paraId="28B1F6C2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49 (56.3)</w:t>
            </w:r>
          </w:p>
        </w:tc>
        <w:tc>
          <w:tcPr>
            <w:tcW w:w="1560" w:type="dxa"/>
          </w:tcPr>
          <w:p w14:paraId="4E542AB2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0DF6CDAD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0.2118</w:t>
            </w:r>
          </w:p>
        </w:tc>
        <w:tc>
          <w:tcPr>
            <w:tcW w:w="1560" w:type="dxa"/>
          </w:tcPr>
          <w:p w14:paraId="503D259C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54D8C19D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4297" w:rsidRPr="00C73B8F" w14:paraId="73575EC8" w14:textId="77777777" w:rsidTr="001B0149">
        <w:trPr>
          <w:cantSplit/>
          <w:trHeight w:val="434"/>
        </w:trPr>
        <w:tc>
          <w:tcPr>
            <w:tcW w:w="3686" w:type="dxa"/>
          </w:tcPr>
          <w:p w14:paraId="0373F37B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Liver stiffness value (</w:t>
            </w:r>
            <w:proofErr w:type="spellStart"/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kPa</w:t>
            </w:r>
            <w:proofErr w:type="spellEnd"/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14:paraId="125058FA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Median, </w:t>
            </w:r>
            <w:proofErr w:type="spellStart"/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kPa</w:t>
            </w:r>
            <w:proofErr w:type="spellEnd"/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(IQR)</w:t>
            </w:r>
          </w:p>
          <w:p w14:paraId="2F723781" w14:textId="5F98B2CC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&lt; 21</w:t>
            </w:r>
            <w:r w:rsidR="00F95F6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  <w:lang w:val="en-US" w:eastAsia="zh-CN"/>
              </w:rPr>
              <w:t>.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kPa</w:t>
            </w:r>
            <w:proofErr w:type="spellEnd"/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95F68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  <w:p w14:paraId="4BC80AAE" w14:textId="07CD12EC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≥ 21</w:t>
            </w:r>
            <w:r w:rsidR="00F95F6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  <w:lang w:val="en-US" w:eastAsia="zh-CN"/>
              </w:rPr>
              <w:t>.</w:t>
            </w:r>
            <w:r w:rsidR="00F95F68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="00F95F68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kPa</w:t>
            </w:r>
            <w:proofErr w:type="spellEnd"/>
            <w:r w:rsidR="00F95F68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95F68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701" w:type="dxa"/>
          </w:tcPr>
          <w:p w14:paraId="544EA59A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  <w:p w14:paraId="6833F077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17.3 (11.5-28.8)</w:t>
            </w:r>
          </w:p>
          <w:p w14:paraId="2B9CF82C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21 (30)</w:t>
            </w:r>
          </w:p>
          <w:p w14:paraId="3FE97BE3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14 (66.7)</w:t>
            </w:r>
          </w:p>
        </w:tc>
        <w:tc>
          <w:tcPr>
            <w:tcW w:w="1984" w:type="dxa"/>
          </w:tcPr>
          <w:p w14:paraId="7B428D60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  <w:p w14:paraId="43369AE1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13.9 (9.4-19.7)</w:t>
            </w:r>
          </w:p>
          <w:p w14:paraId="20E07F15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49 (70)</w:t>
            </w:r>
          </w:p>
          <w:p w14:paraId="5F781E32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7 (33.3)</w:t>
            </w:r>
          </w:p>
        </w:tc>
        <w:tc>
          <w:tcPr>
            <w:tcW w:w="1560" w:type="dxa"/>
          </w:tcPr>
          <w:p w14:paraId="1E2B4EA4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  <w:p w14:paraId="7E74A152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0.0296</w:t>
            </w:r>
          </w:p>
          <w:p w14:paraId="5B5DCC63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560" w:type="dxa"/>
          </w:tcPr>
          <w:p w14:paraId="3876C6B6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  <w:p w14:paraId="3FB1F84D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0.001</w:t>
            </w:r>
          </w:p>
          <w:p w14:paraId="298F870D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8.2 [2.3, 29.5]</w:t>
            </w:r>
          </w:p>
          <w:p w14:paraId="023CD8D7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B74297" w:rsidRPr="00C73B8F" w14:paraId="0A93F1DC" w14:textId="77777777" w:rsidTr="001B0149">
        <w:trPr>
          <w:cantSplit/>
          <w:trHeight w:val="608"/>
        </w:trPr>
        <w:tc>
          <w:tcPr>
            <w:tcW w:w="3686" w:type="dxa"/>
          </w:tcPr>
          <w:p w14:paraId="79DC2514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Rapid </w:t>
            </w:r>
            <w:proofErr w:type="spellStart"/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virological</w:t>
            </w:r>
            <w:proofErr w:type="spellEnd"/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response, </w:t>
            </w:r>
            <w:r w:rsidRPr="00F95F68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  <w:p w14:paraId="0D875BCB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No rapid </w:t>
            </w:r>
            <w:proofErr w:type="spellStart"/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virological</w:t>
            </w:r>
            <w:proofErr w:type="spellEnd"/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response, </w:t>
            </w:r>
            <w:r w:rsidRPr="00F95F68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701" w:type="dxa"/>
          </w:tcPr>
          <w:p w14:paraId="1CD92109" w14:textId="079DCB11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18 (23</w:t>
            </w:r>
            <w:r w:rsidR="00F95F6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  <w:lang w:val="en-US" w:eastAsia="zh-CN"/>
              </w:rPr>
              <w:t>.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7)</w:t>
            </w:r>
          </w:p>
          <w:p w14:paraId="50D52924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26 (68.4)</w:t>
            </w:r>
          </w:p>
        </w:tc>
        <w:tc>
          <w:tcPr>
            <w:tcW w:w="1984" w:type="dxa"/>
          </w:tcPr>
          <w:p w14:paraId="1C981FE0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58 (76.3)</w:t>
            </w:r>
          </w:p>
          <w:p w14:paraId="130B8708" w14:textId="368ABC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12 (31</w:t>
            </w:r>
            <w:r w:rsidR="00F95F6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  <w:lang w:val="en-US" w:eastAsia="zh-CN"/>
              </w:rPr>
              <w:t>.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6)</w:t>
            </w:r>
          </w:p>
        </w:tc>
        <w:tc>
          <w:tcPr>
            <w:tcW w:w="1560" w:type="dxa"/>
          </w:tcPr>
          <w:p w14:paraId="3C47E94A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≤ 0.0001</w:t>
            </w:r>
          </w:p>
        </w:tc>
        <w:tc>
          <w:tcPr>
            <w:tcW w:w="1560" w:type="dxa"/>
          </w:tcPr>
          <w:p w14:paraId="2DCD9C3E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≤ 0.001</w:t>
            </w:r>
          </w:p>
          <w:p w14:paraId="43EFC0A1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6.9 [2.6-18.2]</w:t>
            </w:r>
          </w:p>
          <w:p w14:paraId="5FBDAC9D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B74297" w:rsidRPr="00C73B8F" w14:paraId="4FC43D0E" w14:textId="77777777" w:rsidTr="001B0149">
        <w:trPr>
          <w:cantSplit/>
          <w:trHeight w:val="434"/>
        </w:trPr>
        <w:tc>
          <w:tcPr>
            <w:tcW w:w="3686" w:type="dxa"/>
          </w:tcPr>
          <w:p w14:paraId="68B22AD5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Decrease of ribavirin dosage, </w:t>
            </w:r>
            <w:r w:rsidRPr="00F95F68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  <w:p w14:paraId="16222A23" w14:textId="615B9E22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No decrease of ribavirin dosage, </w:t>
            </w:r>
            <w:r w:rsidRPr="00F95F68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="00F95F68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(%)</w:t>
            </w:r>
          </w:p>
        </w:tc>
        <w:tc>
          <w:tcPr>
            <w:tcW w:w="1701" w:type="dxa"/>
          </w:tcPr>
          <w:p w14:paraId="37B744C0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18 (37.5)</w:t>
            </w:r>
          </w:p>
          <w:p w14:paraId="0CD550E5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31 (41.9)</w:t>
            </w:r>
          </w:p>
        </w:tc>
        <w:tc>
          <w:tcPr>
            <w:tcW w:w="1984" w:type="dxa"/>
          </w:tcPr>
          <w:p w14:paraId="6E8D1E2E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30 (62.5)</w:t>
            </w:r>
          </w:p>
          <w:p w14:paraId="36CBC55F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43 (58.1)</w:t>
            </w:r>
          </w:p>
        </w:tc>
        <w:tc>
          <w:tcPr>
            <w:tcW w:w="1560" w:type="dxa"/>
          </w:tcPr>
          <w:p w14:paraId="425F8E53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0.6287</w:t>
            </w:r>
          </w:p>
        </w:tc>
        <w:tc>
          <w:tcPr>
            <w:tcW w:w="1560" w:type="dxa"/>
          </w:tcPr>
          <w:p w14:paraId="66E3E48F" w14:textId="77777777" w:rsidR="00B74297" w:rsidRPr="00C73B8F" w:rsidRDefault="00B74297" w:rsidP="00F95F68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14:paraId="1A9BAC3C" w14:textId="7B9E3473" w:rsidR="00F95F68" w:rsidRPr="00C73B8F" w:rsidRDefault="00F95F68" w:rsidP="00F95F68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Sustained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virological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response (SVR) was analyzed 24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1B014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after triple thera</w:t>
      </w:r>
      <w:r>
        <w:rPr>
          <w:rFonts w:ascii="Book Antiqua" w:hAnsi="Book Antiqua" w:cs="Times New Roman"/>
          <w:sz w:val="24"/>
          <w:szCs w:val="24"/>
          <w:lang w:val="en-US"/>
        </w:rPr>
        <w:t>py withdrawal for 122 patients.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Rapid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virological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response (RVR) under triple therapy was defined as undetectable HCV RNA levels following 4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w</w:t>
      </w:r>
      <w:r w:rsidR="001B014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k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of antiviral triple therapy (</w:t>
      </w:r>
      <w:r w:rsidRPr="001B0149">
        <w:rPr>
          <w:rFonts w:ascii="Book Antiqua" w:hAnsi="Book Antiqua" w:cs="Times New Roman"/>
          <w:i/>
          <w:sz w:val="24"/>
          <w:szCs w:val="24"/>
          <w:lang w:val="en-US"/>
        </w:rPr>
        <w:t>i.e.</w:t>
      </w:r>
      <w:r w:rsidR="001B014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,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week 4 in the TPV group and week 8 in the BOC treatment group)</w:t>
      </w:r>
      <w:r w:rsidR="001B0149">
        <w:rPr>
          <w:rFonts w:ascii="Book Antiqua" w:eastAsia="宋体" w:hAnsi="Book Antiqua" w:cs="Times New Roman" w:hint="eastAsia"/>
          <w:sz w:val="24"/>
          <w:szCs w:val="24"/>
          <w:vertAlign w:val="superscript"/>
          <w:lang w:val="en-US" w:eastAsia="zh-CN"/>
        </w:rPr>
        <w:t>1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. These factors were initially included in the multivariate model (</w:t>
      </w:r>
      <w:r w:rsidR="001B0149" w:rsidRPr="001B014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1B014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value &lt; 0.2 in the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univariate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analysis) and were not independently associated with SVR in the final multivariate model.</w:t>
      </w:r>
    </w:p>
    <w:p w14:paraId="36672CA3" w14:textId="77777777" w:rsidR="00B74297" w:rsidRPr="00F95F68" w:rsidRDefault="00B74297" w:rsidP="00B74297">
      <w:pPr>
        <w:pStyle w:val="a4"/>
        <w:spacing w:after="0" w:line="360" w:lineRule="auto"/>
        <w:ind w:left="0"/>
        <w:jc w:val="both"/>
        <w:rPr>
          <w:rFonts w:ascii="Book Antiqua" w:hAnsi="Book Antiqua" w:cs="Times New Roman"/>
          <w:sz w:val="24"/>
          <w:szCs w:val="24"/>
          <w:u w:val="single"/>
          <w:lang w:val="en-US"/>
        </w:rPr>
      </w:pPr>
    </w:p>
    <w:p w14:paraId="0926F9B6" w14:textId="04B68183" w:rsidR="00EF276C" w:rsidRPr="00C73B8F" w:rsidRDefault="001B0149" w:rsidP="00C73B8F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t>Table 3</w:t>
      </w:r>
      <w:r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 w:rsidR="00EF276C" w:rsidRPr="00C73B8F">
        <w:rPr>
          <w:rFonts w:ascii="Book Antiqua" w:hAnsi="Book Antiqua" w:cs="Times New Roman"/>
          <w:b/>
          <w:sz w:val="24"/>
          <w:szCs w:val="24"/>
          <w:lang w:val="en-US"/>
        </w:rPr>
        <w:t xml:space="preserve">Safety profile of triple therapy: </w:t>
      </w:r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>S</w:t>
      </w:r>
      <w:r w:rsidR="00EF276C" w:rsidRPr="00C73B8F">
        <w:rPr>
          <w:rFonts w:ascii="Book Antiqua" w:hAnsi="Book Antiqua" w:cs="Times New Roman"/>
          <w:b/>
          <w:sz w:val="24"/>
          <w:szCs w:val="24"/>
          <w:lang w:val="en-US"/>
        </w:rPr>
        <w:t>ev</w:t>
      </w:r>
      <w:r>
        <w:rPr>
          <w:rFonts w:ascii="Book Antiqua" w:hAnsi="Book Antiqua" w:cs="Times New Roman"/>
          <w:b/>
          <w:sz w:val="24"/>
          <w:szCs w:val="24"/>
          <w:lang w:val="en-US"/>
        </w:rPr>
        <w:t>ere adverse events grade 3 or 4</w:t>
      </w:r>
      <w:r w:rsidR="00EF276C" w:rsidRPr="00C73B8F">
        <w:rPr>
          <w:rFonts w:ascii="Book Antiqua" w:hAnsi="Book Antiqua" w:cs="Times New Roman"/>
          <w:b/>
          <w:sz w:val="24"/>
          <w:szCs w:val="24"/>
          <w:lang w:val="en-US"/>
        </w:rPr>
        <w:t xml:space="preserve">    </w:t>
      </w:r>
    </w:p>
    <w:p w14:paraId="3746684D" w14:textId="77777777" w:rsidR="00EF276C" w:rsidRPr="001B0149" w:rsidRDefault="00EF276C" w:rsidP="00C73B8F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tbl>
      <w:tblPr>
        <w:tblpPr w:leftFromText="141" w:rightFromText="141" w:vertAnchor="text" w:horzAnchor="margin" w:tblpXSpec="center" w:tblpY="-18"/>
        <w:tblW w:w="10366" w:type="dxa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20"/>
        <w:gridCol w:w="3884"/>
        <w:gridCol w:w="972"/>
        <w:gridCol w:w="108"/>
        <w:gridCol w:w="1079"/>
        <w:gridCol w:w="60"/>
        <w:gridCol w:w="1526"/>
        <w:gridCol w:w="60"/>
        <w:gridCol w:w="1104"/>
        <w:gridCol w:w="186"/>
        <w:gridCol w:w="183"/>
        <w:gridCol w:w="1021"/>
        <w:gridCol w:w="63"/>
      </w:tblGrid>
      <w:tr w:rsidR="00EF276C" w:rsidRPr="00C73B8F" w14:paraId="2DA79EBC" w14:textId="77777777" w:rsidTr="001B0149">
        <w:trPr>
          <w:gridBefore w:val="1"/>
          <w:gridAfter w:val="1"/>
          <w:wBefore w:w="120" w:type="dxa"/>
          <w:wAfter w:w="63" w:type="dxa"/>
          <w:cantSplit/>
          <w:trHeight w:val="696"/>
          <w:tblHeader/>
        </w:trPr>
        <w:tc>
          <w:tcPr>
            <w:tcW w:w="38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231C19C2" w14:textId="77777777" w:rsidR="00EF276C" w:rsidRPr="00C73B8F" w:rsidRDefault="00EF276C" w:rsidP="00C73B8F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14DB68" w14:textId="77777777" w:rsidR="00EF276C" w:rsidRPr="00C73B8F" w:rsidRDefault="00EF276C" w:rsidP="00C73B8F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Overall patients</w:t>
            </w:r>
          </w:p>
          <w:p w14:paraId="2331D38A" w14:textId="77777777" w:rsidR="00EF276C" w:rsidRPr="00C73B8F" w:rsidRDefault="00EF276C" w:rsidP="00C73B8F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1B0149">
              <w:rPr>
                <w:rFonts w:ascii="Book Antiqua" w:hAnsi="Book Antiqua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= 124)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8D15CC" w14:textId="77777777" w:rsidR="00EF276C" w:rsidRPr="00C73B8F" w:rsidRDefault="00EF276C" w:rsidP="00C73B8F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Telaprevir</w:t>
            </w:r>
            <w:proofErr w:type="spellEnd"/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14:paraId="448A0395" w14:textId="045E6B80" w:rsidR="00EF276C" w:rsidRPr="00C73B8F" w:rsidRDefault="00EF276C" w:rsidP="00C73B8F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1B0149">
              <w:rPr>
                <w:rFonts w:ascii="Book Antiqua" w:hAnsi="Book Antiqua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n</w:t>
            </w:r>
            <w:r w:rsidR="001B0149">
              <w:rPr>
                <w:rFonts w:ascii="Book Antiqua" w:eastAsia="宋体" w:hAnsi="Book Antiqua" w:cs="Times New Roman" w:hint="eastAsia"/>
                <w:b/>
                <w:bCs/>
                <w:i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=</w:t>
            </w:r>
            <w:r w:rsidR="001B0149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89)</w:t>
            </w: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B8481D" w14:textId="77777777" w:rsidR="00EF276C" w:rsidRPr="00C73B8F" w:rsidRDefault="00EF276C" w:rsidP="00C73B8F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Boceprevir</w:t>
            </w:r>
            <w:proofErr w:type="spellEnd"/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1B36A56" w14:textId="2A8FFA02" w:rsidR="00EF276C" w:rsidRPr="00C73B8F" w:rsidRDefault="00EF276C" w:rsidP="00C73B8F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1B0149">
              <w:rPr>
                <w:rFonts w:ascii="Book Antiqua" w:hAnsi="Book Antiqua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n</w:t>
            </w:r>
            <w:r w:rsidR="001B0149">
              <w:rPr>
                <w:rFonts w:ascii="Book Antiqua" w:eastAsia="宋体" w:hAnsi="Book Antiqua" w:cs="Times New Roman" w:hint="eastAsia"/>
                <w:b/>
                <w:bCs/>
                <w:i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=</w:t>
            </w:r>
            <w:r w:rsidR="001B0149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35)                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032AFF" w14:textId="0FE83039" w:rsidR="00EF276C" w:rsidRPr="00C73B8F" w:rsidRDefault="00EF276C" w:rsidP="00C73B8F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</w:t>
            </w:r>
            <w:r w:rsidRPr="001B0149">
              <w:rPr>
                <w:rFonts w:ascii="Book Antiqua" w:hAnsi="Book Antiqua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1B0149" w:rsidRPr="001B0149">
              <w:rPr>
                <w:rFonts w:ascii="Book Antiqua" w:hAnsi="Book Antiqua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P</w:t>
            </w:r>
            <w:r w:rsidR="001B0149">
              <w:rPr>
                <w:rFonts w:ascii="Book Antiqua" w:eastAsia="宋体" w:hAnsi="Book Antiqua" w:cs="Times New Roman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value</w:t>
            </w:r>
          </w:p>
          <w:p w14:paraId="43957CF6" w14:textId="77777777" w:rsidR="00EF276C" w:rsidRPr="00C73B8F" w:rsidRDefault="00EF276C" w:rsidP="00C73B8F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>univariate</w:t>
            </w:r>
            <w:proofErr w:type="spellEnd"/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58E7BAD0" w14:textId="77777777" w:rsidR="00EF276C" w:rsidRPr="00C73B8F" w:rsidRDefault="00EF276C" w:rsidP="00C73B8F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an</w:t>
            </w:r>
            <w:r w:rsidRPr="00C73B8F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  <w:t>alysis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F6A869" w14:textId="77777777" w:rsidR="00EF276C" w:rsidRPr="00C73B8F" w:rsidRDefault="00EF276C" w:rsidP="00C73B8F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F276C" w:rsidRPr="00C73B8F" w14:paraId="760199C1" w14:textId="77777777" w:rsidTr="001B0149">
        <w:trPr>
          <w:gridBefore w:val="1"/>
          <w:wBefore w:w="120" w:type="dxa"/>
          <w:cantSplit/>
          <w:trHeight w:val="395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12815CEE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7D6C6A5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558F538C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5171F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4E45D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449B767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DA863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276C" w:rsidRPr="00C73B8F" w14:paraId="17EBA1F1" w14:textId="77777777" w:rsidTr="001B0149">
        <w:trPr>
          <w:gridAfter w:val="2"/>
          <w:wAfter w:w="1084" w:type="dxa"/>
          <w:cantSplit/>
          <w:trHeight w:val="379"/>
        </w:trPr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47F5E" w14:textId="598EB05B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Premature discontinuation due to SAE, </w:t>
            </w:r>
            <w:r w:rsidRPr="001B0149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="001B0149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(%)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E471589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11 (8)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7812012F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44ECD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10 (11.2)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FE983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1 (2.9)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E14A9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0.178</w:t>
            </w:r>
          </w:p>
        </w:tc>
      </w:tr>
      <w:tr w:rsidR="00EF276C" w:rsidRPr="00C73B8F" w14:paraId="137E7ED4" w14:textId="77777777" w:rsidTr="001B0149">
        <w:trPr>
          <w:gridBefore w:val="1"/>
          <w:gridAfter w:val="2"/>
          <w:wBefore w:w="120" w:type="dxa"/>
          <w:wAfter w:w="1084" w:type="dxa"/>
          <w:cantSplit/>
          <w:trHeight w:val="395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45B0487B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Death, </w:t>
            </w:r>
            <w:r w:rsidRPr="001B0149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  <w:p w14:paraId="16D97DCA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  <w:p w14:paraId="30BB5F76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Severe adverse events grade 3/4, </w:t>
            </w:r>
            <w:r w:rsidRPr="001B0149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1F4A0ABC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  <w:p w14:paraId="768A921B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  <w:p w14:paraId="3D13FE69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63 (50.8)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4313CB80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2C0AB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0</w:t>
            </w:r>
          </w:p>
          <w:p w14:paraId="725651C9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  <w:p w14:paraId="748C7AE9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46 (51.7)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43641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0</w:t>
            </w:r>
          </w:p>
          <w:p w14:paraId="55B22DF5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  <w:p w14:paraId="2F9A01BF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17 (48.6)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1CBE3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-</w:t>
            </w:r>
          </w:p>
          <w:p w14:paraId="71379296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  <w:p w14:paraId="7BFF7D80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0.75</w:t>
            </w:r>
          </w:p>
        </w:tc>
      </w:tr>
      <w:tr w:rsidR="00EF276C" w:rsidRPr="00C73B8F" w14:paraId="62255798" w14:textId="77777777" w:rsidTr="001B0149">
        <w:trPr>
          <w:gridBefore w:val="1"/>
          <w:gridAfter w:val="2"/>
          <w:wBefore w:w="120" w:type="dxa"/>
          <w:wAfter w:w="1084" w:type="dxa"/>
          <w:cantSplit/>
          <w:trHeight w:val="395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76D45112" w14:textId="4634E726" w:rsidR="00EF276C" w:rsidRPr="00C73B8F" w:rsidRDefault="001B0149" w:rsidP="001B0149">
            <w:pPr>
              <w:pStyle w:val="a4"/>
              <w:adjustRightInd w:val="0"/>
              <w:spacing w:after="0" w:line="360" w:lineRule="auto"/>
              <w:ind w:left="0" w:firstLineChars="50" w:firstLine="120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Infection, </w:t>
            </w:r>
            <w:r w:rsidRPr="001B0149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A37195F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4 (3.2)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3ED538D7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25617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3 (3.4)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D7CDC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1 (2.9)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BC8DB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F276C" w:rsidRPr="00C73B8F" w14:paraId="602A5277" w14:textId="77777777" w:rsidTr="001B0149">
        <w:trPr>
          <w:gridBefore w:val="1"/>
          <w:gridAfter w:val="2"/>
          <w:wBefore w:w="120" w:type="dxa"/>
          <w:wAfter w:w="1084" w:type="dxa"/>
          <w:cantSplit/>
          <w:trHeight w:val="379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4D9E3A7C" w14:textId="3A0E18CD" w:rsidR="00EF276C" w:rsidRPr="00C73B8F" w:rsidRDefault="001B0149" w:rsidP="001B0149">
            <w:pPr>
              <w:pStyle w:val="a4"/>
              <w:adjustRightInd w:val="0"/>
              <w:spacing w:after="0" w:line="360" w:lineRule="auto"/>
              <w:ind w:left="0" w:firstLineChars="50" w:firstLine="120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Liver</w:t>
            </w:r>
            <w:r w:rsidR="00EF276C"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decompensation, </w:t>
            </w:r>
            <w:r w:rsidR="00EF276C" w:rsidRPr="001B0149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="00EF276C"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A367FD6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2 (1.6)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27D317F3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A8BA2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2 (2,2)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BB533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315DC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276C" w:rsidRPr="00C73B8F" w14:paraId="173DF2C0" w14:textId="77777777" w:rsidTr="001B0149">
        <w:trPr>
          <w:gridBefore w:val="1"/>
          <w:gridAfter w:val="2"/>
          <w:wBefore w:w="120" w:type="dxa"/>
          <w:wAfter w:w="1084" w:type="dxa"/>
          <w:cantSplit/>
          <w:trHeight w:val="395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52AA8C40" w14:textId="56842F2E" w:rsidR="00EF276C" w:rsidRPr="00C73B8F" w:rsidRDefault="001B0149" w:rsidP="001B0149">
            <w:pPr>
              <w:pStyle w:val="a4"/>
              <w:adjustRightInd w:val="0"/>
              <w:spacing w:after="0" w:line="360" w:lineRule="auto"/>
              <w:ind w:left="0" w:firstLineChars="50" w:firstLine="120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Fatigue, </w:t>
            </w:r>
            <w:r w:rsidRPr="001B0149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3D3581A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3 (2.4)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0DE7CA05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DDCF0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3 (3.4)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1A2BA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DC949C" w14:textId="7B5C65B6" w:rsidR="00EF276C" w:rsidRPr="00C73B8F" w:rsidRDefault="00EF276C" w:rsidP="001B0149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0</w:t>
            </w:r>
            <w:r w:rsidR="001B0149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  <w:lang w:eastAsia="zh-CN"/>
              </w:rPr>
              <w:t>.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558</w:t>
            </w:r>
          </w:p>
        </w:tc>
      </w:tr>
      <w:tr w:rsidR="00EF276C" w:rsidRPr="00C73B8F" w14:paraId="17736E3A" w14:textId="77777777" w:rsidTr="001B0149">
        <w:trPr>
          <w:gridBefore w:val="1"/>
          <w:gridAfter w:val="2"/>
          <w:wBefore w:w="120" w:type="dxa"/>
          <w:wAfter w:w="1084" w:type="dxa"/>
          <w:cantSplit/>
          <w:trHeight w:val="395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3E966D91" w14:textId="7902F198" w:rsidR="00EF276C" w:rsidRPr="00C73B8F" w:rsidRDefault="001B0149" w:rsidP="001B0149">
            <w:pPr>
              <w:pStyle w:val="a4"/>
              <w:adjustRightInd w:val="0"/>
              <w:spacing w:after="0" w:line="360" w:lineRule="auto"/>
              <w:ind w:left="0" w:firstLineChars="50" w:firstLine="120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Skin rash, </w:t>
            </w:r>
            <w:r w:rsidRPr="001B0149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BF627E6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2 (1.6)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1D655C54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3B7B7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2 (2.2)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BBFF9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07AC9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276C" w:rsidRPr="00C73B8F" w14:paraId="647AC976" w14:textId="77777777" w:rsidTr="001B0149">
        <w:trPr>
          <w:gridBefore w:val="1"/>
          <w:gridAfter w:val="2"/>
          <w:wBefore w:w="120" w:type="dxa"/>
          <w:wAfter w:w="1084" w:type="dxa"/>
          <w:cantSplit/>
          <w:trHeight w:val="379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42586EA1" w14:textId="4230A405" w:rsidR="00EF276C" w:rsidRPr="00C73B8F" w:rsidRDefault="001B0149" w:rsidP="001B0149">
            <w:pPr>
              <w:pStyle w:val="a4"/>
              <w:adjustRightInd w:val="0"/>
              <w:spacing w:after="0" w:line="360" w:lineRule="auto"/>
              <w:ind w:left="0" w:firstLineChars="50" w:firstLine="120"/>
              <w:jc w:val="both"/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Kidney failure, </w:t>
            </w:r>
            <w:r w:rsidRPr="001B0149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598DBDF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 (0.8)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6437DB7E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C56AD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 (1.1)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605E2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CA38B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276C" w:rsidRPr="00C73B8F" w14:paraId="023A4E5A" w14:textId="77777777" w:rsidTr="001B0149">
        <w:trPr>
          <w:gridBefore w:val="1"/>
          <w:gridAfter w:val="2"/>
          <w:wBefore w:w="120" w:type="dxa"/>
          <w:wAfter w:w="1084" w:type="dxa"/>
          <w:cantSplit/>
          <w:trHeight w:val="395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558F9606" w14:textId="30C98667" w:rsidR="00EF276C" w:rsidRPr="00C73B8F" w:rsidRDefault="001B0149" w:rsidP="001B0149">
            <w:pPr>
              <w:pStyle w:val="a4"/>
              <w:adjustRightInd w:val="0"/>
              <w:spacing w:after="0" w:line="360" w:lineRule="auto"/>
              <w:ind w:left="0" w:firstLineChars="50" w:firstLine="120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Digestive adverse events, </w:t>
            </w:r>
            <w:r w:rsidRPr="001B0149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07B3C13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 (0.8)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12BC5ADB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62EA4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 (1.1)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83FEE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69504C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276C" w:rsidRPr="00C73B8F" w14:paraId="22BD6633" w14:textId="77777777" w:rsidTr="001B0149">
        <w:trPr>
          <w:gridBefore w:val="1"/>
          <w:gridAfter w:val="2"/>
          <w:wBefore w:w="120" w:type="dxa"/>
          <w:wAfter w:w="1084" w:type="dxa"/>
          <w:cantSplit/>
          <w:trHeight w:val="379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11DC84E7" w14:textId="3447D416" w:rsidR="00EF276C" w:rsidRPr="00C73B8F" w:rsidRDefault="001B0149" w:rsidP="001B0149">
            <w:pPr>
              <w:pStyle w:val="a4"/>
              <w:adjustRightInd w:val="0"/>
              <w:spacing w:after="0" w:line="360" w:lineRule="auto"/>
              <w:ind w:left="0" w:firstLineChars="50" w:firstLine="120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Thromboembolic events, </w:t>
            </w:r>
            <w:r w:rsidRPr="001B0149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3E339DB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1 (0.8)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4F2F7048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35F4F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1 (1.1)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C3BC8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E3894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F276C" w:rsidRPr="00C73B8F" w14:paraId="11DD4B5B" w14:textId="77777777" w:rsidTr="001B0149">
        <w:trPr>
          <w:gridBefore w:val="1"/>
          <w:gridAfter w:val="2"/>
          <w:wBefore w:w="120" w:type="dxa"/>
          <w:wAfter w:w="1084" w:type="dxa"/>
          <w:cantSplit/>
          <w:trHeight w:val="395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57068399" w14:textId="121EC856" w:rsidR="00EF276C" w:rsidRPr="00C73B8F" w:rsidRDefault="001B0149" w:rsidP="001B0149">
            <w:pPr>
              <w:pStyle w:val="a4"/>
              <w:adjustRightInd w:val="0"/>
              <w:spacing w:after="0" w:line="360" w:lineRule="auto"/>
              <w:ind w:left="0" w:firstLineChars="50" w:firstLine="120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Anemia, </w:t>
            </w:r>
            <w:r w:rsidRPr="001B0149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FF372F4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18 (14.5)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298DC379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0C1B6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16 (18)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44B44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2 (5.7)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85BF9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0.081</w:t>
            </w:r>
          </w:p>
        </w:tc>
      </w:tr>
      <w:tr w:rsidR="00EF276C" w:rsidRPr="00C73B8F" w14:paraId="1EC7CDD9" w14:textId="77777777" w:rsidTr="001B0149">
        <w:trPr>
          <w:gridBefore w:val="1"/>
          <w:gridAfter w:val="2"/>
          <w:wBefore w:w="120" w:type="dxa"/>
          <w:wAfter w:w="1084" w:type="dxa"/>
          <w:cantSplit/>
          <w:trHeight w:val="395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71A0AB1C" w14:textId="6A4EB8BD" w:rsidR="00EF276C" w:rsidRPr="00C73B8F" w:rsidRDefault="001B0149" w:rsidP="001B0149">
            <w:pPr>
              <w:pStyle w:val="a4"/>
              <w:adjustRightInd w:val="0"/>
              <w:spacing w:after="0" w:line="360" w:lineRule="auto"/>
              <w:ind w:left="0" w:firstLineChars="50" w:firstLine="120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Neutropenia, </w:t>
            </w:r>
            <w:r w:rsidRPr="001B0149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BD15532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21 (16.8)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68BE3B19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E2969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14 (15.7)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7A09A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7 (20)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8E64C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0.568</w:t>
            </w:r>
          </w:p>
        </w:tc>
      </w:tr>
      <w:tr w:rsidR="00EF276C" w:rsidRPr="00C73B8F" w14:paraId="56B66F61" w14:textId="77777777" w:rsidTr="001B0149">
        <w:trPr>
          <w:gridBefore w:val="1"/>
          <w:gridAfter w:val="2"/>
          <w:wBefore w:w="120" w:type="dxa"/>
          <w:wAfter w:w="1084" w:type="dxa"/>
          <w:cantSplit/>
          <w:trHeight w:val="379"/>
        </w:trPr>
        <w:tc>
          <w:tcPr>
            <w:tcW w:w="38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230C84F" w14:textId="77E3BEE3" w:rsidR="00EF276C" w:rsidRPr="00C73B8F" w:rsidRDefault="001B0149" w:rsidP="001B0149">
            <w:pPr>
              <w:pStyle w:val="a4"/>
              <w:adjustRightInd w:val="0"/>
              <w:spacing w:after="0" w:line="360" w:lineRule="auto"/>
              <w:ind w:left="0" w:firstLineChars="50" w:firstLine="120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Thrombocytopenia, </w:t>
            </w:r>
            <w:r w:rsidRPr="001B0149">
              <w:rPr>
                <w:rFonts w:ascii="Book Antiqua" w:hAnsi="Book Antiqua" w:cs="Times New Roman"/>
                <w:i/>
                <w:color w:val="000000"/>
                <w:sz w:val="24"/>
                <w:szCs w:val="24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 xml:space="preserve"> (%)</w:t>
            </w:r>
          </w:p>
          <w:p w14:paraId="54816DAB" w14:textId="77777777" w:rsidR="00EF276C" w:rsidRPr="00C73B8F" w:rsidRDefault="00EF276C" w:rsidP="00C73B8F">
            <w:pPr>
              <w:pStyle w:val="a4"/>
              <w:adjustRightInd w:val="0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0459136A" w14:textId="1EEB6732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Erythropoietin use</w:t>
            </w:r>
            <w:r w:rsidR="001B0149" w:rsidRPr="001B0149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  <w:vertAlign w:val="superscript"/>
                <w:lang w:val="en-US" w:eastAsia="zh-CN"/>
              </w:rPr>
              <w:t>1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B0149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  <w:p w14:paraId="684A7843" w14:textId="5DA579F8" w:rsidR="00EF276C" w:rsidRPr="00C73B8F" w:rsidRDefault="00EF276C" w:rsidP="001B0149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Blood transfusion</w:t>
            </w:r>
            <w:r w:rsidR="001B0149" w:rsidRPr="001B0149">
              <w:rPr>
                <w:rFonts w:ascii="Book Antiqua" w:eastAsia="宋体" w:hAnsi="Book Antiqua" w:cs="Times New Roman" w:hint="eastAsia"/>
                <w:color w:val="000000"/>
                <w:sz w:val="24"/>
                <w:szCs w:val="24"/>
                <w:vertAlign w:val="superscript"/>
                <w:lang w:val="en-US" w:eastAsia="zh-CN"/>
              </w:rPr>
              <w:t>1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B0149">
              <w:rPr>
                <w:rFonts w:ascii="Book Antiqua" w:hAnsi="Book Antiqua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F4895F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42 (33.6)</w:t>
            </w:r>
          </w:p>
          <w:p w14:paraId="3F46AB9F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1532CFC0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65 (52)</w:t>
            </w:r>
          </w:p>
          <w:p w14:paraId="5958BC2F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17 (13.6)</w:t>
            </w:r>
          </w:p>
        </w:tc>
        <w:tc>
          <w:tcPr>
            <w:tcW w:w="1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384332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76B320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32 (36)</w:t>
            </w:r>
          </w:p>
          <w:p w14:paraId="45C2A3EC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571771A5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45 (90)</w:t>
            </w:r>
          </w:p>
          <w:p w14:paraId="396FA9C6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15 (16.7)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D0DAD0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10 (28.6)</w:t>
            </w:r>
          </w:p>
          <w:p w14:paraId="666714C8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1B9537D7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20 (57.1)</w:t>
            </w:r>
          </w:p>
          <w:p w14:paraId="468BFE42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2 (5.7)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A60AF0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0.434</w:t>
            </w:r>
          </w:p>
          <w:p w14:paraId="13FE4E51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</w:p>
          <w:p w14:paraId="1E0F2496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0.473</w:t>
            </w:r>
          </w:p>
          <w:p w14:paraId="45FB59F2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color w:val="000000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color w:val="000000"/>
                <w:sz w:val="24"/>
                <w:szCs w:val="24"/>
              </w:rPr>
              <w:t>0.149</w:t>
            </w:r>
          </w:p>
        </w:tc>
      </w:tr>
    </w:tbl>
    <w:p w14:paraId="3D5F5778" w14:textId="64CECF4D" w:rsidR="001B0149" w:rsidRPr="00C73B8F" w:rsidRDefault="001B0149" w:rsidP="001B0149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Only severe adverse events (SAEs) of grade 3 or 4 were reported in the table. SAEs were known for 124 patients. </w:t>
      </w:r>
      <w:r w:rsidRPr="001B0149">
        <w:rPr>
          <w:rFonts w:ascii="Book Antiqua" w:eastAsia="宋体" w:hAnsi="Book Antiqua" w:cs="Times New Roman" w:hint="eastAsia"/>
          <w:sz w:val="24"/>
          <w:szCs w:val="24"/>
          <w:vertAlign w:val="superscript"/>
          <w:lang w:val="en-US" w:eastAsia="zh-CN"/>
        </w:rPr>
        <w:t>1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Erythropoietin use and blood transfusions were analyzed among the 125 patients.</w:t>
      </w:r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A single subject might have several severe adverse effects.</w:t>
      </w:r>
      <w:r w:rsidRPr="00C73B8F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</w:p>
    <w:p w14:paraId="5283BD05" w14:textId="77777777" w:rsidR="00EF276C" w:rsidRPr="001B0149" w:rsidRDefault="00EF276C" w:rsidP="00C73B8F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707B2E19" w14:textId="40BFCB35" w:rsidR="00580ABA" w:rsidRPr="001B0149" w:rsidRDefault="001B0149" w:rsidP="00C73B8F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t>Table 4</w:t>
      </w:r>
      <w:r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 w:rsidR="00580ABA" w:rsidRPr="00C73B8F">
        <w:rPr>
          <w:rFonts w:ascii="Book Antiqua" w:hAnsi="Book Antiqua" w:cs="Times New Roman"/>
          <w:b/>
          <w:sz w:val="24"/>
          <w:szCs w:val="24"/>
          <w:lang w:val="en-US"/>
        </w:rPr>
        <w:t>Factors associated with the occurrence of severe adverse events of g</w:t>
      </w:r>
      <w:r>
        <w:rPr>
          <w:rFonts w:ascii="Book Antiqua" w:hAnsi="Book Antiqua" w:cs="Times New Roman"/>
          <w:b/>
          <w:sz w:val="24"/>
          <w:szCs w:val="24"/>
          <w:lang w:val="en-US"/>
        </w:rPr>
        <w:t>rade 3 or 4</w:t>
      </w:r>
    </w:p>
    <w:p w14:paraId="02661CFA" w14:textId="77777777" w:rsidR="00EF276C" w:rsidRPr="00C73B8F" w:rsidRDefault="00EF276C" w:rsidP="00C73B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tbl>
      <w:tblPr>
        <w:tblW w:w="10632" w:type="dxa"/>
        <w:tblInd w:w="-689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917"/>
        <w:gridCol w:w="60"/>
        <w:gridCol w:w="1843"/>
        <w:gridCol w:w="1843"/>
        <w:gridCol w:w="1417"/>
        <w:gridCol w:w="2552"/>
      </w:tblGrid>
      <w:tr w:rsidR="00EF276C" w:rsidRPr="00C73B8F" w14:paraId="62AC7B9D" w14:textId="77777777" w:rsidTr="006516E5">
        <w:trPr>
          <w:cantSplit/>
          <w:trHeight w:val="449"/>
          <w:tblHeader/>
        </w:trPr>
        <w:tc>
          <w:tcPr>
            <w:tcW w:w="2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22724464" w14:textId="77777777" w:rsidR="00EF276C" w:rsidRPr="00C73B8F" w:rsidRDefault="00EF276C" w:rsidP="00C73B8F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14B67232" w14:textId="77777777" w:rsidR="00EF276C" w:rsidRPr="00C73B8F" w:rsidRDefault="00EF276C" w:rsidP="00C73B8F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Severe</w:t>
            </w:r>
          </w:p>
          <w:p w14:paraId="3647A5AE" w14:textId="136F0E7F" w:rsidR="00EF276C" w:rsidRPr="00C73B8F" w:rsidRDefault="00EF276C" w:rsidP="00C73B8F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adverse events</w:t>
            </w:r>
            <w:r w:rsidRPr="00C73B8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br/>
            </w:r>
            <w:r w:rsidR="001B0149" w:rsidRPr="001B0149">
              <w:rPr>
                <w:rFonts w:ascii="Book Antiqua" w:hAnsi="Book Antiqua" w:cs="Times New Roman"/>
                <w:b/>
                <w:bCs/>
                <w:i/>
                <w:sz w:val="24"/>
                <w:szCs w:val="24"/>
              </w:rPr>
              <w:t>n</w:t>
            </w:r>
            <w:r w:rsidR="001B0149">
              <w:rPr>
                <w:rFonts w:ascii="Book Antiqua" w:eastAsia="宋体" w:hAnsi="Book Antiqua" w:cs="Times New Roman" w:hint="eastAsia"/>
                <w:b/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C73B8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=</w:t>
            </w:r>
            <w:r w:rsidR="001B0149">
              <w:rPr>
                <w:rFonts w:ascii="Book Antiqua" w:eastAsia="宋体" w:hAnsi="Book Antiqua" w:cs="Times New Roman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C73B8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75ABE2EB" w14:textId="77777777" w:rsidR="00EF276C" w:rsidRPr="00C73B8F" w:rsidRDefault="00EF276C" w:rsidP="00C73B8F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No severe</w:t>
            </w:r>
          </w:p>
          <w:p w14:paraId="5E2D41FD" w14:textId="402DA025" w:rsidR="00EF276C" w:rsidRPr="00C73B8F" w:rsidRDefault="00EF276C" w:rsidP="00C73B8F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adverse events</w:t>
            </w:r>
            <w:r w:rsidRPr="00C73B8F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br/>
            </w:r>
            <w:r w:rsidR="001B0149" w:rsidRPr="001B0149">
              <w:rPr>
                <w:rFonts w:ascii="Book Antiqua" w:hAnsi="Book Antiqua" w:cs="Times New Roman"/>
                <w:b/>
                <w:bCs/>
                <w:i/>
                <w:sz w:val="24"/>
                <w:szCs w:val="24"/>
                <w:lang w:val="en-US"/>
              </w:rPr>
              <w:t>n</w:t>
            </w:r>
            <w:r w:rsidR="001B0149">
              <w:rPr>
                <w:rFonts w:ascii="Book Antiqua" w:eastAsia="宋体" w:hAnsi="Book Antiqua" w:cs="Times New Roman"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 w:rsidRPr="00C73B8F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=</w:t>
            </w:r>
            <w:r w:rsidR="001B0149">
              <w:rPr>
                <w:rFonts w:ascii="Book Antiqua" w:eastAsia="宋体" w:hAnsi="Book Antiqua" w:cs="Times New Roman"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 w:rsidRPr="00C73B8F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5F1CF6E7" w14:textId="25B94B17" w:rsidR="00EF276C" w:rsidRPr="00C73B8F" w:rsidRDefault="001B0149" w:rsidP="001B0149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</w:pPr>
            <w:r w:rsidRPr="001B0149">
              <w:rPr>
                <w:rFonts w:ascii="Book Antiqua" w:hAnsi="Book Antiqua" w:cs="Times New Roman"/>
                <w:b/>
                <w:bCs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Book Antiqua" w:eastAsia="宋体" w:hAnsi="Book Antiqua" w:cs="Times New Roman"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 w:rsidR="00EF276C" w:rsidRPr="00C73B8F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value</w:t>
            </w:r>
            <w:r w:rsidR="00EF276C" w:rsidRPr="00C73B8F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r w:rsidR="00EF276C" w:rsidRPr="00C73B8F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univariate</w:t>
            </w:r>
            <w:proofErr w:type="spellEnd"/>
            <w:r w:rsidR="00EF276C" w:rsidRPr="00C73B8F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 xml:space="preserve"> analysis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A3602A" w14:textId="39C70B85" w:rsidR="00EF276C" w:rsidRPr="00C73B8F" w:rsidRDefault="001B0149" w:rsidP="00C73B8F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</w:pPr>
            <w:r w:rsidRPr="001B0149">
              <w:rPr>
                <w:rFonts w:ascii="Book Antiqua" w:hAnsi="Book Antiqua" w:cs="Times New Roman"/>
                <w:b/>
                <w:bCs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Book Antiqua" w:eastAsia="宋体" w:hAnsi="Book Antiqua" w:cs="Times New Roman"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 w:rsidR="00EF276C" w:rsidRPr="00C73B8F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value</w:t>
            </w:r>
          </w:p>
          <w:p w14:paraId="4DACE8EC" w14:textId="77777777" w:rsidR="00EF276C" w:rsidRPr="00C73B8F" w:rsidRDefault="00EF276C" w:rsidP="00C73B8F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 xml:space="preserve">multivariate </w:t>
            </w:r>
            <w:r w:rsidRPr="00C73B8F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Analysis</w:t>
            </w:r>
          </w:p>
          <w:p w14:paraId="7D709261" w14:textId="07126582" w:rsidR="00EF276C" w:rsidRPr="00C73B8F" w:rsidRDefault="00EF276C" w:rsidP="00C73B8F">
            <w:pPr>
              <w:keepNext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OR </w:t>
            </w:r>
            <w:r w:rsidRPr="00C73B8F">
              <w:rPr>
                <w:rFonts w:ascii="Book Antiqua" w:hAnsi="Book Antiqua" w:cs="Times New Roman"/>
                <w:sz w:val="24"/>
                <w:szCs w:val="24"/>
              </w:rPr>
              <w:t>[</w:t>
            </w:r>
            <w:r w:rsidR="001B0149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95%</w:t>
            </w:r>
            <w:r w:rsidRPr="00C73B8F">
              <w:rPr>
                <w:rFonts w:ascii="Book Antiqua" w:hAnsi="Book Antiqua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CI</w:t>
            </w:r>
            <w:r w:rsidRPr="00C73B8F">
              <w:rPr>
                <w:rFonts w:ascii="Book Antiqua" w:hAnsi="Book Antiqua" w:cs="Times New Roman"/>
                <w:sz w:val="24"/>
                <w:szCs w:val="24"/>
              </w:rPr>
              <w:t>]</w:t>
            </w:r>
          </w:p>
        </w:tc>
      </w:tr>
      <w:tr w:rsidR="00EF276C" w:rsidRPr="00C73B8F" w14:paraId="32500D09" w14:textId="77777777" w:rsidTr="006516E5">
        <w:trPr>
          <w:cantSplit/>
          <w:trHeight w:val="246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1891C706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Protease inhibitor, </w:t>
            </w:r>
            <w:r w:rsidRPr="001B0149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(%)</w:t>
            </w:r>
          </w:p>
          <w:p w14:paraId="2B8CDE23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Telaprevir</w:t>
            </w:r>
            <w:proofErr w:type="spellEnd"/>
          </w:p>
          <w:p w14:paraId="5632BDF4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Boceprevir</w:t>
            </w:r>
            <w:proofErr w:type="spellEnd"/>
          </w:p>
          <w:p w14:paraId="73AE204A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A19B13D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B162D4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  <w:p w14:paraId="1E2927A0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47 (51.7%)</w:t>
            </w:r>
          </w:p>
          <w:p w14:paraId="2BE1D8FA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17 (48.6%)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4DBCF9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  <w:p w14:paraId="4B57613E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43 (48.3%)</w:t>
            </w:r>
          </w:p>
          <w:p w14:paraId="723A579E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18 (51.4%)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404F45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  <w:p w14:paraId="152DE21C" w14:textId="35C1ECC9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0</w:t>
            </w:r>
            <w:r w:rsidR="001B0149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>.</w:t>
            </w: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7548</w:t>
            </w:r>
          </w:p>
          <w:p w14:paraId="1C48100F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39CD8A8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  <w:p w14:paraId="03306A45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-</w:t>
            </w:r>
          </w:p>
          <w:p w14:paraId="7369863F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</w:tr>
      <w:tr w:rsidR="00EF276C" w:rsidRPr="00C73B8F" w14:paraId="079E3DD7" w14:textId="77777777" w:rsidTr="006516E5">
        <w:trPr>
          <w:cantSplit/>
          <w:trHeight w:val="232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4410DD46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Genre, </w:t>
            </w:r>
            <w:r w:rsidRPr="001B0149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(%)</w:t>
            </w:r>
          </w:p>
          <w:p w14:paraId="56059973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Male</w:t>
            </w:r>
          </w:p>
          <w:p w14:paraId="2FDCB482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105B000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3DC280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  <w:p w14:paraId="665B5B73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36 (44.4%)</w:t>
            </w:r>
          </w:p>
          <w:p w14:paraId="59D03865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27 (62.8%)</w:t>
            </w:r>
          </w:p>
          <w:p w14:paraId="241070EE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C92611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0C61838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45 (55.6)</w:t>
            </w:r>
          </w:p>
          <w:p w14:paraId="3A9BDF1B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16 (37.2)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CAE295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A632473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87A4410" w14:textId="4BE4F274" w:rsidR="00EF276C" w:rsidRPr="00C73B8F" w:rsidRDefault="00EF276C" w:rsidP="001B0149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="001B0149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.</w:t>
            </w:r>
            <w:r w:rsidRPr="00C73B8F">
              <w:rPr>
                <w:rFonts w:ascii="Book Antiqua" w:hAnsi="Book Antiqua" w:cs="Times New Roman"/>
                <w:sz w:val="24"/>
                <w:szCs w:val="24"/>
              </w:rPr>
              <w:t xml:space="preserve">0518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592166C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0.037</w:t>
            </w:r>
          </w:p>
          <w:p w14:paraId="5072E368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1.0</w:t>
            </w:r>
          </w:p>
          <w:p w14:paraId="628AF322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2.4 [1.1, 5.6]</w:t>
            </w:r>
          </w:p>
        </w:tc>
      </w:tr>
      <w:tr w:rsidR="00EF276C" w:rsidRPr="00C73B8F" w14:paraId="091F9186" w14:textId="77777777" w:rsidTr="001B0149">
        <w:trPr>
          <w:cantSplit/>
          <w:trHeight w:val="246"/>
        </w:trPr>
        <w:tc>
          <w:tcPr>
            <w:tcW w:w="29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CB71674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Liver fibrosis, </w:t>
            </w:r>
            <w:r w:rsidRPr="001B0149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(%)</w:t>
            </w:r>
          </w:p>
          <w:p w14:paraId="76E54691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Metavir</w:t>
            </w:r>
            <w:proofErr w:type="spellEnd"/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F3</w:t>
            </w:r>
          </w:p>
          <w:p w14:paraId="54D10E21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MetavirF4</w:t>
            </w:r>
          </w:p>
          <w:p w14:paraId="7317DFBA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  <w:p w14:paraId="75EED74E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Platelets</w:t>
            </w:r>
          </w:p>
          <w:p w14:paraId="66C6CB89" w14:textId="334AA74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Mean </w:t>
            </w:r>
            <w:r w:rsidR="001B0149">
              <w:rPr>
                <w:rFonts w:ascii="Book Antiqua" w:hAnsi="Book Antiqua" w:cs="Times New Roman"/>
                <w:sz w:val="24"/>
                <w:szCs w:val="24"/>
                <w:lang w:val="en-US"/>
              </w:rPr>
              <w:t>×</w:t>
            </w: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10³/mm³ (SD)</w:t>
            </w:r>
          </w:p>
          <w:p w14:paraId="737B3EE0" w14:textId="29B59034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&lt; 150 </w:t>
            </w:r>
            <w:r w:rsidR="001B0149">
              <w:rPr>
                <w:rFonts w:ascii="Book Antiqua" w:hAnsi="Book Antiqua" w:cs="Times New Roman"/>
                <w:sz w:val="24"/>
                <w:szCs w:val="24"/>
                <w:lang w:val="en-US"/>
              </w:rPr>
              <w:t>×</w:t>
            </w:r>
            <w:r w:rsidR="001B0149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10³/mm³, </w:t>
            </w:r>
            <w:r w:rsidRPr="001B0149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(%)</w:t>
            </w:r>
          </w:p>
          <w:p w14:paraId="5A281E18" w14:textId="5990AD6E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≥ 150 </w:t>
            </w:r>
            <w:r w:rsidR="001B0149">
              <w:rPr>
                <w:rFonts w:ascii="Book Antiqua" w:hAnsi="Book Antiqua" w:cs="Times New Roman"/>
                <w:sz w:val="24"/>
                <w:szCs w:val="24"/>
                <w:lang w:val="en-US"/>
              </w:rPr>
              <w:t>×</w:t>
            </w: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10³/mm³</w:t>
            </w:r>
            <w:r w:rsidR="001B0149"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,</w:t>
            </w: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1B0149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n</w:t>
            </w: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(%)</w:t>
            </w:r>
          </w:p>
          <w:p w14:paraId="50176F56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  <w:p w14:paraId="2E17104F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Albumin, mean, g/L, (SD)</w:t>
            </w:r>
          </w:p>
          <w:p w14:paraId="45D966EA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  <w:p w14:paraId="404DEC09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Bilirubin, median </w:t>
            </w:r>
            <w:r w:rsidRPr="00C73B8F">
              <w:rPr>
                <w:rFonts w:ascii="Book Antiqua" w:hAnsi="Book Antiqua" w:cs="Times New Roman"/>
                <w:sz w:val="24"/>
                <w:szCs w:val="24"/>
                <w:lang w:val="en-US"/>
              </w:rPr>
              <w:t>M/L, (IQR)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864E49F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1A368F4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  <w:p w14:paraId="14FE0D2B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15 (42.9%)</w:t>
            </w:r>
          </w:p>
          <w:p w14:paraId="714BEAC2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48 (53.9%)</w:t>
            </w:r>
          </w:p>
          <w:p w14:paraId="087A00E7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4B814B19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A2AEC3A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143.5 (65.43)</w:t>
            </w:r>
          </w:p>
          <w:p w14:paraId="1BB5475D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34 (75.6)</w:t>
            </w:r>
          </w:p>
          <w:p w14:paraId="147F698B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27 (37.5)</w:t>
            </w:r>
          </w:p>
          <w:p w14:paraId="7700BA28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1F2875D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39.4 (4.9)</w:t>
            </w:r>
          </w:p>
          <w:p w14:paraId="003FFE4A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20B07F8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13.1 (9.1-19.1)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3D7994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D6E0BBE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20 (57.1)</w:t>
            </w:r>
          </w:p>
          <w:p w14:paraId="51C53DEE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41 (46.1%)</w:t>
            </w:r>
          </w:p>
          <w:p w14:paraId="16E5BF5C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6EAF57B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ED826FA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191.1 (54.9)</w:t>
            </w:r>
          </w:p>
          <w:p w14:paraId="455C46F9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11 (24.4)</w:t>
            </w:r>
          </w:p>
          <w:p w14:paraId="001B8591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45 (62.5)</w:t>
            </w:r>
          </w:p>
          <w:p w14:paraId="3ADFCD9D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6DFD3E2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42 (54.9)</w:t>
            </w:r>
          </w:p>
          <w:p w14:paraId="43D050C7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29B7CDAB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10.8 (8-13.5))</w:t>
            </w:r>
          </w:p>
          <w:p w14:paraId="0B59D7C4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B727FD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D85C7B6" w14:textId="1B1739FB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="001B0149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.</w:t>
            </w:r>
            <w:r w:rsidRPr="00C73B8F">
              <w:rPr>
                <w:rFonts w:ascii="Book Antiqua" w:hAnsi="Book Antiqua" w:cs="Times New Roman"/>
                <w:sz w:val="24"/>
                <w:szCs w:val="24"/>
              </w:rPr>
              <w:t>2667</w:t>
            </w:r>
          </w:p>
          <w:p w14:paraId="704B70CC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9334097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E41ABB5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8652A34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≤ 0.0001</w:t>
            </w:r>
          </w:p>
          <w:p w14:paraId="7C10D27F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  <w:p w14:paraId="2C684886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7B31638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C683E81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0.0196</w:t>
            </w:r>
          </w:p>
          <w:p w14:paraId="7632C4BC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4B25377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0.0359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38B6C1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52C7B845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  <w:p w14:paraId="52F504B5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1CC28533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D7CA927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62721CC6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≤ 0.001</w:t>
            </w:r>
          </w:p>
          <w:p w14:paraId="4EC6CF71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1.0</w:t>
            </w:r>
          </w:p>
          <w:p w14:paraId="3C10F107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5.3 [2.3, 12.4]</w:t>
            </w:r>
          </w:p>
          <w:p w14:paraId="70FB5E40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765BACBE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  <w:p w14:paraId="35FED9A7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0CF0B36A" w14:textId="77777777" w:rsidR="00EF276C" w:rsidRPr="00C73B8F" w:rsidRDefault="00EF276C" w:rsidP="00C73B8F">
            <w:pPr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C73B8F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</w:tbl>
    <w:p w14:paraId="30D2329C" w14:textId="4728DB80" w:rsidR="0006119A" w:rsidRPr="001B0149" w:rsidRDefault="0006119A" w:rsidP="00C73B8F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The variables initially included in the logistic regression model were those associated with SAEs in </w:t>
      </w:r>
      <w:r w:rsidR="000F77A6" w:rsidRPr="00C73B8F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proofErr w:type="spellStart"/>
      <w:r w:rsidRPr="00C73B8F">
        <w:rPr>
          <w:rFonts w:ascii="Book Antiqua" w:hAnsi="Book Antiqua" w:cs="Times New Roman"/>
          <w:sz w:val="24"/>
          <w:szCs w:val="24"/>
          <w:lang w:val="en-US"/>
        </w:rPr>
        <w:t>univariate</w:t>
      </w:r>
      <w:proofErr w:type="spellEnd"/>
      <w:r w:rsidRPr="00C73B8F">
        <w:rPr>
          <w:rFonts w:ascii="Book Antiqua" w:hAnsi="Book Antiqua" w:cs="Times New Roman"/>
          <w:sz w:val="24"/>
          <w:szCs w:val="24"/>
          <w:lang w:val="en-US"/>
        </w:rPr>
        <w:t xml:space="preserve"> analysis (</w:t>
      </w:r>
      <w:r w:rsidR="001B0149" w:rsidRPr="001B0149"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 w:rsidR="001B014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value &lt;</w:t>
      </w:r>
      <w:r w:rsidR="000F77A6" w:rsidRPr="00C73B8F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C73B8F">
        <w:rPr>
          <w:rFonts w:ascii="Book Antiqua" w:hAnsi="Book Antiqua" w:cs="Times New Roman"/>
          <w:sz w:val="24"/>
          <w:szCs w:val="24"/>
          <w:lang w:val="en-US"/>
        </w:rPr>
        <w:t>0.20)</w:t>
      </w:r>
      <w:r w:rsidR="001B014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.</w:t>
      </w:r>
      <w:r w:rsidR="001B0149" w:rsidRPr="001B0149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B0149" w:rsidRPr="00C73B8F">
        <w:rPr>
          <w:rFonts w:ascii="Book Antiqua" w:hAnsi="Book Antiqua" w:cs="Times New Roman"/>
          <w:sz w:val="24"/>
          <w:szCs w:val="24"/>
          <w:lang w:val="en-US"/>
        </w:rPr>
        <w:t>SAEs</w:t>
      </w:r>
      <w:r w:rsidR="001B014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:</w:t>
      </w:r>
      <w:r w:rsidR="001B0149" w:rsidRPr="00C73B8F">
        <w:rPr>
          <w:rFonts w:ascii="Book Antiqua" w:hAnsi="Book Antiqua" w:cs="Times New Roman"/>
          <w:sz w:val="24"/>
          <w:szCs w:val="24"/>
          <w:lang w:val="en-US"/>
        </w:rPr>
        <w:t xml:space="preserve"> Severe adverse events</w:t>
      </w:r>
      <w:r w:rsidR="001B014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; </w:t>
      </w:r>
      <w:r w:rsidR="001B0149" w:rsidRPr="00C73B8F">
        <w:rPr>
          <w:rFonts w:ascii="Book Antiqua" w:hAnsi="Book Antiqua" w:cs="Times New Roman"/>
          <w:sz w:val="24"/>
          <w:szCs w:val="24"/>
          <w:lang w:val="en-US"/>
        </w:rPr>
        <w:t>IQR</w:t>
      </w:r>
      <w:r w:rsidR="001B014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:</w:t>
      </w:r>
      <w:r w:rsidR="001B0149" w:rsidRPr="00C73B8F">
        <w:rPr>
          <w:rFonts w:ascii="Book Antiqua" w:hAnsi="Book Antiqua" w:cs="Times New Roman"/>
          <w:sz w:val="24"/>
          <w:szCs w:val="24"/>
          <w:lang w:val="en-US"/>
        </w:rPr>
        <w:t xml:space="preserve"> Inter-quartile range</w:t>
      </w:r>
      <w:r w:rsidR="001B0149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>.</w:t>
      </w:r>
    </w:p>
    <w:sectPr w:rsidR="0006119A" w:rsidRPr="001B0149" w:rsidSect="004D47CE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7D7A3" w14:textId="77777777" w:rsidR="00E41309" w:rsidRDefault="00E41309" w:rsidP="00F6624A">
      <w:pPr>
        <w:spacing w:after="0" w:line="240" w:lineRule="auto"/>
      </w:pPr>
      <w:r>
        <w:separator/>
      </w:r>
    </w:p>
  </w:endnote>
  <w:endnote w:type="continuationSeparator" w:id="0">
    <w:p w14:paraId="3D7F2A85" w14:textId="77777777" w:rsidR="00E41309" w:rsidRDefault="00E41309" w:rsidP="00F6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246">
    <w:altName w:val="Arial Unicode MS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081E0" w14:textId="77777777" w:rsidR="00E41309" w:rsidRDefault="00E41309" w:rsidP="00F6624A">
      <w:pPr>
        <w:spacing w:after="0" w:line="240" w:lineRule="auto"/>
      </w:pPr>
      <w:r>
        <w:separator/>
      </w:r>
    </w:p>
  </w:footnote>
  <w:footnote w:type="continuationSeparator" w:id="0">
    <w:p w14:paraId="7E0DD86D" w14:textId="77777777" w:rsidR="00E41309" w:rsidRDefault="00E41309" w:rsidP="00F6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E550D" w14:textId="614BAED0" w:rsidR="00F95F68" w:rsidRDefault="00F95F68">
    <w:pPr>
      <w:pStyle w:val="a5"/>
      <w:jc w:val="right"/>
    </w:pPr>
  </w:p>
  <w:p w14:paraId="6E71B461" w14:textId="77777777" w:rsidR="00F95F68" w:rsidRDefault="00F95F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F217F2"/>
    <w:lvl w:ilvl="0">
      <w:start w:val="1"/>
      <w:numFmt w:val="lowerLetter"/>
      <w:pStyle w:val="1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3.1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1D86398"/>
    <w:multiLevelType w:val="hybridMultilevel"/>
    <w:tmpl w:val="32C65C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185C"/>
    <w:multiLevelType w:val="multilevel"/>
    <w:tmpl w:val="A74CB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E6566F4"/>
    <w:multiLevelType w:val="hybridMultilevel"/>
    <w:tmpl w:val="C74058EC"/>
    <w:lvl w:ilvl="0" w:tplc="D214E03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95ED9"/>
    <w:multiLevelType w:val="hybridMultilevel"/>
    <w:tmpl w:val="57946512"/>
    <w:lvl w:ilvl="0" w:tplc="D3C0EC7C">
      <w:start w:val="1"/>
      <w:numFmt w:val="decimal"/>
      <w:lvlText w:val="%1"/>
      <w:lvlJc w:val="left"/>
      <w:pPr>
        <w:ind w:left="720" w:hanging="360"/>
      </w:pPr>
      <w:rPr>
        <w:rFonts w:ascii="Book Antiqua" w:eastAsiaTheme="minorEastAsia" w:hAnsi="Book Antiqua" w:cstheme="minorBidi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3526C"/>
    <w:multiLevelType w:val="hybridMultilevel"/>
    <w:tmpl w:val="4E80EC3C"/>
    <w:lvl w:ilvl="0" w:tplc="43AC78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E29ED"/>
    <w:multiLevelType w:val="hybridMultilevel"/>
    <w:tmpl w:val="FA02E648"/>
    <w:lvl w:ilvl="0" w:tplc="71D67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D6166"/>
    <w:multiLevelType w:val="hybridMultilevel"/>
    <w:tmpl w:val="9C921F4C"/>
    <w:lvl w:ilvl="0" w:tplc="6AF81206">
      <w:start w:val="9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B2340"/>
    <w:multiLevelType w:val="hybridMultilevel"/>
    <w:tmpl w:val="2E62AC66"/>
    <w:lvl w:ilvl="0" w:tplc="E048D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D09E5"/>
    <w:multiLevelType w:val="hybridMultilevel"/>
    <w:tmpl w:val="7AFEEC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F69BE"/>
    <w:multiLevelType w:val="multilevel"/>
    <w:tmpl w:val="5EBE208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27E81889"/>
    <w:multiLevelType w:val="hybridMultilevel"/>
    <w:tmpl w:val="1B249C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E2973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7C4AFC"/>
    <w:multiLevelType w:val="hybridMultilevel"/>
    <w:tmpl w:val="FEFC9B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D586B"/>
    <w:multiLevelType w:val="hybridMultilevel"/>
    <w:tmpl w:val="9B0CC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84EB7"/>
    <w:multiLevelType w:val="hybridMultilevel"/>
    <w:tmpl w:val="3B0831E0"/>
    <w:lvl w:ilvl="0" w:tplc="27D20C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972C8"/>
    <w:multiLevelType w:val="hybridMultilevel"/>
    <w:tmpl w:val="66AC60BE"/>
    <w:lvl w:ilvl="0" w:tplc="8088705E">
      <w:start w:val="1"/>
      <w:numFmt w:val="decimal"/>
      <w:lvlText w:val="%1-"/>
      <w:lvlJc w:val="left"/>
      <w:pPr>
        <w:ind w:left="520" w:firstLine="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657C91"/>
    <w:multiLevelType w:val="hybridMultilevel"/>
    <w:tmpl w:val="326E0274"/>
    <w:lvl w:ilvl="0" w:tplc="67EA0988">
      <w:start w:val="1"/>
      <w:numFmt w:val="decimal"/>
      <w:lvlText w:val="%1)"/>
      <w:lvlJc w:val="left"/>
      <w:pPr>
        <w:ind w:left="1395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ind w:left="2115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8">
    <w:nsid w:val="33811D10"/>
    <w:multiLevelType w:val="multilevel"/>
    <w:tmpl w:val="69FEB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39936CFF"/>
    <w:multiLevelType w:val="hybridMultilevel"/>
    <w:tmpl w:val="D59435DC"/>
    <w:lvl w:ilvl="0" w:tplc="E8A46B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F3E18"/>
    <w:multiLevelType w:val="hybridMultilevel"/>
    <w:tmpl w:val="F5BA976C"/>
    <w:lvl w:ilvl="0" w:tplc="ED300CF8">
      <w:start w:val="1"/>
      <w:numFmt w:val="lowerLetter"/>
      <w:lvlText w:val="%1)"/>
      <w:lvlJc w:val="left"/>
      <w:pPr>
        <w:ind w:left="19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07" w:hanging="360"/>
      </w:pPr>
    </w:lvl>
    <w:lvl w:ilvl="2" w:tplc="040C001B" w:tentative="1">
      <w:start w:val="1"/>
      <w:numFmt w:val="lowerRoman"/>
      <w:lvlText w:val="%3."/>
      <w:lvlJc w:val="right"/>
      <w:pPr>
        <w:ind w:left="3427" w:hanging="180"/>
      </w:pPr>
    </w:lvl>
    <w:lvl w:ilvl="3" w:tplc="040C000F" w:tentative="1">
      <w:start w:val="1"/>
      <w:numFmt w:val="decimal"/>
      <w:lvlText w:val="%4."/>
      <w:lvlJc w:val="left"/>
      <w:pPr>
        <w:ind w:left="4147" w:hanging="360"/>
      </w:pPr>
    </w:lvl>
    <w:lvl w:ilvl="4" w:tplc="040C0019" w:tentative="1">
      <w:start w:val="1"/>
      <w:numFmt w:val="lowerLetter"/>
      <w:lvlText w:val="%5."/>
      <w:lvlJc w:val="left"/>
      <w:pPr>
        <w:ind w:left="4867" w:hanging="360"/>
      </w:pPr>
    </w:lvl>
    <w:lvl w:ilvl="5" w:tplc="040C001B" w:tentative="1">
      <w:start w:val="1"/>
      <w:numFmt w:val="lowerRoman"/>
      <w:lvlText w:val="%6."/>
      <w:lvlJc w:val="right"/>
      <w:pPr>
        <w:ind w:left="5587" w:hanging="180"/>
      </w:pPr>
    </w:lvl>
    <w:lvl w:ilvl="6" w:tplc="040C000F" w:tentative="1">
      <w:start w:val="1"/>
      <w:numFmt w:val="decimal"/>
      <w:lvlText w:val="%7."/>
      <w:lvlJc w:val="left"/>
      <w:pPr>
        <w:ind w:left="6307" w:hanging="360"/>
      </w:pPr>
    </w:lvl>
    <w:lvl w:ilvl="7" w:tplc="040C0019" w:tentative="1">
      <w:start w:val="1"/>
      <w:numFmt w:val="lowerLetter"/>
      <w:lvlText w:val="%8."/>
      <w:lvlJc w:val="left"/>
      <w:pPr>
        <w:ind w:left="7027" w:hanging="360"/>
      </w:pPr>
    </w:lvl>
    <w:lvl w:ilvl="8" w:tplc="040C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1">
    <w:nsid w:val="46375FFB"/>
    <w:multiLevelType w:val="hybridMultilevel"/>
    <w:tmpl w:val="755CBD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44C1C"/>
    <w:multiLevelType w:val="hybridMultilevel"/>
    <w:tmpl w:val="28B6367C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A3D3780"/>
    <w:multiLevelType w:val="multilevel"/>
    <w:tmpl w:val="ACAA97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452ABB"/>
    <w:multiLevelType w:val="hybridMultilevel"/>
    <w:tmpl w:val="917A9C10"/>
    <w:lvl w:ilvl="0" w:tplc="8F6E0EC8">
      <w:start w:val="1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83448"/>
    <w:multiLevelType w:val="hybridMultilevel"/>
    <w:tmpl w:val="B7B657E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996153"/>
    <w:multiLevelType w:val="hybridMultilevel"/>
    <w:tmpl w:val="17BAB7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70C37"/>
    <w:multiLevelType w:val="hybridMultilevel"/>
    <w:tmpl w:val="5742EE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D2E56"/>
    <w:multiLevelType w:val="hybridMultilevel"/>
    <w:tmpl w:val="CE5A102C"/>
    <w:lvl w:ilvl="0" w:tplc="040C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>
    <w:nsid w:val="5D66630F"/>
    <w:multiLevelType w:val="multilevel"/>
    <w:tmpl w:val="A74CB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DA66CA2"/>
    <w:multiLevelType w:val="hybridMultilevel"/>
    <w:tmpl w:val="C0309C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76104"/>
    <w:multiLevelType w:val="hybridMultilevel"/>
    <w:tmpl w:val="8DC09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145D3"/>
    <w:multiLevelType w:val="hybridMultilevel"/>
    <w:tmpl w:val="089A50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63CFD"/>
    <w:multiLevelType w:val="hybridMultilevel"/>
    <w:tmpl w:val="34E24BEE"/>
    <w:lvl w:ilvl="0" w:tplc="55D429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88E4BCA"/>
    <w:multiLevelType w:val="hybridMultilevel"/>
    <w:tmpl w:val="7D62AD74"/>
    <w:lvl w:ilvl="0" w:tplc="A41064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F075C"/>
    <w:multiLevelType w:val="hybridMultilevel"/>
    <w:tmpl w:val="5DBEC2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E442D"/>
    <w:multiLevelType w:val="hybridMultilevel"/>
    <w:tmpl w:val="E4A6442E"/>
    <w:lvl w:ilvl="0" w:tplc="0994D7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B7E19E2">
      <w:start w:val="1"/>
      <w:numFmt w:val="decimal"/>
      <w:lvlText w:val="%3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C3A8BA4">
      <w:start w:val="2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B8699C"/>
    <w:multiLevelType w:val="hybridMultilevel"/>
    <w:tmpl w:val="BE02DF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E667D"/>
    <w:multiLevelType w:val="hybridMultilevel"/>
    <w:tmpl w:val="3E70A53C"/>
    <w:lvl w:ilvl="0" w:tplc="55D429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B4A141C"/>
    <w:multiLevelType w:val="hybridMultilevel"/>
    <w:tmpl w:val="E894F8B4"/>
    <w:lvl w:ilvl="0" w:tplc="ECD09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76292"/>
    <w:multiLevelType w:val="hybridMultilevel"/>
    <w:tmpl w:val="AB242BA8"/>
    <w:lvl w:ilvl="0" w:tplc="516626BE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6E6819"/>
    <w:multiLevelType w:val="hybridMultilevel"/>
    <w:tmpl w:val="48E26FB2"/>
    <w:lvl w:ilvl="0" w:tplc="040C0017">
      <w:start w:val="1"/>
      <w:numFmt w:val="lowerLetter"/>
      <w:lvlText w:val="%1)"/>
      <w:lvlJc w:val="left"/>
      <w:pPr>
        <w:ind w:left="1627" w:hanging="360"/>
      </w:p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17"/>
  </w:num>
  <w:num w:numId="5">
    <w:abstractNumId w:val="36"/>
  </w:num>
  <w:num w:numId="6">
    <w:abstractNumId w:val="8"/>
  </w:num>
  <w:num w:numId="7">
    <w:abstractNumId w:val="12"/>
  </w:num>
  <w:num w:numId="8">
    <w:abstractNumId w:val="16"/>
  </w:num>
  <w:num w:numId="9">
    <w:abstractNumId w:val="30"/>
  </w:num>
  <w:num w:numId="10">
    <w:abstractNumId w:val="11"/>
  </w:num>
  <w:num w:numId="11">
    <w:abstractNumId w:val="40"/>
  </w:num>
  <w:num w:numId="12">
    <w:abstractNumId w:val="41"/>
  </w:num>
  <w:num w:numId="13">
    <w:abstractNumId w:val="23"/>
  </w:num>
  <w:num w:numId="14">
    <w:abstractNumId w:val="33"/>
  </w:num>
  <w:num w:numId="15">
    <w:abstractNumId w:val="29"/>
  </w:num>
  <w:num w:numId="16">
    <w:abstractNumId w:val="18"/>
  </w:num>
  <w:num w:numId="17">
    <w:abstractNumId w:val="15"/>
  </w:num>
  <w:num w:numId="18">
    <w:abstractNumId w:val="26"/>
  </w:num>
  <w:num w:numId="19">
    <w:abstractNumId w:val="20"/>
  </w:num>
  <w:num w:numId="20">
    <w:abstractNumId w:val="6"/>
  </w:num>
  <w:num w:numId="21">
    <w:abstractNumId w:val="39"/>
  </w:num>
  <w:num w:numId="22">
    <w:abstractNumId w:val="7"/>
  </w:num>
  <w:num w:numId="23">
    <w:abstractNumId w:val="0"/>
    <w:lvlOverride w:ilvl="0">
      <w:startOverride w:val="4"/>
    </w:lvlOverride>
  </w:num>
  <w:num w:numId="24">
    <w:abstractNumId w:val="10"/>
  </w:num>
  <w:num w:numId="25">
    <w:abstractNumId w:val="0"/>
    <w:lvlOverride w:ilvl="0">
      <w:startOverride w:val="4"/>
    </w:lvlOverride>
  </w:num>
  <w:num w:numId="26">
    <w:abstractNumId w:val="22"/>
  </w:num>
  <w:num w:numId="27">
    <w:abstractNumId w:val="28"/>
  </w:num>
  <w:num w:numId="28">
    <w:abstractNumId w:val="14"/>
  </w:num>
  <w:num w:numId="29">
    <w:abstractNumId w:val="25"/>
  </w:num>
  <w:num w:numId="30">
    <w:abstractNumId w:val="32"/>
  </w:num>
  <w:num w:numId="31">
    <w:abstractNumId w:val="9"/>
  </w:num>
  <w:num w:numId="32">
    <w:abstractNumId w:val="37"/>
  </w:num>
  <w:num w:numId="33">
    <w:abstractNumId w:val="3"/>
  </w:num>
  <w:num w:numId="34">
    <w:abstractNumId w:val="3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5"/>
  </w:num>
  <w:num w:numId="40">
    <w:abstractNumId w:val="21"/>
  </w:num>
  <w:num w:numId="41">
    <w:abstractNumId w:val="2"/>
  </w:num>
  <w:num w:numId="42">
    <w:abstractNumId w:val="31"/>
  </w:num>
  <w:num w:numId="43">
    <w:abstractNumId w:val="13"/>
  </w:num>
  <w:num w:numId="44">
    <w:abstractNumId w:val="4"/>
  </w:num>
  <w:num w:numId="45">
    <w:abstractNumId w:val="19"/>
  </w:num>
  <w:num w:numId="46">
    <w:abstractNumId w:val="5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08"/>
    <w:rsid w:val="00002D47"/>
    <w:rsid w:val="00010379"/>
    <w:rsid w:val="00013F76"/>
    <w:rsid w:val="00015925"/>
    <w:rsid w:val="00020986"/>
    <w:rsid w:val="000213D4"/>
    <w:rsid w:val="00022A6E"/>
    <w:rsid w:val="000250AB"/>
    <w:rsid w:val="000252A9"/>
    <w:rsid w:val="00025BAB"/>
    <w:rsid w:val="00031065"/>
    <w:rsid w:val="000335C4"/>
    <w:rsid w:val="00035DDA"/>
    <w:rsid w:val="0003798D"/>
    <w:rsid w:val="000428B7"/>
    <w:rsid w:val="00042E03"/>
    <w:rsid w:val="00043D32"/>
    <w:rsid w:val="0004577E"/>
    <w:rsid w:val="00055F28"/>
    <w:rsid w:val="000576DD"/>
    <w:rsid w:val="000577CA"/>
    <w:rsid w:val="00060F85"/>
    <w:rsid w:val="0006119A"/>
    <w:rsid w:val="00064E88"/>
    <w:rsid w:val="00070F3C"/>
    <w:rsid w:val="0007210F"/>
    <w:rsid w:val="00077F28"/>
    <w:rsid w:val="0008100B"/>
    <w:rsid w:val="0008204B"/>
    <w:rsid w:val="00082681"/>
    <w:rsid w:val="0008429B"/>
    <w:rsid w:val="0008735E"/>
    <w:rsid w:val="0009042C"/>
    <w:rsid w:val="0009442D"/>
    <w:rsid w:val="0009689D"/>
    <w:rsid w:val="000A0B1B"/>
    <w:rsid w:val="000A70D7"/>
    <w:rsid w:val="000A74BD"/>
    <w:rsid w:val="000B0477"/>
    <w:rsid w:val="000B1503"/>
    <w:rsid w:val="000B1ED1"/>
    <w:rsid w:val="000B2D4C"/>
    <w:rsid w:val="000B3C9F"/>
    <w:rsid w:val="000B400F"/>
    <w:rsid w:val="000B4FCC"/>
    <w:rsid w:val="000B5BC4"/>
    <w:rsid w:val="000B6D5E"/>
    <w:rsid w:val="000B79CA"/>
    <w:rsid w:val="000B79FA"/>
    <w:rsid w:val="000C1861"/>
    <w:rsid w:val="000C3600"/>
    <w:rsid w:val="000C6DDA"/>
    <w:rsid w:val="000C716D"/>
    <w:rsid w:val="000D2127"/>
    <w:rsid w:val="000D3C68"/>
    <w:rsid w:val="000D7F7A"/>
    <w:rsid w:val="000E10A8"/>
    <w:rsid w:val="000E15DF"/>
    <w:rsid w:val="000E2EE1"/>
    <w:rsid w:val="000E3C0C"/>
    <w:rsid w:val="000E4789"/>
    <w:rsid w:val="000E5CFA"/>
    <w:rsid w:val="000E6885"/>
    <w:rsid w:val="000E7601"/>
    <w:rsid w:val="000F0177"/>
    <w:rsid w:val="000F177B"/>
    <w:rsid w:val="000F46A5"/>
    <w:rsid w:val="000F4B36"/>
    <w:rsid w:val="000F4D47"/>
    <w:rsid w:val="000F574A"/>
    <w:rsid w:val="000F77A6"/>
    <w:rsid w:val="00105B86"/>
    <w:rsid w:val="001072FC"/>
    <w:rsid w:val="00112C0D"/>
    <w:rsid w:val="00115700"/>
    <w:rsid w:val="00116623"/>
    <w:rsid w:val="00120BD1"/>
    <w:rsid w:val="001236A3"/>
    <w:rsid w:val="001253EC"/>
    <w:rsid w:val="0012547B"/>
    <w:rsid w:val="0012687A"/>
    <w:rsid w:val="001325FB"/>
    <w:rsid w:val="00133B28"/>
    <w:rsid w:val="00136B1F"/>
    <w:rsid w:val="00146DF3"/>
    <w:rsid w:val="00150A6D"/>
    <w:rsid w:val="00151A72"/>
    <w:rsid w:val="0015220E"/>
    <w:rsid w:val="001527FF"/>
    <w:rsid w:val="00154C44"/>
    <w:rsid w:val="00160111"/>
    <w:rsid w:val="00161888"/>
    <w:rsid w:val="00163790"/>
    <w:rsid w:val="001651DE"/>
    <w:rsid w:val="00166710"/>
    <w:rsid w:val="00170E06"/>
    <w:rsid w:val="00171621"/>
    <w:rsid w:val="00172B38"/>
    <w:rsid w:val="001745A4"/>
    <w:rsid w:val="001751C3"/>
    <w:rsid w:val="0018109C"/>
    <w:rsid w:val="00192060"/>
    <w:rsid w:val="00193728"/>
    <w:rsid w:val="001950BE"/>
    <w:rsid w:val="00195B0A"/>
    <w:rsid w:val="001A3093"/>
    <w:rsid w:val="001A6A4C"/>
    <w:rsid w:val="001A6AEB"/>
    <w:rsid w:val="001A75FC"/>
    <w:rsid w:val="001B0149"/>
    <w:rsid w:val="001B06CB"/>
    <w:rsid w:val="001B0EC4"/>
    <w:rsid w:val="001C0356"/>
    <w:rsid w:val="001C1373"/>
    <w:rsid w:val="001C1DC6"/>
    <w:rsid w:val="001C202C"/>
    <w:rsid w:val="001C2E35"/>
    <w:rsid w:val="001C4309"/>
    <w:rsid w:val="001C4316"/>
    <w:rsid w:val="001C543C"/>
    <w:rsid w:val="001D15E2"/>
    <w:rsid w:val="001D3B9C"/>
    <w:rsid w:val="001D6DB5"/>
    <w:rsid w:val="001D71FA"/>
    <w:rsid w:val="001E3112"/>
    <w:rsid w:val="001E4E9A"/>
    <w:rsid w:val="001F1AAF"/>
    <w:rsid w:val="001F4BE7"/>
    <w:rsid w:val="001F5C08"/>
    <w:rsid w:val="001F78F7"/>
    <w:rsid w:val="00202112"/>
    <w:rsid w:val="00202166"/>
    <w:rsid w:val="0020217F"/>
    <w:rsid w:val="00202574"/>
    <w:rsid w:val="00202BA7"/>
    <w:rsid w:val="00202ED4"/>
    <w:rsid w:val="00207327"/>
    <w:rsid w:val="002128DC"/>
    <w:rsid w:val="00212DA8"/>
    <w:rsid w:val="00213D7E"/>
    <w:rsid w:val="0021454F"/>
    <w:rsid w:val="002153C9"/>
    <w:rsid w:val="002165AE"/>
    <w:rsid w:val="002245DE"/>
    <w:rsid w:val="00224E44"/>
    <w:rsid w:val="0023022D"/>
    <w:rsid w:val="00230E7D"/>
    <w:rsid w:val="00231252"/>
    <w:rsid w:val="00232177"/>
    <w:rsid w:val="00235423"/>
    <w:rsid w:val="00235778"/>
    <w:rsid w:val="00237B4D"/>
    <w:rsid w:val="00240584"/>
    <w:rsid w:val="00240A37"/>
    <w:rsid w:val="00241808"/>
    <w:rsid w:val="002420C3"/>
    <w:rsid w:val="00242700"/>
    <w:rsid w:val="00242F82"/>
    <w:rsid w:val="00246849"/>
    <w:rsid w:val="00246D10"/>
    <w:rsid w:val="0025037F"/>
    <w:rsid w:val="0025051F"/>
    <w:rsid w:val="0025214B"/>
    <w:rsid w:val="00254F8D"/>
    <w:rsid w:val="0025620C"/>
    <w:rsid w:val="00256691"/>
    <w:rsid w:val="00257855"/>
    <w:rsid w:val="002604D4"/>
    <w:rsid w:val="00261235"/>
    <w:rsid w:val="002615DB"/>
    <w:rsid w:val="00265F5B"/>
    <w:rsid w:val="002669B4"/>
    <w:rsid w:val="002717AB"/>
    <w:rsid w:val="00281AAF"/>
    <w:rsid w:val="00284423"/>
    <w:rsid w:val="002858BF"/>
    <w:rsid w:val="00290AB3"/>
    <w:rsid w:val="00290D8A"/>
    <w:rsid w:val="002926B8"/>
    <w:rsid w:val="00294AA4"/>
    <w:rsid w:val="00294C07"/>
    <w:rsid w:val="00296563"/>
    <w:rsid w:val="00296D8A"/>
    <w:rsid w:val="0029728D"/>
    <w:rsid w:val="00297F96"/>
    <w:rsid w:val="002A01E3"/>
    <w:rsid w:val="002A1739"/>
    <w:rsid w:val="002A3719"/>
    <w:rsid w:val="002B041A"/>
    <w:rsid w:val="002B3569"/>
    <w:rsid w:val="002C098F"/>
    <w:rsid w:val="002C5684"/>
    <w:rsid w:val="002C5E78"/>
    <w:rsid w:val="002D0A14"/>
    <w:rsid w:val="002D2088"/>
    <w:rsid w:val="002D2166"/>
    <w:rsid w:val="002D3A1E"/>
    <w:rsid w:val="002D3B08"/>
    <w:rsid w:val="002D5B87"/>
    <w:rsid w:val="002D67C9"/>
    <w:rsid w:val="002E07CB"/>
    <w:rsid w:val="002E3104"/>
    <w:rsid w:val="002E52E4"/>
    <w:rsid w:val="002E6B97"/>
    <w:rsid w:val="002E6CDA"/>
    <w:rsid w:val="002E71AF"/>
    <w:rsid w:val="002F1CD5"/>
    <w:rsid w:val="002F3D71"/>
    <w:rsid w:val="002F5D66"/>
    <w:rsid w:val="002F6A48"/>
    <w:rsid w:val="00302F10"/>
    <w:rsid w:val="00303EF6"/>
    <w:rsid w:val="0030440C"/>
    <w:rsid w:val="003066EB"/>
    <w:rsid w:val="00306FB9"/>
    <w:rsid w:val="00310F9F"/>
    <w:rsid w:val="003117D0"/>
    <w:rsid w:val="003151F2"/>
    <w:rsid w:val="00316275"/>
    <w:rsid w:val="00316513"/>
    <w:rsid w:val="00317B24"/>
    <w:rsid w:val="0032177E"/>
    <w:rsid w:val="0032309B"/>
    <w:rsid w:val="00324417"/>
    <w:rsid w:val="00324651"/>
    <w:rsid w:val="00327158"/>
    <w:rsid w:val="003273A9"/>
    <w:rsid w:val="00332183"/>
    <w:rsid w:val="003329E5"/>
    <w:rsid w:val="0033302D"/>
    <w:rsid w:val="00333EC0"/>
    <w:rsid w:val="003345E3"/>
    <w:rsid w:val="00334C68"/>
    <w:rsid w:val="0033588E"/>
    <w:rsid w:val="00336C94"/>
    <w:rsid w:val="00344840"/>
    <w:rsid w:val="003449F1"/>
    <w:rsid w:val="00345429"/>
    <w:rsid w:val="00347CC3"/>
    <w:rsid w:val="003504A1"/>
    <w:rsid w:val="00350B97"/>
    <w:rsid w:val="00354362"/>
    <w:rsid w:val="0035459C"/>
    <w:rsid w:val="00354763"/>
    <w:rsid w:val="00354B0B"/>
    <w:rsid w:val="00354D9F"/>
    <w:rsid w:val="00360921"/>
    <w:rsid w:val="00363DBD"/>
    <w:rsid w:val="00363E3C"/>
    <w:rsid w:val="003641DF"/>
    <w:rsid w:val="00365527"/>
    <w:rsid w:val="00367209"/>
    <w:rsid w:val="003743D1"/>
    <w:rsid w:val="00374CEC"/>
    <w:rsid w:val="00375B67"/>
    <w:rsid w:val="00375DDD"/>
    <w:rsid w:val="00376A17"/>
    <w:rsid w:val="0038095D"/>
    <w:rsid w:val="003811A4"/>
    <w:rsid w:val="00384BF1"/>
    <w:rsid w:val="00385C76"/>
    <w:rsid w:val="003863F2"/>
    <w:rsid w:val="00386714"/>
    <w:rsid w:val="00394C6A"/>
    <w:rsid w:val="003A0366"/>
    <w:rsid w:val="003A25E0"/>
    <w:rsid w:val="003A383D"/>
    <w:rsid w:val="003B0EB6"/>
    <w:rsid w:val="003B1146"/>
    <w:rsid w:val="003B163D"/>
    <w:rsid w:val="003B2643"/>
    <w:rsid w:val="003B4185"/>
    <w:rsid w:val="003B65A6"/>
    <w:rsid w:val="003B777B"/>
    <w:rsid w:val="003B79EA"/>
    <w:rsid w:val="003B7F84"/>
    <w:rsid w:val="003C1713"/>
    <w:rsid w:val="003C49F6"/>
    <w:rsid w:val="003C6DDE"/>
    <w:rsid w:val="003D22D4"/>
    <w:rsid w:val="003D2F47"/>
    <w:rsid w:val="003D5C2E"/>
    <w:rsid w:val="003D79A4"/>
    <w:rsid w:val="003E11B4"/>
    <w:rsid w:val="003E1439"/>
    <w:rsid w:val="003E19A6"/>
    <w:rsid w:val="003E1F52"/>
    <w:rsid w:val="003E31D0"/>
    <w:rsid w:val="003E3311"/>
    <w:rsid w:val="003E4546"/>
    <w:rsid w:val="003E468C"/>
    <w:rsid w:val="003E5873"/>
    <w:rsid w:val="003F1770"/>
    <w:rsid w:val="003F4F80"/>
    <w:rsid w:val="003F66F8"/>
    <w:rsid w:val="003F6D53"/>
    <w:rsid w:val="003F768B"/>
    <w:rsid w:val="003F7911"/>
    <w:rsid w:val="003F7B85"/>
    <w:rsid w:val="00401CAD"/>
    <w:rsid w:val="0040306D"/>
    <w:rsid w:val="00403E3A"/>
    <w:rsid w:val="00404D3A"/>
    <w:rsid w:val="0040545E"/>
    <w:rsid w:val="004058D5"/>
    <w:rsid w:val="004075AF"/>
    <w:rsid w:val="004141ED"/>
    <w:rsid w:val="00414805"/>
    <w:rsid w:val="00416A47"/>
    <w:rsid w:val="004172D8"/>
    <w:rsid w:val="004178EA"/>
    <w:rsid w:val="00417956"/>
    <w:rsid w:val="00420E98"/>
    <w:rsid w:val="00421DA2"/>
    <w:rsid w:val="00422EFC"/>
    <w:rsid w:val="004245F9"/>
    <w:rsid w:val="00427D91"/>
    <w:rsid w:val="00431871"/>
    <w:rsid w:val="0043405A"/>
    <w:rsid w:val="00437FAA"/>
    <w:rsid w:val="00440EE2"/>
    <w:rsid w:val="00442204"/>
    <w:rsid w:val="00445E8F"/>
    <w:rsid w:val="00446560"/>
    <w:rsid w:val="00446C6F"/>
    <w:rsid w:val="00446FC6"/>
    <w:rsid w:val="00450640"/>
    <w:rsid w:val="004506D3"/>
    <w:rsid w:val="00450BF4"/>
    <w:rsid w:val="0045220B"/>
    <w:rsid w:val="00453C4C"/>
    <w:rsid w:val="00454FA9"/>
    <w:rsid w:val="00456FEA"/>
    <w:rsid w:val="00462484"/>
    <w:rsid w:val="004728A6"/>
    <w:rsid w:val="00473415"/>
    <w:rsid w:val="00474275"/>
    <w:rsid w:val="00474561"/>
    <w:rsid w:val="00481787"/>
    <w:rsid w:val="00481F2F"/>
    <w:rsid w:val="00482A61"/>
    <w:rsid w:val="0048305A"/>
    <w:rsid w:val="00484B17"/>
    <w:rsid w:val="00485B00"/>
    <w:rsid w:val="00487909"/>
    <w:rsid w:val="004909AB"/>
    <w:rsid w:val="00491B4B"/>
    <w:rsid w:val="0049203B"/>
    <w:rsid w:val="004933E7"/>
    <w:rsid w:val="00494ACC"/>
    <w:rsid w:val="004A051B"/>
    <w:rsid w:val="004A10FD"/>
    <w:rsid w:val="004A273B"/>
    <w:rsid w:val="004A307F"/>
    <w:rsid w:val="004A385B"/>
    <w:rsid w:val="004A5731"/>
    <w:rsid w:val="004A6288"/>
    <w:rsid w:val="004A7019"/>
    <w:rsid w:val="004B19A5"/>
    <w:rsid w:val="004B1B6A"/>
    <w:rsid w:val="004B1C0B"/>
    <w:rsid w:val="004B2623"/>
    <w:rsid w:val="004B6243"/>
    <w:rsid w:val="004C132D"/>
    <w:rsid w:val="004C239C"/>
    <w:rsid w:val="004C4613"/>
    <w:rsid w:val="004C6A8F"/>
    <w:rsid w:val="004D13F2"/>
    <w:rsid w:val="004D2665"/>
    <w:rsid w:val="004D3114"/>
    <w:rsid w:val="004D3DE8"/>
    <w:rsid w:val="004D4407"/>
    <w:rsid w:val="004D47CE"/>
    <w:rsid w:val="004D5A30"/>
    <w:rsid w:val="004D7269"/>
    <w:rsid w:val="004E34D9"/>
    <w:rsid w:val="004E384D"/>
    <w:rsid w:val="004E3A0B"/>
    <w:rsid w:val="004E50DB"/>
    <w:rsid w:val="004E561F"/>
    <w:rsid w:val="004E590E"/>
    <w:rsid w:val="004E5EA8"/>
    <w:rsid w:val="004E5EAC"/>
    <w:rsid w:val="004E6A29"/>
    <w:rsid w:val="004F0ADA"/>
    <w:rsid w:val="004F117B"/>
    <w:rsid w:val="004F631B"/>
    <w:rsid w:val="004F7F95"/>
    <w:rsid w:val="005013C5"/>
    <w:rsid w:val="00502964"/>
    <w:rsid w:val="00502A85"/>
    <w:rsid w:val="005044BC"/>
    <w:rsid w:val="0050462D"/>
    <w:rsid w:val="00506293"/>
    <w:rsid w:val="00510EDC"/>
    <w:rsid w:val="00515D5A"/>
    <w:rsid w:val="005161A7"/>
    <w:rsid w:val="005200CD"/>
    <w:rsid w:val="005212E6"/>
    <w:rsid w:val="00523338"/>
    <w:rsid w:val="005260B1"/>
    <w:rsid w:val="0052707E"/>
    <w:rsid w:val="00530424"/>
    <w:rsid w:val="00530B60"/>
    <w:rsid w:val="005316D7"/>
    <w:rsid w:val="00533C77"/>
    <w:rsid w:val="005355E3"/>
    <w:rsid w:val="00542343"/>
    <w:rsid w:val="005428DF"/>
    <w:rsid w:val="005467ED"/>
    <w:rsid w:val="005501DA"/>
    <w:rsid w:val="00550DAA"/>
    <w:rsid w:val="00552BA3"/>
    <w:rsid w:val="00553617"/>
    <w:rsid w:val="0055674C"/>
    <w:rsid w:val="00557295"/>
    <w:rsid w:val="005579B3"/>
    <w:rsid w:val="00557A02"/>
    <w:rsid w:val="00560281"/>
    <w:rsid w:val="005651B7"/>
    <w:rsid w:val="0056532A"/>
    <w:rsid w:val="00567C6D"/>
    <w:rsid w:val="00571A14"/>
    <w:rsid w:val="00573898"/>
    <w:rsid w:val="005747D8"/>
    <w:rsid w:val="0057546C"/>
    <w:rsid w:val="00577E9D"/>
    <w:rsid w:val="00580ABA"/>
    <w:rsid w:val="00580D5E"/>
    <w:rsid w:val="00583630"/>
    <w:rsid w:val="00584181"/>
    <w:rsid w:val="00590965"/>
    <w:rsid w:val="00590D0B"/>
    <w:rsid w:val="00592F6F"/>
    <w:rsid w:val="005931BA"/>
    <w:rsid w:val="00593886"/>
    <w:rsid w:val="005948D2"/>
    <w:rsid w:val="00594EC3"/>
    <w:rsid w:val="005A24AC"/>
    <w:rsid w:val="005A2F1F"/>
    <w:rsid w:val="005A51EB"/>
    <w:rsid w:val="005A703C"/>
    <w:rsid w:val="005B0922"/>
    <w:rsid w:val="005B0D83"/>
    <w:rsid w:val="005B1C63"/>
    <w:rsid w:val="005B30D4"/>
    <w:rsid w:val="005B3740"/>
    <w:rsid w:val="005B43B7"/>
    <w:rsid w:val="005C0254"/>
    <w:rsid w:val="005C4E6B"/>
    <w:rsid w:val="005C60F0"/>
    <w:rsid w:val="005D1F4C"/>
    <w:rsid w:val="005D4DB9"/>
    <w:rsid w:val="005D64ED"/>
    <w:rsid w:val="005D6BF2"/>
    <w:rsid w:val="005D7585"/>
    <w:rsid w:val="005D7EBC"/>
    <w:rsid w:val="005E00A2"/>
    <w:rsid w:val="005E0563"/>
    <w:rsid w:val="005E4ECF"/>
    <w:rsid w:val="005E6789"/>
    <w:rsid w:val="005F3FA9"/>
    <w:rsid w:val="005F4A96"/>
    <w:rsid w:val="006035B7"/>
    <w:rsid w:val="0060524B"/>
    <w:rsid w:val="00605A3A"/>
    <w:rsid w:val="006068B7"/>
    <w:rsid w:val="00607805"/>
    <w:rsid w:val="0061038A"/>
    <w:rsid w:val="00611200"/>
    <w:rsid w:val="0061131F"/>
    <w:rsid w:val="006116CF"/>
    <w:rsid w:val="00616774"/>
    <w:rsid w:val="00620EAD"/>
    <w:rsid w:val="00621AEE"/>
    <w:rsid w:val="00623168"/>
    <w:rsid w:val="00623494"/>
    <w:rsid w:val="0062546F"/>
    <w:rsid w:val="00626F3F"/>
    <w:rsid w:val="00627852"/>
    <w:rsid w:val="00634254"/>
    <w:rsid w:val="006364C7"/>
    <w:rsid w:val="00636E2A"/>
    <w:rsid w:val="006403FE"/>
    <w:rsid w:val="00643662"/>
    <w:rsid w:val="00646021"/>
    <w:rsid w:val="006516E5"/>
    <w:rsid w:val="00651DC3"/>
    <w:rsid w:val="00654521"/>
    <w:rsid w:val="00656890"/>
    <w:rsid w:val="00657D27"/>
    <w:rsid w:val="006614E7"/>
    <w:rsid w:val="00662397"/>
    <w:rsid w:val="00663AAF"/>
    <w:rsid w:val="00664909"/>
    <w:rsid w:val="0067026B"/>
    <w:rsid w:val="0067374A"/>
    <w:rsid w:val="00675C58"/>
    <w:rsid w:val="00676239"/>
    <w:rsid w:val="00683835"/>
    <w:rsid w:val="006839CD"/>
    <w:rsid w:val="00684EC1"/>
    <w:rsid w:val="00685E9F"/>
    <w:rsid w:val="006905BB"/>
    <w:rsid w:val="006947E4"/>
    <w:rsid w:val="0069603C"/>
    <w:rsid w:val="00697520"/>
    <w:rsid w:val="00697832"/>
    <w:rsid w:val="006A25FE"/>
    <w:rsid w:val="006A2755"/>
    <w:rsid w:val="006A2F77"/>
    <w:rsid w:val="006A3C13"/>
    <w:rsid w:val="006A47D9"/>
    <w:rsid w:val="006A570A"/>
    <w:rsid w:val="006A69D6"/>
    <w:rsid w:val="006B12FB"/>
    <w:rsid w:val="006B1A4D"/>
    <w:rsid w:val="006B31EE"/>
    <w:rsid w:val="006B4775"/>
    <w:rsid w:val="006B7BEC"/>
    <w:rsid w:val="006B7BFF"/>
    <w:rsid w:val="006C145F"/>
    <w:rsid w:val="006C19C1"/>
    <w:rsid w:val="006C7A1D"/>
    <w:rsid w:val="006D34B2"/>
    <w:rsid w:val="006D5608"/>
    <w:rsid w:val="006D5942"/>
    <w:rsid w:val="006D679A"/>
    <w:rsid w:val="006E2E78"/>
    <w:rsid w:val="006F0D20"/>
    <w:rsid w:val="006F1BED"/>
    <w:rsid w:val="006F239A"/>
    <w:rsid w:val="006F3AF8"/>
    <w:rsid w:val="006F5B7D"/>
    <w:rsid w:val="006F636F"/>
    <w:rsid w:val="00701674"/>
    <w:rsid w:val="00701DFB"/>
    <w:rsid w:val="0070229F"/>
    <w:rsid w:val="007028EB"/>
    <w:rsid w:val="00704B9C"/>
    <w:rsid w:val="0070505A"/>
    <w:rsid w:val="007067FF"/>
    <w:rsid w:val="00707986"/>
    <w:rsid w:val="00707E77"/>
    <w:rsid w:val="0071231B"/>
    <w:rsid w:val="00712AA7"/>
    <w:rsid w:val="00714C9D"/>
    <w:rsid w:val="007205EA"/>
    <w:rsid w:val="0072188E"/>
    <w:rsid w:val="00726AEB"/>
    <w:rsid w:val="0073112C"/>
    <w:rsid w:val="00732176"/>
    <w:rsid w:val="00733363"/>
    <w:rsid w:val="00734DCD"/>
    <w:rsid w:val="00734F89"/>
    <w:rsid w:val="007353B5"/>
    <w:rsid w:val="0074025D"/>
    <w:rsid w:val="0074059D"/>
    <w:rsid w:val="00740CB1"/>
    <w:rsid w:val="00740F4C"/>
    <w:rsid w:val="00741145"/>
    <w:rsid w:val="0074270D"/>
    <w:rsid w:val="0074323F"/>
    <w:rsid w:val="007470F8"/>
    <w:rsid w:val="007470FC"/>
    <w:rsid w:val="00752435"/>
    <w:rsid w:val="00753812"/>
    <w:rsid w:val="0075515B"/>
    <w:rsid w:val="00762083"/>
    <w:rsid w:val="00763366"/>
    <w:rsid w:val="00766443"/>
    <w:rsid w:val="007668D9"/>
    <w:rsid w:val="00771584"/>
    <w:rsid w:val="00775645"/>
    <w:rsid w:val="007803AC"/>
    <w:rsid w:val="00781496"/>
    <w:rsid w:val="007823E1"/>
    <w:rsid w:val="007828EE"/>
    <w:rsid w:val="00782B9C"/>
    <w:rsid w:val="007839CC"/>
    <w:rsid w:val="00783DE6"/>
    <w:rsid w:val="00784E17"/>
    <w:rsid w:val="00785E85"/>
    <w:rsid w:val="00786F8F"/>
    <w:rsid w:val="00790272"/>
    <w:rsid w:val="00792E2A"/>
    <w:rsid w:val="007A060E"/>
    <w:rsid w:val="007A121D"/>
    <w:rsid w:val="007A1D06"/>
    <w:rsid w:val="007A3362"/>
    <w:rsid w:val="007A3875"/>
    <w:rsid w:val="007A3FDD"/>
    <w:rsid w:val="007A40E8"/>
    <w:rsid w:val="007A41F2"/>
    <w:rsid w:val="007A7670"/>
    <w:rsid w:val="007B03B2"/>
    <w:rsid w:val="007B0DA7"/>
    <w:rsid w:val="007B17BE"/>
    <w:rsid w:val="007B60C1"/>
    <w:rsid w:val="007B624E"/>
    <w:rsid w:val="007B6619"/>
    <w:rsid w:val="007C2028"/>
    <w:rsid w:val="007C3553"/>
    <w:rsid w:val="007C523F"/>
    <w:rsid w:val="007C52DE"/>
    <w:rsid w:val="007D00B3"/>
    <w:rsid w:val="007D5736"/>
    <w:rsid w:val="007D6C18"/>
    <w:rsid w:val="007D7C9A"/>
    <w:rsid w:val="007E045D"/>
    <w:rsid w:val="007E1142"/>
    <w:rsid w:val="007E12EA"/>
    <w:rsid w:val="007E1F0B"/>
    <w:rsid w:val="007E6F28"/>
    <w:rsid w:val="007F10C9"/>
    <w:rsid w:val="007F186B"/>
    <w:rsid w:val="007F3E2C"/>
    <w:rsid w:val="007F443E"/>
    <w:rsid w:val="007F4DA9"/>
    <w:rsid w:val="007F5449"/>
    <w:rsid w:val="007F78AA"/>
    <w:rsid w:val="00800384"/>
    <w:rsid w:val="008014E8"/>
    <w:rsid w:val="00801DE0"/>
    <w:rsid w:val="00801E02"/>
    <w:rsid w:val="00802AE5"/>
    <w:rsid w:val="008036D7"/>
    <w:rsid w:val="008043A2"/>
    <w:rsid w:val="00805236"/>
    <w:rsid w:val="00807FFB"/>
    <w:rsid w:val="0081081F"/>
    <w:rsid w:val="008144FC"/>
    <w:rsid w:val="00827C62"/>
    <w:rsid w:val="00831121"/>
    <w:rsid w:val="00831B7B"/>
    <w:rsid w:val="008341B1"/>
    <w:rsid w:val="00840D9C"/>
    <w:rsid w:val="008452F8"/>
    <w:rsid w:val="008475B9"/>
    <w:rsid w:val="00850661"/>
    <w:rsid w:val="00850700"/>
    <w:rsid w:val="008508F2"/>
    <w:rsid w:val="008514A6"/>
    <w:rsid w:val="00852A91"/>
    <w:rsid w:val="00854443"/>
    <w:rsid w:val="008636D7"/>
    <w:rsid w:val="008640EB"/>
    <w:rsid w:val="008641FB"/>
    <w:rsid w:val="008652BC"/>
    <w:rsid w:val="008726FE"/>
    <w:rsid w:val="00873499"/>
    <w:rsid w:val="00874DA1"/>
    <w:rsid w:val="008757FE"/>
    <w:rsid w:val="00885243"/>
    <w:rsid w:val="008852BB"/>
    <w:rsid w:val="008853DB"/>
    <w:rsid w:val="008859F0"/>
    <w:rsid w:val="00887F7B"/>
    <w:rsid w:val="008901CC"/>
    <w:rsid w:val="0089177E"/>
    <w:rsid w:val="00892145"/>
    <w:rsid w:val="008948AE"/>
    <w:rsid w:val="00895C1A"/>
    <w:rsid w:val="0089707D"/>
    <w:rsid w:val="008A1C37"/>
    <w:rsid w:val="008A39A7"/>
    <w:rsid w:val="008A4E93"/>
    <w:rsid w:val="008A5962"/>
    <w:rsid w:val="008A75C6"/>
    <w:rsid w:val="008B56A4"/>
    <w:rsid w:val="008B6E2D"/>
    <w:rsid w:val="008C23E8"/>
    <w:rsid w:val="008C4FE4"/>
    <w:rsid w:val="008C563B"/>
    <w:rsid w:val="008C6D92"/>
    <w:rsid w:val="008C7CDB"/>
    <w:rsid w:val="008D1079"/>
    <w:rsid w:val="008D39C0"/>
    <w:rsid w:val="008D6DD4"/>
    <w:rsid w:val="008D70DE"/>
    <w:rsid w:val="008E0B2A"/>
    <w:rsid w:val="008E21CF"/>
    <w:rsid w:val="008E229E"/>
    <w:rsid w:val="008E5078"/>
    <w:rsid w:val="008E5BFB"/>
    <w:rsid w:val="008F5B56"/>
    <w:rsid w:val="008F6FEC"/>
    <w:rsid w:val="008F779D"/>
    <w:rsid w:val="00902B35"/>
    <w:rsid w:val="00905823"/>
    <w:rsid w:val="009074D1"/>
    <w:rsid w:val="00907C97"/>
    <w:rsid w:val="00911251"/>
    <w:rsid w:val="00915944"/>
    <w:rsid w:val="00916FBA"/>
    <w:rsid w:val="009303A1"/>
    <w:rsid w:val="00931EDC"/>
    <w:rsid w:val="00940C30"/>
    <w:rsid w:val="00941C58"/>
    <w:rsid w:val="00942ECC"/>
    <w:rsid w:val="00943CBD"/>
    <w:rsid w:val="00951CC3"/>
    <w:rsid w:val="009532C4"/>
    <w:rsid w:val="00954492"/>
    <w:rsid w:val="00955A73"/>
    <w:rsid w:val="009621A7"/>
    <w:rsid w:val="00964F38"/>
    <w:rsid w:val="00965724"/>
    <w:rsid w:val="009671B1"/>
    <w:rsid w:val="00967604"/>
    <w:rsid w:val="00977641"/>
    <w:rsid w:val="00980754"/>
    <w:rsid w:val="00982772"/>
    <w:rsid w:val="009827B0"/>
    <w:rsid w:val="0098619C"/>
    <w:rsid w:val="009871AD"/>
    <w:rsid w:val="00987481"/>
    <w:rsid w:val="0099025D"/>
    <w:rsid w:val="00990536"/>
    <w:rsid w:val="00994BBE"/>
    <w:rsid w:val="00995DCE"/>
    <w:rsid w:val="009A1ABB"/>
    <w:rsid w:val="009A3345"/>
    <w:rsid w:val="009B5F6C"/>
    <w:rsid w:val="009B7F34"/>
    <w:rsid w:val="009C1040"/>
    <w:rsid w:val="009C2FB0"/>
    <w:rsid w:val="009C31EA"/>
    <w:rsid w:val="009C40C0"/>
    <w:rsid w:val="009C764A"/>
    <w:rsid w:val="009C7B9F"/>
    <w:rsid w:val="009D117B"/>
    <w:rsid w:val="009D2446"/>
    <w:rsid w:val="009D2F0D"/>
    <w:rsid w:val="009D4989"/>
    <w:rsid w:val="009D7E32"/>
    <w:rsid w:val="009E04C7"/>
    <w:rsid w:val="009E08CF"/>
    <w:rsid w:val="009E6634"/>
    <w:rsid w:val="009F1AFB"/>
    <w:rsid w:val="009F2572"/>
    <w:rsid w:val="00A002F6"/>
    <w:rsid w:val="00A00DA2"/>
    <w:rsid w:val="00A035C6"/>
    <w:rsid w:val="00A04236"/>
    <w:rsid w:val="00A04414"/>
    <w:rsid w:val="00A04928"/>
    <w:rsid w:val="00A05CB1"/>
    <w:rsid w:val="00A0769A"/>
    <w:rsid w:val="00A07B16"/>
    <w:rsid w:val="00A13B37"/>
    <w:rsid w:val="00A155FE"/>
    <w:rsid w:val="00A1630E"/>
    <w:rsid w:val="00A16BF4"/>
    <w:rsid w:val="00A172FF"/>
    <w:rsid w:val="00A204EB"/>
    <w:rsid w:val="00A222B0"/>
    <w:rsid w:val="00A22551"/>
    <w:rsid w:val="00A24E71"/>
    <w:rsid w:val="00A26922"/>
    <w:rsid w:val="00A27611"/>
    <w:rsid w:val="00A30C44"/>
    <w:rsid w:val="00A3243E"/>
    <w:rsid w:val="00A33220"/>
    <w:rsid w:val="00A3461F"/>
    <w:rsid w:val="00A373C8"/>
    <w:rsid w:val="00A428DD"/>
    <w:rsid w:val="00A4398A"/>
    <w:rsid w:val="00A43CCF"/>
    <w:rsid w:val="00A43E28"/>
    <w:rsid w:val="00A515FE"/>
    <w:rsid w:val="00A55895"/>
    <w:rsid w:val="00A57270"/>
    <w:rsid w:val="00A6124A"/>
    <w:rsid w:val="00A63FDC"/>
    <w:rsid w:val="00A640A0"/>
    <w:rsid w:val="00A70673"/>
    <w:rsid w:val="00A73AD9"/>
    <w:rsid w:val="00A74F83"/>
    <w:rsid w:val="00A75601"/>
    <w:rsid w:val="00A75E53"/>
    <w:rsid w:val="00A76401"/>
    <w:rsid w:val="00A81DC9"/>
    <w:rsid w:val="00A842C6"/>
    <w:rsid w:val="00A84E62"/>
    <w:rsid w:val="00A8777D"/>
    <w:rsid w:val="00A92DAF"/>
    <w:rsid w:val="00A93896"/>
    <w:rsid w:val="00AA20E1"/>
    <w:rsid w:val="00AA290F"/>
    <w:rsid w:val="00AA6443"/>
    <w:rsid w:val="00AA76B3"/>
    <w:rsid w:val="00AB02D6"/>
    <w:rsid w:val="00AB0B96"/>
    <w:rsid w:val="00AB1186"/>
    <w:rsid w:val="00AB3D58"/>
    <w:rsid w:val="00AC1015"/>
    <w:rsid w:val="00AC4B64"/>
    <w:rsid w:val="00AC676A"/>
    <w:rsid w:val="00AC6F4B"/>
    <w:rsid w:val="00AD01F3"/>
    <w:rsid w:val="00AD068C"/>
    <w:rsid w:val="00AD449E"/>
    <w:rsid w:val="00AD656F"/>
    <w:rsid w:val="00AE2DBF"/>
    <w:rsid w:val="00AE4B1B"/>
    <w:rsid w:val="00AE547C"/>
    <w:rsid w:val="00AE6BF0"/>
    <w:rsid w:val="00AE72F1"/>
    <w:rsid w:val="00AE74BE"/>
    <w:rsid w:val="00AF125B"/>
    <w:rsid w:val="00B00026"/>
    <w:rsid w:val="00B020C5"/>
    <w:rsid w:val="00B038A7"/>
    <w:rsid w:val="00B058BF"/>
    <w:rsid w:val="00B1180D"/>
    <w:rsid w:val="00B14560"/>
    <w:rsid w:val="00B15DEC"/>
    <w:rsid w:val="00B2213D"/>
    <w:rsid w:val="00B2388D"/>
    <w:rsid w:val="00B25AC9"/>
    <w:rsid w:val="00B3288F"/>
    <w:rsid w:val="00B3410A"/>
    <w:rsid w:val="00B36B0F"/>
    <w:rsid w:val="00B4301D"/>
    <w:rsid w:val="00B43D3B"/>
    <w:rsid w:val="00B44214"/>
    <w:rsid w:val="00B444F4"/>
    <w:rsid w:val="00B4527C"/>
    <w:rsid w:val="00B45455"/>
    <w:rsid w:val="00B4567E"/>
    <w:rsid w:val="00B463F2"/>
    <w:rsid w:val="00B47A9A"/>
    <w:rsid w:val="00B510CA"/>
    <w:rsid w:val="00B52C68"/>
    <w:rsid w:val="00B54F14"/>
    <w:rsid w:val="00B568F5"/>
    <w:rsid w:val="00B56A94"/>
    <w:rsid w:val="00B5779A"/>
    <w:rsid w:val="00B61285"/>
    <w:rsid w:val="00B65F04"/>
    <w:rsid w:val="00B66B65"/>
    <w:rsid w:val="00B66D0B"/>
    <w:rsid w:val="00B740A8"/>
    <w:rsid w:val="00B74297"/>
    <w:rsid w:val="00B75020"/>
    <w:rsid w:val="00B77A2A"/>
    <w:rsid w:val="00B82C49"/>
    <w:rsid w:val="00B82E47"/>
    <w:rsid w:val="00B82EB6"/>
    <w:rsid w:val="00B849F3"/>
    <w:rsid w:val="00B84FBB"/>
    <w:rsid w:val="00B86F88"/>
    <w:rsid w:val="00B92C7E"/>
    <w:rsid w:val="00B94CE2"/>
    <w:rsid w:val="00B95066"/>
    <w:rsid w:val="00B9594B"/>
    <w:rsid w:val="00B95BE3"/>
    <w:rsid w:val="00B971F3"/>
    <w:rsid w:val="00B97E5F"/>
    <w:rsid w:val="00BA2E7F"/>
    <w:rsid w:val="00BA38D3"/>
    <w:rsid w:val="00BA4C12"/>
    <w:rsid w:val="00BA51ED"/>
    <w:rsid w:val="00BA5AED"/>
    <w:rsid w:val="00BA5B48"/>
    <w:rsid w:val="00BA659E"/>
    <w:rsid w:val="00BB10F7"/>
    <w:rsid w:val="00BB288B"/>
    <w:rsid w:val="00BB5A86"/>
    <w:rsid w:val="00BB6A85"/>
    <w:rsid w:val="00BB722B"/>
    <w:rsid w:val="00BB749F"/>
    <w:rsid w:val="00BC1EF0"/>
    <w:rsid w:val="00BC2A43"/>
    <w:rsid w:val="00BC6203"/>
    <w:rsid w:val="00BC6D2B"/>
    <w:rsid w:val="00BC7004"/>
    <w:rsid w:val="00BC78F0"/>
    <w:rsid w:val="00BC7C6B"/>
    <w:rsid w:val="00BD20ED"/>
    <w:rsid w:val="00BD274B"/>
    <w:rsid w:val="00BD4266"/>
    <w:rsid w:val="00BD642C"/>
    <w:rsid w:val="00BD77D2"/>
    <w:rsid w:val="00BE07FF"/>
    <w:rsid w:val="00BE1274"/>
    <w:rsid w:val="00BE13CB"/>
    <w:rsid w:val="00BE165B"/>
    <w:rsid w:val="00BE2D91"/>
    <w:rsid w:val="00BE4D0A"/>
    <w:rsid w:val="00BE4D97"/>
    <w:rsid w:val="00BE5487"/>
    <w:rsid w:val="00BE719E"/>
    <w:rsid w:val="00BF186A"/>
    <w:rsid w:val="00BF2269"/>
    <w:rsid w:val="00BF2376"/>
    <w:rsid w:val="00BF24AD"/>
    <w:rsid w:val="00C000F6"/>
    <w:rsid w:val="00C01915"/>
    <w:rsid w:val="00C10EE2"/>
    <w:rsid w:val="00C12798"/>
    <w:rsid w:val="00C12DBD"/>
    <w:rsid w:val="00C14495"/>
    <w:rsid w:val="00C14564"/>
    <w:rsid w:val="00C14F93"/>
    <w:rsid w:val="00C15A74"/>
    <w:rsid w:val="00C21266"/>
    <w:rsid w:val="00C22A3E"/>
    <w:rsid w:val="00C22B31"/>
    <w:rsid w:val="00C2396D"/>
    <w:rsid w:val="00C23C0C"/>
    <w:rsid w:val="00C24722"/>
    <w:rsid w:val="00C25B28"/>
    <w:rsid w:val="00C25BB1"/>
    <w:rsid w:val="00C31BEA"/>
    <w:rsid w:val="00C321CE"/>
    <w:rsid w:val="00C32E79"/>
    <w:rsid w:val="00C34AAB"/>
    <w:rsid w:val="00C354B1"/>
    <w:rsid w:val="00C369EE"/>
    <w:rsid w:val="00C40B62"/>
    <w:rsid w:val="00C425E2"/>
    <w:rsid w:val="00C425FD"/>
    <w:rsid w:val="00C44F95"/>
    <w:rsid w:val="00C45DAE"/>
    <w:rsid w:val="00C46AEF"/>
    <w:rsid w:val="00C47C01"/>
    <w:rsid w:val="00C56DF3"/>
    <w:rsid w:val="00C57DBA"/>
    <w:rsid w:val="00C57FFC"/>
    <w:rsid w:val="00C60162"/>
    <w:rsid w:val="00C6463E"/>
    <w:rsid w:val="00C73B8F"/>
    <w:rsid w:val="00C73F0E"/>
    <w:rsid w:val="00C75235"/>
    <w:rsid w:val="00C76898"/>
    <w:rsid w:val="00C768A0"/>
    <w:rsid w:val="00C77885"/>
    <w:rsid w:val="00C77E05"/>
    <w:rsid w:val="00C824F1"/>
    <w:rsid w:val="00C82F54"/>
    <w:rsid w:val="00C83A3E"/>
    <w:rsid w:val="00C847F5"/>
    <w:rsid w:val="00C848A2"/>
    <w:rsid w:val="00C85155"/>
    <w:rsid w:val="00C8582E"/>
    <w:rsid w:val="00C85C30"/>
    <w:rsid w:val="00C86A18"/>
    <w:rsid w:val="00C94773"/>
    <w:rsid w:val="00C96C28"/>
    <w:rsid w:val="00CA0DB2"/>
    <w:rsid w:val="00CA2AED"/>
    <w:rsid w:val="00CA3CED"/>
    <w:rsid w:val="00CA6011"/>
    <w:rsid w:val="00CA63BB"/>
    <w:rsid w:val="00CB1074"/>
    <w:rsid w:val="00CB1CB1"/>
    <w:rsid w:val="00CB1DF3"/>
    <w:rsid w:val="00CB37CE"/>
    <w:rsid w:val="00CB5177"/>
    <w:rsid w:val="00CC06E6"/>
    <w:rsid w:val="00CC1398"/>
    <w:rsid w:val="00CC1994"/>
    <w:rsid w:val="00CC63A3"/>
    <w:rsid w:val="00CC6E4A"/>
    <w:rsid w:val="00CC766F"/>
    <w:rsid w:val="00CD1D94"/>
    <w:rsid w:val="00CD3015"/>
    <w:rsid w:val="00CD5575"/>
    <w:rsid w:val="00CD62D9"/>
    <w:rsid w:val="00CE0689"/>
    <w:rsid w:val="00CE1199"/>
    <w:rsid w:val="00CE36E6"/>
    <w:rsid w:val="00CE524D"/>
    <w:rsid w:val="00CE6C05"/>
    <w:rsid w:val="00CE7A84"/>
    <w:rsid w:val="00CF0070"/>
    <w:rsid w:val="00CF067E"/>
    <w:rsid w:val="00CF07E0"/>
    <w:rsid w:val="00CF1D58"/>
    <w:rsid w:val="00CF3C0B"/>
    <w:rsid w:val="00CF5657"/>
    <w:rsid w:val="00CF57FF"/>
    <w:rsid w:val="00CF6B1D"/>
    <w:rsid w:val="00D00277"/>
    <w:rsid w:val="00D00756"/>
    <w:rsid w:val="00D025C0"/>
    <w:rsid w:val="00D137FC"/>
    <w:rsid w:val="00D15E24"/>
    <w:rsid w:val="00D17BC1"/>
    <w:rsid w:val="00D24BE4"/>
    <w:rsid w:val="00D30127"/>
    <w:rsid w:val="00D301C1"/>
    <w:rsid w:val="00D31054"/>
    <w:rsid w:val="00D3280B"/>
    <w:rsid w:val="00D32B72"/>
    <w:rsid w:val="00D32D91"/>
    <w:rsid w:val="00D3303C"/>
    <w:rsid w:val="00D34051"/>
    <w:rsid w:val="00D40A57"/>
    <w:rsid w:val="00D41FC9"/>
    <w:rsid w:val="00D437F3"/>
    <w:rsid w:val="00D447A4"/>
    <w:rsid w:val="00D4796B"/>
    <w:rsid w:val="00D54C7D"/>
    <w:rsid w:val="00D559D2"/>
    <w:rsid w:val="00D5629B"/>
    <w:rsid w:val="00D620E1"/>
    <w:rsid w:val="00D62887"/>
    <w:rsid w:val="00D65FB2"/>
    <w:rsid w:val="00D669BC"/>
    <w:rsid w:val="00D673BB"/>
    <w:rsid w:val="00D70560"/>
    <w:rsid w:val="00D71B0B"/>
    <w:rsid w:val="00D723FE"/>
    <w:rsid w:val="00D72637"/>
    <w:rsid w:val="00D7363B"/>
    <w:rsid w:val="00D73A60"/>
    <w:rsid w:val="00D74C24"/>
    <w:rsid w:val="00D76612"/>
    <w:rsid w:val="00D77D1F"/>
    <w:rsid w:val="00D80AC1"/>
    <w:rsid w:val="00D81695"/>
    <w:rsid w:val="00D86B5F"/>
    <w:rsid w:val="00D86D74"/>
    <w:rsid w:val="00D8757B"/>
    <w:rsid w:val="00D87BDF"/>
    <w:rsid w:val="00D90134"/>
    <w:rsid w:val="00D908E3"/>
    <w:rsid w:val="00D911F9"/>
    <w:rsid w:val="00D91831"/>
    <w:rsid w:val="00D91ECC"/>
    <w:rsid w:val="00D92400"/>
    <w:rsid w:val="00D92B97"/>
    <w:rsid w:val="00D951F2"/>
    <w:rsid w:val="00DA127A"/>
    <w:rsid w:val="00DA16BA"/>
    <w:rsid w:val="00DA1CCC"/>
    <w:rsid w:val="00DA2BE5"/>
    <w:rsid w:val="00DA61F2"/>
    <w:rsid w:val="00DA7161"/>
    <w:rsid w:val="00DA72D8"/>
    <w:rsid w:val="00DB2238"/>
    <w:rsid w:val="00DB5068"/>
    <w:rsid w:val="00DB74BD"/>
    <w:rsid w:val="00DC327D"/>
    <w:rsid w:val="00DC396C"/>
    <w:rsid w:val="00DC4E82"/>
    <w:rsid w:val="00DC50C0"/>
    <w:rsid w:val="00DC6CEF"/>
    <w:rsid w:val="00DC7087"/>
    <w:rsid w:val="00DC730D"/>
    <w:rsid w:val="00DC7903"/>
    <w:rsid w:val="00DC7D7A"/>
    <w:rsid w:val="00DD4300"/>
    <w:rsid w:val="00DD4A59"/>
    <w:rsid w:val="00DD4B84"/>
    <w:rsid w:val="00DE1329"/>
    <w:rsid w:val="00DE1544"/>
    <w:rsid w:val="00DE1BC8"/>
    <w:rsid w:val="00DE3309"/>
    <w:rsid w:val="00DE6195"/>
    <w:rsid w:val="00DF06BD"/>
    <w:rsid w:val="00DF2432"/>
    <w:rsid w:val="00DF3F5E"/>
    <w:rsid w:val="00DF55F3"/>
    <w:rsid w:val="00DF6BA9"/>
    <w:rsid w:val="00DF7FCC"/>
    <w:rsid w:val="00E009F6"/>
    <w:rsid w:val="00E05282"/>
    <w:rsid w:val="00E05912"/>
    <w:rsid w:val="00E05D35"/>
    <w:rsid w:val="00E07C44"/>
    <w:rsid w:val="00E14A0D"/>
    <w:rsid w:val="00E16D5E"/>
    <w:rsid w:val="00E16EC6"/>
    <w:rsid w:val="00E17D53"/>
    <w:rsid w:val="00E17DC8"/>
    <w:rsid w:val="00E217A7"/>
    <w:rsid w:val="00E2396B"/>
    <w:rsid w:val="00E2534A"/>
    <w:rsid w:val="00E25653"/>
    <w:rsid w:val="00E25C87"/>
    <w:rsid w:val="00E269BD"/>
    <w:rsid w:val="00E30666"/>
    <w:rsid w:val="00E3128B"/>
    <w:rsid w:val="00E31474"/>
    <w:rsid w:val="00E3223A"/>
    <w:rsid w:val="00E32C3A"/>
    <w:rsid w:val="00E34FB2"/>
    <w:rsid w:val="00E35F0A"/>
    <w:rsid w:val="00E36EA7"/>
    <w:rsid w:val="00E4091B"/>
    <w:rsid w:val="00E41309"/>
    <w:rsid w:val="00E42F70"/>
    <w:rsid w:val="00E458D1"/>
    <w:rsid w:val="00E51576"/>
    <w:rsid w:val="00E5186F"/>
    <w:rsid w:val="00E5221B"/>
    <w:rsid w:val="00E52901"/>
    <w:rsid w:val="00E54923"/>
    <w:rsid w:val="00E55B72"/>
    <w:rsid w:val="00E57D1A"/>
    <w:rsid w:val="00E612F3"/>
    <w:rsid w:val="00E63767"/>
    <w:rsid w:val="00E63CE2"/>
    <w:rsid w:val="00E64756"/>
    <w:rsid w:val="00E67141"/>
    <w:rsid w:val="00E71483"/>
    <w:rsid w:val="00E71B1E"/>
    <w:rsid w:val="00E72689"/>
    <w:rsid w:val="00E74684"/>
    <w:rsid w:val="00E80CFF"/>
    <w:rsid w:val="00E84170"/>
    <w:rsid w:val="00E90677"/>
    <w:rsid w:val="00E91641"/>
    <w:rsid w:val="00E91D35"/>
    <w:rsid w:val="00E95E1E"/>
    <w:rsid w:val="00E967BB"/>
    <w:rsid w:val="00E97105"/>
    <w:rsid w:val="00E97E3A"/>
    <w:rsid w:val="00EA2485"/>
    <w:rsid w:val="00EA2F61"/>
    <w:rsid w:val="00EA3021"/>
    <w:rsid w:val="00EA48E9"/>
    <w:rsid w:val="00EA5162"/>
    <w:rsid w:val="00EA5C22"/>
    <w:rsid w:val="00EA5EE0"/>
    <w:rsid w:val="00EA6D90"/>
    <w:rsid w:val="00EB02C0"/>
    <w:rsid w:val="00EB0608"/>
    <w:rsid w:val="00EB555F"/>
    <w:rsid w:val="00EC0268"/>
    <w:rsid w:val="00EC07CA"/>
    <w:rsid w:val="00EC348A"/>
    <w:rsid w:val="00EC457F"/>
    <w:rsid w:val="00EC5649"/>
    <w:rsid w:val="00EC6264"/>
    <w:rsid w:val="00EC6822"/>
    <w:rsid w:val="00ED2D68"/>
    <w:rsid w:val="00ED41F9"/>
    <w:rsid w:val="00ED77DF"/>
    <w:rsid w:val="00ED7EF2"/>
    <w:rsid w:val="00EE3315"/>
    <w:rsid w:val="00EE371C"/>
    <w:rsid w:val="00EE3B39"/>
    <w:rsid w:val="00EF0582"/>
    <w:rsid w:val="00EF21C9"/>
    <w:rsid w:val="00EF276C"/>
    <w:rsid w:val="00EF2829"/>
    <w:rsid w:val="00EF4916"/>
    <w:rsid w:val="00EF5D38"/>
    <w:rsid w:val="00EF5D84"/>
    <w:rsid w:val="00EF5DAE"/>
    <w:rsid w:val="00EF6D9D"/>
    <w:rsid w:val="00F00AEC"/>
    <w:rsid w:val="00F01546"/>
    <w:rsid w:val="00F024F3"/>
    <w:rsid w:val="00F04406"/>
    <w:rsid w:val="00F04EE6"/>
    <w:rsid w:val="00F05491"/>
    <w:rsid w:val="00F06B87"/>
    <w:rsid w:val="00F07FF3"/>
    <w:rsid w:val="00F14B0C"/>
    <w:rsid w:val="00F15A1B"/>
    <w:rsid w:val="00F16346"/>
    <w:rsid w:val="00F17785"/>
    <w:rsid w:val="00F21BB5"/>
    <w:rsid w:val="00F3093B"/>
    <w:rsid w:val="00F31BDD"/>
    <w:rsid w:val="00F31EAE"/>
    <w:rsid w:val="00F3295E"/>
    <w:rsid w:val="00F344DA"/>
    <w:rsid w:val="00F34F2B"/>
    <w:rsid w:val="00F34FE4"/>
    <w:rsid w:val="00F353C4"/>
    <w:rsid w:val="00F359CA"/>
    <w:rsid w:val="00F43824"/>
    <w:rsid w:val="00F44D08"/>
    <w:rsid w:val="00F45CBE"/>
    <w:rsid w:val="00F4648C"/>
    <w:rsid w:val="00F477B5"/>
    <w:rsid w:val="00F50C6C"/>
    <w:rsid w:val="00F5326F"/>
    <w:rsid w:val="00F54DBA"/>
    <w:rsid w:val="00F54E65"/>
    <w:rsid w:val="00F65FF6"/>
    <w:rsid w:val="00F6624A"/>
    <w:rsid w:val="00F716FC"/>
    <w:rsid w:val="00F720DE"/>
    <w:rsid w:val="00F74212"/>
    <w:rsid w:val="00F7754C"/>
    <w:rsid w:val="00F77E13"/>
    <w:rsid w:val="00F80D63"/>
    <w:rsid w:val="00F81F0A"/>
    <w:rsid w:val="00F83BBC"/>
    <w:rsid w:val="00F8417C"/>
    <w:rsid w:val="00F8771C"/>
    <w:rsid w:val="00F91740"/>
    <w:rsid w:val="00F92BF7"/>
    <w:rsid w:val="00F93012"/>
    <w:rsid w:val="00F939C1"/>
    <w:rsid w:val="00F94DAA"/>
    <w:rsid w:val="00F95879"/>
    <w:rsid w:val="00F95F68"/>
    <w:rsid w:val="00F9658E"/>
    <w:rsid w:val="00F97499"/>
    <w:rsid w:val="00FA18B9"/>
    <w:rsid w:val="00FB37F4"/>
    <w:rsid w:val="00FB4651"/>
    <w:rsid w:val="00FB4D9C"/>
    <w:rsid w:val="00FB518C"/>
    <w:rsid w:val="00FB5B34"/>
    <w:rsid w:val="00FC04D4"/>
    <w:rsid w:val="00FC1395"/>
    <w:rsid w:val="00FC17C6"/>
    <w:rsid w:val="00FC1BFE"/>
    <w:rsid w:val="00FC1F5C"/>
    <w:rsid w:val="00FC3AF7"/>
    <w:rsid w:val="00FC55BF"/>
    <w:rsid w:val="00FC607B"/>
    <w:rsid w:val="00FC6751"/>
    <w:rsid w:val="00FD0D62"/>
    <w:rsid w:val="00FD0D8D"/>
    <w:rsid w:val="00FD15F1"/>
    <w:rsid w:val="00FD1EDC"/>
    <w:rsid w:val="00FD2110"/>
    <w:rsid w:val="00FD2DAB"/>
    <w:rsid w:val="00FD7BB3"/>
    <w:rsid w:val="00FE05A8"/>
    <w:rsid w:val="00FE1A90"/>
    <w:rsid w:val="00FE26E2"/>
    <w:rsid w:val="00FE2C92"/>
    <w:rsid w:val="00FE6970"/>
    <w:rsid w:val="00FE6AB9"/>
    <w:rsid w:val="00FF0731"/>
    <w:rsid w:val="00FF20A7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448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Char"/>
    <w:uiPriority w:val="9"/>
    <w:qFormat/>
    <w:rsid w:val="00EF5D38"/>
    <w:pPr>
      <w:numPr>
        <w:numId w:val="2"/>
      </w:numPr>
      <w:suppressAutoHyphens/>
      <w:spacing w:after="0" w:line="100" w:lineRule="atLeast"/>
      <w:outlineLvl w:val="0"/>
    </w:pPr>
    <w:rPr>
      <w:rFonts w:ascii="Times New Roman" w:eastAsia="Times New Roman" w:hAnsi="Times New Roman" w:cs="Times New Roman"/>
      <w:b/>
      <w:kern w:val="1"/>
      <w:sz w:val="56"/>
      <w:szCs w:val="24"/>
      <w:u w:val="single"/>
      <w:lang w:eastAsia="ar-SA"/>
    </w:rPr>
  </w:style>
  <w:style w:type="paragraph" w:styleId="2">
    <w:name w:val="heading 2"/>
    <w:basedOn w:val="a"/>
    <w:next w:val="a"/>
    <w:link w:val="2Char"/>
    <w:uiPriority w:val="9"/>
    <w:qFormat/>
    <w:rsid w:val="00EF5D38"/>
    <w:pPr>
      <w:keepNext/>
      <w:suppressAutoHyphens/>
      <w:spacing w:before="240" w:after="60" w:line="100" w:lineRule="atLeast"/>
      <w:outlineLvl w:val="1"/>
    </w:pPr>
    <w:rPr>
      <w:rFonts w:ascii="Times New Roman" w:eastAsia="Times New Roman" w:hAnsi="Times New Roman" w:cs="Times New Roman"/>
      <w:b/>
      <w:bCs/>
      <w:iCs/>
      <w:kern w:val="1"/>
      <w:sz w:val="28"/>
      <w:szCs w:val="28"/>
      <w:u w:val="single"/>
      <w:lang w:eastAsia="ar-SA"/>
    </w:rPr>
  </w:style>
  <w:style w:type="paragraph" w:styleId="3">
    <w:name w:val="heading 3"/>
    <w:basedOn w:val="a"/>
    <w:next w:val="a0"/>
    <w:link w:val="3Char"/>
    <w:uiPriority w:val="9"/>
    <w:qFormat/>
    <w:rsid w:val="00EF5D38"/>
    <w:pPr>
      <w:keepNext/>
      <w:suppressAutoHyphens/>
      <w:spacing w:before="200" w:after="0" w:line="100" w:lineRule="atLeast"/>
      <w:outlineLvl w:val="2"/>
    </w:pPr>
    <w:rPr>
      <w:rFonts w:ascii="Times New Roman" w:eastAsia="Times New Roman" w:hAnsi="Times New Roman" w:cs="font246"/>
      <w:b/>
      <w:bCs/>
      <w:kern w:val="1"/>
      <w:sz w:val="24"/>
      <w:szCs w:val="24"/>
      <w:u w:val="single"/>
      <w:lang w:eastAsia="ar-SA"/>
    </w:rPr>
  </w:style>
  <w:style w:type="paragraph" w:styleId="4">
    <w:name w:val="heading 4"/>
    <w:basedOn w:val="a"/>
    <w:next w:val="a"/>
    <w:link w:val="4Char"/>
    <w:uiPriority w:val="9"/>
    <w:qFormat/>
    <w:rsid w:val="00EF5D38"/>
    <w:pPr>
      <w:keepNext/>
      <w:keepLines/>
      <w:tabs>
        <w:tab w:val="num" w:pos="1247"/>
      </w:tabs>
      <w:spacing w:before="200" w:after="0" w:line="360" w:lineRule="auto"/>
      <w:ind w:left="1077" w:hanging="170"/>
      <w:jc w:val="both"/>
      <w:outlineLvl w:val="3"/>
    </w:pPr>
    <w:rPr>
      <w:rFonts w:ascii="Times New Roman" w:eastAsia="Times New Roman" w:hAnsi="Times New Roman" w:cs="Times New Roman"/>
      <w:bCs/>
      <w:iCs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32465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6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页眉 Char"/>
    <w:basedOn w:val="a1"/>
    <w:link w:val="a5"/>
    <w:uiPriority w:val="99"/>
    <w:rsid w:val="00F6624A"/>
  </w:style>
  <w:style w:type="paragraph" w:styleId="a6">
    <w:name w:val="footer"/>
    <w:basedOn w:val="a"/>
    <w:link w:val="Char0"/>
    <w:uiPriority w:val="99"/>
    <w:unhideWhenUsed/>
    <w:rsid w:val="00F6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脚 Char"/>
    <w:basedOn w:val="a1"/>
    <w:link w:val="a6"/>
    <w:uiPriority w:val="99"/>
    <w:rsid w:val="00F6624A"/>
  </w:style>
  <w:style w:type="character" w:customStyle="1" w:styleId="1Char">
    <w:name w:val="标题 1 Char"/>
    <w:basedOn w:val="a1"/>
    <w:link w:val="1"/>
    <w:uiPriority w:val="9"/>
    <w:rsid w:val="00EF5D38"/>
    <w:rPr>
      <w:rFonts w:ascii="Times New Roman" w:eastAsia="Times New Roman" w:hAnsi="Times New Roman" w:cs="Times New Roman"/>
      <w:b/>
      <w:kern w:val="1"/>
      <w:sz w:val="56"/>
      <w:szCs w:val="24"/>
      <w:u w:val="single"/>
      <w:lang w:eastAsia="ar-SA"/>
    </w:rPr>
  </w:style>
  <w:style w:type="character" w:customStyle="1" w:styleId="2Char">
    <w:name w:val="标题 2 Char"/>
    <w:basedOn w:val="a1"/>
    <w:link w:val="2"/>
    <w:uiPriority w:val="9"/>
    <w:rsid w:val="00EF5D38"/>
    <w:rPr>
      <w:rFonts w:ascii="Times New Roman" w:eastAsia="Times New Roman" w:hAnsi="Times New Roman" w:cs="Times New Roman"/>
      <w:b/>
      <w:bCs/>
      <w:iCs/>
      <w:kern w:val="1"/>
      <w:sz w:val="28"/>
      <w:szCs w:val="28"/>
      <w:u w:val="single"/>
      <w:lang w:eastAsia="ar-SA"/>
    </w:rPr>
  </w:style>
  <w:style w:type="character" w:customStyle="1" w:styleId="3Char">
    <w:name w:val="标题 3 Char"/>
    <w:basedOn w:val="a1"/>
    <w:link w:val="3"/>
    <w:uiPriority w:val="9"/>
    <w:rsid w:val="00EF5D38"/>
    <w:rPr>
      <w:rFonts w:ascii="Times New Roman" w:eastAsia="Times New Roman" w:hAnsi="Times New Roman" w:cs="font246"/>
      <w:b/>
      <w:bCs/>
      <w:kern w:val="1"/>
      <w:sz w:val="24"/>
      <w:szCs w:val="24"/>
      <w:u w:val="single"/>
      <w:lang w:eastAsia="ar-SA"/>
    </w:rPr>
  </w:style>
  <w:style w:type="character" w:customStyle="1" w:styleId="4Char">
    <w:name w:val="标题 4 Char"/>
    <w:basedOn w:val="a1"/>
    <w:link w:val="4"/>
    <w:uiPriority w:val="9"/>
    <w:rsid w:val="00EF5D38"/>
    <w:rPr>
      <w:rFonts w:ascii="Times New Roman" w:eastAsia="Times New Roman" w:hAnsi="Times New Roman" w:cs="Times New Roman"/>
      <w:bCs/>
      <w:iCs/>
      <w:sz w:val="24"/>
      <w:u w:val="single"/>
    </w:rPr>
  </w:style>
  <w:style w:type="character" w:customStyle="1" w:styleId="WW8Num2z0">
    <w:name w:val="WW8Num2z0"/>
    <w:rsid w:val="00EF5D38"/>
    <w:rPr>
      <w:rFonts w:ascii="Calibri" w:hAnsi="Calibri" w:cs="Arial"/>
    </w:rPr>
  </w:style>
  <w:style w:type="character" w:customStyle="1" w:styleId="WW8Num2z1">
    <w:name w:val="WW8Num2z1"/>
    <w:rsid w:val="00EF5D38"/>
    <w:rPr>
      <w:rFonts w:ascii="Courier New" w:hAnsi="Courier New" w:cs="Courier New"/>
    </w:rPr>
  </w:style>
  <w:style w:type="character" w:customStyle="1" w:styleId="WW8Num2z2">
    <w:name w:val="WW8Num2z2"/>
    <w:rsid w:val="00EF5D38"/>
    <w:rPr>
      <w:rFonts w:ascii="Wingdings" w:hAnsi="Wingdings"/>
    </w:rPr>
  </w:style>
  <w:style w:type="character" w:customStyle="1" w:styleId="WW8Num2z3">
    <w:name w:val="WW8Num2z3"/>
    <w:rsid w:val="00EF5D38"/>
    <w:rPr>
      <w:rFonts w:ascii="Symbol" w:hAnsi="Symbol"/>
    </w:rPr>
  </w:style>
  <w:style w:type="character" w:customStyle="1" w:styleId="Absatz-Standardschriftart">
    <w:name w:val="Absatz-Standardschriftart"/>
    <w:rsid w:val="00EF5D38"/>
  </w:style>
  <w:style w:type="character" w:customStyle="1" w:styleId="Policepardfaut1">
    <w:name w:val="Police par défaut1"/>
    <w:rsid w:val="00EF5D38"/>
  </w:style>
  <w:style w:type="character" w:styleId="a7">
    <w:name w:val="Emphasis"/>
    <w:uiPriority w:val="20"/>
    <w:qFormat/>
    <w:rsid w:val="00EF5D38"/>
    <w:rPr>
      <w:i/>
      <w:iCs/>
    </w:rPr>
  </w:style>
  <w:style w:type="character" w:customStyle="1" w:styleId="apple-converted-space">
    <w:name w:val="apple-converted-space"/>
    <w:rsid w:val="00EF5D38"/>
  </w:style>
  <w:style w:type="character" w:customStyle="1" w:styleId="jrnl">
    <w:name w:val="jrnl"/>
    <w:rsid w:val="00EF5D38"/>
  </w:style>
  <w:style w:type="character" w:styleId="a8">
    <w:name w:val="Hyperlink"/>
    <w:uiPriority w:val="99"/>
    <w:rsid w:val="00EF5D38"/>
    <w:rPr>
      <w:color w:val="0000FF"/>
      <w:u w:val="single"/>
    </w:rPr>
  </w:style>
  <w:style w:type="character" w:customStyle="1" w:styleId="highlight">
    <w:name w:val="highlight"/>
    <w:rsid w:val="00EF5D38"/>
  </w:style>
  <w:style w:type="character" w:customStyle="1" w:styleId="nlmon-behalf-of">
    <w:name w:val="nlm_on-behalf-of"/>
    <w:rsid w:val="00EF5D38"/>
  </w:style>
  <w:style w:type="character" w:customStyle="1" w:styleId="citation">
    <w:name w:val="citation"/>
    <w:rsid w:val="00EF5D38"/>
  </w:style>
  <w:style w:type="character" w:customStyle="1" w:styleId="Marquedecommentaire1">
    <w:name w:val="Marque de commentaire1"/>
    <w:rsid w:val="00EF5D38"/>
    <w:rPr>
      <w:sz w:val="16"/>
      <w:szCs w:val="16"/>
    </w:rPr>
  </w:style>
  <w:style w:type="character" w:customStyle="1" w:styleId="CommentaireCar">
    <w:name w:val="Commentaire Car"/>
    <w:uiPriority w:val="99"/>
    <w:rsid w:val="00EF5D38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uiPriority w:val="99"/>
    <w:rsid w:val="00EF5D3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edebullesCar">
    <w:name w:val="Texte de bulles Car"/>
    <w:uiPriority w:val="99"/>
    <w:rsid w:val="00EF5D38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sid w:val="00EF5D38"/>
    <w:rPr>
      <w:rFonts w:eastAsia="Times New Roman" w:cs="Arial"/>
    </w:rPr>
  </w:style>
  <w:style w:type="character" w:customStyle="1" w:styleId="ListLabel2">
    <w:name w:val="ListLabel 2"/>
    <w:rsid w:val="00EF5D38"/>
    <w:rPr>
      <w:rFonts w:cs="Courier New"/>
    </w:rPr>
  </w:style>
  <w:style w:type="character" w:customStyle="1" w:styleId="Puces">
    <w:name w:val="Puces"/>
    <w:rsid w:val="00EF5D38"/>
    <w:rPr>
      <w:rFonts w:ascii="OpenSymbol" w:eastAsia="OpenSymbol" w:hAnsi="OpenSymbol" w:cs="OpenSymbol"/>
    </w:rPr>
  </w:style>
  <w:style w:type="paragraph" w:customStyle="1" w:styleId="Titre3">
    <w:name w:val="Titre3"/>
    <w:basedOn w:val="a"/>
    <w:next w:val="a0"/>
    <w:uiPriority w:val="99"/>
    <w:rsid w:val="00EF5D38"/>
    <w:pPr>
      <w:keepNext/>
      <w:suppressAutoHyphens/>
      <w:spacing w:before="240" w:after="120" w:line="100" w:lineRule="atLeast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basedOn w:val="a"/>
    <w:link w:val="Char1"/>
    <w:uiPriority w:val="99"/>
    <w:rsid w:val="00EF5D3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har1">
    <w:name w:val="正文文本 Char"/>
    <w:basedOn w:val="a1"/>
    <w:link w:val="a0"/>
    <w:uiPriority w:val="99"/>
    <w:rsid w:val="00EF5D3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0"/>
    <w:rsid w:val="00EF5D38"/>
    <w:rPr>
      <w:rFonts w:cs="Tahoma"/>
    </w:rPr>
  </w:style>
  <w:style w:type="paragraph" w:customStyle="1" w:styleId="Lgende1">
    <w:name w:val="Légende1"/>
    <w:basedOn w:val="a"/>
    <w:rsid w:val="00EF5D38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a"/>
    <w:rsid w:val="00EF5D38"/>
    <w:pPr>
      <w:suppressLineNumbers/>
      <w:suppressAutoHyphens/>
      <w:spacing w:after="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desc">
    <w:name w:val="desc"/>
    <w:basedOn w:val="a"/>
    <w:uiPriority w:val="99"/>
    <w:rsid w:val="00EF5D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tails">
    <w:name w:val="details"/>
    <w:basedOn w:val="a"/>
    <w:uiPriority w:val="99"/>
    <w:rsid w:val="00EF5D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itre1">
    <w:name w:val="Titre1"/>
    <w:basedOn w:val="a"/>
    <w:uiPriority w:val="99"/>
    <w:rsid w:val="00EF5D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aragraphedeliste1">
    <w:name w:val="Paragraphe de liste1"/>
    <w:basedOn w:val="a"/>
    <w:rsid w:val="00EF5D3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uthors">
    <w:name w:val="authors"/>
    <w:basedOn w:val="a"/>
    <w:rsid w:val="00EF5D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itationline">
    <w:name w:val="citationline"/>
    <w:basedOn w:val="a"/>
    <w:rsid w:val="00EF5D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mmentaire1">
    <w:name w:val="Commentaire1"/>
    <w:basedOn w:val="a"/>
    <w:rsid w:val="00EF5D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Objetducommentaire1">
    <w:name w:val="Objet du commentaire1"/>
    <w:rsid w:val="00EF5D38"/>
    <w:pPr>
      <w:widowControl w:val="0"/>
      <w:suppressAutoHyphens/>
    </w:pPr>
    <w:rPr>
      <w:rFonts w:ascii="Calibri" w:eastAsia="Arial Unicode MS" w:hAnsi="Calibri" w:cs="font246"/>
      <w:b/>
      <w:bCs/>
      <w:kern w:val="1"/>
      <w:lang w:eastAsia="ar-SA"/>
    </w:rPr>
  </w:style>
  <w:style w:type="paragraph" w:customStyle="1" w:styleId="Textedebulles1">
    <w:name w:val="Texte de bulles1"/>
    <w:basedOn w:val="a"/>
    <w:rsid w:val="00EF5D38"/>
    <w:pPr>
      <w:suppressAutoHyphens/>
      <w:spacing w:after="0" w:line="100" w:lineRule="atLeast"/>
    </w:pPr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Titre2">
    <w:name w:val="Titre2"/>
    <w:basedOn w:val="a"/>
    <w:uiPriority w:val="99"/>
    <w:rsid w:val="00EF5D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itle1">
    <w:name w:val="title1"/>
    <w:basedOn w:val="a"/>
    <w:rsid w:val="00EF5D38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a"/>
    <w:rsid w:val="00EF5D3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a"/>
    <w:rsid w:val="00EF5D3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yiv1170352340msonormal">
    <w:name w:val="yiv1170352340msonormal"/>
    <w:basedOn w:val="a"/>
    <w:uiPriority w:val="99"/>
    <w:rsid w:val="00EF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EF5D38"/>
    <w:pPr>
      <w:spacing w:before="120" w:after="120" w:line="240" w:lineRule="auto"/>
    </w:pPr>
    <w:rPr>
      <w:rFonts w:ascii="Arial" w:eastAsia="Times New Roman" w:hAnsi="Arial" w:cs="Times New Roman"/>
      <w:b/>
      <w:bCs/>
      <w:sz w:val="18"/>
      <w:szCs w:val="20"/>
      <w:lang w:val="en-GB"/>
    </w:rPr>
  </w:style>
  <w:style w:type="character" w:styleId="ab">
    <w:name w:val="annotation reference"/>
    <w:uiPriority w:val="99"/>
    <w:semiHidden/>
    <w:unhideWhenUsed/>
    <w:rsid w:val="00EF5D38"/>
    <w:rPr>
      <w:sz w:val="16"/>
      <w:szCs w:val="16"/>
    </w:rPr>
  </w:style>
  <w:style w:type="paragraph" w:styleId="ac">
    <w:name w:val="annotation text"/>
    <w:basedOn w:val="a"/>
    <w:link w:val="Char2"/>
    <w:unhideWhenUsed/>
    <w:rsid w:val="00EF5D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Char2">
    <w:name w:val="批注文字 Char"/>
    <w:basedOn w:val="a1"/>
    <w:link w:val="ac"/>
    <w:rsid w:val="00EF5D3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F5D38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EF5D38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e">
    <w:name w:val="Balloon Text"/>
    <w:basedOn w:val="a"/>
    <w:link w:val="Char4"/>
    <w:uiPriority w:val="99"/>
    <w:semiHidden/>
    <w:unhideWhenUsed/>
    <w:rsid w:val="00EF5D38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8"/>
      <w:lang w:val="en-US" w:eastAsia="ar-SA"/>
    </w:rPr>
  </w:style>
  <w:style w:type="character" w:customStyle="1" w:styleId="Char4">
    <w:name w:val="批注框文本 Char"/>
    <w:basedOn w:val="a1"/>
    <w:link w:val="ae"/>
    <w:uiPriority w:val="99"/>
    <w:semiHidden/>
    <w:rsid w:val="00EF5D38"/>
    <w:rPr>
      <w:rFonts w:ascii="Tahoma" w:eastAsia="Times New Roman" w:hAnsi="Tahoma" w:cs="Tahoma"/>
      <w:kern w:val="1"/>
      <w:sz w:val="16"/>
      <w:szCs w:val="18"/>
      <w:lang w:val="en-US" w:eastAsia="ar-SA"/>
    </w:rPr>
  </w:style>
  <w:style w:type="paragraph" w:customStyle="1" w:styleId="ListParagraph1">
    <w:name w:val="List Paragraph1"/>
    <w:basedOn w:val="a"/>
    <w:uiPriority w:val="99"/>
    <w:rsid w:val="00EF5D3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lmsource">
    <w:name w:val="nlm_source"/>
    <w:uiPriority w:val="99"/>
    <w:rsid w:val="00EF5D38"/>
    <w:rPr>
      <w:rFonts w:cs="Times New Roman"/>
    </w:rPr>
  </w:style>
  <w:style w:type="paragraph" w:customStyle="1" w:styleId="Titre4">
    <w:name w:val="Titre4"/>
    <w:basedOn w:val="a"/>
    <w:rsid w:val="00EF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t">
    <w:name w:val="hit"/>
    <w:rsid w:val="00EF5D38"/>
    <w:rPr>
      <w:shd w:val="clear" w:color="auto" w:fill="FFFF99"/>
    </w:rPr>
  </w:style>
  <w:style w:type="table" w:styleId="af">
    <w:name w:val="Table Grid"/>
    <w:basedOn w:val="a2"/>
    <w:uiPriority w:val="39"/>
    <w:rsid w:val="00EF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qFormat/>
    <w:rsid w:val="00EF5D38"/>
    <w:pPr>
      <w:keepNext/>
      <w:keepLines/>
      <w:numPr>
        <w:numId w:val="0"/>
      </w:numPr>
      <w:suppressAutoHyphens w:val="0"/>
      <w:spacing w:before="24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  <w:u w:val="none"/>
      <w:lang w:eastAsia="fr-FR"/>
    </w:rPr>
  </w:style>
  <w:style w:type="paragraph" w:styleId="20">
    <w:name w:val="toc 2"/>
    <w:basedOn w:val="a"/>
    <w:next w:val="a"/>
    <w:autoRedefine/>
    <w:uiPriority w:val="39"/>
    <w:unhideWhenUsed/>
    <w:rsid w:val="00EF5D38"/>
    <w:pPr>
      <w:suppressAutoHyphens/>
      <w:spacing w:after="0" w:line="100" w:lineRule="atLeast"/>
      <w:ind w:left="2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0">
    <w:name w:val="toc 3"/>
    <w:basedOn w:val="a"/>
    <w:next w:val="a"/>
    <w:autoRedefine/>
    <w:uiPriority w:val="39"/>
    <w:unhideWhenUsed/>
    <w:rsid w:val="00EF5D38"/>
    <w:pPr>
      <w:suppressAutoHyphens/>
      <w:spacing w:after="0" w:line="100" w:lineRule="atLeast"/>
      <w:ind w:left="48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0">
    <w:name w:val="toc 1"/>
    <w:basedOn w:val="a"/>
    <w:next w:val="a"/>
    <w:autoRedefine/>
    <w:uiPriority w:val="39"/>
    <w:unhideWhenUsed/>
    <w:rsid w:val="00EF5D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uthornames">
    <w:name w:val="authornames"/>
    <w:basedOn w:val="a1"/>
    <w:rsid w:val="00EF5D38"/>
  </w:style>
  <w:style w:type="character" w:styleId="af0">
    <w:name w:val="FollowedHyperlink"/>
    <w:basedOn w:val="a1"/>
    <w:uiPriority w:val="99"/>
    <w:semiHidden/>
    <w:unhideWhenUsed/>
    <w:rsid w:val="00316513"/>
    <w:rPr>
      <w:color w:val="800080" w:themeColor="followedHyperlink"/>
      <w:u w:val="single"/>
    </w:rPr>
  </w:style>
  <w:style w:type="character" w:customStyle="1" w:styleId="Pagedetitre1Car">
    <w:name w:val="Page de titre 1 Car"/>
    <w:link w:val="Pagedetitre1"/>
    <w:uiPriority w:val="99"/>
    <w:locked/>
    <w:rsid w:val="00316513"/>
    <w:rPr>
      <w:rFonts w:ascii="Arial" w:eastAsia="Times New Roman" w:hAnsi="Arial" w:cs="Times New Roman"/>
      <w:b/>
      <w:sz w:val="32"/>
      <w:szCs w:val="20"/>
    </w:rPr>
  </w:style>
  <w:style w:type="paragraph" w:customStyle="1" w:styleId="Pagedetitre1">
    <w:name w:val="Page de titre 1"/>
    <w:basedOn w:val="a"/>
    <w:link w:val="Pagedetitre1Car"/>
    <w:uiPriority w:val="99"/>
    <w:rsid w:val="00316513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Pagedetitre2">
    <w:name w:val="Page de titre 2"/>
    <w:basedOn w:val="a"/>
    <w:uiPriority w:val="99"/>
    <w:rsid w:val="00316513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paragraph" w:customStyle="1" w:styleId="Pagedetitre3">
    <w:name w:val="Page de titre 3"/>
    <w:basedOn w:val="a"/>
    <w:uiPriority w:val="99"/>
    <w:rsid w:val="003165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Pagedetitre4">
    <w:name w:val="Page de titre 4"/>
    <w:basedOn w:val="a"/>
    <w:uiPriority w:val="99"/>
    <w:rsid w:val="0031651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Pagedetitre5">
    <w:name w:val="Page de titre 5"/>
    <w:basedOn w:val="a"/>
    <w:uiPriority w:val="99"/>
    <w:rsid w:val="00316513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paragraph" w:styleId="af1">
    <w:name w:val="Revision"/>
    <w:hidden/>
    <w:uiPriority w:val="99"/>
    <w:semiHidden/>
    <w:rsid w:val="00202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Char"/>
    <w:uiPriority w:val="9"/>
    <w:qFormat/>
    <w:rsid w:val="00EF5D38"/>
    <w:pPr>
      <w:numPr>
        <w:numId w:val="2"/>
      </w:numPr>
      <w:suppressAutoHyphens/>
      <w:spacing w:after="0" w:line="100" w:lineRule="atLeast"/>
      <w:outlineLvl w:val="0"/>
    </w:pPr>
    <w:rPr>
      <w:rFonts w:ascii="Times New Roman" w:eastAsia="Times New Roman" w:hAnsi="Times New Roman" w:cs="Times New Roman"/>
      <w:b/>
      <w:kern w:val="1"/>
      <w:sz w:val="56"/>
      <w:szCs w:val="24"/>
      <w:u w:val="single"/>
      <w:lang w:eastAsia="ar-SA"/>
    </w:rPr>
  </w:style>
  <w:style w:type="paragraph" w:styleId="2">
    <w:name w:val="heading 2"/>
    <w:basedOn w:val="a"/>
    <w:next w:val="a"/>
    <w:link w:val="2Char"/>
    <w:uiPriority w:val="9"/>
    <w:qFormat/>
    <w:rsid w:val="00EF5D38"/>
    <w:pPr>
      <w:keepNext/>
      <w:suppressAutoHyphens/>
      <w:spacing w:before="240" w:after="60" w:line="100" w:lineRule="atLeast"/>
      <w:outlineLvl w:val="1"/>
    </w:pPr>
    <w:rPr>
      <w:rFonts w:ascii="Times New Roman" w:eastAsia="Times New Roman" w:hAnsi="Times New Roman" w:cs="Times New Roman"/>
      <w:b/>
      <w:bCs/>
      <w:iCs/>
      <w:kern w:val="1"/>
      <w:sz w:val="28"/>
      <w:szCs w:val="28"/>
      <w:u w:val="single"/>
      <w:lang w:eastAsia="ar-SA"/>
    </w:rPr>
  </w:style>
  <w:style w:type="paragraph" w:styleId="3">
    <w:name w:val="heading 3"/>
    <w:basedOn w:val="a"/>
    <w:next w:val="a0"/>
    <w:link w:val="3Char"/>
    <w:uiPriority w:val="9"/>
    <w:qFormat/>
    <w:rsid w:val="00EF5D38"/>
    <w:pPr>
      <w:keepNext/>
      <w:suppressAutoHyphens/>
      <w:spacing w:before="200" w:after="0" w:line="100" w:lineRule="atLeast"/>
      <w:outlineLvl w:val="2"/>
    </w:pPr>
    <w:rPr>
      <w:rFonts w:ascii="Times New Roman" w:eastAsia="Times New Roman" w:hAnsi="Times New Roman" w:cs="font246"/>
      <w:b/>
      <w:bCs/>
      <w:kern w:val="1"/>
      <w:sz w:val="24"/>
      <w:szCs w:val="24"/>
      <w:u w:val="single"/>
      <w:lang w:eastAsia="ar-SA"/>
    </w:rPr>
  </w:style>
  <w:style w:type="paragraph" w:styleId="4">
    <w:name w:val="heading 4"/>
    <w:basedOn w:val="a"/>
    <w:next w:val="a"/>
    <w:link w:val="4Char"/>
    <w:uiPriority w:val="9"/>
    <w:qFormat/>
    <w:rsid w:val="00EF5D38"/>
    <w:pPr>
      <w:keepNext/>
      <w:keepLines/>
      <w:tabs>
        <w:tab w:val="num" w:pos="1247"/>
      </w:tabs>
      <w:spacing w:before="200" w:after="0" w:line="360" w:lineRule="auto"/>
      <w:ind w:left="1077" w:hanging="170"/>
      <w:jc w:val="both"/>
      <w:outlineLvl w:val="3"/>
    </w:pPr>
    <w:rPr>
      <w:rFonts w:ascii="Times New Roman" w:eastAsia="Times New Roman" w:hAnsi="Times New Roman" w:cs="Times New Roman"/>
      <w:bCs/>
      <w:iCs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32465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6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页眉 Char"/>
    <w:basedOn w:val="a1"/>
    <w:link w:val="a5"/>
    <w:uiPriority w:val="99"/>
    <w:rsid w:val="00F6624A"/>
  </w:style>
  <w:style w:type="paragraph" w:styleId="a6">
    <w:name w:val="footer"/>
    <w:basedOn w:val="a"/>
    <w:link w:val="Char0"/>
    <w:uiPriority w:val="99"/>
    <w:unhideWhenUsed/>
    <w:rsid w:val="00F6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脚 Char"/>
    <w:basedOn w:val="a1"/>
    <w:link w:val="a6"/>
    <w:uiPriority w:val="99"/>
    <w:rsid w:val="00F6624A"/>
  </w:style>
  <w:style w:type="character" w:customStyle="1" w:styleId="1Char">
    <w:name w:val="标题 1 Char"/>
    <w:basedOn w:val="a1"/>
    <w:link w:val="1"/>
    <w:uiPriority w:val="9"/>
    <w:rsid w:val="00EF5D38"/>
    <w:rPr>
      <w:rFonts w:ascii="Times New Roman" w:eastAsia="Times New Roman" w:hAnsi="Times New Roman" w:cs="Times New Roman"/>
      <w:b/>
      <w:kern w:val="1"/>
      <w:sz w:val="56"/>
      <w:szCs w:val="24"/>
      <w:u w:val="single"/>
      <w:lang w:eastAsia="ar-SA"/>
    </w:rPr>
  </w:style>
  <w:style w:type="character" w:customStyle="1" w:styleId="2Char">
    <w:name w:val="标题 2 Char"/>
    <w:basedOn w:val="a1"/>
    <w:link w:val="2"/>
    <w:uiPriority w:val="9"/>
    <w:rsid w:val="00EF5D38"/>
    <w:rPr>
      <w:rFonts w:ascii="Times New Roman" w:eastAsia="Times New Roman" w:hAnsi="Times New Roman" w:cs="Times New Roman"/>
      <w:b/>
      <w:bCs/>
      <w:iCs/>
      <w:kern w:val="1"/>
      <w:sz w:val="28"/>
      <w:szCs w:val="28"/>
      <w:u w:val="single"/>
      <w:lang w:eastAsia="ar-SA"/>
    </w:rPr>
  </w:style>
  <w:style w:type="character" w:customStyle="1" w:styleId="3Char">
    <w:name w:val="标题 3 Char"/>
    <w:basedOn w:val="a1"/>
    <w:link w:val="3"/>
    <w:uiPriority w:val="9"/>
    <w:rsid w:val="00EF5D38"/>
    <w:rPr>
      <w:rFonts w:ascii="Times New Roman" w:eastAsia="Times New Roman" w:hAnsi="Times New Roman" w:cs="font246"/>
      <w:b/>
      <w:bCs/>
      <w:kern w:val="1"/>
      <w:sz w:val="24"/>
      <w:szCs w:val="24"/>
      <w:u w:val="single"/>
      <w:lang w:eastAsia="ar-SA"/>
    </w:rPr>
  </w:style>
  <w:style w:type="character" w:customStyle="1" w:styleId="4Char">
    <w:name w:val="标题 4 Char"/>
    <w:basedOn w:val="a1"/>
    <w:link w:val="4"/>
    <w:uiPriority w:val="9"/>
    <w:rsid w:val="00EF5D38"/>
    <w:rPr>
      <w:rFonts w:ascii="Times New Roman" w:eastAsia="Times New Roman" w:hAnsi="Times New Roman" w:cs="Times New Roman"/>
      <w:bCs/>
      <w:iCs/>
      <w:sz w:val="24"/>
      <w:u w:val="single"/>
    </w:rPr>
  </w:style>
  <w:style w:type="character" w:customStyle="1" w:styleId="WW8Num2z0">
    <w:name w:val="WW8Num2z0"/>
    <w:rsid w:val="00EF5D38"/>
    <w:rPr>
      <w:rFonts w:ascii="Calibri" w:hAnsi="Calibri" w:cs="Arial"/>
    </w:rPr>
  </w:style>
  <w:style w:type="character" w:customStyle="1" w:styleId="WW8Num2z1">
    <w:name w:val="WW8Num2z1"/>
    <w:rsid w:val="00EF5D38"/>
    <w:rPr>
      <w:rFonts w:ascii="Courier New" w:hAnsi="Courier New" w:cs="Courier New"/>
    </w:rPr>
  </w:style>
  <w:style w:type="character" w:customStyle="1" w:styleId="WW8Num2z2">
    <w:name w:val="WW8Num2z2"/>
    <w:rsid w:val="00EF5D38"/>
    <w:rPr>
      <w:rFonts w:ascii="Wingdings" w:hAnsi="Wingdings"/>
    </w:rPr>
  </w:style>
  <w:style w:type="character" w:customStyle="1" w:styleId="WW8Num2z3">
    <w:name w:val="WW8Num2z3"/>
    <w:rsid w:val="00EF5D38"/>
    <w:rPr>
      <w:rFonts w:ascii="Symbol" w:hAnsi="Symbol"/>
    </w:rPr>
  </w:style>
  <w:style w:type="character" w:customStyle="1" w:styleId="Absatz-Standardschriftart">
    <w:name w:val="Absatz-Standardschriftart"/>
    <w:rsid w:val="00EF5D38"/>
  </w:style>
  <w:style w:type="character" w:customStyle="1" w:styleId="Policepardfaut1">
    <w:name w:val="Police par défaut1"/>
    <w:rsid w:val="00EF5D38"/>
  </w:style>
  <w:style w:type="character" w:styleId="a7">
    <w:name w:val="Emphasis"/>
    <w:uiPriority w:val="20"/>
    <w:qFormat/>
    <w:rsid w:val="00EF5D38"/>
    <w:rPr>
      <w:i/>
      <w:iCs/>
    </w:rPr>
  </w:style>
  <w:style w:type="character" w:customStyle="1" w:styleId="apple-converted-space">
    <w:name w:val="apple-converted-space"/>
    <w:rsid w:val="00EF5D38"/>
  </w:style>
  <w:style w:type="character" w:customStyle="1" w:styleId="jrnl">
    <w:name w:val="jrnl"/>
    <w:rsid w:val="00EF5D38"/>
  </w:style>
  <w:style w:type="character" w:styleId="a8">
    <w:name w:val="Hyperlink"/>
    <w:uiPriority w:val="99"/>
    <w:rsid w:val="00EF5D38"/>
    <w:rPr>
      <w:color w:val="0000FF"/>
      <w:u w:val="single"/>
    </w:rPr>
  </w:style>
  <w:style w:type="character" w:customStyle="1" w:styleId="highlight">
    <w:name w:val="highlight"/>
    <w:rsid w:val="00EF5D38"/>
  </w:style>
  <w:style w:type="character" w:customStyle="1" w:styleId="nlmon-behalf-of">
    <w:name w:val="nlm_on-behalf-of"/>
    <w:rsid w:val="00EF5D38"/>
  </w:style>
  <w:style w:type="character" w:customStyle="1" w:styleId="citation">
    <w:name w:val="citation"/>
    <w:rsid w:val="00EF5D38"/>
  </w:style>
  <w:style w:type="character" w:customStyle="1" w:styleId="Marquedecommentaire1">
    <w:name w:val="Marque de commentaire1"/>
    <w:rsid w:val="00EF5D38"/>
    <w:rPr>
      <w:sz w:val="16"/>
      <w:szCs w:val="16"/>
    </w:rPr>
  </w:style>
  <w:style w:type="character" w:customStyle="1" w:styleId="CommentaireCar">
    <w:name w:val="Commentaire Car"/>
    <w:uiPriority w:val="99"/>
    <w:rsid w:val="00EF5D38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uiPriority w:val="99"/>
    <w:rsid w:val="00EF5D3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edebullesCar">
    <w:name w:val="Texte de bulles Car"/>
    <w:uiPriority w:val="99"/>
    <w:rsid w:val="00EF5D38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sid w:val="00EF5D38"/>
    <w:rPr>
      <w:rFonts w:eastAsia="Times New Roman" w:cs="Arial"/>
    </w:rPr>
  </w:style>
  <w:style w:type="character" w:customStyle="1" w:styleId="ListLabel2">
    <w:name w:val="ListLabel 2"/>
    <w:rsid w:val="00EF5D38"/>
    <w:rPr>
      <w:rFonts w:cs="Courier New"/>
    </w:rPr>
  </w:style>
  <w:style w:type="character" w:customStyle="1" w:styleId="Puces">
    <w:name w:val="Puces"/>
    <w:rsid w:val="00EF5D38"/>
    <w:rPr>
      <w:rFonts w:ascii="OpenSymbol" w:eastAsia="OpenSymbol" w:hAnsi="OpenSymbol" w:cs="OpenSymbol"/>
    </w:rPr>
  </w:style>
  <w:style w:type="paragraph" w:customStyle="1" w:styleId="Titre3">
    <w:name w:val="Titre3"/>
    <w:basedOn w:val="a"/>
    <w:next w:val="a0"/>
    <w:uiPriority w:val="99"/>
    <w:rsid w:val="00EF5D38"/>
    <w:pPr>
      <w:keepNext/>
      <w:suppressAutoHyphens/>
      <w:spacing w:before="240" w:after="120" w:line="100" w:lineRule="atLeast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basedOn w:val="a"/>
    <w:link w:val="Char1"/>
    <w:uiPriority w:val="99"/>
    <w:rsid w:val="00EF5D3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har1">
    <w:name w:val="正文文本 Char"/>
    <w:basedOn w:val="a1"/>
    <w:link w:val="a0"/>
    <w:uiPriority w:val="99"/>
    <w:rsid w:val="00EF5D3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0"/>
    <w:rsid w:val="00EF5D38"/>
    <w:rPr>
      <w:rFonts w:cs="Tahoma"/>
    </w:rPr>
  </w:style>
  <w:style w:type="paragraph" w:customStyle="1" w:styleId="Lgende1">
    <w:name w:val="Légende1"/>
    <w:basedOn w:val="a"/>
    <w:rsid w:val="00EF5D38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a"/>
    <w:rsid w:val="00EF5D38"/>
    <w:pPr>
      <w:suppressLineNumbers/>
      <w:suppressAutoHyphens/>
      <w:spacing w:after="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desc">
    <w:name w:val="desc"/>
    <w:basedOn w:val="a"/>
    <w:uiPriority w:val="99"/>
    <w:rsid w:val="00EF5D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tails">
    <w:name w:val="details"/>
    <w:basedOn w:val="a"/>
    <w:uiPriority w:val="99"/>
    <w:rsid w:val="00EF5D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itre1">
    <w:name w:val="Titre1"/>
    <w:basedOn w:val="a"/>
    <w:uiPriority w:val="99"/>
    <w:rsid w:val="00EF5D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aragraphedeliste1">
    <w:name w:val="Paragraphe de liste1"/>
    <w:basedOn w:val="a"/>
    <w:rsid w:val="00EF5D3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uthors">
    <w:name w:val="authors"/>
    <w:basedOn w:val="a"/>
    <w:rsid w:val="00EF5D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itationline">
    <w:name w:val="citationline"/>
    <w:basedOn w:val="a"/>
    <w:rsid w:val="00EF5D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mmentaire1">
    <w:name w:val="Commentaire1"/>
    <w:basedOn w:val="a"/>
    <w:rsid w:val="00EF5D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Objetducommentaire1">
    <w:name w:val="Objet du commentaire1"/>
    <w:rsid w:val="00EF5D38"/>
    <w:pPr>
      <w:widowControl w:val="0"/>
      <w:suppressAutoHyphens/>
    </w:pPr>
    <w:rPr>
      <w:rFonts w:ascii="Calibri" w:eastAsia="Arial Unicode MS" w:hAnsi="Calibri" w:cs="font246"/>
      <w:b/>
      <w:bCs/>
      <w:kern w:val="1"/>
      <w:lang w:eastAsia="ar-SA"/>
    </w:rPr>
  </w:style>
  <w:style w:type="paragraph" w:customStyle="1" w:styleId="Textedebulles1">
    <w:name w:val="Texte de bulles1"/>
    <w:basedOn w:val="a"/>
    <w:rsid w:val="00EF5D38"/>
    <w:pPr>
      <w:suppressAutoHyphens/>
      <w:spacing w:after="0" w:line="100" w:lineRule="atLeast"/>
    </w:pPr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Titre2">
    <w:name w:val="Titre2"/>
    <w:basedOn w:val="a"/>
    <w:uiPriority w:val="99"/>
    <w:rsid w:val="00EF5D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itle1">
    <w:name w:val="title1"/>
    <w:basedOn w:val="a"/>
    <w:rsid w:val="00EF5D38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a"/>
    <w:rsid w:val="00EF5D3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a"/>
    <w:rsid w:val="00EF5D3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yiv1170352340msonormal">
    <w:name w:val="yiv1170352340msonormal"/>
    <w:basedOn w:val="a"/>
    <w:uiPriority w:val="99"/>
    <w:rsid w:val="00EF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EF5D38"/>
    <w:pPr>
      <w:spacing w:before="120" w:after="120" w:line="240" w:lineRule="auto"/>
    </w:pPr>
    <w:rPr>
      <w:rFonts w:ascii="Arial" w:eastAsia="Times New Roman" w:hAnsi="Arial" w:cs="Times New Roman"/>
      <w:b/>
      <w:bCs/>
      <w:sz w:val="18"/>
      <w:szCs w:val="20"/>
      <w:lang w:val="en-GB"/>
    </w:rPr>
  </w:style>
  <w:style w:type="character" w:styleId="ab">
    <w:name w:val="annotation reference"/>
    <w:uiPriority w:val="99"/>
    <w:semiHidden/>
    <w:unhideWhenUsed/>
    <w:rsid w:val="00EF5D38"/>
    <w:rPr>
      <w:sz w:val="16"/>
      <w:szCs w:val="16"/>
    </w:rPr>
  </w:style>
  <w:style w:type="paragraph" w:styleId="ac">
    <w:name w:val="annotation text"/>
    <w:basedOn w:val="a"/>
    <w:link w:val="Char2"/>
    <w:unhideWhenUsed/>
    <w:rsid w:val="00EF5D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Char2">
    <w:name w:val="批注文字 Char"/>
    <w:basedOn w:val="a1"/>
    <w:link w:val="ac"/>
    <w:rsid w:val="00EF5D3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F5D38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EF5D38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e">
    <w:name w:val="Balloon Text"/>
    <w:basedOn w:val="a"/>
    <w:link w:val="Char4"/>
    <w:uiPriority w:val="99"/>
    <w:semiHidden/>
    <w:unhideWhenUsed/>
    <w:rsid w:val="00EF5D38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8"/>
      <w:lang w:val="en-US" w:eastAsia="ar-SA"/>
    </w:rPr>
  </w:style>
  <w:style w:type="character" w:customStyle="1" w:styleId="Char4">
    <w:name w:val="批注框文本 Char"/>
    <w:basedOn w:val="a1"/>
    <w:link w:val="ae"/>
    <w:uiPriority w:val="99"/>
    <w:semiHidden/>
    <w:rsid w:val="00EF5D38"/>
    <w:rPr>
      <w:rFonts w:ascii="Tahoma" w:eastAsia="Times New Roman" w:hAnsi="Tahoma" w:cs="Tahoma"/>
      <w:kern w:val="1"/>
      <w:sz w:val="16"/>
      <w:szCs w:val="18"/>
      <w:lang w:val="en-US" w:eastAsia="ar-SA"/>
    </w:rPr>
  </w:style>
  <w:style w:type="paragraph" w:customStyle="1" w:styleId="ListParagraph1">
    <w:name w:val="List Paragraph1"/>
    <w:basedOn w:val="a"/>
    <w:uiPriority w:val="99"/>
    <w:rsid w:val="00EF5D3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lmsource">
    <w:name w:val="nlm_source"/>
    <w:uiPriority w:val="99"/>
    <w:rsid w:val="00EF5D38"/>
    <w:rPr>
      <w:rFonts w:cs="Times New Roman"/>
    </w:rPr>
  </w:style>
  <w:style w:type="paragraph" w:customStyle="1" w:styleId="Titre4">
    <w:name w:val="Titre4"/>
    <w:basedOn w:val="a"/>
    <w:rsid w:val="00EF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t">
    <w:name w:val="hit"/>
    <w:rsid w:val="00EF5D38"/>
    <w:rPr>
      <w:shd w:val="clear" w:color="auto" w:fill="FFFF99"/>
    </w:rPr>
  </w:style>
  <w:style w:type="table" w:styleId="af">
    <w:name w:val="Table Grid"/>
    <w:basedOn w:val="a2"/>
    <w:uiPriority w:val="39"/>
    <w:rsid w:val="00EF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qFormat/>
    <w:rsid w:val="00EF5D38"/>
    <w:pPr>
      <w:keepNext/>
      <w:keepLines/>
      <w:numPr>
        <w:numId w:val="0"/>
      </w:numPr>
      <w:suppressAutoHyphens w:val="0"/>
      <w:spacing w:before="24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  <w:u w:val="none"/>
      <w:lang w:eastAsia="fr-FR"/>
    </w:rPr>
  </w:style>
  <w:style w:type="paragraph" w:styleId="20">
    <w:name w:val="toc 2"/>
    <w:basedOn w:val="a"/>
    <w:next w:val="a"/>
    <w:autoRedefine/>
    <w:uiPriority w:val="39"/>
    <w:unhideWhenUsed/>
    <w:rsid w:val="00EF5D38"/>
    <w:pPr>
      <w:suppressAutoHyphens/>
      <w:spacing w:after="0" w:line="100" w:lineRule="atLeast"/>
      <w:ind w:left="2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0">
    <w:name w:val="toc 3"/>
    <w:basedOn w:val="a"/>
    <w:next w:val="a"/>
    <w:autoRedefine/>
    <w:uiPriority w:val="39"/>
    <w:unhideWhenUsed/>
    <w:rsid w:val="00EF5D38"/>
    <w:pPr>
      <w:suppressAutoHyphens/>
      <w:spacing w:after="0" w:line="100" w:lineRule="atLeast"/>
      <w:ind w:left="48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0">
    <w:name w:val="toc 1"/>
    <w:basedOn w:val="a"/>
    <w:next w:val="a"/>
    <w:autoRedefine/>
    <w:uiPriority w:val="39"/>
    <w:unhideWhenUsed/>
    <w:rsid w:val="00EF5D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uthornames">
    <w:name w:val="authornames"/>
    <w:basedOn w:val="a1"/>
    <w:rsid w:val="00EF5D38"/>
  </w:style>
  <w:style w:type="character" w:styleId="af0">
    <w:name w:val="FollowedHyperlink"/>
    <w:basedOn w:val="a1"/>
    <w:uiPriority w:val="99"/>
    <w:semiHidden/>
    <w:unhideWhenUsed/>
    <w:rsid w:val="00316513"/>
    <w:rPr>
      <w:color w:val="800080" w:themeColor="followedHyperlink"/>
      <w:u w:val="single"/>
    </w:rPr>
  </w:style>
  <w:style w:type="character" w:customStyle="1" w:styleId="Pagedetitre1Car">
    <w:name w:val="Page de titre 1 Car"/>
    <w:link w:val="Pagedetitre1"/>
    <w:uiPriority w:val="99"/>
    <w:locked/>
    <w:rsid w:val="00316513"/>
    <w:rPr>
      <w:rFonts w:ascii="Arial" w:eastAsia="Times New Roman" w:hAnsi="Arial" w:cs="Times New Roman"/>
      <w:b/>
      <w:sz w:val="32"/>
      <w:szCs w:val="20"/>
    </w:rPr>
  </w:style>
  <w:style w:type="paragraph" w:customStyle="1" w:styleId="Pagedetitre1">
    <w:name w:val="Page de titre 1"/>
    <w:basedOn w:val="a"/>
    <w:link w:val="Pagedetitre1Car"/>
    <w:uiPriority w:val="99"/>
    <w:rsid w:val="00316513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Pagedetitre2">
    <w:name w:val="Page de titre 2"/>
    <w:basedOn w:val="a"/>
    <w:uiPriority w:val="99"/>
    <w:rsid w:val="00316513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paragraph" w:customStyle="1" w:styleId="Pagedetitre3">
    <w:name w:val="Page de titre 3"/>
    <w:basedOn w:val="a"/>
    <w:uiPriority w:val="99"/>
    <w:rsid w:val="003165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Pagedetitre4">
    <w:name w:val="Page de titre 4"/>
    <w:basedOn w:val="a"/>
    <w:uiPriority w:val="99"/>
    <w:rsid w:val="0031651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Pagedetitre5">
    <w:name w:val="Page de titre 5"/>
    <w:basedOn w:val="a"/>
    <w:uiPriority w:val="99"/>
    <w:rsid w:val="00316513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paragraph" w:styleId="af1">
    <w:name w:val="Revision"/>
    <w:hidden/>
    <w:uiPriority w:val="99"/>
    <w:semiHidden/>
    <w:rsid w:val="00202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.gate2.inist.fr/pubmed/?term=fried+MW+N+Engl+J+Med+2002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fr-FR" sz="1200" b="0">
                <a:solidFill>
                  <a:schemeClr val="tx1"/>
                </a:solidFill>
                <a:latin typeface="Arial" pitchFamily="34" charset="0"/>
                <a:cs typeface="Arial" pitchFamily="34" charset="0"/>
              </a:rPr>
              <a:t>A</a:t>
            </a:r>
          </a:p>
        </c:rich>
      </c:tx>
      <c:layout>
        <c:manualLayout>
          <c:xMode val="edge"/>
          <c:yMode val="edge"/>
          <c:x val="0.115785221762534"/>
          <c:y val="0"/>
        </c:manualLayout>
      </c:layout>
      <c:overlay val="0"/>
      <c:spPr>
        <a:solidFill>
          <a:schemeClr val="bg1"/>
        </a:solidFill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RVR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8.1713315247358802E-3"/>
                </c:manualLayout>
              </c:layout>
              <c:tx>
                <c:rich>
                  <a:bodyPr/>
                  <a:lstStyle/>
                  <a:p>
                    <a:r>
                      <a:rPr lang="en-US" b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76.3</a:t>
                    </a:r>
                    <a:r>
                      <a:rPr lang="en-US" b="0" baseline="30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b</a:t>
                    </a:r>
                    <a:endParaRPr lang="en-US" baseline="300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598870056497202E-3"/>
                  <c:y val="-4.4070961718020397E-3"/>
                </c:manualLayout>
              </c:layout>
              <c:tx>
                <c:rich>
                  <a:bodyPr/>
                  <a:lstStyle/>
                  <a:p>
                    <a:r>
                      <a:rPr lang="en-US" b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76.6</a:t>
                    </a:r>
                    <a:r>
                      <a:rPr lang="en-US" b="0" baseline="30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b</a:t>
                    </a:r>
                    <a:endParaRPr lang="en-US" baseline="300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796610169491497E-3"/>
                  <c:y val="-4.4070961718020597E-3"/>
                </c:manualLayout>
              </c:layout>
              <c:tx>
                <c:rich>
                  <a:bodyPr/>
                  <a:lstStyle/>
                  <a:p>
                    <a:r>
                      <a:rPr lang="en-US" b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75</a:t>
                    </a:r>
                    <a:r>
                      <a:rPr lang="en-US" b="0" baseline="300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b</a:t>
                    </a:r>
                    <a:endParaRPr lang="en-US" baseline="3000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overall </c:v>
                </c:pt>
                <c:pt idx="1">
                  <c:v>Telaprevir</c:v>
                </c:pt>
                <c:pt idx="2">
                  <c:v> Boceprevir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76.3</c:v>
                </c:pt>
                <c:pt idx="1">
                  <c:v>76.599999999999994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No RVR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8.1019284354161593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0625583566759999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6.7226890756295703E-4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overall </c:v>
                </c:pt>
                <c:pt idx="1">
                  <c:v>Telaprevir</c:v>
                </c:pt>
                <c:pt idx="2">
                  <c:v> Boceprevir</c:v>
                </c:pt>
              </c:strCache>
            </c:strRef>
          </c:cat>
          <c:val>
            <c:numRef>
              <c:f>Feuil1!$C$2:$C$4</c:f>
              <c:numCache>
                <c:formatCode>General</c:formatCode>
                <c:ptCount val="3"/>
                <c:pt idx="0">
                  <c:v>31.6</c:v>
                </c:pt>
                <c:pt idx="1">
                  <c:v>36.799999999999997</c:v>
                </c:pt>
                <c:pt idx="2">
                  <c:v>26.3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18308992"/>
        <c:axId val="218310528"/>
      </c:barChart>
      <c:catAx>
        <c:axId val="21830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endParaRPr lang="en-US"/>
          </a:p>
        </c:txPr>
        <c:crossAx val="218310528"/>
        <c:crosses val="autoZero"/>
        <c:auto val="1"/>
        <c:lblAlgn val="ctr"/>
        <c:lblOffset val="100"/>
        <c:noMultiLvlLbl val="0"/>
      </c:catAx>
      <c:valAx>
        <c:axId val="2183105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2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r>
                  <a:rPr lang="fr-FR" sz="1100" b="0" baseline="0">
                    <a:latin typeface="Arial" pitchFamily="34" charset="0"/>
                    <a:cs typeface="Arial" pitchFamily="34" charset="0"/>
                  </a:rPr>
                  <a:t> SVR (%)</a:t>
                </a:r>
                <a:endParaRPr lang="fr-FR" sz="1100" b="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2"/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endParaRPr lang="en-US"/>
          </a:p>
        </c:txPr>
        <c:crossAx val="21830899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Arial" pitchFamily="34" charset="0"/>
              <a:ea typeface="+mn-ea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r>
              <a:rPr lang="fr-FR" sz="1200" b="0" baseline="0">
                <a:solidFill>
                  <a:schemeClr val="tx1"/>
                </a:solidFill>
                <a:latin typeface="Arial" pitchFamily="34" charset="0"/>
                <a:cs typeface="Arial" pitchFamily="34" charset="0"/>
              </a:rPr>
              <a:t> B</a:t>
            </a:r>
            <a:endParaRPr lang="fr-FR" sz="1200" b="0">
              <a:solidFill>
                <a:schemeClr val="tx1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9.9239331194711705E-2"/>
          <c:y val="3.170577045022220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Feuil1!$A$2</c:f>
              <c:strCache>
                <c:ptCount val="1"/>
                <c:pt idx="0">
                  <c:v>overall patients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59.8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65.9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44.1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Feuil1!$B$1:$D$1</c:f>
              <c:strCache>
                <c:ptCount val="3"/>
                <c:pt idx="0">
                  <c:v>overall</c:v>
                </c:pt>
                <c:pt idx="1">
                  <c:v>Telaprevir</c:v>
                </c:pt>
                <c:pt idx="2">
                  <c:v>Boceprevir</c:v>
                </c:pt>
              </c:strCache>
            </c:strRef>
          </c:cat>
          <c:val>
            <c:numRef>
              <c:f>Feuil1!$B$2:$D$2</c:f>
              <c:numCache>
                <c:formatCode>General</c:formatCode>
                <c:ptCount val="3"/>
                <c:pt idx="0">
                  <c:v>58.4</c:v>
                </c:pt>
                <c:pt idx="1">
                  <c:v>64.400000000000006</c:v>
                </c:pt>
                <c:pt idx="2">
                  <c:v>42.9</c:v>
                </c:pt>
              </c:numCache>
            </c:numRef>
          </c:val>
        </c:ser>
        <c:ser>
          <c:idx val="1"/>
          <c:order val="1"/>
          <c:tx>
            <c:strRef>
              <c:f>Feuil1!$A$3</c:f>
              <c:strCache>
                <c:ptCount val="1"/>
                <c:pt idx="0">
                  <c:v>Relapsers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b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80 </a:t>
                    </a:r>
                    <a:r>
                      <a:rPr lang="en-US" sz="1000" b="0" baseline="30000">
                        <a:latin typeface="Arial" pitchFamily="34" charset="0"/>
                        <a:cs typeface="Arial" pitchFamily="34" charset="0"/>
                      </a:rPr>
                      <a:t>a</a:t>
                    </a:r>
                    <a:endParaRPr lang="en-US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b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80.6 </a:t>
                    </a:r>
                    <a:r>
                      <a:rPr lang="en-US" sz="1000" b="0" baseline="30000">
                        <a:latin typeface="Arial" pitchFamily="34" charset="0"/>
                        <a:cs typeface="Arial" pitchFamily="34" charset="0"/>
                      </a:rPr>
                      <a:t>a</a:t>
                    </a:r>
                    <a:endParaRPr lang="en-US" baseline="30000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b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77.8 </a:t>
                    </a:r>
                    <a:r>
                      <a:rPr lang="en-US" sz="1000" b="0" i="0" u="none" strike="noStrike" baseline="30000">
                        <a:latin typeface="Arial" pitchFamily="34" charset="0"/>
                        <a:cs typeface="Arial" pitchFamily="34" charset="0"/>
                      </a:rPr>
                      <a:t>a</a:t>
                    </a:r>
                    <a:endParaRPr lang="en-US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Feuil1!$B$1:$D$1</c:f>
              <c:strCache>
                <c:ptCount val="3"/>
                <c:pt idx="0">
                  <c:v>overall</c:v>
                </c:pt>
                <c:pt idx="1">
                  <c:v>Telaprevir</c:v>
                </c:pt>
                <c:pt idx="2">
                  <c:v>Boceprevir</c:v>
                </c:pt>
              </c:strCache>
            </c:strRef>
          </c:cat>
          <c:val>
            <c:numRef>
              <c:f>Feuil1!$B$3:$D$3</c:f>
              <c:numCache>
                <c:formatCode>General</c:formatCode>
                <c:ptCount val="3"/>
                <c:pt idx="0">
                  <c:v>80</c:v>
                </c:pt>
                <c:pt idx="1">
                  <c:v>80.599999999999994</c:v>
                </c:pt>
                <c:pt idx="2">
                  <c:v>77.8</c:v>
                </c:pt>
              </c:numCache>
            </c:numRef>
          </c:val>
        </c:ser>
        <c:ser>
          <c:idx val="2"/>
          <c:order val="2"/>
          <c:tx>
            <c:strRef>
              <c:f>Feuil1!$A$4</c:f>
              <c:strCache>
                <c:ptCount val="1"/>
                <c:pt idx="0">
                  <c:v>Null-responder</c:v>
                </c:pt>
              </c:strCache>
            </c:strRef>
          </c:tx>
          <c:spPr>
            <a:solidFill>
              <a:schemeClr val="bg2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Feuil1!$B$1:$D$1</c:f>
              <c:strCache>
                <c:ptCount val="3"/>
                <c:pt idx="0">
                  <c:v>overall</c:v>
                </c:pt>
                <c:pt idx="1">
                  <c:v>Telaprevir</c:v>
                </c:pt>
                <c:pt idx="2">
                  <c:v>Boceprevir</c:v>
                </c:pt>
              </c:strCache>
            </c:strRef>
          </c:cat>
          <c:val>
            <c:numRef>
              <c:f>Feuil1!$B$4:$D$4</c:f>
              <c:numCache>
                <c:formatCode>General</c:formatCode>
                <c:ptCount val="3"/>
                <c:pt idx="0">
                  <c:v>47.4</c:v>
                </c:pt>
                <c:pt idx="1">
                  <c:v>54.9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8506368"/>
        <c:axId val="218507904"/>
      </c:barChart>
      <c:catAx>
        <c:axId val="21850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endParaRPr lang="en-US"/>
          </a:p>
        </c:txPr>
        <c:crossAx val="218507904"/>
        <c:crosses val="autoZero"/>
        <c:auto val="1"/>
        <c:lblAlgn val="ctr"/>
        <c:lblOffset val="100"/>
        <c:noMultiLvlLbl val="0"/>
      </c:catAx>
      <c:valAx>
        <c:axId val="2185079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r>
                  <a:rPr lang="fr-FR" sz="1100" b="0" baseline="0">
                    <a:latin typeface="Arial" pitchFamily="34" charset="0"/>
                    <a:cs typeface="Arial" pitchFamily="34" charset="0"/>
                  </a:rPr>
                  <a:t> SVR (%)</a:t>
                </a:r>
                <a:endParaRPr lang="fr-FR" sz="1100" b="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850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itchFamily="34" charset="0"/>
              <a:ea typeface="+mn-ea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3315-7F86-4C3E-87AD-A000110A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7683</Words>
  <Characters>43797</Characters>
  <Application>Microsoft Office Word</Application>
  <DocSecurity>0</DocSecurity>
  <Lines>364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Alric</dc:creator>
  <cp:lastModifiedBy>LS Ma</cp:lastModifiedBy>
  <cp:revision>2</cp:revision>
  <cp:lastPrinted>2013-12-23T16:25:00Z</cp:lastPrinted>
  <dcterms:created xsi:type="dcterms:W3CDTF">2014-08-27T21:03:00Z</dcterms:created>
  <dcterms:modified xsi:type="dcterms:W3CDTF">2014-08-27T21:03:00Z</dcterms:modified>
</cp:coreProperties>
</file>