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color w:val="0000FF"/>
          <w:sz w:val="24"/>
          <w:szCs w:val="24"/>
        </w:rPr>
        <w:t xml:space="preserve">Name of journal: </w:t>
      </w:r>
      <w:r w:rsidRPr="00E90188">
        <w:rPr>
          <w:rFonts w:ascii="Book Antiqua" w:hAnsi="Book Antiqua"/>
          <w:b/>
          <w:sz w:val="24"/>
          <w:szCs w:val="24"/>
        </w:rPr>
        <w:t>World Journal of Gastroenterology</w:t>
      </w:r>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color w:val="0000FF"/>
          <w:sz w:val="24"/>
          <w:szCs w:val="24"/>
        </w:rPr>
        <w:t xml:space="preserve">ESPS Manuscript NO: </w:t>
      </w:r>
      <w:r w:rsidRPr="00E90188">
        <w:rPr>
          <w:rFonts w:ascii="Book Antiqua" w:hAnsi="Book Antiqua"/>
          <w:b/>
          <w:sz w:val="24"/>
          <w:szCs w:val="24"/>
        </w:rPr>
        <w:t>9745</w:t>
      </w:r>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color w:val="0000FF"/>
          <w:sz w:val="24"/>
          <w:szCs w:val="24"/>
        </w:rPr>
        <w:t xml:space="preserve">Columns: </w:t>
      </w:r>
      <w:r w:rsidRPr="00E90188">
        <w:rPr>
          <w:rFonts w:ascii="Book Antiqua" w:hAnsi="Book Antiqua"/>
          <w:b/>
          <w:sz w:val="24"/>
          <w:szCs w:val="24"/>
        </w:rPr>
        <w:t>TOPIC HIGHLIGHT</w:t>
      </w:r>
    </w:p>
    <w:p w:rsidR="00A06E23" w:rsidRDefault="00A06E23" w:rsidP="00C962AB">
      <w:pPr>
        <w:spacing w:after="0" w:line="360" w:lineRule="auto"/>
        <w:jc w:val="both"/>
        <w:rPr>
          <w:rFonts w:ascii="Book Antiqua" w:hAnsi="Book Antiqua"/>
          <w:sz w:val="24"/>
          <w:szCs w:val="24"/>
        </w:rPr>
      </w:pP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sz w:val="24"/>
          <w:szCs w:val="24"/>
        </w:rPr>
        <w:t>WJG 20</w:t>
      </w:r>
      <w:r w:rsidRPr="00E90188">
        <w:rPr>
          <w:rFonts w:ascii="Book Antiqua" w:hAnsi="Book Antiqua"/>
          <w:sz w:val="24"/>
          <w:szCs w:val="24"/>
          <w:vertAlign w:val="superscript"/>
        </w:rPr>
        <w:t>th</w:t>
      </w:r>
      <w:r w:rsidRPr="00E90188">
        <w:rPr>
          <w:rFonts w:ascii="Book Antiqua" w:hAnsi="Book Antiqua"/>
          <w:sz w:val="24"/>
          <w:szCs w:val="24"/>
        </w:rPr>
        <w:t xml:space="preserve"> anniversary of WJG (14): Pancreatic cancer</w:t>
      </w: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sz w:val="24"/>
          <w:szCs w:val="24"/>
        </w:rPr>
        <w:t>Adjuvant therapy in pancreatic cancer</w:t>
      </w:r>
    </w:p>
    <w:p w:rsidR="00A06E23" w:rsidRPr="00E90188" w:rsidRDefault="00A06E23" w:rsidP="00C962AB">
      <w:pPr>
        <w:spacing w:after="0" w:line="360" w:lineRule="auto"/>
        <w:jc w:val="both"/>
        <w:rPr>
          <w:rFonts w:ascii="Book Antiqua" w:hAnsi="Book Antiqua"/>
          <w:sz w:val="24"/>
          <w:szCs w:val="24"/>
        </w:rPr>
      </w:pP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sz w:val="24"/>
          <w:szCs w:val="24"/>
        </w:rPr>
        <w:t xml:space="preserve">Jones OP </w:t>
      </w:r>
      <w:r w:rsidRPr="00E90188">
        <w:rPr>
          <w:rFonts w:ascii="Book Antiqua" w:hAnsi="Book Antiqua"/>
          <w:i/>
          <w:sz w:val="24"/>
          <w:szCs w:val="24"/>
        </w:rPr>
        <w:t>et al.</w:t>
      </w:r>
      <w:r w:rsidRPr="00E90188">
        <w:rPr>
          <w:rFonts w:ascii="Book Antiqua" w:hAnsi="Book Antiqua"/>
          <w:sz w:val="24"/>
          <w:szCs w:val="24"/>
        </w:rPr>
        <w:t xml:space="preserve"> Adjuvant therapy in pancreatic cancer</w:t>
      </w:r>
    </w:p>
    <w:p w:rsidR="00A06E23" w:rsidRPr="00E90188" w:rsidRDefault="00A06E23" w:rsidP="00C962AB">
      <w:pPr>
        <w:spacing w:after="0" w:line="360" w:lineRule="auto"/>
        <w:jc w:val="both"/>
        <w:rPr>
          <w:rFonts w:ascii="Book Antiqua" w:hAnsi="Book Antiqua"/>
          <w:sz w:val="24"/>
          <w:szCs w:val="24"/>
        </w:rPr>
      </w:pP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sz w:val="24"/>
          <w:szCs w:val="24"/>
        </w:rPr>
        <w:t>Owain Jones, James Melling, Paula Ghaneh</w:t>
      </w:r>
    </w:p>
    <w:p w:rsidR="00A06E23" w:rsidRDefault="00CB6439" w:rsidP="00C962AB">
      <w:pPr>
        <w:spacing w:after="0" w:line="360" w:lineRule="auto"/>
        <w:jc w:val="both"/>
        <w:rPr>
          <w:rFonts w:ascii="Book Antiqua" w:hAnsi="Book Antiqua"/>
          <w:sz w:val="24"/>
          <w:szCs w:val="24"/>
          <w:lang w:eastAsia="zh-CN"/>
        </w:rPr>
      </w:pPr>
      <w:r>
        <w:rPr>
          <w:noProof/>
          <w:lang w:val="en-US" w:eastAsia="zh-CN"/>
        </w:rPr>
        <mc:AlternateContent>
          <mc:Choice Requires="wps">
            <w:drawing>
              <wp:anchor distT="4294967294" distB="4294967294" distL="114300" distR="114300" simplePos="0" relativeHeight="251658240" behindDoc="0" locked="0" layoutInCell="1" allowOverlap="1">
                <wp:simplePos x="0" y="0"/>
                <wp:positionH relativeFrom="column">
                  <wp:posOffset>12065</wp:posOffset>
                </wp:positionH>
                <wp:positionV relativeFrom="paragraph">
                  <wp:posOffset>97789</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7pt" to="41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" strokecolor="gray" strokeweight="3pt"/>
            </w:pict>
          </mc:Fallback>
        </mc:AlternateContent>
      </w: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b/>
          <w:sz w:val="24"/>
          <w:szCs w:val="24"/>
        </w:rPr>
        <w:t xml:space="preserve">Owain Jones, James Melling, Paula Ghaneh, </w:t>
      </w:r>
      <w:r w:rsidRPr="00E90188">
        <w:rPr>
          <w:rFonts w:ascii="Book Antiqua" w:hAnsi="Book Antiqua"/>
          <w:sz w:val="24"/>
          <w:szCs w:val="24"/>
        </w:rPr>
        <w:t>Department of Molecular and Clinical Cancer Medicine, University of Liverpool, 5</w:t>
      </w:r>
      <w:r w:rsidRPr="00E90188">
        <w:rPr>
          <w:rFonts w:ascii="Book Antiqua" w:hAnsi="Book Antiqua"/>
          <w:sz w:val="24"/>
          <w:szCs w:val="24"/>
          <w:vertAlign w:val="superscript"/>
        </w:rPr>
        <w:t>th</w:t>
      </w:r>
      <w:r w:rsidRPr="00E90188">
        <w:rPr>
          <w:rFonts w:ascii="Book Antiqua" w:hAnsi="Book Antiqua"/>
          <w:sz w:val="24"/>
          <w:szCs w:val="24"/>
        </w:rPr>
        <w:t xml:space="preserve"> Floor UCD Building, Daulby Street, Liverpool L69 3GA, </w:t>
      </w:r>
      <w:r>
        <w:rPr>
          <w:rFonts w:ascii="Book Antiqua" w:hAnsi="Book Antiqua"/>
          <w:sz w:val="24"/>
          <w:szCs w:val="24"/>
        </w:rPr>
        <w:t>United Kingdom</w:t>
      </w: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b/>
          <w:sz w:val="24"/>
          <w:szCs w:val="24"/>
        </w:rPr>
        <w:t xml:space="preserve">Author Contributions: </w:t>
      </w:r>
      <w:r w:rsidRPr="00E90188">
        <w:rPr>
          <w:rFonts w:ascii="Book Antiqua" w:hAnsi="Book Antiqua"/>
          <w:sz w:val="24"/>
          <w:szCs w:val="24"/>
        </w:rPr>
        <w:t xml:space="preserve">All three authors contributed to the literature search, writing and editing of this manuscript. </w:t>
      </w: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b/>
          <w:sz w:val="24"/>
          <w:szCs w:val="24"/>
        </w:rPr>
        <w:t>Correspondence to: Paula Ghaneh,</w:t>
      </w:r>
      <w:r w:rsidRPr="00E90188">
        <w:rPr>
          <w:rFonts w:ascii="Book Antiqua" w:hAnsi="Book Antiqua"/>
          <w:sz w:val="24"/>
          <w:szCs w:val="24"/>
        </w:rPr>
        <w:t xml:space="preserve"> </w:t>
      </w:r>
      <w:r w:rsidRPr="00E90188">
        <w:rPr>
          <w:rFonts w:ascii="Book Antiqua" w:hAnsi="Book Antiqua"/>
          <w:b/>
          <w:sz w:val="24"/>
          <w:szCs w:val="24"/>
        </w:rPr>
        <w:t>Professor</w:t>
      </w:r>
      <w:r>
        <w:rPr>
          <w:rFonts w:ascii="Book Antiqua" w:hAnsi="Book Antiqua"/>
          <w:b/>
          <w:sz w:val="24"/>
          <w:szCs w:val="24"/>
        </w:rPr>
        <w:t>,</w:t>
      </w:r>
      <w:r w:rsidRPr="00E90188">
        <w:rPr>
          <w:rFonts w:ascii="Book Antiqua" w:hAnsi="Book Antiqua"/>
          <w:b/>
          <w:sz w:val="24"/>
          <w:szCs w:val="24"/>
        </w:rPr>
        <w:t xml:space="preserve"> </w:t>
      </w:r>
      <w:r w:rsidRPr="00E90188">
        <w:rPr>
          <w:rFonts w:ascii="Book Antiqua" w:hAnsi="Book Antiqua"/>
          <w:sz w:val="24"/>
          <w:szCs w:val="24"/>
        </w:rPr>
        <w:t>Department of Molecular and Clinical Cancer Medicine, University of Liverpool, 5</w:t>
      </w:r>
      <w:r w:rsidRPr="00E90188">
        <w:rPr>
          <w:rFonts w:ascii="Book Antiqua" w:hAnsi="Book Antiqua"/>
          <w:sz w:val="24"/>
          <w:szCs w:val="24"/>
          <w:vertAlign w:val="superscript"/>
        </w:rPr>
        <w:t>th</w:t>
      </w:r>
      <w:r w:rsidRPr="00E90188">
        <w:rPr>
          <w:rFonts w:ascii="Book Antiqua" w:hAnsi="Book Antiqua"/>
          <w:sz w:val="24"/>
          <w:szCs w:val="24"/>
        </w:rPr>
        <w:t xml:space="preserve"> Floor UCD Building, Daulby Street, Liverpool L69 3GA, </w:t>
      </w:r>
      <w:r>
        <w:rPr>
          <w:rFonts w:ascii="Book Antiqua" w:hAnsi="Book Antiqua"/>
          <w:sz w:val="24"/>
          <w:szCs w:val="24"/>
        </w:rPr>
        <w:t>United Kingdom</w:t>
      </w:r>
      <w:r w:rsidRPr="00E90188">
        <w:rPr>
          <w:rFonts w:ascii="Book Antiqua" w:hAnsi="Book Antiqua"/>
          <w:sz w:val="24"/>
          <w:szCs w:val="24"/>
        </w:rPr>
        <w:t>.</w:t>
      </w:r>
      <w:r w:rsidRPr="00E90188">
        <w:rPr>
          <w:rFonts w:ascii="Book Antiqua" w:hAnsi="Book Antiqua"/>
          <w:sz w:val="24"/>
          <w:szCs w:val="24"/>
          <w:lang w:eastAsia="zh-CN"/>
        </w:rPr>
        <w:t xml:space="preserve"> </w:t>
      </w:r>
      <w:r w:rsidR="00850EBE" w:rsidRPr="00E90188">
        <w:rPr>
          <w:rStyle w:val="st1"/>
          <w:rFonts w:ascii="Book Antiqua" w:hAnsi="Book Antiqua" w:cs="Arial"/>
          <w:sz w:val="24"/>
          <w:szCs w:val="24"/>
        </w:rPr>
        <w:t>p.ghaneh@liverpool.ac.uk</w:t>
      </w:r>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sz w:val="24"/>
          <w:szCs w:val="24"/>
        </w:rPr>
        <w:t xml:space="preserve">Telephone: </w:t>
      </w:r>
      <w:r w:rsidRPr="00E90188">
        <w:rPr>
          <w:rFonts w:ascii="Book Antiqua" w:hAnsi="Book Antiqua"/>
          <w:sz w:val="24"/>
          <w:szCs w:val="24"/>
        </w:rPr>
        <w:t>+44-151-7064170</w:t>
      </w:r>
      <w:r w:rsidRPr="00E90188">
        <w:rPr>
          <w:rFonts w:ascii="Book Antiqua" w:hAnsi="Book Antiqua"/>
          <w:b/>
          <w:sz w:val="24"/>
          <w:szCs w:val="24"/>
        </w:rPr>
        <w:tab/>
        <w:t xml:space="preserve">Fax: </w:t>
      </w:r>
      <w:r w:rsidRPr="00E90188">
        <w:rPr>
          <w:rFonts w:ascii="Book Antiqua" w:hAnsi="Book Antiqua"/>
          <w:sz w:val="24"/>
          <w:szCs w:val="24"/>
        </w:rPr>
        <w:t>+44-151-7065826</w:t>
      </w: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sz w:val="24"/>
          <w:szCs w:val="24"/>
        </w:rPr>
        <w:t>Received:</w:t>
      </w:r>
      <w:r>
        <w:rPr>
          <w:rFonts w:ascii="Book Antiqua" w:hAnsi="Book Antiqua"/>
          <w:b/>
          <w:sz w:val="24"/>
          <w:szCs w:val="24"/>
          <w:lang w:eastAsia="zh-CN"/>
        </w:rPr>
        <w:t xml:space="preserve"> </w:t>
      </w:r>
      <w:r w:rsidRPr="00A04CCC">
        <w:rPr>
          <w:rFonts w:ascii="Book Antiqua" w:hAnsi="Book Antiqua"/>
          <w:sz w:val="24"/>
        </w:rPr>
        <w:t xml:space="preserve">February </w:t>
      </w:r>
      <w:r>
        <w:rPr>
          <w:rFonts w:ascii="Book Antiqua" w:hAnsi="Book Antiqua"/>
          <w:sz w:val="24"/>
          <w:lang w:eastAsia="zh-CN"/>
        </w:rPr>
        <w:t>26</w:t>
      </w:r>
      <w:r w:rsidRPr="00E90188">
        <w:rPr>
          <w:rFonts w:ascii="Book Antiqua" w:hAnsi="Book Antiqua"/>
          <w:sz w:val="24"/>
          <w:szCs w:val="24"/>
        </w:rPr>
        <w:t>, 2014</w:t>
      </w:r>
      <w:r w:rsidRPr="00E90188">
        <w:rPr>
          <w:rFonts w:ascii="Book Antiqua" w:hAnsi="Book Antiqua"/>
          <w:b/>
          <w:sz w:val="24"/>
          <w:szCs w:val="24"/>
        </w:rPr>
        <w:tab/>
      </w:r>
      <w:r w:rsidRPr="00E90188">
        <w:rPr>
          <w:rFonts w:ascii="Book Antiqua" w:hAnsi="Book Antiqua"/>
          <w:b/>
          <w:sz w:val="24"/>
          <w:szCs w:val="24"/>
        </w:rPr>
        <w:tab/>
        <w:t xml:space="preserve">Revised: </w:t>
      </w:r>
      <w:r w:rsidRPr="00E90188">
        <w:rPr>
          <w:rFonts w:ascii="Book Antiqua" w:hAnsi="Book Antiqua"/>
          <w:sz w:val="24"/>
          <w:szCs w:val="24"/>
        </w:rPr>
        <w:t xml:space="preserve">April </w:t>
      </w:r>
      <w:r w:rsidRPr="00E90188">
        <w:rPr>
          <w:rFonts w:ascii="Book Antiqua" w:hAnsi="Book Antiqua"/>
          <w:sz w:val="24"/>
          <w:szCs w:val="24"/>
          <w:lang w:eastAsia="zh-CN"/>
        </w:rPr>
        <w:t>2</w:t>
      </w:r>
      <w:r>
        <w:rPr>
          <w:rFonts w:ascii="Book Antiqua" w:hAnsi="Book Antiqua"/>
          <w:sz w:val="24"/>
          <w:szCs w:val="24"/>
          <w:lang w:eastAsia="zh-CN"/>
        </w:rPr>
        <w:t>9</w:t>
      </w:r>
      <w:r w:rsidRPr="00E90188">
        <w:rPr>
          <w:rFonts w:ascii="Book Antiqua" w:hAnsi="Book Antiqua"/>
          <w:sz w:val="24"/>
          <w:szCs w:val="24"/>
        </w:rPr>
        <w:t>, 2014</w:t>
      </w:r>
    </w:p>
    <w:p w:rsidR="00A06E23" w:rsidRPr="00850EBE" w:rsidRDefault="00A06E23" w:rsidP="00850EBE">
      <w:pPr>
        <w:rPr>
          <w:rFonts w:ascii="Book Antiqua" w:hAnsi="Book Antiqua"/>
          <w:sz w:val="24"/>
          <w:szCs w:val="24"/>
        </w:rPr>
      </w:pPr>
      <w:r w:rsidRPr="00E90188">
        <w:rPr>
          <w:rFonts w:ascii="Book Antiqua" w:hAnsi="Book Antiqua"/>
          <w:b/>
          <w:sz w:val="24"/>
          <w:szCs w:val="24"/>
        </w:rPr>
        <w:t>Accepted:</w:t>
      </w:r>
      <w:r w:rsidR="00850EBE">
        <w:rPr>
          <w:rFonts w:ascii="Book Antiqua" w:hAnsi="Book Antiqua"/>
          <w:b/>
          <w:sz w:val="24"/>
          <w:szCs w:val="24"/>
        </w:rPr>
        <w:t xml:space="preserve"> </w:t>
      </w:r>
      <w:bookmarkStart w:id="0" w:name="OLE_LINK3"/>
      <w:bookmarkStart w:id="1" w:name="OLE_LINK4"/>
      <w:r w:rsidR="00850EBE" w:rsidRPr="00E425FF">
        <w:rPr>
          <w:rFonts w:ascii="Book Antiqua" w:hAnsi="Book Antiqua"/>
          <w:sz w:val="24"/>
          <w:szCs w:val="24"/>
        </w:rPr>
        <w:t>May 25, 2014</w:t>
      </w:r>
      <w:bookmarkStart w:id="2" w:name="_GoBack"/>
      <w:bookmarkEnd w:id="0"/>
      <w:bookmarkEnd w:id="1"/>
      <w:bookmarkEnd w:id="2"/>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sz w:val="24"/>
          <w:szCs w:val="24"/>
        </w:rPr>
        <w:t>Published Online:</w:t>
      </w:r>
    </w:p>
    <w:p w:rsidR="00A06E23" w:rsidRPr="00E90188" w:rsidRDefault="00A06E23" w:rsidP="00C962AB">
      <w:pPr>
        <w:spacing w:after="0" w:line="360" w:lineRule="auto"/>
        <w:jc w:val="both"/>
        <w:rPr>
          <w:rFonts w:ascii="Book Antiqua" w:hAnsi="Book Antiqua"/>
          <w:b/>
          <w:sz w:val="24"/>
          <w:szCs w:val="24"/>
        </w:rPr>
      </w:pPr>
    </w:p>
    <w:p w:rsidR="00A06E23" w:rsidRDefault="00A06E23" w:rsidP="00C962AB">
      <w:pPr>
        <w:spacing w:after="0" w:line="360" w:lineRule="auto"/>
        <w:jc w:val="both"/>
        <w:rPr>
          <w:rFonts w:ascii="Book Antiqua" w:hAnsi="Book Antiqua"/>
          <w:b/>
          <w:sz w:val="24"/>
          <w:szCs w:val="24"/>
        </w:rPr>
      </w:pPr>
    </w:p>
    <w:p w:rsidR="00A06E23" w:rsidRDefault="00A06E23" w:rsidP="00C962AB">
      <w:pPr>
        <w:spacing w:after="0" w:line="360" w:lineRule="auto"/>
        <w:jc w:val="both"/>
        <w:rPr>
          <w:rFonts w:ascii="Book Antiqua" w:hAnsi="Book Antiqua"/>
          <w:b/>
          <w:sz w:val="24"/>
          <w:szCs w:val="24"/>
        </w:rPr>
      </w:pPr>
    </w:p>
    <w:p w:rsidR="00A06E23"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sz w:val="24"/>
          <w:szCs w:val="24"/>
        </w:rPr>
        <w:lastRenderedPageBreak/>
        <w:t>Abstract</w:t>
      </w: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sz w:val="24"/>
          <w:szCs w:val="24"/>
        </w:rPr>
        <w:t xml:space="preserve">Pancreatic cancer remains one of the leading causes of cancer related death worldwide with an overall five-year survival of less than 5%. Potentially curative surgery, which alone can improve 5-year survival to 10%, is an option for only 10%-20% of patients at presentation owing to local invasion of the tumour or metastatic disease. Adjuvant chemotherapy has been shown to improve 5-year survival to 20%-25% but conflicting evidence remains in with regards to chemoradiation. In this article we review the current evidence available from published randomised trials and discuss ongoing Phase III trials in relation to adjuvant therapy in pancreatic cancer. </w:t>
      </w:r>
    </w:p>
    <w:p w:rsidR="00A06E23" w:rsidRPr="00E90188" w:rsidRDefault="00A06E23" w:rsidP="00C962AB">
      <w:pPr>
        <w:spacing w:after="0" w:line="360" w:lineRule="auto"/>
        <w:ind w:firstLine="720"/>
        <w:jc w:val="both"/>
        <w:rPr>
          <w:rFonts w:ascii="Book Antiqua" w:hAnsi="Book Antiqua"/>
          <w:sz w:val="24"/>
          <w:szCs w:val="24"/>
        </w:rPr>
      </w:pPr>
    </w:p>
    <w:p w:rsidR="00A06E23" w:rsidRPr="00E90188" w:rsidRDefault="00A06E23" w:rsidP="00C962AB">
      <w:pPr>
        <w:spacing w:after="0" w:line="360" w:lineRule="auto"/>
        <w:jc w:val="both"/>
        <w:rPr>
          <w:rFonts w:ascii="Book Antiqua" w:hAnsi="Book Antiqua"/>
          <w:sz w:val="24"/>
          <w:szCs w:val="24"/>
          <w:lang w:eastAsia="zh-CN"/>
        </w:rPr>
      </w:pPr>
      <w:r w:rsidRPr="00E90188">
        <w:rPr>
          <w:rFonts w:ascii="Book Antiqua" w:hAnsi="Book Antiqua"/>
          <w:sz w:val="24"/>
          <w:szCs w:val="24"/>
        </w:rPr>
        <w:t xml:space="preserve">© 2014 Baishideng Publishing Group </w:t>
      </w:r>
      <w:r>
        <w:rPr>
          <w:rFonts w:ascii="Book Antiqua" w:hAnsi="Book Antiqua"/>
          <w:sz w:val="24"/>
          <w:szCs w:val="24"/>
        </w:rPr>
        <w:t>Inc</w:t>
      </w:r>
      <w:r w:rsidRPr="00E90188">
        <w:rPr>
          <w:rFonts w:ascii="Book Antiqua" w:hAnsi="Book Antiqua"/>
          <w:sz w:val="24"/>
          <w:szCs w:val="24"/>
        </w:rPr>
        <w:t>. All rights reserved.</w:t>
      </w: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sz w:val="24"/>
          <w:szCs w:val="24"/>
          <w:lang w:eastAsia="zh-CN"/>
        </w:rPr>
      </w:pPr>
      <w:r w:rsidRPr="00E90188">
        <w:rPr>
          <w:rFonts w:ascii="Book Antiqua" w:hAnsi="Book Antiqua"/>
          <w:b/>
          <w:sz w:val="24"/>
          <w:szCs w:val="24"/>
        </w:rPr>
        <w:t xml:space="preserve">Key Words: </w:t>
      </w:r>
      <w:r w:rsidRPr="00E90188">
        <w:rPr>
          <w:rFonts w:ascii="Book Antiqua" w:hAnsi="Book Antiqua"/>
          <w:sz w:val="24"/>
          <w:szCs w:val="24"/>
        </w:rPr>
        <w:t xml:space="preserve">Pancreatic cancer; </w:t>
      </w:r>
      <w:r w:rsidRPr="00E90188">
        <w:rPr>
          <w:rFonts w:ascii="Book Antiqua" w:hAnsi="Book Antiqua"/>
          <w:sz w:val="24"/>
          <w:szCs w:val="24"/>
          <w:lang w:eastAsia="zh-CN"/>
        </w:rPr>
        <w:t>A</w:t>
      </w:r>
      <w:r w:rsidRPr="00E90188">
        <w:rPr>
          <w:rFonts w:ascii="Book Antiqua" w:hAnsi="Book Antiqua"/>
          <w:sz w:val="24"/>
          <w:szCs w:val="24"/>
        </w:rPr>
        <w:t xml:space="preserve">djuvant; </w:t>
      </w:r>
      <w:r w:rsidRPr="00E90188">
        <w:rPr>
          <w:rFonts w:ascii="Book Antiqua" w:hAnsi="Book Antiqua"/>
          <w:sz w:val="24"/>
          <w:szCs w:val="24"/>
          <w:lang w:eastAsia="zh-CN"/>
        </w:rPr>
        <w:t>G</w:t>
      </w:r>
      <w:r w:rsidRPr="00E90188">
        <w:rPr>
          <w:rFonts w:ascii="Book Antiqua" w:hAnsi="Book Antiqua"/>
          <w:sz w:val="24"/>
          <w:szCs w:val="24"/>
        </w:rPr>
        <w:t xml:space="preserve">emcitabine; </w:t>
      </w:r>
      <w:r w:rsidRPr="00E90188">
        <w:rPr>
          <w:rFonts w:ascii="Book Antiqua" w:hAnsi="Book Antiqua"/>
          <w:sz w:val="24"/>
          <w:szCs w:val="24"/>
          <w:lang w:eastAsia="zh-CN"/>
        </w:rPr>
        <w:t>C</w:t>
      </w:r>
      <w:r w:rsidRPr="00E90188">
        <w:rPr>
          <w:rFonts w:ascii="Book Antiqua" w:hAnsi="Book Antiqua"/>
          <w:sz w:val="24"/>
          <w:szCs w:val="24"/>
        </w:rPr>
        <w:t xml:space="preserve">hemotherapy; </w:t>
      </w:r>
      <w:r w:rsidRPr="00E90188">
        <w:rPr>
          <w:rFonts w:ascii="Book Antiqua" w:hAnsi="Book Antiqua"/>
          <w:sz w:val="24"/>
          <w:szCs w:val="24"/>
          <w:lang w:eastAsia="zh-CN"/>
        </w:rPr>
        <w:t>C</w:t>
      </w:r>
      <w:r w:rsidRPr="00E90188">
        <w:rPr>
          <w:rFonts w:ascii="Book Antiqua" w:hAnsi="Book Antiqua"/>
          <w:sz w:val="24"/>
          <w:szCs w:val="24"/>
        </w:rPr>
        <w:t>hemoradiotherapy; Phase III</w:t>
      </w:r>
    </w:p>
    <w:p w:rsidR="00A06E23" w:rsidRPr="00E90188" w:rsidRDefault="00A06E23" w:rsidP="00C962AB">
      <w:pPr>
        <w:spacing w:after="0" w:line="360" w:lineRule="auto"/>
        <w:jc w:val="both"/>
        <w:rPr>
          <w:rFonts w:ascii="Book Antiqua" w:hAnsi="Book Antiqua"/>
          <w:sz w:val="24"/>
          <w:szCs w:val="24"/>
          <w:lang w:eastAsia="zh-CN"/>
        </w:rPr>
      </w:pP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b/>
          <w:sz w:val="24"/>
          <w:szCs w:val="24"/>
        </w:rPr>
        <w:t xml:space="preserve">Core Tip: </w:t>
      </w:r>
      <w:r w:rsidRPr="00E90188">
        <w:rPr>
          <w:rFonts w:ascii="Book Antiqua" w:hAnsi="Book Antiqua"/>
          <w:sz w:val="24"/>
          <w:szCs w:val="24"/>
        </w:rPr>
        <w:t>This paper discusses every major trial undertaken in the field of adjuvant therapy in pancreatic cancer. The evolution of chemotherapeutic regimes over the past 25 years and the controversy surrounding chemoradiation are analysed, in addition to looking at the Phase III trials currently in progress.</w:t>
      </w:r>
    </w:p>
    <w:p w:rsidR="00A06E23" w:rsidRPr="00E90188" w:rsidRDefault="00A06E23" w:rsidP="00C962AB">
      <w:pPr>
        <w:spacing w:after="0" w:line="360" w:lineRule="auto"/>
        <w:jc w:val="both"/>
        <w:rPr>
          <w:rFonts w:ascii="Book Antiqua" w:hAnsi="Book Antiqua"/>
          <w:sz w:val="24"/>
          <w:szCs w:val="24"/>
        </w:rPr>
      </w:pP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sz w:val="24"/>
          <w:szCs w:val="24"/>
        </w:rPr>
        <w:t>Jones OP, Melling JD, Ghaneh P. Adjuvant therapy in pancreatic cancer</w:t>
      </w:r>
      <w:r w:rsidRPr="00E90188">
        <w:rPr>
          <w:rFonts w:ascii="Book Antiqua" w:hAnsi="Book Antiqua"/>
          <w:sz w:val="24"/>
          <w:szCs w:val="24"/>
          <w:lang w:eastAsia="zh-CN"/>
        </w:rPr>
        <w:t>.</w:t>
      </w:r>
      <w:r>
        <w:rPr>
          <w:rFonts w:ascii="Book Antiqua" w:hAnsi="Book Antiqua"/>
          <w:i/>
          <w:sz w:val="24"/>
          <w:szCs w:val="24"/>
        </w:rPr>
        <w:t xml:space="preserve"> </w:t>
      </w:r>
      <w:r w:rsidRPr="00E90188">
        <w:rPr>
          <w:rFonts w:ascii="Book Antiqua" w:hAnsi="Book Antiqua"/>
          <w:i/>
          <w:sz w:val="24"/>
          <w:szCs w:val="24"/>
        </w:rPr>
        <w:t>World J Gastroenterol</w:t>
      </w:r>
      <w:r w:rsidRPr="00E90188">
        <w:rPr>
          <w:rFonts w:ascii="Book Antiqua" w:hAnsi="Book Antiqua"/>
          <w:sz w:val="24"/>
          <w:szCs w:val="24"/>
        </w:rPr>
        <w:t xml:space="preserve"> 2014;</w:t>
      </w:r>
      <w:r>
        <w:rPr>
          <w:rFonts w:ascii="Book Antiqua" w:hAnsi="Book Antiqua"/>
          <w:sz w:val="24"/>
          <w:szCs w:val="24"/>
        </w:rPr>
        <w:t xml:space="preserve"> In press</w:t>
      </w: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sz w:val="24"/>
          <w:szCs w:val="24"/>
        </w:rPr>
        <w:t>INTRODUCTION</w:t>
      </w:r>
    </w:p>
    <w:p w:rsidR="00A06E23" w:rsidRPr="00E90188" w:rsidRDefault="00A06E23" w:rsidP="00C962AB">
      <w:pPr>
        <w:spacing w:after="0" w:line="360" w:lineRule="auto"/>
        <w:jc w:val="both"/>
        <w:rPr>
          <w:rFonts w:ascii="Book Antiqua" w:hAnsi="Book Antiqua"/>
          <w:sz w:val="24"/>
          <w:szCs w:val="24"/>
        </w:rPr>
      </w:pPr>
      <w:r w:rsidRPr="00E90188">
        <w:rPr>
          <w:rFonts w:ascii="Book Antiqua" w:hAnsi="Book Antiqua"/>
          <w:sz w:val="24"/>
          <w:szCs w:val="24"/>
        </w:rPr>
        <w:lastRenderedPageBreak/>
        <w:t>Despite accounting for only 2.2% of all cancers, pancreatic ductal adenocarcinoma is the fourth most common cause of cancer related death in the world</w:t>
      </w:r>
      <w:r w:rsidRPr="00E90188">
        <w:rPr>
          <w:rStyle w:val="a4"/>
          <w:rFonts w:ascii="Book Antiqua" w:hAnsi="Book Antiqua"/>
          <w:sz w:val="24"/>
          <w:szCs w:val="24"/>
        </w:rPr>
        <w:t>[</w:t>
      </w:r>
      <w:r w:rsidRPr="00E90188">
        <w:rPr>
          <w:rStyle w:val="a4"/>
          <w:rFonts w:ascii="Book Antiqua" w:hAnsi="Book Antiqua"/>
          <w:sz w:val="24"/>
          <w:szCs w:val="24"/>
        </w:rPr>
        <w:endnoteReference w:id="1"/>
      </w:r>
      <w:r w:rsidRPr="00E90188">
        <w:rPr>
          <w:rStyle w:val="a4"/>
          <w:rFonts w:ascii="Book Antiqua" w:hAnsi="Book Antiqua"/>
          <w:sz w:val="24"/>
          <w:szCs w:val="24"/>
        </w:rPr>
        <w:t>]</w:t>
      </w:r>
      <w:r w:rsidRPr="00E90188">
        <w:rPr>
          <w:rFonts w:ascii="Book Antiqua" w:hAnsi="Book Antiqua"/>
          <w:sz w:val="24"/>
          <w:szCs w:val="24"/>
        </w:rPr>
        <w:t>. In 2008 there were 279000 new cases worldwide with 266000 deaths from the disease, reflecting its dismal prognosis. Owing to the majority of patients presenting with locally advanced and metastatic disease, the overall survival rates at one and five years after diagnosis are 19% and 0.4%-4%</w:t>
      </w:r>
      <w:r w:rsidRPr="00E90188">
        <w:rPr>
          <w:rStyle w:val="a4"/>
          <w:rFonts w:ascii="Book Antiqua" w:hAnsi="Book Antiqua"/>
          <w:sz w:val="24"/>
          <w:szCs w:val="24"/>
        </w:rPr>
        <w:t>[</w:t>
      </w:r>
      <w:r w:rsidRPr="00E90188">
        <w:rPr>
          <w:rStyle w:val="a4"/>
          <w:rFonts w:ascii="Book Antiqua" w:hAnsi="Book Antiqua"/>
          <w:sz w:val="24"/>
          <w:szCs w:val="24"/>
        </w:rPr>
        <w:endnoteReference w:id="2"/>
      </w:r>
      <w:r w:rsidRPr="00E90188">
        <w:rPr>
          <w:rStyle w:val="a4"/>
          <w:rFonts w:ascii="Book Antiqua" w:hAnsi="Book Antiqua"/>
          <w:sz w:val="24"/>
          <w:szCs w:val="24"/>
        </w:rPr>
        <w:t>]</w:t>
      </w:r>
      <w:r w:rsidRPr="00E90188">
        <w:rPr>
          <w:rFonts w:ascii="Book Antiqua" w:hAnsi="Book Antiqua"/>
          <w:sz w:val="24"/>
          <w:szCs w:val="24"/>
        </w:rPr>
        <w:t xml:space="preserve"> respectively. Surgery is the single most important factor in improving outcome but only 10%-20% of patients are candidates for such treatment which can improve the five-year survival rate to 10%</w:t>
      </w:r>
      <w:r w:rsidRPr="00E90188">
        <w:rPr>
          <w:rStyle w:val="a4"/>
          <w:rFonts w:ascii="Book Antiqua" w:hAnsi="Book Antiqua"/>
          <w:sz w:val="24"/>
          <w:szCs w:val="24"/>
        </w:rPr>
        <w:t>[</w:t>
      </w:r>
      <w:r w:rsidRPr="00E90188">
        <w:rPr>
          <w:rStyle w:val="a4"/>
          <w:rFonts w:ascii="Book Antiqua" w:hAnsi="Book Antiqua"/>
          <w:sz w:val="24"/>
          <w:szCs w:val="24"/>
        </w:rPr>
        <w:endnoteReference w:id="3"/>
      </w:r>
      <w:r w:rsidRPr="00E90188">
        <w:rPr>
          <w:rStyle w:val="a4"/>
          <w:rFonts w:ascii="Book Antiqua" w:hAnsi="Book Antiqua"/>
          <w:sz w:val="24"/>
          <w:szCs w:val="24"/>
        </w:rPr>
        <w:t>]</w:t>
      </w:r>
      <w:r w:rsidRPr="00E90188">
        <w:rPr>
          <w:rFonts w:ascii="Book Antiqua" w:hAnsi="Book Antiqua"/>
          <w:sz w:val="24"/>
          <w:szCs w:val="24"/>
        </w:rPr>
        <w:t xml:space="preserve">. This modest survival benefit is due to the high prevalence of both local recurrence and distant metastases due to residual microscopic disease. In recent years, interest has increased exponentially in both neoadjuvant and adjuvant strategies to improve these outcomes. </w:t>
      </w:r>
    </w:p>
    <w:p w:rsidR="00A06E23" w:rsidRPr="00E90188" w:rsidRDefault="00A06E23" w:rsidP="00C962AB">
      <w:pPr>
        <w:spacing w:after="0" w:line="360" w:lineRule="auto"/>
        <w:ind w:firstLine="720"/>
        <w:jc w:val="both"/>
        <w:rPr>
          <w:rFonts w:ascii="Book Antiqua" w:hAnsi="Book Antiqua"/>
          <w:sz w:val="24"/>
          <w:szCs w:val="24"/>
        </w:rPr>
      </w:pPr>
    </w:p>
    <w:p w:rsidR="00A06E23" w:rsidRPr="00E90188" w:rsidRDefault="00A06E23" w:rsidP="00C962AB">
      <w:pPr>
        <w:spacing w:after="0" w:line="360" w:lineRule="auto"/>
        <w:jc w:val="both"/>
        <w:rPr>
          <w:rFonts w:ascii="Book Antiqua" w:hAnsi="Book Antiqua"/>
          <w:b/>
          <w:sz w:val="24"/>
          <w:szCs w:val="24"/>
        </w:rPr>
      </w:pPr>
      <w:r w:rsidRPr="00E90188">
        <w:rPr>
          <w:rFonts w:ascii="Book Antiqua" w:hAnsi="Book Antiqua"/>
          <w:b/>
          <w:sz w:val="24"/>
          <w:szCs w:val="24"/>
        </w:rPr>
        <w:t>ADJUVANT CHEMOTHERAPY</w:t>
      </w:r>
    </w:p>
    <w:p w:rsidR="00A06E23" w:rsidRPr="00E90188" w:rsidRDefault="00A06E23" w:rsidP="00C962AB">
      <w:pPr>
        <w:spacing w:after="0" w:line="360" w:lineRule="auto"/>
        <w:jc w:val="both"/>
        <w:rPr>
          <w:rFonts w:ascii="Book Antiqua" w:hAnsi="Book Antiqua" w:cs="Arial"/>
          <w:sz w:val="24"/>
          <w:szCs w:val="24"/>
        </w:rPr>
      </w:pPr>
      <w:r w:rsidRPr="00E90188">
        <w:rPr>
          <w:rFonts w:ascii="Book Antiqua" w:hAnsi="Book Antiqua"/>
          <w:sz w:val="24"/>
          <w:szCs w:val="24"/>
        </w:rPr>
        <w:t>A handful of chemotherapy regimens had been utilised in locally advanced and metastatic pancreatic in the 1970s and 1980s with limited success. Response rates of 30%-43%</w:t>
      </w:r>
      <w:r w:rsidRPr="00E90188">
        <w:rPr>
          <w:rStyle w:val="a4"/>
          <w:rFonts w:ascii="Book Antiqua" w:hAnsi="Book Antiqua"/>
          <w:sz w:val="24"/>
          <w:szCs w:val="24"/>
        </w:rPr>
        <w:t>[</w:t>
      </w:r>
      <w:r w:rsidRPr="00E90188">
        <w:rPr>
          <w:rStyle w:val="a4"/>
          <w:rFonts w:ascii="Book Antiqua" w:hAnsi="Book Antiqua"/>
          <w:sz w:val="24"/>
          <w:szCs w:val="24"/>
        </w:rPr>
        <w:endnoteReference w:id="4"/>
      </w:r>
      <w:r w:rsidRPr="00E90188">
        <w:rPr>
          <w:rStyle w:val="a4"/>
          <w:rFonts w:ascii="Book Antiqua" w:hAnsi="Book Antiqua"/>
          <w:sz w:val="24"/>
          <w:szCs w:val="24"/>
        </w:rPr>
        <w:t>]</w:t>
      </w:r>
      <w:r w:rsidRPr="00E90188">
        <w:rPr>
          <w:rFonts w:ascii="Book Antiqua" w:hAnsi="Book Antiqua"/>
          <w:sz w:val="24"/>
          <w:szCs w:val="24"/>
        </w:rPr>
        <w:t xml:space="preserve"> were reported and though these patients achieved some survival benefit, this evidence was not strong enough to recommend its routine use in all patients. Mallinson </w:t>
      </w:r>
      <w:r w:rsidRPr="00E90188">
        <w:rPr>
          <w:rFonts w:ascii="Book Antiqua" w:hAnsi="Book Antiqua"/>
          <w:i/>
          <w:sz w:val="24"/>
          <w:szCs w:val="24"/>
        </w:rPr>
        <w:t>et al</w:t>
      </w:r>
      <w:r w:rsidRPr="00E90188">
        <w:rPr>
          <w:rStyle w:val="a4"/>
          <w:rFonts w:ascii="Book Antiqua" w:hAnsi="Book Antiqua"/>
          <w:sz w:val="24"/>
          <w:szCs w:val="24"/>
        </w:rPr>
        <w:t>[</w:t>
      </w:r>
      <w:r w:rsidRPr="00E90188">
        <w:rPr>
          <w:rStyle w:val="a4"/>
          <w:rFonts w:ascii="Book Antiqua" w:hAnsi="Book Antiqua"/>
          <w:sz w:val="24"/>
          <w:szCs w:val="24"/>
        </w:rPr>
        <w:endnoteReference w:id="5"/>
      </w:r>
      <w:r w:rsidRPr="00E90188">
        <w:rPr>
          <w:rStyle w:val="a4"/>
          <w:rFonts w:ascii="Book Antiqua" w:hAnsi="Book Antiqua"/>
          <w:sz w:val="24"/>
          <w:szCs w:val="24"/>
        </w:rPr>
        <w:t>]</w:t>
      </w:r>
      <w:r w:rsidRPr="00E90188">
        <w:rPr>
          <w:rFonts w:ascii="Book Antiqua" w:hAnsi="Book Antiqua"/>
          <w:sz w:val="24"/>
          <w:szCs w:val="24"/>
        </w:rPr>
        <w:t xml:space="preserve"> was amongst the first to publish on the benefit of 5-flurouracil (5-FU) based chemotherapy in the palliative setting of pancreatic cancer, reporting a median survival of 44 </w:t>
      </w:r>
      <w:r>
        <w:rPr>
          <w:rFonts w:ascii="Book Antiqua" w:hAnsi="Book Antiqua"/>
          <w:sz w:val="24"/>
          <w:szCs w:val="24"/>
        </w:rPr>
        <w:t>wk</w:t>
      </w:r>
      <w:r w:rsidRPr="00E90188">
        <w:rPr>
          <w:rFonts w:ascii="Book Antiqua" w:hAnsi="Book Antiqua"/>
          <w:sz w:val="24"/>
          <w:szCs w:val="24"/>
        </w:rPr>
        <w:t xml:space="preserve"> in those receiving treatment against only 9 </w:t>
      </w:r>
      <w:r>
        <w:rPr>
          <w:rFonts w:ascii="Book Antiqua" w:hAnsi="Book Antiqua"/>
          <w:sz w:val="24"/>
          <w:szCs w:val="24"/>
        </w:rPr>
        <w:t>wk</w:t>
      </w:r>
      <w:r w:rsidRPr="00E90188">
        <w:rPr>
          <w:rFonts w:ascii="Book Antiqua" w:hAnsi="Book Antiqua"/>
          <w:sz w:val="24"/>
          <w:szCs w:val="24"/>
        </w:rPr>
        <w:t xml:space="preserve"> in controls. In 1993, a Norwegian group</w:t>
      </w:r>
      <w:r w:rsidRPr="00E90188">
        <w:rPr>
          <w:rStyle w:val="a4"/>
          <w:rFonts w:ascii="Book Antiqua" w:hAnsi="Book Antiqua"/>
          <w:sz w:val="24"/>
          <w:szCs w:val="24"/>
        </w:rPr>
        <w:t>[</w:t>
      </w:r>
      <w:bookmarkStart w:id="3" w:name="_Ref385923124"/>
      <w:r w:rsidRPr="00E90188">
        <w:rPr>
          <w:rStyle w:val="a4"/>
          <w:rFonts w:ascii="Book Antiqua" w:hAnsi="Book Antiqua"/>
          <w:sz w:val="24"/>
          <w:szCs w:val="24"/>
        </w:rPr>
        <w:endnoteReference w:id="6"/>
      </w:r>
      <w:bookmarkEnd w:id="3"/>
      <w:r w:rsidRPr="00E90188">
        <w:rPr>
          <w:rStyle w:val="a4"/>
          <w:rFonts w:ascii="Book Antiqua" w:hAnsi="Book Antiqua"/>
          <w:sz w:val="24"/>
          <w:szCs w:val="24"/>
        </w:rPr>
        <w:t>]</w:t>
      </w:r>
      <w:r w:rsidRPr="00E90188">
        <w:rPr>
          <w:rFonts w:ascii="Book Antiqua" w:hAnsi="Book Antiqua"/>
          <w:sz w:val="24"/>
          <w:szCs w:val="24"/>
        </w:rPr>
        <w:t xml:space="preserve"> was first to publish a randomised study assessing the role of adjuvant chemotherapy in resected pancreatic cancer (Table 1). Sixty-one patients (47 pancreatic and 14 ampullary cancers) were divided into two treatment arms </w:t>
      </w:r>
      <w:r>
        <w:rPr>
          <w:rFonts w:ascii="Book Antiqua" w:hAnsi="Book Antiqua"/>
          <w:sz w:val="24"/>
          <w:szCs w:val="24"/>
          <w:lang w:eastAsia="zh-CN"/>
        </w:rPr>
        <w:t>-</w:t>
      </w:r>
      <w:r w:rsidRPr="00E90188">
        <w:rPr>
          <w:rFonts w:ascii="Book Antiqua" w:hAnsi="Book Antiqua"/>
          <w:sz w:val="24"/>
          <w:szCs w:val="24"/>
        </w:rPr>
        <w:t xml:space="preserve"> one to undergo surgery alone and the second to undergo adjuvant chemotherapy. This adjuvant therapy consisted of</w:t>
      </w:r>
      <w:r w:rsidRPr="00E90188">
        <w:rPr>
          <w:rFonts w:ascii="Book Antiqua" w:hAnsi="Book Antiqua" w:cs="Arial"/>
          <w:sz w:val="24"/>
          <w:szCs w:val="24"/>
        </w:rPr>
        <w:t xml:space="preserve"> 5-FU 500 mg/m², doxorubicin 40 mg/m² and mitomycin C 6 mg/m² every 3 </w:t>
      </w:r>
      <w:r>
        <w:rPr>
          <w:rFonts w:ascii="Book Antiqua" w:hAnsi="Book Antiqua" w:cs="Arial"/>
          <w:sz w:val="24"/>
          <w:szCs w:val="24"/>
        </w:rPr>
        <w:t>wk</w:t>
      </w:r>
      <w:r w:rsidRPr="00E90188">
        <w:rPr>
          <w:rFonts w:ascii="Book Antiqua" w:hAnsi="Book Antiqua" w:cs="Arial"/>
          <w:sz w:val="24"/>
          <w:szCs w:val="24"/>
        </w:rPr>
        <w:t xml:space="preserve"> for six cycles. Median survival was improved to 23 </w:t>
      </w:r>
      <w:r>
        <w:rPr>
          <w:rFonts w:ascii="Book Antiqua" w:hAnsi="Book Antiqua" w:cs="Arial"/>
          <w:sz w:val="24"/>
          <w:szCs w:val="24"/>
        </w:rPr>
        <w:t>mo</w:t>
      </w:r>
      <w:r w:rsidRPr="00E90188">
        <w:rPr>
          <w:rFonts w:ascii="Book Antiqua" w:hAnsi="Book Antiqua" w:cs="Arial"/>
          <w:sz w:val="24"/>
          <w:szCs w:val="24"/>
        </w:rPr>
        <w:t xml:space="preserve"> with adjuvant chemotherapy in comparison to 11 months in those undergoing observation alone (</w:t>
      </w:r>
      <w:r w:rsidRPr="00E90188">
        <w:rPr>
          <w:rFonts w:ascii="Book Antiqua" w:hAnsi="Book Antiqua" w:cs="Arial"/>
          <w:i/>
          <w:sz w:val="24"/>
          <w:szCs w:val="24"/>
        </w:rPr>
        <w:t xml:space="preserve">P </w:t>
      </w:r>
      <w:r w:rsidRPr="00E90188">
        <w:rPr>
          <w:rFonts w:ascii="Book Antiqua" w:hAnsi="Book Antiqua" w:cs="Arial"/>
          <w:sz w:val="24"/>
          <w:szCs w:val="24"/>
        </w:rPr>
        <w:t xml:space="preserve">= 0.04). One-year survival improved to 70% with chemotherapy as opposed to 45% in the observation group but unfortunately this did not translate into a longer-term survival benefit. A potential explanation </w:t>
      </w:r>
      <w:r w:rsidRPr="00E90188">
        <w:rPr>
          <w:rFonts w:ascii="Book Antiqua" w:hAnsi="Book Antiqua" w:cs="Arial"/>
          <w:sz w:val="24"/>
          <w:szCs w:val="24"/>
        </w:rPr>
        <w:lastRenderedPageBreak/>
        <w:t>may be the high toxicity rate in the treatment group, which resulted in only 56% completing the prescribed chemotherapy course.</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The landmark ESPAC-1</w:t>
      </w:r>
      <w:r w:rsidRPr="00E90188">
        <w:rPr>
          <w:rStyle w:val="a4"/>
          <w:rFonts w:ascii="Book Antiqua" w:hAnsi="Book Antiqua" w:cs="Arial"/>
          <w:sz w:val="24"/>
          <w:szCs w:val="24"/>
        </w:rPr>
        <w:t>[</w:t>
      </w:r>
      <w:bookmarkStart w:id="4" w:name="_Ref385923177"/>
      <w:r w:rsidRPr="00E90188">
        <w:rPr>
          <w:rStyle w:val="a4"/>
          <w:rFonts w:ascii="Book Antiqua" w:hAnsi="Book Antiqua" w:cs="Arial"/>
          <w:sz w:val="24"/>
          <w:szCs w:val="24"/>
        </w:rPr>
        <w:endnoteReference w:id="7"/>
      </w:r>
      <w:bookmarkEnd w:id="4"/>
      <w:r w:rsidRPr="00E90188">
        <w:rPr>
          <w:rStyle w:val="a4"/>
          <w:rFonts w:ascii="Book Antiqua" w:hAnsi="Book Antiqua" w:cs="Arial"/>
          <w:sz w:val="24"/>
          <w:szCs w:val="24"/>
        </w:rPr>
        <w:t>]</w:t>
      </w:r>
      <w:r w:rsidRPr="00E90188">
        <w:rPr>
          <w:rFonts w:ascii="Book Antiqua" w:hAnsi="Book Antiqua" w:cs="Arial"/>
          <w:sz w:val="24"/>
          <w:szCs w:val="24"/>
        </w:rPr>
        <w:t xml:space="preserve"> (European Study Group for Pancreatic Cancer) study was designed to determine whether adjuvant chemoradiotherapy or adjuvant chemotherapy alone had a role in improving survival following pancreatic cancer resection. This was the first adequately powered randomised trial to assess adjuvant therapy in pancreatic cancer, recruiting 541 patients over a six year</w:t>
      </w:r>
      <w:r w:rsidRPr="00E90188">
        <w:rPr>
          <w:rFonts w:ascii="Book Antiqua" w:hAnsi="Book Antiqua" w:cs="Arial"/>
          <w:sz w:val="24"/>
          <w:szCs w:val="24"/>
          <w:lang w:eastAsia="zh-CN"/>
        </w:rPr>
        <w:t>s</w:t>
      </w:r>
      <w:r w:rsidRPr="00E90188">
        <w:rPr>
          <w:rFonts w:ascii="Book Antiqua" w:hAnsi="Book Antiqua" w:cs="Arial"/>
          <w:sz w:val="24"/>
          <w:szCs w:val="24"/>
        </w:rPr>
        <w:t xml:space="preserve"> period in 61 centres internationally. Inclusion criteria consisted of patients having made a full recovery from a macroscopically resected pancreatic ductal adenocarcinoma, with a life expectancy of over 3 </w:t>
      </w:r>
      <w:r>
        <w:rPr>
          <w:rFonts w:ascii="Book Antiqua" w:hAnsi="Book Antiqua" w:cs="Arial"/>
          <w:sz w:val="24"/>
          <w:szCs w:val="24"/>
        </w:rPr>
        <w:t>mo</w:t>
      </w:r>
      <w:r w:rsidRPr="00E90188">
        <w:rPr>
          <w:rFonts w:ascii="Book Antiqua" w:hAnsi="Book Antiqua" w:cs="Arial"/>
          <w:sz w:val="24"/>
          <w:szCs w:val="24"/>
        </w:rPr>
        <w:t xml:space="preserve">. Two hundred and eighty five patients were randomised in a two-by-two factorial design to receive chemoradiotherapy alone, chemotherapy alone, both or observation. In addition to this 2X2 design, a further 256 patients were also randomised to receive either chemoradiotherapy, chemotherapy, or observation (Individual treatment groups). Chemotherapy consisted of a 20 mg/m²  intravenous bolus of folinic acid, followed by a further intravenous bolus of 5-FU (425 mg/m²) to be administered on days 1-5 of a 28 </w:t>
      </w:r>
      <w:r>
        <w:rPr>
          <w:rFonts w:ascii="Book Antiqua" w:hAnsi="Book Antiqua" w:cs="Arial"/>
          <w:sz w:val="24"/>
          <w:szCs w:val="24"/>
        </w:rPr>
        <w:t>d</w:t>
      </w:r>
      <w:r w:rsidRPr="00E90188">
        <w:rPr>
          <w:rFonts w:ascii="Book Antiqua" w:hAnsi="Book Antiqua" w:cs="Arial"/>
          <w:sz w:val="24"/>
          <w:szCs w:val="24"/>
        </w:rPr>
        <w:t xml:space="preserve"> cycle, over 6 cycles.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With a median follow-up of 10 months [range 0-62, interquartile range (IQR) 1-25] for surviving patients, initial results were suggestive of a significant improvement in outcome in those receiving chemotherapy when considering the entire study population. Median survival was 19.7 months [95% Confidence Interval (CI) 16.4-22.4] in those receiving chemotherapy, against 14 months (95%CI: 11.9-16.5) in those not receiving any [Hazard Ratio (HR) = 0.66, 95%CI: 0.52-0.83, </w:t>
      </w:r>
      <w:r w:rsidRPr="00E90188">
        <w:rPr>
          <w:rFonts w:ascii="Book Antiqua" w:hAnsi="Book Antiqua" w:cs="Arial"/>
          <w:i/>
          <w:sz w:val="24"/>
          <w:szCs w:val="24"/>
        </w:rPr>
        <w:t xml:space="preserve">P </w:t>
      </w:r>
      <w:r w:rsidRPr="00E90188">
        <w:rPr>
          <w:rFonts w:ascii="Book Antiqua" w:hAnsi="Book Antiqua" w:cs="Arial"/>
          <w:sz w:val="24"/>
          <w:szCs w:val="24"/>
        </w:rPr>
        <w:t>= 0.0005]. However, this significance was lost when analysing those patients in the 2X2 design alone (</w:t>
      </w:r>
      <w:r w:rsidRPr="00E90188">
        <w:rPr>
          <w:rFonts w:ascii="Book Antiqua" w:hAnsi="Book Antiqua"/>
          <w:sz w:val="24"/>
          <w:szCs w:val="24"/>
          <w:lang w:eastAsia="en-GB"/>
        </w:rPr>
        <w:t xml:space="preserve">17.8 </w:t>
      </w:r>
      <w:r>
        <w:rPr>
          <w:rFonts w:ascii="Book Antiqua" w:hAnsi="Book Antiqua" w:cs="Arial"/>
          <w:sz w:val="24"/>
          <w:szCs w:val="24"/>
        </w:rPr>
        <w:t>mo</w:t>
      </w:r>
      <w:r w:rsidRPr="00E90188">
        <w:rPr>
          <w:rFonts w:ascii="Book Antiqua" w:hAnsi="Book Antiqua" w:cs="Arial"/>
          <w:sz w:val="24"/>
          <w:szCs w:val="24"/>
        </w:rPr>
        <w:t xml:space="preserve"> </w:t>
      </w:r>
      <w:r w:rsidRPr="00E90188">
        <w:rPr>
          <w:rFonts w:ascii="Book Antiqua" w:hAnsi="Book Antiqua"/>
          <w:i/>
          <w:sz w:val="24"/>
          <w:szCs w:val="24"/>
          <w:lang w:eastAsia="en-GB"/>
        </w:rPr>
        <w:t>vs</w:t>
      </w:r>
      <w:r w:rsidRPr="00E90188">
        <w:rPr>
          <w:rFonts w:ascii="Book Antiqua" w:hAnsi="Book Antiqua"/>
          <w:sz w:val="24"/>
          <w:szCs w:val="24"/>
          <w:lang w:eastAsia="en-GB"/>
        </w:rPr>
        <w:t xml:space="preserve"> 15.8 </w:t>
      </w:r>
      <w:r>
        <w:rPr>
          <w:rFonts w:ascii="Book Antiqua" w:hAnsi="Book Antiqua" w:cs="Arial"/>
          <w:sz w:val="24"/>
          <w:szCs w:val="24"/>
        </w:rPr>
        <w:t>mo</w:t>
      </w:r>
      <w:r w:rsidRPr="00E90188">
        <w:rPr>
          <w:rFonts w:ascii="Book Antiqua" w:hAnsi="Book Antiqua"/>
          <w:sz w:val="24"/>
          <w:szCs w:val="24"/>
          <w:lang w:eastAsia="en-GB"/>
        </w:rPr>
        <w:t xml:space="preserve">, HR = 1.3, 95%CI: 0.96-1.77, </w:t>
      </w:r>
      <w:r w:rsidRPr="00E90188">
        <w:rPr>
          <w:rFonts w:ascii="Book Antiqua" w:hAnsi="Book Antiqua"/>
          <w:i/>
          <w:sz w:val="24"/>
          <w:szCs w:val="24"/>
          <w:lang w:eastAsia="en-GB"/>
        </w:rPr>
        <w:t xml:space="preserve">P </w:t>
      </w:r>
      <w:r w:rsidRPr="00E90188">
        <w:rPr>
          <w:rFonts w:ascii="Book Antiqua" w:hAnsi="Book Antiqua"/>
          <w:sz w:val="24"/>
          <w:szCs w:val="24"/>
          <w:lang w:eastAsia="en-GB"/>
        </w:rPr>
        <w:t>= 0.09).</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The final analysis of the 2X2 ESPAC-1 data</w:t>
      </w:r>
      <w:r w:rsidRPr="00E90188">
        <w:rPr>
          <w:rStyle w:val="a4"/>
          <w:rFonts w:ascii="Book Antiqua" w:hAnsi="Book Antiqua" w:cs="Arial"/>
          <w:sz w:val="24"/>
          <w:szCs w:val="24"/>
        </w:rPr>
        <w:t>[</w:t>
      </w:r>
      <w:bookmarkStart w:id="5" w:name="_Ref385924820"/>
      <w:r w:rsidRPr="00E90188">
        <w:rPr>
          <w:rStyle w:val="a4"/>
          <w:rFonts w:ascii="Book Antiqua" w:hAnsi="Book Antiqua" w:cs="Arial"/>
          <w:sz w:val="24"/>
          <w:szCs w:val="24"/>
        </w:rPr>
        <w:endnoteReference w:id="8"/>
      </w:r>
      <w:bookmarkEnd w:id="5"/>
      <w:r w:rsidRPr="00E90188">
        <w:rPr>
          <w:rStyle w:val="a4"/>
          <w:rFonts w:ascii="Book Antiqua" w:hAnsi="Book Antiqua" w:cs="Arial"/>
          <w:sz w:val="24"/>
          <w:szCs w:val="24"/>
        </w:rPr>
        <w:t>]</w:t>
      </w:r>
      <w:r w:rsidRPr="00E90188">
        <w:rPr>
          <w:rFonts w:ascii="Book Antiqua" w:hAnsi="Book Antiqua" w:cs="Arial"/>
          <w:sz w:val="24"/>
          <w:szCs w:val="24"/>
        </w:rPr>
        <w:t xml:space="preserve"> was based on 237 deaths in 289 patients with a median follow up of 47 </w:t>
      </w:r>
      <w:r>
        <w:rPr>
          <w:rFonts w:ascii="Book Antiqua" w:hAnsi="Book Antiqua" w:cs="Arial"/>
          <w:sz w:val="24"/>
          <w:szCs w:val="24"/>
        </w:rPr>
        <w:t>mo</w:t>
      </w:r>
      <w:r w:rsidRPr="00E90188">
        <w:rPr>
          <w:rFonts w:ascii="Book Antiqua" w:hAnsi="Book Antiqua" w:cs="Arial"/>
          <w:sz w:val="24"/>
          <w:szCs w:val="24"/>
        </w:rPr>
        <w:t xml:space="preserve"> (IQR 33-62 </w:t>
      </w:r>
      <w:r>
        <w:rPr>
          <w:rFonts w:ascii="Book Antiqua" w:hAnsi="Book Antiqua" w:cs="Arial"/>
          <w:sz w:val="24"/>
          <w:szCs w:val="24"/>
        </w:rPr>
        <w:t>mo</w:t>
      </w:r>
      <w:r w:rsidRPr="00E90188">
        <w:rPr>
          <w:rFonts w:ascii="Book Antiqua" w:hAnsi="Book Antiqua" w:cs="Arial"/>
          <w:sz w:val="24"/>
          <w:szCs w:val="24"/>
        </w:rPr>
        <w:t xml:space="preserve">). Median survival was 20.1 months (95%CI: 16.5-22.7) amongst patients who had undergone chemotherapy </w:t>
      </w:r>
      <w:r w:rsidRPr="00E90188">
        <w:rPr>
          <w:rFonts w:ascii="Book Antiqua" w:hAnsi="Book Antiqua" w:cs="Arial"/>
          <w:i/>
          <w:sz w:val="24"/>
          <w:szCs w:val="24"/>
        </w:rPr>
        <w:t>vs</w:t>
      </w:r>
      <w:r w:rsidRPr="00E90188">
        <w:rPr>
          <w:rFonts w:ascii="Book Antiqua" w:hAnsi="Book Antiqua" w:cs="Arial"/>
          <w:sz w:val="24"/>
          <w:szCs w:val="24"/>
        </w:rPr>
        <w:t xml:space="preserve"> 15.5 months (95%CI: 13-17.7) in those who had not (HR = 0.71, 95%CI: 0.55-0.92, </w:t>
      </w:r>
      <w:r w:rsidRPr="00E90188">
        <w:rPr>
          <w:rFonts w:ascii="Book Antiqua" w:hAnsi="Book Antiqua" w:cs="Arial"/>
          <w:i/>
          <w:sz w:val="24"/>
          <w:szCs w:val="24"/>
        </w:rPr>
        <w:t>P</w:t>
      </w:r>
      <w:r w:rsidRPr="00E90188">
        <w:rPr>
          <w:rFonts w:ascii="Book Antiqua" w:hAnsi="Book Antiqua" w:cs="Arial"/>
          <w:sz w:val="24"/>
          <w:szCs w:val="24"/>
        </w:rPr>
        <w:t xml:space="preserve"> = 0.009). The estimated two and five year survival was 40% </w:t>
      </w:r>
      <w:r w:rsidRPr="00E90188">
        <w:rPr>
          <w:rFonts w:ascii="Book Antiqua" w:hAnsi="Book Antiqua" w:cs="Arial"/>
          <w:i/>
          <w:sz w:val="24"/>
          <w:szCs w:val="24"/>
        </w:rPr>
        <w:t>vs</w:t>
      </w:r>
      <w:r w:rsidRPr="00E90188">
        <w:rPr>
          <w:rFonts w:ascii="Book Antiqua" w:hAnsi="Book Antiqua" w:cs="Arial"/>
          <w:sz w:val="24"/>
          <w:szCs w:val="24"/>
        </w:rPr>
        <w:t xml:space="preserve"> 21% and 21% </w:t>
      </w:r>
      <w:r w:rsidRPr="00E90188">
        <w:rPr>
          <w:rFonts w:ascii="Book Antiqua" w:hAnsi="Book Antiqua" w:cs="Arial"/>
          <w:i/>
          <w:sz w:val="24"/>
          <w:szCs w:val="24"/>
        </w:rPr>
        <w:t>vs</w:t>
      </w:r>
      <w:r w:rsidRPr="00E90188">
        <w:rPr>
          <w:rFonts w:ascii="Book Antiqua" w:hAnsi="Book Antiqua" w:cs="Arial"/>
          <w:sz w:val="24"/>
          <w:szCs w:val="24"/>
        </w:rPr>
        <w:t xml:space="preserve"> 8% respectively in those who received chemotherapy against patients which had not.</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lastRenderedPageBreak/>
        <w:t>Exclusive to the 2X2 study design, the cohort of 75 patients that received chemotherapy alone fared significantly better than those who underwent observation (</w:t>
      </w:r>
      <w:r w:rsidRPr="00E90188">
        <w:rPr>
          <w:rFonts w:ascii="Book Antiqua" w:hAnsi="Book Antiqua" w:cs="Arial"/>
          <w:i/>
          <w:sz w:val="24"/>
          <w:szCs w:val="24"/>
        </w:rPr>
        <w:t xml:space="preserve">n </w:t>
      </w:r>
      <w:r w:rsidRPr="00E90188">
        <w:rPr>
          <w:rFonts w:ascii="Book Antiqua" w:hAnsi="Book Antiqua" w:cs="Arial"/>
          <w:sz w:val="24"/>
          <w:szCs w:val="24"/>
        </w:rPr>
        <w:t xml:space="preserve">= 69). Median survival was 21.6 </w:t>
      </w:r>
      <w:r>
        <w:rPr>
          <w:rFonts w:ascii="Book Antiqua" w:hAnsi="Book Antiqua" w:cs="Arial"/>
          <w:sz w:val="24"/>
          <w:szCs w:val="24"/>
        </w:rPr>
        <w:t>mo</w:t>
      </w:r>
      <w:r w:rsidRPr="00E90188">
        <w:rPr>
          <w:rFonts w:ascii="Book Antiqua" w:hAnsi="Book Antiqua" w:cs="Arial"/>
          <w:sz w:val="24"/>
          <w:szCs w:val="24"/>
        </w:rPr>
        <w:t xml:space="preserve"> (95%CI: 13.5-27.3) </w:t>
      </w:r>
      <w:r w:rsidRPr="00E90188">
        <w:rPr>
          <w:rFonts w:ascii="Book Antiqua" w:hAnsi="Book Antiqua" w:cs="Arial"/>
          <w:i/>
          <w:sz w:val="24"/>
          <w:szCs w:val="24"/>
        </w:rPr>
        <w:t>vs</w:t>
      </w:r>
      <w:r w:rsidRPr="00E90188">
        <w:rPr>
          <w:rFonts w:ascii="Book Antiqua" w:hAnsi="Book Antiqua" w:cs="Arial"/>
          <w:sz w:val="24"/>
          <w:szCs w:val="24"/>
        </w:rPr>
        <w:t xml:space="preserve"> 16.9 </w:t>
      </w:r>
      <w:r>
        <w:rPr>
          <w:rFonts w:ascii="Book Antiqua" w:hAnsi="Book Antiqua" w:cs="Arial"/>
          <w:sz w:val="24"/>
          <w:szCs w:val="24"/>
        </w:rPr>
        <w:t>mo</w:t>
      </w:r>
      <w:r w:rsidRPr="00E90188">
        <w:rPr>
          <w:rFonts w:ascii="Book Antiqua" w:hAnsi="Book Antiqua" w:cs="Arial"/>
          <w:sz w:val="24"/>
          <w:szCs w:val="24"/>
        </w:rPr>
        <w:t xml:space="preserve"> (95%CI: 12.3-24.8) and estimated five-year survival was 29% </w:t>
      </w:r>
      <w:r w:rsidRPr="00E90188">
        <w:rPr>
          <w:rFonts w:ascii="Book Antiqua" w:hAnsi="Book Antiqua" w:cs="Arial"/>
          <w:i/>
          <w:sz w:val="24"/>
          <w:szCs w:val="24"/>
        </w:rPr>
        <w:t>vs</w:t>
      </w:r>
      <w:r w:rsidRPr="00E90188">
        <w:rPr>
          <w:rFonts w:ascii="Book Antiqua" w:hAnsi="Book Antiqua" w:cs="Arial"/>
          <w:sz w:val="24"/>
          <w:szCs w:val="24"/>
        </w:rPr>
        <w:t xml:space="preserve"> 11%. ESPAC-1 established 5-FU and folinic acid as the drug of choice in the adjuvant treatment of pancreatic cancer.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Takada </w:t>
      </w:r>
      <w:r w:rsidRPr="00E90188">
        <w:rPr>
          <w:rFonts w:ascii="Book Antiqua" w:hAnsi="Book Antiqua" w:cs="Arial"/>
          <w:i/>
          <w:sz w:val="24"/>
          <w:szCs w:val="24"/>
        </w:rPr>
        <w:t>et al</w:t>
      </w:r>
      <w:r w:rsidRPr="00E90188">
        <w:rPr>
          <w:rStyle w:val="a4"/>
          <w:rFonts w:ascii="Book Antiqua" w:hAnsi="Book Antiqua" w:cs="Arial"/>
          <w:sz w:val="24"/>
          <w:szCs w:val="24"/>
        </w:rPr>
        <w:t>[</w:t>
      </w:r>
      <w:bookmarkStart w:id="6" w:name="_Ref385923217"/>
      <w:r w:rsidRPr="00E90188">
        <w:rPr>
          <w:rStyle w:val="a4"/>
          <w:rFonts w:ascii="Book Antiqua" w:hAnsi="Book Antiqua" w:cs="Arial"/>
          <w:sz w:val="24"/>
          <w:szCs w:val="24"/>
        </w:rPr>
        <w:endnoteReference w:id="9"/>
      </w:r>
      <w:bookmarkEnd w:id="6"/>
      <w:r w:rsidRPr="00E90188">
        <w:rPr>
          <w:rStyle w:val="a4"/>
          <w:rFonts w:ascii="Book Antiqua" w:hAnsi="Book Antiqua" w:cs="Arial"/>
          <w:sz w:val="24"/>
          <w:szCs w:val="24"/>
        </w:rPr>
        <w:t>]</w:t>
      </w:r>
      <w:r w:rsidRPr="00E90188">
        <w:rPr>
          <w:rFonts w:ascii="Book Antiqua" w:hAnsi="Book Antiqua" w:cs="Arial"/>
          <w:i/>
          <w:sz w:val="24"/>
          <w:szCs w:val="24"/>
        </w:rPr>
        <w:t xml:space="preserve"> </w:t>
      </w:r>
      <w:r w:rsidRPr="00E90188">
        <w:rPr>
          <w:rFonts w:ascii="Book Antiqua" w:hAnsi="Book Antiqua" w:cs="Arial"/>
          <w:sz w:val="24"/>
          <w:szCs w:val="24"/>
        </w:rPr>
        <w:t xml:space="preserve">recruited a total of 508 patients with various resected pancreaticobiliary cancers which included 173 pancreatic malignancies. Though this multicentre randomised controlled trial recruited patients between 1986 and 1992, it was published later than ESPAC-1, in 2002. Patients were randomised in this study to receive either adjuvant mitomycin C (rapid intravenous infusion of 6 mg/m² on the day of surgery) and 5-FU (310 mg/m² for days 1-5 of postoperative weeks 1 and 3, followed by a daily dose of 100 mg/m² from week 5 until disease recurrence) or surgery alone. In the pancreatic subset of patients, this chemotherapy regime showed no significant improvement in 5-year survival or 5-year disease free survival. Unusually, this study utilised oral 5-FU as opposed to the usual intravenous form which may offer a reason for its ineffectiveness.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Kosuge and colleagues (JSAP)</w:t>
      </w:r>
      <w:r w:rsidRPr="00E90188">
        <w:rPr>
          <w:rStyle w:val="a4"/>
          <w:rFonts w:ascii="Book Antiqua" w:hAnsi="Book Antiqua" w:cs="Arial"/>
          <w:sz w:val="24"/>
          <w:szCs w:val="24"/>
        </w:rPr>
        <w:t>[</w:t>
      </w:r>
      <w:bookmarkStart w:id="7" w:name="_Ref385923528"/>
      <w:r w:rsidRPr="00E90188">
        <w:rPr>
          <w:rStyle w:val="a4"/>
          <w:rFonts w:ascii="Book Antiqua" w:hAnsi="Book Antiqua" w:cs="Arial"/>
          <w:sz w:val="24"/>
          <w:szCs w:val="24"/>
        </w:rPr>
        <w:endnoteReference w:id="10"/>
      </w:r>
      <w:bookmarkEnd w:id="7"/>
      <w:r w:rsidRPr="00E90188">
        <w:rPr>
          <w:rStyle w:val="a4"/>
          <w:rFonts w:ascii="Book Antiqua" w:hAnsi="Book Antiqua" w:cs="Arial"/>
          <w:sz w:val="24"/>
          <w:szCs w:val="24"/>
        </w:rPr>
        <w:t>]</w:t>
      </w:r>
      <w:r w:rsidRPr="00E90188">
        <w:rPr>
          <w:rFonts w:ascii="Book Antiqua" w:hAnsi="Book Antiqua" w:cs="Arial"/>
          <w:sz w:val="24"/>
          <w:szCs w:val="24"/>
        </w:rPr>
        <w:t xml:space="preserve"> published a randomised trial evaluating adjuvant cisplatin (80 mg/m² on day 1) and 5-FU (continuous infusion of 500 mg/m² on days 1-5) with a second cycle of chemotherapy 4-8 </w:t>
      </w:r>
      <w:r>
        <w:rPr>
          <w:rFonts w:ascii="Book Antiqua" w:hAnsi="Book Antiqua" w:cs="Arial"/>
          <w:sz w:val="24"/>
          <w:szCs w:val="24"/>
        </w:rPr>
        <w:t>wk</w:t>
      </w:r>
      <w:r w:rsidRPr="00E90188">
        <w:rPr>
          <w:rFonts w:ascii="Book Antiqua" w:hAnsi="Book Antiqua" w:cs="Arial"/>
          <w:sz w:val="24"/>
          <w:szCs w:val="24"/>
        </w:rPr>
        <w:t xml:space="preserve"> after the first. As only those having undergone a R0 resection for ductal pancreatic cancer were included, only 89 patients were recruited over 8 years, resulting in an underpowered study. No significant difference was identified in median survival, 5-year survival and 5-year disease-free survival in comparison to patients undergoing surgery alone. It must be mentioned that approximately two-thirds of these patients also underwent 30 Gy of intraoperative radiotherapy on a non-randomised basis, but this therapy proved insignificant as a prognostic indicator in a multivariate analysis.</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In 1997, Burris </w:t>
      </w:r>
      <w:r w:rsidRPr="00E90188">
        <w:rPr>
          <w:rFonts w:ascii="Book Antiqua" w:hAnsi="Book Antiqua" w:cs="Arial"/>
          <w:i/>
          <w:sz w:val="24"/>
          <w:szCs w:val="24"/>
        </w:rPr>
        <w:t>et al</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11"/>
      </w:r>
      <w:r w:rsidRPr="00E90188">
        <w:rPr>
          <w:rStyle w:val="a4"/>
          <w:rFonts w:ascii="Book Antiqua" w:hAnsi="Book Antiqua" w:cs="Arial"/>
          <w:sz w:val="24"/>
          <w:szCs w:val="24"/>
        </w:rPr>
        <w:t>]</w:t>
      </w:r>
      <w:r w:rsidRPr="00E90188">
        <w:rPr>
          <w:rFonts w:ascii="Book Antiqua" w:hAnsi="Book Antiqua" w:cs="Arial"/>
          <w:sz w:val="24"/>
          <w:szCs w:val="24"/>
        </w:rPr>
        <w:t xml:space="preserve"> published their randomised control trial comparing the nucleoside analogue gemcitabine with 5-FU in advanced pancreatic cancer. In addition to demonstrating a clinical benefit with regards to pain relief, weight and performance status, those receiving gemcitabine achieved a one-year survival rate of </w:t>
      </w:r>
      <w:r w:rsidRPr="00E90188">
        <w:rPr>
          <w:rFonts w:ascii="Book Antiqua" w:hAnsi="Book Antiqua" w:cs="Arial"/>
          <w:sz w:val="24"/>
          <w:szCs w:val="24"/>
        </w:rPr>
        <w:lastRenderedPageBreak/>
        <w:t>18% as opposed to 2% with 5-FU. These findings resulted in the recruitment of patients for CONKO-001</w:t>
      </w:r>
      <w:r w:rsidRPr="00E90188">
        <w:rPr>
          <w:rStyle w:val="a4"/>
          <w:rFonts w:ascii="Book Antiqua" w:hAnsi="Book Antiqua" w:cs="Arial"/>
          <w:sz w:val="24"/>
          <w:szCs w:val="24"/>
        </w:rPr>
        <w:t>[</w:t>
      </w:r>
      <w:bookmarkStart w:id="8" w:name="_Ref385923555"/>
      <w:r w:rsidRPr="00E90188">
        <w:rPr>
          <w:rStyle w:val="a4"/>
          <w:rFonts w:ascii="Book Antiqua" w:hAnsi="Book Antiqua" w:cs="Arial"/>
          <w:sz w:val="24"/>
          <w:szCs w:val="24"/>
        </w:rPr>
        <w:endnoteReference w:id="12"/>
      </w:r>
      <w:bookmarkEnd w:id="8"/>
      <w:r w:rsidRPr="00E90188">
        <w:rPr>
          <w:rStyle w:val="a4"/>
          <w:rFonts w:ascii="Book Antiqua" w:hAnsi="Book Antiqua" w:cs="Arial"/>
          <w:sz w:val="24"/>
          <w:szCs w:val="24"/>
        </w:rPr>
        <w:t>]</w:t>
      </w:r>
      <w:r w:rsidRPr="00E90188">
        <w:rPr>
          <w:rFonts w:ascii="Book Antiqua" w:hAnsi="Book Antiqua" w:cs="Arial"/>
          <w:sz w:val="24"/>
          <w:szCs w:val="24"/>
        </w:rPr>
        <w:t xml:space="preserve"> between 1998 and 2004. This randomised study compared adjuvant gemcitabine (Six cycles of a 30 </w:t>
      </w:r>
      <w:r>
        <w:rPr>
          <w:rFonts w:ascii="Book Antiqua" w:hAnsi="Book Antiqua" w:cs="Arial"/>
          <w:sz w:val="24"/>
          <w:szCs w:val="24"/>
        </w:rPr>
        <w:t>min</w:t>
      </w:r>
      <w:r w:rsidRPr="00E90188">
        <w:rPr>
          <w:rFonts w:ascii="Book Antiqua" w:hAnsi="Book Antiqua" w:cs="Arial"/>
          <w:sz w:val="24"/>
          <w:szCs w:val="24"/>
        </w:rPr>
        <w:t xml:space="preserve"> intravenous infusion at 1000 mg/m² during weeks 1-3 followed by a break at week 4) with observation alone in patients undergoing a curative pancreatic cancer resection. In addition to clinical follow up and serum biochemistry checks, two-monthly ultrasound scans were performed to assess any recurrence. A </w:t>
      </w:r>
      <w:r w:rsidRPr="000F6559">
        <w:rPr>
          <w:rFonts w:ascii="Book Antiqua" w:hAnsi="Book Antiqua" w:cs="Arial"/>
          <w:sz w:val="24"/>
          <w:szCs w:val="24"/>
        </w:rPr>
        <w:t>computed tomography (CT)</w:t>
      </w:r>
      <w:r w:rsidRPr="00E90188">
        <w:rPr>
          <w:rFonts w:ascii="Book Antiqua" w:hAnsi="Book Antiqua" w:cs="Arial"/>
          <w:sz w:val="24"/>
          <w:szCs w:val="24"/>
        </w:rPr>
        <w:t xml:space="preserve"> scan was also performed at the termination of chemotherapy (gemcitabine group) or at six months (observation group). Three hundred and sixty eight patients were recruited with a median follow-up of 53 months. The main outcome of this study was that gemcitabine significantly improved disease-free survival following pancreatic cancer resection. Median disease-free survival in the gemcitabine group was 13.4 </w:t>
      </w:r>
      <w:r>
        <w:rPr>
          <w:rFonts w:ascii="Book Antiqua" w:hAnsi="Book Antiqua" w:cs="Arial"/>
          <w:sz w:val="24"/>
          <w:szCs w:val="24"/>
        </w:rPr>
        <w:t>mo</w:t>
      </w:r>
      <w:r w:rsidRPr="00E90188">
        <w:rPr>
          <w:rFonts w:ascii="Book Antiqua" w:hAnsi="Book Antiqua" w:cs="Arial"/>
          <w:sz w:val="24"/>
          <w:szCs w:val="24"/>
        </w:rPr>
        <w:t xml:space="preserve"> (95%CI: 11.4-15.3) as opposed to only 6.9 </w:t>
      </w:r>
      <w:r>
        <w:rPr>
          <w:rFonts w:ascii="Book Antiqua" w:hAnsi="Book Antiqua" w:cs="Arial"/>
          <w:sz w:val="24"/>
          <w:szCs w:val="24"/>
        </w:rPr>
        <w:t>mo</w:t>
      </w:r>
      <w:r w:rsidRPr="00E90188">
        <w:rPr>
          <w:rFonts w:ascii="Book Antiqua" w:hAnsi="Book Antiqua" w:cs="Arial"/>
          <w:sz w:val="24"/>
          <w:szCs w:val="24"/>
        </w:rPr>
        <w:t xml:space="preserve"> (95%CI: 6.1-7.8) in the observation group (</w:t>
      </w:r>
      <w:r w:rsidRPr="00E90188">
        <w:rPr>
          <w:rFonts w:ascii="Book Antiqua" w:hAnsi="Book Antiqua" w:cs="Arial"/>
          <w:i/>
          <w:sz w:val="24"/>
          <w:szCs w:val="24"/>
        </w:rPr>
        <w:t xml:space="preserve">P </w:t>
      </w:r>
      <w:r w:rsidRPr="00E90188">
        <w:rPr>
          <w:rFonts w:ascii="Book Antiqua" w:hAnsi="Book Antiqua" w:cs="Arial"/>
          <w:sz w:val="24"/>
          <w:szCs w:val="24"/>
        </w:rPr>
        <w:t xml:space="preserve">&lt; 0.001). Importantly, this significant disease-free survival benefit was maintained whether patients had undergone an R0 or R1 resection. With regards median overall survival, the gemcitabine benefit was only marginal in comparison to the observation group (22.8 </w:t>
      </w:r>
      <w:r>
        <w:rPr>
          <w:rFonts w:ascii="Book Antiqua" w:hAnsi="Book Antiqua" w:cs="Arial"/>
          <w:sz w:val="24"/>
          <w:szCs w:val="24"/>
        </w:rPr>
        <w:t>mo</w:t>
      </w:r>
      <w:r w:rsidRPr="00E90188">
        <w:rPr>
          <w:rFonts w:ascii="Book Antiqua" w:hAnsi="Book Antiqua" w:cs="Arial"/>
          <w:sz w:val="24"/>
          <w:szCs w:val="24"/>
        </w:rPr>
        <w:t xml:space="preserve"> </w:t>
      </w:r>
      <w:r w:rsidRPr="00E90188">
        <w:rPr>
          <w:rFonts w:ascii="Book Antiqua" w:hAnsi="Book Antiqua" w:cs="Arial"/>
          <w:i/>
          <w:sz w:val="24"/>
          <w:szCs w:val="24"/>
        </w:rPr>
        <w:t>vs</w:t>
      </w:r>
      <w:r w:rsidRPr="00E90188">
        <w:rPr>
          <w:rFonts w:ascii="Book Antiqua" w:hAnsi="Book Antiqua" w:cs="Arial"/>
          <w:sz w:val="24"/>
          <w:szCs w:val="24"/>
        </w:rPr>
        <w:t xml:space="preserve"> 20.2 </w:t>
      </w:r>
      <w:r>
        <w:rPr>
          <w:rFonts w:ascii="Book Antiqua" w:hAnsi="Book Antiqua" w:cs="Arial"/>
          <w:sz w:val="24"/>
          <w:szCs w:val="24"/>
        </w:rPr>
        <w:t>mo</w:t>
      </w:r>
      <w:r w:rsidRPr="00E90188">
        <w:rPr>
          <w:rFonts w:ascii="Book Antiqua" w:hAnsi="Book Antiqua" w:cs="Arial"/>
          <w:sz w:val="24"/>
          <w:szCs w:val="24"/>
        </w:rPr>
        <w:t xml:space="preserve">, </w:t>
      </w:r>
      <w:r w:rsidRPr="00E90188">
        <w:rPr>
          <w:rFonts w:ascii="Book Antiqua" w:hAnsi="Book Antiqua" w:cs="Arial"/>
          <w:i/>
          <w:sz w:val="24"/>
          <w:szCs w:val="24"/>
        </w:rPr>
        <w:t>P</w:t>
      </w:r>
      <w:r w:rsidRPr="00E90188">
        <w:rPr>
          <w:rFonts w:ascii="Book Antiqua" w:hAnsi="Book Antiqua" w:cs="Arial"/>
          <w:sz w:val="24"/>
          <w:szCs w:val="24"/>
        </w:rPr>
        <w:t xml:space="preserve"> = 0.005)</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13"/>
      </w:r>
      <w:r w:rsidRPr="00E90188">
        <w:rPr>
          <w:rStyle w:val="a4"/>
          <w:rFonts w:ascii="Book Antiqua" w:hAnsi="Book Antiqua" w:cs="Arial"/>
          <w:sz w:val="24"/>
          <w:szCs w:val="24"/>
        </w:rPr>
        <w:t>]</w:t>
      </w:r>
      <w:r w:rsidRPr="00E90188">
        <w:rPr>
          <w:rFonts w:ascii="Book Antiqua" w:hAnsi="Book Antiqua" w:cs="Arial"/>
          <w:sz w:val="24"/>
          <w:szCs w:val="24"/>
        </w:rPr>
        <w:t xml:space="preserve">. This minimal difference is potentially explained by the authors by the fact that almost all patients that relapsed in the observation group received gemcitabine or a further line of chemotherapy. However, this study established gemcitabine as the favoured adjuvant chemotherapeutic agent particularly due to its excellent toxicity profile in comparison to 5-FU.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Coincidentally, at the same time as CONKO-001, a further study to compare adjuvant gemcitabine and observation was being undertaken. One hundred and nineteen patients were recruited between 2002 and 2005 for JSAP-2</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14"/>
      </w:r>
      <w:r w:rsidRPr="00E90188">
        <w:rPr>
          <w:rStyle w:val="a4"/>
          <w:rFonts w:ascii="Book Antiqua" w:hAnsi="Book Antiqua" w:cs="Arial"/>
          <w:sz w:val="24"/>
          <w:szCs w:val="24"/>
        </w:rPr>
        <w:t>]</w:t>
      </w:r>
      <w:r w:rsidRPr="00E90188">
        <w:rPr>
          <w:rFonts w:ascii="Book Antiqua" w:hAnsi="Book Antiqua" w:cs="Arial"/>
          <w:sz w:val="24"/>
          <w:szCs w:val="24"/>
        </w:rPr>
        <w:t xml:space="preserve">, with a median follow up for surviving patients of over five years. Gemcitabine resulted in a median disease-free survival of 11.4 </w:t>
      </w:r>
      <w:r>
        <w:rPr>
          <w:rFonts w:ascii="Book Antiqua" w:hAnsi="Book Antiqua" w:cs="Arial"/>
          <w:sz w:val="24"/>
          <w:szCs w:val="24"/>
        </w:rPr>
        <w:t>mo</w:t>
      </w:r>
      <w:r w:rsidRPr="00E90188">
        <w:rPr>
          <w:rFonts w:ascii="Book Antiqua" w:hAnsi="Book Antiqua" w:cs="Arial"/>
          <w:sz w:val="24"/>
          <w:szCs w:val="24"/>
        </w:rPr>
        <w:t xml:space="preserve"> (95%CI: 8-14.5) against 5 months (95%CI: 3.7-8.9) in the observation group (HR = 0.60, 95%CI: 0.40-0.89, </w:t>
      </w:r>
      <w:r w:rsidRPr="00E90188">
        <w:rPr>
          <w:rFonts w:ascii="Book Antiqua" w:hAnsi="Book Antiqua" w:cs="Arial"/>
          <w:i/>
          <w:sz w:val="24"/>
          <w:szCs w:val="24"/>
        </w:rPr>
        <w:t xml:space="preserve">P </w:t>
      </w:r>
      <w:r w:rsidRPr="00E90188">
        <w:rPr>
          <w:rFonts w:ascii="Book Antiqua" w:hAnsi="Book Antiqua" w:cs="Arial"/>
          <w:sz w:val="24"/>
          <w:szCs w:val="24"/>
        </w:rPr>
        <w:t xml:space="preserve">= 0.01).  This however did not convert to a significant benefit in overall survival as the study was underpowered. Another factor may be that though this study utilised an identical gemcitabine dosage regimen as used in CONKO-001, only three cycles were administered as </w:t>
      </w:r>
      <w:r w:rsidRPr="00E90188">
        <w:rPr>
          <w:rFonts w:ascii="Book Antiqua" w:hAnsi="Book Antiqua" w:cs="Arial"/>
          <w:sz w:val="24"/>
          <w:szCs w:val="24"/>
        </w:rPr>
        <w:lastRenderedPageBreak/>
        <w:t>opposed to the six used in the European study. It must also be noted that the median number of days between surgery and randomisation was nearly double that of CONKO-001. Just over half of patients in this study (52%) also received intraoperative radiotherapy, though the authors argue that this effect may have been negligible.</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Following on from the ESPAC-1 study, the group undertook another randomised controlled trial, ESPAC-3 to compare 5-FU and folinic acid (as per the ESPAC-1 regime), gemcitabine (as per CONKO-001 regime) and surgery alone in resected pancreatic cancer. During recruitment however, the publication of ESPAC-1 proved the undoubted benefit of adjuvant chemotherapy. This resulted in the observation arm being forfeited and the study was renamed ESPAC-3(v2)</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15"/>
      </w:r>
      <w:r w:rsidRPr="00E90188">
        <w:rPr>
          <w:rStyle w:val="a4"/>
          <w:rFonts w:ascii="Book Antiqua" w:hAnsi="Book Antiqua" w:cs="Arial"/>
          <w:sz w:val="24"/>
          <w:szCs w:val="24"/>
        </w:rPr>
        <w:t>]</w:t>
      </w:r>
      <w:r w:rsidRPr="00E90188">
        <w:rPr>
          <w:rFonts w:ascii="Book Antiqua" w:hAnsi="Book Antiqua" w:cs="Arial"/>
          <w:sz w:val="24"/>
          <w:szCs w:val="24"/>
        </w:rPr>
        <w:t xml:space="preserve">.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ESPAC-3(v2) was the largest study of its kind, recruiting 1088 patients with pancreatic ductal adenocarcinoma in 159 centres worldwide over a seven year period. With a median follow-up of 34.2 </w:t>
      </w:r>
      <w:r>
        <w:rPr>
          <w:rFonts w:ascii="Book Antiqua" w:hAnsi="Book Antiqua" w:cs="Arial"/>
          <w:sz w:val="24"/>
          <w:szCs w:val="24"/>
        </w:rPr>
        <w:t>mo</w:t>
      </w:r>
      <w:r w:rsidRPr="00E90188">
        <w:rPr>
          <w:rFonts w:ascii="Book Antiqua" w:hAnsi="Book Antiqua" w:cs="Arial"/>
          <w:sz w:val="24"/>
          <w:szCs w:val="24"/>
        </w:rPr>
        <w:t xml:space="preserve"> (range 0.4-86.3, IQR 27.1-43.4), no significant difference was shown in overall survival or progression-free survival between the two treatment groups. However, gemcitabine halved the number of serious treatment-related adverse events compared to its opposing arm (14% </w:t>
      </w:r>
      <w:r w:rsidRPr="00E90188">
        <w:rPr>
          <w:rFonts w:ascii="Book Antiqua" w:hAnsi="Book Antiqua" w:cs="Arial"/>
          <w:i/>
          <w:sz w:val="24"/>
          <w:szCs w:val="24"/>
        </w:rPr>
        <w:t>vs</w:t>
      </w:r>
      <w:r w:rsidRPr="00E90188">
        <w:rPr>
          <w:rFonts w:ascii="Book Antiqua" w:hAnsi="Book Antiqua" w:cs="Arial"/>
          <w:sz w:val="24"/>
          <w:szCs w:val="24"/>
        </w:rPr>
        <w:t xml:space="preserve"> 7.5% of patients, </w:t>
      </w:r>
      <w:r w:rsidRPr="00E90188">
        <w:rPr>
          <w:rFonts w:ascii="Book Antiqua" w:hAnsi="Book Antiqua" w:cs="Arial"/>
          <w:i/>
          <w:sz w:val="24"/>
          <w:szCs w:val="24"/>
        </w:rPr>
        <w:t>P</w:t>
      </w:r>
      <w:r w:rsidRPr="00E90188">
        <w:rPr>
          <w:rFonts w:ascii="Book Antiqua" w:hAnsi="Book Antiqua" w:cs="Arial"/>
          <w:sz w:val="24"/>
          <w:szCs w:val="24"/>
        </w:rPr>
        <w:t xml:space="preserve"> &lt; 0.001).  It was also noted a more favourable outcome was achieved in patients with node positive disease or an R1 resection when administered gemcitabine. This firmly established the drug as the current gold standard in the adjuvant treatment of pancreatic cancer.</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A meta-analysis in 2009</w:t>
      </w:r>
      <w:r w:rsidRPr="00E90188">
        <w:rPr>
          <w:rStyle w:val="a4"/>
          <w:rFonts w:ascii="Book Antiqua" w:hAnsi="Book Antiqua" w:cs="Arial"/>
          <w:sz w:val="24"/>
          <w:szCs w:val="24"/>
        </w:rPr>
        <w:t>[</w:t>
      </w:r>
      <w:bookmarkStart w:id="9" w:name="_Ref385924832"/>
      <w:r w:rsidRPr="00E90188">
        <w:rPr>
          <w:rStyle w:val="a4"/>
          <w:rFonts w:ascii="Book Antiqua" w:hAnsi="Book Antiqua" w:cs="Arial"/>
          <w:sz w:val="24"/>
          <w:szCs w:val="24"/>
        </w:rPr>
        <w:endnoteReference w:id="16"/>
      </w:r>
      <w:bookmarkEnd w:id="9"/>
      <w:r w:rsidRPr="00E90188">
        <w:rPr>
          <w:rStyle w:val="a4"/>
          <w:rFonts w:ascii="Book Antiqua" w:hAnsi="Book Antiqua" w:cs="Arial"/>
          <w:sz w:val="24"/>
          <w:szCs w:val="24"/>
        </w:rPr>
        <w:t>]</w:t>
      </w:r>
      <w:r w:rsidRPr="00E90188">
        <w:rPr>
          <w:rFonts w:ascii="Book Antiqua" w:hAnsi="Book Antiqua" w:cs="Arial"/>
          <w:sz w:val="24"/>
          <w:szCs w:val="24"/>
        </w:rPr>
        <w:t xml:space="preserve"> combined data from a subgroup of ESPAC-3(v1) with ESPAC-1 2X2 and ESPAC-1 Plus (a subgroup of 192 patients in a randomised comparison between 5-FU and observation +/- chemoradiation). The purpose of this publication was to ascertain the benefit of adjuvant 5-FU and folinic acid (</w:t>
      </w:r>
      <w:r w:rsidRPr="00E90188">
        <w:rPr>
          <w:rFonts w:ascii="Book Antiqua" w:hAnsi="Book Antiqua" w:cs="Arial"/>
          <w:i/>
          <w:sz w:val="24"/>
          <w:szCs w:val="24"/>
        </w:rPr>
        <w:t xml:space="preserve">n </w:t>
      </w:r>
      <w:r w:rsidRPr="00E90188">
        <w:rPr>
          <w:rFonts w:ascii="Book Antiqua" w:hAnsi="Book Antiqua" w:cs="Arial"/>
          <w:sz w:val="24"/>
          <w:szCs w:val="24"/>
        </w:rPr>
        <w:t>= 233) as opposed to surgery alone (</w:t>
      </w:r>
      <w:r w:rsidRPr="00E90188">
        <w:rPr>
          <w:rFonts w:ascii="Book Antiqua" w:hAnsi="Book Antiqua" w:cs="Arial"/>
          <w:i/>
          <w:sz w:val="24"/>
          <w:szCs w:val="24"/>
        </w:rPr>
        <w:t xml:space="preserve">n </w:t>
      </w:r>
      <w:r w:rsidRPr="00E90188">
        <w:rPr>
          <w:rFonts w:ascii="Book Antiqua" w:hAnsi="Book Antiqua" w:cs="Arial"/>
          <w:sz w:val="24"/>
          <w:szCs w:val="24"/>
        </w:rPr>
        <w:t xml:space="preserve">= 225). Median survival was 23.2 </w:t>
      </w:r>
      <w:r>
        <w:rPr>
          <w:rFonts w:ascii="Book Antiqua" w:hAnsi="Book Antiqua" w:cs="Arial"/>
          <w:sz w:val="24"/>
          <w:szCs w:val="24"/>
        </w:rPr>
        <w:t>mo</w:t>
      </w:r>
      <w:r w:rsidRPr="00E90188">
        <w:rPr>
          <w:rFonts w:ascii="Book Antiqua" w:hAnsi="Book Antiqua" w:cs="Arial"/>
          <w:sz w:val="24"/>
          <w:szCs w:val="24"/>
        </w:rPr>
        <w:t xml:space="preserve"> (95%CI: 20.1-26.5) in the chemotherapy group, in comparison to 16.8 </w:t>
      </w:r>
      <w:r>
        <w:rPr>
          <w:rFonts w:ascii="Book Antiqua" w:hAnsi="Book Antiqua" w:cs="Arial"/>
          <w:sz w:val="24"/>
          <w:szCs w:val="24"/>
        </w:rPr>
        <w:t>mo</w:t>
      </w:r>
      <w:r w:rsidRPr="00E90188">
        <w:rPr>
          <w:rFonts w:ascii="Book Antiqua" w:hAnsi="Book Antiqua" w:cs="Arial"/>
          <w:sz w:val="24"/>
          <w:szCs w:val="24"/>
        </w:rPr>
        <w:t xml:space="preserve"> (95%CI: 14.3-19.2) in those patients in the observation arm (HR = 0.7, 95%CI: 0.55-0.88, </w:t>
      </w:r>
      <w:r w:rsidRPr="00E90188">
        <w:rPr>
          <w:rFonts w:ascii="Book Antiqua" w:hAnsi="Book Antiqua" w:cs="Arial"/>
          <w:i/>
          <w:sz w:val="24"/>
          <w:szCs w:val="24"/>
        </w:rPr>
        <w:t xml:space="preserve">P </w:t>
      </w:r>
      <w:r w:rsidRPr="00E90188">
        <w:rPr>
          <w:rFonts w:ascii="Book Antiqua" w:hAnsi="Book Antiqua" w:cs="Arial"/>
          <w:sz w:val="24"/>
          <w:szCs w:val="24"/>
        </w:rPr>
        <w:t xml:space="preserve">= 0.003). Chemotherapy also improved overall survival at one, two and five years, providing robust evidence for the continued use of 5-FU and folinic acid in the adjuvant setting alongside gemcitabine. </w:t>
      </w:r>
    </w:p>
    <w:p w:rsidR="00A06E23" w:rsidRPr="00E90188" w:rsidRDefault="00A06E23" w:rsidP="00C962AB">
      <w:pPr>
        <w:spacing w:after="0" w:line="360" w:lineRule="auto"/>
        <w:ind w:firstLine="720"/>
        <w:jc w:val="both"/>
        <w:rPr>
          <w:rFonts w:ascii="Book Antiqua" w:hAnsi="Book Antiqua"/>
          <w:sz w:val="24"/>
          <w:szCs w:val="24"/>
        </w:rPr>
      </w:pPr>
      <w:r w:rsidRPr="00E90188">
        <w:rPr>
          <w:rFonts w:ascii="Book Antiqua" w:hAnsi="Book Antiqua" w:cs="Arial"/>
          <w:sz w:val="24"/>
          <w:szCs w:val="24"/>
        </w:rPr>
        <w:lastRenderedPageBreak/>
        <w:t>The most recently published randomised controlled trial, JASPAC-01</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17"/>
      </w:r>
      <w:r w:rsidRPr="00E90188">
        <w:rPr>
          <w:rStyle w:val="a4"/>
          <w:rFonts w:ascii="Book Antiqua" w:hAnsi="Book Antiqua" w:cs="Arial"/>
          <w:sz w:val="24"/>
          <w:szCs w:val="24"/>
        </w:rPr>
        <w:t>]</w:t>
      </w:r>
      <w:r w:rsidRPr="00E90188">
        <w:rPr>
          <w:rFonts w:ascii="Book Antiqua" w:hAnsi="Book Antiqua" w:cs="Arial"/>
          <w:sz w:val="24"/>
          <w:szCs w:val="24"/>
        </w:rPr>
        <w:t xml:space="preserve"> enrolled 385 patients between 2007 and 2010 to compare adjuvant gemcitabine with fluorinated pyrimidine S-1 in resected pancreatic cancer. The gemcitabine regime was identical to CONKO-001 with an S-1 regime of four cycles of 80 mg/m²</w:t>
      </w:r>
      <w:r>
        <w:rPr>
          <w:rFonts w:ascii="Book Antiqua" w:hAnsi="Book Antiqua" w:cs="Arial"/>
          <w:sz w:val="24"/>
          <w:szCs w:val="24"/>
        </w:rPr>
        <w:t xml:space="preserve"> per </w:t>
      </w:r>
      <w:r w:rsidRPr="00E90188">
        <w:rPr>
          <w:rFonts w:ascii="Book Antiqua" w:hAnsi="Book Antiqua" w:cs="Arial"/>
          <w:sz w:val="24"/>
          <w:szCs w:val="24"/>
        </w:rPr>
        <w:t>day for four weeks, followed by a fortnights rest. Promising interim results were presented in 2012</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18"/>
      </w:r>
      <w:r w:rsidRPr="00E90188">
        <w:rPr>
          <w:rStyle w:val="a4"/>
          <w:rFonts w:ascii="Book Antiqua" w:hAnsi="Book Antiqua" w:cs="Arial"/>
          <w:sz w:val="24"/>
          <w:szCs w:val="24"/>
        </w:rPr>
        <w:t>]</w:t>
      </w:r>
      <w:r w:rsidRPr="00E90188">
        <w:rPr>
          <w:rFonts w:ascii="Book Antiqua" w:hAnsi="Book Antiqua" w:cs="Arial"/>
          <w:sz w:val="24"/>
          <w:szCs w:val="24"/>
        </w:rPr>
        <w:t xml:space="preserve"> with an overall 2-year survival of 53% and 70% in the gemcitabine and S-1 groups respectively (HR = </w:t>
      </w:r>
      <w:r w:rsidRPr="00E90188">
        <w:rPr>
          <w:rFonts w:ascii="Book Antiqua" w:hAnsi="Book Antiqua"/>
          <w:sz w:val="24"/>
          <w:szCs w:val="24"/>
        </w:rPr>
        <w:t xml:space="preserve">0.56, 95%CI: 0.42-0.74, </w:t>
      </w:r>
      <w:r w:rsidRPr="00E90188">
        <w:rPr>
          <w:rFonts w:ascii="Book Antiqua" w:hAnsi="Book Antiqua"/>
          <w:i/>
          <w:sz w:val="24"/>
          <w:szCs w:val="24"/>
        </w:rPr>
        <w:t>P</w:t>
      </w:r>
      <w:r w:rsidRPr="00E90188">
        <w:rPr>
          <w:rFonts w:ascii="Book Antiqua" w:hAnsi="Book Antiqua"/>
          <w:sz w:val="24"/>
          <w:szCs w:val="24"/>
        </w:rPr>
        <w:t xml:space="preserve"> &lt; 0.0001). S-1 also proved superior with regards to recurrence-free survival at 2-years with 49% of patients remaining disease-free compared with 29% in the gemcitabine cohort (HR = 0.56, 95%CI: 0.43-0.71, log-rank </w:t>
      </w:r>
      <w:r w:rsidRPr="00E90188">
        <w:rPr>
          <w:rFonts w:ascii="Book Antiqua" w:hAnsi="Book Antiqua"/>
          <w:i/>
          <w:sz w:val="24"/>
          <w:szCs w:val="24"/>
        </w:rPr>
        <w:t>P</w:t>
      </w:r>
      <w:r w:rsidRPr="00E90188">
        <w:rPr>
          <w:rFonts w:ascii="Book Antiqua" w:hAnsi="Book Antiqua"/>
          <w:sz w:val="24"/>
          <w:szCs w:val="24"/>
        </w:rPr>
        <w:t xml:space="preserve"> &lt; 0.0001). S-1’s comparatively low toxicity in addition to the fact that S-1 is orally administered, would be partly responsible for the superior quality of life scores in this group (</w:t>
      </w:r>
      <w:r w:rsidRPr="00E90188">
        <w:rPr>
          <w:rFonts w:ascii="Book Antiqua" w:hAnsi="Book Antiqua"/>
          <w:i/>
          <w:sz w:val="24"/>
          <w:szCs w:val="24"/>
        </w:rPr>
        <w:t xml:space="preserve">P </w:t>
      </w:r>
      <w:r w:rsidRPr="00E90188">
        <w:rPr>
          <w:rFonts w:ascii="Book Antiqua" w:hAnsi="Book Antiqua"/>
          <w:sz w:val="24"/>
          <w:szCs w:val="24"/>
        </w:rPr>
        <w:t>&lt; 0.0001).</w:t>
      </w:r>
      <w:r w:rsidRPr="00E90188">
        <w:rPr>
          <w:rFonts w:ascii="Book Antiqua" w:hAnsi="Book Antiqua"/>
          <w:sz w:val="24"/>
          <w:szCs w:val="24"/>
          <w:lang w:eastAsia="zh-CN"/>
        </w:rPr>
        <w:t xml:space="preserve"> </w:t>
      </w:r>
      <w:r w:rsidRPr="00E90188">
        <w:rPr>
          <w:rFonts w:ascii="Book Antiqua" w:hAnsi="Book Antiqua"/>
          <w:sz w:val="24"/>
          <w:szCs w:val="24"/>
        </w:rPr>
        <w:t>Though the authors concluded that S-1 should be considered the new standard treatment for resected pancreatic cancer, there is doubt whether this agent will ever be of broad benefit in the West. It has been stated that due to the metabolic differences between Asian and Caucasian populations, gastrointestinal side effects are far greater in the latter leading to lower tolerated doses of S-1</w:t>
      </w:r>
      <w:r w:rsidRPr="00E90188">
        <w:rPr>
          <w:rStyle w:val="a4"/>
          <w:rFonts w:ascii="Book Antiqua" w:hAnsi="Book Antiqua"/>
          <w:sz w:val="24"/>
          <w:szCs w:val="24"/>
        </w:rPr>
        <w:t>[</w:t>
      </w:r>
      <w:r w:rsidRPr="00E90188">
        <w:rPr>
          <w:rStyle w:val="a4"/>
          <w:rFonts w:ascii="Book Antiqua" w:hAnsi="Book Antiqua"/>
          <w:sz w:val="24"/>
          <w:szCs w:val="24"/>
        </w:rPr>
        <w:endnoteReference w:id="19"/>
      </w:r>
      <w:r w:rsidRPr="00E90188">
        <w:rPr>
          <w:rStyle w:val="a4"/>
          <w:rFonts w:ascii="Book Antiqua" w:hAnsi="Book Antiqua"/>
          <w:sz w:val="24"/>
          <w:szCs w:val="24"/>
        </w:rPr>
        <w:t>]</w:t>
      </w:r>
      <w:r w:rsidRPr="00E90188">
        <w:rPr>
          <w:rFonts w:ascii="Book Antiqua" w:hAnsi="Book Antiqua"/>
          <w:sz w:val="24"/>
          <w:szCs w:val="24"/>
        </w:rPr>
        <w:t xml:space="preserve">. </w:t>
      </w:r>
    </w:p>
    <w:p w:rsidR="00A06E23" w:rsidRPr="00E90188" w:rsidRDefault="00A06E23" w:rsidP="00C962AB">
      <w:pPr>
        <w:spacing w:after="0" w:line="360" w:lineRule="auto"/>
        <w:jc w:val="both"/>
        <w:rPr>
          <w:rFonts w:ascii="Book Antiqua" w:hAnsi="Book Antiqua" w:cs="Arial"/>
          <w:b/>
          <w:sz w:val="24"/>
          <w:szCs w:val="24"/>
          <w:lang w:eastAsia="zh-CN"/>
        </w:rPr>
      </w:pPr>
    </w:p>
    <w:p w:rsidR="00A06E23" w:rsidRPr="00E90188" w:rsidRDefault="00A06E23" w:rsidP="00C962AB">
      <w:pPr>
        <w:spacing w:after="0" w:line="360" w:lineRule="auto"/>
        <w:jc w:val="both"/>
        <w:rPr>
          <w:rFonts w:ascii="Book Antiqua" w:hAnsi="Book Antiqua" w:cs="Arial"/>
          <w:b/>
          <w:sz w:val="24"/>
          <w:szCs w:val="24"/>
        </w:rPr>
      </w:pPr>
      <w:r w:rsidRPr="00E90188">
        <w:rPr>
          <w:rFonts w:ascii="Book Antiqua" w:hAnsi="Book Antiqua" w:cs="Arial"/>
          <w:b/>
          <w:sz w:val="24"/>
          <w:szCs w:val="24"/>
        </w:rPr>
        <w:t>META-ANALYSIS OF ADJUVANT CHEMOTHERAPY IN PANCREATIC CANCER</w:t>
      </w:r>
    </w:p>
    <w:p w:rsidR="00A06E23" w:rsidRPr="00E90188" w:rsidRDefault="00A06E23" w:rsidP="00C962AB">
      <w:pPr>
        <w:spacing w:after="0" w:line="360" w:lineRule="auto"/>
        <w:jc w:val="both"/>
        <w:rPr>
          <w:rFonts w:ascii="Book Antiqua" w:hAnsi="Book Antiqua" w:cs="Arial"/>
          <w:sz w:val="24"/>
          <w:szCs w:val="24"/>
        </w:rPr>
      </w:pPr>
      <w:r w:rsidRPr="00E90188">
        <w:rPr>
          <w:rFonts w:ascii="Book Antiqua" w:hAnsi="Book Antiqua" w:cs="Arial"/>
          <w:sz w:val="24"/>
          <w:szCs w:val="24"/>
        </w:rPr>
        <w:t xml:space="preserve">The first meta-analysis assessing adjuvant therapy in pancreatic cancer was published in 2005 (Table 2). Stocken </w:t>
      </w:r>
      <w:r w:rsidRPr="00E90188">
        <w:rPr>
          <w:rFonts w:ascii="Book Antiqua" w:hAnsi="Book Antiqua" w:cs="Arial"/>
          <w:i/>
          <w:sz w:val="24"/>
          <w:szCs w:val="24"/>
        </w:rPr>
        <w:t>et al</w:t>
      </w:r>
      <w:r w:rsidRPr="00E90188">
        <w:rPr>
          <w:rStyle w:val="a4"/>
          <w:rFonts w:ascii="Book Antiqua" w:hAnsi="Book Antiqua" w:cs="Arial"/>
          <w:sz w:val="24"/>
          <w:szCs w:val="24"/>
        </w:rPr>
        <w:t>[</w:t>
      </w:r>
      <w:bookmarkStart w:id="10" w:name="_Ref385924806"/>
      <w:r w:rsidRPr="00E90188">
        <w:rPr>
          <w:rStyle w:val="a4"/>
          <w:rFonts w:ascii="Book Antiqua" w:hAnsi="Book Antiqua" w:cs="Arial"/>
          <w:sz w:val="24"/>
          <w:szCs w:val="24"/>
        </w:rPr>
        <w:endnoteReference w:id="20"/>
      </w:r>
      <w:bookmarkEnd w:id="10"/>
      <w:r w:rsidRPr="00E90188">
        <w:rPr>
          <w:rStyle w:val="a4"/>
          <w:rFonts w:ascii="Book Antiqua" w:hAnsi="Book Antiqua" w:cs="Arial"/>
          <w:sz w:val="24"/>
          <w:szCs w:val="24"/>
        </w:rPr>
        <w:t>]</w:t>
      </w:r>
      <w:r w:rsidRPr="00E90188">
        <w:rPr>
          <w:rFonts w:ascii="Book Antiqua" w:hAnsi="Book Antiqua" w:cs="Arial"/>
          <w:sz w:val="24"/>
          <w:szCs w:val="24"/>
        </w:rPr>
        <w:t xml:space="preserve"> included five randomised trials </w:t>
      </w:r>
      <w:r w:rsidRPr="00E90188">
        <w:rPr>
          <w:rFonts w:ascii="Book Antiqua" w:hAnsi="Book Antiqua" w:cs="Arial"/>
          <w:sz w:val="24"/>
          <w:szCs w:val="24"/>
          <w:lang w:eastAsia="zh-CN"/>
        </w:rPr>
        <w:t>[</w:t>
      </w:r>
      <w:r w:rsidRPr="00E90188">
        <w:rPr>
          <w:rFonts w:ascii="Book Antiqua" w:hAnsi="Book Antiqua" w:cs="Arial"/>
          <w:sz w:val="24"/>
          <w:szCs w:val="24"/>
        </w:rPr>
        <w:t xml:space="preserve">Bakkevold </w:t>
      </w:r>
      <w:r w:rsidRPr="00E90188">
        <w:rPr>
          <w:rFonts w:ascii="Book Antiqua" w:hAnsi="Book Antiqua" w:cs="Arial"/>
          <w:i/>
          <w:sz w:val="24"/>
          <w:szCs w:val="24"/>
        </w:rPr>
        <w:t>et al</w:t>
      </w:r>
      <w:r w:rsidR="009C05EF">
        <w:fldChar w:fldCharType="begin"/>
      </w:r>
      <w:r w:rsidR="009C05EF">
        <w:instrText xml:space="preserve"> NOTEREF _Ref385923124 \f \h  \* MERGEFORMAT </w:instrText>
      </w:r>
      <w:r w:rsidR="009C05EF">
        <w:fldChar w:fldCharType="separate"/>
      </w:r>
      <w:r w:rsidRPr="00E90188">
        <w:rPr>
          <w:rStyle w:val="a4"/>
          <w:rFonts w:ascii="Book Antiqua" w:hAnsi="Book Antiqua"/>
          <w:sz w:val="24"/>
          <w:szCs w:val="24"/>
        </w:rPr>
        <w:t>[6]</w:t>
      </w:r>
      <w:r w:rsidR="009C05EF">
        <w:fldChar w:fldCharType="end"/>
      </w:r>
      <w:r w:rsidRPr="00E90188">
        <w:rPr>
          <w:rFonts w:ascii="Book Antiqua" w:hAnsi="Book Antiqua" w:cs="Arial"/>
          <w:sz w:val="24"/>
          <w:szCs w:val="24"/>
        </w:rPr>
        <w:t>, ESPAC-1</w:t>
      </w:r>
      <w:r w:rsidR="009C05EF">
        <w:fldChar w:fldCharType="begin"/>
      </w:r>
      <w:r w:rsidR="009C05EF">
        <w:instrText xml:space="preserve"> NOTEREF _Ref385923177 \f \h  \* MERGEFORMAT </w:instrText>
      </w:r>
      <w:r w:rsidR="009C05EF">
        <w:fldChar w:fldCharType="separate"/>
      </w:r>
      <w:r w:rsidRPr="00E90188">
        <w:rPr>
          <w:rStyle w:val="a4"/>
          <w:rFonts w:ascii="Book Antiqua" w:hAnsi="Book Antiqua"/>
          <w:sz w:val="24"/>
          <w:szCs w:val="24"/>
        </w:rPr>
        <w:t>[7]</w:t>
      </w:r>
      <w:r w:rsidR="009C05EF">
        <w:fldChar w:fldCharType="end"/>
      </w:r>
      <w:r w:rsidRPr="00E90188">
        <w:rPr>
          <w:rFonts w:ascii="Book Antiqua" w:hAnsi="Book Antiqua" w:cs="Arial"/>
          <w:sz w:val="24"/>
          <w:szCs w:val="24"/>
        </w:rPr>
        <w:t xml:space="preserve">, Takada </w:t>
      </w:r>
      <w:r w:rsidRPr="00E90188">
        <w:rPr>
          <w:rFonts w:ascii="Book Antiqua" w:hAnsi="Book Antiqua" w:cs="Arial"/>
          <w:i/>
          <w:sz w:val="24"/>
          <w:szCs w:val="24"/>
        </w:rPr>
        <w:t>et al</w:t>
      </w:r>
      <w:r w:rsidR="009C05EF">
        <w:fldChar w:fldCharType="begin"/>
      </w:r>
      <w:r w:rsidR="009C05EF">
        <w:instrText xml:space="preserve"> NOTEREF _Ref385923217 \f \h  \* MERGEFORMAT </w:instrText>
      </w:r>
      <w:r w:rsidR="009C05EF">
        <w:fldChar w:fldCharType="separate"/>
      </w:r>
      <w:r w:rsidRPr="00E90188">
        <w:rPr>
          <w:rStyle w:val="a4"/>
          <w:rFonts w:ascii="Book Antiqua" w:hAnsi="Book Antiqua"/>
          <w:sz w:val="24"/>
          <w:szCs w:val="24"/>
        </w:rPr>
        <w:t>[9]</w:t>
      </w:r>
      <w:r w:rsidR="009C05EF">
        <w:fldChar w:fldCharType="end"/>
      </w:r>
      <w:r w:rsidRPr="00E90188">
        <w:rPr>
          <w:rFonts w:ascii="Book Antiqua" w:hAnsi="Book Antiqua" w:cs="Arial"/>
          <w:sz w:val="24"/>
          <w:szCs w:val="24"/>
        </w:rPr>
        <w:t>, EORTC</w:t>
      </w:r>
      <w:r w:rsidRPr="00E90188">
        <w:rPr>
          <w:rStyle w:val="a4"/>
          <w:rFonts w:ascii="Book Antiqua" w:hAnsi="Book Antiqua" w:cs="Arial"/>
          <w:sz w:val="24"/>
          <w:szCs w:val="24"/>
        </w:rPr>
        <w:t>[</w:t>
      </w:r>
      <w:bookmarkStart w:id="11" w:name="_Ref385923966"/>
      <w:r w:rsidRPr="00E90188">
        <w:rPr>
          <w:rStyle w:val="a4"/>
          <w:rFonts w:ascii="Book Antiqua" w:hAnsi="Book Antiqua" w:cs="Arial"/>
          <w:sz w:val="24"/>
          <w:szCs w:val="24"/>
        </w:rPr>
        <w:endnoteReference w:id="21"/>
      </w:r>
      <w:bookmarkEnd w:id="11"/>
      <w:r w:rsidRPr="00E90188">
        <w:rPr>
          <w:rStyle w:val="a4"/>
          <w:rFonts w:ascii="Book Antiqua" w:hAnsi="Book Antiqua" w:cs="Arial"/>
          <w:sz w:val="24"/>
          <w:szCs w:val="24"/>
        </w:rPr>
        <w:t>]</w:t>
      </w:r>
      <w:r w:rsidRPr="00E90188">
        <w:rPr>
          <w:rFonts w:ascii="Book Antiqua" w:hAnsi="Book Antiqua" w:cs="Arial"/>
          <w:sz w:val="24"/>
          <w:szCs w:val="24"/>
        </w:rPr>
        <w:t xml:space="preserve"> and Gastrointestinal Study Group (GITSG)</w:t>
      </w:r>
      <w:r w:rsidRPr="00E90188">
        <w:rPr>
          <w:rStyle w:val="a4"/>
          <w:rFonts w:ascii="Book Antiqua" w:hAnsi="Book Antiqua" w:cs="Arial"/>
          <w:sz w:val="24"/>
          <w:szCs w:val="24"/>
        </w:rPr>
        <w:t>[</w:t>
      </w:r>
      <w:bookmarkStart w:id="12" w:name="_Ref385923704"/>
      <w:r w:rsidRPr="00E90188">
        <w:rPr>
          <w:rStyle w:val="a4"/>
          <w:rFonts w:ascii="Book Antiqua" w:hAnsi="Book Antiqua" w:cs="Arial"/>
          <w:sz w:val="24"/>
          <w:szCs w:val="24"/>
        </w:rPr>
        <w:endnoteReference w:id="22"/>
      </w:r>
      <w:bookmarkStart w:id="13" w:name="_Ref385923707"/>
      <w:bookmarkEnd w:id="12"/>
      <w:r w:rsidRPr="00E90188">
        <w:rPr>
          <w:rStyle w:val="a4"/>
          <w:rFonts w:ascii="Book Antiqua" w:hAnsi="Book Antiqua" w:cs="Arial"/>
          <w:sz w:val="24"/>
          <w:szCs w:val="24"/>
        </w:rPr>
        <w:t>,</w:t>
      </w:r>
      <w:r w:rsidRPr="00E90188">
        <w:rPr>
          <w:rStyle w:val="a4"/>
          <w:rFonts w:ascii="Book Antiqua" w:hAnsi="Book Antiqua" w:cs="Arial"/>
          <w:sz w:val="24"/>
          <w:szCs w:val="24"/>
        </w:rPr>
        <w:endnoteReference w:id="23"/>
      </w:r>
      <w:bookmarkEnd w:id="13"/>
      <w:r w:rsidRPr="00E90188">
        <w:rPr>
          <w:rStyle w:val="a4"/>
          <w:rFonts w:ascii="Book Antiqua" w:hAnsi="Book Antiqua" w:cs="Arial"/>
          <w:sz w:val="24"/>
          <w:szCs w:val="24"/>
        </w:rPr>
        <w:t>]</w:t>
      </w:r>
      <w:r w:rsidRPr="00E90188">
        <w:rPr>
          <w:rFonts w:ascii="Book Antiqua" w:hAnsi="Book Antiqua" w:cs="Arial"/>
          <w:sz w:val="24"/>
          <w:szCs w:val="24"/>
          <w:lang w:eastAsia="zh-CN"/>
        </w:rPr>
        <w:t xml:space="preserve"> </w:t>
      </w:r>
      <w:r w:rsidRPr="00E90188">
        <w:rPr>
          <w:rFonts w:ascii="Book Antiqua" w:hAnsi="Book Antiqua" w:cs="Arial"/>
          <w:sz w:val="24"/>
          <w:szCs w:val="24"/>
        </w:rPr>
        <w:t>to evaluate the effects of both chemotherapy and chemoradiotherapy in the adjuvant setting (</w:t>
      </w:r>
      <w:r w:rsidRPr="00E90188">
        <w:rPr>
          <w:rFonts w:ascii="Book Antiqua" w:hAnsi="Book Antiqua" w:cs="Arial"/>
          <w:i/>
          <w:sz w:val="24"/>
          <w:szCs w:val="24"/>
        </w:rPr>
        <w:t>n</w:t>
      </w:r>
      <w:r w:rsidRPr="00E90188">
        <w:rPr>
          <w:rFonts w:ascii="Book Antiqua" w:hAnsi="Book Antiqua" w:cs="Arial"/>
          <w:sz w:val="24"/>
          <w:szCs w:val="24"/>
        </w:rPr>
        <w:t xml:space="preserve"> = 939). With the exception of GITSG, the authors collected individual patient data from each of these studies (</w:t>
      </w:r>
      <w:r w:rsidRPr="00E90188">
        <w:rPr>
          <w:rFonts w:ascii="Book Antiqua" w:hAnsi="Book Antiqua" w:cs="Arial"/>
          <w:i/>
          <w:sz w:val="24"/>
          <w:szCs w:val="24"/>
        </w:rPr>
        <w:t>n</w:t>
      </w:r>
      <w:r w:rsidRPr="00E90188">
        <w:rPr>
          <w:rFonts w:ascii="Book Antiqua" w:hAnsi="Book Antiqua" w:cs="Arial"/>
          <w:sz w:val="24"/>
          <w:szCs w:val="24"/>
        </w:rPr>
        <w:t xml:space="preserve"> = 875) to produce as accurate a results as possible. When collating results from the three chemotherapy trials, heterogeneity was affected with the addition of the Japanese results (X² = 11.7, </w:t>
      </w:r>
      <w:r w:rsidRPr="00E90188">
        <w:rPr>
          <w:rFonts w:ascii="Book Antiqua" w:hAnsi="Book Antiqua" w:cs="Arial"/>
          <w:i/>
          <w:sz w:val="24"/>
          <w:szCs w:val="24"/>
        </w:rPr>
        <w:t>P</w:t>
      </w:r>
      <w:r w:rsidRPr="00E90188">
        <w:rPr>
          <w:rFonts w:ascii="Book Antiqua" w:hAnsi="Book Antiqua" w:cs="Arial"/>
          <w:sz w:val="24"/>
          <w:szCs w:val="24"/>
        </w:rPr>
        <w:t xml:space="preserve"> =</w:t>
      </w:r>
      <w:r>
        <w:rPr>
          <w:rFonts w:ascii="Book Antiqua" w:hAnsi="Book Antiqua" w:cs="Arial"/>
          <w:sz w:val="24"/>
          <w:szCs w:val="24"/>
          <w:lang w:eastAsia="zh-CN"/>
        </w:rPr>
        <w:t xml:space="preserve"> </w:t>
      </w:r>
      <w:r w:rsidRPr="00E90188">
        <w:rPr>
          <w:rFonts w:ascii="Book Antiqua" w:hAnsi="Book Antiqua" w:cs="Arial"/>
          <w:sz w:val="24"/>
          <w:szCs w:val="24"/>
        </w:rPr>
        <w:t xml:space="preserve">0.009 when included, X² = 2.5, </w:t>
      </w:r>
      <w:r w:rsidRPr="00E90188">
        <w:rPr>
          <w:rFonts w:ascii="Book Antiqua" w:hAnsi="Book Antiqua" w:cs="Arial"/>
          <w:i/>
          <w:sz w:val="24"/>
          <w:szCs w:val="24"/>
        </w:rPr>
        <w:t>P</w:t>
      </w:r>
      <w:r w:rsidRPr="00E90188">
        <w:rPr>
          <w:rFonts w:ascii="Book Antiqua" w:hAnsi="Book Antiqua" w:cs="Arial"/>
          <w:sz w:val="24"/>
          <w:szCs w:val="24"/>
        </w:rPr>
        <w:t xml:space="preserve"> = 0.29 without). The authors suggest that this was due to the large number of R1 resections included in that particular study. Nevertheless, analysis of the dataset both including and excluding </w:t>
      </w:r>
      <w:r w:rsidRPr="00E90188">
        <w:rPr>
          <w:rFonts w:ascii="Book Antiqua" w:hAnsi="Book Antiqua" w:cs="Arial"/>
          <w:sz w:val="24"/>
          <w:szCs w:val="24"/>
        </w:rPr>
        <w:lastRenderedPageBreak/>
        <w:t xml:space="preserve">this study resulted in reductions of 25% (HR = 0.75, 95%CI: 0.64-0.9, </w:t>
      </w:r>
      <w:r w:rsidRPr="00E90188">
        <w:rPr>
          <w:rFonts w:ascii="Book Antiqua" w:hAnsi="Book Antiqua" w:cs="Arial"/>
          <w:i/>
          <w:sz w:val="24"/>
          <w:szCs w:val="24"/>
        </w:rPr>
        <w:t xml:space="preserve">P </w:t>
      </w:r>
      <w:r w:rsidRPr="00E90188">
        <w:rPr>
          <w:rFonts w:ascii="Book Antiqua" w:hAnsi="Book Antiqua" w:cs="Arial"/>
          <w:sz w:val="24"/>
          <w:szCs w:val="24"/>
        </w:rPr>
        <w:t xml:space="preserve">= 0.001) and 35% (HR = 0.65, 95%CI: 0.54-0.8, </w:t>
      </w:r>
      <w:r w:rsidRPr="00E90188">
        <w:rPr>
          <w:rFonts w:ascii="Book Antiqua" w:hAnsi="Book Antiqua" w:cs="Arial"/>
          <w:i/>
          <w:sz w:val="24"/>
          <w:szCs w:val="24"/>
        </w:rPr>
        <w:t xml:space="preserve">P </w:t>
      </w:r>
      <w:r w:rsidRPr="00E90188">
        <w:rPr>
          <w:rFonts w:ascii="Book Antiqua" w:hAnsi="Book Antiqua" w:cs="Arial"/>
          <w:sz w:val="24"/>
          <w:szCs w:val="24"/>
        </w:rPr>
        <w:t xml:space="preserve">&lt; 0.001) respectively in the risk of death with adjuvant chemotherapy. Median survival was estimated to be 19 months (95%CI: 16.4-21.1) with chemotherapy and 13.5 </w:t>
      </w:r>
      <w:r>
        <w:rPr>
          <w:rFonts w:ascii="Book Antiqua" w:hAnsi="Book Antiqua" w:cs="Arial"/>
          <w:sz w:val="24"/>
          <w:szCs w:val="24"/>
        </w:rPr>
        <w:t>mo</w:t>
      </w:r>
      <w:r w:rsidRPr="00E90188">
        <w:rPr>
          <w:rFonts w:ascii="Book Antiqua" w:hAnsi="Book Antiqua" w:cs="Arial"/>
          <w:sz w:val="24"/>
          <w:szCs w:val="24"/>
        </w:rPr>
        <w:t xml:space="preserve"> (95%CI: 12.2-15.8) without.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A later meta-analysis</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24"/>
      </w:r>
      <w:r w:rsidRPr="00E90188">
        <w:rPr>
          <w:rStyle w:val="a4"/>
          <w:rFonts w:ascii="Book Antiqua" w:hAnsi="Book Antiqua" w:cs="Arial"/>
          <w:sz w:val="24"/>
          <w:szCs w:val="24"/>
        </w:rPr>
        <w:t>]</w:t>
      </w:r>
      <w:r w:rsidRPr="00E90188">
        <w:rPr>
          <w:rFonts w:ascii="Book Antiqua" w:hAnsi="Book Antiqua" w:cs="Arial"/>
          <w:sz w:val="24"/>
          <w:szCs w:val="24"/>
        </w:rPr>
        <w:t xml:space="preserve"> included the five randomised trials comparing adjuvant chemotherapy to observation (Bakkevold </w:t>
      </w:r>
      <w:r w:rsidRPr="00E90188">
        <w:rPr>
          <w:rFonts w:ascii="Book Antiqua" w:hAnsi="Book Antiqua" w:cs="Arial"/>
          <w:i/>
          <w:sz w:val="24"/>
          <w:szCs w:val="24"/>
        </w:rPr>
        <w:t>et al</w:t>
      </w:r>
      <w:r w:rsidR="009C05EF">
        <w:fldChar w:fldCharType="begin"/>
      </w:r>
      <w:r w:rsidR="009C05EF">
        <w:instrText xml:space="preserve"> NOTEREF _Ref385923124 \f \h  \* MERGEFORMAT </w:instrText>
      </w:r>
      <w:r w:rsidR="009C05EF">
        <w:fldChar w:fldCharType="separate"/>
      </w:r>
      <w:r w:rsidRPr="00E90188">
        <w:rPr>
          <w:rStyle w:val="a4"/>
          <w:rFonts w:ascii="Book Antiqua" w:hAnsi="Book Antiqua"/>
          <w:sz w:val="24"/>
          <w:szCs w:val="24"/>
        </w:rPr>
        <w:t>[6]</w:t>
      </w:r>
      <w:r w:rsidR="009C05EF">
        <w:fldChar w:fldCharType="end"/>
      </w:r>
      <w:r w:rsidRPr="00E90188">
        <w:rPr>
          <w:rFonts w:ascii="Book Antiqua" w:hAnsi="Book Antiqua" w:cs="Arial"/>
          <w:sz w:val="24"/>
          <w:szCs w:val="24"/>
        </w:rPr>
        <w:t>, ESPAC-1</w:t>
      </w:r>
      <w:r w:rsidR="009C05EF">
        <w:fldChar w:fldCharType="begin"/>
      </w:r>
      <w:r w:rsidR="009C05EF">
        <w:instrText xml:space="preserve"> NOTEREF _Ref385923177 \f \h  \* MERGEFORMAT </w:instrText>
      </w:r>
      <w:r w:rsidR="009C05EF">
        <w:fldChar w:fldCharType="separate"/>
      </w:r>
      <w:r w:rsidRPr="00E90188">
        <w:rPr>
          <w:rStyle w:val="a4"/>
          <w:rFonts w:ascii="Book Antiqua" w:hAnsi="Book Antiqua"/>
          <w:sz w:val="24"/>
          <w:szCs w:val="24"/>
        </w:rPr>
        <w:t>[7]</w:t>
      </w:r>
      <w:r w:rsidR="009C05EF">
        <w:fldChar w:fldCharType="end"/>
      </w:r>
      <w:r w:rsidRPr="00E90188">
        <w:rPr>
          <w:rFonts w:ascii="Book Antiqua" w:hAnsi="Book Antiqua" w:cs="Arial"/>
          <w:sz w:val="24"/>
          <w:szCs w:val="24"/>
        </w:rPr>
        <w:t xml:space="preserve">, Takada </w:t>
      </w:r>
      <w:r w:rsidRPr="00E90188">
        <w:rPr>
          <w:rFonts w:ascii="Book Antiqua" w:hAnsi="Book Antiqua" w:cs="Arial"/>
          <w:i/>
          <w:sz w:val="24"/>
          <w:szCs w:val="24"/>
        </w:rPr>
        <w:t>et al</w:t>
      </w:r>
      <w:r w:rsidR="009C05EF">
        <w:fldChar w:fldCharType="begin"/>
      </w:r>
      <w:r w:rsidR="009C05EF">
        <w:instrText xml:space="preserve"> NOTEREF _Ref385923217 \f \h  \* MERGEFORMAT </w:instrText>
      </w:r>
      <w:r w:rsidR="009C05EF">
        <w:fldChar w:fldCharType="separate"/>
      </w:r>
      <w:r w:rsidRPr="00E90188">
        <w:rPr>
          <w:rStyle w:val="a4"/>
          <w:rFonts w:ascii="Book Antiqua" w:hAnsi="Book Antiqua"/>
          <w:sz w:val="24"/>
          <w:szCs w:val="24"/>
        </w:rPr>
        <w:t>[9]</w:t>
      </w:r>
      <w:r w:rsidR="009C05EF">
        <w:fldChar w:fldCharType="end"/>
      </w:r>
      <w:r w:rsidRPr="00E90188">
        <w:rPr>
          <w:rFonts w:ascii="Book Antiqua" w:hAnsi="Book Antiqua" w:cs="Arial"/>
          <w:sz w:val="24"/>
          <w:szCs w:val="24"/>
        </w:rPr>
        <w:t>, JSAP</w:t>
      </w:r>
      <w:r w:rsidRPr="00E90188">
        <w:rPr>
          <w:rFonts w:ascii="Book Antiqua" w:hAnsi="Book Antiqua" w:cs="Arial"/>
          <w:sz w:val="24"/>
          <w:szCs w:val="24"/>
          <w:vertAlign w:val="superscript"/>
        </w:rPr>
        <w:t>[</w:t>
      </w:r>
      <w:r w:rsidR="009C05EF">
        <w:fldChar w:fldCharType="begin"/>
      </w:r>
      <w:r w:rsidR="009C05EF">
        <w:instrText xml:space="preserve"> NOTEREF _Ref385923528 \f \h  \* MERGEFORMAT </w:instrText>
      </w:r>
      <w:r w:rsidR="009C05EF">
        <w:fldChar w:fldCharType="separate"/>
      </w:r>
      <w:r w:rsidRPr="00E90188">
        <w:rPr>
          <w:rStyle w:val="a4"/>
          <w:rFonts w:ascii="Book Antiqua" w:hAnsi="Book Antiqua"/>
          <w:sz w:val="24"/>
          <w:szCs w:val="24"/>
        </w:rPr>
        <w:t>10</w:t>
      </w:r>
      <w:r w:rsidR="009C05EF">
        <w:fldChar w:fldCharType="end"/>
      </w:r>
      <w:r w:rsidRPr="00E90188">
        <w:rPr>
          <w:rFonts w:ascii="Book Antiqua" w:hAnsi="Book Antiqua" w:cs="Arial"/>
          <w:sz w:val="24"/>
          <w:szCs w:val="24"/>
          <w:vertAlign w:val="superscript"/>
        </w:rPr>
        <w:t xml:space="preserve">] </w:t>
      </w:r>
      <w:r w:rsidRPr="00E90188">
        <w:rPr>
          <w:rFonts w:ascii="Book Antiqua" w:hAnsi="Book Antiqua" w:cs="Arial"/>
          <w:sz w:val="24"/>
          <w:szCs w:val="24"/>
        </w:rPr>
        <w:t>and CONKO-001</w:t>
      </w:r>
      <w:r w:rsidR="009C05EF">
        <w:fldChar w:fldCharType="begin"/>
      </w:r>
      <w:r w:rsidR="009C05EF">
        <w:instrText xml:space="preserve"> NOTEREF _Ref385923555 \f \h  \* MERGEFORMAT </w:instrText>
      </w:r>
      <w:r w:rsidR="009C05EF">
        <w:fldChar w:fldCharType="separate"/>
      </w:r>
      <w:r w:rsidRPr="00E90188">
        <w:rPr>
          <w:rStyle w:val="a4"/>
          <w:rFonts w:ascii="Book Antiqua" w:hAnsi="Book Antiqua"/>
          <w:sz w:val="24"/>
          <w:szCs w:val="24"/>
        </w:rPr>
        <w:t>[12]</w:t>
      </w:r>
      <w:r w:rsidR="009C05EF">
        <w:fldChar w:fldCharType="end"/>
      </w:r>
      <w:r w:rsidRPr="00E90188">
        <w:rPr>
          <w:rFonts w:ascii="Book Antiqua" w:hAnsi="Book Antiqua" w:cs="Arial"/>
          <w:sz w:val="24"/>
          <w:szCs w:val="24"/>
        </w:rPr>
        <w:t xml:space="preserve">). Median survival data was available from all studies with the exception of Takada </w:t>
      </w:r>
      <w:r w:rsidRPr="00E90188">
        <w:rPr>
          <w:rFonts w:ascii="Book Antiqua" w:hAnsi="Book Antiqua" w:cs="Arial"/>
          <w:i/>
          <w:sz w:val="24"/>
          <w:szCs w:val="24"/>
        </w:rPr>
        <w:t>et al</w:t>
      </w:r>
      <w:r w:rsidRPr="00E90188">
        <w:rPr>
          <w:rFonts w:ascii="Book Antiqua" w:hAnsi="Book Antiqua" w:cs="Arial"/>
          <w:sz w:val="24"/>
          <w:szCs w:val="24"/>
        </w:rPr>
        <w:t>, with no significant heterogeneity between the remaining four conflicting studies (</w:t>
      </w:r>
      <w:r w:rsidRPr="00E90188">
        <w:rPr>
          <w:rFonts w:ascii="Book Antiqua" w:hAnsi="Book Antiqua" w:cs="Arial"/>
          <w:i/>
          <w:sz w:val="24"/>
          <w:szCs w:val="24"/>
        </w:rPr>
        <w:t>P</w:t>
      </w:r>
      <w:r w:rsidRPr="00E90188">
        <w:rPr>
          <w:rFonts w:ascii="Book Antiqua" w:hAnsi="Book Antiqua" w:cs="Arial"/>
          <w:sz w:val="24"/>
          <w:szCs w:val="24"/>
        </w:rPr>
        <w:t xml:space="preserve"> = 0.07). Meta-analysis indicated a significant survival benefit of 3 </w:t>
      </w:r>
      <w:r>
        <w:rPr>
          <w:rFonts w:ascii="Book Antiqua" w:hAnsi="Book Antiqua" w:cs="Arial"/>
          <w:sz w:val="24"/>
          <w:szCs w:val="24"/>
        </w:rPr>
        <w:t>mo</w:t>
      </w:r>
      <w:r w:rsidRPr="00E90188">
        <w:rPr>
          <w:rFonts w:ascii="Book Antiqua" w:hAnsi="Book Antiqua" w:cs="Arial"/>
          <w:sz w:val="24"/>
          <w:szCs w:val="24"/>
        </w:rPr>
        <w:t xml:space="preserve"> (95%CI: 0.3-5.7, </w:t>
      </w:r>
      <w:r w:rsidRPr="00E90188">
        <w:rPr>
          <w:rFonts w:ascii="Book Antiqua" w:hAnsi="Book Antiqua" w:cs="Arial"/>
          <w:i/>
          <w:sz w:val="24"/>
          <w:szCs w:val="24"/>
        </w:rPr>
        <w:t>P</w:t>
      </w:r>
      <w:r w:rsidRPr="00E90188">
        <w:rPr>
          <w:rFonts w:ascii="Book Antiqua" w:hAnsi="Book Antiqua" w:cs="Arial"/>
          <w:sz w:val="24"/>
          <w:szCs w:val="24"/>
        </w:rPr>
        <w:t xml:space="preserve"> = 0.03) in patients receiving adjuvant chemotherapy as opposed to observation. However, adjuvant treatment translated into only a 3.1% benefit in 5-year survival which proved insignificant.</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A third meta-analysis looked specifically at adjuvant therapy in relation to resection margins</w:t>
      </w:r>
      <w:r w:rsidRPr="00E90188">
        <w:rPr>
          <w:rStyle w:val="a4"/>
          <w:rFonts w:ascii="Book Antiqua" w:hAnsi="Book Antiqua" w:cs="Arial"/>
          <w:sz w:val="24"/>
          <w:szCs w:val="24"/>
        </w:rPr>
        <w:t>[</w:t>
      </w:r>
      <w:bookmarkStart w:id="14" w:name="_Ref385924883"/>
      <w:r w:rsidRPr="00E90188">
        <w:rPr>
          <w:rStyle w:val="a4"/>
          <w:rFonts w:ascii="Book Antiqua" w:hAnsi="Book Antiqua" w:cs="Arial"/>
          <w:sz w:val="24"/>
          <w:szCs w:val="24"/>
        </w:rPr>
        <w:endnoteReference w:id="25"/>
      </w:r>
      <w:bookmarkEnd w:id="14"/>
      <w:r w:rsidRPr="00E90188">
        <w:rPr>
          <w:rStyle w:val="a4"/>
          <w:rFonts w:ascii="Book Antiqua" w:hAnsi="Book Antiqua" w:cs="Arial"/>
          <w:sz w:val="24"/>
          <w:szCs w:val="24"/>
        </w:rPr>
        <w:t>]</w:t>
      </w:r>
      <w:r w:rsidRPr="00E90188">
        <w:rPr>
          <w:rFonts w:ascii="Book Antiqua" w:hAnsi="Book Antiqua" w:cs="Arial"/>
          <w:sz w:val="24"/>
          <w:szCs w:val="24"/>
        </w:rPr>
        <w:t xml:space="preserve">. This meta-analysis was supportive of adjuvant chemotherapy, indicating a 25% reduction in the risk of death with treatment as opposed to observation (HR = 0.75, 95%CI: 0.64-0.9, </w:t>
      </w:r>
      <w:r w:rsidRPr="00E90188">
        <w:rPr>
          <w:rFonts w:ascii="Book Antiqua" w:hAnsi="Book Antiqua" w:cs="Arial"/>
          <w:i/>
          <w:sz w:val="24"/>
          <w:szCs w:val="24"/>
        </w:rPr>
        <w:t>P</w:t>
      </w:r>
      <w:r w:rsidRPr="00E90188">
        <w:rPr>
          <w:rFonts w:ascii="Book Antiqua" w:hAnsi="Book Antiqua" w:cs="Arial"/>
          <w:sz w:val="24"/>
          <w:szCs w:val="24"/>
        </w:rPr>
        <w:t xml:space="preserve"> = 0.001). Patients undergoing a clear-margin resection benefited from a 7-</w:t>
      </w:r>
      <w:r>
        <w:rPr>
          <w:rFonts w:ascii="Book Antiqua" w:hAnsi="Book Antiqua" w:cs="Arial"/>
          <w:sz w:val="24"/>
          <w:szCs w:val="24"/>
        </w:rPr>
        <w:t>mo</w:t>
      </w:r>
      <w:r w:rsidRPr="00E90188">
        <w:rPr>
          <w:rFonts w:ascii="Book Antiqua" w:hAnsi="Book Antiqua" w:cs="Arial"/>
          <w:sz w:val="24"/>
          <w:szCs w:val="24"/>
        </w:rPr>
        <w:t xml:space="preserve"> survival increase with chemotherapy (median survival of 20.8 </w:t>
      </w:r>
      <w:r>
        <w:rPr>
          <w:rFonts w:ascii="Book Antiqua" w:hAnsi="Book Antiqua" w:cs="Arial"/>
          <w:sz w:val="24"/>
          <w:szCs w:val="24"/>
        </w:rPr>
        <w:t>mo</w:t>
      </w:r>
      <w:r w:rsidRPr="00E90188">
        <w:rPr>
          <w:rFonts w:ascii="Book Antiqua" w:hAnsi="Book Antiqua" w:cs="Arial"/>
          <w:sz w:val="24"/>
          <w:szCs w:val="24"/>
        </w:rPr>
        <w:t xml:space="preserve"> </w:t>
      </w:r>
      <w:r w:rsidRPr="00E90188">
        <w:rPr>
          <w:rFonts w:ascii="Book Antiqua" w:hAnsi="Book Antiqua" w:cs="Arial"/>
          <w:i/>
          <w:sz w:val="24"/>
          <w:szCs w:val="24"/>
        </w:rPr>
        <w:t>vs</w:t>
      </w:r>
      <w:r w:rsidRPr="00E90188">
        <w:rPr>
          <w:rFonts w:ascii="Book Antiqua" w:hAnsi="Book Antiqua" w:cs="Arial"/>
          <w:sz w:val="24"/>
          <w:szCs w:val="24"/>
        </w:rPr>
        <w:t xml:space="preserve"> 13.8 </w:t>
      </w:r>
      <w:r>
        <w:rPr>
          <w:rFonts w:ascii="Book Antiqua" w:hAnsi="Book Antiqua" w:cs="Arial"/>
          <w:sz w:val="24"/>
          <w:szCs w:val="24"/>
        </w:rPr>
        <w:t>mo</w:t>
      </w:r>
      <w:r w:rsidRPr="00E90188">
        <w:rPr>
          <w:rFonts w:ascii="Book Antiqua" w:hAnsi="Book Antiqua" w:cs="Arial"/>
          <w:sz w:val="24"/>
          <w:szCs w:val="24"/>
        </w:rPr>
        <w:t xml:space="preserve">), but the effect was less pronounced in R1 resections (median survival of 15 </w:t>
      </w:r>
      <w:r>
        <w:rPr>
          <w:rFonts w:ascii="Book Antiqua" w:hAnsi="Book Antiqua" w:cs="Arial"/>
          <w:sz w:val="24"/>
          <w:szCs w:val="24"/>
        </w:rPr>
        <w:t>mo</w:t>
      </w:r>
      <w:r w:rsidRPr="00E90188">
        <w:rPr>
          <w:rFonts w:ascii="Book Antiqua" w:hAnsi="Book Antiqua" w:cs="Arial"/>
          <w:sz w:val="24"/>
          <w:szCs w:val="24"/>
        </w:rPr>
        <w:t xml:space="preserve"> </w:t>
      </w:r>
      <w:r w:rsidRPr="00E90188">
        <w:rPr>
          <w:rFonts w:ascii="Book Antiqua" w:hAnsi="Book Antiqua" w:cs="Arial"/>
          <w:i/>
          <w:sz w:val="24"/>
          <w:szCs w:val="24"/>
        </w:rPr>
        <w:t xml:space="preserve">vs </w:t>
      </w:r>
      <w:r w:rsidRPr="00E90188">
        <w:rPr>
          <w:rFonts w:ascii="Book Antiqua" w:hAnsi="Book Antiqua" w:cs="Arial"/>
          <w:sz w:val="24"/>
          <w:szCs w:val="24"/>
        </w:rPr>
        <w:t xml:space="preserve">13.2 </w:t>
      </w:r>
      <w:r>
        <w:rPr>
          <w:rFonts w:ascii="Book Antiqua" w:hAnsi="Book Antiqua" w:cs="Arial"/>
          <w:sz w:val="24"/>
          <w:szCs w:val="24"/>
        </w:rPr>
        <w:t>mo</w:t>
      </w:r>
      <w:r w:rsidRPr="00E90188">
        <w:rPr>
          <w:rFonts w:ascii="Book Antiqua" w:hAnsi="Book Antiqua" w:cs="Arial"/>
          <w:sz w:val="24"/>
          <w:szCs w:val="24"/>
        </w:rPr>
        <w:t>). This finding was in agreement with Stocken who noted that chemotherapy was less effective in patients with a positive resection margin.</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A recently published network meta-analysis</w:t>
      </w:r>
      <w:r w:rsidRPr="00E90188">
        <w:rPr>
          <w:rStyle w:val="a4"/>
          <w:rFonts w:ascii="Book Antiqua" w:hAnsi="Book Antiqua" w:cs="Arial"/>
          <w:sz w:val="24"/>
          <w:szCs w:val="24"/>
        </w:rPr>
        <w:t>[</w:t>
      </w:r>
      <w:bookmarkStart w:id="15" w:name="_Ref385924906"/>
      <w:r w:rsidRPr="00E90188">
        <w:rPr>
          <w:rStyle w:val="a4"/>
          <w:rFonts w:ascii="Book Antiqua" w:hAnsi="Book Antiqua" w:cs="Arial"/>
          <w:sz w:val="24"/>
          <w:szCs w:val="24"/>
        </w:rPr>
        <w:endnoteReference w:id="26"/>
      </w:r>
      <w:bookmarkEnd w:id="15"/>
      <w:r w:rsidRPr="00E90188">
        <w:rPr>
          <w:rStyle w:val="a4"/>
          <w:rFonts w:ascii="Book Antiqua" w:hAnsi="Book Antiqua" w:cs="Arial"/>
          <w:sz w:val="24"/>
          <w:szCs w:val="24"/>
        </w:rPr>
        <w:t>]</w:t>
      </w:r>
      <w:r w:rsidRPr="00E90188">
        <w:rPr>
          <w:rFonts w:ascii="Book Antiqua" w:hAnsi="Book Antiqua" w:cs="Arial"/>
          <w:sz w:val="24"/>
          <w:szCs w:val="24"/>
        </w:rPr>
        <w:t xml:space="preserve"> has examined overall survival in patients receiving adjuvant gemcitabine or 5-FU in comparison to observation. Results suggested that adjuvant therapy with either gemcitabine (</w:t>
      </w:r>
      <w:r w:rsidRPr="00E90188">
        <w:rPr>
          <w:rFonts w:ascii="Book Antiqua" w:hAnsi="Book Antiqua" w:cs="Arial"/>
          <w:i/>
          <w:sz w:val="24"/>
          <w:szCs w:val="24"/>
        </w:rPr>
        <w:t xml:space="preserve">n </w:t>
      </w:r>
      <w:r w:rsidRPr="00E90188">
        <w:rPr>
          <w:rFonts w:ascii="Book Antiqua" w:hAnsi="Book Antiqua" w:cs="Arial"/>
          <w:sz w:val="24"/>
          <w:szCs w:val="24"/>
        </w:rPr>
        <w:t>= 774) or 5-FU (</w:t>
      </w:r>
      <w:r w:rsidRPr="00E90188">
        <w:rPr>
          <w:rFonts w:ascii="Book Antiqua" w:hAnsi="Book Antiqua" w:cs="Arial"/>
          <w:i/>
          <w:sz w:val="24"/>
          <w:szCs w:val="24"/>
        </w:rPr>
        <w:t xml:space="preserve">n </w:t>
      </w:r>
      <w:r w:rsidRPr="00E90188">
        <w:rPr>
          <w:rFonts w:ascii="Book Antiqua" w:hAnsi="Book Antiqua" w:cs="Arial"/>
          <w:sz w:val="24"/>
          <w:szCs w:val="24"/>
        </w:rPr>
        <w:t>= 876) showed a survival benefit in comparison with observation alone (</w:t>
      </w:r>
      <w:r w:rsidRPr="00E90188">
        <w:rPr>
          <w:rFonts w:ascii="Book Antiqua" w:hAnsi="Book Antiqua" w:cs="Arial"/>
          <w:i/>
          <w:sz w:val="24"/>
          <w:szCs w:val="24"/>
        </w:rPr>
        <w:t xml:space="preserve">n </w:t>
      </w:r>
      <w:r w:rsidRPr="00E90188">
        <w:rPr>
          <w:rFonts w:ascii="Book Antiqua" w:hAnsi="Book Antiqua" w:cs="Arial"/>
          <w:sz w:val="24"/>
          <w:szCs w:val="24"/>
        </w:rPr>
        <w:t>= 670) with hazard ratios of 0.68 (95%CI: 0.44-1.07) and 0.62 (95%CI: 0.42-0.88) respectively. No significant survival difference was noted in comparing adjuvant gemcitabine and 5-FU, though grades 3-4 non-haematological toxicity was almost four-times as common in patients receiving the latter drug.</w:t>
      </w:r>
    </w:p>
    <w:p w:rsidR="00A06E23" w:rsidRPr="00E90188" w:rsidRDefault="00A06E23" w:rsidP="00C962AB">
      <w:pPr>
        <w:spacing w:after="0" w:line="360" w:lineRule="auto"/>
        <w:jc w:val="both"/>
        <w:rPr>
          <w:rFonts w:ascii="Book Antiqua" w:hAnsi="Book Antiqua" w:cs="Arial"/>
          <w:sz w:val="24"/>
          <w:szCs w:val="24"/>
        </w:rPr>
      </w:pPr>
    </w:p>
    <w:p w:rsidR="00A06E23" w:rsidRPr="00E90188" w:rsidRDefault="00A06E23" w:rsidP="00C962AB">
      <w:pPr>
        <w:spacing w:after="0" w:line="360" w:lineRule="auto"/>
        <w:jc w:val="both"/>
        <w:rPr>
          <w:rFonts w:ascii="Book Antiqua" w:hAnsi="Book Antiqua" w:cs="Arial"/>
          <w:sz w:val="24"/>
          <w:szCs w:val="24"/>
        </w:rPr>
      </w:pPr>
      <w:r w:rsidRPr="00E90188">
        <w:rPr>
          <w:rFonts w:ascii="Book Antiqua" w:hAnsi="Book Antiqua" w:cs="Arial"/>
          <w:b/>
          <w:sz w:val="24"/>
          <w:szCs w:val="24"/>
        </w:rPr>
        <w:t>ADJUVANT CHEMORADIOTHERAPY</w:t>
      </w:r>
    </w:p>
    <w:p w:rsidR="00A06E23" w:rsidRPr="00E90188" w:rsidRDefault="00A06E23" w:rsidP="00C962AB">
      <w:pPr>
        <w:spacing w:after="0" w:line="360" w:lineRule="auto"/>
        <w:jc w:val="both"/>
        <w:rPr>
          <w:rFonts w:ascii="Book Antiqua" w:hAnsi="Book Antiqua" w:cs="Arial"/>
          <w:sz w:val="24"/>
          <w:szCs w:val="24"/>
        </w:rPr>
      </w:pPr>
      <w:r w:rsidRPr="00E90188">
        <w:rPr>
          <w:rFonts w:ascii="Book Antiqua" w:hAnsi="Book Antiqua" w:cs="Arial"/>
          <w:sz w:val="24"/>
          <w:szCs w:val="24"/>
        </w:rPr>
        <w:lastRenderedPageBreak/>
        <w:t>GITSG</w:t>
      </w:r>
      <w:r w:rsidRPr="00E90188">
        <w:rPr>
          <w:rFonts w:ascii="Book Antiqua" w:hAnsi="Book Antiqua" w:cs="Arial"/>
          <w:sz w:val="24"/>
          <w:szCs w:val="24"/>
          <w:vertAlign w:val="superscript"/>
        </w:rPr>
        <w:t>[</w:t>
      </w:r>
      <w:r w:rsidR="009C05EF">
        <w:fldChar w:fldCharType="begin"/>
      </w:r>
      <w:r w:rsidR="009C05EF">
        <w:instrText xml:space="preserve"> NOTEREF _Ref385923704 \f \h  \* MERGEFORMAT </w:instrText>
      </w:r>
      <w:r w:rsidR="009C05EF">
        <w:fldChar w:fldCharType="separate"/>
      </w:r>
      <w:r w:rsidRPr="00E90188">
        <w:rPr>
          <w:rStyle w:val="a4"/>
          <w:rFonts w:ascii="Book Antiqua" w:hAnsi="Book Antiqua"/>
          <w:sz w:val="24"/>
          <w:szCs w:val="24"/>
        </w:rPr>
        <w:t>22</w:t>
      </w:r>
      <w:r w:rsidR="009C05EF">
        <w:fldChar w:fldCharType="end"/>
      </w:r>
      <w:r w:rsidRPr="00E90188">
        <w:rPr>
          <w:rFonts w:ascii="Book Antiqua" w:hAnsi="Book Antiqua" w:cs="Arial"/>
          <w:sz w:val="24"/>
          <w:szCs w:val="24"/>
          <w:vertAlign w:val="superscript"/>
        </w:rPr>
        <w:t xml:space="preserve">] </w:t>
      </w:r>
      <w:r w:rsidRPr="00E90188">
        <w:rPr>
          <w:rFonts w:ascii="Book Antiqua" w:hAnsi="Book Antiqua" w:cs="Arial"/>
          <w:sz w:val="24"/>
          <w:szCs w:val="24"/>
        </w:rPr>
        <w:t>was the first randomised trial evaluating the role of adjuvant therapy in pancreatic cancer (Table 3). In non-resectable patients, previous studies had shown the benefit of both radiotherapy</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27"/>
      </w:r>
      <w:r w:rsidRPr="00E90188">
        <w:rPr>
          <w:rStyle w:val="a4"/>
          <w:rFonts w:ascii="Book Antiqua" w:hAnsi="Book Antiqua" w:cs="Arial"/>
          <w:sz w:val="24"/>
          <w:szCs w:val="24"/>
        </w:rPr>
        <w:t>]</w:t>
      </w:r>
      <w:r w:rsidRPr="00E90188">
        <w:rPr>
          <w:rFonts w:ascii="Book Antiqua" w:hAnsi="Book Antiqua" w:cs="Arial"/>
          <w:sz w:val="24"/>
          <w:szCs w:val="24"/>
        </w:rPr>
        <w:t xml:space="preserve"> and 5-FU combined with radiotherapy</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28"/>
      </w:r>
      <w:r w:rsidRPr="00E90188">
        <w:rPr>
          <w:rStyle w:val="a4"/>
          <w:rFonts w:ascii="Book Antiqua" w:hAnsi="Book Antiqua" w:cs="Arial"/>
          <w:sz w:val="24"/>
          <w:szCs w:val="24"/>
        </w:rPr>
        <w:t>]</w:t>
      </w:r>
      <w:r w:rsidRPr="00E90188">
        <w:rPr>
          <w:rFonts w:ascii="Book Antiqua" w:hAnsi="Book Antiqua" w:cs="Arial"/>
          <w:sz w:val="24"/>
          <w:szCs w:val="24"/>
        </w:rPr>
        <w:t xml:space="preserve"> and on this basis GITSG compared adjuvant 5-FU chemoradiation versus no adjuvant therapy. Though the study population was small (</w:t>
      </w:r>
      <w:r w:rsidRPr="00E90188">
        <w:rPr>
          <w:rFonts w:ascii="Book Antiqua" w:hAnsi="Book Antiqua" w:cs="Arial"/>
          <w:i/>
          <w:sz w:val="24"/>
          <w:szCs w:val="24"/>
        </w:rPr>
        <w:t xml:space="preserve">n </w:t>
      </w:r>
      <w:r w:rsidRPr="00E90188">
        <w:rPr>
          <w:rFonts w:ascii="Book Antiqua" w:hAnsi="Book Antiqua" w:cs="Arial"/>
          <w:sz w:val="24"/>
          <w:szCs w:val="24"/>
        </w:rPr>
        <w:t xml:space="preserve">= 43), final analysis of the data revealed a substantial median survival benefit with treatment (21 </w:t>
      </w:r>
      <w:r>
        <w:rPr>
          <w:rFonts w:ascii="Book Antiqua" w:hAnsi="Book Antiqua" w:cs="Arial"/>
          <w:sz w:val="24"/>
          <w:szCs w:val="24"/>
        </w:rPr>
        <w:t>mo</w:t>
      </w:r>
      <w:r w:rsidRPr="00E90188">
        <w:rPr>
          <w:rFonts w:ascii="Book Antiqua" w:hAnsi="Book Antiqua" w:cs="Arial"/>
          <w:sz w:val="24"/>
          <w:szCs w:val="24"/>
        </w:rPr>
        <w:t xml:space="preserve">) in comparison to no treatment (10.9 </w:t>
      </w:r>
      <w:r>
        <w:rPr>
          <w:rFonts w:ascii="Book Antiqua" w:hAnsi="Book Antiqua" w:cs="Arial"/>
          <w:sz w:val="24"/>
          <w:szCs w:val="24"/>
        </w:rPr>
        <w:t>mo</w:t>
      </w:r>
      <w:r w:rsidRPr="00E90188">
        <w:rPr>
          <w:rFonts w:ascii="Book Antiqua" w:hAnsi="Book Antiqua" w:cs="Arial"/>
          <w:sz w:val="24"/>
          <w:szCs w:val="24"/>
        </w:rPr>
        <w:t>). Following this evidence, chemoradiotherapy became a standard adjuvant treatment option for pancreatic cancer patients in the United States</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29"/>
      </w:r>
      <w:r w:rsidRPr="00E90188">
        <w:rPr>
          <w:rStyle w:val="a4"/>
          <w:rFonts w:ascii="Book Antiqua" w:hAnsi="Book Antiqua" w:cs="Arial"/>
          <w:sz w:val="24"/>
          <w:szCs w:val="24"/>
        </w:rPr>
        <w:t>]</w:t>
      </w:r>
      <w:r w:rsidRPr="00E90188">
        <w:rPr>
          <w:rFonts w:ascii="Book Antiqua" w:hAnsi="Book Antiqua" w:cs="Arial"/>
          <w:sz w:val="24"/>
          <w:szCs w:val="24"/>
        </w:rPr>
        <w:t xml:space="preserve">. A decade later, the findings from GITSG were supported by a prospective, non-randomised study. Yeo </w:t>
      </w:r>
      <w:r w:rsidRPr="00E90188">
        <w:rPr>
          <w:rFonts w:ascii="Book Antiqua" w:hAnsi="Book Antiqua" w:cs="Arial"/>
          <w:i/>
          <w:sz w:val="24"/>
          <w:szCs w:val="24"/>
        </w:rPr>
        <w:t>et al</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0"/>
      </w:r>
      <w:r w:rsidRPr="00E90188">
        <w:rPr>
          <w:rStyle w:val="a4"/>
          <w:rFonts w:ascii="Book Antiqua" w:hAnsi="Book Antiqua" w:cs="Arial"/>
          <w:sz w:val="24"/>
          <w:szCs w:val="24"/>
        </w:rPr>
        <w:t>]</w:t>
      </w:r>
      <w:r w:rsidRPr="00E90188">
        <w:rPr>
          <w:rFonts w:ascii="Book Antiqua" w:hAnsi="Book Antiqua" w:cs="Arial"/>
          <w:sz w:val="24"/>
          <w:szCs w:val="24"/>
        </w:rPr>
        <w:t xml:space="preserve"> offered two different chemoradiotherapy regimes (standard or intensive) or observation. Patients undergoing adjuvant treatment reported a median and one-year survival of 19.5 months and 80%, in comparison to 13.5 </w:t>
      </w:r>
      <w:r>
        <w:rPr>
          <w:rFonts w:ascii="Book Antiqua" w:hAnsi="Book Antiqua" w:cs="Arial"/>
          <w:sz w:val="24"/>
          <w:szCs w:val="24"/>
        </w:rPr>
        <w:t>mo</w:t>
      </w:r>
      <w:r w:rsidRPr="00E90188">
        <w:rPr>
          <w:rFonts w:ascii="Book Antiqua" w:hAnsi="Book Antiqua" w:cs="Arial"/>
          <w:sz w:val="24"/>
          <w:szCs w:val="24"/>
        </w:rPr>
        <w:t xml:space="preserve"> and 54% in those undergoing observation (</w:t>
      </w:r>
      <w:r w:rsidRPr="00E90188">
        <w:rPr>
          <w:rFonts w:ascii="Book Antiqua" w:hAnsi="Book Antiqua" w:cs="Arial"/>
          <w:i/>
          <w:sz w:val="24"/>
          <w:szCs w:val="24"/>
        </w:rPr>
        <w:t>P</w:t>
      </w:r>
      <w:r w:rsidRPr="00E90188">
        <w:rPr>
          <w:rFonts w:ascii="Book Antiqua" w:hAnsi="Book Antiqua" w:cs="Arial"/>
          <w:sz w:val="24"/>
          <w:szCs w:val="24"/>
        </w:rPr>
        <w:t xml:space="preserve"> = 0.003). Multivariate analysis also supported a survival benefit to those receiving either standard (</w:t>
      </w:r>
      <w:r w:rsidRPr="00E90188">
        <w:rPr>
          <w:rFonts w:ascii="Book Antiqua" w:hAnsi="Book Antiqua" w:cs="Arial"/>
          <w:i/>
          <w:sz w:val="24"/>
          <w:szCs w:val="24"/>
        </w:rPr>
        <w:t xml:space="preserve">P </w:t>
      </w:r>
      <w:r w:rsidRPr="00E90188">
        <w:rPr>
          <w:rFonts w:ascii="Book Antiqua" w:hAnsi="Book Antiqua" w:cs="Arial"/>
          <w:sz w:val="24"/>
          <w:szCs w:val="24"/>
        </w:rPr>
        <w:t>&lt; 0.001) or intensive therapy (</w:t>
      </w:r>
      <w:r w:rsidRPr="00E90188">
        <w:rPr>
          <w:rFonts w:ascii="Book Antiqua" w:hAnsi="Book Antiqua" w:cs="Arial"/>
          <w:i/>
          <w:sz w:val="24"/>
          <w:szCs w:val="24"/>
        </w:rPr>
        <w:t>P</w:t>
      </w:r>
      <w:r w:rsidRPr="00E90188">
        <w:rPr>
          <w:rFonts w:ascii="Book Antiqua" w:hAnsi="Book Antiqua" w:cs="Arial"/>
          <w:sz w:val="24"/>
          <w:szCs w:val="24"/>
        </w:rPr>
        <w:t xml:space="preserve"> = 0.04).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The EORTC study</w:t>
      </w:r>
      <w:r w:rsidRPr="00E90188">
        <w:rPr>
          <w:rFonts w:ascii="Book Antiqua" w:hAnsi="Book Antiqua" w:cs="Arial"/>
          <w:sz w:val="24"/>
          <w:szCs w:val="24"/>
          <w:vertAlign w:val="superscript"/>
        </w:rPr>
        <w:t>[</w:t>
      </w:r>
      <w:r w:rsidR="009C05EF">
        <w:fldChar w:fldCharType="begin"/>
      </w:r>
      <w:r w:rsidR="009C05EF">
        <w:instrText xml:space="preserve"> NOTEREF _Ref385923966 \f \h </w:instrText>
      </w:r>
      <w:r w:rsidR="009C05EF">
        <w:instrText xml:space="preserve"> \* MERGEFORMAT </w:instrText>
      </w:r>
      <w:r w:rsidR="009C05EF">
        <w:fldChar w:fldCharType="separate"/>
      </w:r>
      <w:r w:rsidRPr="00E90188">
        <w:rPr>
          <w:rStyle w:val="a4"/>
          <w:rFonts w:ascii="Book Antiqua" w:hAnsi="Book Antiqua"/>
          <w:sz w:val="24"/>
          <w:szCs w:val="24"/>
        </w:rPr>
        <w:t>21</w:t>
      </w:r>
      <w:r w:rsidR="009C05EF">
        <w:fldChar w:fldCharType="end"/>
      </w:r>
      <w:r w:rsidRPr="00E90188">
        <w:rPr>
          <w:rFonts w:ascii="Book Antiqua" w:hAnsi="Book Antiqua" w:cs="Arial"/>
          <w:sz w:val="24"/>
          <w:szCs w:val="24"/>
          <w:vertAlign w:val="superscript"/>
        </w:rPr>
        <w:t xml:space="preserve">] </w:t>
      </w:r>
      <w:r w:rsidRPr="00E90188">
        <w:rPr>
          <w:rFonts w:ascii="Book Antiqua" w:hAnsi="Book Antiqua" w:cs="Arial"/>
          <w:sz w:val="24"/>
          <w:szCs w:val="24"/>
        </w:rPr>
        <w:t xml:space="preserve">was undertaken across twenty nine European centres and included 218 patients who had undergone resection for pancreatic or ampullary lesions. One hundred and fourteen of these were for pancreatic head cancers and those tumours graded as T3 ≤ or N1b nodal disease were excluded from the study. Patients were assigned surgery alone or to additionally receive two four-week cycles of adjuvant 5-FU and concurrent radiotherapy.  Treatment was commenced within eight weeks of surgery when patients received a daily radiotherapy dose of 2 Gy, five times a week for two weeks followed by a two week break. This cycle was then repeated to make a total absorbed dose of 40 Gy. Alongside the first week of radiotherapy, patients received 25 mg/kg of 5-FU per 24 </w:t>
      </w:r>
      <w:r>
        <w:rPr>
          <w:rFonts w:ascii="Book Antiqua" w:hAnsi="Book Antiqua" w:cs="Arial"/>
          <w:sz w:val="24"/>
          <w:szCs w:val="24"/>
        </w:rPr>
        <w:t>h</w:t>
      </w:r>
      <w:r w:rsidRPr="00E90188">
        <w:rPr>
          <w:rFonts w:ascii="Book Antiqua" w:hAnsi="Book Antiqua" w:cs="Arial"/>
          <w:sz w:val="24"/>
          <w:szCs w:val="24"/>
        </w:rPr>
        <w:t xml:space="preserve"> up to a maximum daily dose of 1500 mg. The dosage of 5-FU during the second cycle was dependant on any resulting toxicity from the first cycle.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Analysis of the entire study population revealed no statistical difference in overall or disease-free survival. When considering the pancreatic group alone, median survival in the treatment group was 17.1 </w:t>
      </w:r>
      <w:r>
        <w:rPr>
          <w:rFonts w:ascii="Book Antiqua" w:hAnsi="Book Antiqua" w:cs="Arial"/>
          <w:sz w:val="24"/>
          <w:szCs w:val="24"/>
        </w:rPr>
        <w:t>mo</w:t>
      </w:r>
      <w:r w:rsidRPr="00E90188">
        <w:rPr>
          <w:rFonts w:ascii="Book Antiqua" w:hAnsi="Book Antiqua" w:cs="Arial"/>
          <w:sz w:val="24"/>
          <w:szCs w:val="24"/>
        </w:rPr>
        <w:t xml:space="preserve"> compared to 12.6 </w:t>
      </w:r>
      <w:r>
        <w:rPr>
          <w:rFonts w:ascii="Book Antiqua" w:hAnsi="Book Antiqua" w:cs="Arial"/>
          <w:sz w:val="24"/>
          <w:szCs w:val="24"/>
        </w:rPr>
        <w:t>mo</w:t>
      </w:r>
      <w:r w:rsidRPr="00E90188">
        <w:rPr>
          <w:rFonts w:ascii="Book Antiqua" w:hAnsi="Book Antiqua" w:cs="Arial"/>
          <w:sz w:val="24"/>
          <w:szCs w:val="24"/>
        </w:rPr>
        <w:t xml:space="preserve"> in those undergoing observation (</w:t>
      </w:r>
      <w:r w:rsidRPr="00E90188">
        <w:rPr>
          <w:rFonts w:ascii="Book Antiqua" w:hAnsi="Book Antiqua" w:cs="Arial"/>
          <w:i/>
          <w:sz w:val="24"/>
          <w:szCs w:val="24"/>
        </w:rPr>
        <w:t>P</w:t>
      </w:r>
      <w:r w:rsidRPr="00E90188">
        <w:rPr>
          <w:rFonts w:ascii="Book Antiqua" w:hAnsi="Book Antiqua" w:cs="Arial"/>
          <w:sz w:val="24"/>
          <w:szCs w:val="24"/>
        </w:rPr>
        <w:t xml:space="preserve"> = 0.099). Two-year survival was 37% and 20%, with five-</w:t>
      </w:r>
      <w:r w:rsidRPr="00E90188">
        <w:rPr>
          <w:rFonts w:ascii="Book Antiqua" w:hAnsi="Book Antiqua" w:cs="Arial"/>
          <w:sz w:val="24"/>
          <w:szCs w:val="24"/>
        </w:rPr>
        <w:lastRenderedPageBreak/>
        <w:t xml:space="preserve">year survival being 23% and 10% in each group respectively. The pattern of recurrent disease was similar in both treatment groups with both locoregional and distant metastases occurring concurrently in 19%-22% of patients experiencing disease recurrence. 15% of patients from each group experienced local recurrence alone, suggesting that adjuvant radiotherapy is ineffective against pancreatic and ampullary cancer.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In the ESPAC-1 trial, chemoradiotherapy consisted of 20 Gy in ten daily fractions over a fortnight with a 500 mg/m² intravenous bolus of 5-FU on days 1-3 to be repeated two weeks later. For those patients assigned to receive both chemoradiotherapy and chemotherapy, the above regime was combined with the chemotherapy regime previously described. Initial results from ESPAC-1 showed no survival benefit in those receiving chemoradiotherapy. Chemoradiotherapy incurred a median survival of 15.5 </w:t>
      </w:r>
      <w:r>
        <w:rPr>
          <w:rFonts w:ascii="Book Antiqua" w:hAnsi="Book Antiqua" w:cs="Arial"/>
          <w:sz w:val="24"/>
          <w:szCs w:val="24"/>
        </w:rPr>
        <w:t>mo</w:t>
      </w:r>
      <w:r w:rsidRPr="00E90188">
        <w:rPr>
          <w:rFonts w:ascii="Book Antiqua" w:hAnsi="Book Antiqua" w:cs="Arial"/>
          <w:sz w:val="24"/>
          <w:szCs w:val="24"/>
        </w:rPr>
        <w:t xml:space="preserve"> (95%CI: 13.5-17.4) compared to 16.1 months (95%CI: 13.1-20</w:t>
      </w:r>
      <w:r w:rsidRPr="00E90188">
        <w:rPr>
          <w:rFonts w:ascii="Book Antiqua" w:hAnsi="Book Antiqua" w:cs="Arial"/>
          <w:sz w:val="24"/>
          <w:szCs w:val="24"/>
          <w:lang w:eastAsia="zh-CN"/>
        </w:rPr>
        <w:t>.</w:t>
      </w:r>
      <w:r w:rsidRPr="00E90188">
        <w:rPr>
          <w:rFonts w:ascii="Book Antiqua" w:hAnsi="Book Antiqua" w:cs="Arial"/>
          <w:sz w:val="24"/>
          <w:szCs w:val="24"/>
        </w:rPr>
        <w:t>1) in patients which had not received any (HR = 1.18, 95%CI: 0.9-1.55,</w:t>
      </w:r>
      <w:r w:rsidRPr="00E90188">
        <w:rPr>
          <w:rFonts w:ascii="Book Antiqua" w:hAnsi="Book Antiqua" w:cs="Arial"/>
          <w:i/>
          <w:sz w:val="24"/>
          <w:szCs w:val="24"/>
        </w:rPr>
        <w:t xml:space="preserve"> P</w:t>
      </w:r>
      <w:r w:rsidRPr="00E90188">
        <w:rPr>
          <w:rFonts w:ascii="Book Antiqua" w:hAnsi="Book Antiqua" w:cs="Arial"/>
          <w:sz w:val="24"/>
          <w:szCs w:val="24"/>
        </w:rPr>
        <w:t xml:space="preserve"> = 0.235). These findings were echoed when evaluating patients in the 2X2 study design alone with those patients receiving chemoradiotherapy alone achieving a median survival of 15.8 </w:t>
      </w:r>
      <w:r>
        <w:rPr>
          <w:rFonts w:ascii="Book Antiqua" w:hAnsi="Book Antiqua" w:cs="Arial"/>
          <w:sz w:val="24"/>
          <w:szCs w:val="24"/>
        </w:rPr>
        <w:t>mo</w:t>
      </w:r>
      <w:r w:rsidRPr="00E90188">
        <w:rPr>
          <w:rFonts w:ascii="Book Antiqua" w:hAnsi="Book Antiqua" w:cs="Arial"/>
          <w:sz w:val="24"/>
          <w:szCs w:val="24"/>
        </w:rPr>
        <w:t xml:space="preserve"> (95%CI: 13.5-19.4) </w:t>
      </w:r>
      <w:r w:rsidRPr="00E90188">
        <w:rPr>
          <w:rFonts w:ascii="Book Antiqua" w:hAnsi="Book Antiqua" w:cs="Arial"/>
          <w:i/>
          <w:sz w:val="24"/>
          <w:szCs w:val="24"/>
        </w:rPr>
        <w:t>vs</w:t>
      </w:r>
      <w:r w:rsidRPr="00E90188">
        <w:rPr>
          <w:rFonts w:ascii="Book Antiqua" w:hAnsi="Book Antiqua" w:cs="Arial"/>
          <w:sz w:val="24"/>
          <w:szCs w:val="24"/>
        </w:rPr>
        <w:t xml:space="preserve"> 17.8 </w:t>
      </w:r>
      <w:r>
        <w:rPr>
          <w:rFonts w:ascii="Book Antiqua" w:hAnsi="Book Antiqua" w:cs="Arial"/>
          <w:sz w:val="24"/>
          <w:szCs w:val="24"/>
        </w:rPr>
        <w:t>mo</w:t>
      </w:r>
      <w:r w:rsidRPr="00E90188">
        <w:rPr>
          <w:rFonts w:ascii="Book Antiqua" w:hAnsi="Book Antiqua" w:cs="Arial"/>
          <w:sz w:val="24"/>
          <w:szCs w:val="24"/>
        </w:rPr>
        <w:t xml:space="preserve"> (95%CI: 14-23.6) in those not. Again, these findings did not reach statistical significance with </w:t>
      </w:r>
      <w:r w:rsidRPr="00E90188">
        <w:rPr>
          <w:rFonts w:ascii="Book Antiqua" w:hAnsi="Book Antiqua" w:cs="Arial"/>
          <w:i/>
          <w:sz w:val="24"/>
          <w:szCs w:val="24"/>
        </w:rPr>
        <w:t>P</w:t>
      </w:r>
      <w:r w:rsidRPr="00E90188">
        <w:rPr>
          <w:rFonts w:ascii="Book Antiqua" w:hAnsi="Book Antiqua" w:cs="Arial"/>
          <w:sz w:val="24"/>
          <w:szCs w:val="24"/>
        </w:rPr>
        <w:t xml:space="preserve"> = 0.086.</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Final analysis of the 2X2 data showed that chemoradiotherapy had a negative effect on patient survival. Median survival was 15.9 </w:t>
      </w:r>
      <w:r>
        <w:rPr>
          <w:rFonts w:ascii="Book Antiqua" w:hAnsi="Book Antiqua" w:cs="Arial"/>
          <w:sz w:val="24"/>
          <w:szCs w:val="24"/>
        </w:rPr>
        <w:t>mo</w:t>
      </w:r>
      <w:r w:rsidRPr="00E90188">
        <w:rPr>
          <w:rFonts w:ascii="Book Antiqua" w:hAnsi="Book Antiqua" w:cs="Arial"/>
          <w:sz w:val="24"/>
          <w:szCs w:val="24"/>
        </w:rPr>
        <w:t xml:space="preserve"> (95%CI: 13.7-19.9) in those that received chemotherapy whilst patients that received none survived for a median of 17.9 </w:t>
      </w:r>
      <w:r>
        <w:rPr>
          <w:rFonts w:ascii="Book Antiqua" w:hAnsi="Book Antiqua" w:cs="Arial"/>
          <w:sz w:val="24"/>
          <w:szCs w:val="24"/>
        </w:rPr>
        <w:t>mo</w:t>
      </w:r>
      <w:r w:rsidRPr="00E90188">
        <w:rPr>
          <w:rFonts w:ascii="Book Antiqua" w:hAnsi="Book Antiqua" w:cs="Arial"/>
          <w:sz w:val="24"/>
          <w:szCs w:val="24"/>
        </w:rPr>
        <w:t xml:space="preserve"> (95%CI: 14.8-23.6), </w:t>
      </w:r>
      <w:r w:rsidRPr="00E90188">
        <w:rPr>
          <w:rFonts w:ascii="Book Antiqua" w:hAnsi="Book Antiqua" w:cs="Arial"/>
          <w:i/>
          <w:sz w:val="24"/>
          <w:szCs w:val="24"/>
        </w:rPr>
        <w:t>P</w:t>
      </w:r>
      <w:r w:rsidRPr="00E90188">
        <w:rPr>
          <w:rFonts w:ascii="Book Antiqua" w:hAnsi="Book Antiqua" w:cs="Arial"/>
          <w:sz w:val="24"/>
          <w:szCs w:val="24"/>
        </w:rPr>
        <w:t xml:space="preserve"> = 0.05. Estimated 5-year survival was 10% in the chemoradiotherapy cohort in comparison to 20% in those patients who received none.  In those patients randomised outside the 2X2 study design, median survival was only 13.9 </w:t>
      </w:r>
      <w:r>
        <w:rPr>
          <w:rFonts w:ascii="Book Antiqua" w:hAnsi="Book Antiqua" w:cs="Arial"/>
          <w:sz w:val="24"/>
          <w:szCs w:val="24"/>
        </w:rPr>
        <w:t>mo</w:t>
      </w:r>
      <w:r w:rsidRPr="00E90188">
        <w:rPr>
          <w:rFonts w:ascii="Book Antiqua" w:hAnsi="Book Antiqua" w:cs="Arial"/>
          <w:sz w:val="24"/>
          <w:szCs w:val="24"/>
        </w:rPr>
        <w:t xml:space="preserve"> (95%CI: 12.2-17.3) amongst the 73 patients who had received chemoradiotherapy. This was in comparison to a median survival of 16.9 </w:t>
      </w:r>
      <w:r>
        <w:rPr>
          <w:rFonts w:ascii="Book Antiqua" w:hAnsi="Book Antiqua" w:cs="Arial"/>
          <w:sz w:val="24"/>
          <w:szCs w:val="24"/>
        </w:rPr>
        <w:t>mo</w:t>
      </w:r>
      <w:r w:rsidRPr="00E90188">
        <w:rPr>
          <w:rFonts w:ascii="Book Antiqua" w:hAnsi="Book Antiqua" w:cs="Arial"/>
          <w:sz w:val="24"/>
          <w:szCs w:val="24"/>
        </w:rPr>
        <w:t xml:space="preserve"> (95%CI: 12.3-24.8) in those who underwent surgery alone and 21.6 </w:t>
      </w:r>
      <w:r>
        <w:rPr>
          <w:rFonts w:ascii="Book Antiqua" w:hAnsi="Book Antiqua" w:cs="Arial"/>
          <w:sz w:val="24"/>
          <w:szCs w:val="24"/>
        </w:rPr>
        <w:t>mo</w:t>
      </w:r>
      <w:r w:rsidRPr="00E90188">
        <w:rPr>
          <w:rFonts w:ascii="Book Antiqua" w:hAnsi="Book Antiqua" w:cs="Arial"/>
          <w:sz w:val="24"/>
          <w:szCs w:val="24"/>
        </w:rPr>
        <w:t xml:space="preserve"> (95%CI: 13.5-27.3) in those who underwent adjuvant chemotherapy without any chemoradiation. Estimated 5-year survival in these individual treatment groups was 7%, 11% and 29% respectively. Though this is strongly suggestive that adjuvant chemoradiation has a negative impact on survival, ESPAC-1 was underpowered to directly assess </w:t>
      </w:r>
      <w:r w:rsidRPr="00E90188">
        <w:rPr>
          <w:rFonts w:ascii="Book Antiqua" w:hAnsi="Book Antiqua" w:cs="Arial"/>
          <w:sz w:val="24"/>
          <w:szCs w:val="24"/>
        </w:rPr>
        <w:lastRenderedPageBreak/>
        <w:t>these smaller cohorts outside the 2X2 design. The authors suggest that the lack of survival benefit with chemoradiation may be due to a delay in administering the treatment to patients who were also receiving chemotherapy. Some have argued that the radiotherapy given during ESPAC-1 was substandard and not subject to rigorous quality control, though the survival rates achieved in the individual groups were similar to those achieved in other major studies</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1"/>
      </w:r>
      <w:r w:rsidRPr="00E90188">
        <w:rPr>
          <w:rStyle w:val="a4"/>
          <w:rFonts w:ascii="Book Antiqua" w:hAnsi="Book Antiqua" w:cs="Arial"/>
          <w:sz w:val="24"/>
          <w:szCs w:val="24"/>
        </w:rPr>
        <w:t>]</w:t>
      </w:r>
      <w:r w:rsidRPr="00E90188">
        <w:rPr>
          <w:rFonts w:ascii="Book Antiqua" w:hAnsi="Book Antiqua" w:cs="Arial"/>
          <w:sz w:val="24"/>
          <w:szCs w:val="24"/>
        </w:rPr>
        <w:t>.</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Following the publication of their interim findings in 2008</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2"/>
      </w:r>
      <w:r w:rsidRPr="00E90188">
        <w:rPr>
          <w:rStyle w:val="a4"/>
          <w:rFonts w:ascii="Book Antiqua" w:hAnsi="Book Antiqua" w:cs="Arial"/>
          <w:sz w:val="24"/>
          <w:szCs w:val="24"/>
        </w:rPr>
        <w:t>]</w:t>
      </w:r>
      <w:r w:rsidRPr="00E90188">
        <w:rPr>
          <w:rFonts w:ascii="Book Antiqua" w:hAnsi="Book Antiqua" w:cs="Arial"/>
          <w:sz w:val="24"/>
          <w:szCs w:val="24"/>
        </w:rPr>
        <w:t>, the final 5-year analysis of the RTOG 97-04 study was published in 2011</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3"/>
      </w:r>
      <w:r w:rsidRPr="00E90188">
        <w:rPr>
          <w:rStyle w:val="a4"/>
          <w:rFonts w:ascii="Book Antiqua" w:hAnsi="Book Antiqua" w:cs="Arial"/>
          <w:sz w:val="24"/>
          <w:szCs w:val="24"/>
        </w:rPr>
        <w:t>]</w:t>
      </w:r>
      <w:r w:rsidRPr="00E90188">
        <w:rPr>
          <w:rFonts w:ascii="Book Antiqua" w:hAnsi="Book Antiqua" w:cs="Arial"/>
          <w:sz w:val="24"/>
          <w:szCs w:val="24"/>
        </w:rPr>
        <w:t>. Patients were stratified into two arms – each to receive either gemcitabine or 5-FU both prior to, and after 5-FU based chemoradiation. In the gemcitabine group (</w:t>
      </w:r>
      <w:r w:rsidRPr="00E90188">
        <w:rPr>
          <w:rFonts w:ascii="Book Antiqua" w:hAnsi="Book Antiqua" w:cs="Arial"/>
          <w:i/>
          <w:sz w:val="24"/>
          <w:szCs w:val="24"/>
        </w:rPr>
        <w:t>n</w:t>
      </w:r>
      <w:r w:rsidRPr="00E90188">
        <w:rPr>
          <w:rFonts w:ascii="Book Antiqua" w:hAnsi="Book Antiqua" w:cs="Arial"/>
          <w:sz w:val="24"/>
          <w:szCs w:val="24"/>
        </w:rPr>
        <w:t xml:space="preserve"> = 221), one cycle was administered (1000 mg/m² for 3 </w:t>
      </w:r>
      <w:r>
        <w:rPr>
          <w:rFonts w:ascii="Book Antiqua" w:hAnsi="Book Antiqua" w:cs="Arial"/>
          <w:sz w:val="24"/>
          <w:szCs w:val="24"/>
        </w:rPr>
        <w:t>wk</w:t>
      </w:r>
      <w:r w:rsidRPr="00E90188">
        <w:rPr>
          <w:rFonts w:ascii="Book Antiqua" w:hAnsi="Book Antiqua" w:cs="Arial"/>
          <w:sz w:val="24"/>
          <w:szCs w:val="24"/>
        </w:rPr>
        <w:t xml:space="preserve"> followed by a 1 week break)  prior to chemoradiotherapy, after which a further 3 cycles was undertaken. Patients in the 5-FU arm (</w:t>
      </w:r>
      <w:r w:rsidRPr="00E90188">
        <w:rPr>
          <w:rFonts w:ascii="Book Antiqua" w:hAnsi="Book Antiqua" w:cs="Arial"/>
          <w:i/>
          <w:sz w:val="24"/>
          <w:szCs w:val="24"/>
        </w:rPr>
        <w:t xml:space="preserve">n </w:t>
      </w:r>
      <w:r w:rsidRPr="00E90188">
        <w:rPr>
          <w:rFonts w:ascii="Book Antiqua" w:hAnsi="Book Antiqua" w:cs="Arial"/>
          <w:sz w:val="24"/>
          <w:szCs w:val="24"/>
        </w:rPr>
        <w:t>= 230) were administered a continuous infusion of 250 mg/m²</w:t>
      </w:r>
      <w:r>
        <w:rPr>
          <w:rFonts w:ascii="Book Antiqua" w:hAnsi="Book Antiqua" w:cs="Arial"/>
          <w:sz w:val="24"/>
          <w:szCs w:val="24"/>
        </w:rPr>
        <w:t xml:space="preserve"> per </w:t>
      </w:r>
      <w:r w:rsidRPr="00E90188">
        <w:rPr>
          <w:rFonts w:ascii="Book Antiqua" w:hAnsi="Book Antiqua" w:cs="Arial"/>
          <w:sz w:val="24"/>
          <w:szCs w:val="24"/>
        </w:rPr>
        <w:t>d</w:t>
      </w:r>
      <w:r>
        <w:rPr>
          <w:rFonts w:ascii="Book Antiqua" w:hAnsi="Book Antiqua" w:cs="Arial"/>
          <w:sz w:val="24"/>
          <w:szCs w:val="24"/>
        </w:rPr>
        <w:t xml:space="preserve">ay </w:t>
      </w:r>
      <w:r w:rsidRPr="00E90188">
        <w:rPr>
          <w:rFonts w:ascii="Book Antiqua" w:hAnsi="Book Antiqua" w:cs="Arial"/>
          <w:sz w:val="24"/>
          <w:szCs w:val="24"/>
        </w:rPr>
        <w:t xml:space="preserve">for 3 </w:t>
      </w:r>
      <w:r>
        <w:rPr>
          <w:rFonts w:ascii="Book Antiqua" w:hAnsi="Book Antiqua" w:cs="Arial"/>
          <w:sz w:val="24"/>
          <w:szCs w:val="24"/>
        </w:rPr>
        <w:t>wk</w:t>
      </w:r>
      <w:r w:rsidRPr="00E90188">
        <w:rPr>
          <w:rFonts w:ascii="Book Antiqua" w:hAnsi="Book Antiqua" w:cs="Arial"/>
          <w:sz w:val="24"/>
          <w:szCs w:val="24"/>
        </w:rPr>
        <w:t xml:space="preserve"> prior to the commencement of chemoradiation. 5-FU was then administered for two six-week cycles of 5-FU (4 </w:t>
      </w:r>
      <w:r>
        <w:rPr>
          <w:rFonts w:ascii="Book Antiqua" w:hAnsi="Book Antiqua" w:cs="Arial"/>
          <w:sz w:val="24"/>
          <w:szCs w:val="24"/>
        </w:rPr>
        <w:t>wk</w:t>
      </w:r>
      <w:r w:rsidRPr="00E90188">
        <w:rPr>
          <w:rFonts w:ascii="Book Antiqua" w:hAnsi="Book Antiqua" w:cs="Arial"/>
          <w:sz w:val="24"/>
          <w:szCs w:val="24"/>
        </w:rPr>
        <w:t xml:space="preserve"> on plus 2 </w:t>
      </w:r>
      <w:r>
        <w:rPr>
          <w:rFonts w:ascii="Book Antiqua" w:hAnsi="Book Antiqua" w:cs="Arial"/>
          <w:sz w:val="24"/>
          <w:szCs w:val="24"/>
        </w:rPr>
        <w:t>wk</w:t>
      </w:r>
      <w:r w:rsidRPr="00E90188">
        <w:rPr>
          <w:rFonts w:ascii="Book Antiqua" w:hAnsi="Book Antiqua" w:cs="Arial"/>
          <w:sz w:val="24"/>
          <w:szCs w:val="24"/>
        </w:rPr>
        <w:t xml:space="preserve"> off). Chemoradiation consisted of 50.4 Gy of radiation in divided fractions, in association with a continuous infusion of 5-FU at the previously stated dose over the duration of the radiation therapy. No significant difference was identified in overall or disease-free survival in the final analysis. Worth noting, is though completion rates for designated treatments were equally high (87% in the 5-FU group and 90% in the gemcitabine group) with those in the latter group experienced greater numbers of haematological (</w:t>
      </w:r>
      <w:r w:rsidRPr="00E90188">
        <w:rPr>
          <w:rFonts w:ascii="Book Antiqua" w:hAnsi="Book Antiqua" w:cs="Arial"/>
          <w:i/>
          <w:sz w:val="24"/>
          <w:szCs w:val="24"/>
        </w:rPr>
        <w:t>P</w:t>
      </w:r>
      <w:r w:rsidRPr="00E90188">
        <w:rPr>
          <w:rFonts w:ascii="Book Antiqua" w:hAnsi="Book Antiqua" w:cs="Arial"/>
          <w:sz w:val="24"/>
          <w:szCs w:val="24"/>
        </w:rPr>
        <w:t xml:space="preserve"> &lt; 0.001) and Grade 4 events (</w:t>
      </w:r>
      <w:r w:rsidRPr="00E90188">
        <w:rPr>
          <w:rFonts w:ascii="Book Antiqua" w:hAnsi="Book Antiqua" w:cs="Arial"/>
          <w:i/>
          <w:sz w:val="24"/>
          <w:szCs w:val="24"/>
        </w:rPr>
        <w:t>P</w:t>
      </w:r>
      <w:r w:rsidRPr="00E90188">
        <w:rPr>
          <w:rFonts w:ascii="Book Antiqua" w:hAnsi="Book Antiqua" w:cs="Arial"/>
          <w:sz w:val="24"/>
          <w:szCs w:val="24"/>
        </w:rPr>
        <w:t xml:space="preserve"> &lt; 0.001) secondary to acute toxicity.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A subgroup analysis from RTOG was undertaken observing those with pancreatic head tumours. The difference in median survival between both groups was not statistically significant, being 17.1 </w:t>
      </w:r>
      <w:r>
        <w:rPr>
          <w:rFonts w:ascii="Book Antiqua" w:hAnsi="Book Antiqua" w:cs="Arial"/>
          <w:sz w:val="24"/>
          <w:szCs w:val="24"/>
        </w:rPr>
        <w:t>mo</w:t>
      </w:r>
      <w:r w:rsidRPr="00E90188">
        <w:rPr>
          <w:rFonts w:ascii="Book Antiqua" w:hAnsi="Book Antiqua" w:cs="Arial"/>
          <w:sz w:val="24"/>
          <w:szCs w:val="24"/>
        </w:rPr>
        <w:t xml:space="preserve"> in the 5-FU group and 20.5 </w:t>
      </w:r>
      <w:r>
        <w:rPr>
          <w:rFonts w:ascii="Book Antiqua" w:hAnsi="Book Antiqua" w:cs="Arial"/>
          <w:sz w:val="24"/>
          <w:szCs w:val="24"/>
        </w:rPr>
        <w:t>mo</w:t>
      </w:r>
      <w:r w:rsidRPr="00E90188">
        <w:rPr>
          <w:rFonts w:ascii="Book Antiqua" w:hAnsi="Book Antiqua" w:cs="Arial"/>
          <w:sz w:val="24"/>
          <w:szCs w:val="24"/>
        </w:rPr>
        <w:t xml:space="preserve"> in the gemcitabine group (HR = 0.933, 95%CI: 0.76-1.15, log rank </w:t>
      </w:r>
      <w:r w:rsidRPr="00E90188">
        <w:rPr>
          <w:rFonts w:ascii="Book Antiqua" w:hAnsi="Book Antiqua" w:cs="Arial"/>
          <w:i/>
          <w:sz w:val="24"/>
          <w:szCs w:val="24"/>
        </w:rPr>
        <w:t>P</w:t>
      </w:r>
      <w:r w:rsidRPr="00E90188">
        <w:rPr>
          <w:rFonts w:ascii="Book Antiqua" w:hAnsi="Book Antiqua" w:cs="Arial"/>
          <w:sz w:val="24"/>
          <w:szCs w:val="24"/>
        </w:rPr>
        <w:t xml:space="preserve"> = 0.51). However, following adjustment for stratification variables including nodal status, tumour size and surgical margins, multivariate analysis suggests a benefit with gemcitabine over 5-FU (HR = 0.80, 95%CI: 0.63-1.00, </w:t>
      </w:r>
      <w:r w:rsidRPr="00E90188">
        <w:rPr>
          <w:rFonts w:ascii="Book Antiqua" w:hAnsi="Book Antiqua" w:cs="Arial"/>
          <w:i/>
          <w:sz w:val="24"/>
          <w:szCs w:val="24"/>
        </w:rPr>
        <w:t>P</w:t>
      </w:r>
      <w:r w:rsidRPr="00E90188">
        <w:rPr>
          <w:rFonts w:ascii="Book Antiqua" w:hAnsi="Book Antiqua" w:cs="Arial"/>
          <w:sz w:val="24"/>
          <w:szCs w:val="24"/>
        </w:rPr>
        <w:t xml:space="preserve"> = 0.05).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The most recently published Phase III randomised trial compared adjuvant chemoradiation, including 5-FU, cisplatin and interferon Alfa-2b (Group 1) with </w:t>
      </w:r>
      <w:r w:rsidRPr="00E90188">
        <w:rPr>
          <w:rFonts w:ascii="Book Antiqua" w:hAnsi="Book Antiqua" w:cs="Arial"/>
          <w:sz w:val="24"/>
          <w:szCs w:val="24"/>
        </w:rPr>
        <w:lastRenderedPageBreak/>
        <w:t>adjuvant 5-FU and folinic acid without chemoradiation (Group 2). CapRI</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4"/>
      </w:r>
      <w:r w:rsidRPr="00E90188">
        <w:rPr>
          <w:rStyle w:val="a4"/>
          <w:rFonts w:ascii="Book Antiqua" w:hAnsi="Book Antiqua" w:cs="Arial"/>
          <w:sz w:val="24"/>
          <w:szCs w:val="24"/>
        </w:rPr>
        <w:t xml:space="preserve"> ]</w:t>
      </w:r>
      <w:r w:rsidRPr="00E90188">
        <w:rPr>
          <w:rFonts w:ascii="Book Antiqua" w:hAnsi="Book Antiqua" w:cs="Arial"/>
          <w:sz w:val="24"/>
          <w:szCs w:val="24"/>
        </w:rPr>
        <w:t xml:space="preserve"> followed a similar Phase II trial which reported a promising 5-year survival rate of 55%</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5"/>
      </w:r>
      <w:r w:rsidRPr="00E90188">
        <w:rPr>
          <w:rStyle w:val="a4"/>
          <w:rFonts w:ascii="Book Antiqua" w:hAnsi="Book Antiqua" w:cs="Arial"/>
          <w:sz w:val="24"/>
          <w:szCs w:val="24"/>
        </w:rPr>
        <w:t>]</w:t>
      </w:r>
      <w:r w:rsidRPr="00E90188">
        <w:rPr>
          <w:rFonts w:ascii="Book Antiqua" w:hAnsi="Book Antiqua" w:cs="Arial"/>
          <w:sz w:val="24"/>
          <w:szCs w:val="24"/>
        </w:rPr>
        <w:t xml:space="preserve">. Patients in group 1 received a 200 mg/m² continuous infusion of 5-FU, 30 mg/m²/week of cisplatin and 3 million units of interferon α-2b three times a week. This treatment continued for 5.5 </w:t>
      </w:r>
      <w:r>
        <w:rPr>
          <w:rFonts w:ascii="Book Antiqua" w:hAnsi="Book Antiqua" w:cs="Arial"/>
          <w:sz w:val="24"/>
          <w:szCs w:val="24"/>
        </w:rPr>
        <w:t>wk</w:t>
      </w:r>
      <w:r w:rsidRPr="00E90188">
        <w:rPr>
          <w:rFonts w:ascii="Book Antiqua" w:hAnsi="Book Antiqua" w:cs="Arial"/>
          <w:sz w:val="24"/>
          <w:szCs w:val="24"/>
        </w:rPr>
        <w:t xml:space="preserve"> and was given alongside 50.4 Gy of radiation in 28 fractions. Following chemoradiotherapy, patients underwent a further two cycles of 5-FU. Those in group 2 were treated for six cycles of chemotherapy with 20 mg/m² of folinic acid and 425 mg/m² of FU on days 1-5 of a 28-</w:t>
      </w:r>
      <w:r>
        <w:rPr>
          <w:rFonts w:ascii="Book Antiqua" w:hAnsi="Book Antiqua" w:cs="Arial"/>
          <w:sz w:val="24"/>
          <w:szCs w:val="24"/>
        </w:rPr>
        <w:t>d</w:t>
      </w:r>
      <w:r w:rsidRPr="00E90188">
        <w:rPr>
          <w:rFonts w:ascii="Book Antiqua" w:hAnsi="Book Antiqua" w:cs="Arial"/>
          <w:sz w:val="24"/>
          <w:szCs w:val="24"/>
        </w:rPr>
        <w:t xml:space="preserve"> cycle without any radiotherapy. Patients underwent regular clinical follow in addition to receiving a CT at 6-monthly intervals, or whenever clinically indicated. Though 132 patients were initially randomised, only 110 of these received at least one dose of a study treatment and were described as the per-protocol population.</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Overall survival and disease free survival was not significantly different between the two groups. However, the median survival data from the per-protocol population are amongst the best published, being 32.1 </w:t>
      </w:r>
      <w:r>
        <w:rPr>
          <w:rFonts w:ascii="Book Antiqua" w:hAnsi="Book Antiqua" w:cs="Arial"/>
          <w:sz w:val="24"/>
          <w:szCs w:val="24"/>
        </w:rPr>
        <w:t>mo</w:t>
      </w:r>
      <w:r w:rsidRPr="00E90188">
        <w:rPr>
          <w:rFonts w:ascii="Book Antiqua" w:hAnsi="Book Antiqua" w:cs="Arial"/>
          <w:sz w:val="24"/>
          <w:szCs w:val="24"/>
        </w:rPr>
        <w:t xml:space="preserve"> (95%CI: 22.8-42.2) in group 1, and 28.5 </w:t>
      </w:r>
      <w:r>
        <w:rPr>
          <w:rFonts w:ascii="Book Antiqua" w:hAnsi="Book Antiqua" w:cs="Arial"/>
          <w:sz w:val="24"/>
          <w:szCs w:val="24"/>
        </w:rPr>
        <w:t>mo</w:t>
      </w:r>
      <w:r w:rsidRPr="00E90188">
        <w:rPr>
          <w:rFonts w:ascii="Book Antiqua" w:hAnsi="Book Antiqua" w:cs="Arial"/>
          <w:sz w:val="24"/>
          <w:szCs w:val="24"/>
        </w:rPr>
        <w:t xml:space="preserve"> (95%CI: 19.5-38.6) in group 2 (HR = 1.2, 95%CI: 0.49-2.95, </w:t>
      </w:r>
      <w:r w:rsidRPr="00E90188">
        <w:rPr>
          <w:rFonts w:ascii="Book Antiqua" w:hAnsi="Book Antiqua" w:cs="Arial"/>
          <w:i/>
          <w:sz w:val="24"/>
          <w:szCs w:val="24"/>
        </w:rPr>
        <w:t xml:space="preserve">P </w:t>
      </w:r>
      <w:r w:rsidRPr="00E90188">
        <w:rPr>
          <w:rFonts w:ascii="Book Antiqua" w:hAnsi="Book Antiqua" w:cs="Arial"/>
          <w:sz w:val="24"/>
          <w:szCs w:val="24"/>
        </w:rPr>
        <w:t>= 0.49). Selection bias was unlikely, given that 97% of tumours were T3 and above, 79% of patients had nodal disease and only 61% of patients underwent a R0 resection. The authors concede that these impressive survival figures are unlikely to be secondary to adjuvant therapy alone, and acknowledge that the vast majority of patients underwent an aggressive soft tissue clearance during their resection in Heidelberg. Nevertheless, these results seem to have been achieved the expense of very high levels of toxicity, with 85% of patients receiving chemoradioimmunotherapy experiencing grades 3 or 4 toxicity  which were mainly haematological in origin. In a separate study</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6"/>
      </w:r>
      <w:r w:rsidRPr="00E90188">
        <w:rPr>
          <w:rStyle w:val="a4"/>
          <w:rFonts w:ascii="Book Antiqua" w:hAnsi="Book Antiqua" w:cs="Arial"/>
          <w:sz w:val="24"/>
          <w:szCs w:val="24"/>
        </w:rPr>
        <w:t>]</w:t>
      </w:r>
      <w:r w:rsidRPr="00E90188">
        <w:rPr>
          <w:rFonts w:ascii="Book Antiqua" w:hAnsi="Book Antiqua" w:cs="Arial"/>
          <w:sz w:val="24"/>
          <w:szCs w:val="24"/>
        </w:rPr>
        <w:t xml:space="preserve"> this controversial chemoradioimmunotherapy regime led to a 93% grade 3 and 4 gastrointestinal toxicity rate, leading to its abandonment.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In addition to these randomised trials which have produced conflicting results, a handful of large retrospective reviews have also been published</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7"/>
      </w:r>
      <w:r w:rsidRPr="00E90188">
        <w:rPr>
          <w:rStyle w:val="a4"/>
          <w:rFonts w:ascii="Book Antiqua" w:hAnsi="Book Antiqua" w:cs="Arial"/>
          <w:sz w:val="24"/>
          <w:szCs w:val="24"/>
        </w:rPr>
        <w:t>]</w:t>
      </w:r>
      <w:r w:rsidRPr="00E90188">
        <w:rPr>
          <w:rFonts w:ascii="Book Antiqua" w:hAnsi="Book Antiqua" w:cs="Arial"/>
          <w:sz w:val="24"/>
          <w:szCs w:val="24"/>
        </w:rPr>
        <w:t>. A prospectively collected database from John Hopkins Hospital in Baltimore compared those who received adjuvant chemoradiotherapy (</w:t>
      </w:r>
      <w:r w:rsidRPr="00E90188">
        <w:rPr>
          <w:rFonts w:ascii="Book Antiqua" w:hAnsi="Book Antiqua" w:cs="Arial"/>
          <w:i/>
          <w:sz w:val="24"/>
          <w:szCs w:val="24"/>
        </w:rPr>
        <w:t xml:space="preserve">n </w:t>
      </w:r>
      <w:r w:rsidRPr="00E90188">
        <w:rPr>
          <w:rFonts w:ascii="Book Antiqua" w:hAnsi="Book Antiqua" w:cs="Arial"/>
          <w:sz w:val="24"/>
          <w:szCs w:val="24"/>
        </w:rPr>
        <w:t>= 271) to those who did not (</w:t>
      </w:r>
      <w:r w:rsidRPr="00E90188">
        <w:rPr>
          <w:rFonts w:ascii="Book Antiqua" w:hAnsi="Book Antiqua" w:cs="Arial"/>
          <w:i/>
          <w:sz w:val="24"/>
          <w:szCs w:val="24"/>
        </w:rPr>
        <w:t>n</w:t>
      </w:r>
      <w:r w:rsidRPr="00E90188">
        <w:rPr>
          <w:rFonts w:ascii="Book Antiqua" w:hAnsi="Book Antiqua" w:cs="Arial"/>
          <w:sz w:val="24"/>
          <w:szCs w:val="24"/>
        </w:rPr>
        <w:t xml:space="preserve"> = </w:t>
      </w:r>
      <w:r w:rsidRPr="00E90188">
        <w:rPr>
          <w:rFonts w:ascii="Book Antiqua" w:hAnsi="Book Antiqua" w:cs="Arial"/>
          <w:sz w:val="24"/>
          <w:szCs w:val="24"/>
        </w:rPr>
        <w:lastRenderedPageBreak/>
        <w:t xml:space="preserve">345). Chemoradiotherapy consisted of a continuous infusion of 5-FU with 50 Gy of radiation in divided fractions, followed by maintenance 5-FU for a further 2-6 months. Chemoradiation improved survival compared to those who received no adjuvant therapy, with a median survival of 21.2 </w:t>
      </w:r>
      <w:r>
        <w:rPr>
          <w:rFonts w:ascii="Book Antiqua" w:hAnsi="Book Antiqua" w:cs="Arial"/>
          <w:sz w:val="24"/>
          <w:szCs w:val="24"/>
        </w:rPr>
        <w:t>mo</w:t>
      </w:r>
      <w:r w:rsidRPr="00E90188">
        <w:rPr>
          <w:rFonts w:ascii="Book Antiqua" w:hAnsi="Book Antiqua" w:cs="Arial"/>
          <w:sz w:val="24"/>
          <w:szCs w:val="24"/>
        </w:rPr>
        <w:t xml:space="preserve"> as opposed to 14.4 </w:t>
      </w:r>
      <w:r>
        <w:rPr>
          <w:rFonts w:ascii="Book Antiqua" w:hAnsi="Book Antiqua" w:cs="Arial"/>
          <w:sz w:val="24"/>
          <w:szCs w:val="24"/>
        </w:rPr>
        <w:t>mo</w:t>
      </w:r>
      <w:r w:rsidRPr="00E90188">
        <w:rPr>
          <w:rFonts w:ascii="Book Antiqua" w:hAnsi="Book Antiqua" w:cs="Arial"/>
          <w:sz w:val="24"/>
          <w:szCs w:val="24"/>
        </w:rPr>
        <w:t xml:space="preserve"> (HR = 0.72, 95%CI: 0.6-0.86, </w:t>
      </w:r>
      <w:r w:rsidRPr="00E90188">
        <w:rPr>
          <w:rFonts w:ascii="Book Antiqua" w:hAnsi="Book Antiqua" w:cs="Arial"/>
          <w:i/>
          <w:sz w:val="24"/>
          <w:szCs w:val="24"/>
        </w:rPr>
        <w:t>P</w:t>
      </w:r>
      <w:r w:rsidRPr="00E90188">
        <w:rPr>
          <w:rFonts w:ascii="Book Antiqua" w:hAnsi="Book Antiqua" w:cs="Arial"/>
          <w:sz w:val="24"/>
          <w:szCs w:val="24"/>
        </w:rPr>
        <w:t xml:space="preserve"> &lt; 0.001). Even after adjusting for confounding factors including comorbid disease and surgical complication rate amongst others, chemoradiation continued to show a survival benefit (Relative Risk</w:t>
      </w:r>
      <w:r w:rsidRPr="00E90188">
        <w:rPr>
          <w:rFonts w:ascii="Book Antiqua" w:hAnsi="Book Antiqua" w:cs="Arial"/>
          <w:sz w:val="24"/>
          <w:szCs w:val="24"/>
          <w:lang w:eastAsia="zh-CN"/>
        </w:rPr>
        <w:t xml:space="preserve"> =</w:t>
      </w:r>
      <w:r w:rsidRPr="00E90188">
        <w:rPr>
          <w:rFonts w:ascii="Book Antiqua" w:hAnsi="Book Antiqua" w:cs="Arial"/>
          <w:sz w:val="24"/>
          <w:szCs w:val="24"/>
        </w:rPr>
        <w:t xml:space="preserve"> 0.74, </w:t>
      </w:r>
      <w:r w:rsidRPr="00E90188">
        <w:rPr>
          <w:rFonts w:ascii="Book Antiqua" w:hAnsi="Book Antiqua" w:cs="Arial"/>
          <w:i/>
          <w:sz w:val="24"/>
          <w:szCs w:val="24"/>
        </w:rPr>
        <w:t>P</w:t>
      </w:r>
      <w:r w:rsidRPr="00E90188">
        <w:rPr>
          <w:rFonts w:ascii="Book Antiqua" w:hAnsi="Book Antiqua" w:cs="Arial"/>
          <w:sz w:val="24"/>
          <w:szCs w:val="24"/>
        </w:rPr>
        <w:t xml:space="preserve"> &lt; 0.001). Multivariate analysis revealed a significant survival benefit to chemoradiotherapy in those patients who had either positive (</w:t>
      </w:r>
      <w:r w:rsidRPr="00E90188">
        <w:rPr>
          <w:rFonts w:ascii="Book Antiqua" w:hAnsi="Book Antiqua" w:cs="Arial"/>
          <w:i/>
          <w:sz w:val="24"/>
          <w:szCs w:val="24"/>
        </w:rPr>
        <w:t>P</w:t>
      </w:r>
      <w:r w:rsidRPr="00E90188">
        <w:rPr>
          <w:rFonts w:ascii="Book Antiqua" w:hAnsi="Book Antiqua" w:cs="Arial"/>
          <w:sz w:val="24"/>
          <w:szCs w:val="24"/>
        </w:rPr>
        <w:t xml:space="preserve"> = 0.002) or negative (</w:t>
      </w:r>
      <w:r w:rsidRPr="00E90188">
        <w:rPr>
          <w:rFonts w:ascii="Book Antiqua" w:hAnsi="Book Antiqua" w:cs="Arial"/>
          <w:i/>
          <w:sz w:val="24"/>
          <w:szCs w:val="24"/>
        </w:rPr>
        <w:t>P</w:t>
      </w:r>
      <w:r w:rsidRPr="00E90188">
        <w:rPr>
          <w:rFonts w:ascii="Book Antiqua" w:hAnsi="Book Antiqua" w:cs="Arial"/>
          <w:sz w:val="24"/>
          <w:szCs w:val="24"/>
        </w:rPr>
        <w:t xml:space="preserve"> = 0.035) resection margins.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The Mayo Clinic published their 1975-2005 experience</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8"/>
      </w:r>
      <w:r w:rsidRPr="00E90188">
        <w:rPr>
          <w:rStyle w:val="a4"/>
          <w:rFonts w:ascii="Book Antiqua" w:hAnsi="Book Antiqua" w:cs="Arial"/>
          <w:sz w:val="24"/>
          <w:szCs w:val="24"/>
        </w:rPr>
        <w:t>]</w:t>
      </w:r>
      <w:r w:rsidRPr="00E90188">
        <w:rPr>
          <w:rFonts w:ascii="Book Antiqua" w:hAnsi="Book Antiqua" w:cs="Arial"/>
          <w:sz w:val="24"/>
          <w:szCs w:val="24"/>
        </w:rPr>
        <w:t>, also supporting the use of adjuvant chemoradiotherapy. Their retrospective study (</w:t>
      </w:r>
      <w:r w:rsidRPr="00E90188">
        <w:rPr>
          <w:rFonts w:ascii="Book Antiqua" w:hAnsi="Book Antiqua" w:cs="Arial"/>
          <w:i/>
          <w:sz w:val="24"/>
          <w:szCs w:val="24"/>
        </w:rPr>
        <w:t>n</w:t>
      </w:r>
      <w:r w:rsidRPr="00E90188">
        <w:rPr>
          <w:rFonts w:ascii="Book Antiqua" w:hAnsi="Book Antiqua" w:cs="Arial"/>
          <w:sz w:val="24"/>
          <w:szCs w:val="24"/>
        </w:rPr>
        <w:t xml:space="preserve"> = 454) included only R0 resections. Ninety-eight percent of the 274 patients that received radiotherapy (median dose 50 Gy in 28 fractions) also received concurrent 5-FU based chemotherapy, and only 10% of these received any additional chemotherapy following chemoradiation. Median survival was improved with adjuvant treatment as opposed to surgery alone, with rates of 25.2 and 19.2 months respectively. Chemoradiotherapy improved survival in various disease subgroups including node positive disease (</w:t>
      </w:r>
      <w:r w:rsidRPr="00E90188">
        <w:rPr>
          <w:rFonts w:ascii="Book Antiqua" w:hAnsi="Book Antiqua" w:cs="Arial"/>
          <w:i/>
          <w:sz w:val="24"/>
          <w:szCs w:val="24"/>
        </w:rPr>
        <w:t>P</w:t>
      </w:r>
      <w:r w:rsidRPr="00E90188">
        <w:rPr>
          <w:rFonts w:ascii="Book Antiqua" w:hAnsi="Book Antiqua" w:cs="Arial"/>
          <w:sz w:val="24"/>
          <w:szCs w:val="24"/>
        </w:rPr>
        <w:t xml:space="preserve"> &lt; 0.001), high-grade tumours (</w:t>
      </w:r>
      <w:r w:rsidRPr="00E90188">
        <w:rPr>
          <w:rFonts w:ascii="Book Antiqua" w:hAnsi="Book Antiqua" w:cs="Arial"/>
          <w:i/>
          <w:sz w:val="24"/>
          <w:szCs w:val="24"/>
        </w:rPr>
        <w:t>P</w:t>
      </w:r>
      <w:r w:rsidRPr="00E90188">
        <w:rPr>
          <w:rFonts w:ascii="Book Antiqua" w:hAnsi="Book Antiqua" w:cs="Arial"/>
          <w:sz w:val="24"/>
          <w:szCs w:val="24"/>
        </w:rPr>
        <w:t xml:space="preserve"> &lt; 0.001), or both together (</w:t>
      </w:r>
      <w:r w:rsidRPr="00E90188">
        <w:rPr>
          <w:rFonts w:ascii="Book Antiqua" w:hAnsi="Book Antiqua" w:cs="Arial"/>
          <w:i/>
          <w:sz w:val="24"/>
          <w:szCs w:val="24"/>
        </w:rPr>
        <w:t>P</w:t>
      </w:r>
      <w:r w:rsidRPr="00E90188">
        <w:rPr>
          <w:rFonts w:ascii="Book Antiqua" w:hAnsi="Book Antiqua" w:cs="Arial"/>
          <w:sz w:val="24"/>
          <w:szCs w:val="24"/>
        </w:rPr>
        <w:t xml:space="preserve"> &lt; 0.001).</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Numerous publications have recently originated from the US-based Surveillance, Epidemiology and End Results (SEER) database supporting the use of adjuvant radiotherapy. Artinyan </w:t>
      </w:r>
      <w:r w:rsidRPr="00E90188">
        <w:rPr>
          <w:rFonts w:ascii="Book Antiqua" w:hAnsi="Book Antiqua" w:cs="Arial"/>
          <w:i/>
          <w:sz w:val="24"/>
          <w:szCs w:val="24"/>
        </w:rPr>
        <w:t>et al</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39"/>
      </w:r>
      <w:r w:rsidRPr="00E90188">
        <w:rPr>
          <w:rStyle w:val="a4"/>
          <w:rFonts w:ascii="Book Antiqua" w:hAnsi="Book Antiqua" w:cs="Arial"/>
          <w:sz w:val="24"/>
          <w:szCs w:val="24"/>
        </w:rPr>
        <w:t>]</w:t>
      </w:r>
      <w:r w:rsidRPr="00E90188">
        <w:rPr>
          <w:rFonts w:ascii="Book Antiqua" w:hAnsi="Book Antiqua" w:cs="Arial"/>
          <w:sz w:val="24"/>
          <w:szCs w:val="24"/>
        </w:rPr>
        <w:t xml:space="preserve"> analysed 1930 patients that had undergone curative node-negative resections for pancreatic cancer during 1988-2003. Multivariate analysis revealed adjuvant radiotherapy to be a significant factor in improving overall survival (HR = 0.72, 95%CI: 0.63-0.82, </w:t>
      </w:r>
      <w:r w:rsidRPr="00E90188">
        <w:rPr>
          <w:rFonts w:ascii="Book Antiqua" w:hAnsi="Book Antiqua" w:cs="Arial"/>
          <w:i/>
          <w:sz w:val="24"/>
          <w:szCs w:val="24"/>
        </w:rPr>
        <w:t xml:space="preserve">P </w:t>
      </w:r>
      <w:r w:rsidRPr="00E90188">
        <w:rPr>
          <w:rFonts w:ascii="Book Antiqua" w:hAnsi="Book Antiqua" w:cs="Arial"/>
          <w:sz w:val="24"/>
          <w:szCs w:val="24"/>
        </w:rPr>
        <w:t xml:space="preserve">&lt; 0.001). Greco </w:t>
      </w:r>
      <w:r w:rsidRPr="00E90188">
        <w:rPr>
          <w:rFonts w:ascii="Book Antiqua" w:hAnsi="Book Antiqua" w:cs="Arial"/>
          <w:i/>
          <w:sz w:val="24"/>
          <w:szCs w:val="24"/>
        </w:rPr>
        <w:t>et al</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40"/>
      </w:r>
      <w:r w:rsidRPr="00E90188">
        <w:rPr>
          <w:rStyle w:val="a4"/>
          <w:rFonts w:ascii="Book Antiqua" w:hAnsi="Book Antiqua" w:cs="Arial"/>
          <w:sz w:val="24"/>
          <w:szCs w:val="24"/>
        </w:rPr>
        <w:t>]</w:t>
      </w:r>
      <w:r w:rsidRPr="00E90188">
        <w:rPr>
          <w:rFonts w:ascii="Book Antiqua" w:hAnsi="Book Antiqua" w:cs="Arial"/>
          <w:sz w:val="24"/>
          <w:szCs w:val="24"/>
        </w:rPr>
        <w:t xml:space="preserve"> presented 2636 pancreatic resections, of which 1123 received adjuvant radiotherapy with a median survival of 18 months, versus 11 months in those who received no radiotherapy (</w:t>
      </w:r>
      <w:r w:rsidRPr="00E90188">
        <w:rPr>
          <w:rFonts w:ascii="Book Antiqua" w:hAnsi="Book Antiqua" w:cs="Arial"/>
          <w:i/>
          <w:sz w:val="24"/>
          <w:szCs w:val="24"/>
        </w:rPr>
        <w:t>P</w:t>
      </w:r>
      <w:r w:rsidRPr="00E90188">
        <w:rPr>
          <w:rFonts w:ascii="Book Antiqua" w:hAnsi="Book Antiqua" w:cs="Arial"/>
          <w:sz w:val="24"/>
          <w:szCs w:val="24"/>
        </w:rPr>
        <w:t xml:space="preserve"> &lt; 0.01). Moody </w:t>
      </w:r>
      <w:r w:rsidRPr="00E90188">
        <w:rPr>
          <w:rFonts w:ascii="Book Antiqua" w:hAnsi="Book Antiqua" w:cs="Arial"/>
          <w:i/>
          <w:sz w:val="24"/>
          <w:szCs w:val="24"/>
        </w:rPr>
        <w:t>et al</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41"/>
      </w:r>
      <w:r w:rsidRPr="00E90188">
        <w:rPr>
          <w:rStyle w:val="a4"/>
          <w:rFonts w:ascii="Book Antiqua" w:hAnsi="Book Antiqua" w:cs="Arial"/>
          <w:sz w:val="24"/>
          <w:szCs w:val="24"/>
        </w:rPr>
        <w:t>]</w:t>
      </w:r>
      <w:r w:rsidRPr="00E90188">
        <w:rPr>
          <w:rFonts w:ascii="Book Antiqua" w:hAnsi="Book Antiqua" w:cs="Arial"/>
          <w:i/>
          <w:sz w:val="24"/>
          <w:szCs w:val="24"/>
        </w:rPr>
        <w:t xml:space="preserve"> </w:t>
      </w:r>
      <w:r w:rsidRPr="00E90188">
        <w:rPr>
          <w:rFonts w:ascii="Book Antiqua" w:hAnsi="Book Antiqua" w:cs="Arial"/>
          <w:sz w:val="24"/>
          <w:szCs w:val="24"/>
        </w:rPr>
        <w:t>further supported these claims with his series, also concluding that adjuvant radiotherapy improved survival compared to no radiotherapy (</w:t>
      </w:r>
      <w:r w:rsidRPr="00E90188">
        <w:rPr>
          <w:rFonts w:ascii="Book Antiqua" w:hAnsi="Book Antiqua" w:cs="Arial"/>
          <w:i/>
          <w:sz w:val="24"/>
          <w:szCs w:val="24"/>
        </w:rPr>
        <w:t>P</w:t>
      </w:r>
      <w:r w:rsidRPr="00E90188">
        <w:rPr>
          <w:rFonts w:ascii="Book Antiqua" w:hAnsi="Book Antiqua" w:cs="Arial"/>
          <w:sz w:val="24"/>
          <w:szCs w:val="24"/>
        </w:rPr>
        <w:t xml:space="preserve"> = 0.004). However, on subgroup analysis statistical significance was </w:t>
      </w:r>
      <w:r w:rsidRPr="00E90188">
        <w:rPr>
          <w:rFonts w:ascii="Book Antiqua" w:hAnsi="Book Antiqua" w:cs="Arial"/>
          <w:sz w:val="24"/>
          <w:szCs w:val="24"/>
        </w:rPr>
        <w:lastRenderedPageBreak/>
        <w:t>only maintained in patients with Stage 2B disease (</w:t>
      </w:r>
      <w:r w:rsidRPr="00E90188">
        <w:rPr>
          <w:rFonts w:ascii="Book Antiqua" w:hAnsi="Book Antiqua" w:cs="Arial"/>
          <w:i/>
          <w:sz w:val="24"/>
          <w:szCs w:val="24"/>
        </w:rPr>
        <w:t>P</w:t>
      </w:r>
      <w:r w:rsidRPr="00E90188">
        <w:rPr>
          <w:rFonts w:ascii="Book Antiqua" w:hAnsi="Book Antiqua" w:cs="Arial"/>
          <w:sz w:val="24"/>
          <w:szCs w:val="24"/>
        </w:rPr>
        <w:t xml:space="preserve"> &lt; 0.0001). Hazard </w:t>
      </w:r>
      <w:r w:rsidRPr="00E90188">
        <w:rPr>
          <w:rFonts w:ascii="Book Antiqua" w:hAnsi="Book Antiqua" w:cs="Arial"/>
          <w:i/>
          <w:sz w:val="24"/>
          <w:szCs w:val="24"/>
        </w:rPr>
        <w:t>et al</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42"/>
      </w:r>
      <w:r w:rsidRPr="00E90188">
        <w:rPr>
          <w:rStyle w:val="a4"/>
          <w:rFonts w:ascii="Book Antiqua" w:hAnsi="Book Antiqua" w:cs="Arial"/>
          <w:sz w:val="24"/>
          <w:szCs w:val="24"/>
        </w:rPr>
        <w:t>]</w:t>
      </w:r>
      <w:r w:rsidRPr="00E90188">
        <w:rPr>
          <w:rStyle w:val="a4"/>
          <w:rFonts w:ascii="Book Antiqua" w:hAnsi="Book Antiqua" w:cs="Arial"/>
          <w:i/>
          <w:sz w:val="24"/>
          <w:szCs w:val="24"/>
        </w:rPr>
        <w:t xml:space="preserve"> </w:t>
      </w:r>
      <w:r w:rsidRPr="00E90188">
        <w:rPr>
          <w:rFonts w:ascii="Book Antiqua" w:hAnsi="Book Antiqua" w:cs="Arial"/>
          <w:sz w:val="24"/>
          <w:szCs w:val="24"/>
        </w:rPr>
        <w:t xml:space="preserve">also supports the use of radiotherapy with her publication, though specific conclusions in relation to adjuvant therapy cannot be made as most patients received both neoadjuvant and adjuvant radiation. Though the SEER database has the advantage of possessing the details of an impressive volume of patients, concerns have been raised. As the data collection is retrospective, now-important prognostic information such as margin status, lymphovascular and perineural invasion, patient comorbid status and performance status details have not been collected. This may have produced a treatment bias in these patient cohorts which cannot be adjusted for during statistical analysis. </w:t>
      </w:r>
    </w:p>
    <w:p w:rsidR="00A06E23" w:rsidRPr="00E90188" w:rsidRDefault="00A06E23" w:rsidP="00C962AB">
      <w:pPr>
        <w:spacing w:after="0" w:line="360" w:lineRule="auto"/>
        <w:jc w:val="both"/>
        <w:rPr>
          <w:rFonts w:ascii="Book Antiqua" w:hAnsi="Book Antiqua" w:cs="Arial"/>
          <w:b/>
          <w:sz w:val="24"/>
          <w:szCs w:val="24"/>
        </w:rPr>
      </w:pPr>
    </w:p>
    <w:p w:rsidR="00A06E23" w:rsidRPr="00E90188" w:rsidRDefault="00A06E23" w:rsidP="00C962AB">
      <w:pPr>
        <w:spacing w:after="0" w:line="360" w:lineRule="auto"/>
        <w:jc w:val="both"/>
        <w:rPr>
          <w:rFonts w:ascii="Book Antiqua" w:hAnsi="Book Antiqua" w:cs="Arial"/>
          <w:b/>
          <w:sz w:val="24"/>
          <w:szCs w:val="24"/>
        </w:rPr>
      </w:pPr>
      <w:r w:rsidRPr="00E90188">
        <w:rPr>
          <w:rFonts w:ascii="Book Antiqua" w:hAnsi="Book Antiqua" w:cs="Arial"/>
          <w:b/>
          <w:sz w:val="24"/>
          <w:szCs w:val="24"/>
        </w:rPr>
        <w:t>META-ANALYSIS OF ADJUVANT CHEMORADIOTHERAPY IN PANCREATIC CANCER</w:t>
      </w:r>
    </w:p>
    <w:p w:rsidR="00A06E23" w:rsidRPr="00E90188" w:rsidRDefault="00A06E23" w:rsidP="00C962AB">
      <w:pPr>
        <w:spacing w:after="0" w:line="360" w:lineRule="auto"/>
        <w:jc w:val="both"/>
        <w:rPr>
          <w:rFonts w:ascii="Book Antiqua" w:hAnsi="Book Antiqua" w:cs="Arial"/>
          <w:sz w:val="24"/>
          <w:szCs w:val="24"/>
        </w:rPr>
      </w:pPr>
      <w:r w:rsidRPr="00E90188">
        <w:rPr>
          <w:rFonts w:ascii="Book Antiqua" w:hAnsi="Book Antiqua" w:cs="Arial"/>
          <w:sz w:val="24"/>
          <w:szCs w:val="24"/>
        </w:rPr>
        <w:t xml:space="preserve">In addition to the analysis of adjuvant chemotherapy data, Stocken </w:t>
      </w:r>
      <w:r w:rsidRPr="00E90188">
        <w:rPr>
          <w:rFonts w:ascii="Book Antiqua" w:hAnsi="Book Antiqua" w:cs="Arial"/>
          <w:i/>
          <w:sz w:val="24"/>
          <w:szCs w:val="24"/>
        </w:rPr>
        <w:t>et al</w:t>
      </w:r>
      <w:r w:rsidRPr="00E90188">
        <w:rPr>
          <w:rFonts w:ascii="Book Antiqua" w:hAnsi="Book Antiqua" w:cs="Arial"/>
          <w:sz w:val="24"/>
          <w:szCs w:val="24"/>
          <w:vertAlign w:val="superscript"/>
        </w:rPr>
        <w:t>[</w:t>
      </w:r>
      <w:r w:rsidR="009C05EF">
        <w:fldChar w:fldCharType="begin"/>
      </w:r>
      <w:r w:rsidR="009C05EF">
        <w:instrText xml:space="preserve"> NOTEREF _Ref385924806 \f \h  \* MERGEFORMAT </w:instrText>
      </w:r>
      <w:r w:rsidR="009C05EF">
        <w:fldChar w:fldCharType="separate"/>
      </w:r>
      <w:r w:rsidRPr="00E90188">
        <w:rPr>
          <w:rStyle w:val="a4"/>
          <w:rFonts w:ascii="Book Antiqua" w:hAnsi="Book Antiqua"/>
          <w:sz w:val="24"/>
          <w:szCs w:val="24"/>
        </w:rPr>
        <w:t>20</w:t>
      </w:r>
      <w:r w:rsidR="009C05EF">
        <w:fldChar w:fldCharType="end"/>
      </w:r>
      <w:r w:rsidRPr="00E90188">
        <w:rPr>
          <w:rFonts w:ascii="Book Antiqua" w:hAnsi="Book Antiqua" w:cs="Arial"/>
          <w:sz w:val="24"/>
          <w:szCs w:val="24"/>
          <w:vertAlign w:val="superscript"/>
        </w:rPr>
        <w:t xml:space="preserve">] </w:t>
      </w:r>
      <w:r w:rsidRPr="00E90188">
        <w:rPr>
          <w:rFonts w:ascii="Book Antiqua" w:hAnsi="Book Antiqua" w:cs="Arial"/>
          <w:sz w:val="24"/>
          <w:szCs w:val="24"/>
        </w:rPr>
        <w:t>also pooled individual patient data from ESPAC-1 2X2</w:t>
      </w:r>
      <w:r w:rsidR="009C05EF">
        <w:fldChar w:fldCharType="begin"/>
      </w:r>
      <w:r w:rsidR="009C05EF">
        <w:instrText xml:space="preserve"> NOTEREF _Ref385924820 \f \h  \* MERGEFORMAT </w:instrText>
      </w:r>
      <w:r w:rsidR="009C05EF">
        <w:fldChar w:fldCharType="separate"/>
      </w:r>
      <w:r w:rsidRPr="00E90188">
        <w:rPr>
          <w:rStyle w:val="a4"/>
          <w:rFonts w:ascii="Book Antiqua" w:hAnsi="Book Antiqua"/>
          <w:sz w:val="24"/>
          <w:szCs w:val="24"/>
        </w:rPr>
        <w:t>[8]</w:t>
      </w:r>
      <w:r w:rsidR="009C05EF">
        <w:fldChar w:fldCharType="end"/>
      </w:r>
      <w:r w:rsidRPr="00E90188">
        <w:rPr>
          <w:rFonts w:ascii="Book Antiqua" w:hAnsi="Book Antiqua" w:cs="Arial"/>
          <w:sz w:val="24"/>
          <w:szCs w:val="24"/>
        </w:rPr>
        <w:t>, ESPAC-1 Plus</w:t>
      </w:r>
      <w:r w:rsidRPr="00E90188">
        <w:rPr>
          <w:rFonts w:ascii="Book Antiqua" w:hAnsi="Book Antiqua" w:cs="Arial"/>
          <w:sz w:val="24"/>
          <w:szCs w:val="24"/>
          <w:vertAlign w:val="superscript"/>
        </w:rPr>
        <w:t>[</w:t>
      </w:r>
      <w:r w:rsidR="009C05EF">
        <w:fldChar w:fldCharType="begin"/>
      </w:r>
      <w:r w:rsidR="009C05EF">
        <w:instrText xml:space="preserve"> NOTEREF _Ref385924832 \f \h  \* MERGEFORMAT </w:instrText>
      </w:r>
      <w:r w:rsidR="009C05EF">
        <w:fldChar w:fldCharType="separate"/>
      </w:r>
      <w:r w:rsidRPr="00E90188">
        <w:rPr>
          <w:rStyle w:val="a4"/>
          <w:rFonts w:ascii="Book Antiqua" w:hAnsi="Book Antiqua"/>
          <w:sz w:val="24"/>
          <w:szCs w:val="24"/>
        </w:rPr>
        <w:t>16</w:t>
      </w:r>
      <w:r w:rsidR="009C05EF">
        <w:fldChar w:fldCharType="end"/>
      </w:r>
      <w:r w:rsidRPr="00E90188">
        <w:rPr>
          <w:rFonts w:ascii="Book Antiqua" w:hAnsi="Book Antiqua" w:cs="Arial"/>
          <w:sz w:val="24"/>
          <w:szCs w:val="24"/>
          <w:vertAlign w:val="superscript"/>
        </w:rPr>
        <w:t>]</w:t>
      </w:r>
      <w:r w:rsidRPr="00E90188">
        <w:rPr>
          <w:rFonts w:ascii="Book Antiqua" w:hAnsi="Book Antiqua" w:cs="Arial"/>
          <w:sz w:val="24"/>
          <w:szCs w:val="24"/>
        </w:rPr>
        <w:t xml:space="preserve"> and EORTC</w:t>
      </w:r>
      <w:r w:rsidRPr="00E90188">
        <w:rPr>
          <w:rFonts w:ascii="Book Antiqua" w:hAnsi="Book Antiqua" w:cs="Arial"/>
          <w:sz w:val="24"/>
          <w:szCs w:val="24"/>
          <w:vertAlign w:val="superscript"/>
        </w:rPr>
        <w:t>[</w:t>
      </w:r>
      <w:r w:rsidR="009C05EF">
        <w:fldChar w:fldCharType="begin"/>
      </w:r>
      <w:r w:rsidR="009C05EF">
        <w:instrText xml:space="preserve"> NOTEREF _Ref385923966 \f \h  \* MERGEFORMAT </w:instrText>
      </w:r>
      <w:r w:rsidR="009C05EF">
        <w:fldChar w:fldCharType="separate"/>
      </w:r>
      <w:r w:rsidRPr="00E90188">
        <w:rPr>
          <w:rStyle w:val="a4"/>
          <w:rFonts w:ascii="Book Antiqua" w:hAnsi="Book Antiqua"/>
          <w:sz w:val="24"/>
          <w:szCs w:val="24"/>
        </w:rPr>
        <w:t>21</w:t>
      </w:r>
      <w:r w:rsidR="009C05EF">
        <w:fldChar w:fldCharType="end"/>
      </w:r>
      <w:r w:rsidRPr="00E90188">
        <w:rPr>
          <w:rFonts w:ascii="Book Antiqua" w:hAnsi="Book Antiqua" w:cs="Arial"/>
          <w:sz w:val="24"/>
          <w:szCs w:val="24"/>
          <w:vertAlign w:val="superscript"/>
        </w:rPr>
        <w:t xml:space="preserve">] </w:t>
      </w:r>
      <w:r w:rsidRPr="00E90188">
        <w:rPr>
          <w:rFonts w:ascii="Book Antiqua" w:hAnsi="Book Antiqua" w:cs="Arial"/>
          <w:sz w:val="24"/>
          <w:szCs w:val="24"/>
        </w:rPr>
        <w:t xml:space="preserve">to assess the benefit of adjuvant chemoradiotherapy (Table 4). Despite borderline heterogeneity (X² = 6.1, </w:t>
      </w:r>
      <w:r w:rsidRPr="00E90188">
        <w:rPr>
          <w:rFonts w:ascii="Book Antiqua" w:hAnsi="Book Antiqua" w:cs="Arial"/>
          <w:i/>
          <w:sz w:val="24"/>
          <w:szCs w:val="24"/>
        </w:rPr>
        <w:t>P</w:t>
      </w:r>
      <w:r w:rsidRPr="00E90188">
        <w:rPr>
          <w:rFonts w:ascii="Book Antiqua" w:hAnsi="Book Antiqua" w:cs="Arial"/>
          <w:sz w:val="24"/>
          <w:szCs w:val="24"/>
        </w:rPr>
        <w:t xml:space="preserve"> = 0.05), no significant difference in the risk of death was observed with chemoradiotherapy (HR = 1.09, 95%CI: 0.89-1.32, </w:t>
      </w:r>
      <w:r w:rsidRPr="00E90188">
        <w:rPr>
          <w:rFonts w:ascii="Book Antiqua" w:hAnsi="Book Antiqua" w:cs="Arial"/>
          <w:i/>
          <w:sz w:val="24"/>
          <w:szCs w:val="24"/>
        </w:rPr>
        <w:t>P</w:t>
      </w:r>
      <w:r w:rsidRPr="00E90188">
        <w:rPr>
          <w:rFonts w:ascii="Book Antiqua" w:hAnsi="Book Antiqua" w:cs="Arial"/>
          <w:sz w:val="24"/>
          <w:szCs w:val="24"/>
        </w:rPr>
        <w:t xml:space="preserve"> = 0.43). The GITSG trial</w:t>
      </w:r>
      <w:r w:rsidRPr="00E90188">
        <w:rPr>
          <w:rFonts w:ascii="Book Antiqua" w:hAnsi="Book Antiqua" w:cs="Arial"/>
          <w:sz w:val="24"/>
          <w:szCs w:val="24"/>
          <w:vertAlign w:val="superscript"/>
        </w:rPr>
        <w:t>[</w:t>
      </w:r>
      <w:r w:rsidR="009C05EF">
        <w:fldChar w:fldCharType="begin"/>
      </w:r>
      <w:r w:rsidR="009C05EF">
        <w:instrText xml:space="preserve"> NOTEREF _Ref385923704 \f \h  \* MERGEFORMAT </w:instrText>
      </w:r>
      <w:r w:rsidR="009C05EF">
        <w:fldChar w:fldCharType="separate"/>
      </w:r>
      <w:r w:rsidRPr="00E90188">
        <w:rPr>
          <w:rStyle w:val="a4"/>
          <w:rFonts w:ascii="Book Antiqua" w:hAnsi="Book Antiqua"/>
          <w:sz w:val="24"/>
          <w:szCs w:val="24"/>
        </w:rPr>
        <w:t>22</w:t>
      </w:r>
      <w:r w:rsidR="009C05EF">
        <w:fldChar w:fldCharType="end"/>
      </w:r>
      <w:r w:rsidRPr="00E90188">
        <w:rPr>
          <w:rFonts w:ascii="Book Antiqua" w:hAnsi="Book Antiqua" w:cs="Arial"/>
          <w:sz w:val="24"/>
          <w:szCs w:val="24"/>
          <w:vertAlign w:val="superscript"/>
        </w:rPr>
        <w:t>]</w:t>
      </w:r>
      <w:r w:rsidRPr="00E90188">
        <w:rPr>
          <w:rFonts w:ascii="Book Antiqua" w:hAnsi="Book Antiqua" w:cs="Arial"/>
          <w:sz w:val="24"/>
          <w:szCs w:val="24"/>
        </w:rPr>
        <w:t xml:space="preserve"> was unfortunately unable to provide individual patient data and therefore summary data was utilised. Though heterogeneity was increased (X² = 10, </w:t>
      </w:r>
      <w:r w:rsidRPr="00E90188">
        <w:rPr>
          <w:rFonts w:ascii="Book Antiqua" w:hAnsi="Book Antiqua" w:cs="Arial"/>
          <w:i/>
          <w:sz w:val="24"/>
          <w:szCs w:val="24"/>
        </w:rPr>
        <w:t>P</w:t>
      </w:r>
      <w:r w:rsidRPr="00E90188">
        <w:rPr>
          <w:rFonts w:ascii="Book Antiqua" w:hAnsi="Book Antiqua" w:cs="Arial"/>
          <w:sz w:val="24"/>
          <w:szCs w:val="24"/>
        </w:rPr>
        <w:t xml:space="preserve"> = 0.02) by the addition of the GITSG summary data to the individual data from other studies, the pooled HR again showed no difference in the risk of death between those receiving chemoradiotherapy and those not (HR = 1.02, 95%CI: 0.85-1.24, </w:t>
      </w:r>
      <w:r w:rsidRPr="00E90188">
        <w:rPr>
          <w:rFonts w:ascii="Book Antiqua" w:hAnsi="Book Antiqua" w:cs="Arial"/>
          <w:i/>
          <w:sz w:val="24"/>
          <w:szCs w:val="24"/>
        </w:rPr>
        <w:t xml:space="preserve">P </w:t>
      </w:r>
      <w:r w:rsidRPr="00E90188">
        <w:rPr>
          <w:rFonts w:ascii="Book Antiqua" w:hAnsi="Book Antiqua" w:cs="Arial"/>
          <w:sz w:val="24"/>
          <w:szCs w:val="24"/>
        </w:rPr>
        <w:t xml:space="preserve">= 0.81). </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Butturini’s meta-analysis</w:t>
      </w:r>
      <w:r w:rsidRPr="00E90188">
        <w:rPr>
          <w:rFonts w:ascii="Book Antiqua" w:hAnsi="Book Antiqua" w:cs="Arial"/>
          <w:sz w:val="24"/>
          <w:szCs w:val="24"/>
          <w:vertAlign w:val="superscript"/>
        </w:rPr>
        <w:t>[</w:t>
      </w:r>
      <w:r w:rsidR="009C05EF">
        <w:fldChar w:fldCharType="begin"/>
      </w:r>
      <w:r w:rsidR="009C05EF">
        <w:instrText xml:space="preserve"> NOTEREF _Ref385924883 \f \h  \* MERGEFORMAT </w:instrText>
      </w:r>
      <w:r w:rsidR="009C05EF">
        <w:fldChar w:fldCharType="separate"/>
      </w:r>
      <w:r w:rsidRPr="00E90188">
        <w:rPr>
          <w:rStyle w:val="a4"/>
          <w:rFonts w:ascii="Book Antiqua" w:hAnsi="Book Antiqua"/>
          <w:sz w:val="24"/>
          <w:szCs w:val="24"/>
        </w:rPr>
        <w:t>25</w:t>
      </w:r>
      <w:r w:rsidR="009C05EF">
        <w:fldChar w:fldCharType="end"/>
      </w:r>
      <w:r w:rsidRPr="00E90188">
        <w:rPr>
          <w:rFonts w:ascii="Book Antiqua" w:hAnsi="Book Antiqua" w:cs="Arial"/>
          <w:sz w:val="24"/>
          <w:szCs w:val="24"/>
          <w:vertAlign w:val="superscript"/>
        </w:rPr>
        <w:t>]</w:t>
      </w:r>
      <w:r w:rsidRPr="00E90188">
        <w:rPr>
          <w:rFonts w:ascii="Book Antiqua" w:hAnsi="Book Antiqua" w:cs="Arial"/>
          <w:sz w:val="24"/>
          <w:szCs w:val="24"/>
        </w:rPr>
        <w:t xml:space="preserve"> on adjuvant therapy and resection margins noted no significant survival advantage with chemoradiation in R0 resections (median survival 15.8 and 15.9 </w:t>
      </w:r>
      <w:r>
        <w:rPr>
          <w:rFonts w:ascii="Book Antiqua" w:hAnsi="Book Antiqua" w:cs="Arial"/>
          <w:sz w:val="24"/>
          <w:szCs w:val="24"/>
        </w:rPr>
        <w:t>mo</w:t>
      </w:r>
      <w:r w:rsidRPr="00E90188">
        <w:rPr>
          <w:rFonts w:ascii="Book Antiqua" w:hAnsi="Book Antiqua" w:cs="Arial"/>
          <w:sz w:val="24"/>
          <w:szCs w:val="24"/>
        </w:rPr>
        <w:t xml:space="preserve">). Though remaining statistically insignificant, there was evidence of a small survival benefit with adjuvant chemoradiation in patients receiving a R1 resection (median survival 11.2 and 14.7 </w:t>
      </w:r>
      <w:r>
        <w:rPr>
          <w:rFonts w:ascii="Book Antiqua" w:hAnsi="Book Antiqua" w:cs="Arial"/>
          <w:sz w:val="24"/>
          <w:szCs w:val="24"/>
        </w:rPr>
        <w:t>mo</w:t>
      </w:r>
      <w:r w:rsidRPr="00E90188">
        <w:rPr>
          <w:rFonts w:ascii="Book Antiqua" w:hAnsi="Book Antiqua" w:cs="Arial"/>
          <w:sz w:val="24"/>
          <w:szCs w:val="24"/>
        </w:rPr>
        <w:t xml:space="preserve">). Significant heterogeneity was noted in the effect of chemoradiation dependent on resection margin (X² = 4.2, </w:t>
      </w:r>
      <w:r w:rsidRPr="00E90188">
        <w:rPr>
          <w:rFonts w:ascii="Book Antiqua" w:hAnsi="Book Antiqua" w:cs="Arial"/>
          <w:i/>
          <w:sz w:val="24"/>
          <w:szCs w:val="24"/>
        </w:rPr>
        <w:t>P</w:t>
      </w:r>
      <w:r w:rsidRPr="00E90188">
        <w:rPr>
          <w:rFonts w:ascii="Book Antiqua" w:hAnsi="Book Antiqua" w:cs="Arial"/>
          <w:sz w:val="24"/>
          <w:szCs w:val="24"/>
        </w:rPr>
        <w:t xml:space="preserve"> = 0.04). Adjuvant chemoradiotherapy was estimated to reduce </w:t>
      </w:r>
      <w:r w:rsidRPr="00E90188">
        <w:rPr>
          <w:rFonts w:ascii="Book Antiqua" w:hAnsi="Book Antiqua" w:cs="Arial"/>
          <w:sz w:val="24"/>
          <w:szCs w:val="24"/>
        </w:rPr>
        <w:lastRenderedPageBreak/>
        <w:t>the risk of death by 28% (HR = 0.72, 95%CI: 0.47-1.10) in patients with positive margins, but was estimated to increase the risk by 19% (HR = 1.19, 95%CI: 0.95-1.49) in patients with clear margins.</w:t>
      </w:r>
    </w:p>
    <w:p w:rsidR="00A06E23" w:rsidRPr="00E90188" w:rsidRDefault="00A06E23" w:rsidP="00C962AB">
      <w:pPr>
        <w:spacing w:after="0" w:line="360" w:lineRule="auto"/>
        <w:ind w:firstLine="720"/>
        <w:jc w:val="both"/>
        <w:rPr>
          <w:rFonts w:ascii="Book Antiqua" w:hAnsi="Book Antiqua" w:cs="Arial"/>
          <w:sz w:val="24"/>
          <w:szCs w:val="24"/>
        </w:rPr>
      </w:pPr>
      <w:r w:rsidRPr="00E90188">
        <w:rPr>
          <w:rFonts w:ascii="Book Antiqua" w:hAnsi="Book Antiqua" w:cs="Arial"/>
          <w:sz w:val="24"/>
          <w:szCs w:val="24"/>
        </w:rPr>
        <w:t xml:space="preserve">Liao </w:t>
      </w:r>
      <w:r w:rsidRPr="00E90188">
        <w:rPr>
          <w:rFonts w:ascii="Book Antiqua" w:hAnsi="Book Antiqua" w:cs="Arial"/>
          <w:i/>
          <w:sz w:val="24"/>
          <w:szCs w:val="24"/>
        </w:rPr>
        <w:t>et</w:t>
      </w:r>
      <w:r w:rsidRPr="00E90188">
        <w:rPr>
          <w:rFonts w:ascii="Book Antiqua" w:hAnsi="Book Antiqua" w:cs="Arial"/>
          <w:sz w:val="24"/>
          <w:szCs w:val="24"/>
        </w:rPr>
        <w:t xml:space="preserve"> </w:t>
      </w:r>
      <w:r w:rsidRPr="00E90188">
        <w:rPr>
          <w:rFonts w:ascii="Book Antiqua" w:hAnsi="Book Antiqua" w:cs="Arial"/>
          <w:i/>
          <w:sz w:val="24"/>
          <w:szCs w:val="24"/>
        </w:rPr>
        <w:t>al</w:t>
      </w:r>
      <w:r w:rsidRPr="00E90188">
        <w:rPr>
          <w:rFonts w:ascii="Book Antiqua" w:hAnsi="Book Antiqua" w:cs="Arial"/>
          <w:sz w:val="24"/>
          <w:szCs w:val="24"/>
        </w:rPr>
        <w:t>’s</w:t>
      </w:r>
      <w:r w:rsidRPr="00E90188">
        <w:rPr>
          <w:rFonts w:ascii="Book Antiqua" w:hAnsi="Book Antiqua" w:cs="Arial"/>
          <w:sz w:val="24"/>
          <w:szCs w:val="24"/>
          <w:vertAlign w:val="superscript"/>
        </w:rPr>
        <w:t>[</w:t>
      </w:r>
      <w:r w:rsidR="009C05EF">
        <w:fldChar w:fldCharType="begin"/>
      </w:r>
      <w:r w:rsidR="009C05EF">
        <w:instrText xml:space="preserve"> N</w:instrText>
      </w:r>
      <w:r w:rsidR="009C05EF">
        <w:instrText xml:space="preserve">OTEREF _Ref385924906 \f \h  \* MERGEFORMAT </w:instrText>
      </w:r>
      <w:r w:rsidR="009C05EF">
        <w:fldChar w:fldCharType="separate"/>
      </w:r>
      <w:r w:rsidRPr="00E90188">
        <w:rPr>
          <w:rStyle w:val="a4"/>
          <w:rFonts w:ascii="Book Antiqua" w:hAnsi="Book Antiqua"/>
          <w:sz w:val="24"/>
          <w:szCs w:val="24"/>
        </w:rPr>
        <w:t>26</w:t>
      </w:r>
      <w:r w:rsidR="009C05EF">
        <w:fldChar w:fldCharType="end"/>
      </w:r>
      <w:r w:rsidRPr="00E90188">
        <w:rPr>
          <w:rFonts w:ascii="Book Antiqua" w:hAnsi="Book Antiqua" w:cs="Arial"/>
          <w:sz w:val="24"/>
          <w:szCs w:val="24"/>
          <w:vertAlign w:val="superscript"/>
        </w:rPr>
        <w:t>]</w:t>
      </w:r>
      <w:r w:rsidRPr="00E90188">
        <w:rPr>
          <w:rFonts w:ascii="Book Antiqua" w:hAnsi="Book Antiqua" w:cs="Arial"/>
          <w:sz w:val="24"/>
          <w:szCs w:val="24"/>
        </w:rPr>
        <w:t xml:space="preserve"> recent meta-analysis has been the first to directly compare chemoradiation combined with either 5-FU or gemcitabine with each treatment in isolation. No survival advantage was demonstrated by adding chemoradiation to either adjuvant 5-FU or gemcitabine with all hazard rations approaching 1. However, the addition of chemoradiation to 5-FU (HR = 2.85, 95%CI: 0.15-61.44) or gemcitabine (HR = 36.49, 95%CI: 0.34-3235.7) dramatically increases toxic events in comparison to the use of the chemotherapeutic agent alone. The authors conclude that on the basis of their results, future trials with chemoradiation are not required citing toxicity, resistance and early tumour dissemination as two possible reasons why chemoradiotherapy to the tumour bed may be ineffective in pancreatic cancer.</w:t>
      </w:r>
    </w:p>
    <w:p w:rsidR="00A06E23" w:rsidRPr="00E90188" w:rsidRDefault="00A06E23" w:rsidP="00C962AB">
      <w:pPr>
        <w:spacing w:after="0" w:line="360" w:lineRule="auto"/>
        <w:ind w:firstLine="720"/>
        <w:jc w:val="both"/>
        <w:rPr>
          <w:rFonts w:ascii="Book Antiqua" w:hAnsi="Book Antiqua" w:cs="Arial"/>
          <w:sz w:val="24"/>
          <w:szCs w:val="24"/>
        </w:rPr>
      </w:pPr>
    </w:p>
    <w:p w:rsidR="00A06E23" w:rsidRPr="00E90188" w:rsidRDefault="00A06E23" w:rsidP="00C962AB">
      <w:pPr>
        <w:spacing w:after="0" w:line="360" w:lineRule="auto"/>
        <w:jc w:val="both"/>
        <w:rPr>
          <w:rFonts w:ascii="Book Antiqua" w:hAnsi="Book Antiqua" w:cs="Arial"/>
          <w:b/>
          <w:sz w:val="24"/>
          <w:szCs w:val="24"/>
        </w:rPr>
      </w:pPr>
      <w:r w:rsidRPr="00E90188">
        <w:rPr>
          <w:rFonts w:ascii="Book Antiqua" w:hAnsi="Book Antiqua" w:cs="Arial"/>
          <w:b/>
          <w:sz w:val="24"/>
          <w:szCs w:val="24"/>
        </w:rPr>
        <w:t>CURRENT PHASE III TRIALS</w:t>
      </w:r>
    </w:p>
    <w:p w:rsidR="00A06E23" w:rsidRPr="00E90188" w:rsidRDefault="00A06E23" w:rsidP="00C962AB">
      <w:pPr>
        <w:spacing w:after="0" w:line="360" w:lineRule="auto"/>
        <w:jc w:val="both"/>
        <w:rPr>
          <w:rFonts w:ascii="Book Antiqua" w:hAnsi="Book Antiqua" w:cs="Arial"/>
          <w:sz w:val="24"/>
          <w:szCs w:val="24"/>
        </w:rPr>
      </w:pPr>
      <w:r w:rsidRPr="00E90188">
        <w:rPr>
          <w:rFonts w:ascii="Book Antiqua" w:hAnsi="Book Antiqua"/>
          <w:sz w:val="24"/>
          <w:szCs w:val="24"/>
        </w:rPr>
        <w:t>It is extremely encouraging to see several Phase III trials currently recruiting for patients to further investigate the role of adjuvant therapy in pancreatic cancer (Table 5). Capecitabine is a fluropyrimidine which has been shown to exert synergistic antitumour activity when combined with gemcitabine</w:t>
      </w:r>
      <w:r w:rsidRPr="00E90188">
        <w:rPr>
          <w:rStyle w:val="a4"/>
          <w:rFonts w:ascii="Book Antiqua" w:hAnsi="Book Antiqua"/>
          <w:sz w:val="24"/>
          <w:szCs w:val="24"/>
        </w:rPr>
        <w:t>[</w:t>
      </w:r>
      <w:r w:rsidRPr="00E90188">
        <w:rPr>
          <w:rStyle w:val="a4"/>
          <w:rFonts w:ascii="Book Antiqua" w:hAnsi="Book Antiqua"/>
          <w:sz w:val="24"/>
          <w:szCs w:val="24"/>
        </w:rPr>
        <w:endnoteReference w:id="43"/>
      </w:r>
      <w:r w:rsidRPr="00E90188">
        <w:rPr>
          <w:rStyle w:val="a4"/>
          <w:rFonts w:ascii="Book Antiqua" w:hAnsi="Book Antiqua"/>
          <w:sz w:val="24"/>
          <w:szCs w:val="24"/>
        </w:rPr>
        <w:t>]</w:t>
      </w:r>
      <w:r w:rsidRPr="00E90188">
        <w:rPr>
          <w:rFonts w:ascii="Book Antiqua" w:hAnsi="Book Antiqua"/>
          <w:sz w:val="24"/>
          <w:szCs w:val="24"/>
        </w:rPr>
        <w:t>. A meta-analysis of three randomised controlled trials (</w:t>
      </w:r>
      <w:r w:rsidRPr="00E90188">
        <w:rPr>
          <w:rFonts w:ascii="Book Antiqua" w:hAnsi="Book Antiqua"/>
          <w:i/>
          <w:sz w:val="24"/>
          <w:szCs w:val="24"/>
        </w:rPr>
        <w:t xml:space="preserve">n </w:t>
      </w:r>
      <w:r w:rsidRPr="00E90188">
        <w:rPr>
          <w:rFonts w:ascii="Book Antiqua" w:hAnsi="Book Antiqua"/>
          <w:sz w:val="24"/>
          <w:szCs w:val="24"/>
        </w:rPr>
        <w:t>= 935)</w:t>
      </w:r>
      <w:r w:rsidRPr="00E90188">
        <w:rPr>
          <w:rStyle w:val="a4"/>
          <w:rFonts w:ascii="Book Antiqua" w:hAnsi="Book Antiqua"/>
          <w:sz w:val="24"/>
          <w:szCs w:val="24"/>
        </w:rPr>
        <w:t>[</w:t>
      </w:r>
      <w:r w:rsidRPr="00E90188">
        <w:rPr>
          <w:rStyle w:val="a4"/>
          <w:rFonts w:ascii="Book Antiqua" w:hAnsi="Book Antiqua"/>
          <w:sz w:val="24"/>
          <w:szCs w:val="24"/>
        </w:rPr>
        <w:endnoteReference w:id="44"/>
      </w:r>
      <w:r w:rsidRPr="00E90188">
        <w:rPr>
          <w:rStyle w:val="a4"/>
          <w:rFonts w:ascii="Book Antiqua" w:hAnsi="Book Antiqua"/>
          <w:sz w:val="24"/>
          <w:szCs w:val="24"/>
        </w:rPr>
        <w:t>]</w:t>
      </w:r>
      <w:r w:rsidRPr="00E90188">
        <w:rPr>
          <w:rFonts w:ascii="Book Antiqua" w:hAnsi="Book Antiqua"/>
          <w:sz w:val="24"/>
          <w:szCs w:val="24"/>
        </w:rPr>
        <w:t xml:space="preserve"> compared gemcitabine with gemcitabine plus capecitabine (Gemcap) in advanced pancreatic cancer. This showed an overall survival benefit with the latter treatment (</w:t>
      </w:r>
      <w:r w:rsidRPr="00E90188">
        <w:rPr>
          <w:rFonts w:ascii="Book Antiqua" w:hAnsi="Book Antiqua" w:cs="Arial"/>
          <w:sz w:val="24"/>
          <w:szCs w:val="24"/>
        </w:rPr>
        <w:t xml:space="preserve">HR = 0.86, 95%CI: 0.75-0.98, </w:t>
      </w:r>
      <w:r w:rsidRPr="00E90188">
        <w:rPr>
          <w:rFonts w:ascii="Book Antiqua" w:hAnsi="Book Antiqua" w:cs="Arial"/>
          <w:i/>
          <w:sz w:val="24"/>
          <w:szCs w:val="24"/>
        </w:rPr>
        <w:t xml:space="preserve">P </w:t>
      </w:r>
      <w:r w:rsidRPr="00E90188">
        <w:rPr>
          <w:rFonts w:ascii="Book Antiqua" w:hAnsi="Book Antiqua" w:cs="Arial"/>
          <w:sz w:val="24"/>
          <w:szCs w:val="24"/>
        </w:rPr>
        <w:t>=</w:t>
      </w:r>
      <w:r>
        <w:rPr>
          <w:rFonts w:ascii="Book Antiqua" w:hAnsi="Book Antiqua" w:cs="Arial"/>
          <w:sz w:val="24"/>
          <w:szCs w:val="24"/>
          <w:lang w:eastAsia="zh-CN"/>
        </w:rPr>
        <w:t xml:space="preserve"> </w:t>
      </w:r>
      <w:r w:rsidRPr="00E90188">
        <w:rPr>
          <w:rFonts w:ascii="Book Antiqua" w:hAnsi="Book Antiqua" w:cs="Arial"/>
          <w:sz w:val="24"/>
          <w:szCs w:val="24"/>
        </w:rPr>
        <w:t>0.02) with no intertrial heterogeneity. The ESPAC group is currently recruiting to trial this therapy in the adjuvant setting with the aim of recruiting nearly 1400 patients by the end of 2014</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45"/>
      </w:r>
      <w:r w:rsidRPr="00E90188">
        <w:rPr>
          <w:rStyle w:val="a4"/>
          <w:rFonts w:ascii="Book Antiqua" w:hAnsi="Book Antiqua" w:cs="Arial"/>
          <w:sz w:val="24"/>
          <w:szCs w:val="24"/>
        </w:rPr>
        <w:t>]</w:t>
      </w:r>
      <w:r w:rsidRPr="00E90188">
        <w:rPr>
          <w:rFonts w:ascii="Book Antiqua" w:hAnsi="Book Antiqua" w:cs="Arial"/>
          <w:sz w:val="24"/>
          <w:szCs w:val="24"/>
        </w:rPr>
        <w:t xml:space="preserve">. </w:t>
      </w:r>
    </w:p>
    <w:p w:rsidR="00A06E23" w:rsidRPr="00E90188" w:rsidRDefault="00A06E23" w:rsidP="00C962AB">
      <w:pPr>
        <w:autoSpaceDE w:val="0"/>
        <w:autoSpaceDN w:val="0"/>
        <w:adjustRightInd w:val="0"/>
        <w:spacing w:after="0" w:line="360" w:lineRule="auto"/>
        <w:ind w:firstLine="720"/>
        <w:jc w:val="both"/>
        <w:rPr>
          <w:rFonts w:ascii="Book Antiqua" w:eastAsia="OTNEJMQuadraat" w:hAnsi="Book Antiqua" w:cs="OTNEJMQuadraat"/>
          <w:sz w:val="24"/>
          <w:szCs w:val="24"/>
        </w:rPr>
      </w:pPr>
      <w:r w:rsidRPr="00E90188">
        <w:rPr>
          <w:rFonts w:ascii="Book Antiqua" w:hAnsi="Book Antiqua" w:cs="Arial"/>
          <w:sz w:val="24"/>
          <w:szCs w:val="24"/>
        </w:rPr>
        <w:t>Folfirinox is another chemotherapeutic regimen that has been subjected to a randomised controlled trial in those with metastatic pancreatic cancer</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46"/>
      </w:r>
      <w:r w:rsidRPr="00E90188">
        <w:rPr>
          <w:rStyle w:val="a4"/>
          <w:rFonts w:ascii="Book Antiqua" w:hAnsi="Book Antiqua" w:cs="Arial"/>
          <w:sz w:val="24"/>
          <w:szCs w:val="24"/>
        </w:rPr>
        <w:t>]</w:t>
      </w:r>
      <w:r w:rsidRPr="00E90188">
        <w:rPr>
          <w:rFonts w:ascii="Book Antiqua" w:hAnsi="Book Antiqua" w:cs="Arial"/>
          <w:sz w:val="24"/>
          <w:szCs w:val="24"/>
          <w:lang w:eastAsia="zh-CN"/>
        </w:rPr>
        <w:t>. I</w:t>
      </w:r>
      <w:r w:rsidRPr="00E90188">
        <w:rPr>
          <w:rFonts w:ascii="Book Antiqua" w:hAnsi="Book Antiqua" w:cs="Arial"/>
          <w:sz w:val="24"/>
          <w:szCs w:val="24"/>
        </w:rPr>
        <w:t>n comparison to gemcitabine (</w:t>
      </w:r>
      <w:r w:rsidRPr="00E90188">
        <w:rPr>
          <w:rFonts w:ascii="Book Antiqua" w:hAnsi="Book Antiqua" w:cs="Arial"/>
          <w:i/>
          <w:sz w:val="24"/>
          <w:szCs w:val="24"/>
        </w:rPr>
        <w:t>n</w:t>
      </w:r>
      <w:r w:rsidRPr="00E90188">
        <w:rPr>
          <w:rFonts w:ascii="Book Antiqua" w:hAnsi="Book Antiqua" w:cs="Arial"/>
          <w:sz w:val="24"/>
          <w:szCs w:val="24"/>
        </w:rPr>
        <w:t xml:space="preserve"> = 171), Folfirinox (</w:t>
      </w:r>
      <w:r w:rsidRPr="00E90188">
        <w:rPr>
          <w:rFonts w:ascii="Book Antiqua" w:hAnsi="Book Antiqua" w:cs="Arial"/>
          <w:i/>
          <w:sz w:val="24"/>
          <w:szCs w:val="24"/>
        </w:rPr>
        <w:t>n</w:t>
      </w:r>
      <w:r w:rsidRPr="00E90188">
        <w:rPr>
          <w:rFonts w:ascii="Book Antiqua" w:hAnsi="Book Antiqua" w:cs="Arial"/>
          <w:sz w:val="24"/>
          <w:szCs w:val="24"/>
        </w:rPr>
        <w:t xml:space="preserve"> = 171) improved both median overall survival from 6.8 to 11.1 </w:t>
      </w:r>
      <w:r>
        <w:rPr>
          <w:rFonts w:ascii="Book Antiqua" w:hAnsi="Book Antiqua" w:cs="Arial"/>
          <w:sz w:val="24"/>
          <w:szCs w:val="24"/>
        </w:rPr>
        <w:t>mo</w:t>
      </w:r>
      <w:r w:rsidRPr="00E90188">
        <w:rPr>
          <w:rFonts w:ascii="Book Antiqua" w:hAnsi="Book Antiqua" w:cs="Arial"/>
          <w:sz w:val="24"/>
          <w:szCs w:val="24"/>
        </w:rPr>
        <w:t xml:space="preserve"> (HR = 0.57, 95%CI: 0.45-0.73, </w:t>
      </w:r>
      <w:r w:rsidRPr="00E90188">
        <w:rPr>
          <w:rFonts w:ascii="Book Antiqua" w:hAnsi="Book Antiqua" w:cs="Arial"/>
          <w:i/>
          <w:sz w:val="24"/>
          <w:szCs w:val="24"/>
        </w:rPr>
        <w:t>P</w:t>
      </w:r>
      <w:r w:rsidRPr="00E90188">
        <w:rPr>
          <w:rFonts w:ascii="Book Antiqua" w:hAnsi="Book Antiqua" w:cs="Arial"/>
          <w:sz w:val="24"/>
          <w:szCs w:val="24"/>
        </w:rPr>
        <w:t xml:space="preserve"> &lt; 0.001) and median progression-free survival from 3.3 </w:t>
      </w:r>
      <w:r>
        <w:rPr>
          <w:rFonts w:ascii="Book Antiqua" w:hAnsi="Book Antiqua" w:cs="Arial"/>
          <w:sz w:val="24"/>
          <w:szCs w:val="24"/>
        </w:rPr>
        <w:t>mo</w:t>
      </w:r>
      <w:r w:rsidRPr="00E90188">
        <w:rPr>
          <w:rFonts w:ascii="Book Antiqua" w:hAnsi="Book Antiqua" w:cs="Arial"/>
          <w:sz w:val="24"/>
          <w:szCs w:val="24"/>
        </w:rPr>
        <w:t xml:space="preserve"> to 6.4 </w:t>
      </w:r>
      <w:r>
        <w:rPr>
          <w:rFonts w:ascii="Book Antiqua" w:hAnsi="Book Antiqua" w:cs="Arial"/>
          <w:sz w:val="24"/>
          <w:szCs w:val="24"/>
        </w:rPr>
        <w:t>mo</w:t>
      </w:r>
      <w:r w:rsidRPr="00E90188">
        <w:rPr>
          <w:rFonts w:ascii="Book Antiqua" w:hAnsi="Book Antiqua" w:cs="Arial"/>
          <w:sz w:val="24"/>
          <w:szCs w:val="24"/>
        </w:rPr>
        <w:t xml:space="preserve"> (HR = 0.47, 95%CI: 0.37-0.59, </w:t>
      </w:r>
      <w:r w:rsidRPr="00E90188">
        <w:rPr>
          <w:rFonts w:ascii="Book Antiqua" w:hAnsi="Book Antiqua" w:cs="Arial"/>
          <w:i/>
          <w:sz w:val="24"/>
          <w:szCs w:val="24"/>
        </w:rPr>
        <w:t xml:space="preserve">P </w:t>
      </w:r>
      <w:r w:rsidRPr="00E90188">
        <w:rPr>
          <w:rFonts w:ascii="Book Antiqua" w:hAnsi="Book Antiqua" w:cs="Arial"/>
          <w:sz w:val="24"/>
          <w:szCs w:val="24"/>
        </w:rPr>
        <w:t xml:space="preserve">&lt; 0.001). However, Folfirinox resulted in significantly more grades 3 and 4 adverse </w:t>
      </w:r>
      <w:r w:rsidRPr="00E90188">
        <w:rPr>
          <w:rFonts w:ascii="Book Antiqua" w:hAnsi="Book Antiqua" w:cs="Arial"/>
          <w:sz w:val="24"/>
          <w:szCs w:val="24"/>
        </w:rPr>
        <w:lastRenderedPageBreak/>
        <w:t xml:space="preserve">events than gemcitabine including </w:t>
      </w:r>
      <w:r w:rsidRPr="00E90188">
        <w:rPr>
          <w:rFonts w:ascii="Book Antiqua" w:eastAsia="OTNEJMQuadraat" w:hAnsi="Book Antiqua" w:cs="OTNEJMQuadraat"/>
          <w:sz w:val="24"/>
          <w:szCs w:val="24"/>
        </w:rPr>
        <w:t>neutropenia, febrile neutropenia, thrombocytopenia, diarrhoea, and sensory neuropathy.  To the contrary of these findings, further data published from this study</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47"/>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disclosed that quality of life impairment was significantly reduced in the Folfirinox group compared to gemcitabine indicating its acceptability to patients. Folfirinox is currently subjected to a two armed Phase III trial in opposition to gemcitabine in resected pancreatic cancer</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48"/>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w:t>
      </w:r>
    </w:p>
    <w:p w:rsidR="00A06E23" w:rsidRPr="00E90188" w:rsidRDefault="00A06E23" w:rsidP="00C962AB">
      <w:pPr>
        <w:autoSpaceDE w:val="0"/>
        <w:autoSpaceDN w:val="0"/>
        <w:adjustRightInd w:val="0"/>
        <w:spacing w:after="0" w:line="360" w:lineRule="auto"/>
        <w:ind w:firstLine="720"/>
        <w:jc w:val="both"/>
        <w:rPr>
          <w:rFonts w:ascii="Book Antiqua" w:eastAsia="OTNEJMQuadraat" w:hAnsi="Book Antiqua" w:cs="OTNEJMQuadraat"/>
          <w:sz w:val="24"/>
          <w:szCs w:val="24"/>
        </w:rPr>
      </w:pPr>
      <w:r w:rsidRPr="00E90188">
        <w:rPr>
          <w:rFonts w:ascii="Book Antiqua" w:eastAsia="OTNEJMQuadraat" w:hAnsi="Book Antiqua" w:cs="OTNEJMQuadraat"/>
          <w:sz w:val="24"/>
          <w:szCs w:val="24"/>
        </w:rPr>
        <w:t>The tyrosine-kinase inhibitor Erlotinib, used in combination with gemcitabine has been shown to improve overall survival and progression-free survival  compared to gemcitabine alone in advanced pancreatic cancer in a large Phase III trial (</w:t>
      </w:r>
      <w:r w:rsidRPr="00E90188">
        <w:rPr>
          <w:rFonts w:ascii="Book Antiqua" w:eastAsia="OTNEJMQuadraat" w:hAnsi="Book Antiqua" w:cs="OTNEJMQuadraat"/>
          <w:i/>
          <w:sz w:val="24"/>
          <w:szCs w:val="24"/>
        </w:rPr>
        <w:t xml:space="preserve">n </w:t>
      </w:r>
      <w:r w:rsidRPr="00E90188">
        <w:rPr>
          <w:rFonts w:ascii="Book Antiqua" w:eastAsia="OTNEJMQuadraat" w:hAnsi="Book Antiqua" w:cs="OTNEJMQuadraat"/>
          <w:sz w:val="24"/>
          <w:szCs w:val="24"/>
        </w:rPr>
        <w:t>= 569)</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49"/>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Bao </w:t>
      </w:r>
      <w:r w:rsidRPr="00E90188">
        <w:rPr>
          <w:rFonts w:ascii="Book Antiqua" w:eastAsia="OTNEJMQuadraat" w:hAnsi="Book Antiqua" w:cs="OTNEJMQuadraat"/>
          <w:i/>
          <w:sz w:val="24"/>
          <w:szCs w:val="24"/>
        </w:rPr>
        <w:t>et al</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0"/>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i/>
          <w:sz w:val="24"/>
          <w:szCs w:val="24"/>
        </w:rPr>
        <w:t xml:space="preserve"> </w:t>
      </w:r>
      <w:r w:rsidRPr="00E90188">
        <w:rPr>
          <w:rFonts w:ascii="Book Antiqua" w:eastAsia="OTNEJMQuadraat" w:hAnsi="Book Antiqua" w:cs="OTNEJMQuadraat"/>
          <w:sz w:val="24"/>
          <w:szCs w:val="24"/>
        </w:rPr>
        <w:t xml:space="preserve">utilised these two compounds in the adjuvant setting in a Phase II trial achieving a respectable median disease-free survival of </w:t>
      </w:r>
      <w:r w:rsidRPr="00E90188">
        <w:rPr>
          <w:rFonts w:ascii="Book Antiqua" w:hAnsi="Book Antiqua" w:cs="AdvPTimes"/>
          <w:sz w:val="24"/>
          <w:szCs w:val="24"/>
        </w:rPr>
        <w:t xml:space="preserve">14.0 </w:t>
      </w:r>
      <w:r>
        <w:rPr>
          <w:rFonts w:ascii="Book Antiqua" w:hAnsi="Book Antiqua" w:cs="Arial"/>
          <w:sz w:val="24"/>
          <w:szCs w:val="24"/>
        </w:rPr>
        <w:t>mo</w:t>
      </w:r>
      <w:r w:rsidRPr="00E90188">
        <w:rPr>
          <w:rFonts w:ascii="Book Antiqua" w:hAnsi="Book Antiqua" w:cs="Arial"/>
          <w:sz w:val="24"/>
          <w:szCs w:val="24"/>
        </w:rPr>
        <w:t xml:space="preserve"> </w:t>
      </w:r>
      <w:r w:rsidRPr="00E90188">
        <w:rPr>
          <w:rFonts w:ascii="Book Antiqua" w:hAnsi="Book Antiqua" w:cs="AdvPTimes"/>
          <w:sz w:val="24"/>
          <w:szCs w:val="24"/>
        </w:rPr>
        <w:t xml:space="preserve">(95%CI: 8.2–24.5). </w:t>
      </w:r>
      <w:r w:rsidRPr="00E90188">
        <w:rPr>
          <w:rFonts w:ascii="Book Antiqua" w:eastAsia="OTNEJMQuadraat" w:hAnsi="Book Antiqua" w:cs="OTNEJMQuadraat"/>
          <w:sz w:val="24"/>
          <w:szCs w:val="24"/>
        </w:rPr>
        <w:t>Furthermore, a single-institution Phase II trial (</w:t>
      </w:r>
      <w:r w:rsidRPr="00E90188">
        <w:rPr>
          <w:rFonts w:ascii="Book Antiqua" w:eastAsia="OTNEJMQuadraat" w:hAnsi="Book Antiqua" w:cs="OTNEJMQuadraat"/>
          <w:i/>
          <w:sz w:val="24"/>
          <w:szCs w:val="24"/>
        </w:rPr>
        <w:t xml:space="preserve">n </w:t>
      </w:r>
      <w:r w:rsidRPr="00E90188">
        <w:rPr>
          <w:rFonts w:ascii="Book Antiqua" w:eastAsia="OTNEJMQuadraat" w:hAnsi="Book Antiqua" w:cs="OTNEJMQuadraat"/>
          <w:sz w:val="24"/>
          <w:szCs w:val="24"/>
        </w:rPr>
        <w:t>= 48) has also shown that erlotinib can be safely utilised alongside capecitabine and chemoradiotherapy</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1"/>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Currently, erlotinib is being trialled both in combination with gemcitabine versus gemcitabine alone</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2"/>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and in a separate trial this will be followed by a course of either capecitabine or 5-FU chemoradiotherapy</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3"/>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w:t>
      </w:r>
    </w:p>
    <w:p w:rsidR="00A06E23" w:rsidRPr="00E90188" w:rsidRDefault="00A06E23" w:rsidP="00C962AB">
      <w:pPr>
        <w:autoSpaceDE w:val="0"/>
        <w:autoSpaceDN w:val="0"/>
        <w:adjustRightInd w:val="0"/>
        <w:spacing w:after="0" w:line="360" w:lineRule="auto"/>
        <w:ind w:firstLine="720"/>
        <w:jc w:val="both"/>
        <w:rPr>
          <w:rFonts w:ascii="Book Antiqua" w:hAnsi="Book Antiqua" w:cs="Arial"/>
          <w:sz w:val="24"/>
          <w:szCs w:val="24"/>
        </w:rPr>
      </w:pPr>
      <w:r w:rsidRPr="00E90188">
        <w:rPr>
          <w:rFonts w:ascii="Book Antiqua" w:eastAsia="OTNEJMQuadraat" w:hAnsi="Book Antiqua" w:cs="OTNEJMQuadraat"/>
          <w:sz w:val="24"/>
          <w:szCs w:val="24"/>
        </w:rPr>
        <w:t xml:space="preserve">Platinum compounds have been safely used in the various pancreatic cancer trials, though particularly encouraging results have been achieved in the neoadjuvant setting. Heinrich </w:t>
      </w:r>
      <w:r w:rsidRPr="00E90188">
        <w:rPr>
          <w:rFonts w:ascii="Book Antiqua" w:eastAsia="OTNEJMQuadraat" w:hAnsi="Book Antiqua" w:cs="OTNEJMQuadraat"/>
          <w:i/>
          <w:sz w:val="24"/>
          <w:szCs w:val="24"/>
        </w:rPr>
        <w:t>et al</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4"/>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prescribed 28 patients a two month neoadjuvant course of gemcitabine and cisplatin. In addition to evidence of a histological response in over half of patients, </w:t>
      </w:r>
      <w:r w:rsidRPr="00E90188">
        <w:rPr>
          <w:rFonts w:ascii="Book Antiqua" w:hAnsi="Book Antiqua" w:cs="Arial"/>
          <w:sz w:val="24"/>
          <w:szCs w:val="24"/>
        </w:rPr>
        <w:t xml:space="preserve">surgery following this neoadjuvant regimen was safe, leading to a median survival of 26.5 </w:t>
      </w:r>
      <w:r>
        <w:rPr>
          <w:rFonts w:ascii="Book Antiqua" w:hAnsi="Book Antiqua" w:cs="Arial"/>
          <w:sz w:val="24"/>
          <w:szCs w:val="24"/>
        </w:rPr>
        <w:t>mo</w:t>
      </w:r>
      <w:r w:rsidRPr="00E90188">
        <w:rPr>
          <w:rFonts w:ascii="Book Antiqua" w:hAnsi="Book Antiqua" w:cs="Arial"/>
          <w:sz w:val="24"/>
          <w:szCs w:val="24"/>
        </w:rPr>
        <w:t>. A separate phase II study</w:t>
      </w:r>
      <w:r w:rsidRPr="00E90188">
        <w:rPr>
          <w:rStyle w:val="a4"/>
          <w:rFonts w:ascii="Book Antiqua" w:hAnsi="Book Antiqua" w:cs="Arial"/>
          <w:sz w:val="24"/>
          <w:szCs w:val="24"/>
        </w:rPr>
        <w:t>[</w:t>
      </w:r>
      <w:r w:rsidRPr="00E90188">
        <w:rPr>
          <w:rStyle w:val="a4"/>
          <w:rFonts w:ascii="Book Antiqua" w:hAnsi="Book Antiqua" w:cs="Arial"/>
          <w:sz w:val="24"/>
          <w:szCs w:val="24"/>
        </w:rPr>
        <w:endnoteReference w:id="55"/>
      </w:r>
      <w:r w:rsidRPr="00E90188">
        <w:rPr>
          <w:rStyle w:val="a4"/>
          <w:rFonts w:ascii="Book Antiqua" w:hAnsi="Book Antiqua" w:cs="Arial"/>
          <w:sz w:val="24"/>
          <w:szCs w:val="24"/>
        </w:rPr>
        <w:t xml:space="preserve">] </w:t>
      </w:r>
      <w:r w:rsidRPr="00E90188">
        <w:rPr>
          <w:rFonts w:ascii="Book Antiqua" w:hAnsi="Book Antiqua" w:cs="Arial"/>
          <w:sz w:val="24"/>
          <w:szCs w:val="24"/>
        </w:rPr>
        <w:t xml:space="preserve">administered neoadjuvant gemcitabine plus the platinum agent oxaliplatin to 33 patients – 18 with unresectable disease and 15 with borderline resectable disease. Following treatment 13/33 underwent resection with over two-thirds of these patients undergoing an R0 resection. Resection improved median overall survival to 22 </w:t>
      </w:r>
      <w:r>
        <w:rPr>
          <w:rFonts w:ascii="Book Antiqua" w:hAnsi="Book Antiqua" w:cs="Arial"/>
          <w:sz w:val="24"/>
          <w:szCs w:val="24"/>
        </w:rPr>
        <w:t>mo</w:t>
      </w:r>
      <w:r w:rsidRPr="00E90188">
        <w:rPr>
          <w:rFonts w:ascii="Book Antiqua" w:hAnsi="Book Antiqua" w:cs="Arial"/>
          <w:sz w:val="24"/>
          <w:szCs w:val="24"/>
        </w:rPr>
        <w:t xml:space="preserve"> (95%CI: 14-30) compared to 12 </w:t>
      </w:r>
      <w:r>
        <w:rPr>
          <w:rFonts w:ascii="Book Antiqua" w:hAnsi="Book Antiqua" w:cs="Arial"/>
          <w:sz w:val="24"/>
          <w:szCs w:val="24"/>
        </w:rPr>
        <w:t>mo</w:t>
      </w:r>
      <w:r w:rsidRPr="00E90188">
        <w:rPr>
          <w:rFonts w:ascii="Book Antiqua" w:hAnsi="Book Antiqua" w:cs="Arial"/>
          <w:sz w:val="24"/>
          <w:szCs w:val="24"/>
        </w:rPr>
        <w:t xml:space="preserve"> (95%CI: 9-15) in those treated non-surgically (</w:t>
      </w:r>
      <w:r w:rsidRPr="00E90188">
        <w:rPr>
          <w:rFonts w:ascii="Book Antiqua" w:hAnsi="Book Antiqua" w:cs="Arial"/>
          <w:i/>
          <w:sz w:val="24"/>
          <w:szCs w:val="24"/>
        </w:rPr>
        <w:t>P</w:t>
      </w:r>
      <w:r w:rsidRPr="00E90188">
        <w:rPr>
          <w:rFonts w:ascii="Book Antiqua" w:hAnsi="Book Antiqua" w:cs="Arial"/>
          <w:sz w:val="24"/>
          <w:szCs w:val="24"/>
        </w:rPr>
        <w:t xml:space="preserve"> = 0.046).</w:t>
      </w:r>
    </w:p>
    <w:p w:rsidR="00A06E23" w:rsidRPr="00E90188" w:rsidRDefault="00A06E23" w:rsidP="00C962AB">
      <w:pPr>
        <w:autoSpaceDE w:val="0"/>
        <w:autoSpaceDN w:val="0"/>
        <w:adjustRightInd w:val="0"/>
        <w:spacing w:after="0" w:line="360" w:lineRule="auto"/>
        <w:ind w:firstLine="720"/>
        <w:jc w:val="both"/>
        <w:rPr>
          <w:rFonts w:ascii="Book Antiqua" w:eastAsia="OTNEJMQuadraat" w:hAnsi="Book Antiqua" w:cs="OTNEJMQuadraat"/>
          <w:sz w:val="24"/>
          <w:szCs w:val="24"/>
        </w:rPr>
      </w:pPr>
      <w:r w:rsidRPr="00E90188">
        <w:rPr>
          <w:rFonts w:ascii="Book Antiqua" w:eastAsia="OTNEJMQuadraat" w:hAnsi="Book Antiqua" w:cs="OTNEJMQuadraat"/>
          <w:sz w:val="24"/>
          <w:szCs w:val="24"/>
        </w:rPr>
        <w:t xml:space="preserve">On the basis of these encouraging results, phase III trials are now incorporating platinum agents into their chemotherapy regimens. The Hyperthermia </w:t>
      </w:r>
      <w:r w:rsidRPr="00E90188">
        <w:rPr>
          <w:rFonts w:ascii="Book Antiqua" w:eastAsia="OTNEJMQuadraat" w:hAnsi="Book Antiqua" w:cs="OTNEJMQuadraat"/>
          <w:sz w:val="24"/>
          <w:szCs w:val="24"/>
        </w:rPr>
        <w:lastRenderedPageBreak/>
        <w:t>European Adjuvant Trial (HEAT) study</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6"/>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will compare adjuvant gemcitabine to adjuvant gemcitabine plus capecitabine plus regional hyperthermia treatment – a regime that has previously been utilised with low reported toxicity. It has been shown that heat can increase the cytotoxicity of certain chemotherapeutic agents</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7"/>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including gemcitabine</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8"/>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in </w:t>
      </w:r>
      <w:r w:rsidRPr="00E90188">
        <w:rPr>
          <w:rFonts w:ascii="Book Antiqua" w:eastAsia="OTNEJMQuadraat" w:hAnsi="Book Antiqua" w:cs="OTNEJMQuadraat"/>
          <w:i/>
          <w:sz w:val="24"/>
          <w:szCs w:val="24"/>
        </w:rPr>
        <w:t>in vitro</w:t>
      </w:r>
      <w:r w:rsidRPr="00E90188">
        <w:rPr>
          <w:rFonts w:ascii="Book Antiqua" w:eastAsia="OTNEJMQuadraat" w:hAnsi="Book Antiqua" w:cs="OTNEJMQuadraat"/>
          <w:sz w:val="24"/>
          <w:szCs w:val="24"/>
        </w:rPr>
        <w:t xml:space="preserve"> experiment with pancreatic cancer cell lines. One phase II study</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59"/>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lang w:eastAsia="zh-CN"/>
        </w:rPr>
        <w:t xml:space="preserve"> </w:t>
      </w:r>
      <w:r w:rsidRPr="00E90188">
        <w:rPr>
          <w:rFonts w:ascii="Book Antiqua" w:eastAsia="OTNEJMQuadraat" w:hAnsi="Book Antiqua" w:cs="OTNEJMQuadraat"/>
          <w:sz w:val="24"/>
          <w:szCs w:val="24"/>
        </w:rPr>
        <w:t>combined gemcitabine with regional heat treatment in the treatment of both metastatic and locally advanced disease. Median survival was 8 months in the entire study population, but extended to 17.7 months in those with localised disease. More recently, a retrospective analysis of 23 patients with gemcitabine refractory inoperable disease was published</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60"/>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whereby patients received gemcitabine plus cisplatin alongside regional hyperthermia biweekly for four months. Though 21/23 patients suffered from metastatic disease at recruitment, a median overall survival of 12.9 was achieved (95%CI: 9.9-15.9).</w:t>
      </w:r>
    </w:p>
    <w:p w:rsidR="00A06E23" w:rsidRPr="00E90188" w:rsidRDefault="00A06E23" w:rsidP="00C962AB">
      <w:pPr>
        <w:autoSpaceDE w:val="0"/>
        <w:autoSpaceDN w:val="0"/>
        <w:adjustRightInd w:val="0"/>
        <w:spacing w:after="0" w:line="360" w:lineRule="auto"/>
        <w:ind w:firstLine="720"/>
        <w:jc w:val="both"/>
        <w:rPr>
          <w:rFonts w:ascii="Book Antiqua" w:eastAsia="OTNEJMQuadraat" w:hAnsi="Book Antiqua" w:cs="OTNEJMQuadraat"/>
          <w:sz w:val="24"/>
          <w:szCs w:val="24"/>
        </w:rPr>
      </w:pPr>
      <w:r w:rsidRPr="00E90188">
        <w:rPr>
          <w:rFonts w:ascii="Book Antiqua" w:eastAsia="OTNEJMQuadraat" w:hAnsi="Book Antiqua" w:cs="OTNEJMQuadraat"/>
          <w:sz w:val="24"/>
          <w:szCs w:val="24"/>
        </w:rPr>
        <w:t>One of the more recent Phase III studies to be approved is to trial adjuvant gemcitabine versus a combination of gemcitabine and the taxane, nabpaclitaxel</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61"/>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This combination has already been shown to be superior to gemcitabine alone in advanced pancreatic cancer in a large Phase III trial</w:t>
      </w:r>
      <w:r w:rsidRPr="00E90188">
        <w:rPr>
          <w:rStyle w:val="a4"/>
          <w:rFonts w:ascii="Book Antiqua" w:eastAsia="OTNEJMQuadraat" w:hAnsi="Book Antiqua" w:cs="OTNEJMQuadraat"/>
          <w:sz w:val="24"/>
          <w:szCs w:val="24"/>
        </w:rPr>
        <w:t>[</w:t>
      </w:r>
      <w:r w:rsidRPr="00E90188">
        <w:rPr>
          <w:rStyle w:val="a4"/>
          <w:rFonts w:ascii="Book Antiqua" w:eastAsia="OTNEJMQuadraat" w:hAnsi="Book Antiqua" w:cs="OTNEJMQuadraat"/>
          <w:sz w:val="24"/>
          <w:szCs w:val="24"/>
        </w:rPr>
        <w:endnoteReference w:id="62"/>
      </w:r>
      <w:r w:rsidRPr="00E90188">
        <w:rPr>
          <w:rStyle w:val="a4"/>
          <w:rFonts w:ascii="Book Antiqua" w:eastAsia="OTNEJMQuadraat" w:hAnsi="Book Antiqua" w:cs="OTNEJMQuadraat"/>
          <w:sz w:val="24"/>
          <w:szCs w:val="24"/>
        </w:rPr>
        <w:t>]</w:t>
      </w:r>
      <w:r w:rsidRPr="00E90188">
        <w:rPr>
          <w:rFonts w:ascii="Book Antiqua" w:eastAsia="OTNEJMQuadraat" w:hAnsi="Book Antiqua" w:cs="OTNEJMQuadraat"/>
          <w:sz w:val="24"/>
          <w:szCs w:val="24"/>
        </w:rPr>
        <w:t xml:space="preserve"> (</w:t>
      </w:r>
      <w:r w:rsidRPr="00E90188">
        <w:rPr>
          <w:rFonts w:ascii="Book Antiqua" w:eastAsia="OTNEJMQuadraat" w:hAnsi="Book Antiqua" w:cs="OTNEJMQuadraat"/>
          <w:i/>
          <w:sz w:val="24"/>
          <w:szCs w:val="24"/>
        </w:rPr>
        <w:t xml:space="preserve">n </w:t>
      </w:r>
      <w:r w:rsidRPr="00E90188">
        <w:rPr>
          <w:rFonts w:ascii="Book Antiqua" w:eastAsia="OTNEJMQuadraat" w:hAnsi="Book Antiqua" w:cs="OTNEJMQuadraat"/>
          <w:sz w:val="24"/>
          <w:szCs w:val="24"/>
        </w:rPr>
        <w:t xml:space="preserve">= 861), where progression free survival improved from 3.7 to 5.5 </w:t>
      </w:r>
      <w:r>
        <w:rPr>
          <w:rFonts w:ascii="Book Antiqua" w:hAnsi="Book Antiqua" w:cs="Arial"/>
          <w:sz w:val="24"/>
          <w:szCs w:val="24"/>
        </w:rPr>
        <w:t>mo</w:t>
      </w:r>
      <w:r w:rsidRPr="00E90188">
        <w:rPr>
          <w:rFonts w:ascii="Book Antiqua" w:hAnsi="Book Antiqua" w:cs="Arial"/>
          <w:sz w:val="24"/>
          <w:szCs w:val="24"/>
        </w:rPr>
        <w:t xml:space="preserve"> </w:t>
      </w:r>
      <w:r w:rsidRPr="00E90188">
        <w:rPr>
          <w:rFonts w:ascii="Book Antiqua" w:eastAsia="OTNEJMQuadraat" w:hAnsi="Book Antiqua" w:cs="OTNEJMQuadraat"/>
          <w:sz w:val="24"/>
          <w:szCs w:val="24"/>
        </w:rPr>
        <w:t xml:space="preserve">and overall survival growing from 6.7 to 8.5 </w:t>
      </w:r>
      <w:r>
        <w:rPr>
          <w:rFonts w:ascii="Book Antiqua" w:hAnsi="Book Antiqua" w:cs="Arial"/>
          <w:sz w:val="24"/>
          <w:szCs w:val="24"/>
        </w:rPr>
        <w:t>mo</w:t>
      </w:r>
      <w:r w:rsidRPr="00E90188">
        <w:rPr>
          <w:rFonts w:ascii="Book Antiqua" w:hAnsi="Book Antiqua" w:cs="Arial"/>
          <w:sz w:val="24"/>
          <w:szCs w:val="24"/>
        </w:rPr>
        <w:t xml:space="preserve"> </w:t>
      </w:r>
      <w:r w:rsidRPr="00E90188">
        <w:rPr>
          <w:rFonts w:ascii="Book Antiqua" w:eastAsia="OTNEJMQuadraat" w:hAnsi="Book Antiqua" w:cs="OTNEJMQuadraat"/>
          <w:sz w:val="24"/>
          <w:szCs w:val="24"/>
        </w:rPr>
        <w:t xml:space="preserve">(HR for disease progression or death 0.69, 95%CI: 0.58–0.82, </w:t>
      </w:r>
      <w:r w:rsidRPr="00E90188">
        <w:rPr>
          <w:rFonts w:ascii="Book Antiqua" w:eastAsia="OTNEJMQuadraat" w:hAnsi="Book Antiqua" w:cs="OTNEJMQuadraat"/>
          <w:i/>
          <w:sz w:val="24"/>
          <w:szCs w:val="24"/>
        </w:rPr>
        <w:t>P</w:t>
      </w:r>
      <w:r w:rsidRPr="00E90188">
        <w:rPr>
          <w:rFonts w:ascii="Book Antiqua" w:eastAsia="OTNEJMQuadraat" w:hAnsi="Book Antiqua" w:cs="OTNEJMQuadraat"/>
          <w:sz w:val="24"/>
          <w:szCs w:val="24"/>
        </w:rPr>
        <w:t xml:space="preserve"> &lt; 0.001). Though not yet active, the results of this promising large international multicentre trial are already much anticipated.</w:t>
      </w:r>
    </w:p>
    <w:p w:rsidR="00A06E23" w:rsidRPr="00E90188" w:rsidRDefault="00A06E23" w:rsidP="00C962AB">
      <w:pPr>
        <w:autoSpaceDE w:val="0"/>
        <w:autoSpaceDN w:val="0"/>
        <w:adjustRightInd w:val="0"/>
        <w:spacing w:after="0" w:line="360" w:lineRule="auto"/>
        <w:jc w:val="both"/>
        <w:rPr>
          <w:rFonts w:ascii="Book Antiqua" w:eastAsia="OTNEJMQuadraat" w:hAnsi="Book Antiqua" w:cs="OTNEJMQuadraat"/>
          <w:b/>
          <w:sz w:val="24"/>
          <w:szCs w:val="24"/>
        </w:rPr>
      </w:pPr>
    </w:p>
    <w:p w:rsidR="00A06E23" w:rsidRPr="00E90188" w:rsidRDefault="00A06E23" w:rsidP="00C962AB">
      <w:pPr>
        <w:autoSpaceDE w:val="0"/>
        <w:autoSpaceDN w:val="0"/>
        <w:adjustRightInd w:val="0"/>
        <w:spacing w:after="0" w:line="360" w:lineRule="auto"/>
        <w:jc w:val="both"/>
        <w:rPr>
          <w:rFonts w:ascii="Book Antiqua" w:eastAsia="OTNEJMQuadraat" w:hAnsi="Book Antiqua" w:cs="OTNEJMQuadraat"/>
          <w:b/>
          <w:sz w:val="24"/>
          <w:szCs w:val="24"/>
        </w:rPr>
      </w:pPr>
      <w:r w:rsidRPr="00E90188">
        <w:rPr>
          <w:rFonts w:ascii="Book Antiqua" w:eastAsia="OTNEJMQuadraat" w:hAnsi="Book Antiqua" w:cs="OTNEJMQuadraat"/>
          <w:b/>
          <w:sz w:val="24"/>
          <w:szCs w:val="24"/>
        </w:rPr>
        <w:t>CONCLUSION</w:t>
      </w:r>
    </w:p>
    <w:p w:rsidR="00A06E23" w:rsidRPr="00E90188" w:rsidRDefault="00A06E23" w:rsidP="00C962AB">
      <w:pPr>
        <w:autoSpaceDE w:val="0"/>
        <w:autoSpaceDN w:val="0"/>
        <w:adjustRightInd w:val="0"/>
        <w:spacing w:after="0" w:line="360" w:lineRule="auto"/>
        <w:jc w:val="both"/>
        <w:rPr>
          <w:rFonts w:ascii="Book Antiqua" w:eastAsia="OTNEJMQuadraat" w:hAnsi="Book Antiqua" w:cs="OTNEJMQuadraat"/>
          <w:sz w:val="24"/>
          <w:szCs w:val="24"/>
        </w:rPr>
      </w:pPr>
      <w:r w:rsidRPr="00E90188">
        <w:rPr>
          <w:rFonts w:ascii="Book Antiqua" w:eastAsia="OTNEJMQuadraat" w:hAnsi="Book Antiqua" w:cs="OTNEJMQuadraat"/>
          <w:sz w:val="24"/>
          <w:szCs w:val="24"/>
        </w:rPr>
        <w:t>Pancreatic cancer remains a substantial challenge for surgeons and oncologists alike. Surgical resection remains the foundation for any patient with resectable disease. There is now irrefutable evidence that adjuvant chemotherapy improves both overall and disease-free survival and several phase III trials are currently in progress aiming to challenge gemcitabine as the gold standard adjuvant drug. The evidence for adjuvant chemoradiotherapy in large Phase III trials is lacking and can therefore not be recommended as standard therapy.</w:t>
      </w:r>
      <w:r w:rsidRPr="00E90188">
        <w:rPr>
          <w:rFonts w:ascii="Book Antiqua" w:eastAsia="OTNEJMQuadraat" w:hAnsi="Book Antiqua" w:cs="OTNEJMQuadraat"/>
          <w:sz w:val="24"/>
          <w:szCs w:val="24"/>
          <w:lang w:eastAsia="zh-CN"/>
        </w:rPr>
        <w:t xml:space="preserve"> </w:t>
      </w:r>
      <w:r w:rsidRPr="00E90188">
        <w:rPr>
          <w:rFonts w:ascii="Book Antiqua" w:eastAsia="OTNEJMQuadraat" w:hAnsi="Book Antiqua" w:cs="OTNEJMQuadraat"/>
          <w:sz w:val="24"/>
          <w:szCs w:val="24"/>
        </w:rPr>
        <w:t>Future adjuvant RCTs will compare approaches using combination therapies to attempt to improve the outlook.</w:t>
      </w:r>
    </w:p>
    <w:p w:rsidR="00A06E23" w:rsidRPr="00E90188" w:rsidRDefault="00A06E23" w:rsidP="00C962AB">
      <w:pPr>
        <w:spacing w:after="0" w:line="360" w:lineRule="auto"/>
        <w:jc w:val="both"/>
        <w:rPr>
          <w:rFonts w:ascii="Book Antiqua" w:hAnsi="Book Antiqua" w:cs="Arial"/>
          <w:sz w:val="24"/>
          <w:szCs w:val="24"/>
          <w:lang w:eastAsia="zh-CN"/>
        </w:rPr>
      </w:pPr>
    </w:p>
    <w:p w:rsidR="00A06E23" w:rsidRPr="007B605F" w:rsidRDefault="00A06E23" w:rsidP="00C962AB">
      <w:pPr>
        <w:spacing w:after="0" w:line="360" w:lineRule="auto"/>
        <w:jc w:val="both"/>
        <w:rPr>
          <w:rFonts w:ascii="Book Antiqua" w:hAnsi="Book Antiqua" w:cs="Arial"/>
          <w:b/>
          <w:sz w:val="24"/>
          <w:szCs w:val="24"/>
          <w:lang w:val="de-DE"/>
        </w:rPr>
      </w:pPr>
      <w:r w:rsidRPr="007B605F">
        <w:rPr>
          <w:rFonts w:ascii="Book Antiqua" w:hAnsi="Book Antiqua" w:cs="Arial"/>
          <w:b/>
          <w:sz w:val="24"/>
          <w:szCs w:val="24"/>
          <w:lang w:val="de-DE"/>
        </w:rPr>
        <w:t>REFERENCES</w:t>
      </w:r>
    </w:p>
    <w:p w:rsidR="00A06E23" w:rsidRPr="00E90188" w:rsidRDefault="00A06E23" w:rsidP="00C962AB">
      <w:pPr>
        <w:spacing w:after="0" w:line="360" w:lineRule="auto"/>
        <w:jc w:val="both"/>
        <w:rPr>
          <w:rFonts w:ascii="Book Antiqua" w:hAnsi="Book Antiqua" w:cs="宋体"/>
          <w:sz w:val="24"/>
          <w:szCs w:val="24"/>
        </w:rPr>
      </w:pPr>
      <w:r w:rsidRPr="007B605F">
        <w:rPr>
          <w:rFonts w:ascii="Book Antiqua" w:hAnsi="Book Antiqua" w:cs="宋体"/>
          <w:sz w:val="24"/>
          <w:szCs w:val="24"/>
          <w:lang w:val="de-DE"/>
        </w:rPr>
        <w:t>1 </w:t>
      </w:r>
      <w:r w:rsidRPr="007B605F">
        <w:rPr>
          <w:rFonts w:ascii="Book Antiqua" w:hAnsi="Book Antiqua" w:cs="宋体"/>
          <w:b/>
          <w:bCs/>
          <w:sz w:val="24"/>
          <w:szCs w:val="24"/>
          <w:lang w:val="de-DE"/>
        </w:rPr>
        <w:t>Jemal A</w:t>
      </w:r>
      <w:r w:rsidRPr="007B605F">
        <w:rPr>
          <w:rFonts w:ascii="Book Antiqua" w:hAnsi="Book Antiqua" w:cs="宋体"/>
          <w:sz w:val="24"/>
          <w:szCs w:val="24"/>
          <w:lang w:val="de-DE"/>
        </w:rPr>
        <w:t xml:space="preserve">, Siegel R, Ward E, Murray T, Xu J, Thun MJ. </w:t>
      </w:r>
      <w:r w:rsidRPr="00E90188">
        <w:rPr>
          <w:rFonts w:ascii="Book Antiqua" w:hAnsi="Book Antiqua" w:cs="宋体"/>
          <w:sz w:val="24"/>
          <w:szCs w:val="24"/>
        </w:rPr>
        <w:t>Cancer statistics, 2007. </w:t>
      </w:r>
      <w:r w:rsidRPr="00E90188">
        <w:rPr>
          <w:rFonts w:ascii="Book Antiqua" w:hAnsi="Book Antiqua" w:cs="宋体"/>
          <w:i/>
          <w:iCs/>
          <w:sz w:val="24"/>
          <w:szCs w:val="24"/>
        </w:rPr>
        <w:t>CA Cancer J Clin</w:t>
      </w:r>
      <w:r w:rsidRPr="00E90188">
        <w:rPr>
          <w:rFonts w:ascii="Book Antiqua" w:hAnsi="Book Antiqua" w:cs="宋体"/>
          <w:sz w:val="24"/>
          <w:szCs w:val="24"/>
        </w:rPr>
        <w:t> </w:t>
      </w:r>
      <w:r>
        <w:rPr>
          <w:rFonts w:ascii="Book Antiqua" w:hAnsi="Book Antiqua" w:cs="宋体"/>
          <w:sz w:val="24"/>
          <w:szCs w:val="24"/>
          <w:lang w:eastAsia="zh-CN"/>
        </w:rPr>
        <w:t>2007</w:t>
      </w:r>
      <w:r w:rsidRPr="00E90188">
        <w:rPr>
          <w:rFonts w:ascii="Book Antiqua" w:hAnsi="Book Antiqua" w:cs="宋体"/>
          <w:sz w:val="24"/>
          <w:szCs w:val="24"/>
        </w:rPr>
        <w:t>; </w:t>
      </w:r>
      <w:r w:rsidRPr="00E90188">
        <w:rPr>
          <w:rFonts w:ascii="Book Antiqua" w:hAnsi="Book Antiqua" w:cs="宋体"/>
          <w:b/>
          <w:bCs/>
          <w:sz w:val="24"/>
          <w:szCs w:val="24"/>
        </w:rPr>
        <w:t>57</w:t>
      </w:r>
      <w:r w:rsidRPr="00E90188">
        <w:rPr>
          <w:rFonts w:ascii="Book Antiqua" w:hAnsi="Book Antiqua" w:cs="宋体"/>
          <w:sz w:val="24"/>
          <w:szCs w:val="24"/>
        </w:rPr>
        <w:t>: 43-66 [PMID: 17237035 DOI: 10.3322/canjclin.57.1.43]</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 xml:space="preserve">2 </w:t>
      </w:r>
      <w:r w:rsidRPr="00F8696E">
        <w:rPr>
          <w:rFonts w:ascii="Book Antiqua" w:hAnsi="Book Antiqua" w:cs="宋体"/>
          <w:b/>
          <w:sz w:val="24"/>
          <w:szCs w:val="24"/>
        </w:rPr>
        <w:t xml:space="preserve">World Cancer Research Fund International. </w:t>
      </w:r>
      <w:r w:rsidRPr="00E90188">
        <w:rPr>
          <w:rFonts w:ascii="Book Antiqua" w:hAnsi="Book Antiqua" w:cs="宋体"/>
          <w:sz w:val="24"/>
          <w:szCs w:val="24"/>
        </w:rPr>
        <w:t>Available from</w:t>
      </w:r>
      <w:r>
        <w:rPr>
          <w:rFonts w:ascii="Book Antiqua" w:hAnsi="Book Antiqua" w:cs="宋体"/>
          <w:sz w:val="24"/>
          <w:szCs w:val="24"/>
        </w:rPr>
        <w:t>:</w:t>
      </w:r>
      <w:r w:rsidRPr="00E90188">
        <w:rPr>
          <w:rFonts w:ascii="Book Antiqua" w:hAnsi="Book Antiqua" w:cs="宋体"/>
          <w:sz w:val="24"/>
          <w:szCs w:val="24"/>
        </w:rPr>
        <w:t xml:space="preserve"> URL: http: //www.wcrf.org/cancer_statistics/world_cancer_statistics.php</w:t>
      </w:r>
    </w:p>
    <w:p w:rsidR="00A06E23" w:rsidRPr="00E90188" w:rsidRDefault="00A06E23" w:rsidP="00C962AB">
      <w:pPr>
        <w:spacing w:after="0" w:line="360" w:lineRule="auto"/>
        <w:jc w:val="both"/>
        <w:rPr>
          <w:rFonts w:ascii="Book Antiqua" w:hAnsi="Book Antiqua" w:cs="宋体"/>
          <w:sz w:val="24"/>
          <w:szCs w:val="24"/>
        </w:rPr>
      </w:pPr>
      <w:r w:rsidRPr="007B605F">
        <w:rPr>
          <w:rFonts w:ascii="Book Antiqua" w:hAnsi="Book Antiqua" w:cs="宋体"/>
          <w:sz w:val="24"/>
          <w:szCs w:val="24"/>
          <w:lang w:val="de-DE"/>
        </w:rPr>
        <w:t>3 </w:t>
      </w:r>
      <w:r w:rsidRPr="007B605F">
        <w:rPr>
          <w:rFonts w:ascii="Book Antiqua" w:hAnsi="Book Antiqua" w:cs="宋体"/>
          <w:b/>
          <w:bCs/>
          <w:sz w:val="24"/>
          <w:szCs w:val="24"/>
          <w:lang w:val="de-DE"/>
        </w:rPr>
        <w:t>Wagner M</w:t>
      </w:r>
      <w:r w:rsidRPr="007B605F">
        <w:rPr>
          <w:rFonts w:ascii="Book Antiqua" w:hAnsi="Book Antiqua" w:cs="宋体"/>
          <w:sz w:val="24"/>
          <w:szCs w:val="24"/>
          <w:lang w:val="de-DE"/>
        </w:rPr>
        <w:t xml:space="preserve">, Redaelli C, Lietz M, Seiler CA, Friess H, Büchler MW. </w:t>
      </w:r>
      <w:r w:rsidRPr="00E90188">
        <w:rPr>
          <w:rFonts w:ascii="Book Antiqua" w:hAnsi="Book Antiqua" w:cs="宋体"/>
          <w:sz w:val="24"/>
          <w:szCs w:val="24"/>
        </w:rPr>
        <w:t>Curative resection is the single most important factor determining outcome in patients with pancreatic adenocarcinoma. </w:t>
      </w:r>
      <w:r w:rsidRPr="00E90188">
        <w:rPr>
          <w:rFonts w:ascii="Book Antiqua" w:hAnsi="Book Antiqua" w:cs="宋体"/>
          <w:i/>
          <w:iCs/>
          <w:sz w:val="24"/>
          <w:szCs w:val="24"/>
        </w:rPr>
        <w:t>Br J Surg</w:t>
      </w:r>
      <w:r w:rsidRPr="00E90188">
        <w:rPr>
          <w:rFonts w:ascii="Book Antiqua" w:hAnsi="Book Antiqua" w:cs="宋体"/>
          <w:sz w:val="24"/>
          <w:szCs w:val="24"/>
        </w:rPr>
        <w:t> 2004; </w:t>
      </w:r>
      <w:r w:rsidRPr="00E90188">
        <w:rPr>
          <w:rFonts w:ascii="Book Antiqua" w:hAnsi="Book Antiqua" w:cs="宋体"/>
          <w:b/>
          <w:bCs/>
          <w:sz w:val="24"/>
          <w:szCs w:val="24"/>
        </w:rPr>
        <w:t>91</w:t>
      </w:r>
      <w:r w:rsidRPr="00E90188">
        <w:rPr>
          <w:rFonts w:ascii="Book Antiqua" w:hAnsi="Book Antiqua" w:cs="宋体"/>
          <w:sz w:val="24"/>
          <w:szCs w:val="24"/>
        </w:rPr>
        <w:t>: 586-594 [PMID: 15122610 DOI: 10.1002/bjs.4484]</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4 </w:t>
      </w:r>
      <w:r w:rsidRPr="00E90188">
        <w:rPr>
          <w:rFonts w:ascii="Book Antiqua" w:hAnsi="Book Antiqua" w:cs="宋体"/>
          <w:b/>
          <w:bCs/>
          <w:sz w:val="24"/>
          <w:szCs w:val="24"/>
        </w:rPr>
        <w:t>Zimmerman SE</w:t>
      </w:r>
      <w:r w:rsidRPr="00E90188">
        <w:rPr>
          <w:rFonts w:ascii="Book Antiqua" w:hAnsi="Book Antiqua" w:cs="宋体"/>
          <w:sz w:val="24"/>
          <w:szCs w:val="24"/>
        </w:rPr>
        <w:t>, Smith FP, Schein PS. Chemotherapy of pancreatic carcinoma. </w:t>
      </w:r>
      <w:r w:rsidRPr="00E90188">
        <w:rPr>
          <w:rFonts w:ascii="Book Antiqua" w:hAnsi="Book Antiqua" w:cs="宋体"/>
          <w:i/>
          <w:iCs/>
          <w:sz w:val="24"/>
          <w:szCs w:val="24"/>
        </w:rPr>
        <w:t>Cancer</w:t>
      </w:r>
      <w:r w:rsidRPr="00E90188">
        <w:rPr>
          <w:rFonts w:ascii="Book Antiqua" w:hAnsi="Book Antiqua" w:cs="宋体"/>
          <w:sz w:val="24"/>
          <w:szCs w:val="24"/>
        </w:rPr>
        <w:t> 1981; </w:t>
      </w:r>
      <w:r w:rsidRPr="00E90188">
        <w:rPr>
          <w:rFonts w:ascii="Book Antiqua" w:hAnsi="Book Antiqua" w:cs="宋体"/>
          <w:b/>
          <w:bCs/>
          <w:sz w:val="24"/>
          <w:szCs w:val="24"/>
        </w:rPr>
        <w:t>47</w:t>
      </w:r>
      <w:r w:rsidRPr="00E90188">
        <w:rPr>
          <w:rFonts w:ascii="Book Antiqua" w:hAnsi="Book Antiqua" w:cs="宋体"/>
          <w:sz w:val="24"/>
          <w:szCs w:val="24"/>
        </w:rPr>
        <w:t>: 1724-1728 [PMID: 6456058 DOI: 10.1002/1097-0142(19810315)47: 6]</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5 </w:t>
      </w:r>
      <w:r w:rsidRPr="00E90188">
        <w:rPr>
          <w:rFonts w:ascii="Book Antiqua" w:hAnsi="Book Antiqua" w:cs="宋体"/>
          <w:b/>
          <w:bCs/>
          <w:sz w:val="24"/>
          <w:szCs w:val="24"/>
        </w:rPr>
        <w:t>Mallinson CN</w:t>
      </w:r>
      <w:r w:rsidRPr="00E90188">
        <w:rPr>
          <w:rFonts w:ascii="Book Antiqua" w:hAnsi="Book Antiqua" w:cs="宋体"/>
          <w:sz w:val="24"/>
          <w:szCs w:val="24"/>
        </w:rPr>
        <w:t>, Rake MO, Cocking JB, Fox CA, Cwynarski MT, Diffey BL, Jackson GA, Hanley J, Wass VJ. Chemotherapy in pancreatic cancer: results of a controlled, prospective, randomised, multicentre trial. </w:t>
      </w:r>
      <w:r w:rsidRPr="00E90188">
        <w:rPr>
          <w:rFonts w:ascii="Book Antiqua" w:hAnsi="Book Antiqua" w:cs="宋体"/>
          <w:i/>
          <w:iCs/>
          <w:sz w:val="24"/>
          <w:szCs w:val="24"/>
        </w:rPr>
        <w:t>Br Med J</w:t>
      </w:r>
      <w:r w:rsidRPr="00E90188">
        <w:rPr>
          <w:rFonts w:ascii="Book Antiqua" w:hAnsi="Book Antiqua" w:cs="宋体"/>
          <w:sz w:val="24"/>
          <w:szCs w:val="24"/>
        </w:rPr>
        <w:t> 1980; </w:t>
      </w:r>
      <w:r w:rsidRPr="00E90188">
        <w:rPr>
          <w:rFonts w:ascii="Book Antiqua" w:hAnsi="Book Antiqua" w:cs="宋体"/>
          <w:b/>
          <w:bCs/>
          <w:sz w:val="24"/>
          <w:szCs w:val="24"/>
        </w:rPr>
        <w:t>281</w:t>
      </w:r>
      <w:r w:rsidRPr="00E90188">
        <w:rPr>
          <w:rFonts w:ascii="Book Antiqua" w:hAnsi="Book Antiqua" w:cs="宋体"/>
          <w:sz w:val="24"/>
          <w:szCs w:val="24"/>
        </w:rPr>
        <w:t>: 1589-1591 [PMID: 7004559 DOI: 10.1136/bmj.281.6255.1589]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6 </w:t>
      </w:r>
      <w:r w:rsidRPr="00E90188">
        <w:rPr>
          <w:rFonts w:ascii="Book Antiqua" w:hAnsi="Book Antiqua" w:cs="宋体"/>
          <w:b/>
          <w:bCs/>
          <w:sz w:val="24"/>
          <w:szCs w:val="24"/>
        </w:rPr>
        <w:t>Bakkevold KE</w:t>
      </w:r>
      <w:r w:rsidRPr="00E90188">
        <w:rPr>
          <w:rFonts w:ascii="Book Antiqua" w:hAnsi="Book Antiqua" w:cs="宋体"/>
          <w:sz w:val="24"/>
          <w:szCs w:val="24"/>
        </w:rPr>
        <w:t>, Arnesjø B, Dahl O, Kambestad B. Adjuvant combination chemotherapy (AMF) following radical resection of carcinoma of the pancreas and papilla of Vater--results of a controlled, prospective, randomised multicentre study. </w:t>
      </w:r>
      <w:r w:rsidRPr="00E90188">
        <w:rPr>
          <w:rFonts w:ascii="Book Antiqua" w:hAnsi="Book Antiqua" w:cs="宋体"/>
          <w:i/>
          <w:iCs/>
          <w:sz w:val="24"/>
          <w:szCs w:val="24"/>
        </w:rPr>
        <w:t>Eur J Cancer</w:t>
      </w:r>
      <w:r w:rsidRPr="00E90188">
        <w:rPr>
          <w:rFonts w:ascii="Book Antiqua" w:hAnsi="Book Antiqua" w:cs="宋体"/>
          <w:sz w:val="24"/>
          <w:szCs w:val="24"/>
        </w:rPr>
        <w:t> 1993; </w:t>
      </w:r>
      <w:r w:rsidRPr="00E90188">
        <w:rPr>
          <w:rFonts w:ascii="Book Antiqua" w:hAnsi="Book Antiqua" w:cs="宋体"/>
          <w:b/>
          <w:bCs/>
          <w:sz w:val="24"/>
          <w:szCs w:val="24"/>
        </w:rPr>
        <w:t>29A</w:t>
      </w:r>
      <w:r w:rsidRPr="00E90188">
        <w:rPr>
          <w:rFonts w:ascii="Book Antiqua" w:hAnsi="Book Antiqua" w:cs="宋体"/>
          <w:sz w:val="24"/>
          <w:szCs w:val="24"/>
        </w:rPr>
        <w:t>: 698-703 [PMID: 8471327 DOI: 10.1016/S0959-8049(05)80349-1]</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7 </w:t>
      </w:r>
      <w:r w:rsidRPr="00E90188">
        <w:rPr>
          <w:rFonts w:ascii="Book Antiqua" w:hAnsi="Book Antiqua" w:cs="宋体"/>
          <w:b/>
          <w:bCs/>
          <w:sz w:val="24"/>
          <w:szCs w:val="24"/>
        </w:rPr>
        <w:t>Neoptolemos JP</w:t>
      </w:r>
      <w:r w:rsidRPr="00E90188">
        <w:rPr>
          <w:rFonts w:ascii="Book Antiqua" w:hAnsi="Book Antiqua" w:cs="宋体"/>
          <w:sz w:val="24"/>
          <w:szCs w:val="24"/>
        </w:rPr>
        <w:t>, Dunn JA, Stocken DD, Almond J, Link K, Beger H, Bassi C, Falconi M, Pederzoli P, Dervenis C, Fernandez-Cruz L, Lacaine F, Pap A, Spooner D, Kerr DJ, Friess H, Büchler MW. Adjuvant chemoradiotherapy and chemotherapy in resectable pancreatic cancer: a randomised controlled trial. </w:t>
      </w:r>
      <w:r w:rsidRPr="00E90188">
        <w:rPr>
          <w:rFonts w:ascii="Book Antiqua" w:hAnsi="Book Antiqua" w:cs="宋体"/>
          <w:i/>
          <w:iCs/>
          <w:sz w:val="24"/>
          <w:szCs w:val="24"/>
        </w:rPr>
        <w:t>Lancet</w:t>
      </w:r>
      <w:r w:rsidRPr="00E90188">
        <w:rPr>
          <w:rFonts w:ascii="Book Antiqua" w:hAnsi="Book Antiqua" w:cs="宋体"/>
          <w:sz w:val="24"/>
          <w:szCs w:val="24"/>
        </w:rPr>
        <w:t> 2001; </w:t>
      </w:r>
      <w:r w:rsidRPr="00E90188">
        <w:rPr>
          <w:rFonts w:ascii="Book Antiqua" w:hAnsi="Book Antiqua" w:cs="宋体"/>
          <w:b/>
          <w:bCs/>
          <w:sz w:val="24"/>
          <w:szCs w:val="24"/>
        </w:rPr>
        <w:t>358</w:t>
      </w:r>
      <w:r w:rsidRPr="00E90188">
        <w:rPr>
          <w:rFonts w:ascii="Book Antiqua" w:hAnsi="Book Antiqua" w:cs="宋体"/>
          <w:sz w:val="24"/>
          <w:szCs w:val="24"/>
        </w:rPr>
        <w:t>: 1576-1585 [PMID: 11716884 DOI: 10.1016/S0140-6736(01)06651-X]</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8 </w:t>
      </w:r>
      <w:r w:rsidRPr="00E90188">
        <w:rPr>
          <w:rFonts w:ascii="Book Antiqua" w:hAnsi="Book Antiqua" w:cs="宋体"/>
          <w:b/>
          <w:bCs/>
          <w:sz w:val="24"/>
          <w:szCs w:val="24"/>
        </w:rPr>
        <w:t>Neoptolemos JP</w:t>
      </w:r>
      <w:r w:rsidRPr="00E90188">
        <w:rPr>
          <w:rFonts w:ascii="Book Antiqua" w:hAnsi="Book Antiqua" w:cs="宋体"/>
          <w:sz w:val="24"/>
          <w:szCs w:val="24"/>
        </w:rPr>
        <w:t xml:space="preserve">, Stocken DD, Friess H, Bassi C, Dunn JA, Hickey H, Beger H, Fernandez-Cruz L, Dervenis C, Lacaine F, Falconi M, Pederzoli P, Pap A, Spooner D, Kerr DJ, Büchler MW. A randomized trial of chemoradiotherapy and chemotherapy </w:t>
      </w:r>
      <w:r w:rsidRPr="00E90188">
        <w:rPr>
          <w:rFonts w:ascii="Book Antiqua" w:hAnsi="Book Antiqua" w:cs="宋体"/>
          <w:sz w:val="24"/>
          <w:szCs w:val="24"/>
        </w:rPr>
        <w:lastRenderedPageBreak/>
        <w:t>after resection of pancreatic cancer. </w:t>
      </w:r>
      <w:r w:rsidRPr="00E90188">
        <w:rPr>
          <w:rFonts w:ascii="Book Antiqua" w:hAnsi="Book Antiqua" w:cs="宋体"/>
          <w:i/>
          <w:iCs/>
          <w:sz w:val="24"/>
          <w:szCs w:val="24"/>
        </w:rPr>
        <w:t>N Engl J Med</w:t>
      </w:r>
      <w:r w:rsidRPr="00E90188">
        <w:rPr>
          <w:rFonts w:ascii="Book Antiqua" w:hAnsi="Book Antiqua" w:cs="宋体"/>
          <w:sz w:val="24"/>
          <w:szCs w:val="24"/>
        </w:rPr>
        <w:t> 2004; </w:t>
      </w:r>
      <w:r w:rsidRPr="00E90188">
        <w:rPr>
          <w:rFonts w:ascii="Book Antiqua" w:hAnsi="Book Antiqua" w:cs="宋体"/>
          <w:b/>
          <w:bCs/>
          <w:sz w:val="24"/>
          <w:szCs w:val="24"/>
        </w:rPr>
        <w:t>350</w:t>
      </w:r>
      <w:r w:rsidRPr="00E90188">
        <w:rPr>
          <w:rFonts w:ascii="Book Antiqua" w:hAnsi="Book Antiqua" w:cs="宋体"/>
          <w:sz w:val="24"/>
          <w:szCs w:val="24"/>
        </w:rPr>
        <w:t>: 1200-1210 [PMID: 15028824 DOI: 10.1056/NEJMoa032295]</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9 </w:t>
      </w:r>
      <w:r w:rsidRPr="00E90188">
        <w:rPr>
          <w:rFonts w:ascii="Book Antiqua" w:hAnsi="Book Antiqua" w:cs="宋体"/>
          <w:b/>
          <w:bCs/>
          <w:sz w:val="24"/>
          <w:szCs w:val="24"/>
        </w:rPr>
        <w:t>Takada T</w:t>
      </w:r>
      <w:r w:rsidRPr="00E90188">
        <w:rPr>
          <w:rFonts w:ascii="Book Antiqua" w:hAnsi="Book Antiqua" w:cs="宋体"/>
          <w:sz w:val="24"/>
          <w:szCs w:val="24"/>
        </w:rPr>
        <w:t>, Amano H, Yasuda H, Nimura Y, Matsushiro T, Kato H, Nagakawa T, Nakayama T. Is postoperative adjuvant chemotherapy useful for gallbladder carcinoma? A phase III multicenter prospective randomized controlled trial in patients with resected pancreaticobiliary carcinoma. </w:t>
      </w:r>
      <w:r w:rsidRPr="00E90188">
        <w:rPr>
          <w:rFonts w:ascii="Book Antiqua" w:hAnsi="Book Antiqua" w:cs="宋体"/>
          <w:i/>
          <w:iCs/>
          <w:sz w:val="24"/>
          <w:szCs w:val="24"/>
        </w:rPr>
        <w:t>Cancer</w:t>
      </w:r>
      <w:r w:rsidRPr="00E90188">
        <w:rPr>
          <w:rFonts w:ascii="Book Antiqua" w:hAnsi="Book Antiqua" w:cs="宋体"/>
          <w:sz w:val="24"/>
          <w:szCs w:val="24"/>
        </w:rPr>
        <w:t> 2002; </w:t>
      </w:r>
      <w:r w:rsidRPr="00E90188">
        <w:rPr>
          <w:rFonts w:ascii="Book Antiqua" w:hAnsi="Book Antiqua" w:cs="宋体"/>
          <w:b/>
          <w:bCs/>
          <w:sz w:val="24"/>
          <w:szCs w:val="24"/>
        </w:rPr>
        <w:t>95</w:t>
      </w:r>
      <w:r w:rsidRPr="00E90188">
        <w:rPr>
          <w:rFonts w:ascii="Book Antiqua" w:hAnsi="Book Antiqua" w:cs="宋体"/>
          <w:sz w:val="24"/>
          <w:szCs w:val="24"/>
        </w:rPr>
        <w:t>: 1685-1695 [PMID: 12365016 DOI: 10.1002/cncr.10831]</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10 </w:t>
      </w:r>
      <w:r w:rsidRPr="00E90188">
        <w:rPr>
          <w:rFonts w:ascii="Book Antiqua" w:hAnsi="Book Antiqua" w:cs="宋体"/>
          <w:b/>
          <w:bCs/>
          <w:sz w:val="24"/>
          <w:szCs w:val="24"/>
        </w:rPr>
        <w:t>Kosuge T</w:t>
      </w:r>
      <w:r w:rsidRPr="00E90188">
        <w:rPr>
          <w:rFonts w:ascii="Book Antiqua" w:hAnsi="Book Antiqua" w:cs="宋体"/>
          <w:sz w:val="24"/>
          <w:szCs w:val="24"/>
        </w:rPr>
        <w:t>, Kiuchi T, Mukai K, Kakizoe T. A multicenter randomized controlled trial to evaluate the effect of adjuvant cisplatin and 5-fluorouracil therapy after curative resection in cases of pancreatic cancer. </w:t>
      </w:r>
      <w:r w:rsidRPr="00E90188">
        <w:rPr>
          <w:rFonts w:ascii="Book Antiqua" w:hAnsi="Book Antiqua" w:cs="宋体"/>
          <w:i/>
          <w:iCs/>
          <w:sz w:val="24"/>
          <w:szCs w:val="24"/>
        </w:rPr>
        <w:t>Jpn J Clin Oncol</w:t>
      </w:r>
      <w:r w:rsidRPr="00E90188">
        <w:rPr>
          <w:rFonts w:ascii="Book Antiqua" w:hAnsi="Book Antiqua" w:cs="宋体"/>
          <w:sz w:val="24"/>
          <w:szCs w:val="24"/>
        </w:rPr>
        <w:t> 2006; </w:t>
      </w:r>
      <w:r w:rsidRPr="00E90188">
        <w:rPr>
          <w:rFonts w:ascii="Book Antiqua" w:hAnsi="Book Antiqua" w:cs="宋体"/>
          <w:b/>
          <w:bCs/>
          <w:sz w:val="24"/>
          <w:szCs w:val="24"/>
        </w:rPr>
        <w:t>36</w:t>
      </w:r>
      <w:r w:rsidRPr="00E90188">
        <w:rPr>
          <w:rFonts w:ascii="Book Antiqua" w:hAnsi="Book Antiqua" w:cs="宋体"/>
          <w:sz w:val="24"/>
          <w:szCs w:val="24"/>
        </w:rPr>
        <w:t>: 159-165 [PMID: 16490736 DOI: 10.1093/jjco/hyi234]</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11 </w:t>
      </w:r>
      <w:r w:rsidRPr="00E90188">
        <w:rPr>
          <w:rFonts w:ascii="Book Antiqua" w:hAnsi="Book Antiqua" w:cs="宋体"/>
          <w:b/>
          <w:bCs/>
          <w:sz w:val="24"/>
          <w:szCs w:val="24"/>
        </w:rPr>
        <w:t>Burris HA</w:t>
      </w:r>
      <w:r w:rsidRPr="00E90188">
        <w:rPr>
          <w:rFonts w:ascii="Book Antiqua" w:hAnsi="Book Antiqua" w:cs="宋体"/>
          <w:sz w:val="24"/>
          <w:szCs w:val="24"/>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E90188">
        <w:rPr>
          <w:rFonts w:ascii="Book Antiqua" w:hAnsi="Book Antiqua" w:cs="宋体"/>
          <w:i/>
          <w:iCs/>
          <w:sz w:val="24"/>
          <w:szCs w:val="24"/>
        </w:rPr>
        <w:t>J Clin Oncol</w:t>
      </w:r>
      <w:r w:rsidRPr="00E90188">
        <w:rPr>
          <w:rFonts w:ascii="Book Antiqua" w:hAnsi="Book Antiqua" w:cs="宋体"/>
          <w:sz w:val="24"/>
          <w:szCs w:val="24"/>
        </w:rPr>
        <w:t> 1997; </w:t>
      </w:r>
      <w:r w:rsidRPr="00E90188">
        <w:rPr>
          <w:rFonts w:ascii="Book Antiqua" w:hAnsi="Book Antiqua" w:cs="宋体"/>
          <w:b/>
          <w:bCs/>
          <w:sz w:val="24"/>
          <w:szCs w:val="24"/>
        </w:rPr>
        <w:t>15</w:t>
      </w:r>
      <w:r w:rsidRPr="00E90188">
        <w:rPr>
          <w:rFonts w:ascii="Book Antiqua" w:hAnsi="Book Antiqua" w:cs="宋体"/>
          <w:sz w:val="24"/>
          <w:szCs w:val="24"/>
        </w:rPr>
        <w:t>: 2403-2413 [PMID: 9196156]</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12 </w:t>
      </w:r>
      <w:r w:rsidRPr="00E90188">
        <w:rPr>
          <w:rFonts w:ascii="Book Antiqua" w:hAnsi="Book Antiqua" w:cs="宋体"/>
          <w:b/>
          <w:bCs/>
          <w:sz w:val="24"/>
          <w:szCs w:val="24"/>
        </w:rPr>
        <w:t>Oettle H</w:t>
      </w:r>
      <w:r w:rsidRPr="00E90188">
        <w:rPr>
          <w:rFonts w:ascii="Book Antiqua" w:hAnsi="Book Antiqua" w:cs="宋体"/>
          <w:sz w:val="24"/>
          <w:szCs w:val="24"/>
        </w:rPr>
        <w:t>,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E90188">
        <w:rPr>
          <w:rFonts w:ascii="Book Antiqua" w:hAnsi="Book Antiqua" w:cs="宋体"/>
          <w:i/>
          <w:iCs/>
          <w:sz w:val="24"/>
          <w:szCs w:val="24"/>
        </w:rPr>
        <w:t>JAMA</w:t>
      </w:r>
      <w:r w:rsidRPr="00E90188">
        <w:rPr>
          <w:rFonts w:ascii="Book Antiqua" w:hAnsi="Book Antiqua" w:cs="宋体"/>
          <w:sz w:val="24"/>
          <w:szCs w:val="24"/>
        </w:rPr>
        <w:t> 2007; </w:t>
      </w:r>
      <w:r w:rsidRPr="00E90188">
        <w:rPr>
          <w:rFonts w:ascii="Book Antiqua" w:hAnsi="Book Antiqua" w:cs="宋体"/>
          <w:b/>
          <w:bCs/>
          <w:sz w:val="24"/>
          <w:szCs w:val="24"/>
        </w:rPr>
        <w:t>297</w:t>
      </w:r>
      <w:r w:rsidRPr="00E90188">
        <w:rPr>
          <w:rFonts w:ascii="Book Antiqua" w:hAnsi="Book Antiqua" w:cs="宋体"/>
          <w:sz w:val="24"/>
          <w:szCs w:val="24"/>
        </w:rPr>
        <w:t>: 267-277 [PMID: 17227978 DOI: 10.1001/jama.297.3.267]</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 xml:space="preserve">13 </w:t>
      </w:r>
      <w:r w:rsidRPr="00E90188">
        <w:rPr>
          <w:rFonts w:ascii="Book Antiqua" w:hAnsi="Book Antiqua" w:cs="宋体"/>
          <w:b/>
          <w:sz w:val="24"/>
          <w:szCs w:val="24"/>
        </w:rPr>
        <w:t>Neuhaus P</w:t>
      </w:r>
      <w:r w:rsidRPr="00E90188">
        <w:rPr>
          <w:rFonts w:ascii="Book Antiqua" w:hAnsi="Book Antiqua" w:cs="宋体"/>
          <w:sz w:val="24"/>
          <w:szCs w:val="24"/>
        </w:rPr>
        <w:t xml:space="preserve">, Riess H, Post S, Gellert K, Ridwelski K, Schramm H, Zuelke C, Fahlke J, Langrehr J, Oettle H. CONKO-001: Final results of the randomized, prospective, multicenter phase III trial of adjuvant chemotherapy with gemcitabine versus observation in patients with resected pancreatic cancer. </w:t>
      </w:r>
      <w:r w:rsidRPr="000A30A5">
        <w:rPr>
          <w:rFonts w:ascii="Book Antiqua" w:hAnsi="Book Antiqua" w:cs="宋体"/>
          <w:i/>
          <w:sz w:val="24"/>
          <w:szCs w:val="24"/>
        </w:rPr>
        <w:t>J Clin Oncol</w:t>
      </w:r>
      <w:r w:rsidRPr="00E90188">
        <w:rPr>
          <w:rFonts w:ascii="Book Antiqua" w:hAnsi="Book Antiqua" w:cs="宋体"/>
          <w:sz w:val="24"/>
          <w:szCs w:val="24"/>
        </w:rPr>
        <w:t xml:space="preserve"> 2008 ASCO Annual Meeting Proceedings (Post-Meeting Edition); 26(15S): LBA4504</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14 </w:t>
      </w:r>
      <w:r w:rsidRPr="00E90188">
        <w:rPr>
          <w:rFonts w:ascii="Book Antiqua" w:hAnsi="Book Antiqua" w:cs="宋体"/>
          <w:b/>
          <w:bCs/>
          <w:sz w:val="24"/>
          <w:szCs w:val="24"/>
        </w:rPr>
        <w:t>Ueno H</w:t>
      </w:r>
      <w:r w:rsidRPr="00E90188">
        <w:rPr>
          <w:rFonts w:ascii="Book Antiqua" w:hAnsi="Book Antiqua" w:cs="宋体"/>
          <w:sz w:val="24"/>
          <w:szCs w:val="24"/>
        </w:rPr>
        <w:t xml:space="preserve">, Kosuge T, Matsuyama Y, Yamamoto J, Nakao A, Egawa S, Doi R, Monden M, Hatori T, Tanaka M, Shimada M, Kanemitsu K. A randomised phase III trial comparing gemcitabine with surgery-only in patients with resected pancreatic </w:t>
      </w:r>
      <w:r w:rsidRPr="00E90188">
        <w:rPr>
          <w:rFonts w:ascii="Book Antiqua" w:hAnsi="Book Antiqua" w:cs="宋体"/>
          <w:sz w:val="24"/>
          <w:szCs w:val="24"/>
        </w:rPr>
        <w:lastRenderedPageBreak/>
        <w:t>cancer: Japanese Study Group of Adjuvant Therapy for Pancreatic Cancer. </w:t>
      </w:r>
      <w:r w:rsidRPr="00E90188">
        <w:rPr>
          <w:rFonts w:ascii="Book Antiqua" w:hAnsi="Book Antiqua" w:cs="宋体"/>
          <w:i/>
          <w:iCs/>
          <w:sz w:val="24"/>
          <w:szCs w:val="24"/>
        </w:rPr>
        <w:t>Br J Cancer</w:t>
      </w:r>
      <w:r w:rsidRPr="00E90188">
        <w:rPr>
          <w:rFonts w:ascii="Book Antiqua" w:hAnsi="Book Antiqua" w:cs="宋体"/>
          <w:sz w:val="24"/>
          <w:szCs w:val="24"/>
        </w:rPr>
        <w:t> 2009; </w:t>
      </w:r>
      <w:r w:rsidRPr="00E90188">
        <w:rPr>
          <w:rFonts w:ascii="Book Antiqua" w:hAnsi="Book Antiqua" w:cs="宋体"/>
          <w:b/>
          <w:bCs/>
          <w:sz w:val="24"/>
          <w:szCs w:val="24"/>
        </w:rPr>
        <w:t>101</w:t>
      </w:r>
      <w:r w:rsidRPr="00E90188">
        <w:rPr>
          <w:rFonts w:ascii="Book Antiqua" w:hAnsi="Book Antiqua" w:cs="宋体"/>
          <w:sz w:val="24"/>
          <w:szCs w:val="24"/>
        </w:rPr>
        <w:t>: 908-915 [PMID: 19690548 DOI: 10.1038/sj.bjc.6605256]</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15 </w:t>
      </w:r>
      <w:r w:rsidRPr="00E90188">
        <w:rPr>
          <w:rFonts w:ascii="Book Antiqua" w:hAnsi="Book Antiqua" w:cs="宋体"/>
          <w:b/>
          <w:bCs/>
          <w:sz w:val="24"/>
          <w:szCs w:val="24"/>
        </w:rPr>
        <w:t>Neoptolemos JP</w:t>
      </w:r>
      <w:r w:rsidRPr="00E90188">
        <w:rPr>
          <w:rFonts w:ascii="Book Antiqua" w:hAnsi="Book Antiqua" w:cs="宋体"/>
          <w:sz w:val="24"/>
          <w:szCs w:val="24"/>
        </w:rPr>
        <w:t>, Stocken DD, Bassi C, Ghaneh P, Cunningham D, Goldstein D, Padbury R, Moore MJ, Gallinger S, Mariette C, Wente MN, Izbicki JR, Friess H, Lerch MM, Dervenis C, Oláh A, Butturini G, Doi R, Lind PA, Smith D, Valle JW, Palmer DH, Buckels JA, Thompson J, McKay CJ, Rawcliffe CL, Büchler MW. Adjuvant chemotherapy with fluorouracil plus folinic acid vs gemcitabine following pancreatic cancer resection: a randomized controlled trial. </w:t>
      </w:r>
      <w:r w:rsidRPr="00E90188">
        <w:rPr>
          <w:rFonts w:ascii="Book Antiqua" w:hAnsi="Book Antiqua" w:cs="宋体"/>
          <w:i/>
          <w:iCs/>
          <w:sz w:val="24"/>
          <w:szCs w:val="24"/>
        </w:rPr>
        <w:t>JAMA</w:t>
      </w:r>
      <w:r w:rsidRPr="00E90188">
        <w:rPr>
          <w:rFonts w:ascii="Book Antiqua" w:hAnsi="Book Antiqua" w:cs="宋体"/>
          <w:sz w:val="24"/>
          <w:szCs w:val="24"/>
        </w:rPr>
        <w:t> 2010; </w:t>
      </w:r>
      <w:r w:rsidRPr="00E90188">
        <w:rPr>
          <w:rFonts w:ascii="Book Antiqua" w:hAnsi="Book Antiqua" w:cs="宋体"/>
          <w:b/>
          <w:bCs/>
          <w:sz w:val="24"/>
          <w:szCs w:val="24"/>
        </w:rPr>
        <w:t>304</w:t>
      </w:r>
      <w:r w:rsidRPr="00E90188">
        <w:rPr>
          <w:rFonts w:ascii="Book Antiqua" w:hAnsi="Book Antiqua" w:cs="宋体"/>
          <w:sz w:val="24"/>
          <w:szCs w:val="24"/>
        </w:rPr>
        <w:t>: 1073-1081 [PMID: 20823433 DOI: 10.1001/jama.2010.1275]</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16 </w:t>
      </w:r>
      <w:r w:rsidRPr="00E90188">
        <w:rPr>
          <w:rFonts w:ascii="Book Antiqua" w:hAnsi="Book Antiqua" w:cs="宋体"/>
          <w:b/>
          <w:bCs/>
          <w:sz w:val="24"/>
          <w:szCs w:val="24"/>
        </w:rPr>
        <w:t>Neoptolemos JP</w:t>
      </w:r>
      <w:r w:rsidRPr="00E90188">
        <w:rPr>
          <w:rFonts w:ascii="Book Antiqua" w:hAnsi="Book Antiqua" w:cs="宋体"/>
          <w:sz w:val="24"/>
          <w:szCs w:val="24"/>
        </w:rPr>
        <w:t>, Stocken DD, Tudur Smith C, Bassi C, Ghaneh P, Owen E, Moore M, Padbury R, Doi R, Smith D, Büchler MW. Adjuvant 5-fluorouracil and folinic acid vs observation for pancreatic cancer: composite data from the ESPAC-1 and -3(v1) trials. </w:t>
      </w:r>
      <w:r w:rsidRPr="00E90188">
        <w:rPr>
          <w:rFonts w:ascii="Book Antiqua" w:hAnsi="Book Antiqua" w:cs="宋体"/>
          <w:i/>
          <w:iCs/>
          <w:sz w:val="24"/>
          <w:szCs w:val="24"/>
        </w:rPr>
        <w:t>Br J Cancer</w:t>
      </w:r>
      <w:r w:rsidRPr="00E90188">
        <w:rPr>
          <w:rFonts w:ascii="Book Antiqua" w:hAnsi="Book Antiqua" w:cs="宋体"/>
          <w:sz w:val="24"/>
          <w:szCs w:val="24"/>
        </w:rPr>
        <w:t> 2009; </w:t>
      </w:r>
      <w:r w:rsidRPr="00E90188">
        <w:rPr>
          <w:rFonts w:ascii="Book Antiqua" w:hAnsi="Book Antiqua" w:cs="宋体"/>
          <w:b/>
          <w:bCs/>
          <w:sz w:val="24"/>
          <w:szCs w:val="24"/>
        </w:rPr>
        <w:t>100</w:t>
      </w:r>
      <w:r w:rsidRPr="00E90188">
        <w:rPr>
          <w:rFonts w:ascii="Book Antiqua" w:hAnsi="Book Antiqua" w:cs="宋体"/>
          <w:sz w:val="24"/>
          <w:szCs w:val="24"/>
        </w:rPr>
        <w:t>: 246-250 [PMID: 19127260 DOI: 10.1038/sj.bjc.6604838]</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17 </w:t>
      </w:r>
      <w:r w:rsidRPr="00E90188">
        <w:rPr>
          <w:rFonts w:ascii="Book Antiqua" w:hAnsi="Book Antiqua" w:cs="宋体"/>
          <w:b/>
          <w:bCs/>
          <w:sz w:val="24"/>
          <w:szCs w:val="24"/>
        </w:rPr>
        <w:t>Maeda A</w:t>
      </w:r>
      <w:r w:rsidRPr="00E90188">
        <w:rPr>
          <w:rFonts w:ascii="Book Antiqua" w:hAnsi="Book Antiqua" w:cs="宋体"/>
          <w:sz w:val="24"/>
          <w:szCs w:val="24"/>
        </w:rPr>
        <w:t>, Boku N, Fukutomi A, Kondo S, Kinoshita T, Nagino M, Uesaka K. Randomized phase III trial of adjuvant chemotherapy with gemcitabine versus S-1 in patients with resected pancreatic cancer: Japan Adjuvant Study Group of Pancreatic Cancer (JASPAC-01). </w:t>
      </w:r>
      <w:r w:rsidRPr="00E90188">
        <w:rPr>
          <w:rFonts w:ascii="Book Antiqua" w:hAnsi="Book Antiqua" w:cs="宋体"/>
          <w:i/>
          <w:iCs/>
          <w:sz w:val="24"/>
          <w:szCs w:val="24"/>
        </w:rPr>
        <w:t>Jpn J Clin Oncol</w:t>
      </w:r>
      <w:r w:rsidRPr="00E90188">
        <w:rPr>
          <w:rFonts w:ascii="Book Antiqua" w:hAnsi="Book Antiqua" w:cs="宋体"/>
          <w:sz w:val="24"/>
          <w:szCs w:val="24"/>
        </w:rPr>
        <w:t> 2008; </w:t>
      </w:r>
      <w:r w:rsidRPr="00E90188">
        <w:rPr>
          <w:rFonts w:ascii="Book Antiqua" w:hAnsi="Book Antiqua" w:cs="宋体"/>
          <w:b/>
          <w:bCs/>
          <w:sz w:val="24"/>
          <w:szCs w:val="24"/>
        </w:rPr>
        <w:t>38</w:t>
      </w:r>
      <w:r w:rsidRPr="00E90188">
        <w:rPr>
          <w:rFonts w:ascii="Book Antiqua" w:hAnsi="Book Antiqua" w:cs="宋体"/>
          <w:sz w:val="24"/>
          <w:szCs w:val="24"/>
        </w:rPr>
        <w:t>: 227-229 [PMID: 18272475 DOI: 10.1093/jjco/hym178]</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 xml:space="preserve">18 </w:t>
      </w:r>
      <w:r w:rsidRPr="00E90188">
        <w:rPr>
          <w:rFonts w:ascii="Book Antiqua" w:hAnsi="Book Antiqua" w:cs="宋体"/>
          <w:b/>
          <w:sz w:val="24"/>
          <w:szCs w:val="24"/>
        </w:rPr>
        <w:t>Fukutomi A</w:t>
      </w:r>
      <w:r w:rsidRPr="00E90188">
        <w:rPr>
          <w:rFonts w:ascii="Book Antiqua" w:hAnsi="Book Antiqua" w:cs="宋体"/>
          <w:sz w:val="24"/>
          <w:szCs w:val="24"/>
        </w:rPr>
        <w:t xml:space="preserve">, Uesaka K, Boku N, Kanemoto H, Konishi M, Matsumoto I, Kaneoka Y, Shimizu Y, Nakamori S, Sakamoto H, Morinaga S, Kainuma O, Imai K, Sata N, Hishinuma S, Nakamura S, Kanai M, Hirano S, Yoshikawa Y, Ohashi Y. JASPAC 01: Randomized phase III trial of adjuvant chemotherapy with gemcitabine versus S-1 for patients with resected pancreatic cancer. </w:t>
      </w:r>
      <w:r w:rsidRPr="00E90188">
        <w:rPr>
          <w:rFonts w:ascii="Book Antiqua" w:hAnsi="Book Antiqua" w:cs="宋体"/>
          <w:i/>
          <w:iCs/>
          <w:sz w:val="24"/>
          <w:szCs w:val="24"/>
        </w:rPr>
        <w:t>J Clin Oncol</w:t>
      </w:r>
      <w:r w:rsidRPr="00E90188">
        <w:rPr>
          <w:rFonts w:ascii="Book Antiqua" w:hAnsi="Book Antiqua" w:cs="宋体"/>
          <w:sz w:val="24"/>
          <w:szCs w:val="24"/>
        </w:rPr>
        <w:t xml:space="preserve"> 2013 Gastrointestinal Cancers Symposium 2013; 31(4S): 145</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19 </w:t>
      </w:r>
      <w:r w:rsidRPr="00E90188">
        <w:rPr>
          <w:rFonts w:ascii="Book Antiqua" w:hAnsi="Book Antiqua" w:cs="宋体"/>
          <w:b/>
          <w:bCs/>
          <w:sz w:val="24"/>
          <w:szCs w:val="24"/>
        </w:rPr>
        <w:t>Antoniou G</w:t>
      </w:r>
      <w:r w:rsidRPr="00E90188">
        <w:rPr>
          <w:rFonts w:ascii="Book Antiqua" w:hAnsi="Book Antiqua" w:cs="宋体"/>
          <w:sz w:val="24"/>
          <w:szCs w:val="24"/>
        </w:rPr>
        <w:t>, Kountourakis P, Papadimitriou K, Vassiliou V, Papamichael D. Adjuvant therapy for resectable pancreatic adenocarcinoma: review of the current treatment approaches and future directions. </w:t>
      </w:r>
      <w:r w:rsidRPr="00E90188">
        <w:rPr>
          <w:rFonts w:ascii="Book Antiqua" w:hAnsi="Book Antiqua" w:cs="宋体"/>
          <w:i/>
          <w:iCs/>
          <w:sz w:val="24"/>
          <w:szCs w:val="24"/>
        </w:rPr>
        <w:t>Cancer Treat Rev</w:t>
      </w:r>
      <w:r w:rsidRPr="00E90188">
        <w:rPr>
          <w:rFonts w:ascii="Book Antiqua" w:hAnsi="Book Antiqua" w:cs="宋体"/>
          <w:sz w:val="24"/>
          <w:szCs w:val="24"/>
        </w:rPr>
        <w:t> 2014; </w:t>
      </w:r>
      <w:r w:rsidRPr="00E90188">
        <w:rPr>
          <w:rFonts w:ascii="Book Antiqua" w:hAnsi="Book Antiqua" w:cs="宋体"/>
          <w:b/>
          <w:bCs/>
          <w:sz w:val="24"/>
          <w:szCs w:val="24"/>
        </w:rPr>
        <w:t>40</w:t>
      </w:r>
      <w:r w:rsidRPr="00E90188">
        <w:rPr>
          <w:rFonts w:ascii="Book Antiqua" w:hAnsi="Book Antiqua" w:cs="宋体"/>
          <w:sz w:val="24"/>
          <w:szCs w:val="24"/>
        </w:rPr>
        <w:t>: 78-85 [PMID: 23810287 DOI: 10.1016/j.ctrv.2013.05.008]</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20 </w:t>
      </w:r>
      <w:r w:rsidRPr="00E90188">
        <w:rPr>
          <w:rFonts w:ascii="Book Antiqua" w:hAnsi="Book Antiqua" w:cs="宋体"/>
          <w:b/>
          <w:bCs/>
          <w:sz w:val="24"/>
          <w:szCs w:val="24"/>
        </w:rPr>
        <w:t>Stocken DD</w:t>
      </w:r>
      <w:r w:rsidRPr="00E90188">
        <w:rPr>
          <w:rFonts w:ascii="Book Antiqua" w:hAnsi="Book Antiqua" w:cs="宋体"/>
          <w:sz w:val="24"/>
          <w:szCs w:val="24"/>
        </w:rPr>
        <w:t xml:space="preserve">, Büchler MW, Dervenis C, Bassi C, Jeekel H, Klinkenbijl JH, Bakkevold KE, Takada T, Amano H, Neoptolemos JP. Meta-analysis of randomised </w:t>
      </w:r>
      <w:r w:rsidRPr="00E90188">
        <w:rPr>
          <w:rFonts w:ascii="Book Antiqua" w:hAnsi="Book Antiqua" w:cs="宋体"/>
          <w:sz w:val="24"/>
          <w:szCs w:val="24"/>
        </w:rPr>
        <w:lastRenderedPageBreak/>
        <w:t>adjuvant therapy trials for pancreatic cancer. </w:t>
      </w:r>
      <w:r w:rsidRPr="00E90188">
        <w:rPr>
          <w:rFonts w:ascii="Book Antiqua" w:hAnsi="Book Antiqua" w:cs="宋体"/>
          <w:i/>
          <w:iCs/>
          <w:sz w:val="24"/>
          <w:szCs w:val="24"/>
        </w:rPr>
        <w:t>Br J Cancer</w:t>
      </w:r>
      <w:r w:rsidRPr="00E90188">
        <w:rPr>
          <w:rFonts w:ascii="Book Antiqua" w:hAnsi="Book Antiqua" w:cs="宋体"/>
          <w:sz w:val="24"/>
          <w:szCs w:val="24"/>
        </w:rPr>
        <w:t> 2005; </w:t>
      </w:r>
      <w:r w:rsidRPr="00E90188">
        <w:rPr>
          <w:rFonts w:ascii="Book Antiqua" w:hAnsi="Book Antiqua" w:cs="宋体"/>
          <w:b/>
          <w:bCs/>
          <w:sz w:val="24"/>
          <w:szCs w:val="24"/>
        </w:rPr>
        <w:t>92</w:t>
      </w:r>
      <w:r w:rsidRPr="00E90188">
        <w:rPr>
          <w:rFonts w:ascii="Book Antiqua" w:hAnsi="Book Antiqua" w:cs="宋体"/>
          <w:sz w:val="24"/>
          <w:szCs w:val="24"/>
        </w:rPr>
        <w:t>: 1372-1381 [PMID: 15812554 DOI: 10.1038/sj.bjc.6602513]</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21 </w:t>
      </w:r>
      <w:r w:rsidRPr="00E90188">
        <w:rPr>
          <w:rFonts w:ascii="Book Antiqua" w:hAnsi="Book Antiqua" w:cs="宋体"/>
          <w:b/>
          <w:bCs/>
          <w:sz w:val="24"/>
          <w:szCs w:val="24"/>
        </w:rPr>
        <w:t>Klinkenbijl JH</w:t>
      </w:r>
      <w:r w:rsidRPr="00E90188">
        <w:rPr>
          <w:rFonts w:ascii="Book Antiqua" w:hAnsi="Book Antiqua" w:cs="宋体"/>
          <w:sz w:val="24"/>
          <w:szCs w:val="24"/>
        </w:rPr>
        <w:t>, Jeekel J, Sahmoud T, van Pel R, Couvreur ML, Veenhof CH, Arnaud JP, Gonzalez DG, de Wit LT, Hennipman A, Wils J. Adjuvant radiotherapy and 5-fluorouracil after curative resection of cancer of the pancreas and periampullary region: phase III trial of the EORTC gastrointestinal tract cancer cooperative group. </w:t>
      </w:r>
      <w:r w:rsidRPr="00E90188">
        <w:rPr>
          <w:rFonts w:ascii="Book Antiqua" w:hAnsi="Book Antiqua" w:cs="宋体"/>
          <w:i/>
          <w:iCs/>
          <w:sz w:val="24"/>
          <w:szCs w:val="24"/>
        </w:rPr>
        <w:t>Ann Surg</w:t>
      </w:r>
      <w:r w:rsidRPr="00E90188">
        <w:rPr>
          <w:rFonts w:ascii="Book Antiqua" w:hAnsi="Book Antiqua" w:cs="宋体"/>
          <w:sz w:val="24"/>
          <w:szCs w:val="24"/>
        </w:rPr>
        <w:t> 1999; </w:t>
      </w:r>
      <w:r w:rsidRPr="00E90188">
        <w:rPr>
          <w:rFonts w:ascii="Book Antiqua" w:hAnsi="Book Antiqua" w:cs="宋体"/>
          <w:b/>
          <w:bCs/>
          <w:sz w:val="24"/>
          <w:szCs w:val="24"/>
        </w:rPr>
        <w:t>230</w:t>
      </w:r>
      <w:r w:rsidRPr="00E90188">
        <w:rPr>
          <w:rFonts w:ascii="Book Antiqua" w:hAnsi="Book Antiqua" w:cs="宋体"/>
          <w:sz w:val="24"/>
          <w:szCs w:val="24"/>
        </w:rPr>
        <w:t>: 776-82; discussion 782-4 [PMID: 10615932]</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22 </w:t>
      </w:r>
      <w:r w:rsidRPr="00E90188">
        <w:rPr>
          <w:rFonts w:ascii="Book Antiqua" w:hAnsi="Book Antiqua" w:cs="宋体"/>
          <w:b/>
          <w:bCs/>
          <w:sz w:val="24"/>
          <w:szCs w:val="24"/>
        </w:rPr>
        <w:t>Kaiser MH</w:t>
      </w:r>
      <w:r w:rsidRPr="00E90188">
        <w:rPr>
          <w:rFonts w:ascii="Book Antiqua" w:hAnsi="Book Antiqua" w:cs="宋体"/>
          <w:sz w:val="24"/>
          <w:szCs w:val="24"/>
        </w:rPr>
        <w:t>, Ellenberg SS. Pancreatic cancer. Adjuvant combined radiation and chemotherapy following curative resection. </w:t>
      </w:r>
      <w:r w:rsidRPr="00E90188">
        <w:rPr>
          <w:rFonts w:ascii="Book Antiqua" w:hAnsi="Book Antiqua" w:cs="宋体"/>
          <w:i/>
          <w:iCs/>
          <w:sz w:val="24"/>
          <w:szCs w:val="24"/>
        </w:rPr>
        <w:t>Arch Surg</w:t>
      </w:r>
      <w:r w:rsidRPr="00E90188">
        <w:rPr>
          <w:rFonts w:ascii="Book Antiqua" w:hAnsi="Book Antiqua" w:cs="宋体"/>
          <w:sz w:val="24"/>
          <w:szCs w:val="24"/>
        </w:rPr>
        <w:t> 1985; </w:t>
      </w:r>
      <w:r w:rsidRPr="00E90188">
        <w:rPr>
          <w:rFonts w:ascii="Book Antiqua" w:hAnsi="Book Antiqua" w:cs="宋体"/>
          <w:b/>
          <w:bCs/>
          <w:sz w:val="24"/>
          <w:szCs w:val="24"/>
        </w:rPr>
        <w:t>120</w:t>
      </w:r>
      <w:r w:rsidRPr="00E90188">
        <w:rPr>
          <w:rFonts w:ascii="Book Antiqua" w:hAnsi="Book Antiqua" w:cs="宋体"/>
          <w:sz w:val="24"/>
          <w:szCs w:val="24"/>
        </w:rPr>
        <w:t>: 899-903 [PMID: 4015380 DOI: 10.1001/archsurg.1985.01390320023003]</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23 Further evidence of effective adjuvant combined radiation and chemotherapy following curative resection of pancreatic cancer. Gastrointestinal Tumor Study Group. </w:t>
      </w:r>
      <w:r w:rsidRPr="00E90188">
        <w:rPr>
          <w:rFonts w:ascii="Book Antiqua" w:hAnsi="Book Antiqua" w:cs="宋体"/>
          <w:i/>
          <w:iCs/>
          <w:sz w:val="24"/>
          <w:szCs w:val="24"/>
        </w:rPr>
        <w:t>Cancer</w:t>
      </w:r>
      <w:r w:rsidRPr="00E90188">
        <w:rPr>
          <w:rFonts w:ascii="Book Antiqua" w:hAnsi="Book Antiqua" w:cs="宋体"/>
          <w:sz w:val="24"/>
          <w:szCs w:val="24"/>
        </w:rPr>
        <w:t> 1987; </w:t>
      </w:r>
      <w:r w:rsidRPr="00E90188">
        <w:rPr>
          <w:rFonts w:ascii="Book Antiqua" w:hAnsi="Book Antiqua" w:cs="宋体"/>
          <w:b/>
          <w:bCs/>
          <w:sz w:val="24"/>
          <w:szCs w:val="24"/>
        </w:rPr>
        <w:t>59</w:t>
      </w:r>
      <w:r w:rsidRPr="00E90188">
        <w:rPr>
          <w:rFonts w:ascii="Book Antiqua" w:hAnsi="Book Antiqua" w:cs="宋体"/>
          <w:sz w:val="24"/>
          <w:szCs w:val="24"/>
        </w:rPr>
        <w:t>: 2006-2010 [PMID: 3567862 DOI: 10.1002/1097-0142(19870615)59: 12&lt;2006::AID-CNCR2820591206&gt;3.0.CO;2-B]</w:t>
      </w:r>
    </w:p>
    <w:p w:rsidR="00A06E23" w:rsidRPr="00E90188" w:rsidRDefault="00A06E23" w:rsidP="00C962AB">
      <w:pPr>
        <w:spacing w:after="0" w:line="360" w:lineRule="auto"/>
        <w:rPr>
          <w:rFonts w:ascii="Book Antiqua" w:hAnsi="Book Antiqua" w:cs="宋体"/>
          <w:sz w:val="24"/>
          <w:szCs w:val="24"/>
        </w:rPr>
      </w:pPr>
      <w:r w:rsidRPr="00E90188">
        <w:rPr>
          <w:rFonts w:ascii="Book Antiqua" w:hAnsi="Book Antiqua" w:cs="宋体"/>
          <w:sz w:val="24"/>
          <w:szCs w:val="24"/>
        </w:rPr>
        <w:t xml:space="preserve">24 </w:t>
      </w:r>
      <w:r w:rsidRPr="00E90188">
        <w:rPr>
          <w:rFonts w:ascii="Book Antiqua" w:hAnsi="Book Antiqua" w:cs="宋体"/>
          <w:b/>
          <w:sz w:val="24"/>
          <w:szCs w:val="24"/>
        </w:rPr>
        <w:t>Boeck S</w:t>
      </w:r>
      <w:r w:rsidRPr="00E90188">
        <w:rPr>
          <w:rFonts w:ascii="Book Antiqua" w:hAnsi="Book Antiqua" w:cs="宋体"/>
          <w:sz w:val="24"/>
          <w:szCs w:val="24"/>
        </w:rPr>
        <w:t xml:space="preserve">, Ankerst DP, Heinemann V. The role of adjuvant chemotherapy for patients with resected pancreatic cancer: systematic review of randomised controlled trials and meta-analysis. </w:t>
      </w:r>
      <w:r w:rsidRPr="000A30A5">
        <w:rPr>
          <w:rFonts w:ascii="Book Antiqua" w:hAnsi="Book Antiqua" w:cs="宋体"/>
          <w:i/>
          <w:sz w:val="24"/>
          <w:szCs w:val="24"/>
        </w:rPr>
        <w:t>Oncology</w:t>
      </w:r>
      <w:r w:rsidRPr="00E90188">
        <w:rPr>
          <w:rFonts w:ascii="Book Antiqua" w:hAnsi="Book Antiqua" w:cs="宋体"/>
          <w:sz w:val="24"/>
          <w:szCs w:val="24"/>
        </w:rPr>
        <w:t xml:space="preserve"> 2007; </w:t>
      </w:r>
      <w:r w:rsidRPr="00E90188">
        <w:rPr>
          <w:rFonts w:ascii="Book Antiqua" w:hAnsi="Book Antiqua" w:cs="宋体"/>
          <w:b/>
          <w:sz w:val="24"/>
          <w:szCs w:val="24"/>
        </w:rPr>
        <w:t>72</w:t>
      </w:r>
      <w:r w:rsidRPr="00E90188">
        <w:rPr>
          <w:rFonts w:ascii="Book Antiqua" w:hAnsi="Book Antiqua" w:cs="宋体"/>
          <w:sz w:val="24"/>
          <w:szCs w:val="24"/>
        </w:rPr>
        <w:t>: 314-21 [PMID:</w:t>
      </w:r>
      <w:r>
        <w:rPr>
          <w:rFonts w:ascii="Book Antiqua" w:hAnsi="Book Antiqua" w:cs="宋体"/>
          <w:sz w:val="24"/>
          <w:szCs w:val="24"/>
          <w:lang w:eastAsia="zh-CN"/>
        </w:rPr>
        <w:t xml:space="preserve"> </w:t>
      </w:r>
      <w:r w:rsidRPr="00E90188">
        <w:rPr>
          <w:rFonts w:ascii="Book Antiqua" w:hAnsi="Book Antiqua" w:cs="宋体"/>
          <w:sz w:val="24"/>
          <w:szCs w:val="24"/>
        </w:rPr>
        <w:t>18187951 DOI: 10.1159/000113054]</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25 </w:t>
      </w:r>
      <w:r w:rsidRPr="00E90188">
        <w:rPr>
          <w:rFonts w:ascii="Book Antiqua" w:hAnsi="Book Antiqua" w:cs="宋体"/>
          <w:b/>
          <w:bCs/>
          <w:sz w:val="24"/>
          <w:szCs w:val="24"/>
        </w:rPr>
        <w:t>Butturini G</w:t>
      </w:r>
      <w:r w:rsidRPr="00E90188">
        <w:rPr>
          <w:rFonts w:ascii="Book Antiqua" w:hAnsi="Book Antiqua" w:cs="宋体"/>
          <w:sz w:val="24"/>
          <w:szCs w:val="24"/>
        </w:rPr>
        <w:t>, Stocken DD, Wente MN, Jeekel H, Klinkenbijl JH, Bakkevold KE, Takada T, Amano H, Dervenis C, Bassi C, Büchler MW, Neoptolemos JP. Influence of resection margins and treatment on survival in patients with pancreatic cancer: meta-analysis of randomized controlled trials. </w:t>
      </w:r>
      <w:r w:rsidRPr="00E90188">
        <w:rPr>
          <w:rFonts w:ascii="Book Antiqua" w:hAnsi="Book Antiqua" w:cs="宋体"/>
          <w:i/>
          <w:iCs/>
          <w:sz w:val="24"/>
          <w:szCs w:val="24"/>
        </w:rPr>
        <w:t>Arch Surg</w:t>
      </w:r>
      <w:r w:rsidRPr="00E90188">
        <w:rPr>
          <w:rFonts w:ascii="Book Antiqua" w:hAnsi="Book Antiqua" w:cs="宋体"/>
          <w:sz w:val="24"/>
          <w:szCs w:val="24"/>
        </w:rPr>
        <w:t> 2008; </w:t>
      </w:r>
      <w:r w:rsidRPr="00E90188">
        <w:rPr>
          <w:rFonts w:ascii="Book Antiqua" w:hAnsi="Book Antiqua" w:cs="宋体"/>
          <w:b/>
          <w:bCs/>
          <w:sz w:val="24"/>
          <w:szCs w:val="24"/>
        </w:rPr>
        <w:t>143</w:t>
      </w:r>
      <w:r w:rsidRPr="00E90188">
        <w:rPr>
          <w:rFonts w:ascii="Book Antiqua" w:hAnsi="Book Antiqua" w:cs="宋体"/>
          <w:sz w:val="24"/>
          <w:szCs w:val="24"/>
        </w:rPr>
        <w:t>: 75-83; discussion 83 [PMID: 18209156 DOI: 10.1001/archsurg.2007.17]</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26 </w:t>
      </w:r>
      <w:r w:rsidRPr="00E90188">
        <w:rPr>
          <w:rFonts w:ascii="Book Antiqua" w:hAnsi="Book Antiqua" w:cs="宋体"/>
          <w:b/>
          <w:bCs/>
          <w:sz w:val="24"/>
          <w:szCs w:val="24"/>
        </w:rPr>
        <w:t>Liao WC</w:t>
      </w:r>
      <w:r w:rsidRPr="00E90188">
        <w:rPr>
          <w:rFonts w:ascii="Book Antiqua" w:hAnsi="Book Antiqua" w:cs="宋体"/>
          <w:sz w:val="24"/>
          <w:szCs w:val="24"/>
        </w:rPr>
        <w:t>, Chien KL, Lin YL, Wu MS, Lin JT, Wang HP, Tu YK. Adjuvant treatments for resected pancreatic adenocarcinoma: a systematic review and network meta-analysis. </w:t>
      </w:r>
      <w:r w:rsidRPr="00E90188">
        <w:rPr>
          <w:rFonts w:ascii="Book Antiqua" w:hAnsi="Book Antiqua" w:cs="宋体"/>
          <w:i/>
          <w:iCs/>
          <w:sz w:val="24"/>
          <w:szCs w:val="24"/>
        </w:rPr>
        <w:t>Lancet Oncol</w:t>
      </w:r>
      <w:r w:rsidRPr="00E90188">
        <w:rPr>
          <w:rFonts w:ascii="Book Antiqua" w:hAnsi="Book Antiqua" w:cs="宋体"/>
          <w:sz w:val="24"/>
          <w:szCs w:val="24"/>
        </w:rPr>
        <w:t> 2013; </w:t>
      </w:r>
      <w:r w:rsidRPr="00E90188">
        <w:rPr>
          <w:rFonts w:ascii="Book Antiqua" w:hAnsi="Book Antiqua" w:cs="宋体"/>
          <w:b/>
          <w:bCs/>
          <w:sz w:val="24"/>
          <w:szCs w:val="24"/>
        </w:rPr>
        <w:t>14</w:t>
      </w:r>
      <w:r w:rsidRPr="00E90188">
        <w:rPr>
          <w:rFonts w:ascii="Book Antiqua" w:hAnsi="Book Antiqua" w:cs="宋体"/>
          <w:sz w:val="24"/>
          <w:szCs w:val="24"/>
        </w:rPr>
        <w:t>: 1095-1103 [PMID: 24035532 DOI: 10.1016/S1470-2045(13)70388-7]</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27 </w:t>
      </w:r>
      <w:r w:rsidRPr="00E90188">
        <w:rPr>
          <w:rFonts w:ascii="Book Antiqua" w:hAnsi="Book Antiqua" w:cs="宋体"/>
          <w:b/>
          <w:bCs/>
          <w:sz w:val="24"/>
          <w:szCs w:val="24"/>
        </w:rPr>
        <w:t>Haslam JB</w:t>
      </w:r>
      <w:r w:rsidRPr="00E90188">
        <w:rPr>
          <w:rFonts w:ascii="Book Antiqua" w:hAnsi="Book Antiqua" w:cs="宋体"/>
          <w:sz w:val="24"/>
          <w:szCs w:val="24"/>
        </w:rPr>
        <w:t>, Cavanaugh PJ, Stroup SL. Radiation therapy in the treatment of irresectable adenocarcinoma of the pancreas. </w:t>
      </w:r>
      <w:r w:rsidRPr="00E90188">
        <w:rPr>
          <w:rFonts w:ascii="Book Antiqua" w:hAnsi="Book Antiqua" w:cs="宋体"/>
          <w:i/>
          <w:iCs/>
          <w:sz w:val="24"/>
          <w:szCs w:val="24"/>
        </w:rPr>
        <w:t>Cancer</w:t>
      </w:r>
      <w:r w:rsidRPr="00E90188">
        <w:rPr>
          <w:rFonts w:ascii="Book Antiqua" w:hAnsi="Book Antiqua" w:cs="宋体"/>
          <w:sz w:val="24"/>
          <w:szCs w:val="24"/>
        </w:rPr>
        <w:t> 1973; </w:t>
      </w:r>
      <w:r w:rsidRPr="00E90188">
        <w:rPr>
          <w:rFonts w:ascii="Book Antiqua" w:hAnsi="Book Antiqua" w:cs="宋体"/>
          <w:b/>
          <w:bCs/>
          <w:sz w:val="24"/>
          <w:szCs w:val="24"/>
        </w:rPr>
        <w:t>32</w:t>
      </w:r>
      <w:r w:rsidRPr="00E90188">
        <w:rPr>
          <w:rFonts w:ascii="Book Antiqua" w:hAnsi="Book Antiqua" w:cs="宋体"/>
          <w:sz w:val="24"/>
          <w:szCs w:val="24"/>
        </w:rPr>
        <w:t>: 1341-1345 [PMID: 4127980 DOI: 10.1002</w:t>
      </w:r>
      <w:r>
        <w:rPr>
          <w:rFonts w:ascii="Book Antiqua" w:hAnsi="Book Antiqua" w:cs="宋体"/>
          <w:sz w:val="24"/>
          <w:szCs w:val="24"/>
        </w:rPr>
        <w:t>/1097-0142(197312)32: 6&lt;1341::AID-CNCR2820320609&gt;3.0.CO;</w:t>
      </w:r>
      <w:r w:rsidRPr="00E90188">
        <w:rPr>
          <w:rFonts w:ascii="Book Antiqua" w:hAnsi="Book Antiqua" w:cs="宋体"/>
          <w:sz w:val="24"/>
          <w:szCs w:val="24"/>
        </w:rPr>
        <w:t>2-A]</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lastRenderedPageBreak/>
        <w:t>28 </w:t>
      </w:r>
      <w:r w:rsidRPr="00E90188">
        <w:rPr>
          <w:rFonts w:ascii="Book Antiqua" w:hAnsi="Book Antiqua" w:cs="宋体"/>
          <w:b/>
          <w:bCs/>
          <w:sz w:val="24"/>
          <w:szCs w:val="24"/>
        </w:rPr>
        <w:t>Moertel CG</w:t>
      </w:r>
      <w:r w:rsidRPr="00E90188">
        <w:rPr>
          <w:rFonts w:ascii="Book Antiqua" w:hAnsi="Book Antiqua" w:cs="宋体"/>
          <w:sz w:val="24"/>
          <w:szCs w:val="24"/>
        </w:rPr>
        <w:t>, Childs DS, Reitemeier RJ, Colby MY, Holbrook MA. Combined 5-fluorouracil and supervoltage radiation therapy of locally unresectable gastrointestinal cancer. </w:t>
      </w:r>
      <w:r w:rsidRPr="00E90188">
        <w:rPr>
          <w:rFonts w:ascii="Book Antiqua" w:hAnsi="Book Antiqua" w:cs="宋体"/>
          <w:i/>
          <w:iCs/>
          <w:sz w:val="24"/>
          <w:szCs w:val="24"/>
        </w:rPr>
        <w:t>Lancet</w:t>
      </w:r>
      <w:r w:rsidRPr="00E90188">
        <w:rPr>
          <w:rFonts w:ascii="Book Antiqua" w:hAnsi="Book Antiqua" w:cs="宋体"/>
          <w:sz w:val="24"/>
          <w:szCs w:val="24"/>
        </w:rPr>
        <w:t> 1969; </w:t>
      </w:r>
      <w:r w:rsidRPr="00E90188">
        <w:rPr>
          <w:rFonts w:ascii="Book Antiqua" w:hAnsi="Book Antiqua" w:cs="宋体"/>
          <w:b/>
          <w:bCs/>
          <w:sz w:val="24"/>
          <w:szCs w:val="24"/>
        </w:rPr>
        <w:t>2</w:t>
      </w:r>
      <w:r w:rsidRPr="00E90188">
        <w:rPr>
          <w:rFonts w:ascii="Book Antiqua" w:hAnsi="Book Antiqua" w:cs="宋体"/>
          <w:sz w:val="24"/>
          <w:szCs w:val="24"/>
        </w:rPr>
        <w:t>: 865-867 [PMID: 4186452]</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29 </w:t>
      </w:r>
      <w:r w:rsidRPr="00E90188">
        <w:rPr>
          <w:rFonts w:ascii="Book Antiqua" w:hAnsi="Book Antiqua" w:cs="宋体"/>
          <w:b/>
          <w:bCs/>
          <w:sz w:val="24"/>
          <w:szCs w:val="24"/>
        </w:rPr>
        <w:t>Wang F</w:t>
      </w:r>
      <w:r w:rsidRPr="00E90188">
        <w:rPr>
          <w:rFonts w:ascii="Book Antiqua" w:hAnsi="Book Antiqua" w:cs="宋体"/>
          <w:sz w:val="24"/>
          <w:szCs w:val="24"/>
        </w:rPr>
        <w:t>, Kumar P. The role of radiotherapy in management of pancreatic cancer. </w:t>
      </w:r>
      <w:r w:rsidRPr="00E90188">
        <w:rPr>
          <w:rFonts w:ascii="Book Antiqua" w:hAnsi="Book Antiqua" w:cs="宋体"/>
          <w:i/>
          <w:iCs/>
          <w:sz w:val="24"/>
          <w:szCs w:val="24"/>
        </w:rPr>
        <w:t>J Gastrointest Oncol</w:t>
      </w:r>
      <w:r w:rsidRPr="00E90188">
        <w:rPr>
          <w:rFonts w:ascii="Book Antiqua" w:hAnsi="Book Antiqua" w:cs="宋体"/>
          <w:sz w:val="24"/>
          <w:szCs w:val="24"/>
        </w:rPr>
        <w:t> 2011; </w:t>
      </w:r>
      <w:r w:rsidRPr="00E90188">
        <w:rPr>
          <w:rFonts w:ascii="Book Antiqua" w:hAnsi="Book Antiqua" w:cs="宋体"/>
          <w:b/>
          <w:bCs/>
          <w:sz w:val="24"/>
          <w:szCs w:val="24"/>
        </w:rPr>
        <w:t>2</w:t>
      </w:r>
      <w:r w:rsidRPr="00E90188">
        <w:rPr>
          <w:rFonts w:ascii="Book Antiqua" w:hAnsi="Book Antiqua" w:cs="宋体"/>
          <w:sz w:val="24"/>
          <w:szCs w:val="24"/>
        </w:rPr>
        <w:t>: 157-167 [PMID: 22811846 DOI: 10.3978/j.issn.2078-6891.2011.032]</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30 </w:t>
      </w:r>
      <w:r w:rsidRPr="00E90188">
        <w:rPr>
          <w:rFonts w:ascii="Book Antiqua" w:hAnsi="Book Antiqua" w:cs="宋体"/>
          <w:b/>
          <w:bCs/>
          <w:sz w:val="24"/>
          <w:szCs w:val="24"/>
        </w:rPr>
        <w:t>Yeo CJ</w:t>
      </w:r>
      <w:r w:rsidRPr="00E90188">
        <w:rPr>
          <w:rFonts w:ascii="Book Antiqua" w:hAnsi="Book Antiqua" w:cs="宋体"/>
          <w:sz w:val="24"/>
          <w:szCs w:val="24"/>
        </w:rPr>
        <w:t>, Abrams RA, Grochow LB, Sohn TA, Ord SE, Hruban RH, Zahurak ML, Dooley WC, Coleman J, Sauter PK, Pitt HA, Lillemoe KD, Cameron JL. Pancreaticoduodenectomy for pancreatic adenocarcinoma: postoperative adjuvant chemoradiation improves survival. A prospective, single-institution experience. </w:t>
      </w:r>
      <w:r w:rsidRPr="00E90188">
        <w:rPr>
          <w:rFonts w:ascii="Book Antiqua" w:hAnsi="Book Antiqua" w:cs="宋体"/>
          <w:i/>
          <w:iCs/>
          <w:sz w:val="24"/>
          <w:szCs w:val="24"/>
        </w:rPr>
        <w:t>Ann Surg</w:t>
      </w:r>
      <w:r w:rsidRPr="00E90188">
        <w:rPr>
          <w:rFonts w:ascii="Book Antiqua" w:hAnsi="Book Antiqua" w:cs="宋体"/>
          <w:sz w:val="24"/>
          <w:szCs w:val="24"/>
        </w:rPr>
        <w:t> 1997; </w:t>
      </w:r>
      <w:r w:rsidRPr="00E90188">
        <w:rPr>
          <w:rFonts w:ascii="Book Antiqua" w:hAnsi="Book Antiqua" w:cs="宋体"/>
          <w:b/>
          <w:bCs/>
          <w:sz w:val="24"/>
          <w:szCs w:val="24"/>
        </w:rPr>
        <w:t>225</w:t>
      </w:r>
      <w:r w:rsidRPr="00E90188">
        <w:rPr>
          <w:rFonts w:ascii="Book Antiqua" w:hAnsi="Book Antiqua" w:cs="宋体"/>
          <w:sz w:val="24"/>
          <w:szCs w:val="24"/>
        </w:rPr>
        <w:t>: 621-</w:t>
      </w:r>
      <w:r>
        <w:rPr>
          <w:rFonts w:ascii="Book Antiqua" w:hAnsi="Book Antiqua" w:cs="宋体"/>
          <w:sz w:val="24"/>
          <w:szCs w:val="24"/>
          <w:lang w:eastAsia="zh-CN"/>
        </w:rPr>
        <w:t>6</w:t>
      </w:r>
      <w:r w:rsidRPr="00E90188">
        <w:rPr>
          <w:rFonts w:ascii="Book Antiqua" w:hAnsi="Book Antiqua" w:cs="宋体"/>
          <w:sz w:val="24"/>
          <w:szCs w:val="24"/>
        </w:rPr>
        <w:t>33; discussion 633-</w:t>
      </w:r>
      <w:r>
        <w:rPr>
          <w:rFonts w:ascii="Book Antiqua" w:hAnsi="Book Antiqua" w:cs="宋体"/>
          <w:sz w:val="24"/>
          <w:szCs w:val="24"/>
          <w:lang w:eastAsia="zh-CN"/>
        </w:rPr>
        <w:t>63</w:t>
      </w:r>
      <w:r w:rsidRPr="00E90188">
        <w:rPr>
          <w:rFonts w:ascii="Book Antiqua" w:hAnsi="Book Antiqua" w:cs="宋体"/>
          <w:sz w:val="24"/>
          <w:szCs w:val="24"/>
        </w:rPr>
        <w:t>6 [PMID: 9193189 DOI: 10.1097/00000658-199705000-00018]</w:t>
      </w:r>
    </w:p>
    <w:p w:rsidR="00A06E23" w:rsidRPr="00E90188" w:rsidRDefault="00A06E23" w:rsidP="00C962AB">
      <w:pPr>
        <w:spacing w:after="0" w:line="360" w:lineRule="auto"/>
        <w:rPr>
          <w:rFonts w:ascii="Book Antiqua" w:hAnsi="Book Antiqua" w:cs="宋体"/>
          <w:sz w:val="24"/>
          <w:szCs w:val="24"/>
        </w:rPr>
      </w:pPr>
      <w:r w:rsidRPr="00E90188">
        <w:rPr>
          <w:rFonts w:ascii="Book Antiqua" w:hAnsi="Book Antiqua" w:cs="宋体"/>
          <w:sz w:val="24"/>
          <w:szCs w:val="24"/>
        </w:rPr>
        <w:t>31</w:t>
      </w:r>
      <w:r w:rsidRPr="00E90188">
        <w:rPr>
          <w:rFonts w:ascii="Book Antiqua" w:hAnsi="Book Antiqua" w:cs="宋体"/>
          <w:b/>
          <w:sz w:val="24"/>
          <w:szCs w:val="24"/>
        </w:rPr>
        <w:t>Thomas A</w:t>
      </w:r>
      <w:r w:rsidRPr="00E90188">
        <w:rPr>
          <w:rFonts w:ascii="Book Antiqua" w:hAnsi="Book Antiqua" w:cs="宋体"/>
          <w:sz w:val="24"/>
          <w:szCs w:val="24"/>
        </w:rPr>
        <w:t xml:space="preserve">, Dajani K, Neoptolemos JP, Ghaneh P. Adjuvant therapy in pancreatic cancer. </w:t>
      </w:r>
      <w:r w:rsidRPr="00C23947">
        <w:rPr>
          <w:rFonts w:ascii="Book Antiqua" w:hAnsi="Book Antiqua" w:cs="宋体"/>
          <w:i/>
          <w:sz w:val="24"/>
          <w:szCs w:val="24"/>
        </w:rPr>
        <w:t>Dig Dis</w:t>
      </w:r>
      <w:r w:rsidRPr="00E90188">
        <w:rPr>
          <w:rFonts w:ascii="Book Antiqua" w:hAnsi="Book Antiqua" w:cs="宋体"/>
          <w:sz w:val="24"/>
          <w:szCs w:val="24"/>
        </w:rPr>
        <w:t xml:space="preserve"> 2010; </w:t>
      </w:r>
      <w:r w:rsidRPr="00C23947">
        <w:rPr>
          <w:rFonts w:ascii="Book Antiqua" w:hAnsi="Book Antiqua" w:cs="宋体"/>
          <w:b/>
          <w:sz w:val="24"/>
          <w:szCs w:val="24"/>
        </w:rPr>
        <w:t>28</w:t>
      </w:r>
      <w:r w:rsidRPr="00E90188">
        <w:rPr>
          <w:rFonts w:ascii="Book Antiqua" w:hAnsi="Book Antiqua" w:cs="宋体"/>
          <w:sz w:val="24"/>
          <w:szCs w:val="24"/>
        </w:rPr>
        <w:t>: 684-92 [PMID:21088421 DOI: 10.1159/000320099]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32 </w:t>
      </w:r>
      <w:r w:rsidRPr="00E90188">
        <w:rPr>
          <w:rFonts w:ascii="Book Antiqua" w:hAnsi="Book Antiqua" w:cs="宋体"/>
          <w:b/>
          <w:bCs/>
          <w:sz w:val="24"/>
          <w:szCs w:val="24"/>
        </w:rPr>
        <w:t>Regine WF</w:t>
      </w:r>
      <w:r w:rsidRPr="00E90188">
        <w:rPr>
          <w:rFonts w:ascii="Book Antiqua" w:hAnsi="Book Antiqua" w:cs="宋体"/>
          <w:sz w:val="24"/>
          <w:szCs w:val="24"/>
        </w:rPr>
        <w:t>, Winter KA, Abrams RA, Safran H, Hoffman JP, Konski A, Benson AB, Macdonald JS, Kudrimoti MR, Fromm ML, Haddock MG, Schaefer P, Willett CG, Rich TA. Fluorouracil vs gemcitabine chemotherapy before and after fluorouracil-based chemoradiation following resection of pancreatic adenocarcinoma: a randomized controlled trial. </w:t>
      </w:r>
      <w:r w:rsidRPr="00E90188">
        <w:rPr>
          <w:rFonts w:ascii="Book Antiqua" w:hAnsi="Book Antiqua" w:cs="宋体"/>
          <w:i/>
          <w:iCs/>
          <w:sz w:val="24"/>
          <w:szCs w:val="24"/>
        </w:rPr>
        <w:t>JAMA</w:t>
      </w:r>
      <w:r w:rsidRPr="00E90188">
        <w:rPr>
          <w:rFonts w:ascii="Book Antiqua" w:hAnsi="Book Antiqua" w:cs="宋体"/>
          <w:sz w:val="24"/>
          <w:szCs w:val="24"/>
        </w:rPr>
        <w:t> 2008; </w:t>
      </w:r>
      <w:r w:rsidRPr="00E90188">
        <w:rPr>
          <w:rFonts w:ascii="Book Antiqua" w:hAnsi="Book Antiqua" w:cs="宋体"/>
          <w:b/>
          <w:bCs/>
          <w:sz w:val="24"/>
          <w:szCs w:val="24"/>
        </w:rPr>
        <w:t>299</w:t>
      </w:r>
      <w:r w:rsidRPr="00E90188">
        <w:rPr>
          <w:rFonts w:ascii="Book Antiqua" w:hAnsi="Book Antiqua" w:cs="宋体"/>
          <w:sz w:val="24"/>
          <w:szCs w:val="24"/>
        </w:rPr>
        <w:t>: 1019-1026 [PMID: 18319412 DOI: 10.1001/jama.299.9.1019]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33 </w:t>
      </w:r>
      <w:r w:rsidRPr="00E90188">
        <w:rPr>
          <w:rFonts w:ascii="Book Antiqua" w:hAnsi="Book Antiqua" w:cs="宋体"/>
          <w:b/>
          <w:bCs/>
          <w:sz w:val="24"/>
          <w:szCs w:val="24"/>
        </w:rPr>
        <w:t>Regine WF</w:t>
      </w:r>
      <w:r w:rsidRPr="00E90188">
        <w:rPr>
          <w:rFonts w:ascii="Book Antiqua" w:hAnsi="Book Antiqua" w:cs="宋体"/>
          <w:sz w:val="24"/>
          <w:szCs w:val="24"/>
        </w:rPr>
        <w:t>, Winter KA, Abrams R, Safran H, Hoffman JP, Konski A, Benson AB, Macdonald JS, Rich TA, Willett CG. Fluorouracil-based chemoradiation with either gemcitabine or fluorouracil chemotherapy after resection of pancreatic adenocarcinoma: 5-year analysis of the U.S. Intergroup/RTOG 9704 phase III trial. </w:t>
      </w:r>
      <w:r w:rsidRPr="00E90188">
        <w:rPr>
          <w:rFonts w:ascii="Book Antiqua" w:hAnsi="Book Antiqua" w:cs="宋体"/>
          <w:i/>
          <w:iCs/>
          <w:sz w:val="24"/>
          <w:szCs w:val="24"/>
        </w:rPr>
        <w:t>Ann Surg Oncol</w:t>
      </w:r>
      <w:r w:rsidRPr="00E90188">
        <w:rPr>
          <w:rFonts w:ascii="Book Antiqua" w:hAnsi="Book Antiqua" w:cs="宋体"/>
          <w:sz w:val="24"/>
          <w:szCs w:val="24"/>
        </w:rPr>
        <w:t> 2011; </w:t>
      </w:r>
      <w:r w:rsidRPr="00E90188">
        <w:rPr>
          <w:rFonts w:ascii="Book Antiqua" w:hAnsi="Book Antiqua" w:cs="宋体"/>
          <w:b/>
          <w:bCs/>
          <w:sz w:val="24"/>
          <w:szCs w:val="24"/>
        </w:rPr>
        <w:t>18</w:t>
      </w:r>
      <w:r w:rsidRPr="00E90188">
        <w:rPr>
          <w:rFonts w:ascii="Book Antiqua" w:hAnsi="Book Antiqua" w:cs="宋体"/>
          <w:sz w:val="24"/>
          <w:szCs w:val="24"/>
        </w:rPr>
        <w:t>: 1319-1326 [PMID: 21499862 DOI: 10.1245/s10434-011-1630-6]</w:t>
      </w:r>
    </w:p>
    <w:p w:rsidR="00A06E23" w:rsidRPr="007B605F" w:rsidRDefault="00A06E23" w:rsidP="00C962AB">
      <w:pPr>
        <w:spacing w:after="0" w:line="360" w:lineRule="auto"/>
        <w:jc w:val="both"/>
        <w:rPr>
          <w:rFonts w:ascii="Book Antiqua" w:hAnsi="Book Antiqua" w:cs="宋体"/>
          <w:sz w:val="24"/>
          <w:szCs w:val="24"/>
          <w:lang w:val="it-IT"/>
        </w:rPr>
      </w:pPr>
      <w:r w:rsidRPr="00E90188">
        <w:rPr>
          <w:rFonts w:ascii="Book Antiqua" w:hAnsi="Book Antiqua" w:cs="宋体"/>
          <w:sz w:val="24"/>
          <w:szCs w:val="24"/>
        </w:rPr>
        <w:t>34 </w:t>
      </w:r>
      <w:r w:rsidRPr="00E90188">
        <w:rPr>
          <w:rFonts w:ascii="Book Antiqua" w:hAnsi="Book Antiqua" w:cs="宋体"/>
          <w:b/>
          <w:bCs/>
          <w:sz w:val="24"/>
          <w:szCs w:val="24"/>
        </w:rPr>
        <w:t>Schmidt J</w:t>
      </w:r>
      <w:r w:rsidRPr="00E90188">
        <w:rPr>
          <w:rFonts w:ascii="Book Antiqua" w:hAnsi="Book Antiqua" w:cs="宋体"/>
          <w:sz w:val="24"/>
          <w:szCs w:val="24"/>
        </w:rPr>
        <w:t xml:space="preserve">, Abel U, Debus J, Harig S, Hoffmann K, Herrmann T, Bartsch D, Klein J, Mansmann U, Jäger D, Capussotti L, Kunz R, Büchler MW. Open-label, multicenter, randomized phase III trial of adjuvant chemoradiation plus interferon Alfa-2b versus fluorouracil and folinic acid for patients with resected pancreatic </w:t>
      </w:r>
      <w:r w:rsidRPr="00E90188">
        <w:rPr>
          <w:rFonts w:ascii="Book Antiqua" w:hAnsi="Book Antiqua" w:cs="宋体"/>
          <w:sz w:val="24"/>
          <w:szCs w:val="24"/>
        </w:rPr>
        <w:lastRenderedPageBreak/>
        <w:t>adenocarcinoma. </w:t>
      </w:r>
      <w:r w:rsidRPr="007B605F">
        <w:rPr>
          <w:rFonts w:ascii="Book Antiqua" w:hAnsi="Book Antiqua" w:cs="宋体"/>
          <w:i/>
          <w:iCs/>
          <w:sz w:val="24"/>
          <w:szCs w:val="24"/>
          <w:lang w:val="it-IT"/>
        </w:rPr>
        <w:t>J Clin Oncol</w:t>
      </w:r>
      <w:r w:rsidRPr="007B605F">
        <w:rPr>
          <w:rFonts w:ascii="Book Antiqua" w:hAnsi="Book Antiqua" w:cs="宋体"/>
          <w:sz w:val="24"/>
          <w:szCs w:val="24"/>
          <w:lang w:val="it-IT"/>
        </w:rPr>
        <w:t> 2012; </w:t>
      </w:r>
      <w:r w:rsidRPr="007B605F">
        <w:rPr>
          <w:rFonts w:ascii="Book Antiqua" w:hAnsi="Book Antiqua" w:cs="宋体"/>
          <w:b/>
          <w:bCs/>
          <w:sz w:val="24"/>
          <w:szCs w:val="24"/>
          <w:lang w:val="it-IT"/>
        </w:rPr>
        <w:t>30</w:t>
      </w:r>
      <w:r w:rsidRPr="007B605F">
        <w:rPr>
          <w:rFonts w:ascii="Book Antiqua" w:hAnsi="Book Antiqua" w:cs="宋体"/>
          <w:sz w:val="24"/>
          <w:szCs w:val="24"/>
          <w:lang w:val="it-IT"/>
        </w:rPr>
        <w:t>: 4077-4083 [PMID: 23008325 DOI: 10.1200/JCO.2011.38.2960]</w:t>
      </w:r>
    </w:p>
    <w:p w:rsidR="00A06E23" w:rsidRPr="00E90188" w:rsidRDefault="00A06E23" w:rsidP="00C962AB">
      <w:pPr>
        <w:spacing w:after="0" w:line="360" w:lineRule="auto"/>
        <w:jc w:val="both"/>
        <w:rPr>
          <w:rFonts w:ascii="Book Antiqua" w:hAnsi="Book Antiqua" w:cs="宋体"/>
          <w:sz w:val="24"/>
          <w:szCs w:val="24"/>
        </w:rPr>
      </w:pPr>
      <w:r w:rsidRPr="007B605F">
        <w:rPr>
          <w:rFonts w:ascii="Book Antiqua" w:hAnsi="Book Antiqua" w:cs="宋体"/>
          <w:sz w:val="24"/>
          <w:szCs w:val="24"/>
          <w:lang w:val="it-IT"/>
        </w:rPr>
        <w:t>35 </w:t>
      </w:r>
      <w:r w:rsidRPr="007B605F">
        <w:rPr>
          <w:rFonts w:ascii="Book Antiqua" w:hAnsi="Book Antiqua" w:cs="宋体"/>
          <w:b/>
          <w:bCs/>
          <w:sz w:val="24"/>
          <w:szCs w:val="24"/>
          <w:lang w:val="it-IT"/>
        </w:rPr>
        <w:t>Picozzi VJ</w:t>
      </w:r>
      <w:r w:rsidRPr="007B605F">
        <w:rPr>
          <w:rFonts w:ascii="Book Antiqua" w:hAnsi="Book Antiqua" w:cs="宋体"/>
          <w:sz w:val="24"/>
          <w:szCs w:val="24"/>
          <w:lang w:val="it-IT"/>
        </w:rPr>
        <w:t xml:space="preserve">, Kozarek RA, Traverso LW. </w:t>
      </w:r>
      <w:r w:rsidRPr="00E90188">
        <w:rPr>
          <w:rFonts w:ascii="Book Antiqua" w:hAnsi="Book Antiqua" w:cs="宋体"/>
          <w:sz w:val="24"/>
          <w:szCs w:val="24"/>
        </w:rPr>
        <w:t>Interferon-based adjuvant chemoradiation therapy after pancreaticoduodenectomy for pancreatic adenocarcinoma. </w:t>
      </w:r>
      <w:r w:rsidRPr="00E90188">
        <w:rPr>
          <w:rFonts w:ascii="Book Antiqua" w:hAnsi="Book Antiqua" w:cs="宋体"/>
          <w:i/>
          <w:iCs/>
          <w:sz w:val="24"/>
          <w:szCs w:val="24"/>
        </w:rPr>
        <w:t>Am J Surg</w:t>
      </w:r>
      <w:r w:rsidRPr="00E90188">
        <w:rPr>
          <w:rFonts w:ascii="Book Antiqua" w:hAnsi="Book Antiqua" w:cs="宋体"/>
          <w:sz w:val="24"/>
          <w:szCs w:val="24"/>
        </w:rPr>
        <w:t> 2003; </w:t>
      </w:r>
      <w:r w:rsidRPr="00E90188">
        <w:rPr>
          <w:rFonts w:ascii="Book Antiqua" w:hAnsi="Book Antiqua" w:cs="宋体"/>
          <w:b/>
          <w:bCs/>
          <w:sz w:val="24"/>
          <w:szCs w:val="24"/>
        </w:rPr>
        <w:t>185</w:t>
      </w:r>
      <w:r w:rsidRPr="00E90188">
        <w:rPr>
          <w:rFonts w:ascii="Book Antiqua" w:hAnsi="Book Antiqua" w:cs="宋体"/>
          <w:sz w:val="24"/>
          <w:szCs w:val="24"/>
        </w:rPr>
        <w:t>: 476-480 [PMID: 12727570 DOI: 10.1016/S0002-9610(03)00051-5]</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36 </w:t>
      </w:r>
      <w:r w:rsidRPr="00E90188">
        <w:rPr>
          <w:rFonts w:ascii="Book Antiqua" w:hAnsi="Book Antiqua" w:cs="宋体"/>
          <w:b/>
          <w:bCs/>
          <w:sz w:val="24"/>
          <w:szCs w:val="24"/>
        </w:rPr>
        <w:t>Picozzi VJ</w:t>
      </w:r>
      <w:r w:rsidRPr="00E90188">
        <w:rPr>
          <w:rFonts w:ascii="Book Antiqua" w:hAnsi="Book Antiqua" w:cs="宋体"/>
          <w:sz w:val="24"/>
          <w:szCs w:val="24"/>
        </w:rPr>
        <w:t>, Abrams RA, Decker PA, Traverso W, O'Reilly EM, Greeno E, Martin RC, Wilfong LS, Rothenberg ML, Posner MC, Pisters PW. Multicenter phase II trial of adjuvant therapy for resected pancreatic cancer using cisplatin, 5-fluorouracil, and interferon-alfa-2b-based chemoradiation: ACOSOG Trial Z05031. </w:t>
      </w:r>
      <w:r w:rsidRPr="00E90188">
        <w:rPr>
          <w:rFonts w:ascii="Book Antiqua" w:hAnsi="Book Antiqua" w:cs="宋体"/>
          <w:i/>
          <w:iCs/>
          <w:sz w:val="24"/>
          <w:szCs w:val="24"/>
        </w:rPr>
        <w:t>Ann Oncol</w:t>
      </w:r>
      <w:r w:rsidRPr="00E90188">
        <w:rPr>
          <w:rFonts w:ascii="Book Antiqua" w:hAnsi="Book Antiqua" w:cs="宋体"/>
          <w:sz w:val="24"/>
          <w:szCs w:val="24"/>
        </w:rPr>
        <w:t> 2011; </w:t>
      </w:r>
      <w:r w:rsidRPr="00E90188">
        <w:rPr>
          <w:rFonts w:ascii="Book Antiqua" w:hAnsi="Book Antiqua" w:cs="宋体"/>
          <w:b/>
          <w:bCs/>
          <w:sz w:val="24"/>
          <w:szCs w:val="24"/>
        </w:rPr>
        <w:t>22</w:t>
      </w:r>
      <w:r w:rsidRPr="00E90188">
        <w:rPr>
          <w:rFonts w:ascii="Book Antiqua" w:hAnsi="Book Antiqua" w:cs="宋体"/>
          <w:sz w:val="24"/>
          <w:szCs w:val="24"/>
        </w:rPr>
        <w:t>: 348-354 [PMID: 20670978 DOI: 10.1093/annonc/mdq384]</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37 </w:t>
      </w:r>
      <w:r w:rsidRPr="00E90188">
        <w:rPr>
          <w:rFonts w:ascii="Book Antiqua" w:hAnsi="Book Antiqua" w:cs="宋体"/>
          <w:b/>
          <w:bCs/>
          <w:sz w:val="24"/>
          <w:szCs w:val="24"/>
        </w:rPr>
        <w:t>Herman JM</w:t>
      </w:r>
      <w:r w:rsidRPr="00E90188">
        <w:rPr>
          <w:rFonts w:ascii="Book Antiqua" w:hAnsi="Book Antiqua" w:cs="宋体"/>
          <w:sz w:val="24"/>
          <w:szCs w:val="24"/>
        </w:rPr>
        <w:t>, Swartz MJ, Hsu CC, Winter J, Pawlik TM, Sugar E, Robinson R, Laheru DA, Jaffee E, Hruban RH, Campbell KA, Wolfgang CL, Asrari F, Donehower R, Hidalgo M, Diaz LA, Yeo C, Cameron JL, Schulick RD, Abrams R. Analysis of fluorouracil-based adjuvant chemotherapy and radiation after pancreaticoduodenectomy for ductal adenocarcinoma of the pancreas: results of a large, prospectively collected database at the Johns Hopkins Hospital. </w:t>
      </w:r>
      <w:r w:rsidRPr="00E90188">
        <w:rPr>
          <w:rFonts w:ascii="Book Antiqua" w:hAnsi="Book Antiqua" w:cs="宋体"/>
          <w:i/>
          <w:iCs/>
          <w:sz w:val="24"/>
          <w:szCs w:val="24"/>
        </w:rPr>
        <w:t>J Clin Oncol</w:t>
      </w:r>
      <w:r w:rsidRPr="00E90188">
        <w:rPr>
          <w:rFonts w:ascii="Book Antiqua" w:hAnsi="Book Antiqua" w:cs="宋体"/>
          <w:sz w:val="24"/>
          <w:szCs w:val="24"/>
        </w:rPr>
        <w:t> 2008; </w:t>
      </w:r>
      <w:r w:rsidRPr="00E90188">
        <w:rPr>
          <w:rFonts w:ascii="Book Antiqua" w:hAnsi="Book Antiqua" w:cs="宋体"/>
          <w:b/>
          <w:bCs/>
          <w:sz w:val="24"/>
          <w:szCs w:val="24"/>
        </w:rPr>
        <w:t>26</w:t>
      </w:r>
      <w:r w:rsidRPr="00E90188">
        <w:rPr>
          <w:rFonts w:ascii="Book Antiqua" w:hAnsi="Book Antiqua" w:cs="宋体"/>
          <w:sz w:val="24"/>
          <w:szCs w:val="24"/>
        </w:rPr>
        <w:t>: 3503-3510 [PMID: 18640931 DOI: 10.1200/JCO.2007.15.8469]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38 </w:t>
      </w:r>
      <w:r w:rsidRPr="00E90188">
        <w:rPr>
          <w:rFonts w:ascii="Book Antiqua" w:hAnsi="Book Antiqua" w:cs="宋体"/>
          <w:b/>
          <w:bCs/>
          <w:sz w:val="24"/>
          <w:szCs w:val="24"/>
        </w:rPr>
        <w:t>Corsini MM</w:t>
      </w:r>
      <w:r w:rsidRPr="00E90188">
        <w:rPr>
          <w:rFonts w:ascii="Book Antiqua" w:hAnsi="Book Antiqua" w:cs="宋体"/>
          <w:sz w:val="24"/>
          <w:szCs w:val="24"/>
        </w:rPr>
        <w:t>, Miller RC, Haddock MG, Donohue JH, Farnell MB, Nagorney DM, Jatoi A, McWilliams RR, Kim GP, Bhatia S, Iott MJ, Gunderson LL. Adjuvant radiotherapy and chemotherapy for pancreatic carcinoma: the Mayo Clinic experience (1975-2005). </w:t>
      </w:r>
      <w:r w:rsidRPr="00E90188">
        <w:rPr>
          <w:rFonts w:ascii="Book Antiqua" w:hAnsi="Book Antiqua" w:cs="宋体"/>
          <w:i/>
          <w:iCs/>
          <w:sz w:val="24"/>
          <w:szCs w:val="24"/>
        </w:rPr>
        <w:t>J Clin Oncol</w:t>
      </w:r>
      <w:r w:rsidRPr="00E90188">
        <w:rPr>
          <w:rFonts w:ascii="Book Antiqua" w:hAnsi="Book Antiqua" w:cs="宋体"/>
          <w:sz w:val="24"/>
          <w:szCs w:val="24"/>
        </w:rPr>
        <w:t> 2008; </w:t>
      </w:r>
      <w:r w:rsidRPr="00E90188">
        <w:rPr>
          <w:rFonts w:ascii="Book Antiqua" w:hAnsi="Book Antiqua" w:cs="宋体"/>
          <w:b/>
          <w:bCs/>
          <w:sz w:val="24"/>
          <w:szCs w:val="24"/>
        </w:rPr>
        <w:t>26</w:t>
      </w:r>
      <w:r w:rsidRPr="00E90188">
        <w:rPr>
          <w:rFonts w:ascii="Book Antiqua" w:hAnsi="Book Antiqua" w:cs="宋体"/>
          <w:sz w:val="24"/>
          <w:szCs w:val="24"/>
        </w:rPr>
        <w:t>: 3511-3516 [PMID: 18640932 DOI: 10.1200/JCO.2007.15.8782]</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39 </w:t>
      </w:r>
      <w:r w:rsidRPr="00E90188">
        <w:rPr>
          <w:rFonts w:ascii="Book Antiqua" w:hAnsi="Book Antiqua" w:cs="宋体"/>
          <w:b/>
          <w:bCs/>
          <w:sz w:val="24"/>
          <w:szCs w:val="24"/>
        </w:rPr>
        <w:t>Artinyan A</w:t>
      </w:r>
      <w:r w:rsidRPr="00E90188">
        <w:rPr>
          <w:rFonts w:ascii="Book Antiqua" w:hAnsi="Book Antiqua" w:cs="宋体"/>
          <w:sz w:val="24"/>
          <w:szCs w:val="24"/>
        </w:rPr>
        <w:t>, Hellan M, Mojica-Manosa P, Chen YJ, Pezner R, Ellenhorn JD, Kim J. Improved survival with adjuvant external-beam radiation therapy in lymph node-negative pancreatic cancer: a United States population-based assessment. </w:t>
      </w:r>
      <w:r w:rsidRPr="00E90188">
        <w:rPr>
          <w:rFonts w:ascii="Book Antiqua" w:hAnsi="Book Antiqua" w:cs="宋体"/>
          <w:i/>
          <w:iCs/>
          <w:sz w:val="24"/>
          <w:szCs w:val="24"/>
        </w:rPr>
        <w:t>Cancer</w:t>
      </w:r>
      <w:r w:rsidRPr="00E90188">
        <w:rPr>
          <w:rFonts w:ascii="Book Antiqua" w:hAnsi="Book Antiqua" w:cs="宋体"/>
          <w:sz w:val="24"/>
          <w:szCs w:val="24"/>
        </w:rPr>
        <w:t> 2008; </w:t>
      </w:r>
      <w:r w:rsidRPr="00E90188">
        <w:rPr>
          <w:rFonts w:ascii="Book Antiqua" w:hAnsi="Book Antiqua" w:cs="宋体"/>
          <w:b/>
          <w:bCs/>
          <w:sz w:val="24"/>
          <w:szCs w:val="24"/>
        </w:rPr>
        <w:t>112</w:t>
      </w:r>
      <w:r w:rsidRPr="00E90188">
        <w:rPr>
          <w:rFonts w:ascii="Book Antiqua" w:hAnsi="Book Antiqua" w:cs="宋体"/>
          <w:sz w:val="24"/>
          <w:szCs w:val="24"/>
        </w:rPr>
        <w:t>: 34-42 [PMID: 18000805 DOI: 10.1002/cncr.23134]</w:t>
      </w:r>
    </w:p>
    <w:p w:rsidR="00A06E23" w:rsidRPr="00E90188" w:rsidRDefault="00A06E23" w:rsidP="00C962AB">
      <w:pPr>
        <w:spacing w:after="0" w:line="360" w:lineRule="auto"/>
        <w:jc w:val="both"/>
        <w:rPr>
          <w:rFonts w:ascii="Book Antiqua" w:hAnsi="Book Antiqua" w:cs="宋体"/>
          <w:sz w:val="24"/>
          <w:szCs w:val="24"/>
          <w:lang w:eastAsia="zh-CN"/>
        </w:rPr>
      </w:pPr>
      <w:r w:rsidRPr="00E90188">
        <w:rPr>
          <w:rFonts w:ascii="Book Antiqua" w:hAnsi="Book Antiqua" w:cs="宋体"/>
          <w:sz w:val="24"/>
          <w:szCs w:val="24"/>
        </w:rPr>
        <w:t xml:space="preserve">40 </w:t>
      </w:r>
      <w:r w:rsidRPr="00E90188">
        <w:rPr>
          <w:rFonts w:ascii="Book Antiqua" w:hAnsi="Book Antiqua" w:cs="宋体"/>
          <w:b/>
          <w:sz w:val="24"/>
          <w:szCs w:val="24"/>
        </w:rPr>
        <w:t>Greco JA</w:t>
      </w:r>
      <w:r w:rsidRPr="00E90188">
        <w:rPr>
          <w:rFonts w:ascii="Book Antiqua" w:hAnsi="Book Antiqua" w:cs="宋体"/>
          <w:sz w:val="24"/>
          <w:szCs w:val="24"/>
        </w:rPr>
        <w:t>, Castaldo ET, Feurer ID, Pinson CW, Chakravarthy AB, Merchant NB, Parikh AA. Survival benefit with adjuvant radiation therapy in surgically resected pancreatic cancer. ASCO Gastrointestinal Cancers Symposium Proceedings; 2007 Jan 1</w:t>
      </w:r>
      <w:r>
        <w:rPr>
          <w:rFonts w:ascii="Book Antiqua" w:hAnsi="Book Antiqua" w:cs="宋体"/>
          <w:sz w:val="24"/>
          <w:szCs w:val="24"/>
        </w:rPr>
        <w:t>9-21; Orlando, US. Abstract 109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lastRenderedPageBreak/>
        <w:t>41 </w:t>
      </w:r>
      <w:r w:rsidRPr="00E90188">
        <w:rPr>
          <w:rFonts w:ascii="Book Antiqua" w:hAnsi="Book Antiqua" w:cs="宋体"/>
          <w:b/>
          <w:bCs/>
          <w:sz w:val="24"/>
          <w:szCs w:val="24"/>
        </w:rPr>
        <w:t>Moody JS</w:t>
      </w:r>
      <w:r w:rsidRPr="00E90188">
        <w:rPr>
          <w:rFonts w:ascii="Book Antiqua" w:hAnsi="Book Antiqua" w:cs="宋体"/>
          <w:sz w:val="24"/>
          <w:szCs w:val="24"/>
        </w:rPr>
        <w:t>, Sawrie SM, Kozak KR, Plastaras JP, Howard G, Bonner JA. Adjuvant radiotherapy for pancreatic cancer is associated with a survival benefit primarily in stage IIB patients. </w:t>
      </w:r>
      <w:r w:rsidRPr="00E90188">
        <w:rPr>
          <w:rFonts w:ascii="Book Antiqua" w:hAnsi="Book Antiqua" w:cs="宋体"/>
          <w:i/>
          <w:iCs/>
          <w:sz w:val="24"/>
          <w:szCs w:val="24"/>
        </w:rPr>
        <w:t>J Gastroenterol</w:t>
      </w:r>
      <w:r w:rsidRPr="00E90188">
        <w:rPr>
          <w:rFonts w:ascii="Book Antiqua" w:hAnsi="Book Antiqua" w:cs="宋体"/>
          <w:sz w:val="24"/>
          <w:szCs w:val="24"/>
        </w:rPr>
        <w:t> 2009; </w:t>
      </w:r>
      <w:r w:rsidRPr="00E90188">
        <w:rPr>
          <w:rFonts w:ascii="Book Antiqua" w:hAnsi="Book Antiqua" w:cs="宋体"/>
          <w:b/>
          <w:bCs/>
          <w:sz w:val="24"/>
          <w:szCs w:val="24"/>
        </w:rPr>
        <w:t>44</w:t>
      </w:r>
      <w:r w:rsidRPr="00E90188">
        <w:rPr>
          <w:rFonts w:ascii="Book Antiqua" w:hAnsi="Book Antiqua" w:cs="宋体"/>
          <w:sz w:val="24"/>
          <w:szCs w:val="24"/>
        </w:rPr>
        <w:t>: 84-91 [PMID: 19159077 DOI: 10.1007/s00535-008-2280-8]</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42 </w:t>
      </w:r>
      <w:r w:rsidRPr="00E90188">
        <w:rPr>
          <w:rFonts w:ascii="Book Antiqua" w:hAnsi="Book Antiqua" w:cs="宋体"/>
          <w:b/>
          <w:bCs/>
          <w:sz w:val="24"/>
          <w:szCs w:val="24"/>
        </w:rPr>
        <w:t>Hazard L</w:t>
      </w:r>
      <w:r w:rsidRPr="00E90188">
        <w:rPr>
          <w:rFonts w:ascii="Book Antiqua" w:hAnsi="Book Antiqua" w:cs="宋体"/>
          <w:sz w:val="24"/>
          <w:szCs w:val="24"/>
        </w:rPr>
        <w:t>, Tward JD, Szabo A, Shrieve DC. Radiation therapy is associated with improved survival in patients with pancreatic adenocarcinoma: results of a study from the Surveillance, Epidemiology, and End Results (SEER) registry data. </w:t>
      </w:r>
      <w:r w:rsidRPr="00E90188">
        <w:rPr>
          <w:rFonts w:ascii="Book Antiqua" w:hAnsi="Book Antiqua" w:cs="宋体"/>
          <w:i/>
          <w:iCs/>
          <w:sz w:val="24"/>
          <w:szCs w:val="24"/>
        </w:rPr>
        <w:t>Cancer</w:t>
      </w:r>
      <w:r w:rsidRPr="00E90188">
        <w:rPr>
          <w:rFonts w:ascii="Book Antiqua" w:hAnsi="Book Antiqua" w:cs="宋体"/>
          <w:sz w:val="24"/>
          <w:szCs w:val="24"/>
        </w:rPr>
        <w:t> 2007; </w:t>
      </w:r>
      <w:r w:rsidRPr="00E90188">
        <w:rPr>
          <w:rFonts w:ascii="Book Antiqua" w:hAnsi="Book Antiqua" w:cs="宋体"/>
          <w:b/>
          <w:bCs/>
          <w:sz w:val="24"/>
          <w:szCs w:val="24"/>
        </w:rPr>
        <w:t>110</w:t>
      </w:r>
      <w:r w:rsidRPr="00E90188">
        <w:rPr>
          <w:rFonts w:ascii="Book Antiqua" w:hAnsi="Book Antiqua" w:cs="宋体"/>
          <w:sz w:val="24"/>
          <w:szCs w:val="24"/>
        </w:rPr>
        <w:t>: 2191-2201 [PMID: 17918259 DOI: 10.1002/cncr.23047]</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 xml:space="preserve">43 </w:t>
      </w:r>
      <w:r w:rsidRPr="00E90188">
        <w:rPr>
          <w:rFonts w:ascii="Book Antiqua" w:hAnsi="Book Antiqua" w:cs="宋体"/>
          <w:b/>
          <w:sz w:val="24"/>
          <w:szCs w:val="24"/>
        </w:rPr>
        <w:t>Sawada N</w:t>
      </w:r>
      <w:r w:rsidRPr="00E90188">
        <w:rPr>
          <w:rFonts w:ascii="Book Antiqua" w:hAnsi="Book Antiqua" w:cs="宋体"/>
          <w:sz w:val="24"/>
          <w:szCs w:val="24"/>
        </w:rPr>
        <w:t xml:space="preserve">, Fujimoto-Ouchi K, Ishikawa T. Anti tumour activity of combination therapy with capecitabine plus vinorelbine, and capecitabine plus gemcitabine in human tumor xenograft models. </w:t>
      </w:r>
      <w:r w:rsidRPr="008774A8">
        <w:rPr>
          <w:rFonts w:ascii="Book Antiqua" w:hAnsi="Book Antiqua" w:cs="宋体"/>
          <w:i/>
          <w:sz w:val="24"/>
          <w:szCs w:val="24"/>
        </w:rPr>
        <w:t>Proc Am Assoc Cancer Res</w:t>
      </w:r>
      <w:r w:rsidRPr="00E90188">
        <w:rPr>
          <w:rFonts w:ascii="Book Antiqua" w:hAnsi="Book Antiqua" w:cs="宋体"/>
          <w:sz w:val="24"/>
          <w:szCs w:val="24"/>
        </w:rPr>
        <w:t xml:space="preserve"> 2002; </w:t>
      </w:r>
      <w:r w:rsidRPr="008774A8">
        <w:rPr>
          <w:rFonts w:ascii="Book Antiqua" w:hAnsi="Book Antiqua" w:cs="宋体"/>
          <w:b/>
          <w:sz w:val="24"/>
          <w:szCs w:val="24"/>
        </w:rPr>
        <w:t>43</w:t>
      </w:r>
      <w:r w:rsidRPr="00E90188">
        <w:rPr>
          <w:rFonts w:ascii="Book Antiqua" w:hAnsi="Book Antiqua" w:cs="宋体"/>
          <w:sz w:val="24"/>
          <w:szCs w:val="24"/>
        </w:rPr>
        <w:t>: 1088 (Abstract 5388)</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44 </w:t>
      </w:r>
      <w:r w:rsidRPr="00E90188">
        <w:rPr>
          <w:rFonts w:ascii="Book Antiqua" w:hAnsi="Book Antiqua" w:cs="宋体"/>
          <w:b/>
          <w:bCs/>
          <w:sz w:val="24"/>
          <w:szCs w:val="24"/>
        </w:rPr>
        <w:t>Cunningham D</w:t>
      </w:r>
      <w:r w:rsidRPr="00E90188">
        <w:rPr>
          <w:rFonts w:ascii="Book Antiqua" w:hAnsi="Book Antiqua" w:cs="宋体"/>
          <w:sz w:val="24"/>
          <w:szCs w:val="24"/>
        </w:rPr>
        <w:t>, Chau I, Stocken DD, Valle JW, Smith D, Steward W, Harper PG, Dunn J, Tudur-Smith C, West J, Falk S, Crellin A, Adab F, Thompson J, Leonard P, Ostrowski J, Eatock M, Scheithauer W, Herrmann R, Neoptolemos JP. Phase III randomized comparison of gemcitabine versus gemcitabine plus capecitabine in patients with advanced pancreatic cancer. </w:t>
      </w:r>
      <w:r w:rsidRPr="00E90188">
        <w:rPr>
          <w:rFonts w:ascii="Book Antiqua" w:hAnsi="Book Antiqua" w:cs="宋体"/>
          <w:i/>
          <w:iCs/>
          <w:sz w:val="24"/>
          <w:szCs w:val="24"/>
        </w:rPr>
        <w:t>J Clin Oncol</w:t>
      </w:r>
      <w:r w:rsidRPr="00E90188">
        <w:rPr>
          <w:rFonts w:ascii="Book Antiqua" w:hAnsi="Book Antiqua" w:cs="宋体"/>
          <w:sz w:val="24"/>
          <w:szCs w:val="24"/>
        </w:rPr>
        <w:t> 2009; </w:t>
      </w:r>
      <w:r w:rsidRPr="00E90188">
        <w:rPr>
          <w:rFonts w:ascii="Book Antiqua" w:hAnsi="Book Antiqua" w:cs="宋体"/>
          <w:b/>
          <w:bCs/>
          <w:sz w:val="24"/>
          <w:szCs w:val="24"/>
        </w:rPr>
        <w:t>27</w:t>
      </w:r>
      <w:r w:rsidRPr="00E90188">
        <w:rPr>
          <w:rFonts w:ascii="Book Antiqua" w:hAnsi="Book Antiqua" w:cs="宋体"/>
          <w:sz w:val="24"/>
          <w:szCs w:val="24"/>
        </w:rPr>
        <w:t>: 5513-5518 [PMID: 19858379 DOI: 10.1200/JCO.2009.24.2446]</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45 European Study Group for Pancreatic Cancer – Trial 4. Combination versus single agent chemotherapy in resectable pancreatic ductal and peri-ampullary cancers. Available from</w:t>
      </w:r>
      <w:r>
        <w:rPr>
          <w:rFonts w:ascii="Book Antiqua" w:hAnsi="Book Antiqua" w:cs="宋体"/>
          <w:sz w:val="24"/>
          <w:szCs w:val="24"/>
        </w:rPr>
        <w:t>:</w:t>
      </w:r>
      <w:r w:rsidRPr="00E90188">
        <w:rPr>
          <w:rFonts w:ascii="Book Antiqua" w:hAnsi="Book Antiqua" w:cs="宋体"/>
          <w:sz w:val="24"/>
          <w:szCs w:val="24"/>
        </w:rPr>
        <w:t xml:space="preserve"> URL: http: //public.ukcrn.org.uk/search/StudyDetail.aspx?StudyID=4307</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46 </w:t>
      </w:r>
      <w:r w:rsidRPr="00E90188">
        <w:rPr>
          <w:rFonts w:ascii="Book Antiqua" w:hAnsi="Book Antiqua" w:cs="宋体"/>
          <w:b/>
          <w:bCs/>
          <w:sz w:val="24"/>
          <w:szCs w:val="24"/>
        </w:rPr>
        <w:t>Conroy T</w:t>
      </w:r>
      <w:r w:rsidRPr="00E90188">
        <w:rPr>
          <w:rFonts w:ascii="Book Antiqua" w:hAnsi="Book Antiqua" w:cs="宋体"/>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E90188">
        <w:rPr>
          <w:rFonts w:ascii="Book Antiqua" w:hAnsi="Book Antiqua" w:cs="宋体"/>
          <w:i/>
          <w:iCs/>
          <w:sz w:val="24"/>
          <w:szCs w:val="24"/>
        </w:rPr>
        <w:t>N Engl J Med</w:t>
      </w:r>
      <w:r w:rsidRPr="00E90188">
        <w:rPr>
          <w:rFonts w:ascii="Book Antiqua" w:hAnsi="Book Antiqua" w:cs="宋体"/>
          <w:sz w:val="24"/>
          <w:szCs w:val="24"/>
        </w:rPr>
        <w:t> 2011; </w:t>
      </w:r>
      <w:r w:rsidRPr="00E90188">
        <w:rPr>
          <w:rFonts w:ascii="Book Antiqua" w:hAnsi="Book Antiqua" w:cs="宋体"/>
          <w:b/>
          <w:bCs/>
          <w:sz w:val="24"/>
          <w:szCs w:val="24"/>
        </w:rPr>
        <w:t>364</w:t>
      </w:r>
      <w:r w:rsidRPr="00E90188">
        <w:rPr>
          <w:rFonts w:ascii="Book Antiqua" w:hAnsi="Book Antiqua" w:cs="宋体"/>
          <w:sz w:val="24"/>
          <w:szCs w:val="24"/>
        </w:rPr>
        <w:t>: 1817-1825 [PMID: 21561347 DOI: 10.1056/NEJMoa1011923]</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47 </w:t>
      </w:r>
      <w:r w:rsidRPr="00E90188">
        <w:rPr>
          <w:rFonts w:ascii="Book Antiqua" w:hAnsi="Book Antiqua" w:cs="宋体"/>
          <w:b/>
          <w:bCs/>
          <w:sz w:val="24"/>
          <w:szCs w:val="24"/>
        </w:rPr>
        <w:t>Gourgou-Bourgade S</w:t>
      </w:r>
      <w:r w:rsidRPr="00E90188">
        <w:rPr>
          <w:rFonts w:ascii="Book Antiqua" w:hAnsi="Book Antiqua" w:cs="宋体"/>
          <w:sz w:val="24"/>
          <w:szCs w:val="24"/>
        </w:rPr>
        <w:t xml:space="preserve">, Bascoul-Mollevi C, Desseigne F, Ychou M, Bouché O, Guimbaud R, Bécouarn Y, Adenis A, Raoul JL, Boige V, Bérille J, Conroy T. Impact of FOLFIRINOX compared with gemcitabine on quality of life in patients with </w:t>
      </w:r>
      <w:r w:rsidRPr="00E90188">
        <w:rPr>
          <w:rFonts w:ascii="Book Antiqua" w:hAnsi="Book Antiqua" w:cs="宋体"/>
          <w:sz w:val="24"/>
          <w:szCs w:val="24"/>
        </w:rPr>
        <w:lastRenderedPageBreak/>
        <w:t>metastatic pancreatic cancer: results from the PRODIGE 4/ACCORD 11 randomized trial. </w:t>
      </w:r>
      <w:r w:rsidRPr="00E90188">
        <w:rPr>
          <w:rFonts w:ascii="Book Antiqua" w:hAnsi="Book Antiqua" w:cs="宋体"/>
          <w:i/>
          <w:iCs/>
          <w:sz w:val="24"/>
          <w:szCs w:val="24"/>
        </w:rPr>
        <w:t>J Clin Oncol</w:t>
      </w:r>
      <w:r w:rsidRPr="00E90188">
        <w:rPr>
          <w:rFonts w:ascii="Book Antiqua" w:hAnsi="Book Antiqua" w:cs="宋体"/>
          <w:sz w:val="24"/>
          <w:szCs w:val="24"/>
        </w:rPr>
        <w:t> 2013; </w:t>
      </w:r>
      <w:r w:rsidRPr="00E90188">
        <w:rPr>
          <w:rFonts w:ascii="Book Antiqua" w:hAnsi="Book Antiqua" w:cs="宋体"/>
          <w:b/>
          <w:bCs/>
          <w:sz w:val="24"/>
          <w:szCs w:val="24"/>
        </w:rPr>
        <w:t>31</w:t>
      </w:r>
      <w:r w:rsidRPr="00E90188">
        <w:rPr>
          <w:rFonts w:ascii="Book Antiqua" w:hAnsi="Book Antiqua" w:cs="宋体"/>
          <w:sz w:val="24"/>
          <w:szCs w:val="24"/>
        </w:rPr>
        <w:t>: 23-29 [PMID: 23213101 DOI: 10.1200/JCO.2012.44.4869]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48 Trial comparing adjuvant chemotherapy with gemcitabine versus mFolfirinox to treat resected pancreatic adenocarcinoma. Available from</w:t>
      </w:r>
      <w:r>
        <w:rPr>
          <w:rFonts w:ascii="Book Antiqua" w:hAnsi="Book Antiqua" w:cs="宋体"/>
          <w:sz w:val="24"/>
          <w:szCs w:val="24"/>
        </w:rPr>
        <w:t>:</w:t>
      </w:r>
      <w:r w:rsidRPr="00E90188">
        <w:rPr>
          <w:rFonts w:ascii="Book Antiqua" w:hAnsi="Book Antiqua" w:cs="宋体"/>
          <w:sz w:val="24"/>
          <w:szCs w:val="24"/>
        </w:rPr>
        <w:t xml:space="preserve"> URL: http: //clinicaltrials.gov/show/NCT01526135</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49 </w:t>
      </w:r>
      <w:r w:rsidRPr="00E90188">
        <w:rPr>
          <w:rFonts w:ascii="Book Antiqua" w:hAnsi="Book Antiqua" w:cs="宋体"/>
          <w:b/>
          <w:bCs/>
          <w:sz w:val="24"/>
          <w:szCs w:val="24"/>
        </w:rPr>
        <w:t>Moore MJ</w:t>
      </w:r>
      <w:r w:rsidRPr="00E90188">
        <w:rPr>
          <w:rFonts w:ascii="Book Antiqua" w:hAnsi="Book Antiqua" w:cs="宋体"/>
          <w:sz w:val="24"/>
          <w:szCs w:val="24"/>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E90188">
        <w:rPr>
          <w:rFonts w:ascii="Book Antiqua" w:hAnsi="Book Antiqua" w:cs="宋体"/>
          <w:i/>
          <w:iCs/>
          <w:sz w:val="24"/>
          <w:szCs w:val="24"/>
        </w:rPr>
        <w:t>J Clin Oncol</w:t>
      </w:r>
      <w:r w:rsidRPr="00E90188">
        <w:rPr>
          <w:rFonts w:ascii="Book Antiqua" w:hAnsi="Book Antiqua" w:cs="宋体"/>
          <w:sz w:val="24"/>
          <w:szCs w:val="24"/>
        </w:rPr>
        <w:t> 2007; </w:t>
      </w:r>
      <w:r w:rsidRPr="00E90188">
        <w:rPr>
          <w:rFonts w:ascii="Book Antiqua" w:hAnsi="Book Antiqua" w:cs="宋体"/>
          <w:b/>
          <w:bCs/>
          <w:sz w:val="24"/>
          <w:szCs w:val="24"/>
        </w:rPr>
        <w:t>25</w:t>
      </w:r>
      <w:r w:rsidRPr="00E90188">
        <w:rPr>
          <w:rFonts w:ascii="Book Antiqua" w:hAnsi="Book Antiqua" w:cs="宋体"/>
          <w:sz w:val="24"/>
          <w:szCs w:val="24"/>
        </w:rPr>
        <w:t>: 1960-1966 [PMID: 17452677 DOI: 10.1200/JCO.2006.07.9525]</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50 </w:t>
      </w:r>
      <w:r w:rsidRPr="00E90188">
        <w:rPr>
          <w:rFonts w:ascii="Book Antiqua" w:hAnsi="Book Antiqua" w:cs="宋体"/>
          <w:b/>
          <w:bCs/>
          <w:sz w:val="24"/>
          <w:szCs w:val="24"/>
        </w:rPr>
        <w:t>Bao PQ</w:t>
      </w:r>
      <w:r w:rsidRPr="00E90188">
        <w:rPr>
          <w:rFonts w:ascii="Book Antiqua" w:hAnsi="Book Antiqua" w:cs="宋体"/>
          <w:sz w:val="24"/>
          <w:szCs w:val="24"/>
        </w:rPr>
        <w:t>, Ramanathan RK, Krasinkas A, Bahary N, Lembersky BC, Bartlett DL, Hughes SJ, Lee KK, Moser AJ, Zeh HJ. Phase II study of gemcitabine and erlotinib as adjuvant therapy for patients with resected pancreatic cancer. </w:t>
      </w:r>
      <w:r w:rsidRPr="00E90188">
        <w:rPr>
          <w:rFonts w:ascii="Book Antiqua" w:hAnsi="Book Antiqua" w:cs="宋体"/>
          <w:i/>
          <w:iCs/>
          <w:sz w:val="24"/>
          <w:szCs w:val="24"/>
        </w:rPr>
        <w:t>Ann Surg Oncol</w:t>
      </w:r>
      <w:r w:rsidRPr="00E90188">
        <w:rPr>
          <w:rFonts w:ascii="Book Antiqua" w:hAnsi="Book Antiqua" w:cs="宋体"/>
          <w:sz w:val="24"/>
          <w:szCs w:val="24"/>
        </w:rPr>
        <w:t> 2011; </w:t>
      </w:r>
      <w:r w:rsidRPr="00E90188">
        <w:rPr>
          <w:rFonts w:ascii="Book Antiqua" w:hAnsi="Book Antiqua" w:cs="宋体"/>
          <w:b/>
          <w:bCs/>
          <w:sz w:val="24"/>
          <w:szCs w:val="24"/>
        </w:rPr>
        <w:t>18</w:t>
      </w:r>
      <w:r w:rsidRPr="00E90188">
        <w:rPr>
          <w:rFonts w:ascii="Book Antiqua" w:hAnsi="Book Antiqua" w:cs="宋体"/>
          <w:sz w:val="24"/>
          <w:szCs w:val="24"/>
        </w:rPr>
        <w:t>: 1122-1129 [PMID: 21104328 DOI: 10.1245/s10434-010-1401-9]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51 </w:t>
      </w:r>
      <w:r w:rsidRPr="00E90188">
        <w:rPr>
          <w:rFonts w:ascii="Book Antiqua" w:hAnsi="Book Antiqua" w:cs="宋体"/>
          <w:b/>
          <w:bCs/>
          <w:sz w:val="24"/>
          <w:szCs w:val="24"/>
        </w:rPr>
        <w:t>Herman JM</w:t>
      </w:r>
      <w:r w:rsidRPr="00E90188">
        <w:rPr>
          <w:rFonts w:ascii="Book Antiqua" w:hAnsi="Book Antiqua" w:cs="宋体"/>
          <w:sz w:val="24"/>
          <w:szCs w:val="24"/>
        </w:rPr>
        <w:t>, Fan KY, Wild AT, Hacker-Prietz A, Wood LD, Blackford AL, Ellsworth S, Zheng L, Le DT, De Jesus-Acosta A, Hidalgo M, Donehower RC, Schulick RD, Edil BH, Choti MA, Hruban RH, Pawlik TM, Cameron JL, Laheru DA, Wolfgang CL. Phase 2 study of erlotinib combined with adjuvant chemoradiation and chemotherapy in patients with resectable pancreatic cancer. </w:t>
      </w:r>
      <w:r w:rsidRPr="00E90188">
        <w:rPr>
          <w:rFonts w:ascii="Book Antiqua" w:hAnsi="Book Antiqua" w:cs="宋体"/>
          <w:i/>
          <w:iCs/>
          <w:sz w:val="24"/>
          <w:szCs w:val="24"/>
        </w:rPr>
        <w:t>Int J Radiat Oncol Biol Phys</w:t>
      </w:r>
      <w:r w:rsidRPr="00E90188">
        <w:rPr>
          <w:rFonts w:ascii="Book Antiqua" w:hAnsi="Book Antiqua" w:cs="宋体"/>
          <w:sz w:val="24"/>
          <w:szCs w:val="24"/>
        </w:rPr>
        <w:t> 2013; </w:t>
      </w:r>
      <w:r w:rsidRPr="00E90188">
        <w:rPr>
          <w:rFonts w:ascii="Book Antiqua" w:hAnsi="Book Antiqua" w:cs="宋体"/>
          <w:b/>
          <w:bCs/>
          <w:sz w:val="24"/>
          <w:szCs w:val="24"/>
        </w:rPr>
        <w:t>86</w:t>
      </w:r>
      <w:r w:rsidRPr="00E90188">
        <w:rPr>
          <w:rFonts w:ascii="Book Antiqua" w:hAnsi="Book Antiqua" w:cs="宋体"/>
          <w:sz w:val="24"/>
          <w:szCs w:val="24"/>
        </w:rPr>
        <w:t>: 678-685 [PMID: 23773391 DOI: 10.1016/j.ijrobp.2013.03.032]</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52 CONKO-005: Adjuvant Therapy in R0-resected Pancreatic Cancer Patients with Gemcitabine plus Erlotinib vs. Gemcitabine over 24 Weeks - a Prospective, Randomized Phase III Study. Available from URL: http: //apps.who.int/trialsearch/trial.aspx?trialid=DRKS00000247</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53 Gemcitabine hydrochloride with or without erlotinib hydrochloride followed by the same chemotherapy regimen with or without radiation therapy and capecitabine or flurouracil in treating patients with pancreatic cancer that has been removed by surgery. Available from URL: http: //clinicaltrials.gov/show/NCT01013649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54 </w:t>
      </w:r>
      <w:r w:rsidRPr="00E90188">
        <w:rPr>
          <w:rFonts w:ascii="Book Antiqua" w:hAnsi="Book Antiqua" w:cs="宋体"/>
          <w:b/>
          <w:bCs/>
          <w:sz w:val="24"/>
          <w:szCs w:val="24"/>
        </w:rPr>
        <w:t>Heinrich S</w:t>
      </w:r>
      <w:r w:rsidRPr="00E90188">
        <w:rPr>
          <w:rFonts w:ascii="Book Antiqua" w:hAnsi="Book Antiqua" w:cs="宋体"/>
          <w:sz w:val="24"/>
          <w:szCs w:val="24"/>
        </w:rPr>
        <w:t xml:space="preserve">, Schäfer M, Weber A, Hany TF, Bhure U, Pestalozzi BC, Clavien PA. Neoadjuvant chemotherapy generates a significant tumor response in resectable </w:t>
      </w:r>
      <w:r w:rsidRPr="00E90188">
        <w:rPr>
          <w:rFonts w:ascii="Book Antiqua" w:hAnsi="Book Antiqua" w:cs="宋体"/>
          <w:sz w:val="24"/>
          <w:szCs w:val="24"/>
        </w:rPr>
        <w:lastRenderedPageBreak/>
        <w:t>pancreatic cancer without increasing morbidity: results of a prospective phase II trial. </w:t>
      </w:r>
      <w:r w:rsidRPr="00E90188">
        <w:rPr>
          <w:rFonts w:ascii="Book Antiqua" w:hAnsi="Book Antiqua" w:cs="宋体"/>
          <w:i/>
          <w:iCs/>
          <w:sz w:val="24"/>
          <w:szCs w:val="24"/>
        </w:rPr>
        <w:t>Ann Surg</w:t>
      </w:r>
      <w:r w:rsidRPr="00E90188">
        <w:rPr>
          <w:rFonts w:ascii="Book Antiqua" w:hAnsi="Book Antiqua" w:cs="宋体"/>
          <w:sz w:val="24"/>
          <w:szCs w:val="24"/>
        </w:rPr>
        <w:t> 2008; </w:t>
      </w:r>
      <w:r w:rsidRPr="00E90188">
        <w:rPr>
          <w:rFonts w:ascii="Book Antiqua" w:hAnsi="Book Antiqua" w:cs="宋体"/>
          <w:b/>
          <w:bCs/>
          <w:sz w:val="24"/>
          <w:szCs w:val="24"/>
        </w:rPr>
        <w:t>248</w:t>
      </w:r>
      <w:r w:rsidRPr="00E90188">
        <w:rPr>
          <w:rFonts w:ascii="Book Antiqua" w:hAnsi="Book Antiqua" w:cs="宋体"/>
          <w:sz w:val="24"/>
          <w:szCs w:val="24"/>
        </w:rPr>
        <w:t>: 1014-1022 [PMID: 19092346 DOI: 10.1097/SLA.0b013e318190a6da]</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55 </w:t>
      </w:r>
      <w:r w:rsidRPr="00E90188">
        <w:rPr>
          <w:rFonts w:ascii="Book Antiqua" w:hAnsi="Book Antiqua" w:cs="宋体"/>
          <w:b/>
          <w:bCs/>
          <w:sz w:val="24"/>
          <w:szCs w:val="24"/>
        </w:rPr>
        <w:t>Sahora K</w:t>
      </w:r>
      <w:r w:rsidRPr="00E90188">
        <w:rPr>
          <w:rFonts w:ascii="Book Antiqua" w:hAnsi="Book Antiqua" w:cs="宋体"/>
          <w:sz w:val="24"/>
          <w:szCs w:val="24"/>
        </w:rPr>
        <w:t>, Kuehrer I, Eisenhut A, Akan B, Koellblinger C, Goetzinger P, Teleky B, Jakesz R, Peck-Radosavljevic M, Ba'ssalamah A, Zielinski C, Gnant M. NeoGemOx: Gemcitabine and oxaliplatin as neoadjuvant treatment for locally advanced, nonmetastasized pancreatic cancer. </w:t>
      </w:r>
      <w:r w:rsidRPr="00E90188">
        <w:rPr>
          <w:rFonts w:ascii="Book Antiqua" w:hAnsi="Book Antiqua" w:cs="宋体"/>
          <w:i/>
          <w:iCs/>
          <w:sz w:val="24"/>
          <w:szCs w:val="24"/>
        </w:rPr>
        <w:t>Surgery</w:t>
      </w:r>
      <w:r w:rsidRPr="00E90188">
        <w:rPr>
          <w:rFonts w:ascii="Book Antiqua" w:hAnsi="Book Antiqua" w:cs="宋体"/>
          <w:sz w:val="24"/>
          <w:szCs w:val="24"/>
        </w:rPr>
        <w:t> 2011; </w:t>
      </w:r>
      <w:r w:rsidRPr="00E90188">
        <w:rPr>
          <w:rFonts w:ascii="Book Antiqua" w:hAnsi="Book Antiqua" w:cs="宋体"/>
          <w:b/>
          <w:bCs/>
          <w:sz w:val="24"/>
          <w:szCs w:val="24"/>
        </w:rPr>
        <w:t>149</w:t>
      </w:r>
      <w:r w:rsidRPr="00E90188">
        <w:rPr>
          <w:rFonts w:ascii="Book Antiqua" w:hAnsi="Book Antiqua" w:cs="宋体"/>
          <w:sz w:val="24"/>
          <w:szCs w:val="24"/>
        </w:rPr>
        <w:t>: 311-320 [PMID: 20817204 DOI: 10.1016/j.surg.2010.07.048]</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56 Hyperthermia European Adjuvant Trial (HEAT). Available from URL: http: //clinicaltrials.gov/show/NCT01077427</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57 </w:t>
      </w:r>
      <w:r w:rsidRPr="00E90188">
        <w:rPr>
          <w:rFonts w:ascii="Book Antiqua" w:hAnsi="Book Antiqua" w:cs="宋体"/>
          <w:b/>
          <w:bCs/>
          <w:sz w:val="24"/>
          <w:szCs w:val="24"/>
        </w:rPr>
        <w:t>Issels RD</w:t>
      </w:r>
      <w:r w:rsidRPr="00E90188">
        <w:rPr>
          <w:rFonts w:ascii="Book Antiqua" w:hAnsi="Book Antiqua" w:cs="宋体"/>
          <w:sz w:val="24"/>
          <w:szCs w:val="24"/>
        </w:rPr>
        <w:t>. Hyperthermia adds to chemotherapy. </w:t>
      </w:r>
      <w:r w:rsidRPr="00E90188">
        <w:rPr>
          <w:rFonts w:ascii="Book Antiqua" w:hAnsi="Book Antiqua" w:cs="宋体"/>
          <w:i/>
          <w:iCs/>
          <w:sz w:val="24"/>
          <w:szCs w:val="24"/>
        </w:rPr>
        <w:t>Eur J Cancer</w:t>
      </w:r>
      <w:r w:rsidRPr="00E90188">
        <w:rPr>
          <w:rFonts w:ascii="Book Antiqua" w:hAnsi="Book Antiqua" w:cs="宋体"/>
          <w:sz w:val="24"/>
          <w:szCs w:val="24"/>
        </w:rPr>
        <w:t> 2008; </w:t>
      </w:r>
      <w:r w:rsidRPr="00E90188">
        <w:rPr>
          <w:rFonts w:ascii="Book Antiqua" w:hAnsi="Book Antiqua" w:cs="宋体"/>
          <w:b/>
          <w:bCs/>
          <w:sz w:val="24"/>
          <w:szCs w:val="24"/>
        </w:rPr>
        <w:t>44</w:t>
      </w:r>
      <w:r w:rsidRPr="00E90188">
        <w:rPr>
          <w:rFonts w:ascii="Book Antiqua" w:hAnsi="Book Antiqua" w:cs="宋体"/>
          <w:sz w:val="24"/>
          <w:szCs w:val="24"/>
        </w:rPr>
        <w:t>: 2546-2554 [PMID: 18789678 DOI: 10.1016/j.ejca.2008.07.038]</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58 </w:t>
      </w:r>
      <w:r w:rsidRPr="00E90188">
        <w:rPr>
          <w:rFonts w:ascii="Book Antiqua" w:hAnsi="Book Antiqua" w:cs="宋体"/>
          <w:b/>
          <w:bCs/>
          <w:sz w:val="24"/>
          <w:szCs w:val="24"/>
        </w:rPr>
        <w:t>Adachi S</w:t>
      </w:r>
      <w:r w:rsidRPr="00E90188">
        <w:rPr>
          <w:rFonts w:ascii="Book Antiqua" w:hAnsi="Book Antiqua" w:cs="宋体"/>
          <w:sz w:val="24"/>
          <w:szCs w:val="24"/>
        </w:rPr>
        <w:t>, Kokura S, Okayama T, Ishikawa T, Takagi T, Handa O, Naito Y, Yoshikawa T. Effect of hyperthermia combined with gemcitabine on apoptotic cell death in cultured human pancreatic cancer cell lines. </w:t>
      </w:r>
      <w:r w:rsidRPr="00E90188">
        <w:rPr>
          <w:rFonts w:ascii="Book Antiqua" w:hAnsi="Book Antiqua" w:cs="宋体"/>
          <w:i/>
          <w:iCs/>
          <w:sz w:val="24"/>
          <w:szCs w:val="24"/>
        </w:rPr>
        <w:t>Int J Hyperthermia</w:t>
      </w:r>
      <w:r w:rsidRPr="00E90188">
        <w:rPr>
          <w:rFonts w:ascii="Book Antiqua" w:hAnsi="Book Antiqua" w:cs="宋体"/>
          <w:sz w:val="24"/>
          <w:szCs w:val="24"/>
        </w:rPr>
        <w:t> 2009; </w:t>
      </w:r>
      <w:r w:rsidRPr="00E90188">
        <w:rPr>
          <w:rFonts w:ascii="Book Antiqua" w:hAnsi="Book Antiqua" w:cs="宋体"/>
          <w:b/>
          <w:bCs/>
          <w:sz w:val="24"/>
          <w:szCs w:val="24"/>
        </w:rPr>
        <w:t>25</w:t>
      </w:r>
      <w:r w:rsidRPr="00E90188">
        <w:rPr>
          <w:rFonts w:ascii="Book Antiqua" w:hAnsi="Book Antiqua" w:cs="宋体"/>
          <w:sz w:val="24"/>
          <w:szCs w:val="24"/>
        </w:rPr>
        <w:t>: 210-219 [PMID: 19437237 DOI: 10.1080/02656730802657036]</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59 </w:t>
      </w:r>
      <w:r w:rsidRPr="00E90188">
        <w:rPr>
          <w:rFonts w:ascii="Book Antiqua" w:hAnsi="Book Antiqua" w:cs="宋体"/>
          <w:b/>
          <w:bCs/>
          <w:sz w:val="24"/>
          <w:szCs w:val="24"/>
        </w:rPr>
        <w:t>Ishikawa T</w:t>
      </w:r>
      <w:r w:rsidRPr="00E90188">
        <w:rPr>
          <w:rFonts w:ascii="Book Antiqua" w:hAnsi="Book Antiqua" w:cs="宋体"/>
          <w:sz w:val="24"/>
          <w:szCs w:val="24"/>
        </w:rPr>
        <w:t>, Kokura S, Sakamoto N, Ando T, Imamoto E, Hattori T, Oyamada H, Yoshinami N, Sakamoto M, Kitagawa K, Okumura Y, Yoshida N, Kamada K, Katada K, Uchiyama K, Handa O, Takagi T, Yasuda H, Sakagami J, Konishi H, Yagi N, Naito Y, Yoshikawa T. Phase II trial of combined regional hyperthermia and gemcitabine for locally advanced or metastatic pancreatic cancer. </w:t>
      </w:r>
      <w:r w:rsidRPr="00E90188">
        <w:rPr>
          <w:rFonts w:ascii="Book Antiqua" w:hAnsi="Book Antiqua" w:cs="宋体"/>
          <w:i/>
          <w:iCs/>
          <w:sz w:val="24"/>
          <w:szCs w:val="24"/>
        </w:rPr>
        <w:t>Int J Hyperthermia</w:t>
      </w:r>
      <w:r w:rsidRPr="00E90188">
        <w:rPr>
          <w:rFonts w:ascii="Book Antiqua" w:hAnsi="Book Antiqua" w:cs="宋体"/>
          <w:sz w:val="24"/>
          <w:szCs w:val="24"/>
        </w:rPr>
        <w:t> 2012; </w:t>
      </w:r>
      <w:r w:rsidRPr="00E90188">
        <w:rPr>
          <w:rFonts w:ascii="Book Antiqua" w:hAnsi="Book Antiqua" w:cs="宋体"/>
          <w:b/>
          <w:bCs/>
          <w:sz w:val="24"/>
          <w:szCs w:val="24"/>
        </w:rPr>
        <w:t>28</w:t>
      </w:r>
      <w:r w:rsidRPr="00E90188">
        <w:rPr>
          <w:rFonts w:ascii="Book Antiqua" w:hAnsi="Book Antiqua" w:cs="宋体"/>
          <w:sz w:val="24"/>
          <w:szCs w:val="24"/>
        </w:rPr>
        <w:t>: 597-604 [PMID: 22838644 DOI: 10.3109/02656736.2012.695428]</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60 </w:t>
      </w:r>
      <w:r w:rsidRPr="00E90188">
        <w:rPr>
          <w:rFonts w:ascii="Book Antiqua" w:hAnsi="Book Antiqua" w:cs="宋体"/>
          <w:b/>
          <w:bCs/>
          <w:sz w:val="24"/>
          <w:szCs w:val="24"/>
        </w:rPr>
        <w:t>Tschoep-Lechner KE</w:t>
      </w:r>
      <w:r w:rsidRPr="00E90188">
        <w:rPr>
          <w:rFonts w:ascii="Book Antiqua" w:hAnsi="Book Antiqua" w:cs="宋体"/>
          <w:sz w:val="24"/>
          <w:szCs w:val="24"/>
        </w:rPr>
        <w:t>, Milani V, Berger F, Dieterle N, Abdel-Rahman S, Salat C, Issels RD. Gemcitabine and cisplatin combined with regional hyperthermia as second-line treatment in patients with gemcitabine-refractory advanced pancreatic cancer. </w:t>
      </w:r>
      <w:r w:rsidRPr="00E90188">
        <w:rPr>
          <w:rFonts w:ascii="Book Antiqua" w:hAnsi="Book Antiqua" w:cs="宋体"/>
          <w:i/>
          <w:iCs/>
          <w:sz w:val="24"/>
          <w:szCs w:val="24"/>
        </w:rPr>
        <w:t>Int J Hyperthermia</w:t>
      </w:r>
      <w:r w:rsidRPr="00E90188">
        <w:rPr>
          <w:rFonts w:ascii="Book Antiqua" w:hAnsi="Book Antiqua" w:cs="宋体"/>
          <w:sz w:val="24"/>
          <w:szCs w:val="24"/>
        </w:rPr>
        <w:t> 2013; </w:t>
      </w:r>
      <w:r w:rsidRPr="00E90188">
        <w:rPr>
          <w:rFonts w:ascii="Book Antiqua" w:hAnsi="Book Antiqua" w:cs="宋体"/>
          <w:b/>
          <w:bCs/>
          <w:sz w:val="24"/>
          <w:szCs w:val="24"/>
        </w:rPr>
        <w:t>29</w:t>
      </w:r>
      <w:r w:rsidRPr="00E90188">
        <w:rPr>
          <w:rFonts w:ascii="Book Antiqua" w:hAnsi="Book Antiqua" w:cs="宋体"/>
          <w:sz w:val="24"/>
          <w:szCs w:val="24"/>
        </w:rPr>
        <w:t>: 8-16 [PMID: 23245336 DOI: 10.3109/02656736.2012.740764]</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61 Study to Compare Disease-free Survival of Subjects with Surgically Resected Pancreatic Cancer in the Adjuvant Setting Who Are Taking Nab-paclitaxel in Combination with Gemcitabine vs Gemcitabine Alone. Available from</w:t>
      </w:r>
      <w:r>
        <w:rPr>
          <w:rFonts w:ascii="Book Antiqua" w:hAnsi="Book Antiqua" w:cs="宋体"/>
          <w:sz w:val="24"/>
          <w:szCs w:val="24"/>
        </w:rPr>
        <w:t>:</w:t>
      </w:r>
      <w:r w:rsidRPr="00E90188">
        <w:rPr>
          <w:rFonts w:ascii="Book Antiqua" w:hAnsi="Book Antiqua" w:cs="宋体"/>
          <w:sz w:val="24"/>
          <w:szCs w:val="24"/>
        </w:rPr>
        <w:t xml:space="preserve"> URL: http: </w:t>
      </w:r>
      <w:r w:rsidRPr="00E90188">
        <w:rPr>
          <w:rFonts w:ascii="Book Antiqua" w:hAnsi="Book Antiqua" w:cs="宋体"/>
          <w:sz w:val="24"/>
          <w:szCs w:val="24"/>
        </w:rPr>
        <w:lastRenderedPageBreak/>
        <w:t>//www.cancer.gov/clinicaltrials/search/view?cdrid=753839&amp;version=HealthProfessional&amp;protocolsearchid=12450288#Objectives_CDR0000753839</w:t>
      </w:r>
    </w:p>
    <w:p w:rsidR="00A06E23" w:rsidRPr="00E90188" w:rsidRDefault="00A06E23" w:rsidP="00C962AB">
      <w:pPr>
        <w:spacing w:after="0" w:line="360" w:lineRule="auto"/>
        <w:jc w:val="both"/>
        <w:rPr>
          <w:rFonts w:ascii="Book Antiqua" w:hAnsi="Book Antiqua" w:cs="宋体"/>
          <w:sz w:val="24"/>
          <w:szCs w:val="24"/>
        </w:rPr>
      </w:pPr>
      <w:r w:rsidRPr="00E90188">
        <w:rPr>
          <w:rFonts w:ascii="Book Antiqua" w:hAnsi="Book Antiqua" w:cs="宋体"/>
          <w:sz w:val="24"/>
          <w:szCs w:val="24"/>
        </w:rPr>
        <w:t>62 </w:t>
      </w:r>
      <w:r w:rsidRPr="00E90188">
        <w:rPr>
          <w:rFonts w:ascii="Book Antiqua" w:hAnsi="Book Antiqua" w:cs="宋体"/>
          <w:b/>
          <w:bCs/>
          <w:sz w:val="24"/>
          <w:szCs w:val="24"/>
        </w:rPr>
        <w:t>Von Hoff DD</w:t>
      </w:r>
      <w:r w:rsidRPr="00E90188">
        <w:rPr>
          <w:rFonts w:ascii="Book Antiqua" w:hAnsi="Book Antiqua" w:cs="宋体"/>
          <w:sz w:val="24"/>
          <w:szCs w:val="24"/>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E90188">
        <w:rPr>
          <w:rFonts w:ascii="Book Antiqua" w:hAnsi="Book Antiqua" w:cs="宋体"/>
          <w:i/>
          <w:iCs/>
          <w:sz w:val="24"/>
          <w:szCs w:val="24"/>
        </w:rPr>
        <w:t>N Engl J Med</w:t>
      </w:r>
      <w:r w:rsidRPr="00E90188">
        <w:rPr>
          <w:rFonts w:ascii="Book Antiqua" w:hAnsi="Book Antiqua" w:cs="宋体"/>
          <w:sz w:val="24"/>
          <w:szCs w:val="24"/>
        </w:rPr>
        <w:t> 2013; </w:t>
      </w:r>
      <w:r w:rsidRPr="00E90188">
        <w:rPr>
          <w:rFonts w:ascii="Book Antiqua" w:hAnsi="Book Antiqua" w:cs="宋体"/>
          <w:b/>
          <w:bCs/>
          <w:sz w:val="24"/>
          <w:szCs w:val="24"/>
        </w:rPr>
        <w:t>369</w:t>
      </w:r>
      <w:r w:rsidRPr="00E90188">
        <w:rPr>
          <w:rFonts w:ascii="Book Antiqua" w:hAnsi="Book Antiqua" w:cs="宋体"/>
          <w:sz w:val="24"/>
          <w:szCs w:val="24"/>
        </w:rPr>
        <w:t>: 1691-1703 [PMID: 24131140 DOI: 10.1056/NEJMoa1304369]</w:t>
      </w:r>
    </w:p>
    <w:p w:rsidR="00A06E23" w:rsidRPr="00E90188" w:rsidRDefault="00A06E23" w:rsidP="00C962AB">
      <w:pPr>
        <w:spacing w:after="0" w:line="360" w:lineRule="auto"/>
        <w:jc w:val="both"/>
        <w:rPr>
          <w:rFonts w:ascii="Book Antiqua" w:hAnsi="Book Antiqua" w:cs="Arial"/>
          <w:b/>
          <w:sz w:val="24"/>
          <w:szCs w:val="24"/>
          <w:lang w:eastAsia="zh-CN"/>
        </w:rPr>
      </w:pPr>
    </w:p>
    <w:p w:rsidR="00A06E23" w:rsidRPr="00F8696E" w:rsidRDefault="00A06E23" w:rsidP="00F8696E">
      <w:pPr>
        <w:pStyle w:val="af"/>
        <w:wordWrap w:val="0"/>
        <w:spacing w:after="0" w:line="360" w:lineRule="auto"/>
        <w:ind w:left="360" w:right="120" w:firstLineChars="0" w:firstLine="0"/>
        <w:jc w:val="right"/>
        <w:rPr>
          <w:rFonts w:ascii="Book Antiqua" w:hAnsi="Book Antiqua"/>
          <w:bCs/>
          <w:color w:val="000000"/>
        </w:rPr>
      </w:pPr>
      <w:bookmarkStart w:id="16" w:name="OLE_LINK277"/>
      <w:bookmarkStart w:id="17" w:name="OLE_LINK278"/>
      <w:bookmarkStart w:id="18" w:name="OLE_LINK279"/>
      <w:bookmarkStart w:id="19" w:name="OLE_LINK290"/>
      <w:bookmarkStart w:id="20" w:name="OLE_LINK301"/>
      <w:bookmarkStart w:id="21" w:name="OLE_LINK312"/>
      <w:bookmarkStart w:id="22" w:name="OLE_LINK315"/>
      <w:bookmarkStart w:id="23" w:name="OLE_LINK316"/>
      <w:bookmarkStart w:id="24" w:name="OLE_LINK317"/>
      <w:bookmarkStart w:id="25" w:name="OLE_LINK318"/>
      <w:bookmarkStart w:id="26" w:name="OLE_LINK326"/>
      <w:bookmarkStart w:id="27" w:name="OLE_LINK335"/>
      <w:bookmarkStart w:id="28" w:name="OLE_LINK339"/>
      <w:bookmarkStart w:id="29" w:name="OLE_LINK348"/>
      <w:bookmarkStart w:id="30" w:name="OLE_LINK378"/>
      <w:r w:rsidRPr="00E90188">
        <w:rPr>
          <w:rStyle w:val="a5"/>
          <w:rFonts w:ascii="Book Antiqua" w:hAnsi="Book Antiqua" w:cs="Arial"/>
          <w:noProof/>
          <w:color w:val="000000"/>
        </w:rPr>
        <w:t>P-</w:t>
      </w:r>
      <w:r w:rsidRPr="00E90188">
        <w:rPr>
          <w:rStyle w:val="a5"/>
          <w:rFonts w:ascii="Book Antiqua" w:hAnsi="Book Antiqua" w:cs="Arial"/>
          <w:noProof/>
          <w:color w:val="000000"/>
          <w:lang w:eastAsia="zh-CN"/>
        </w:rPr>
        <w:t xml:space="preserve"> </w:t>
      </w:r>
      <w:r w:rsidRPr="00E90188">
        <w:rPr>
          <w:rStyle w:val="a5"/>
          <w:rFonts w:ascii="Book Antiqua" w:hAnsi="Book Antiqua" w:cs="Arial"/>
          <w:noProof/>
          <w:color w:val="000000"/>
        </w:rPr>
        <w:t>Reviewers</w:t>
      </w:r>
      <w:r w:rsidRPr="00E90188">
        <w:rPr>
          <w:rStyle w:val="a5"/>
          <w:rFonts w:ascii="Book Antiqua" w:hAnsi="Book Antiqua" w:cs="Arial"/>
          <w:noProof/>
          <w:color w:val="000000"/>
          <w:lang w:eastAsia="zh-CN"/>
        </w:rPr>
        <w:t>:</w:t>
      </w:r>
      <w:r w:rsidRPr="00E90188">
        <w:rPr>
          <w:rFonts w:ascii="Book Antiqua" w:hAnsi="Book Antiqua"/>
          <w:bCs/>
          <w:color w:val="000000"/>
        </w:rPr>
        <w:t xml:space="preserve"> </w:t>
      </w:r>
      <w:r w:rsidRPr="00F8696E">
        <w:rPr>
          <w:rFonts w:ascii="Book Antiqua" w:hAnsi="Book Antiqua"/>
          <w:bCs/>
          <w:color w:val="000000"/>
        </w:rPr>
        <w:t>Velayos</w:t>
      </w:r>
      <w:r>
        <w:rPr>
          <w:rFonts w:ascii="Book Antiqua" w:hAnsi="Book Antiqua"/>
          <w:bCs/>
          <w:color w:val="000000"/>
        </w:rPr>
        <w:t xml:space="preserve"> B</w:t>
      </w:r>
    </w:p>
    <w:p w:rsidR="00A06E23" w:rsidRPr="00895D6D" w:rsidRDefault="00A06E23" w:rsidP="00C962AB">
      <w:pPr>
        <w:pStyle w:val="af"/>
        <w:spacing w:after="0" w:line="360" w:lineRule="auto"/>
        <w:ind w:left="360" w:right="120" w:firstLineChars="0" w:firstLine="0"/>
        <w:jc w:val="right"/>
        <w:rPr>
          <w:rFonts w:ascii="Book Antiqua" w:hAnsi="Book Antiqua"/>
          <w:b/>
          <w:bCs/>
          <w:color w:val="000000"/>
          <w:lang w:val="en-US" w:eastAsia="zh-CN"/>
        </w:rPr>
      </w:pPr>
      <w:r w:rsidRPr="00895D6D">
        <w:rPr>
          <w:rFonts w:ascii="Book Antiqua" w:hAnsi="Book Antiqua"/>
          <w:bCs/>
          <w:color w:val="000000"/>
          <w:lang w:val="en-US"/>
        </w:rPr>
        <w:t xml:space="preserve"> </w:t>
      </w:r>
      <w:r w:rsidRPr="00895D6D">
        <w:rPr>
          <w:rFonts w:ascii="Book Antiqua" w:hAnsi="Book Antiqua"/>
          <w:b/>
          <w:bCs/>
          <w:color w:val="000000"/>
          <w:lang w:val="en-US"/>
        </w:rPr>
        <w:t>S-</w:t>
      </w:r>
      <w:r w:rsidRPr="00895D6D">
        <w:rPr>
          <w:rFonts w:ascii="Book Antiqua" w:hAnsi="Book Antiqua"/>
          <w:b/>
          <w:bCs/>
          <w:color w:val="000000"/>
          <w:lang w:val="en-US" w:eastAsia="zh-CN"/>
        </w:rPr>
        <w:t xml:space="preserve"> </w:t>
      </w:r>
      <w:r w:rsidRPr="00895D6D">
        <w:rPr>
          <w:rFonts w:ascii="Book Antiqua" w:hAnsi="Book Antiqua"/>
          <w:b/>
          <w:bCs/>
          <w:color w:val="000000"/>
          <w:lang w:val="en-US"/>
        </w:rPr>
        <w:t>Editor</w:t>
      </w:r>
      <w:r w:rsidRPr="00895D6D">
        <w:rPr>
          <w:rFonts w:ascii="Book Antiqua" w:hAnsi="Book Antiqua"/>
          <w:b/>
          <w:bCs/>
          <w:color w:val="000000"/>
          <w:lang w:val="en-US" w:eastAsia="zh-CN"/>
        </w:rPr>
        <w:t>:</w:t>
      </w:r>
      <w:r w:rsidRPr="00895D6D">
        <w:rPr>
          <w:rFonts w:ascii="Book Antiqua" w:hAnsi="Book Antiqua"/>
          <w:bCs/>
          <w:color w:val="000000"/>
          <w:lang w:val="en-US"/>
        </w:rPr>
        <w:t xml:space="preserve"> </w:t>
      </w:r>
      <w:r w:rsidRPr="00895D6D">
        <w:rPr>
          <w:rFonts w:ascii="Book Antiqua" w:hAnsi="Book Antiqua"/>
          <w:bCs/>
          <w:color w:val="000000"/>
          <w:lang w:val="en-US" w:eastAsia="zh-CN"/>
        </w:rPr>
        <w:t>Nan J</w:t>
      </w:r>
      <w:r w:rsidRPr="00895D6D">
        <w:rPr>
          <w:rFonts w:ascii="Book Antiqua" w:hAnsi="Book Antiqua"/>
          <w:b/>
          <w:bCs/>
          <w:color w:val="000000"/>
          <w:lang w:val="en-US"/>
        </w:rPr>
        <w:t xml:space="preserve">   L-</w:t>
      </w:r>
      <w:r w:rsidRPr="00895D6D">
        <w:rPr>
          <w:rFonts w:ascii="Book Antiqua" w:hAnsi="Book Antiqua"/>
          <w:b/>
          <w:bCs/>
          <w:color w:val="000000"/>
          <w:lang w:val="en-US" w:eastAsia="zh-CN"/>
        </w:rPr>
        <w:t xml:space="preserve"> </w:t>
      </w:r>
      <w:r w:rsidRPr="00895D6D">
        <w:rPr>
          <w:rFonts w:ascii="Book Antiqua" w:hAnsi="Book Antiqua"/>
          <w:b/>
          <w:bCs/>
          <w:color w:val="000000"/>
          <w:lang w:val="en-US"/>
        </w:rPr>
        <w:t>Editor</w:t>
      </w:r>
      <w:r w:rsidRPr="00895D6D">
        <w:rPr>
          <w:rFonts w:ascii="Book Antiqua" w:hAnsi="Book Antiqua"/>
          <w:b/>
          <w:bCs/>
          <w:color w:val="000000"/>
          <w:lang w:val="en-US" w:eastAsia="zh-CN"/>
        </w:rPr>
        <w:t>:</w:t>
      </w:r>
      <w:r w:rsidRPr="00895D6D">
        <w:rPr>
          <w:rFonts w:ascii="Book Antiqua" w:hAnsi="Book Antiqua"/>
          <w:b/>
          <w:bCs/>
          <w:color w:val="000000"/>
          <w:lang w:val="en-US"/>
        </w:rPr>
        <w:t xml:space="preserve">   E-</w:t>
      </w:r>
      <w:r w:rsidRPr="00895D6D">
        <w:rPr>
          <w:rFonts w:ascii="Book Antiqua" w:hAnsi="Book Antiqua"/>
          <w:b/>
          <w:bCs/>
          <w:color w:val="000000"/>
          <w:lang w:val="en-US" w:eastAsia="zh-CN"/>
        </w:rPr>
        <w:t xml:space="preserve"> </w:t>
      </w:r>
      <w:r w:rsidRPr="00895D6D">
        <w:rPr>
          <w:rFonts w:ascii="Book Antiqua" w:hAnsi="Book Antiqua"/>
          <w:b/>
          <w:bCs/>
          <w:color w:val="000000"/>
          <w:lang w:val="en-US"/>
        </w:rPr>
        <w:t>Editor</w:t>
      </w:r>
      <w:r w:rsidRPr="00895D6D">
        <w:rPr>
          <w:rFonts w:ascii="Book Antiqua" w:hAnsi="Book Antiqua"/>
          <w:b/>
          <w:bCs/>
          <w:color w:val="000000"/>
          <w:lang w:val="en-US" w:eastAsia="zh-CN"/>
        </w:rPr>
        <w: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06E23" w:rsidRPr="00895D6D" w:rsidRDefault="00A06E23" w:rsidP="00C962AB">
      <w:pPr>
        <w:spacing w:after="0" w:line="360" w:lineRule="auto"/>
        <w:jc w:val="both"/>
        <w:rPr>
          <w:rFonts w:ascii="Book Antiqua" w:hAnsi="Book Antiqua" w:cs="Arial"/>
          <w:b/>
          <w:sz w:val="24"/>
          <w:szCs w:val="24"/>
          <w:lang w:val="en-US"/>
        </w:rPr>
        <w:sectPr w:rsidR="00A06E23" w:rsidRPr="00895D6D" w:rsidSect="002D1CBB">
          <w:footerReference w:type="default" r:id="rId8"/>
          <w:endnotePr>
            <w:numFmt w:val="decimal"/>
          </w:endnotePr>
          <w:pgSz w:w="11906" w:h="16838"/>
          <w:pgMar w:top="1440" w:right="1440" w:bottom="1440" w:left="1440" w:header="708" w:footer="708" w:gutter="0"/>
          <w:cols w:space="708"/>
          <w:docGrid w:linePitch="360"/>
        </w:sect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1607"/>
        <w:gridCol w:w="1123"/>
        <w:gridCol w:w="322"/>
        <w:gridCol w:w="420"/>
        <w:gridCol w:w="406"/>
        <w:gridCol w:w="1429"/>
        <w:gridCol w:w="753"/>
        <w:gridCol w:w="1131"/>
        <w:gridCol w:w="753"/>
        <w:gridCol w:w="753"/>
        <w:gridCol w:w="1209"/>
        <w:gridCol w:w="725"/>
        <w:gridCol w:w="1297"/>
        <w:gridCol w:w="645"/>
        <w:gridCol w:w="784"/>
      </w:tblGrid>
      <w:tr w:rsidR="00A06E23" w:rsidRPr="004C41FA" w:rsidTr="00E3206E">
        <w:trPr>
          <w:trHeight w:val="300"/>
        </w:trPr>
        <w:tc>
          <w:tcPr>
            <w:tcW w:w="14080" w:type="dxa"/>
            <w:gridSpan w:val="16"/>
            <w:shd w:val="clear" w:color="000000" w:fill="FFFFFF"/>
            <w:noWrap/>
            <w:vAlign w:val="bottom"/>
          </w:tcPr>
          <w:p w:rsidR="00A06E23" w:rsidRPr="004C41FA" w:rsidRDefault="00A06E23" w:rsidP="00C962AB">
            <w:pPr>
              <w:spacing w:after="0" w:line="360" w:lineRule="auto"/>
              <w:jc w:val="both"/>
              <w:rPr>
                <w:rFonts w:ascii="Book Antiqua" w:hAnsi="Book Antiqua" w:cs="Arial"/>
                <w:b/>
                <w:sz w:val="11"/>
                <w:szCs w:val="11"/>
                <w:lang w:eastAsia="zh-CN"/>
              </w:rPr>
            </w:pPr>
            <w:r w:rsidRPr="004C41FA">
              <w:rPr>
                <w:rFonts w:ascii="Book Antiqua" w:hAnsi="Book Antiqua" w:cs="Arial"/>
                <w:b/>
                <w:sz w:val="11"/>
                <w:szCs w:val="11"/>
              </w:rPr>
              <w:lastRenderedPageBreak/>
              <w:t>Table 1</w:t>
            </w:r>
            <w:r w:rsidRPr="004C41FA">
              <w:rPr>
                <w:rFonts w:ascii="Book Antiqua" w:hAnsi="Book Antiqua" w:cs="Arial"/>
                <w:b/>
                <w:sz w:val="11"/>
                <w:szCs w:val="11"/>
                <w:lang w:eastAsia="zh-CN"/>
              </w:rPr>
              <w:t xml:space="preserve"> </w:t>
            </w:r>
            <w:r w:rsidRPr="004C41FA">
              <w:rPr>
                <w:rFonts w:ascii="Book Antiqua" w:hAnsi="Book Antiqua" w:cs="Arial"/>
                <w:b/>
                <w:sz w:val="11"/>
                <w:szCs w:val="11"/>
              </w:rPr>
              <w:t>Major adjuvant chemotherapy trials in pancreatic cancer</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48" w:type="dxa"/>
            <w:gridSpan w:val="3"/>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Final analysis</w:t>
            </w:r>
          </w:p>
        </w:tc>
        <w:tc>
          <w:tcPr>
            <w:tcW w:w="4819" w:type="dxa"/>
            <w:gridSpan w:val="5"/>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Survival (95%CI)</w:t>
            </w:r>
          </w:p>
        </w:tc>
        <w:tc>
          <w:tcPr>
            <w:tcW w:w="4660" w:type="dxa"/>
            <w:gridSpan w:val="5"/>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 xml:space="preserve">Disease-free survival </w:t>
            </w:r>
            <w:r w:rsidRPr="004C41FA">
              <w:rPr>
                <w:rFonts w:ascii="Book Antiqua" w:hAnsi="Book Antiqua"/>
                <w:b/>
                <w:bCs/>
                <w:sz w:val="10"/>
                <w:szCs w:val="10"/>
                <w:lang w:eastAsia="zh-CN"/>
              </w:rPr>
              <w:t>(DFS)</w:t>
            </w:r>
            <w:r w:rsidRPr="00E90188">
              <w:rPr>
                <w:rFonts w:ascii="Book Antiqua" w:hAnsi="Book Antiqua"/>
                <w:b/>
                <w:bCs/>
                <w:sz w:val="10"/>
                <w:szCs w:val="10"/>
                <w:lang w:eastAsia="en-GB"/>
              </w:rPr>
              <w:t>(95%CI)</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 xml:space="preserve">Year </w:t>
            </w:r>
            <w:r w:rsidRPr="004C41FA">
              <w:rPr>
                <w:rFonts w:ascii="Book Antiqua" w:hAnsi="Book Antiqua"/>
                <w:b/>
                <w:bCs/>
                <w:sz w:val="10"/>
                <w:szCs w:val="10"/>
                <w:lang w:eastAsia="zh-CN"/>
              </w:rPr>
              <w:t>p</w:t>
            </w:r>
            <w:r w:rsidRPr="00E90188">
              <w:rPr>
                <w:rFonts w:ascii="Book Antiqua" w:hAnsi="Book Antiqua"/>
                <w:b/>
                <w:bCs/>
                <w:sz w:val="10"/>
                <w:szCs w:val="10"/>
                <w:lang w:eastAsia="en-GB"/>
              </w:rPr>
              <w:t>ublished</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Author/Group</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Treatment arms (</w:t>
            </w:r>
            <w:r w:rsidRPr="00E90188">
              <w:rPr>
                <w:rFonts w:ascii="Book Antiqua" w:hAnsi="Book Antiqua"/>
                <w:b/>
                <w:bCs/>
                <w:i/>
                <w:sz w:val="10"/>
                <w:szCs w:val="10"/>
                <w:lang w:eastAsia="en-GB"/>
              </w:rPr>
              <w:t>n</w:t>
            </w:r>
            <w:r w:rsidRPr="00E90188">
              <w:rPr>
                <w:rFonts w:ascii="Book Antiqua" w:hAnsi="Book Antiqua"/>
                <w:b/>
                <w:bCs/>
                <w:sz w:val="10"/>
                <w:szCs w:val="10"/>
                <w:lang w:eastAsia="en-GB"/>
              </w:rPr>
              <w:t>)</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T3</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N+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R0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Median survival (months)</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1-year survival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 xml:space="preserve">2-year survival </w:t>
            </w:r>
          </w:p>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3-year survival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5-year survival (%)</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Median DFS (months)</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1-year DFS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 xml:space="preserve">2-year DFS </w:t>
            </w:r>
          </w:p>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3-year DFS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5-</w:t>
            </w:r>
            <w:r>
              <w:rPr>
                <w:rFonts w:ascii="Book Antiqua" w:hAnsi="Book Antiqua"/>
                <w:b/>
                <w:bCs/>
                <w:sz w:val="10"/>
                <w:szCs w:val="10"/>
                <w:lang w:eastAsia="en-GB"/>
              </w:rPr>
              <w:t>year</w:t>
            </w:r>
            <w:r w:rsidRPr="004C41FA">
              <w:rPr>
                <w:rFonts w:ascii="Book Antiqua" w:hAnsi="Book Antiqua"/>
                <w:b/>
                <w:bCs/>
                <w:sz w:val="10"/>
                <w:szCs w:val="10"/>
                <w:lang w:eastAsia="zh-CN"/>
              </w:rPr>
              <w:t xml:space="preserve"> </w:t>
            </w:r>
            <w:r w:rsidRPr="00E90188">
              <w:rPr>
                <w:rFonts w:ascii="Book Antiqua" w:hAnsi="Book Antiqua"/>
                <w:b/>
                <w:bCs/>
                <w:sz w:val="10"/>
                <w:szCs w:val="10"/>
                <w:lang w:eastAsia="en-GB"/>
              </w:rPr>
              <w:t>DFS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1993</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Bakkevold</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5-FU/Doxorubicin/</w:t>
            </w:r>
          </w:p>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MitomycinC (30)</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100</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70</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27</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(31)</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11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0.02)</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30</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0.1)</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2001</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ESPAC-1 (All patients)</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5-FU/Folinic Acid +/- CRT (238)</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53</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82</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19.7 (16.4-22.4)</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No chemotherapy +/- CRT (235)</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14 (11.9-16.5)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0.66,</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0.52-0.83,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0.0005)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ESPAC-1 (2x2 design only)</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5-FU/Folinic Acid +/- CRT (146)</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17.4 (13.5-21.8)</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No chemotherapy +/- CRT (139)</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15.9 (13.5-19.2)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0.82,</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0.6-1.11,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0.19)</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2002</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Takada</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5-FU/MitomycinC (89)</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85</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58</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11.5</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8.6</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(84)</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18 (log rank NS)</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xml:space="preserve">7.8 (log rank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0.84)</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2004</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ESPAC-1 (2x2 final analysis)</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5-FU/Folinic Acid (147)</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54</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82</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20.1 (16.5-22.7)</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40</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21</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No chemotherapy +/- CRT (142)</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15.5 (13-17.7)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0.71,</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0.55-0.92,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0.009)</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30</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2006</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JSAP (Kosuge)</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Cisplatin/5-FU (45)</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27</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100</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12.50</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26.40</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(44)</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15.8</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xml:space="preserve">14.9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0.94)</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2007</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CONKO-001 (Oettle)</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Gemcitabine (179)</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22.1 (18.4-25.8)</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72.5</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47.5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34</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22.5</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13.4 (11.4-15.3)</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58</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30.5</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23.5</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16.5</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(175)</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86</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72</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83</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20.2 (17-23.4)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0.06)</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72.5</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42</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20.5</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6.9 (6.1-7.8)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&lt;</w:t>
            </w:r>
            <w:r w:rsidRPr="004C41FA">
              <w:rPr>
                <w:rFonts w:ascii="Book Antiqua" w:hAnsi="Book Antiqua"/>
                <w:sz w:val="10"/>
                <w:szCs w:val="10"/>
                <w:lang w:eastAsia="zh-CN"/>
              </w:rPr>
              <w:t xml:space="preserve"> </w:t>
            </w:r>
            <w:r w:rsidRPr="00E90188">
              <w:rPr>
                <w:rFonts w:ascii="Book Antiqua" w:hAnsi="Book Antiqua"/>
                <w:sz w:val="10"/>
                <w:szCs w:val="10"/>
                <w:lang w:eastAsia="en-GB"/>
              </w:rPr>
              <w:t>0.001)</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31</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14.5</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7.5</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5.5</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2008</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CONKO-001 Final (Neuhaus)</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Gemcitabine (179)</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22.8</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36.5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21</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13.4</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23.5</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16</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(175)</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20.2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0.005)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19.5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9</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6.9 (</w:t>
            </w:r>
            <w:r w:rsidRPr="00E90188">
              <w:rPr>
                <w:rFonts w:ascii="Book Antiqua" w:hAnsi="Book Antiqua"/>
                <w:i/>
                <w:sz w:val="10"/>
                <w:szCs w:val="10"/>
                <w:lang w:eastAsia="en-GB"/>
              </w:rPr>
              <w:t>P</w:t>
            </w:r>
            <w:r w:rsidRPr="00E90188">
              <w:rPr>
                <w:rFonts w:ascii="Book Antiqua" w:hAnsi="Book Antiqua"/>
                <w:sz w:val="10"/>
                <w:szCs w:val="10"/>
                <w:lang w:eastAsia="en-GB"/>
              </w:rPr>
              <w:t>&lt;0.001)</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8.5</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6.5</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2009</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JSAP-2 (Ueno)</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Gemcitabine +/- RT (58)</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86</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69</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84</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22.3 (16.1-30.7)</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77.6</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48.3</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23.9</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11.4 (8-14.5)</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49</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27.2</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 RT (60)</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18.4 (15.1-25.3)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0.77,</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0.51-1.14,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0.19)</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75</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40</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10.6</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 (3.7-8.9)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0.6,</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0.4-0.89,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0.01)</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26.7</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16.7</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lastRenderedPageBreak/>
              <w:t>2009</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Collated data ESPAC-1, ESPAC-1 Plus, ESPAC-3(v1)</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5-FU/Folinic Acid (233)</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55</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75</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23.2 (20.1-26.5)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77</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49</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24</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(225)</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16.8 (14.3-19.2)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0.7,</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0.55-0.88,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0.003)</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63</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37</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14</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2010</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ESPAC-3(v2)</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5-FU/Folinic Acid (551)</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72</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65</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 (21.1-25)</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78.5 (75-82)</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48.1 (43.8-52.4)</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14.1 (12.5-15.3)</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56.1 (51.8-60.3)</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30.7 (26.7-34.6)</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Gemcitabine (537)</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23.6 (21.4-26.4)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0.94,</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0.81-1.08,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0.39)</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80.1 (76.7-83.6)</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49.1 (44.8-53.4)</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14.3 (13.5-15.6)</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61.3 (57.1-65.5)</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29.6 (25.6-33.5)</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2013</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JASPAC-01</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S-1 (187)</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87</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63</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87</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46.3</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70</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23.2</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49</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w:t>
            </w:r>
          </w:p>
        </w:tc>
      </w:tr>
      <w:tr w:rsidR="00A06E23" w:rsidRPr="004C41FA" w:rsidTr="00E309A0">
        <w:trPr>
          <w:trHeight w:val="300"/>
        </w:trPr>
        <w:tc>
          <w:tcPr>
            <w:tcW w:w="7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60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2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Gemcitabine (191)</w:t>
            </w:r>
          </w:p>
        </w:tc>
        <w:tc>
          <w:tcPr>
            <w:tcW w:w="322"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20"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406"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42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25.5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&lt;</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0.0001)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131"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53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0.56, 0.42-0.74,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&lt;</w:t>
            </w:r>
            <w:r w:rsidRPr="004C41FA">
              <w:rPr>
                <w:rFonts w:ascii="Book Antiqua" w:hAnsi="Book Antiqua"/>
                <w:sz w:val="10"/>
                <w:szCs w:val="10"/>
                <w:lang w:eastAsia="zh-CN"/>
              </w:rPr>
              <w:t xml:space="preserve"> </w:t>
            </w:r>
            <w:r w:rsidRPr="00E90188">
              <w:rPr>
                <w:rFonts w:ascii="Book Antiqua" w:hAnsi="Book Antiqua"/>
                <w:sz w:val="10"/>
                <w:szCs w:val="10"/>
                <w:lang w:eastAsia="en-GB"/>
              </w:rPr>
              <w:t>0.0001)</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53"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09"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xml:space="preserve">11.2 (log rank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&lt;</w:t>
            </w:r>
            <w:r w:rsidRPr="004C41FA">
              <w:rPr>
                <w:rFonts w:ascii="Book Antiqua" w:hAnsi="Book Antiqua"/>
                <w:sz w:val="10"/>
                <w:szCs w:val="10"/>
                <w:lang w:eastAsia="zh-CN"/>
              </w:rPr>
              <w:t xml:space="preserve"> </w:t>
            </w:r>
            <w:r w:rsidRPr="00E90188">
              <w:rPr>
                <w:rFonts w:ascii="Book Antiqua" w:hAnsi="Book Antiqua"/>
                <w:sz w:val="10"/>
                <w:szCs w:val="10"/>
                <w:lang w:eastAsia="en-GB"/>
              </w:rPr>
              <w:t>0.0001)</w:t>
            </w:r>
          </w:p>
        </w:tc>
        <w:tc>
          <w:tcPr>
            <w:tcW w:w="72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1297"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29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0.56, 0.43-0.71, log rank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&lt;</w:t>
            </w:r>
            <w:r w:rsidRPr="004C41FA">
              <w:rPr>
                <w:rFonts w:ascii="Book Antiqua" w:hAnsi="Book Antiqua"/>
                <w:sz w:val="10"/>
                <w:szCs w:val="10"/>
                <w:lang w:eastAsia="zh-CN"/>
              </w:rPr>
              <w:t xml:space="preserve"> </w:t>
            </w:r>
            <w:r w:rsidRPr="00E90188">
              <w:rPr>
                <w:rFonts w:ascii="Book Antiqua" w:hAnsi="Book Antiqua"/>
                <w:sz w:val="10"/>
                <w:szCs w:val="10"/>
                <w:lang w:eastAsia="en-GB"/>
              </w:rPr>
              <w:t>0.0001)</w:t>
            </w:r>
          </w:p>
        </w:tc>
        <w:tc>
          <w:tcPr>
            <w:tcW w:w="645"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784" w:type="dxa"/>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E3206E">
        <w:trPr>
          <w:trHeight w:val="300"/>
        </w:trPr>
        <w:tc>
          <w:tcPr>
            <w:tcW w:w="14080" w:type="dxa"/>
            <w:gridSpan w:val="16"/>
            <w:shd w:val="clear" w:color="000000" w:fill="FFFFFF"/>
            <w:noWrap/>
            <w:vAlign w:val="bottom"/>
          </w:tcPr>
          <w:p w:rsidR="00A06E23" w:rsidRPr="004C41FA" w:rsidRDefault="00A06E23" w:rsidP="00C962AB">
            <w:pPr>
              <w:spacing w:after="0" w:line="360" w:lineRule="auto"/>
              <w:jc w:val="both"/>
              <w:rPr>
                <w:rFonts w:ascii="Book Antiqua" w:hAnsi="Book Antiqua"/>
                <w:sz w:val="10"/>
                <w:szCs w:val="10"/>
                <w:lang w:eastAsia="zh-CN"/>
              </w:rPr>
            </w:pPr>
            <w:r w:rsidRPr="00E90188">
              <w:rPr>
                <w:rFonts w:ascii="Book Antiqua" w:hAnsi="Book Antiqua"/>
                <w:sz w:val="10"/>
                <w:szCs w:val="10"/>
                <w:lang w:eastAsia="en-GB"/>
              </w:rPr>
              <w:t xml:space="preserve">CRT: </w:t>
            </w:r>
            <w:r w:rsidRPr="004C41FA">
              <w:rPr>
                <w:rFonts w:ascii="Book Antiqua" w:hAnsi="Book Antiqua"/>
                <w:sz w:val="10"/>
                <w:szCs w:val="10"/>
                <w:lang w:eastAsia="zh-CN"/>
              </w:rPr>
              <w:t xml:space="preserve"> </w:t>
            </w:r>
            <w:r w:rsidRPr="00E90188">
              <w:rPr>
                <w:rFonts w:ascii="Book Antiqua" w:hAnsi="Book Antiqua"/>
                <w:sz w:val="10"/>
                <w:szCs w:val="10"/>
                <w:lang w:eastAsia="en-GB"/>
              </w:rPr>
              <w:t>Chemoradiotherapy</w:t>
            </w:r>
            <w:r w:rsidRPr="004C41FA">
              <w:rPr>
                <w:rFonts w:ascii="Book Antiqua" w:hAnsi="Book Antiqua"/>
                <w:sz w:val="10"/>
                <w:szCs w:val="10"/>
                <w:lang w:eastAsia="zh-CN"/>
              </w:rPr>
              <w:t>; n/a: Not avialable; NS: Not significant; 5-FU: 5-flurouracil.</w:t>
            </w:r>
          </w:p>
        </w:tc>
      </w:tr>
    </w:tbl>
    <w:p w:rsidR="00A06E23" w:rsidRPr="00E90188" w:rsidRDefault="00A06E23" w:rsidP="00C962AB">
      <w:pPr>
        <w:spacing w:after="0" w:line="360" w:lineRule="auto"/>
        <w:jc w:val="both"/>
        <w:rPr>
          <w:rFonts w:ascii="Book Antiqua" w:hAnsi="Book Antiqua" w:cs="Arial"/>
          <w:b/>
          <w:sz w:val="24"/>
          <w:szCs w:val="24"/>
        </w:rPr>
      </w:pPr>
    </w:p>
    <w:p w:rsidR="00A06E23" w:rsidRPr="00E90188" w:rsidRDefault="00A06E23" w:rsidP="00C962AB">
      <w:pPr>
        <w:spacing w:after="0" w:line="360" w:lineRule="auto"/>
        <w:jc w:val="both"/>
        <w:rPr>
          <w:rFonts w:ascii="Book Antiqua" w:hAnsi="Book Antiqua" w:cs="Arial"/>
          <w:b/>
          <w:sz w:val="24"/>
          <w:szCs w:val="24"/>
        </w:rPr>
      </w:pPr>
    </w:p>
    <w:tbl>
      <w:tblPr>
        <w:tblW w:w="14480" w:type="dxa"/>
        <w:tblInd w:w="94" w:type="dxa"/>
        <w:tblLook w:val="00A0" w:firstRow="1" w:lastRow="0" w:firstColumn="1" w:lastColumn="0" w:noHBand="0" w:noVBand="0"/>
      </w:tblPr>
      <w:tblGrid>
        <w:gridCol w:w="1500"/>
        <w:gridCol w:w="2100"/>
        <w:gridCol w:w="2020"/>
        <w:gridCol w:w="3523"/>
        <w:gridCol w:w="1981"/>
        <w:gridCol w:w="3356"/>
      </w:tblGrid>
      <w:tr w:rsidR="00A06E23" w:rsidRPr="004C41FA" w:rsidTr="00E3206E">
        <w:trPr>
          <w:trHeight w:val="300"/>
        </w:trPr>
        <w:tc>
          <w:tcPr>
            <w:tcW w:w="1448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tcPr>
          <w:p w:rsidR="00A06E23" w:rsidRPr="004C41FA" w:rsidRDefault="00A06E23" w:rsidP="00C962AB">
            <w:pPr>
              <w:spacing w:after="0" w:line="360" w:lineRule="auto"/>
              <w:rPr>
                <w:rFonts w:ascii="Book Antiqua" w:hAnsi="Book Antiqua"/>
                <w:b/>
                <w:bCs/>
                <w:lang w:eastAsia="zh-CN"/>
              </w:rPr>
            </w:pPr>
            <w:r w:rsidRPr="00E90188">
              <w:rPr>
                <w:rFonts w:ascii="Book Antiqua" w:hAnsi="Book Antiqua"/>
                <w:b/>
                <w:bCs/>
                <w:lang w:eastAsia="en-GB"/>
              </w:rPr>
              <w:t>Table 2</w:t>
            </w:r>
            <w:r w:rsidRPr="004C41FA">
              <w:rPr>
                <w:rFonts w:ascii="Book Antiqua" w:hAnsi="Book Antiqua"/>
                <w:b/>
                <w:bCs/>
                <w:lang w:eastAsia="zh-CN"/>
              </w:rPr>
              <w:t xml:space="preserve"> </w:t>
            </w:r>
            <w:r w:rsidRPr="00E90188">
              <w:rPr>
                <w:rFonts w:ascii="Book Antiqua" w:hAnsi="Book Antiqua"/>
                <w:b/>
                <w:bCs/>
                <w:lang w:eastAsia="en-GB"/>
              </w:rPr>
              <w:t>Meta-analyses of adjuvant chemotherapy in pancreatic cancer</w:t>
            </w:r>
          </w:p>
        </w:tc>
      </w:tr>
      <w:tr w:rsidR="00A06E23" w:rsidRPr="004C41FA" w:rsidTr="00422FF1">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single" w:sz="4" w:space="0" w:color="auto"/>
              <w:left w:val="single" w:sz="4" w:space="0" w:color="auto"/>
              <w:bottom w:val="single" w:sz="4" w:space="0" w:color="auto"/>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8860" w:type="dxa"/>
            <w:gridSpan w:val="3"/>
            <w:tcBorders>
              <w:top w:val="single" w:sz="4" w:space="0" w:color="auto"/>
              <w:left w:val="single" w:sz="4" w:space="0" w:color="auto"/>
              <w:bottom w:val="single" w:sz="4" w:space="0" w:color="auto"/>
              <w:right w:val="single" w:sz="4" w:space="0" w:color="000000"/>
            </w:tcBorders>
            <w:noWrap/>
            <w:vAlign w:val="bottom"/>
          </w:tcPr>
          <w:p w:rsidR="00A06E23" w:rsidRPr="00E90188" w:rsidRDefault="00A06E23" w:rsidP="00C962AB">
            <w:pPr>
              <w:spacing w:after="0" w:line="360" w:lineRule="auto"/>
              <w:jc w:val="center"/>
              <w:rPr>
                <w:rFonts w:ascii="Book Antiqua" w:hAnsi="Book Antiqua"/>
                <w:b/>
                <w:bCs/>
                <w:lang w:eastAsia="en-GB"/>
              </w:rPr>
            </w:pPr>
            <w:r w:rsidRPr="00E90188">
              <w:rPr>
                <w:rFonts w:ascii="Book Antiqua" w:hAnsi="Book Antiqua"/>
                <w:b/>
                <w:bCs/>
                <w:lang w:eastAsia="en-GB"/>
              </w:rPr>
              <w:t>Survival (95%CI)</w:t>
            </w:r>
          </w:p>
        </w:tc>
      </w:tr>
      <w:tr w:rsidR="00A06E23" w:rsidRPr="004C41FA" w:rsidTr="00422FF1">
        <w:trPr>
          <w:trHeight w:val="300"/>
        </w:trPr>
        <w:tc>
          <w:tcPr>
            <w:tcW w:w="1500" w:type="dxa"/>
            <w:tcBorders>
              <w:top w:val="single" w:sz="4" w:space="0" w:color="auto"/>
              <w:left w:val="single" w:sz="4" w:space="0" w:color="auto"/>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Year published</w:t>
            </w:r>
          </w:p>
        </w:tc>
        <w:tc>
          <w:tcPr>
            <w:tcW w:w="2100" w:type="dxa"/>
            <w:tcBorders>
              <w:top w:val="single" w:sz="4" w:space="0" w:color="auto"/>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Author</w:t>
            </w:r>
          </w:p>
        </w:tc>
        <w:tc>
          <w:tcPr>
            <w:tcW w:w="2020" w:type="dxa"/>
            <w:tcBorders>
              <w:top w:val="single" w:sz="4" w:space="0" w:color="auto"/>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Arm (</w:t>
            </w:r>
            <w:r w:rsidRPr="00E90188">
              <w:rPr>
                <w:rFonts w:ascii="Book Antiqua" w:hAnsi="Book Antiqua"/>
                <w:b/>
                <w:bCs/>
                <w:i/>
                <w:lang w:eastAsia="en-GB"/>
              </w:rPr>
              <w:t>n</w:t>
            </w:r>
            <w:r w:rsidRPr="00E90188">
              <w:rPr>
                <w:rFonts w:ascii="Book Antiqua" w:hAnsi="Book Antiqua"/>
                <w:b/>
                <w:bCs/>
                <w:lang w:eastAsia="en-GB"/>
              </w:rPr>
              <w:t>)</w:t>
            </w:r>
          </w:p>
        </w:tc>
        <w:tc>
          <w:tcPr>
            <w:tcW w:w="3523"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Median survival (months)</w:t>
            </w:r>
          </w:p>
        </w:tc>
        <w:tc>
          <w:tcPr>
            <w:tcW w:w="1981"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 xml:space="preserve">2-year survival (%) </w:t>
            </w:r>
          </w:p>
        </w:tc>
        <w:tc>
          <w:tcPr>
            <w:tcW w:w="3356"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5-year survival (%)</w:t>
            </w:r>
          </w:p>
        </w:tc>
      </w:tr>
      <w:tr w:rsidR="00A06E23" w:rsidRPr="004C41FA" w:rsidTr="00F22128">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2005</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Stocken</w:t>
            </w:r>
          </w:p>
        </w:tc>
        <w:tc>
          <w:tcPr>
            <w:tcW w:w="202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CT (348)</w:t>
            </w:r>
          </w:p>
        </w:tc>
        <w:tc>
          <w:tcPr>
            <w:tcW w:w="35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19 (16.4-21.1)</w:t>
            </w:r>
          </w:p>
        </w:tc>
        <w:tc>
          <w:tcPr>
            <w:tcW w:w="1981"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38</w:t>
            </w:r>
          </w:p>
        </w:tc>
        <w:tc>
          <w:tcPr>
            <w:tcW w:w="335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19</w:t>
            </w:r>
          </w:p>
        </w:tc>
      </w:tr>
      <w:tr w:rsidR="00A06E23" w:rsidRPr="004C41FA" w:rsidTr="00F22128">
        <w:trPr>
          <w:trHeight w:val="300"/>
        </w:trPr>
        <w:tc>
          <w:tcPr>
            <w:tcW w:w="1500"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No CT (338)</w:t>
            </w:r>
          </w:p>
        </w:tc>
        <w:tc>
          <w:tcPr>
            <w:tcW w:w="35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13.5 (12.2-15.8)</w:t>
            </w:r>
          </w:p>
        </w:tc>
        <w:tc>
          <w:tcPr>
            <w:tcW w:w="1981"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28</w:t>
            </w:r>
          </w:p>
        </w:tc>
        <w:tc>
          <w:tcPr>
            <w:tcW w:w="335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12</w:t>
            </w:r>
          </w:p>
        </w:tc>
      </w:tr>
      <w:tr w:rsidR="00A06E23" w:rsidRPr="004C41FA" w:rsidTr="00F22128">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2007</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Boeck</w:t>
            </w:r>
          </w:p>
        </w:tc>
        <w:tc>
          <w:tcPr>
            <w:tcW w:w="202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CT (482)</w:t>
            </w:r>
          </w:p>
        </w:tc>
        <w:tc>
          <w:tcPr>
            <w:tcW w:w="35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xml:space="preserve">3 month (0.3-5.7) survival benefit </w:t>
            </w:r>
          </w:p>
        </w:tc>
        <w:tc>
          <w:tcPr>
            <w:tcW w:w="1981"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_______</w:t>
            </w:r>
          </w:p>
        </w:tc>
        <w:tc>
          <w:tcPr>
            <w:tcW w:w="335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3.1% (-4.6-10.8) survival benefit</w:t>
            </w:r>
          </w:p>
        </w:tc>
      </w:tr>
      <w:tr w:rsidR="00A06E23" w:rsidRPr="004C41FA" w:rsidTr="00F22128">
        <w:trPr>
          <w:trHeight w:val="300"/>
        </w:trPr>
        <w:tc>
          <w:tcPr>
            <w:tcW w:w="1500"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No CT (469)</w:t>
            </w:r>
          </w:p>
        </w:tc>
        <w:tc>
          <w:tcPr>
            <w:tcW w:w="35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xml:space="preserve">with CT </w:t>
            </w:r>
            <w:r w:rsidRPr="00E90188">
              <w:rPr>
                <w:rFonts w:ascii="Book Antiqua" w:hAnsi="Book Antiqua"/>
                <w:i/>
                <w:lang w:eastAsia="en-GB"/>
              </w:rPr>
              <w:t>vs</w:t>
            </w:r>
            <w:r w:rsidRPr="00E90188">
              <w:rPr>
                <w:rFonts w:ascii="Book Antiqua" w:hAnsi="Book Antiqua"/>
                <w:lang w:eastAsia="en-GB"/>
              </w:rPr>
              <w:t xml:space="preserve"> no CT (</w:t>
            </w:r>
            <w:r w:rsidRPr="00E90188">
              <w:rPr>
                <w:rFonts w:ascii="Book Antiqua" w:hAnsi="Book Antiqua"/>
                <w:i/>
                <w:lang w:eastAsia="en-GB"/>
              </w:rPr>
              <w:t>P</w:t>
            </w:r>
            <w:r w:rsidRPr="004C41FA">
              <w:rPr>
                <w:rFonts w:ascii="Book Antiqua" w:hAnsi="Book Antiqua"/>
                <w:i/>
                <w:lang w:eastAsia="zh-CN"/>
              </w:rPr>
              <w:t xml:space="preserve"> </w:t>
            </w:r>
            <w:r w:rsidRPr="00E90188">
              <w:rPr>
                <w:rFonts w:ascii="Book Antiqua" w:hAnsi="Book Antiqua"/>
                <w:lang w:eastAsia="en-GB"/>
              </w:rPr>
              <w:t>=</w:t>
            </w:r>
            <w:r w:rsidRPr="004C41FA">
              <w:rPr>
                <w:rFonts w:ascii="Book Antiqua" w:hAnsi="Book Antiqua"/>
                <w:lang w:eastAsia="zh-CN"/>
              </w:rPr>
              <w:t xml:space="preserve"> </w:t>
            </w:r>
            <w:r w:rsidRPr="00E90188">
              <w:rPr>
                <w:rFonts w:ascii="Book Antiqua" w:hAnsi="Book Antiqua"/>
                <w:lang w:eastAsia="en-GB"/>
              </w:rPr>
              <w:t>0.03)</w:t>
            </w:r>
          </w:p>
        </w:tc>
        <w:tc>
          <w:tcPr>
            <w:tcW w:w="1981"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35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xml:space="preserve">with CT </w:t>
            </w:r>
            <w:r w:rsidRPr="00E90188">
              <w:rPr>
                <w:rFonts w:ascii="Book Antiqua" w:hAnsi="Book Antiqua"/>
                <w:i/>
                <w:lang w:eastAsia="en-GB"/>
              </w:rPr>
              <w:t>vs</w:t>
            </w:r>
            <w:r w:rsidRPr="00E90188">
              <w:rPr>
                <w:rFonts w:ascii="Book Antiqua" w:hAnsi="Book Antiqua"/>
                <w:lang w:eastAsia="en-GB"/>
              </w:rPr>
              <w:t xml:space="preserve"> no CT (</w:t>
            </w:r>
            <w:r w:rsidRPr="00E90188">
              <w:rPr>
                <w:rFonts w:ascii="Book Antiqua" w:hAnsi="Book Antiqua"/>
                <w:i/>
                <w:lang w:eastAsia="en-GB"/>
              </w:rPr>
              <w:t>P</w:t>
            </w:r>
            <w:r w:rsidRPr="004C41FA">
              <w:rPr>
                <w:rFonts w:ascii="Book Antiqua" w:hAnsi="Book Antiqua"/>
                <w:i/>
                <w:lang w:eastAsia="zh-CN"/>
              </w:rPr>
              <w:t xml:space="preserve"> </w:t>
            </w:r>
            <w:r w:rsidRPr="00E90188">
              <w:rPr>
                <w:rFonts w:ascii="Book Antiqua" w:hAnsi="Book Antiqua"/>
                <w:lang w:eastAsia="en-GB"/>
              </w:rPr>
              <w:t>&gt;</w:t>
            </w:r>
            <w:r w:rsidRPr="004C41FA">
              <w:rPr>
                <w:rFonts w:ascii="Book Antiqua" w:hAnsi="Book Antiqua"/>
                <w:lang w:eastAsia="zh-CN"/>
              </w:rPr>
              <w:t xml:space="preserve"> </w:t>
            </w:r>
            <w:r w:rsidRPr="00E90188">
              <w:rPr>
                <w:rFonts w:ascii="Book Antiqua" w:hAnsi="Book Antiqua"/>
                <w:lang w:eastAsia="en-GB"/>
              </w:rPr>
              <w:t>0.05)</w:t>
            </w:r>
          </w:p>
        </w:tc>
      </w:tr>
      <w:tr w:rsidR="00A06E23" w:rsidRPr="004C41FA" w:rsidTr="00F22128">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2008</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Butturini</w:t>
            </w:r>
          </w:p>
        </w:tc>
        <w:tc>
          <w:tcPr>
            <w:tcW w:w="2020" w:type="dxa"/>
            <w:tcBorders>
              <w:top w:val="nil"/>
              <w:left w:val="nil"/>
              <w:bottom w:val="single" w:sz="4" w:space="0" w:color="auto"/>
              <w:right w:val="nil"/>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23"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R0 Resections</w:t>
            </w:r>
          </w:p>
        </w:tc>
        <w:tc>
          <w:tcPr>
            <w:tcW w:w="1981"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356"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r>
      <w:tr w:rsidR="00A06E23" w:rsidRPr="004C41FA" w:rsidTr="00F22128">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CT (236)</w:t>
            </w:r>
          </w:p>
        </w:tc>
        <w:tc>
          <w:tcPr>
            <w:tcW w:w="35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20.8 (17.7-23.2)</w:t>
            </w:r>
          </w:p>
        </w:tc>
        <w:tc>
          <w:tcPr>
            <w:tcW w:w="1981"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42 (35-48)</w:t>
            </w:r>
          </w:p>
        </w:tc>
        <w:tc>
          <w:tcPr>
            <w:tcW w:w="335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22 (17-28)</w:t>
            </w:r>
          </w:p>
        </w:tc>
      </w:tr>
      <w:tr w:rsidR="00A06E23" w:rsidRPr="004C41FA" w:rsidTr="00F22128">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No CT (222)</w:t>
            </w:r>
          </w:p>
        </w:tc>
        <w:tc>
          <w:tcPr>
            <w:tcW w:w="35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13.8 (12.2-16.4)</w:t>
            </w:r>
          </w:p>
        </w:tc>
        <w:tc>
          <w:tcPr>
            <w:tcW w:w="1981"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27 (21-33)</w:t>
            </w:r>
          </w:p>
        </w:tc>
        <w:tc>
          <w:tcPr>
            <w:tcW w:w="335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10 (5-14)</w:t>
            </w:r>
          </w:p>
        </w:tc>
      </w:tr>
      <w:tr w:rsidR="00A06E23" w:rsidRPr="004C41FA" w:rsidTr="00F22128">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single" w:sz="4" w:space="0" w:color="auto"/>
              <w:right w:val="nil"/>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23"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R1 Resections</w:t>
            </w:r>
          </w:p>
        </w:tc>
        <w:tc>
          <w:tcPr>
            <w:tcW w:w="1981"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356"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r>
      <w:tr w:rsidR="00A06E23" w:rsidRPr="004C41FA" w:rsidTr="00835FF5">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lastRenderedPageBreak/>
              <w:t> </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CT (109)</w:t>
            </w:r>
          </w:p>
        </w:tc>
        <w:tc>
          <w:tcPr>
            <w:tcW w:w="35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15 (11.7-18.1)</w:t>
            </w:r>
          </w:p>
        </w:tc>
        <w:tc>
          <w:tcPr>
            <w:tcW w:w="1981" w:type="dxa"/>
            <w:tcBorders>
              <w:top w:val="nil"/>
              <w:left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29 (20-38)</w:t>
            </w:r>
          </w:p>
        </w:tc>
        <w:tc>
          <w:tcPr>
            <w:tcW w:w="3356" w:type="dxa"/>
            <w:tcBorders>
              <w:top w:val="nil"/>
              <w:left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14 (7-21)</w:t>
            </w:r>
          </w:p>
        </w:tc>
      </w:tr>
      <w:tr w:rsidR="00A06E23" w:rsidRPr="004C41FA" w:rsidTr="00835FF5">
        <w:trPr>
          <w:trHeight w:val="300"/>
        </w:trPr>
        <w:tc>
          <w:tcPr>
            <w:tcW w:w="1500"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No CT (114)</w:t>
            </w:r>
          </w:p>
        </w:tc>
        <w:tc>
          <w:tcPr>
            <w:tcW w:w="3523" w:type="dxa"/>
            <w:tcBorders>
              <w:top w:val="nil"/>
              <w:left w:val="nil"/>
              <w:bottom w:val="single" w:sz="4" w:space="0" w:color="auto"/>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13.2 (10.5-17.6)</w:t>
            </w:r>
          </w:p>
        </w:tc>
        <w:tc>
          <w:tcPr>
            <w:tcW w:w="1981" w:type="dxa"/>
            <w:tcBorders>
              <w:top w:val="nil"/>
              <w:left w:val="single" w:sz="4" w:space="0" w:color="000000"/>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31 (22-40)</w:t>
            </w:r>
          </w:p>
        </w:tc>
        <w:tc>
          <w:tcPr>
            <w:tcW w:w="335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17 (10-24)</w:t>
            </w:r>
          </w:p>
        </w:tc>
      </w:tr>
      <w:tr w:rsidR="00A06E23" w:rsidRPr="004C41FA" w:rsidTr="00835FF5">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2013</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Liao</w:t>
            </w:r>
          </w:p>
        </w:tc>
        <w:tc>
          <w:tcPr>
            <w:tcW w:w="2020" w:type="dxa"/>
            <w:tcBorders>
              <w:top w:val="nil"/>
              <w:left w:val="nil"/>
              <w:bottom w:val="single" w:sz="4" w:space="0" w:color="auto"/>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23" w:type="dxa"/>
            <w:tcBorders>
              <w:top w:val="nil"/>
              <w:left w:val="nil"/>
              <w:bottom w:val="single" w:sz="4" w:space="0" w:color="auto"/>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Hazard ratio for death (95%CI)</w:t>
            </w:r>
          </w:p>
        </w:tc>
        <w:tc>
          <w:tcPr>
            <w:tcW w:w="5337" w:type="dxa"/>
            <w:gridSpan w:val="2"/>
            <w:vMerge w:val="restart"/>
            <w:tcBorders>
              <w:top w:val="single" w:sz="4" w:space="0" w:color="auto"/>
              <w:left w:val="single" w:sz="4" w:space="0" w:color="000000"/>
              <w:bottom w:val="single" w:sz="4" w:space="0" w:color="000000"/>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p>
        </w:tc>
      </w:tr>
      <w:tr w:rsidR="00A06E23" w:rsidRPr="004C41FA" w:rsidTr="00835FF5">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Flurouracil (876)</w:t>
            </w:r>
          </w:p>
        </w:tc>
        <w:tc>
          <w:tcPr>
            <w:tcW w:w="3523" w:type="dxa"/>
            <w:tcBorders>
              <w:top w:val="nil"/>
              <w:left w:val="nil"/>
              <w:bottom w:val="nil"/>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0.62 (0.42-0.88)</w:t>
            </w:r>
          </w:p>
        </w:tc>
        <w:tc>
          <w:tcPr>
            <w:tcW w:w="5337" w:type="dxa"/>
            <w:gridSpan w:val="2"/>
            <w:vMerge/>
            <w:tcBorders>
              <w:top w:val="nil"/>
              <w:left w:val="single" w:sz="4" w:space="0" w:color="000000"/>
              <w:bottom w:val="single" w:sz="4" w:space="0" w:color="000000"/>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422FF1">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Observation (670)</w:t>
            </w:r>
          </w:p>
        </w:tc>
        <w:tc>
          <w:tcPr>
            <w:tcW w:w="3523" w:type="dxa"/>
            <w:tcBorders>
              <w:top w:val="nil"/>
              <w:left w:val="nil"/>
              <w:bottom w:val="single" w:sz="4" w:space="0" w:color="auto"/>
              <w:right w:val="single" w:sz="4" w:space="0" w:color="000000"/>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5337" w:type="dxa"/>
            <w:gridSpan w:val="2"/>
            <w:vMerge/>
            <w:tcBorders>
              <w:top w:val="nil"/>
              <w:left w:val="single" w:sz="4" w:space="0" w:color="000000"/>
              <w:bottom w:val="single" w:sz="4" w:space="0" w:color="000000"/>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422FF1">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Gemcitabine (774)</w:t>
            </w:r>
          </w:p>
        </w:tc>
        <w:tc>
          <w:tcPr>
            <w:tcW w:w="3523" w:type="dxa"/>
            <w:tcBorders>
              <w:top w:val="nil"/>
              <w:left w:val="nil"/>
              <w:bottom w:val="nil"/>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0.68 (0.44-1.07)</w:t>
            </w:r>
          </w:p>
        </w:tc>
        <w:tc>
          <w:tcPr>
            <w:tcW w:w="5337" w:type="dxa"/>
            <w:gridSpan w:val="2"/>
            <w:vMerge w:val="restart"/>
            <w:tcBorders>
              <w:top w:val="single" w:sz="4" w:space="0" w:color="000000"/>
              <w:left w:val="single" w:sz="4" w:space="0" w:color="000000"/>
              <w:bottom w:val="single" w:sz="4" w:space="0" w:color="000000"/>
              <w:right w:val="single" w:sz="4" w:space="0" w:color="auto"/>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r>
      <w:tr w:rsidR="00A06E23" w:rsidRPr="004C41FA" w:rsidTr="00422FF1">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Observation (670)</w:t>
            </w:r>
          </w:p>
        </w:tc>
        <w:tc>
          <w:tcPr>
            <w:tcW w:w="3523" w:type="dxa"/>
            <w:tcBorders>
              <w:top w:val="nil"/>
              <w:left w:val="nil"/>
              <w:bottom w:val="single" w:sz="4" w:space="0" w:color="auto"/>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5337" w:type="dxa"/>
            <w:gridSpan w:val="2"/>
            <w:vMerge/>
            <w:tcBorders>
              <w:top w:val="single" w:sz="4" w:space="0" w:color="000000"/>
              <w:left w:val="single" w:sz="4" w:space="0" w:color="000000"/>
              <w:bottom w:val="single" w:sz="4" w:space="0" w:color="000000"/>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422FF1">
        <w:trPr>
          <w:trHeight w:val="300"/>
        </w:trPr>
        <w:tc>
          <w:tcPr>
            <w:tcW w:w="1500" w:type="dxa"/>
            <w:tcBorders>
              <w:top w:val="nil"/>
              <w:left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Gemcitabine (774)</w:t>
            </w:r>
          </w:p>
        </w:tc>
        <w:tc>
          <w:tcPr>
            <w:tcW w:w="3523" w:type="dxa"/>
            <w:tcBorders>
              <w:top w:val="nil"/>
              <w:left w:val="nil"/>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1.1 (0.70-1.86)</w:t>
            </w:r>
          </w:p>
        </w:tc>
        <w:tc>
          <w:tcPr>
            <w:tcW w:w="5337" w:type="dxa"/>
            <w:gridSpan w:val="2"/>
            <w:vMerge/>
            <w:tcBorders>
              <w:top w:val="single" w:sz="4" w:space="0" w:color="000000"/>
              <w:left w:val="single" w:sz="4" w:space="0" w:color="000000"/>
              <w:bottom w:val="single" w:sz="4" w:space="0" w:color="000000"/>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422FF1">
        <w:trPr>
          <w:trHeight w:val="300"/>
        </w:trPr>
        <w:tc>
          <w:tcPr>
            <w:tcW w:w="1500"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10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02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Flurouracil (876)</w:t>
            </w:r>
          </w:p>
        </w:tc>
        <w:tc>
          <w:tcPr>
            <w:tcW w:w="3523" w:type="dxa"/>
            <w:tcBorders>
              <w:top w:val="nil"/>
              <w:left w:val="nil"/>
              <w:bottom w:val="single" w:sz="4" w:space="0" w:color="auto"/>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5337" w:type="dxa"/>
            <w:gridSpan w:val="2"/>
            <w:vMerge/>
            <w:tcBorders>
              <w:top w:val="single" w:sz="4" w:space="0" w:color="000000"/>
              <w:left w:val="single" w:sz="4" w:space="0" w:color="000000"/>
              <w:bottom w:val="single" w:sz="4" w:space="0" w:color="auto"/>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E3206E">
        <w:trPr>
          <w:trHeight w:val="300"/>
        </w:trPr>
        <w:tc>
          <w:tcPr>
            <w:tcW w:w="14480" w:type="dxa"/>
            <w:gridSpan w:val="6"/>
            <w:tcBorders>
              <w:top w:val="nil"/>
              <w:left w:val="single" w:sz="4" w:space="0" w:color="auto"/>
              <w:bottom w:val="single" w:sz="4" w:space="0" w:color="auto"/>
              <w:right w:val="single" w:sz="4" w:space="0" w:color="auto"/>
            </w:tcBorders>
            <w:shd w:val="clear" w:color="000000" w:fill="FFFFFF"/>
            <w:noWrap/>
            <w:vAlign w:val="bottom"/>
          </w:tcPr>
          <w:p w:rsidR="00A06E23" w:rsidRPr="004C41FA" w:rsidRDefault="00A06E23" w:rsidP="00C962AB">
            <w:pPr>
              <w:spacing w:after="0" w:line="360" w:lineRule="auto"/>
              <w:jc w:val="both"/>
              <w:rPr>
                <w:rFonts w:ascii="Book Antiqua" w:hAnsi="Book Antiqua"/>
                <w:lang w:eastAsia="zh-CN"/>
              </w:rPr>
            </w:pPr>
            <w:r w:rsidRPr="00E90188">
              <w:rPr>
                <w:rFonts w:ascii="Book Antiqua" w:hAnsi="Book Antiqua"/>
                <w:lang w:eastAsia="en-GB"/>
              </w:rPr>
              <w:t>CT: Chemotherapy</w:t>
            </w:r>
            <w:r w:rsidRPr="004C41FA">
              <w:rPr>
                <w:rFonts w:ascii="Book Antiqua" w:hAnsi="Book Antiqua"/>
                <w:lang w:eastAsia="zh-CN"/>
              </w:rPr>
              <w:t xml:space="preserve">. </w:t>
            </w:r>
          </w:p>
        </w:tc>
      </w:tr>
    </w:tbl>
    <w:p w:rsidR="00A06E23" w:rsidRPr="00E90188" w:rsidRDefault="00A06E23" w:rsidP="00C962AB">
      <w:pPr>
        <w:spacing w:after="0" w:line="360" w:lineRule="auto"/>
        <w:jc w:val="both"/>
        <w:rPr>
          <w:rFonts w:ascii="Book Antiqua" w:hAnsi="Book Antiqua" w:cs="Arial"/>
          <w:b/>
          <w:sz w:val="24"/>
          <w:szCs w:val="24"/>
        </w:rPr>
      </w:pPr>
    </w:p>
    <w:tbl>
      <w:tblPr>
        <w:tblW w:w="0" w:type="auto"/>
        <w:tblInd w:w="94" w:type="dxa"/>
        <w:tblLook w:val="00A0" w:firstRow="1" w:lastRow="0" w:firstColumn="1" w:lastColumn="0" w:noHBand="0" w:noVBand="0"/>
      </w:tblPr>
      <w:tblGrid>
        <w:gridCol w:w="895"/>
        <w:gridCol w:w="1978"/>
        <w:gridCol w:w="2405"/>
        <w:gridCol w:w="381"/>
        <w:gridCol w:w="381"/>
        <w:gridCol w:w="381"/>
        <w:gridCol w:w="2173"/>
        <w:gridCol w:w="1050"/>
        <w:gridCol w:w="1050"/>
        <w:gridCol w:w="1050"/>
        <w:gridCol w:w="1229"/>
        <w:gridCol w:w="1107"/>
      </w:tblGrid>
      <w:tr w:rsidR="00A06E23" w:rsidRPr="004C41FA" w:rsidTr="00E3206E">
        <w:trPr>
          <w:trHeight w:val="300"/>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Table 3</w:t>
            </w:r>
            <w:r w:rsidRPr="004C41FA">
              <w:rPr>
                <w:rFonts w:ascii="Book Antiqua" w:hAnsi="Book Antiqua"/>
                <w:b/>
                <w:bCs/>
                <w:sz w:val="10"/>
                <w:szCs w:val="10"/>
                <w:lang w:eastAsia="zh-CN"/>
              </w:rPr>
              <w:t xml:space="preserve"> </w:t>
            </w:r>
            <w:r w:rsidRPr="00E90188">
              <w:rPr>
                <w:rFonts w:ascii="Book Antiqua" w:hAnsi="Book Antiqua"/>
                <w:b/>
                <w:bCs/>
                <w:sz w:val="10"/>
                <w:szCs w:val="10"/>
                <w:lang w:eastAsia="en-GB"/>
              </w:rPr>
              <w:t>Major adjuvant chemoradiotherapy trials in pancreatic cancer</w:t>
            </w:r>
          </w:p>
        </w:tc>
      </w:tr>
      <w:tr w:rsidR="00A06E23" w:rsidRPr="004C41FA" w:rsidTr="00226EA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A06E23" w:rsidRPr="004C41FA" w:rsidRDefault="00A06E23" w:rsidP="00C962AB">
            <w:pPr>
              <w:spacing w:after="0" w:line="360" w:lineRule="auto"/>
              <w:jc w:val="both"/>
              <w:rPr>
                <w:rFonts w:ascii="Book Antiqua" w:hAnsi="Book Antiqua"/>
                <w:sz w:val="10"/>
                <w:szCs w:val="10"/>
                <w:lang w:eastAsia="zh-CN"/>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gridSpan w:val="3"/>
            <w:tcBorders>
              <w:top w:val="single" w:sz="4" w:space="0" w:color="auto"/>
              <w:left w:val="nil"/>
              <w:bottom w:val="single" w:sz="4" w:space="0" w:color="auto"/>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Final analysis</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Survival (95%CI)</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 xml:space="preserve">Disease-free survival </w:t>
            </w:r>
            <w:r w:rsidRPr="004C41FA">
              <w:rPr>
                <w:rFonts w:ascii="Book Antiqua" w:hAnsi="Book Antiqua"/>
                <w:b/>
                <w:bCs/>
                <w:sz w:val="10"/>
                <w:szCs w:val="10"/>
                <w:lang w:eastAsia="zh-CN"/>
              </w:rPr>
              <w:t>(DFS)</w:t>
            </w:r>
            <w:r w:rsidRPr="00E90188">
              <w:rPr>
                <w:rFonts w:ascii="Book Antiqua" w:hAnsi="Book Antiqua"/>
                <w:b/>
                <w:bCs/>
                <w:sz w:val="10"/>
                <w:szCs w:val="10"/>
                <w:lang w:eastAsia="en-GB"/>
              </w:rPr>
              <w:t>(95%CI)</w:t>
            </w:r>
          </w:p>
        </w:tc>
      </w:tr>
      <w:tr w:rsidR="00A06E23" w:rsidRPr="004C41FA" w:rsidTr="00226EA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Year published</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Author/Group</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Treatment arms (</w:t>
            </w:r>
            <w:r w:rsidRPr="00E90188">
              <w:rPr>
                <w:rFonts w:ascii="Book Antiqua" w:hAnsi="Book Antiqua"/>
                <w:b/>
                <w:bCs/>
                <w:i/>
                <w:sz w:val="10"/>
                <w:szCs w:val="10"/>
                <w:lang w:eastAsia="en-GB"/>
              </w:rPr>
              <w:t>n</w:t>
            </w:r>
            <w:r w:rsidRPr="00E90188">
              <w:rPr>
                <w:rFonts w:ascii="Book Antiqua" w:hAnsi="Book Antiqua"/>
                <w:b/>
                <w:bCs/>
                <w:sz w:val="10"/>
                <w:szCs w:val="10"/>
                <w:lang w:eastAsia="en-GB"/>
              </w:rPr>
              <w:t>)</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 xml:space="preserve">T3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N+</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R0</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Median survival (months)</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2-year survival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3-year survival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5-year survival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Median DFS (months)</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b/>
                <w:bCs/>
                <w:sz w:val="10"/>
                <w:szCs w:val="10"/>
                <w:lang w:eastAsia="en-GB"/>
              </w:rPr>
            </w:pPr>
            <w:r w:rsidRPr="00E90188">
              <w:rPr>
                <w:rFonts w:ascii="Book Antiqua" w:hAnsi="Book Antiqua"/>
                <w:b/>
                <w:bCs/>
                <w:sz w:val="10"/>
                <w:szCs w:val="10"/>
                <w:lang w:eastAsia="en-GB"/>
              </w:rPr>
              <w:t>2-year DFS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1985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GITSG</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(21)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37</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28</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100</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43 (0.25-0.63)</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(22)</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10.9</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18 (0.08-0.36)</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1999</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EORTC</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5-FU/RT (104)</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46</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77</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24.5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51 (41-61)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28 (17-39)</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17.4</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38 (28-48)</w:t>
            </w:r>
          </w:p>
        </w:tc>
      </w:tr>
      <w:tr w:rsidR="00A06E23" w:rsidRPr="004C41FA" w:rsidTr="00337600">
        <w:trPr>
          <w:trHeight w:val="300"/>
        </w:trPr>
        <w:tc>
          <w:tcPr>
            <w:tcW w:w="0" w:type="auto"/>
            <w:tcBorders>
              <w:top w:val="nil"/>
              <w:left w:val="single" w:sz="4" w:space="0" w:color="auto"/>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(103)</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xml:space="preserve">19 (log rank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0.208)</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41 (31-51)</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22 (12-32)</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xml:space="preserve">16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0.643)</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37 (27-47)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0.643)</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5-FU/RT (60)</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0</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17.1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37 (24-50)</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 (5-35)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Surgery alone (54)</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xml:space="preserve">12.6 (log rank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0.099)</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 (11-35)</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10 (0-20)</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ESPAC-1 (All patients)</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+/- 5-FU/Folinic Acid (175)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56</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82</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15.5 (13.5-17.4)</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No CRT +/- 5-FU/Folinic acid (178)</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16.1 (13.1-20.1)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1.18,</w:t>
            </w:r>
            <w:r w:rsidRPr="004C41FA">
              <w:rPr>
                <w:rFonts w:ascii="Book Antiqua" w:hAnsi="Book Antiqua"/>
                <w:sz w:val="10"/>
                <w:szCs w:val="10"/>
                <w:lang w:eastAsia="zh-CN"/>
              </w:rPr>
              <w:t xml:space="preserve"> </w:t>
            </w:r>
            <w:r w:rsidRPr="00E90188">
              <w:rPr>
                <w:rFonts w:ascii="Book Antiqua" w:hAnsi="Book Antiqua"/>
                <w:sz w:val="10"/>
                <w:szCs w:val="10"/>
                <w:lang w:eastAsia="en-GB"/>
              </w:rPr>
              <w:t>0.9-1.55,</w:t>
            </w:r>
            <w:r w:rsidRPr="00E90188">
              <w:rPr>
                <w:rFonts w:ascii="Book Antiqua" w:hAnsi="Book Antiqua"/>
                <w:i/>
                <w:sz w:val="10"/>
                <w:szCs w:val="10"/>
                <w:lang w:eastAsia="en-GB"/>
              </w:rPr>
              <w:t xml:space="preserve"> 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0.24)</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ESPAC-1 (2x2 design only)</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+/- 5-FU/Folinic Acid (142)</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15.8 (13.5-19.4)</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lastRenderedPageBreak/>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No CRT +/- 5-FU/Folinic acid (143)</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17.8 (14-23.6)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1.3,</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0.96-1.77,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0.09)</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single" w:sz="4" w:space="0" w:color="auto"/>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2004</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ESPAC-1 (2x2 final analysis)</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+/- 5-FU/Folinic Acid (145)</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53</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82</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15.9 (13.7-19.9)</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29</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10</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No CRT +/- 5-FU/Folinic acid (144)</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17.9 (14.8-23.6)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1.28,</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0.99-1.66,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0.05)</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41</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ESPAC-1 (Individual Treatment Groups)</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5-FU/Folinic Acid (75)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21.6 (13.5-27.3)</w:t>
            </w:r>
          </w:p>
        </w:tc>
        <w:tc>
          <w:tcPr>
            <w:tcW w:w="0" w:type="auto"/>
            <w:tcBorders>
              <w:top w:val="nil"/>
              <w:left w:val="nil"/>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29</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+ 5-FU/Folinic Acid (72)</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19.9 (14.2-22.5)</w:t>
            </w:r>
          </w:p>
        </w:tc>
        <w:tc>
          <w:tcPr>
            <w:tcW w:w="0" w:type="auto"/>
            <w:tcBorders>
              <w:top w:val="nil"/>
              <w:left w:val="nil"/>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13</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Observation (69)</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16.9 (12.3-24.8)</w:t>
            </w:r>
          </w:p>
        </w:tc>
        <w:tc>
          <w:tcPr>
            <w:tcW w:w="0" w:type="auto"/>
            <w:tcBorders>
              <w:top w:val="nil"/>
              <w:left w:val="nil"/>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(73)</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13.9 (12.2-17.3)</w:t>
            </w:r>
          </w:p>
        </w:tc>
        <w:tc>
          <w:tcPr>
            <w:tcW w:w="0" w:type="auto"/>
            <w:tcBorders>
              <w:top w:val="nil"/>
              <w:left w:val="nil"/>
              <w:bottom w:val="single" w:sz="4" w:space="0" w:color="auto"/>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2006</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RTOG 97-04</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+ 5-FU (230)</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66</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66</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xml:space="preserve">No significant difference </w:t>
            </w:r>
          </w:p>
        </w:tc>
        <w:tc>
          <w:tcPr>
            <w:tcW w:w="0" w:type="auto"/>
            <w:tcBorders>
              <w:top w:val="nil"/>
              <w:left w:val="nil"/>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Gemcitabine (221)</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single" w:sz="4" w:space="0" w:color="auto"/>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dashed"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+ 5-FU (201)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16.9</w:t>
            </w:r>
          </w:p>
        </w:tc>
        <w:tc>
          <w:tcPr>
            <w:tcW w:w="0" w:type="auto"/>
            <w:tcBorders>
              <w:top w:val="nil"/>
              <w:left w:val="nil"/>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22</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Gemcitabine (187)</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20.5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0.82,</w:t>
            </w:r>
            <w:r w:rsidRPr="004C41FA">
              <w:rPr>
                <w:rFonts w:ascii="Book Antiqua" w:hAnsi="Book Antiqua"/>
                <w:sz w:val="10"/>
                <w:szCs w:val="10"/>
                <w:lang w:eastAsia="zh-CN"/>
              </w:rPr>
              <w:t xml:space="preserve"> </w:t>
            </w:r>
            <w:r w:rsidRPr="00E90188">
              <w:rPr>
                <w:rFonts w:ascii="Book Antiqua" w:hAnsi="Book Antiqua"/>
                <w:sz w:val="10"/>
                <w:szCs w:val="10"/>
                <w:lang w:eastAsia="en-GB"/>
              </w:rPr>
              <w:t>0.65-1.03,</w:t>
            </w:r>
            <w:r w:rsidRPr="004C41FA">
              <w:rPr>
                <w:rFonts w:ascii="Book Antiqua" w:hAnsi="Book Antiqua"/>
                <w:sz w:val="10"/>
                <w:szCs w:val="10"/>
                <w:lang w:eastAsia="zh-CN"/>
              </w:rPr>
              <w:t xml:space="preserve">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0.09)</w:t>
            </w:r>
          </w:p>
        </w:tc>
        <w:tc>
          <w:tcPr>
            <w:tcW w:w="0" w:type="auto"/>
            <w:tcBorders>
              <w:top w:val="nil"/>
              <w:left w:val="nil"/>
              <w:bottom w:val="single" w:sz="4" w:space="0" w:color="auto"/>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31</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2011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RTOG 97-04 (5-year analysis)</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+ 5-FU (230)</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66</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66</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No significant difference</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23</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19</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n/s</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Gemcitabine (221)</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0.933, 0.76-1.145,</w:t>
            </w:r>
            <w:r w:rsidRPr="004C41FA">
              <w:rPr>
                <w:rFonts w:ascii="Book Antiqua" w:hAnsi="Book Antiqua"/>
                <w:sz w:val="10"/>
                <w:szCs w:val="10"/>
                <w:lang w:eastAsia="zh-CN"/>
              </w:rPr>
              <w:t xml:space="preserve">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0.51</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40</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27</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19</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+ 5-FU (201)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n/a</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17.1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34</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21</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xml:space="preserve">18 (13-24)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337600">
        <w:trPr>
          <w:trHeight w:val="300"/>
        </w:trPr>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CRT + Gemcitabine (187)</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20.5</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42</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28</w:t>
            </w:r>
          </w:p>
        </w:tc>
        <w:tc>
          <w:tcPr>
            <w:tcW w:w="0" w:type="auto"/>
            <w:tcBorders>
              <w:top w:val="nil"/>
              <w:left w:val="nil"/>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22</w:t>
            </w:r>
          </w:p>
        </w:tc>
        <w:tc>
          <w:tcPr>
            <w:tcW w:w="0" w:type="auto"/>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337600">
        <w:trPr>
          <w:trHeight w:val="300"/>
        </w:trPr>
        <w:tc>
          <w:tcPr>
            <w:tcW w:w="0" w:type="auto"/>
            <w:tcBorders>
              <w:top w:val="single" w:sz="4" w:space="0" w:color="auto"/>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2012</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CapRI (Schmidt)</w:t>
            </w:r>
          </w:p>
        </w:tc>
        <w:tc>
          <w:tcPr>
            <w:tcW w:w="0" w:type="auto"/>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5-FU/Cisplatin/Interferon α-2b → RT → 5-FU (53)</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97</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79</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61</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32.1 (22.8-42.2)</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15.2 (10.3-24.8)</w:t>
            </w:r>
          </w:p>
        </w:tc>
        <w:tc>
          <w:tcPr>
            <w:tcW w:w="0" w:type="auto"/>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________</w:t>
            </w:r>
          </w:p>
        </w:tc>
      </w:tr>
      <w:tr w:rsidR="00A06E23" w:rsidRPr="004C41FA" w:rsidTr="00226EA4">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5-FU/Folinic acid (57)</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28.5 (19.5-38.6) (HR</w:t>
            </w:r>
            <w:r w:rsidRPr="004C41FA">
              <w:rPr>
                <w:rFonts w:ascii="Book Antiqua" w:hAnsi="Book Antiqua"/>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1.2,</w:t>
            </w:r>
            <w:r w:rsidRPr="004C41FA">
              <w:rPr>
                <w:rFonts w:ascii="Book Antiqua" w:hAnsi="Book Antiqua"/>
                <w:sz w:val="10"/>
                <w:szCs w:val="10"/>
                <w:lang w:eastAsia="zh-CN"/>
              </w:rPr>
              <w:t xml:space="preserve"> </w:t>
            </w:r>
            <w:r w:rsidRPr="00E90188">
              <w:rPr>
                <w:rFonts w:ascii="Book Antiqua" w:hAnsi="Book Antiqua"/>
                <w:sz w:val="10"/>
                <w:szCs w:val="10"/>
                <w:lang w:eastAsia="en-GB"/>
              </w:rPr>
              <w:t xml:space="preserve">0.49-2.95,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0.49)</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11.5 (9.8-17.6) (</w:t>
            </w:r>
            <w:r w:rsidRPr="00E90188">
              <w:rPr>
                <w:rFonts w:ascii="Book Antiqua" w:hAnsi="Book Antiqua"/>
                <w:i/>
                <w:sz w:val="10"/>
                <w:szCs w:val="10"/>
                <w:lang w:eastAsia="en-GB"/>
              </w:rPr>
              <w:t>P</w:t>
            </w:r>
            <w:r w:rsidRPr="004C41FA">
              <w:rPr>
                <w:rFonts w:ascii="Book Antiqua" w:hAnsi="Book Antiqua"/>
                <w:i/>
                <w:sz w:val="10"/>
                <w:szCs w:val="10"/>
                <w:lang w:eastAsia="zh-CN"/>
              </w:rPr>
              <w:t xml:space="preserve"> </w:t>
            </w:r>
            <w:r w:rsidRPr="00E90188">
              <w:rPr>
                <w:rFonts w:ascii="Book Antiqua" w:hAnsi="Book Antiqua"/>
                <w:sz w:val="10"/>
                <w:szCs w:val="10"/>
                <w:lang w:eastAsia="en-GB"/>
              </w:rPr>
              <w:t>=</w:t>
            </w:r>
            <w:r w:rsidRPr="004C41FA">
              <w:rPr>
                <w:rFonts w:ascii="Book Antiqua" w:hAnsi="Book Antiqua"/>
                <w:sz w:val="10"/>
                <w:szCs w:val="10"/>
                <w:lang w:eastAsia="zh-CN"/>
              </w:rPr>
              <w:t xml:space="preserve"> </w:t>
            </w:r>
            <w:r w:rsidRPr="00E90188">
              <w:rPr>
                <w:rFonts w:ascii="Book Antiqua" w:hAnsi="Book Antiqua"/>
                <w:sz w:val="10"/>
                <w:szCs w:val="10"/>
                <w:lang w:eastAsia="en-GB"/>
              </w:rPr>
              <w:t>0.61)</w:t>
            </w:r>
          </w:p>
        </w:tc>
        <w:tc>
          <w:tcPr>
            <w:tcW w:w="0" w:type="auto"/>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0"/>
                <w:szCs w:val="10"/>
                <w:lang w:eastAsia="en-GB"/>
              </w:rPr>
            </w:pPr>
            <w:r w:rsidRPr="00E90188">
              <w:rPr>
                <w:rFonts w:ascii="Book Antiqua" w:hAnsi="Book Antiqua"/>
                <w:sz w:val="10"/>
                <w:szCs w:val="10"/>
                <w:lang w:eastAsia="en-GB"/>
              </w:rPr>
              <w:t> </w:t>
            </w:r>
          </w:p>
        </w:tc>
      </w:tr>
      <w:tr w:rsidR="00A06E23" w:rsidRPr="004C41FA" w:rsidTr="00226EA4">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noWrap/>
            <w:vAlign w:val="bottom"/>
          </w:tcPr>
          <w:p w:rsidR="00A06E23" w:rsidRPr="004C41FA" w:rsidRDefault="00A06E23" w:rsidP="00C962AB">
            <w:pPr>
              <w:spacing w:after="0" w:line="360" w:lineRule="auto"/>
              <w:jc w:val="both"/>
              <w:rPr>
                <w:rFonts w:ascii="Book Antiqua" w:hAnsi="Book Antiqua"/>
                <w:sz w:val="10"/>
                <w:szCs w:val="10"/>
                <w:lang w:eastAsia="zh-CN"/>
              </w:rPr>
            </w:pPr>
            <w:r w:rsidRPr="00E90188">
              <w:rPr>
                <w:rFonts w:ascii="Book Antiqua" w:hAnsi="Book Antiqua"/>
                <w:sz w:val="10"/>
                <w:szCs w:val="10"/>
                <w:lang w:eastAsia="en-GB"/>
              </w:rPr>
              <w:t xml:space="preserve">CRT: </w:t>
            </w:r>
            <w:r w:rsidRPr="004C41FA">
              <w:rPr>
                <w:rFonts w:ascii="Book Antiqua" w:hAnsi="Book Antiqua"/>
                <w:sz w:val="10"/>
                <w:szCs w:val="10"/>
                <w:lang w:eastAsia="zh-CN"/>
              </w:rPr>
              <w:t xml:space="preserve"> </w:t>
            </w:r>
            <w:r w:rsidRPr="00E90188">
              <w:rPr>
                <w:rFonts w:ascii="Book Antiqua" w:hAnsi="Book Antiqua"/>
                <w:sz w:val="10"/>
                <w:szCs w:val="10"/>
                <w:lang w:eastAsia="en-GB"/>
              </w:rPr>
              <w:t>Chemoradiotherapy</w:t>
            </w:r>
            <w:r w:rsidRPr="004C41FA">
              <w:rPr>
                <w:rFonts w:ascii="Book Antiqua" w:hAnsi="Book Antiqua"/>
                <w:sz w:val="10"/>
                <w:szCs w:val="10"/>
                <w:lang w:eastAsia="zh-CN"/>
              </w:rPr>
              <w:t xml:space="preserve">; </w:t>
            </w:r>
            <w:r w:rsidRPr="00E90188">
              <w:rPr>
                <w:rFonts w:ascii="Book Antiqua" w:hAnsi="Book Antiqua"/>
                <w:sz w:val="10"/>
                <w:szCs w:val="10"/>
                <w:lang w:eastAsia="en-GB"/>
              </w:rPr>
              <w:t>n/a: Not avialable</w:t>
            </w:r>
            <w:r w:rsidRPr="004C41FA">
              <w:rPr>
                <w:rFonts w:ascii="Book Antiqua" w:hAnsi="Book Antiqua"/>
                <w:sz w:val="10"/>
                <w:szCs w:val="10"/>
                <w:lang w:eastAsia="zh-CN"/>
              </w:rPr>
              <w:t>; 5-FU: 5-flurouracil.</w:t>
            </w:r>
          </w:p>
        </w:tc>
      </w:tr>
    </w:tbl>
    <w:p w:rsidR="00A06E23" w:rsidRPr="00E90188" w:rsidRDefault="00A06E23" w:rsidP="00C962AB">
      <w:pPr>
        <w:spacing w:after="0" w:line="360" w:lineRule="auto"/>
        <w:jc w:val="both"/>
        <w:rPr>
          <w:rFonts w:ascii="Book Antiqua" w:hAnsi="Book Antiqua" w:cs="Arial"/>
          <w:b/>
          <w:sz w:val="24"/>
          <w:szCs w:val="24"/>
        </w:rPr>
      </w:pPr>
    </w:p>
    <w:tbl>
      <w:tblPr>
        <w:tblW w:w="14700" w:type="dxa"/>
        <w:tblInd w:w="94" w:type="dxa"/>
        <w:tblLook w:val="00A0" w:firstRow="1" w:lastRow="0" w:firstColumn="1" w:lastColumn="0" w:noHBand="0" w:noVBand="0"/>
      </w:tblPr>
      <w:tblGrid>
        <w:gridCol w:w="1500"/>
        <w:gridCol w:w="1360"/>
        <w:gridCol w:w="3580"/>
        <w:gridCol w:w="3814"/>
        <w:gridCol w:w="2223"/>
        <w:gridCol w:w="2223"/>
      </w:tblGrid>
      <w:tr w:rsidR="00A06E23" w:rsidRPr="004C41FA" w:rsidTr="00E3206E">
        <w:trPr>
          <w:trHeight w:val="300"/>
        </w:trPr>
        <w:tc>
          <w:tcPr>
            <w:tcW w:w="14700" w:type="dxa"/>
            <w:gridSpan w:val="6"/>
            <w:tcBorders>
              <w:top w:val="single" w:sz="4" w:space="0" w:color="auto"/>
              <w:left w:val="single" w:sz="4" w:space="0" w:color="auto"/>
              <w:bottom w:val="single" w:sz="4" w:space="0" w:color="auto"/>
              <w:right w:val="single" w:sz="4" w:space="0" w:color="000000"/>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Table 4</w:t>
            </w:r>
            <w:r w:rsidRPr="004C41FA">
              <w:rPr>
                <w:rFonts w:ascii="Book Antiqua" w:hAnsi="Book Antiqua"/>
                <w:b/>
                <w:bCs/>
                <w:lang w:eastAsia="zh-CN"/>
              </w:rPr>
              <w:t xml:space="preserve"> </w:t>
            </w:r>
            <w:r w:rsidRPr="00E90188">
              <w:rPr>
                <w:rFonts w:ascii="Book Antiqua" w:hAnsi="Book Antiqua"/>
                <w:b/>
                <w:bCs/>
                <w:lang w:eastAsia="en-GB"/>
              </w:rPr>
              <w:t>Meta-analyses of adjuvant chemoradiotherapy in pancreatic cancer</w:t>
            </w:r>
          </w:p>
        </w:tc>
      </w:tr>
      <w:tr w:rsidR="00A06E23" w:rsidRPr="004C41FA" w:rsidTr="00226EA4">
        <w:trPr>
          <w:trHeight w:val="300"/>
        </w:trPr>
        <w:tc>
          <w:tcPr>
            <w:tcW w:w="1500" w:type="dxa"/>
            <w:tcBorders>
              <w:top w:val="single" w:sz="4" w:space="0" w:color="auto"/>
              <w:left w:val="single" w:sz="4" w:space="0" w:color="auto"/>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 </w:t>
            </w:r>
          </w:p>
        </w:tc>
        <w:tc>
          <w:tcPr>
            <w:tcW w:w="3580" w:type="dxa"/>
            <w:tcBorders>
              <w:top w:val="single" w:sz="4" w:space="0" w:color="auto"/>
              <w:left w:val="single" w:sz="4" w:space="0" w:color="auto"/>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 </w:t>
            </w:r>
          </w:p>
        </w:tc>
        <w:tc>
          <w:tcPr>
            <w:tcW w:w="8260" w:type="dxa"/>
            <w:gridSpan w:val="3"/>
            <w:tcBorders>
              <w:top w:val="single" w:sz="4" w:space="0" w:color="auto"/>
              <w:left w:val="nil"/>
              <w:bottom w:val="single" w:sz="4" w:space="0" w:color="auto"/>
              <w:right w:val="single" w:sz="4" w:space="0" w:color="000000"/>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Survival (95%CI)</w:t>
            </w:r>
          </w:p>
        </w:tc>
      </w:tr>
      <w:tr w:rsidR="00A06E23" w:rsidRPr="004C41FA" w:rsidTr="00337600">
        <w:trPr>
          <w:trHeight w:val="300"/>
        </w:trPr>
        <w:tc>
          <w:tcPr>
            <w:tcW w:w="1500" w:type="dxa"/>
            <w:tcBorders>
              <w:top w:val="nil"/>
              <w:left w:val="single" w:sz="4" w:space="0" w:color="auto"/>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Year published</w:t>
            </w:r>
          </w:p>
        </w:tc>
        <w:tc>
          <w:tcPr>
            <w:tcW w:w="1360"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Author</w:t>
            </w:r>
          </w:p>
        </w:tc>
        <w:tc>
          <w:tcPr>
            <w:tcW w:w="3580"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Arm (</w:t>
            </w:r>
            <w:r w:rsidRPr="00E90188">
              <w:rPr>
                <w:rFonts w:ascii="Book Antiqua" w:hAnsi="Book Antiqua"/>
                <w:b/>
                <w:bCs/>
                <w:i/>
                <w:lang w:eastAsia="en-GB"/>
              </w:rPr>
              <w:t>n</w:t>
            </w:r>
            <w:r w:rsidRPr="00E90188">
              <w:rPr>
                <w:rFonts w:ascii="Book Antiqua" w:hAnsi="Book Antiqua"/>
                <w:b/>
                <w:bCs/>
                <w:lang w:eastAsia="en-GB"/>
              </w:rPr>
              <w:t>)</w:t>
            </w:r>
          </w:p>
        </w:tc>
        <w:tc>
          <w:tcPr>
            <w:tcW w:w="3814"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Median survival (months)</w:t>
            </w:r>
          </w:p>
        </w:tc>
        <w:tc>
          <w:tcPr>
            <w:tcW w:w="2223"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 xml:space="preserve">2-year survival (%) </w:t>
            </w:r>
          </w:p>
        </w:tc>
        <w:tc>
          <w:tcPr>
            <w:tcW w:w="2223"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b/>
                <w:bCs/>
                <w:lang w:eastAsia="en-GB"/>
              </w:rPr>
            </w:pPr>
            <w:r w:rsidRPr="00E90188">
              <w:rPr>
                <w:rFonts w:ascii="Book Antiqua" w:hAnsi="Book Antiqua"/>
                <w:b/>
                <w:bCs/>
                <w:lang w:eastAsia="en-GB"/>
              </w:rPr>
              <w:t>5-year survival (%)</w:t>
            </w:r>
          </w:p>
        </w:tc>
      </w:tr>
      <w:tr w:rsidR="00A06E23" w:rsidRPr="004C41FA" w:rsidTr="00337600">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2005</w:t>
            </w:r>
          </w:p>
        </w:tc>
        <w:tc>
          <w:tcPr>
            <w:tcW w:w="136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Stocken</w:t>
            </w:r>
          </w:p>
        </w:tc>
        <w:tc>
          <w:tcPr>
            <w:tcW w:w="358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CRT</w:t>
            </w:r>
          </w:p>
        </w:tc>
        <w:tc>
          <w:tcPr>
            <w:tcW w:w="3814"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15.8 (13.9-18.1)</w:t>
            </w:r>
          </w:p>
        </w:tc>
        <w:tc>
          <w:tcPr>
            <w:tcW w:w="22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30</w:t>
            </w:r>
          </w:p>
        </w:tc>
        <w:tc>
          <w:tcPr>
            <w:tcW w:w="22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12</w:t>
            </w:r>
          </w:p>
        </w:tc>
      </w:tr>
      <w:tr w:rsidR="00A06E23" w:rsidRPr="004C41FA" w:rsidTr="00337600">
        <w:trPr>
          <w:trHeight w:val="300"/>
        </w:trPr>
        <w:tc>
          <w:tcPr>
            <w:tcW w:w="1500"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No CRT</w:t>
            </w:r>
          </w:p>
        </w:tc>
        <w:tc>
          <w:tcPr>
            <w:tcW w:w="3814"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15.2 (13.1-18.2)</w:t>
            </w:r>
          </w:p>
        </w:tc>
        <w:tc>
          <w:tcPr>
            <w:tcW w:w="22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34</w:t>
            </w:r>
          </w:p>
        </w:tc>
        <w:tc>
          <w:tcPr>
            <w:tcW w:w="22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17</w:t>
            </w:r>
          </w:p>
        </w:tc>
      </w:tr>
      <w:tr w:rsidR="00A06E23" w:rsidRPr="004C41FA" w:rsidTr="00337600">
        <w:trPr>
          <w:trHeight w:val="300"/>
        </w:trPr>
        <w:tc>
          <w:tcPr>
            <w:tcW w:w="1500" w:type="dxa"/>
            <w:tcBorders>
              <w:top w:val="nil"/>
              <w:left w:val="single" w:sz="4" w:space="0" w:color="auto"/>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lastRenderedPageBreak/>
              <w:t>2008</w:t>
            </w:r>
          </w:p>
        </w:tc>
        <w:tc>
          <w:tcPr>
            <w:tcW w:w="1360" w:type="dxa"/>
            <w:tcBorders>
              <w:top w:val="nil"/>
              <w:left w:val="nil"/>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Butturini</w:t>
            </w:r>
          </w:p>
        </w:tc>
        <w:tc>
          <w:tcPr>
            <w:tcW w:w="3580"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814"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R0 Resections</w:t>
            </w:r>
          </w:p>
        </w:tc>
        <w:tc>
          <w:tcPr>
            <w:tcW w:w="2223"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223"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r>
      <w:tr w:rsidR="00A06E23" w:rsidRPr="004C41FA" w:rsidTr="00337600">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CRT (188)</w:t>
            </w:r>
          </w:p>
        </w:tc>
        <w:tc>
          <w:tcPr>
            <w:tcW w:w="3814"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15.9 (14-18.5)</w:t>
            </w:r>
          </w:p>
        </w:tc>
        <w:tc>
          <w:tcPr>
            <w:tcW w:w="22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30 (23-36)</w:t>
            </w:r>
          </w:p>
        </w:tc>
        <w:tc>
          <w:tcPr>
            <w:tcW w:w="22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10 (5-15)</w:t>
            </w:r>
          </w:p>
        </w:tc>
      </w:tr>
      <w:tr w:rsidR="00A06E23" w:rsidRPr="004C41FA" w:rsidTr="00337600">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No CRT (183)</w:t>
            </w:r>
          </w:p>
        </w:tc>
        <w:tc>
          <w:tcPr>
            <w:tcW w:w="3814"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15.8 (13.4-20.1)</w:t>
            </w:r>
          </w:p>
        </w:tc>
        <w:tc>
          <w:tcPr>
            <w:tcW w:w="22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38 (31-45)</w:t>
            </w:r>
          </w:p>
        </w:tc>
        <w:tc>
          <w:tcPr>
            <w:tcW w:w="22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20 (13-26)</w:t>
            </w:r>
          </w:p>
        </w:tc>
      </w:tr>
      <w:tr w:rsidR="00A06E23" w:rsidRPr="004C41FA" w:rsidTr="00337600">
        <w:trPr>
          <w:trHeight w:val="300"/>
        </w:trPr>
        <w:tc>
          <w:tcPr>
            <w:tcW w:w="1500" w:type="dxa"/>
            <w:tcBorders>
              <w:top w:val="nil"/>
              <w:left w:val="single" w:sz="4" w:space="0" w:color="auto"/>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nil"/>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814"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R1 Resections</w:t>
            </w:r>
          </w:p>
        </w:tc>
        <w:tc>
          <w:tcPr>
            <w:tcW w:w="2223"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2223" w:type="dxa"/>
            <w:tcBorders>
              <w:top w:val="nil"/>
              <w:left w:val="nil"/>
              <w:bottom w:val="single" w:sz="4" w:space="0" w:color="auto"/>
              <w:right w:val="single" w:sz="4" w:space="0" w:color="auto"/>
            </w:tcBorders>
            <w:shd w:val="clear" w:color="000000" w:fill="EEECE1"/>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r>
      <w:tr w:rsidR="00A06E23" w:rsidRPr="004C41FA" w:rsidTr="00337600">
        <w:trPr>
          <w:trHeight w:val="300"/>
        </w:trPr>
        <w:tc>
          <w:tcPr>
            <w:tcW w:w="150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CRT (53)</w:t>
            </w:r>
          </w:p>
        </w:tc>
        <w:tc>
          <w:tcPr>
            <w:tcW w:w="3814"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14.7 (11.5-20.5)</w:t>
            </w:r>
          </w:p>
        </w:tc>
        <w:tc>
          <w:tcPr>
            <w:tcW w:w="22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30 (17-42)</w:t>
            </w:r>
          </w:p>
        </w:tc>
        <w:tc>
          <w:tcPr>
            <w:tcW w:w="222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18 (7-29)</w:t>
            </w:r>
          </w:p>
        </w:tc>
      </w:tr>
      <w:tr w:rsidR="00A06E23" w:rsidRPr="004C41FA" w:rsidTr="00337600">
        <w:trPr>
          <w:trHeight w:val="300"/>
        </w:trPr>
        <w:tc>
          <w:tcPr>
            <w:tcW w:w="1500"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No CRT (53)</w:t>
            </w:r>
          </w:p>
        </w:tc>
        <w:tc>
          <w:tcPr>
            <w:tcW w:w="3814"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11.2 (9.4-16.7)</w:t>
            </w:r>
          </w:p>
        </w:tc>
        <w:tc>
          <w:tcPr>
            <w:tcW w:w="22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19 (8-31)</w:t>
            </w:r>
          </w:p>
        </w:tc>
        <w:tc>
          <w:tcPr>
            <w:tcW w:w="222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8 (0-16)</w:t>
            </w:r>
          </w:p>
        </w:tc>
      </w:tr>
      <w:tr w:rsidR="00A06E23" w:rsidRPr="004C41FA" w:rsidTr="00337600">
        <w:trPr>
          <w:trHeight w:val="300"/>
        </w:trPr>
        <w:tc>
          <w:tcPr>
            <w:tcW w:w="1500" w:type="dxa"/>
            <w:tcBorders>
              <w:top w:val="nil"/>
              <w:left w:val="single" w:sz="4" w:space="0" w:color="auto"/>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2013</w:t>
            </w:r>
          </w:p>
        </w:tc>
        <w:tc>
          <w:tcPr>
            <w:tcW w:w="136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Liao</w:t>
            </w:r>
          </w:p>
        </w:tc>
        <w:tc>
          <w:tcPr>
            <w:tcW w:w="3580" w:type="dxa"/>
            <w:tcBorders>
              <w:top w:val="nil"/>
              <w:left w:val="nil"/>
              <w:bottom w:val="single" w:sz="4" w:space="0" w:color="auto"/>
              <w:right w:val="single" w:sz="4" w:space="0" w:color="auto"/>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814" w:type="dxa"/>
            <w:tcBorders>
              <w:top w:val="nil"/>
              <w:left w:val="nil"/>
              <w:bottom w:val="nil"/>
              <w:right w:val="single" w:sz="4" w:space="0" w:color="auto"/>
            </w:tcBorders>
            <w:shd w:val="clear" w:color="000000" w:fill="FFFFFF"/>
            <w:noWrap/>
            <w:vAlign w:val="bottom"/>
          </w:tcPr>
          <w:p w:rsidR="00A06E23" w:rsidRPr="00085108" w:rsidRDefault="00A06E23" w:rsidP="00C962AB">
            <w:pPr>
              <w:spacing w:after="0" w:line="360" w:lineRule="auto"/>
              <w:jc w:val="both"/>
              <w:rPr>
                <w:rFonts w:ascii="Book Antiqua" w:hAnsi="Book Antiqua"/>
                <w:bCs/>
                <w:lang w:eastAsia="en-GB"/>
              </w:rPr>
            </w:pPr>
            <w:r w:rsidRPr="00085108">
              <w:rPr>
                <w:rFonts w:ascii="Book Antiqua" w:hAnsi="Book Antiqua"/>
                <w:bCs/>
                <w:lang w:eastAsia="en-GB"/>
              </w:rPr>
              <w:t>Hazard ratio for death (95%CI)</w:t>
            </w:r>
          </w:p>
        </w:tc>
        <w:tc>
          <w:tcPr>
            <w:tcW w:w="4446" w:type="dxa"/>
            <w:gridSpan w:val="2"/>
            <w:vMerge w:val="restart"/>
            <w:tcBorders>
              <w:top w:val="single" w:sz="4" w:space="0" w:color="auto"/>
              <w:left w:val="single" w:sz="4" w:space="0" w:color="auto"/>
              <w:bottom w:val="nil"/>
              <w:right w:val="single" w:sz="4" w:space="0" w:color="000000"/>
            </w:tcBorders>
            <w:noWrap/>
            <w:vAlign w:val="bottom"/>
          </w:tcPr>
          <w:p w:rsidR="00A06E23" w:rsidRPr="00E90188" w:rsidRDefault="00A06E23" w:rsidP="00C962AB">
            <w:pPr>
              <w:spacing w:after="0" w:line="360" w:lineRule="auto"/>
              <w:jc w:val="both"/>
              <w:rPr>
                <w:rFonts w:ascii="Book Antiqua" w:hAnsi="Book Antiqua"/>
                <w:lang w:eastAsia="en-GB"/>
              </w:rPr>
            </w:pPr>
          </w:p>
        </w:tc>
      </w:tr>
      <w:tr w:rsidR="00A06E23" w:rsidRPr="004C41FA" w:rsidTr="00337600">
        <w:trPr>
          <w:trHeight w:val="300"/>
        </w:trPr>
        <w:tc>
          <w:tcPr>
            <w:tcW w:w="1500" w:type="dxa"/>
            <w:tcBorders>
              <w:top w:val="nil"/>
              <w:left w:val="single" w:sz="4" w:space="0" w:color="auto"/>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Chemoradiation (169)</w:t>
            </w:r>
          </w:p>
        </w:tc>
        <w:tc>
          <w:tcPr>
            <w:tcW w:w="3814"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0.91 (0.55-1.46)</w:t>
            </w:r>
          </w:p>
        </w:tc>
        <w:tc>
          <w:tcPr>
            <w:tcW w:w="4446" w:type="dxa"/>
            <w:gridSpan w:val="2"/>
            <w:vMerge/>
            <w:tcBorders>
              <w:top w:val="single" w:sz="4" w:space="0" w:color="auto"/>
              <w:left w:val="nil"/>
              <w:bottom w:val="nil"/>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337600">
        <w:trPr>
          <w:trHeight w:val="300"/>
        </w:trPr>
        <w:tc>
          <w:tcPr>
            <w:tcW w:w="1500" w:type="dxa"/>
            <w:tcBorders>
              <w:top w:val="nil"/>
              <w:left w:val="single" w:sz="4" w:space="0" w:color="auto"/>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Observation (670)</w:t>
            </w:r>
          </w:p>
        </w:tc>
        <w:tc>
          <w:tcPr>
            <w:tcW w:w="3814"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4446" w:type="dxa"/>
            <w:gridSpan w:val="2"/>
            <w:vMerge/>
            <w:tcBorders>
              <w:top w:val="nil"/>
              <w:left w:val="nil"/>
              <w:bottom w:val="nil"/>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337600">
        <w:trPr>
          <w:trHeight w:val="300"/>
        </w:trPr>
        <w:tc>
          <w:tcPr>
            <w:tcW w:w="1500" w:type="dxa"/>
            <w:tcBorders>
              <w:top w:val="nil"/>
              <w:left w:val="single" w:sz="4" w:space="0" w:color="auto"/>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Chemoradiation + 5-FU (323)</w:t>
            </w:r>
          </w:p>
        </w:tc>
        <w:tc>
          <w:tcPr>
            <w:tcW w:w="3814"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0.87 (0.27-2.69)</w:t>
            </w:r>
          </w:p>
        </w:tc>
        <w:tc>
          <w:tcPr>
            <w:tcW w:w="4446" w:type="dxa"/>
            <w:gridSpan w:val="2"/>
            <w:vMerge/>
            <w:tcBorders>
              <w:top w:val="single" w:sz="4" w:space="0" w:color="auto"/>
              <w:left w:val="nil"/>
              <w:bottom w:val="nil"/>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337600">
        <w:trPr>
          <w:trHeight w:val="300"/>
        </w:trPr>
        <w:tc>
          <w:tcPr>
            <w:tcW w:w="1500" w:type="dxa"/>
            <w:tcBorders>
              <w:top w:val="nil"/>
              <w:left w:val="single" w:sz="4" w:space="0" w:color="auto"/>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5-FU (876)</w:t>
            </w:r>
          </w:p>
        </w:tc>
        <w:tc>
          <w:tcPr>
            <w:tcW w:w="3814"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4446" w:type="dxa"/>
            <w:gridSpan w:val="2"/>
            <w:vMerge w:val="restart"/>
            <w:tcBorders>
              <w:top w:val="nil"/>
              <w:left w:val="single" w:sz="4" w:space="0" w:color="auto"/>
              <w:bottom w:val="single" w:sz="4" w:space="0" w:color="000000"/>
              <w:right w:val="single" w:sz="4" w:space="0" w:color="000000"/>
            </w:tcBorders>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r>
      <w:tr w:rsidR="00A06E23" w:rsidRPr="004C41FA" w:rsidTr="00337600">
        <w:trPr>
          <w:trHeight w:val="300"/>
        </w:trPr>
        <w:tc>
          <w:tcPr>
            <w:tcW w:w="1500" w:type="dxa"/>
            <w:tcBorders>
              <w:top w:val="nil"/>
              <w:left w:val="single" w:sz="4" w:space="0" w:color="auto"/>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Chemoradiation + 5-FU (323)</w:t>
            </w:r>
          </w:p>
        </w:tc>
        <w:tc>
          <w:tcPr>
            <w:tcW w:w="3814"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0.59 (0.19-1.74)</w:t>
            </w:r>
          </w:p>
        </w:tc>
        <w:tc>
          <w:tcPr>
            <w:tcW w:w="4446" w:type="dxa"/>
            <w:gridSpan w:val="2"/>
            <w:vMerge/>
            <w:tcBorders>
              <w:top w:val="nil"/>
              <w:left w:val="nil"/>
              <w:bottom w:val="nil"/>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337600">
        <w:trPr>
          <w:trHeight w:val="300"/>
        </w:trPr>
        <w:tc>
          <w:tcPr>
            <w:tcW w:w="1500" w:type="dxa"/>
            <w:tcBorders>
              <w:top w:val="nil"/>
              <w:left w:val="single" w:sz="4" w:space="0" w:color="auto"/>
              <w:bottom w:val="nil"/>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Chemoradiation (169)</w:t>
            </w:r>
          </w:p>
        </w:tc>
        <w:tc>
          <w:tcPr>
            <w:tcW w:w="3814"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4446" w:type="dxa"/>
            <w:gridSpan w:val="2"/>
            <w:vMerge/>
            <w:tcBorders>
              <w:top w:val="nil"/>
              <w:left w:val="nil"/>
              <w:bottom w:val="single" w:sz="4" w:space="0" w:color="auto"/>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AE0652">
        <w:trPr>
          <w:trHeight w:val="300"/>
        </w:trPr>
        <w:tc>
          <w:tcPr>
            <w:tcW w:w="1500" w:type="dxa"/>
            <w:tcBorders>
              <w:top w:val="nil"/>
              <w:left w:val="single" w:sz="4" w:space="0" w:color="auto"/>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Chemoradiation + Gemcitabine (221)</w:t>
            </w:r>
          </w:p>
        </w:tc>
        <w:tc>
          <w:tcPr>
            <w:tcW w:w="3814" w:type="dxa"/>
            <w:tcBorders>
              <w:top w:val="nil"/>
              <w:left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0.82 (0.4-1.71)</w:t>
            </w:r>
          </w:p>
        </w:tc>
        <w:tc>
          <w:tcPr>
            <w:tcW w:w="4446" w:type="dxa"/>
            <w:gridSpan w:val="2"/>
            <w:vMerge/>
            <w:tcBorders>
              <w:top w:val="nil"/>
              <w:left w:val="nil"/>
              <w:bottom w:val="nil"/>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AE0652">
        <w:trPr>
          <w:trHeight w:val="300"/>
        </w:trPr>
        <w:tc>
          <w:tcPr>
            <w:tcW w:w="1500" w:type="dxa"/>
            <w:tcBorders>
              <w:top w:val="nil"/>
              <w:left w:val="single" w:sz="4" w:space="0" w:color="auto"/>
              <w:bottom w:val="single" w:sz="4" w:space="0" w:color="auto"/>
              <w:right w:val="nil"/>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3580"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Chemoradiation + 5-FU (323)</w:t>
            </w:r>
          </w:p>
        </w:tc>
        <w:tc>
          <w:tcPr>
            <w:tcW w:w="3814"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lang w:eastAsia="en-GB"/>
              </w:rPr>
            </w:pPr>
            <w:r w:rsidRPr="00E90188">
              <w:rPr>
                <w:rFonts w:ascii="Book Antiqua" w:hAnsi="Book Antiqua"/>
                <w:lang w:eastAsia="en-GB"/>
              </w:rPr>
              <w:t> </w:t>
            </w:r>
          </w:p>
        </w:tc>
        <w:tc>
          <w:tcPr>
            <w:tcW w:w="4446" w:type="dxa"/>
            <w:gridSpan w:val="2"/>
            <w:vMerge/>
            <w:tcBorders>
              <w:top w:val="nil"/>
              <w:left w:val="nil"/>
              <w:bottom w:val="nil"/>
              <w:right w:val="single" w:sz="4" w:space="0" w:color="auto"/>
            </w:tcBorders>
            <w:vAlign w:val="center"/>
          </w:tcPr>
          <w:p w:rsidR="00A06E23" w:rsidRPr="00E90188" w:rsidRDefault="00A06E23" w:rsidP="00C962AB">
            <w:pPr>
              <w:spacing w:after="0" w:line="360" w:lineRule="auto"/>
              <w:jc w:val="both"/>
              <w:rPr>
                <w:rFonts w:ascii="Book Antiqua" w:hAnsi="Book Antiqua"/>
                <w:lang w:eastAsia="en-GB"/>
              </w:rPr>
            </w:pPr>
          </w:p>
        </w:tc>
      </w:tr>
      <w:tr w:rsidR="00A06E23" w:rsidRPr="004C41FA" w:rsidTr="00E3206E">
        <w:trPr>
          <w:trHeight w:val="300"/>
        </w:trPr>
        <w:tc>
          <w:tcPr>
            <w:tcW w:w="14700" w:type="dxa"/>
            <w:gridSpan w:val="6"/>
            <w:tcBorders>
              <w:top w:val="nil"/>
              <w:left w:val="single" w:sz="4" w:space="0" w:color="auto"/>
              <w:bottom w:val="single" w:sz="4" w:space="0" w:color="auto"/>
              <w:right w:val="single" w:sz="4" w:space="0" w:color="auto"/>
            </w:tcBorders>
            <w:shd w:val="clear" w:color="000000" w:fill="FFFFFF"/>
            <w:noWrap/>
            <w:vAlign w:val="bottom"/>
          </w:tcPr>
          <w:p w:rsidR="00A06E23" w:rsidRPr="00F27797" w:rsidRDefault="00A06E23" w:rsidP="00C962AB">
            <w:pPr>
              <w:spacing w:after="0" w:line="360" w:lineRule="auto"/>
              <w:jc w:val="both"/>
              <w:rPr>
                <w:rFonts w:ascii="Book Antiqua" w:hAnsi="Book Antiqua"/>
                <w:sz w:val="18"/>
                <w:szCs w:val="18"/>
                <w:lang w:eastAsia="en-GB"/>
              </w:rPr>
            </w:pPr>
            <w:r w:rsidRPr="00F27797">
              <w:rPr>
                <w:rFonts w:ascii="Book Antiqua" w:hAnsi="Book Antiqua"/>
                <w:sz w:val="18"/>
                <w:szCs w:val="18"/>
                <w:lang w:eastAsia="en-GB"/>
              </w:rPr>
              <w:t xml:space="preserve">CRT: </w:t>
            </w:r>
            <w:r w:rsidRPr="004C41FA">
              <w:rPr>
                <w:rFonts w:ascii="Book Antiqua" w:hAnsi="Book Antiqua"/>
                <w:sz w:val="18"/>
                <w:szCs w:val="18"/>
                <w:lang w:eastAsia="zh-CN"/>
              </w:rPr>
              <w:t xml:space="preserve"> </w:t>
            </w:r>
            <w:r w:rsidRPr="00F27797">
              <w:rPr>
                <w:rFonts w:ascii="Book Antiqua" w:hAnsi="Book Antiqua"/>
                <w:sz w:val="18"/>
                <w:szCs w:val="18"/>
                <w:lang w:eastAsia="en-GB"/>
              </w:rPr>
              <w:t>Chemoradiotherapy</w:t>
            </w:r>
            <w:r w:rsidRPr="004C41FA">
              <w:rPr>
                <w:rFonts w:ascii="Book Antiqua" w:hAnsi="Book Antiqua"/>
                <w:sz w:val="18"/>
                <w:szCs w:val="18"/>
                <w:lang w:eastAsia="zh-CN"/>
              </w:rPr>
              <w:t>; 5-FU: 5-flurouracil.</w:t>
            </w:r>
          </w:p>
        </w:tc>
      </w:tr>
    </w:tbl>
    <w:p w:rsidR="00A06E23" w:rsidRPr="00E90188" w:rsidRDefault="00A06E23" w:rsidP="00C962AB">
      <w:pPr>
        <w:spacing w:after="0" w:line="360" w:lineRule="auto"/>
        <w:jc w:val="both"/>
        <w:rPr>
          <w:rFonts w:ascii="Book Antiqua" w:hAnsi="Book Antiqua" w:cs="Arial"/>
          <w:b/>
          <w:sz w:val="24"/>
          <w:szCs w:val="24"/>
        </w:rPr>
      </w:pPr>
    </w:p>
    <w:p w:rsidR="00A06E23" w:rsidRPr="00E90188" w:rsidRDefault="00A06E23" w:rsidP="00C962AB">
      <w:pPr>
        <w:spacing w:after="0" w:line="360" w:lineRule="auto"/>
        <w:jc w:val="both"/>
        <w:rPr>
          <w:rFonts w:ascii="Book Antiqua" w:hAnsi="Book Antiqua" w:cs="Arial"/>
          <w:b/>
          <w:sz w:val="24"/>
          <w:szCs w:val="24"/>
        </w:rPr>
      </w:pPr>
    </w:p>
    <w:tbl>
      <w:tblPr>
        <w:tblW w:w="0" w:type="auto"/>
        <w:tblInd w:w="94" w:type="dxa"/>
        <w:tblLayout w:type="fixed"/>
        <w:tblLook w:val="00A0" w:firstRow="1" w:lastRow="0" w:firstColumn="1" w:lastColumn="0" w:noHBand="0" w:noVBand="0"/>
      </w:tblPr>
      <w:tblGrid>
        <w:gridCol w:w="1574"/>
        <w:gridCol w:w="1417"/>
        <w:gridCol w:w="992"/>
        <w:gridCol w:w="1193"/>
        <w:gridCol w:w="4829"/>
        <w:gridCol w:w="1193"/>
        <w:gridCol w:w="2566"/>
      </w:tblGrid>
      <w:tr w:rsidR="00A06E23" w:rsidRPr="004C41FA" w:rsidTr="00E3206E">
        <w:trPr>
          <w:trHeight w:val="300"/>
        </w:trPr>
        <w:tc>
          <w:tcPr>
            <w:tcW w:w="13764" w:type="dxa"/>
            <w:gridSpan w:val="7"/>
            <w:tcBorders>
              <w:top w:val="single" w:sz="4" w:space="0" w:color="auto"/>
              <w:left w:val="single" w:sz="4" w:space="0" w:color="auto"/>
              <w:bottom w:val="nil"/>
              <w:right w:val="single" w:sz="4" w:space="0" w:color="auto"/>
            </w:tcBorders>
            <w:noWrap/>
            <w:vAlign w:val="bottom"/>
          </w:tcPr>
          <w:p w:rsidR="00A06E23" w:rsidRPr="004C41FA" w:rsidRDefault="00A06E23" w:rsidP="00C962AB">
            <w:pPr>
              <w:spacing w:after="0" w:line="360" w:lineRule="auto"/>
              <w:jc w:val="both"/>
              <w:rPr>
                <w:rFonts w:ascii="Book Antiqua" w:hAnsi="Book Antiqua"/>
                <w:b/>
                <w:bCs/>
                <w:sz w:val="16"/>
                <w:szCs w:val="16"/>
                <w:lang w:eastAsia="zh-CN"/>
              </w:rPr>
            </w:pPr>
            <w:r w:rsidRPr="00E90188">
              <w:rPr>
                <w:rFonts w:ascii="Book Antiqua" w:hAnsi="Book Antiqua"/>
                <w:b/>
                <w:bCs/>
                <w:sz w:val="16"/>
                <w:szCs w:val="16"/>
                <w:lang w:eastAsia="en-GB"/>
              </w:rPr>
              <w:t>Table 5</w:t>
            </w:r>
            <w:r w:rsidRPr="004C41FA">
              <w:rPr>
                <w:rFonts w:ascii="Book Antiqua" w:hAnsi="Book Antiqua"/>
                <w:b/>
                <w:bCs/>
                <w:sz w:val="16"/>
                <w:szCs w:val="16"/>
                <w:lang w:eastAsia="zh-CN"/>
              </w:rPr>
              <w:t xml:space="preserve"> </w:t>
            </w:r>
            <w:r w:rsidRPr="00E90188">
              <w:rPr>
                <w:rFonts w:ascii="Book Antiqua" w:hAnsi="Book Antiqua"/>
                <w:b/>
                <w:bCs/>
                <w:sz w:val="16"/>
                <w:szCs w:val="16"/>
                <w:lang w:eastAsia="en-GB"/>
              </w:rPr>
              <w:t>Current Phase III trials investigating adjuvant therapy in pancreatic cancer</w:t>
            </w:r>
          </w:p>
        </w:tc>
      </w:tr>
      <w:tr w:rsidR="00A06E23" w:rsidRPr="004C41FA" w:rsidTr="00362D7B">
        <w:trPr>
          <w:trHeight w:val="300"/>
        </w:trPr>
        <w:tc>
          <w:tcPr>
            <w:tcW w:w="1574" w:type="dxa"/>
            <w:tcBorders>
              <w:top w:val="single" w:sz="4" w:space="0" w:color="auto"/>
              <w:left w:val="single" w:sz="4" w:space="0" w:color="auto"/>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b/>
                <w:bCs/>
                <w:sz w:val="16"/>
                <w:szCs w:val="16"/>
                <w:lang w:eastAsia="en-GB"/>
              </w:rPr>
            </w:pPr>
            <w:r w:rsidRPr="00E90188">
              <w:rPr>
                <w:rFonts w:ascii="Book Antiqua" w:hAnsi="Book Antiqua"/>
                <w:b/>
                <w:bCs/>
                <w:sz w:val="16"/>
                <w:szCs w:val="16"/>
                <w:lang w:eastAsia="en-GB"/>
              </w:rPr>
              <w:t>Trial number</w:t>
            </w:r>
          </w:p>
        </w:tc>
        <w:tc>
          <w:tcPr>
            <w:tcW w:w="1417" w:type="dxa"/>
            <w:tcBorders>
              <w:top w:val="single" w:sz="4" w:space="0" w:color="auto"/>
              <w:left w:val="nil"/>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b/>
                <w:bCs/>
                <w:sz w:val="16"/>
                <w:szCs w:val="16"/>
                <w:lang w:eastAsia="en-GB"/>
              </w:rPr>
            </w:pPr>
            <w:r w:rsidRPr="00E90188">
              <w:rPr>
                <w:rFonts w:ascii="Book Antiqua" w:hAnsi="Book Antiqua"/>
                <w:b/>
                <w:bCs/>
                <w:sz w:val="16"/>
                <w:szCs w:val="16"/>
                <w:lang w:eastAsia="en-GB"/>
              </w:rPr>
              <w:t>Co-ordinating country</w:t>
            </w:r>
          </w:p>
        </w:tc>
        <w:tc>
          <w:tcPr>
            <w:tcW w:w="992" w:type="dxa"/>
            <w:tcBorders>
              <w:top w:val="single" w:sz="4" w:space="0" w:color="auto"/>
              <w:left w:val="nil"/>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b/>
                <w:bCs/>
                <w:sz w:val="16"/>
                <w:szCs w:val="16"/>
                <w:lang w:eastAsia="en-GB"/>
              </w:rPr>
            </w:pPr>
            <w:r w:rsidRPr="00E90188">
              <w:rPr>
                <w:rFonts w:ascii="Book Antiqua" w:hAnsi="Book Antiqua"/>
                <w:b/>
                <w:bCs/>
                <w:sz w:val="16"/>
                <w:szCs w:val="16"/>
                <w:lang w:eastAsia="en-GB"/>
              </w:rPr>
              <w:t>First enrolment</w:t>
            </w:r>
          </w:p>
        </w:tc>
        <w:tc>
          <w:tcPr>
            <w:tcW w:w="1193" w:type="dxa"/>
            <w:tcBorders>
              <w:top w:val="single" w:sz="4" w:space="0" w:color="auto"/>
              <w:left w:val="nil"/>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b/>
                <w:bCs/>
                <w:sz w:val="16"/>
                <w:szCs w:val="16"/>
                <w:lang w:eastAsia="en-GB"/>
              </w:rPr>
            </w:pPr>
            <w:r w:rsidRPr="00E90188">
              <w:rPr>
                <w:rFonts w:ascii="Book Antiqua" w:hAnsi="Book Antiqua"/>
                <w:b/>
                <w:bCs/>
                <w:sz w:val="16"/>
                <w:szCs w:val="16"/>
                <w:lang w:eastAsia="en-GB"/>
              </w:rPr>
              <w:t xml:space="preserve">Target sample size </w:t>
            </w:r>
            <w:r w:rsidRPr="00E90188">
              <w:rPr>
                <w:rFonts w:ascii="Book Antiqua" w:hAnsi="Book Antiqua"/>
                <w:b/>
                <w:bCs/>
                <w:sz w:val="16"/>
                <w:szCs w:val="16"/>
                <w:lang w:eastAsia="en-GB"/>
              </w:rPr>
              <w:lastRenderedPageBreak/>
              <w:t>(</w:t>
            </w:r>
            <w:r w:rsidRPr="00E90188">
              <w:rPr>
                <w:rFonts w:ascii="Book Antiqua" w:hAnsi="Book Antiqua"/>
                <w:b/>
                <w:bCs/>
                <w:i/>
                <w:sz w:val="16"/>
                <w:szCs w:val="16"/>
                <w:lang w:eastAsia="en-GB"/>
              </w:rPr>
              <w:t>n</w:t>
            </w:r>
            <w:r w:rsidRPr="00E90188">
              <w:rPr>
                <w:rFonts w:ascii="Book Antiqua" w:hAnsi="Book Antiqua"/>
                <w:b/>
                <w:bCs/>
                <w:sz w:val="16"/>
                <w:szCs w:val="16"/>
                <w:lang w:eastAsia="en-GB"/>
              </w:rPr>
              <w:t>)</w:t>
            </w:r>
          </w:p>
        </w:tc>
        <w:tc>
          <w:tcPr>
            <w:tcW w:w="4829" w:type="dxa"/>
            <w:tcBorders>
              <w:top w:val="single" w:sz="4" w:space="0" w:color="auto"/>
              <w:left w:val="nil"/>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b/>
                <w:bCs/>
                <w:sz w:val="16"/>
                <w:szCs w:val="16"/>
                <w:lang w:eastAsia="en-GB"/>
              </w:rPr>
            </w:pPr>
            <w:r w:rsidRPr="00E90188">
              <w:rPr>
                <w:rFonts w:ascii="Book Antiqua" w:hAnsi="Book Antiqua"/>
                <w:b/>
                <w:bCs/>
                <w:sz w:val="16"/>
                <w:szCs w:val="16"/>
                <w:lang w:eastAsia="en-GB"/>
              </w:rPr>
              <w:lastRenderedPageBreak/>
              <w:t>Adjuvant treatment arms</w:t>
            </w:r>
          </w:p>
        </w:tc>
        <w:tc>
          <w:tcPr>
            <w:tcW w:w="1193" w:type="dxa"/>
            <w:tcBorders>
              <w:top w:val="single" w:sz="4" w:space="0" w:color="auto"/>
              <w:left w:val="nil"/>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b/>
                <w:bCs/>
                <w:sz w:val="16"/>
                <w:szCs w:val="16"/>
                <w:lang w:eastAsia="en-GB"/>
              </w:rPr>
            </w:pPr>
            <w:r w:rsidRPr="00E90188">
              <w:rPr>
                <w:rFonts w:ascii="Book Antiqua" w:hAnsi="Book Antiqua"/>
                <w:b/>
                <w:bCs/>
                <w:sz w:val="16"/>
                <w:szCs w:val="16"/>
                <w:lang w:eastAsia="en-GB"/>
              </w:rPr>
              <w:t>Primary outcome</w:t>
            </w:r>
          </w:p>
        </w:tc>
        <w:tc>
          <w:tcPr>
            <w:tcW w:w="2566" w:type="dxa"/>
            <w:tcBorders>
              <w:top w:val="single" w:sz="4" w:space="0" w:color="auto"/>
              <w:left w:val="nil"/>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b/>
                <w:bCs/>
                <w:sz w:val="16"/>
                <w:szCs w:val="16"/>
                <w:lang w:eastAsia="en-GB"/>
              </w:rPr>
            </w:pPr>
            <w:r w:rsidRPr="00E90188">
              <w:rPr>
                <w:rFonts w:ascii="Book Antiqua" w:hAnsi="Book Antiqua"/>
                <w:b/>
                <w:bCs/>
                <w:sz w:val="16"/>
                <w:szCs w:val="16"/>
                <w:lang w:eastAsia="en-GB"/>
              </w:rPr>
              <w:t>Secondary outcomes (clinical only)</w:t>
            </w:r>
          </w:p>
        </w:tc>
      </w:tr>
      <w:tr w:rsidR="00A06E23" w:rsidRPr="004C41FA" w:rsidTr="00362D7B">
        <w:trPr>
          <w:trHeight w:val="300"/>
        </w:trPr>
        <w:tc>
          <w:tcPr>
            <w:tcW w:w="1574" w:type="dxa"/>
            <w:tcBorders>
              <w:top w:val="single" w:sz="4" w:space="0" w:color="auto"/>
              <w:left w:val="single" w:sz="4" w:space="0" w:color="auto"/>
              <w:bottom w:val="nil"/>
              <w:right w:val="single" w:sz="4" w:space="0" w:color="auto"/>
            </w:tcBorders>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lastRenderedPageBreak/>
              <w:t> </w:t>
            </w:r>
          </w:p>
        </w:tc>
        <w:tc>
          <w:tcPr>
            <w:tcW w:w="1417"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pStyle w:val="af"/>
              <w:numPr>
                <w:ilvl w:val="0"/>
                <w:numId w:val="6"/>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w:t>
            </w:r>
          </w:p>
        </w:tc>
        <w:tc>
          <w:tcPr>
            <w:tcW w:w="1193"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OS</w:t>
            </w:r>
          </w:p>
        </w:tc>
        <w:tc>
          <w:tcPr>
            <w:tcW w:w="2566" w:type="dxa"/>
            <w:tcBorders>
              <w:top w:val="single" w:sz="4" w:space="0" w:color="auto"/>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Toxicity</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ISRCTN96397434</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UK</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2008</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1396</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pStyle w:val="af"/>
              <w:numPr>
                <w:ilvl w:val="0"/>
                <w:numId w:val="6"/>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 plus Capecitabine</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xml:space="preserve">Quality of life </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(ESPAC-4)</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OS at 2 and 5 years</w:t>
            </w:r>
          </w:p>
        </w:tc>
      </w:tr>
      <w:tr w:rsidR="00A06E23" w:rsidRPr="004C41FA" w:rsidTr="00362D7B">
        <w:trPr>
          <w:trHeight w:val="300"/>
        </w:trPr>
        <w:tc>
          <w:tcPr>
            <w:tcW w:w="1574"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417"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DFS at 5 years</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DRKS00000247</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Germany</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2008</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436</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pStyle w:val="af"/>
              <w:numPr>
                <w:ilvl w:val="0"/>
                <w:numId w:val="3"/>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DFS</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OS</w:t>
            </w:r>
          </w:p>
        </w:tc>
      </w:tr>
      <w:tr w:rsidR="00A06E23" w:rsidRPr="004C41FA" w:rsidTr="00362D7B">
        <w:trPr>
          <w:trHeight w:val="300"/>
        </w:trPr>
        <w:tc>
          <w:tcPr>
            <w:tcW w:w="1574"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(CONKO-005)</w:t>
            </w:r>
          </w:p>
        </w:tc>
        <w:tc>
          <w:tcPr>
            <w:tcW w:w="1417"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pStyle w:val="af"/>
              <w:numPr>
                <w:ilvl w:val="0"/>
                <w:numId w:val="3"/>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 plus Erlotinib</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Toxicity</w:t>
            </w:r>
          </w:p>
        </w:tc>
      </w:tr>
      <w:tr w:rsidR="00A06E23" w:rsidRPr="004C41FA" w:rsidTr="00362D7B">
        <w:trPr>
          <w:trHeight w:val="300"/>
        </w:trPr>
        <w:tc>
          <w:tcPr>
            <w:tcW w:w="1574" w:type="dxa"/>
            <w:tcBorders>
              <w:top w:val="nil"/>
              <w:left w:val="single" w:sz="4" w:space="0" w:color="auto"/>
              <w:bottom w:val="nil"/>
              <w:right w:val="nil"/>
            </w:tcBorders>
            <w:noWrap/>
            <w:vAlign w:val="bottom"/>
          </w:tcPr>
          <w:p w:rsidR="00A06E23" w:rsidRPr="00E90188" w:rsidRDefault="00A06E23" w:rsidP="00C962AB">
            <w:pPr>
              <w:spacing w:after="0" w:line="360" w:lineRule="auto"/>
              <w:jc w:val="both"/>
              <w:rPr>
                <w:rFonts w:ascii="Book Antiqua" w:hAnsi="Book Antiqua"/>
                <w:sz w:val="16"/>
                <w:szCs w:val="16"/>
                <w:lang w:eastAsia="en-GB"/>
              </w:rPr>
            </w:pPr>
          </w:p>
        </w:tc>
        <w:tc>
          <w:tcPr>
            <w:tcW w:w="1417"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pStyle w:val="af"/>
              <w:numPr>
                <w:ilvl w:val="0"/>
                <w:numId w:val="4"/>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OS</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DFS</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NCT01013649</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USA</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2009</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950</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pStyle w:val="af"/>
              <w:numPr>
                <w:ilvl w:val="0"/>
                <w:numId w:val="4"/>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 plus Erlotinib</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Toxicity</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(RTOG  0848)</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If DFS at end of treatment (I) or (II), further randomisation to:</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Correlation between baseline fatigue and survival</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pStyle w:val="af"/>
              <w:numPr>
                <w:ilvl w:val="0"/>
                <w:numId w:val="4"/>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A further course of (I) or (II) as previously received plus Capcitabine CRT</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r>
      <w:tr w:rsidR="00A06E23" w:rsidRPr="004C41FA" w:rsidTr="00362D7B">
        <w:trPr>
          <w:trHeight w:val="300"/>
        </w:trPr>
        <w:tc>
          <w:tcPr>
            <w:tcW w:w="1574"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417"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pStyle w:val="af"/>
              <w:numPr>
                <w:ilvl w:val="0"/>
                <w:numId w:val="4"/>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A further course of (I) or (II) as previously received plus 5-FU CRT</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NCT01072981</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USA</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2010</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722</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xml:space="preserve">Gemcitabine </w:t>
            </w:r>
            <w:r w:rsidRPr="004C41FA">
              <w:rPr>
                <w:rFonts w:ascii="Book Antiqua" w:hAnsi="Book Antiqua"/>
                <w:sz w:val="16"/>
                <w:szCs w:val="16"/>
                <w:lang w:eastAsia="zh-CN"/>
              </w:rPr>
              <w:t>+/-</w:t>
            </w:r>
            <w:r w:rsidRPr="00E90188">
              <w:rPr>
                <w:rFonts w:ascii="Book Antiqua" w:hAnsi="Book Antiqua"/>
                <w:sz w:val="16"/>
                <w:szCs w:val="16"/>
                <w:lang w:eastAsia="en-GB"/>
              </w:rPr>
              <w:t xml:space="preserve"> 5-FU CRT </w:t>
            </w:r>
            <w:r w:rsidRPr="004C41FA">
              <w:rPr>
                <w:rFonts w:ascii="Book Antiqua" w:hAnsi="Book Antiqua"/>
                <w:sz w:val="16"/>
                <w:szCs w:val="16"/>
                <w:lang w:eastAsia="zh-CN"/>
              </w:rPr>
              <w:t>+/-</w:t>
            </w:r>
            <w:r w:rsidRPr="00E90188">
              <w:rPr>
                <w:rFonts w:ascii="Book Antiqua" w:hAnsi="Book Antiqua"/>
                <w:sz w:val="16"/>
                <w:szCs w:val="16"/>
                <w:lang w:eastAsia="en-GB"/>
              </w:rPr>
              <w:t xml:space="preserve"> HyperAcute®-Pancreas (algenpantucel-L) immunotherapy </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OS</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r>
      <w:tr w:rsidR="00A06E23" w:rsidRPr="004C41FA" w:rsidTr="00362D7B">
        <w:trPr>
          <w:trHeight w:val="300"/>
        </w:trPr>
        <w:tc>
          <w:tcPr>
            <w:tcW w:w="1574"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417"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NCT01526135</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France/Canada</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2012</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490</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pStyle w:val="af"/>
              <w:numPr>
                <w:ilvl w:val="0"/>
                <w:numId w:val="2"/>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DFS at 3 years</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OS at 3 years</w:t>
            </w:r>
          </w:p>
        </w:tc>
      </w:tr>
      <w:tr w:rsidR="00A06E23" w:rsidRPr="004C41FA" w:rsidTr="00362D7B">
        <w:trPr>
          <w:trHeight w:val="300"/>
        </w:trPr>
        <w:tc>
          <w:tcPr>
            <w:tcW w:w="1574"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417"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pStyle w:val="af"/>
              <w:numPr>
                <w:ilvl w:val="0"/>
                <w:numId w:val="2"/>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mFolfirinox (5-FU, Folinic acid, Irinotecan, Oxaliplatin)</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r>
      <w:tr w:rsidR="00A06E23" w:rsidRPr="004C41FA" w:rsidTr="00362D7B">
        <w:trPr>
          <w:trHeight w:val="300"/>
        </w:trPr>
        <w:tc>
          <w:tcPr>
            <w:tcW w:w="1574"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NCT01077427</w:t>
            </w:r>
          </w:p>
        </w:tc>
        <w:tc>
          <w:tcPr>
            <w:tcW w:w="1417"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Germany</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2012</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336</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pStyle w:val="af"/>
              <w:numPr>
                <w:ilvl w:val="0"/>
                <w:numId w:val="1"/>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DFS</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OS</w:t>
            </w:r>
          </w:p>
        </w:tc>
      </w:tr>
      <w:tr w:rsidR="00A06E23" w:rsidRPr="004C41FA" w:rsidTr="00362D7B">
        <w:trPr>
          <w:trHeight w:val="300"/>
        </w:trPr>
        <w:tc>
          <w:tcPr>
            <w:tcW w:w="1574"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417"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pStyle w:val="af"/>
              <w:numPr>
                <w:ilvl w:val="0"/>
                <w:numId w:val="1"/>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 plus Cisplatin plus regional hyperthermia</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r>
      <w:tr w:rsidR="00A06E23" w:rsidRPr="004C41FA" w:rsidTr="00362D7B">
        <w:trPr>
          <w:trHeight w:val="300"/>
        </w:trPr>
        <w:tc>
          <w:tcPr>
            <w:tcW w:w="1574" w:type="dxa"/>
            <w:tcBorders>
              <w:top w:val="nil"/>
              <w:left w:val="single" w:sz="4" w:space="0" w:color="auto"/>
              <w:bottom w:val="nil"/>
              <w:right w:val="nil"/>
            </w:tcBorders>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NCT01964430</w:t>
            </w:r>
          </w:p>
        </w:tc>
        <w:tc>
          <w:tcPr>
            <w:tcW w:w="1417" w:type="dxa"/>
            <w:tcBorders>
              <w:top w:val="nil"/>
              <w:left w:val="single" w:sz="4" w:space="0" w:color="auto"/>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USA</w:t>
            </w:r>
          </w:p>
        </w:tc>
        <w:tc>
          <w:tcPr>
            <w:tcW w:w="992"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Not yet active</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______</w:t>
            </w:r>
          </w:p>
        </w:tc>
        <w:tc>
          <w:tcPr>
            <w:tcW w:w="4829" w:type="dxa"/>
            <w:tcBorders>
              <w:top w:val="nil"/>
              <w:left w:val="nil"/>
              <w:bottom w:val="nil"/>
              <w:right w:val="single" w:sz="4" w:space="0" w:color="auto"/>
            </w:tcBorders>
            <w:shd w:val="clear" w:color="000000" w:fill="FFFFFF"/>
            <w:noWrap/>
            <w:vAlign w:val="bottom"/>
          </w:tcPr>
          <w:p w:rsidR="00A06E23" w:rsidRPr="00E90188" w:rsidRDefault="00A06E23" w:rsidP="00C962AB">
            <w:pPr>
              <w:pStyle w:val="af"/>
              <w:numPr>
                <w:ilvl w:val="0"/>
                <w:numId w:val="5"/>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Gemcitaine</w:t>
            </w:r>
          </w:p>
        </w:tc>
        <w:tc>
          <w:tcPr>
            <w:tcW w:w="1193"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DFS/OS</w:t>
            </w:r>
          </w:p>
        </w:tc>
        <w:tc>
          <w:tcPr>
            <w:tcW w:w="2566" w:type="dxa"/>
            <w:tcBorders>
              <w:top w:val="nil"/>
              <w:left w:val="nil"/>
              <w:bottom w:val="nil"/>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r>
      <w:tr w:rsidR="00A06E23" w:rsidRPr="004C41FA" w:rsidTr="00362D7B">
        <w:trPr>
          <w:trHeight w:val="300"/>
        </w:trPr>
        <w:tc>
          <w:tcPr>
            <w:tcW w:w="1574" w:type="dxa"/>
            <w:tcBorders>
              <w:top w:val="nil"/>
              <w:left w:val="single" w:sz="4" w:space="0" w:color="auto"/>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417"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992"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4829"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pStyle w:val="af"/>
              <w:numPr>
                <w:ilvl w:val="0"/>
                <w:numId w:val="5"/>
              </w:numPr>
              <w:spacing w:after="0" w:line="360" w:lineRule="auto"/>
              <w:ind w:firstLineChars="0"/>
              <w:jc w:val="both"/>
              <w:rPr>
                <w:rFonts w:ascii="Book Antiqua" w:hAnsi="Book Antiqua"/>
                <w:sz w:val="16"/>
                <w:szCs w:val="16"/>
                <w:lang w:eastAsia="en-GB"/>
              </w:rPr>
            </w:pPr>
            <w:r w:rsidRPr="00E90188">
              <w:rPr>
                <w:rFonts w:ascii="Book Antiqua" w:hAnsi="Book Antiqua"/>
                <w:sz w:val="16"/>
                <w:szCs w:val="16"/>
                <w:lang w:eastAsia="en-GB"/>
              </w:rPr>
              <w:t>Gemcitabine plus Nab-paclitaxel</w:t>
            </w:r>
          </w:p>
        </w:tc>
        <w:tc>
          <w:tcPr>
            <w:tcW w:w="1193"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c>
          <w:tcPr>
            <w:tcW w:w="2566" w:type="dxa"/>
            <w:tcBorders>
              <w:top w:val="nil"/>
              <w:left w:val="nil"/>
              <w:bottom w:val="single" w:sz="4" w:space="0" w:color="auto"/>
              <w:right w:val="single" w:sz="4" w:space="0" w:color="auto"/>
            </w:tcBorders>
            <w:shd w:val="clear" w:color="000000" w:fill="FFFFFF"/>
            <w:noWrap/>
            <w:vAlign w:val="bottom"/>
          </w:tcPr>
          <w:p w:rsidR="00A06E23" w:rsidRPr="00E90188" w:rsidRDefault="00A06E23" w:rsidP="00C962AB">
            <w:pPr>
              <w:spacing w:after="0" w:line="360" w:lineRule="auto"/>
              <w:jc w:val="both"/>
              <w:rPr>
                <w:rFonts w:ascii="Book Antiqua" w:hAnsi="Book Antiqua"/>
                <w:sz w:val="16"/>
                <w:szCs w:val="16"/>
                <w:lang w:eastAsia="en-GB"/>
              </w:rPr>
            </w:pPr>
            <w:r w:rsidRPr="00E90188">
              <w:rPr>
                <w:rFonts w:ascii="Book Antiqua" w:hAnsi="Book Antiqua"/>
                <w:sz w:val="16"/>
                <w:szCs w:val="16"/>
                <w:lang w:eastAsia="en-GB"/>
              </w:rPr>
              <w:t> </w:t>
            </w:r>
          </w:p>
        </w:tc>
      </w:tr>
      <w:tr w:rsidR="00A06E23" w:rsidRPr="004C41FA" w:rsidTr="00E3206E">
        <w:trPr>
          <w:trHeight w:val="300"/>
        </w:trPr>
        <w:tc>
          <w:tcPr>
            <w:tcW w:w="13764" w:type="dxa"/>
            <w:gridSpan w:val="7"/>
            <w:tcBorders>
              <w:top w:val="nil"/>
              <w:left w:val="single" w:sz="4" w:space="0" w:color="auto"/>
              <w:bottom w:val="single" w:sz="4" w:space="0" w:color="auto"/>
              <w:right w:val="single" w:sz="4" w:space="0" w:color="auto"/>
            </w:tcBorders>
            <w:shd w:val="clear" w:color="000000" w:fill="FFFFFF"/>
            <w:noWrap/>
            <w:vAlign w:val="bottom"/>
          </w:tcPr>
          <w:p w:rsidR="00A06E23" w:rsidRPr="004C41FA" w:rsidRDefault="00A06E23" w:rsidP="00C962AB">
            <w:pPr>
              <w:spacing w:after="0" w:line="360" w:lineRule="auto"/>
              <w:jc w:val="both"/>
              <w:rPr>
                <w:rFonts w:ascii="Book Antiqua" w:hAnsi="Book Antiqua"/>
                <w:sz w:val="16"/>
                <w:szCs w:val="16"/>
                <w:lang w:eastAsia="zh-CN"/>
              </w:rPr>
            </w:pPr>
            <w:r w:rsidRPr="00E90188">
              <w:rPr>
                <w:rFonts w:ascii="Book Antiqua" w:hAnsi="Book Antiqua"/>
                <w:sz w:val="16"/>
                <w:szCs w:val="16"/>
                <w:lang w:eastAsia="en-GB"/>
              </w:rPr>
              <w:t>OS: Overall survival; DFS: Disease-free survival</w:t>
            </w:r>
            <w:r w:rsidRPr="004C41FA">
              <w:rPr>
                <w:rFonts w:ascii="Book Antiqua" w:hAnsi="Book Antiqua"/>
                <w:sz w:val="16"/>
                <w:szCs w:val="16"/>
                <w:lang w:eastAsia="zh-CN"/>
              </w:rPr>
              <w:t>; CRT:  Chemoradiotherapy; 5-FU: 5-flurouracil.</w:t>
            </w:r>
          </w:p>
        </w:tc>
      </w:tr>
      <w:tr w:rsidR="00A06E23" w:rsidRPr="004C41FA" w:rsidTr="00362D7B">
        <w:trPr>
          <w:trHeight w:val="300"/>
        </w:trPr>
        <w:tc>
          <w:tcPr>
            <w:tcW w:w="1574" w:type="dxa"/>
            <w:tcBorders>
              <w:top w:val="nil"/>
              <w:left w:val="nil"/>
              <w:bottom w:val="nil"/>
              <w:right w:val="nil"/>
            </w:tcBorders>
            <w:shd w:val="clear" w:color="000000" w:fill="FFFFFF"/>
            <w:noWrap/>
            <w:vAlign w:val="bottom"/>
          </w:tcPr>
          <w:p w:rsidR="00A06E23" w:rsidRPr="00524525" w:rsidRDefault="00A06E23" w:rsidP="00C962AB">
            <w:pPr>
              <w:spacing w:after="0" w:line="360" w:lineRule="auto"/>
              <w:jc w:val="both"/>
              <w:rPr>
                <w:rFonts w:ascii="Book Antiqua" w:hAnsi="Book Antiqua"/>
                <w:sz w:val="16"/>
                <w:szCs w:val="16"/>
                <w:lang w:eastAsia="en-GB"/>
              </w:rPr>
            </w:pPr>
            <w:r w:rsidRPr="00524525">
              <w:rPr>
                <w:rFonts w:ascii="Book Antiqua" w:hAnsi="Book Antiqua"/>
                <w:sz w:val="16"/>
                <w:szCs w:val="16"/>
                <w:lang w:eastAsia="en-GB"/>
              </w:rPr>
              <w:lastRenderedPageBreak/>
              <w:t> </w:t>
            </w:r>
          </w:p>
        </w:tc>
        <w:tc>
          <w:tcPr>
            <w:tcW w:w="1417" w:type="dxa"/>
            <w:tcBorders>
              <w:top w:val="nil"/>
              <w:left w:val="nil"/>
              <w:bottom w:val="nil"/>
              <w:right w:val="nil"/>
            </w:tcBorders>
            <w:shd w:val="clear" w:color="000000" w:fill="FFFFFF"/>
            <w:noWrap/>
            <w:vAlign w:val="bottom"/>
          </w:tcPr>
          <w:p w:rsidR="00A06E23" w:rsidRPr="00524525" w:rsidRDefault="00A06E23" w:rsidP="00C962AB">
            <w:pPr>
              <w:spacing w:after="0" w:line="360" w:lineRule="auto"/>
              <w:jc w:val="both"/>
              <w:rPr>
                <w:rFonts w:ascii="Book Antiqua" w:hAnsi="Book Antiqua"/>
                <w:sz w:val="16"/>
                <w:szCs w:val="16"/>
                <w:lang w:eastAsia="en-GB"/>
              </w:rPr>
            </w:pPr>
            <w:r w:rsidRPr="00524525">
              <w:rPr>
                <w:rFonts w:ascii="Book Antiqua" w:hAnsi="Book Antiqua"/>
                <w:sz w:val="16"/>
                <w:szCs w:val="16"/>
                <w:lang w:eastAsia="en-GB"/>
              </w:rPr>
              <w:t> </w:t>
            </w:r>
          </w:p>
        </w:tc>
        <w:tc>
          <w:tcPr>
            <w:tcW w:w="992" w:type="dxa"/>
            <w:tcBorders>
              <w:top w:val="nil"/>
              <w:left w:val="nil"/>
              <w:bottom w:val="nil"/>
              <w:right w:val="nil"/>
            </w:tcBorders>
            <w:shd w:val="clear" w:color="000000" w:fill="FFFFFF"/>
            <w:noWrap/>
            <w:vAlign w:val="bottom"/>
          </w:tcPr>
          <w:p w:rsidR="00A06E23" w:rsidRPr="00524525" w:rsidRDefault="00A06E23" w:rsidP="00C962AB">
            <w:pPr>
              <w:spacing w:after="0" w:line="360" w:lineRule="auto"/>
              <w:jc w:val="both"/>
              <w:rPr>
                <w:rFonts w:ascii="Book Antiqua" w:hAnsi="Book Antiqua"/>
                <w:sz w:val="16"/>
                <w:szCs w:val="16"/>
                <w:lang w:eastAsia="en-GB"/>
              </w:rPr>
            </w:pPr>
            <w:r w:rsidRPr="00524525">
              <w:rPr>
                <w:rFonts w:ascii="Book Antiqua" w:hAnsi="Book Antiqua"/>
                <w:sz w:val="16"/>
                <w:szCs w:val="16"/>
                <w:lang w:eastAsia="en-GB"/>
              </w:rPr>
              <w:t> </w:t>
            </w:r>
          </w:p>
        </w:tc>
        <w:tc>
          <w:tcPr>
            <w:tcW w:w="1193" w:type="dxa"/>
            <w:tcBorders>
              <w:top w:val="nil"/>
              <w:left w:val="nil"/>
              <w:bottom w:val="nil"/>
              <w:right w:val="nil"/>
            </w:tcBorders>
            <w:shd w:val="clear" w:color="000000" w:fill="FFFFFF"/>
            <w:noWrap/>
            <w:vAlign w:val="bottom"/>
          </w:tcPr>
          <w:p w:rsidR="00A06E23" w:rsidRPr="00524525" w:rsidRDefault="00A06E23" w:rsidP="00C962AB">
            <w:pPr>
              <w:spacing w:after="0" w:line="360" w:lineRule="auto"/>
              <w:jc w:val="both"/>
              <w:rPr>
                <w:rFonts w:ascii="Book Antiqua" w:hAnsi="Book Antiqua"/>
                <w:sz w:val="16"/>
                <w:szCs w:val="16"/>
                <w:lang w:eastAsia="en-GB"/>
              </w:rPr>
            </w:pPr>
            <w:r w:rsidRPr="00524525">
              <w:rPr>
                <w:rFonts w:ascii="Book Antiqua" w:hAnsi="Book Antiqua"/>
                <w:sz w:val="16"/>
                <w:szCs w:val="16"/>
                <w:lang w:eastAsia="en-GB"/>
              </w:rPr>
              <w:t> </w:t>
            </w:r>
          </w:p>
        </w:tc>
        <w:tc>
          <w:tcPr>
            <w:tcW w:w="4829" w:type="dxa"/>
            <w:tcBorders>
              <w:top w:val="nil"/>
              <w:left w:val="nil"/>
              <w:bottom w:val="nil"/>
              <w:right w:val="nil"/>
            </w:tcBorders>
            <w:shd w:val="clear" w:color="000000" w:fill="FFFFFF"/>
            <w:noWrap/>
            <w:vAlign w:val="bottom"/>
          </w:tcPr>
          <w:p w:rsidR="00A06E23" w:rsidRPr="00524525" w:rsidRDefault="00A06E23" w:rsidP="00C962AB">
            <w:pPr>
              <w:spacing w:after="0" w:line="360" w:lineRule="auto"/>
              <w:jc w:val="both"/>
              <w:rPr>
                <w:rFonts w:ascii="Book Antiqua" w:hAnsi="Book Antiqua"/>
                <w:sz w:val="16"/>
                <w:szCs w:val="16"/>
                <w:lang w:eastAsia="en-GB"/>
              </w:rPr>
            </w:pPr>
          </w:p>
        </w:tc>
        <w:tc>
          <w:tcPr>
            <w:tcW w:w="1193" w:type="dxa"/>
            <w:tcBorders>
              <w:top w:val="nil"/>
              <w:left w:val="nil"/>
              <w:bottom w:val="nil"/>
              <w:right w:val="nil"/>
            </w:tcBorders>
            <w:shd w:val="clear" w:color="000000" w:fill="FFFFFF"/>
            <w:noWrap/>
            <w:vAlign w:val="bottom"/>
          </w:tcPr>
          <w:p w:rsidR="00A06E23" w:rsidRPr="00524525" w:rsidRDefault="00A06E23" w:rsidP="00C962AB">
            <w:pPr>
              <w:spacing w:after="0" w:line="360" w:lineRule="auto"/>
              <w:jc w:val="both"/>
              <w:rPr>
                <w:rFonts w:ascii="Book Antiqua" w:hAnsi="Book Antiqua"/>
                <w:sz w:val="16"/>
                <w:szCs w:val="16"/>
                <w:lang w:eastAsia="en-GB"/>
              </w:rPr>
            </w:pPr>
            <w:r w:rsidRPr="00524525">
              <w:rPr>
                <w:rFonts w:ascii="Book Antiqua" w:hAnsi="Book Antiqua"/>
                <w:sz w:val="16"/>
                <w:szCs w:val="16"/>
                <w:lang w:eastAsia="en-GB"/>
              </w:rPr>
              <w:t> </w:t>
            </w:r>
          </w:p>
        </w:tc>
        <w:tc>
          <w:tcPr>
            <w:tcW w:w="2566" w:type="dxa"/>
            <w:tcBorders>
              <w:top w:val="nil"/>
              <w:left w:val="nil"/>
              <w:bottom w:val="nil"/>
              <w:right w:val="nil"/>
            </w:tcBorders>
            <w:shd w:val="clear" w:color="000000" w:fill="FFFFFF"/>
            <w:noWrap/>
            <w:vAlign w:val="bottom"/>
          </w:tcPr>
          <w:p w:rsidR="00A06E23" w:rsidRPr="00524525" w:rsidRDefault="00A06E23" w:rsidP="00C962AB">
            <w:pPr>
              <w:spacing w:after="0" w:line="360" w:lineRule="auto"/>
              <w:jc w:val="both"/>
              <w:rPr>
                <w:rFonts w:ascii="Book Antiqua" w:hAnsi="Book Antiqua"/>
                <w:sz w:val="16"/>
                <w:szCs w:val="16"/>
                <w:lang w:eastAsia="en-GB"/>
              </w:rPr>
            </w:pPr>
            <w:r w:rsidRPr="00524525">
              <w:rPr>
                <w:rFonts w:ascii="Book Antiqua" w:hAnsi="Book Antiqua"/>
                <w:sz w:val="16"/>
                <w:szCs w:val="16"/>
                <w:lang w:eastAsia="en-GB"/>
              </w:rPr>
              <w:t> </w:t>
            </w:r>
          </w:p>
        </w:tc>
      </w:tr>
    </w:tbl>
    <w:p w:rsidR="00A06E23" w:rsidRPr="00524525" w:rsidRDefault="00A06E23" w:rsidP="00C962AB">
      <w:pPr>
        <w:spacing w:after="0" w:line="360" w:lineRule="auto"/>
        <w:jc w:val="both"/>
        <w:rPr>
          <w:rFonts w:ascii="Book Antiqua" w:hAnsi="Book Antiqua" w:cs="Arial"/>
          <w:b/>
          <w:sz w:val="24"/>
          <w:szCs w:val="24"/>
          <w:lang w:eastAsia="zh-CN"/>
        </w:rPr>
        <w:sectPr w:rsidR="00A06E23" w:rsidRPr="00524525" w:rsidSect="00E00234">
          <w:endnotePr>
            <w:numFmt w:val="decimal"/>
          </w:endnotePr>
          <w:pgSz w:w="16838" w:h="11906" w:orient="landscape"/>
          <w:pgMar w:top="1440" w:right="1440" w:bottom="1440" w:left="1440" w:header="709" w:footer="709" w:gutter="0"/>
          <w:cols w:space="708"/>
          <w:docGrid w:linePitch="360"/>
        </w:sectPr>
      </w:pPr>
    </w:p>
    <w:p w:rsidR="00A06E23" w:rsidRPr="00524525" w:rsidRDefault="00A06E23" w:rsidP="00C962AB">
      <w:pPr>
        <w:spacing w:after="0" w:line="360" w:lineRule="auto"/>
        <w:jc w:val="both"/>
        <w:rPr>
          <w:rFonts w:ascii="Book Antiqua" w:hAnsi="Book Antiqua" w:cs="Arial"/>
          <w:b/>
          <w:sz w:val="24"/>
          <w:szCs w:val="24"/>
          <w:lang w:eastAsia="zh-CN"/>
        </w:rPr>
      </w:pPr>
    </w:p>
    <w:sectPr w:rsidR="00A06E23" w:rsidRPr="00524525" w:rsidSect="00560604">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EF" w:rsidRDefault="009C05EF" w:rsidP="00643614">
      <w:pPr>
        <w:spacing w:after="0" w:line="240" w:lineRule="auto"/>
      </w:pPr>
      <w:r>
        <w:separator/>
      </w:r>
    </w:p>
  </w:endnote>
  <w:endnote w:type="continuationSeparator" w:id="0">
    <w:p w:rsidR="009C05EF" w:rsidRDefault="009C05EF" w:rsidP="00643614">
      <w:pPr>
        <w:spacing w:after="0" w:line="240" w:lineRule="auto"/>
      </w:pPr>
      <w:r>
        <w:continuationSeparator/>
      </w:r>
    </w:p>
  </w:endnote>
  <w:endnote w:id="1">
    <w:p w:rsidR="00A06E23" w:rsidRDefault="00A06E23" w:rsidP="002C54AD">
      <w:pPr>
        <w:spacing w:line="360" w:lineRule="auto"/>
        <w:jc w:val="both"/>
      </w:pPr>
    </w:p>
  </w:endnote>
  <w:endnote w:id="2">
    <w:p w:rsidR="00A06E23" w:rsidRDefault="00A06E23" w:rsidP="002C54AD">
      <w:pPr>
        <w:spacing w:line="360" w:lineRule="auto"/>
        <w:jc w:val="both"/>
      </w:pPr>
    </w:p>
  </w:endnote>
  <w:endnote w:id="3">
    <w:p w:rsidR="00A06E23" w:rsidRDefault="00A06E23" w:rsidP="002C54AD">
      <w:pPr>
        <w:spacing w:line="360" w:lineRule="auto"/>
        <w:jc w:val="both"/>
      </w:pPr>
    </w:p>
  </w:endnote>
  <w:endnote w:id="4">
    <w:p w:rsidR="00A06E23" w:rsidRDefault="00A06E23" w:rsidP="002C54AD">
      <w:pPr>
        <w:spacing w:line="360" w:lineRule="auto"/>
        <w:jc w:val="both"/>
      </w:pPr>
    </w:p>
  </w:endnote>
  <w:endnote w:id="5">
    <w:p w:rsidR="00A06E23" w:rsidRDefault="00A06E23" w:rsidP="008818D8">
      <w:pPr>
        <w:spacing w:line="360" w:lineRule="auto"/>
        <w:jc w:val="both"/>
      </w:pPr>
    </w:p>
  </w:endnote>
  <w:endnote w:id="6">
    <w:p w:rsidR="00A06E23" w:rsidRDefault="00A06E23" w:rsidP="00B604E5">
      <w:pPr>
        <w:spacing w:line="360" w:lineRule="auto"/>
        <w:jc w:val="both"/>
      </w:pPr>
    </w:p>
  </w:endnote>
  <w:endnote w:id="7">
    <w:p w:rsidR="00A06E23" w:rsidRDefault="00A06E23" w:rsidP="0091151C">
      <w:pPr>
        <w:spacing w:line="360" w:lineRule="auto"/>
        <w:jc w:val="both"/>
      </w:pPr>
    </w:p>
  </w:endnote>
  <w:endnote w:id="8">
    <w:p w:rsidR="00A06E23" w:rsidRDefault="00A06E23" w:rsidP="0091151C">
      <w:pPr>
        <w:pStyle w:val="a3"/>
        <w:jc w:val="both"/>
      </w:pPr>
    </w:p>
  </w:endnote>
  <w:endnote w:id="9">
    <w:p w:rsidR="00A06E23" w:rsidRDefault="00A06E23">
      <w:pPr>
        <w:pStyle w:val="a3"/>
      </w:pPr>
    </w:p>
  </w:endnote>
  <w:endnote w:id="10">
    <w:p w:rsidR="00A06E23" w:rsidRDefault="00A06E23">
      <w:pPr>
        <w:pStyle w:val="a3"/>
      </w:pPr>
    </w:p>
  </w:endnote>
  <w:endnote w:id="11">
    <w:p w:rsidR="00A06E23" w:rsidRDefault="00A06E23">
      <w:pPr>
        <w:pStyle w:val="a3"/>
      </w:pPr>
    </w:p>
  </w:endnote>
  <w:endnote w:id="12">
    <w:p w:rsidR="00A06E23" w:rsidRDefault="00A06E23">
      <w:pPr>
        <w:pStyle w:val="a3"/>
      </w:pPr>
    </w:p>
  </w:endnote>
  <w:endnote w:id="13">
    <w:p w:rsidR="00A06E23" w:rsidRDefault="00A06E23">
      <w:pPr>
        <w:pStyle w:val="a3"/>
      </w:pPr>
    </w:p>
  </w:endnote>
  <w:endnote w:id="14">
    <w:p w:rsidR="00A06E23" w:rsidRDefault="00A06E23">
      <w:pPr>
        <w:pStyle w:val="a3"/>
      </w:pPr>
    </w:p>
  </w:endnote>
  <w:endnote w:id="15">
    <w:p w:rsidR="00A06E23" w:rsidRDefault="00A06E23">
      <w:pPr>
        <w:pStyle w:val="a3"/>
      </w:pPr>
    </w:p>
  </w:endnote>
  <w:endnote w:id="16">
    <w:p w:rsidR="00A06E23" w:rsidRDefault="00A06E23">
      <w:pPr>
        <w:pStyle w:val="a3"/>
      </w:pPr>
    </w:p>
  </w:endnote>
  <w:endnote w:id="17">
    <w:p w:rsidR="00A06E23" w:rsidRDefault="00A06E23">
      <w:pPr>
        <w:pStyle w:val="a3"/>
      </w:pPr>
    </w:p>
  </w:endnote>
  <w:endnote w:id="18">
    <w:p w:rsidR="00A06E23" w:rsidRDefault="00A06E23">
      <w:pPr>
        <w:pStyle w:val="a3"/>
      </w:pPr>
    </w:p>
  </w:endnote>
  <w:endnote w:id="19">
    <w:p w:rsidR="00A06E23" w:rsidRDefault="00A06E23">
      <w:pPr>
        <w:pStyle w:val="a3"/>
      </w:pPr>
    </w:p>
  </w:endnote>
  <w:endnote w:id="20">
    <w:p w:rsidR="00A06E23" w:rsidRDefault="00A06E23">
      <w:pPr>
        <w:pStyle w:val="a3"/>
      </w:pPr>
    </w:p>
  </w:endnote>
  <w:endnote w:id="21">
    <w:p w:rsidR="00A06E23" w:rsidRDefault="00A06E23">
      <w:pPr>
        <w:pStyle w:val="a3"/>
      </w:pPr>
    </w:p>
  </w:endnote>
  <w:endnote w:id="22">
    <w:p w:rsidR="00A06E23" w:rsidRDefault="00A06E23">
      <w:pPr>
        <w:pStyle w:val="a3"/>
      </w:pPr>
    </w:p>
  </w:endnote>
  <w:endnote w:id="23">
    <w:p w:rsidR="00A06E23" w:rsidRDefault="00A06E23">
      <w:pPr>
        <w:pStyle w:val="a3"/>
      </w:pPr>
    </w:p>
  </w:endnote>
  <w:endnote w:id="24">
    <w:p w:rsidR="00A06E23" w:rsidRDefault="00A06E23">
      <w:pPr>
        <w:pStyle w:val="a3"/>
      </w:pPr>
    </w:p>
  </w:endnote>
  <w:endnote w:id="25">
    <w:p w:rsidR="00A06E23" w:rsidRDefault="00A06E23">
      <w:pPr>
        <w:pStyle w:val="a3"/>
      </w:pPr>
    </w:p>
  </w:endnote>
  <w:endnote w:id="26">
    <w:p w:rsidR="00A06E23" w:rsidRDefault="00A06E23">
      <w:pPr>
        <w:pStyle w:val="a3"/>
      </w:pPr>
    </w:p>
  </w:endnote>
  <w:endnote w:id="27">
    <w:p w:rsidR="00A06E23" w:rsidRDefault="00A06E23">
      <w:pPr>
        <w:pStyle w:val="a3"/>
      </w:pPr>
    </w:p>
  </w:endnote>
  <w:endnote w:id="28">
    <w:p w:rsidR="00A06E23" w:rsidRDefault="00A06E23">
      <w:pPr>
        <w:pStyle w:val="a3"/>
      </w:pPr>
    </w:p>
  </w:endnote>
  <w:endnote w:id="29">
    <w:p w:rsidR="00A06E23" w:rsidRDefault="00A06E23">
      <w:pPr>
        <w:pStyle w:val="a3"/>
      </w:pPr>
    </w:p>
  </w:endnote>
  <w:endnote w:id="30">
    <w:p w:rsidR="00A06E23" w:rsidRDefault="00A06E23">
      <w:pPr>
        <w:pStyle w:val="a3"/>
      </w:pPr>
    </w:p>
  </w:endnote>
  <w:endnote w:id="31">
    <w:p w:rsidR="00A06E23" w:rsidRDefault="00A06E23">
      <w:pPr>
        <w:pStyle w:val="a3"/>
      </w:pPr>
    </w:p>
  </w:endnote>
  <w:endnote w:id="32">
    <w:p w:rsidR="00A06E23" w:rsidRDefault="00A06E23">
      <w:pPr>
        <w:pStyle w:val="a3"/>
      </w:pPr>
    </w:p>
  </w:endnote>
  <w:endnote w:id="33">
    <w:p w:rsidR="00A06E23" w:rsidRDefault="00A06E23">
      <w:pPr>
        <w:pStyle w:val="a3"/>
      </w:pPr>
    </w:p>
  </w:endnote>
  <w:endnote w:id="34">
    <w:p w:rsidR="00A06E23" w:rsidRDefault="00A06E23">
      <w:pPr>
        <w:pStyle w:val="a3"/>
      </w:pPr>
    </w:p>
  </w:endnote>
  <w:endnote w:id="35">
    <w:p w:rsidR="00A06E23" w:rsidRDefault="00A06E23">
      <w:pPr>
        <w:pStyle w:val="a3"/>
      </w:pPr>
    </w:p>
  </w:endnote>
  <w:endnote w:id="36">
    <w:p w:rsidR="00A06E23" w:rsidRDefault="00A06E23">
      <w:pPr>
        <w:pStyle w:val="a3"/>
      </w:pPr>
    </w:p>
  </w:endnote>
  <w:endnote w:id="37">
    <w:p w:rsidR="00A06E23" w:rsidRDefault="00A06E23">
      <w:pPr>
        <w:pStyle w:val="a3"/>
      </w:pPr>
    </w:p>
  </w:endnote>
  <w:endnote w:id="38">
    <w:p w:rsidR="00A06E23" w:rsidRDefault="00A06E23">
      <w:pPr>
        <w:pStyle w:val="a3"/>
      </w:pPr>
    </w:p>
  </w:endnote>
  <w:endnote w:id="39">
    <w:p w:rsidR="00A06E23" w:rsidRDefault="00A06E23">
      <w:pPr>
        <w:pStyle w:val="a3"/>
      </w:pPr>
    </w:p>
  </w:endnote>
  <w:endnote w:id="40">
    <w:p w:rsidR="00A06E23" w:rsidRDefault="00A06E23">
      <w:pPr>
        <w:pStyle w:val="a3"/>
      </w:pPr>
    </w:p>
  </w:endnote>
  <w:endnote w:id="41">
    <w:p w:rsidR="00A06E23" w:rsidRDefault="00A06E23">
      <w:pPr>
        <w:pStyle w:val="a3"/>
      </w:pPr>
    </w:p>
  </w:endnote>
  <w:endnote w:id="42">
    <w:p w:rsidR="00A06E23" w:rsidRDefault="00A06E23">
      <w:pPr>
        <w:pStyle w:val="a3"/>
      </w:pPr>
    </w:p>
  </w:endnote>
  <w:endnote w:id="43">
    <w:p w:rsidR="00A06E23" w:rsidRDefault="00A06E23">
      <w:pPr>
        <w:pStyle w:val="a3"/>
      </w:pPr>
    </w:p>
  </w:endnote>
  <w:endnote w:id="44">
    <w:p w:rsidR="00A06E23" w:rsidRDefault="00A06E23">
      <w:pPr>
        <w:pStyle w:val="a3"/>
      </w:pPr>
    </w:p>
  </w:endnote>
  <w:endnote w:id="45">
    <w:p w:rsidR="00A06E23" w:rsidRDefault="00A06E23">
      <w:pPr>
        <w:pStyle w:val="a3"/>
      </w:pPr>
    </w:p>
  </w:endnote>
  <w:endnote w:id="46">
    <w:p w:rsidR="00A06E23" w:rsidRDefault="00A06E23">
      <w:pPr>
        <w:pStyle w:val="a3"/>
      </w:pPr>
    </w:p>
  </w:endnote>
  <w:endnote w:id="47">
    <w:p w:rsidR="00A06E23" w:rsidRDefault="00A06E23">
      <w:pPr>
        <w:pStyle w:val="a3"/>
      </w:pPr>
    </w:p>
  </w:endnote>
  <w:endnote w:id="48">
    <w:p w:rsidR="00A06E23" w:rsidRDefault="00A06E23">
      <w:pPr>
        <w:pStyle w:val="a3"/>
      </w:pPr>
    </w:p>
  </w:endnote>
  <w:endnote w:id="49">
    <w:p w:rsidR="00A06E23" w:rsidRDefault="00A06E23">
      <w:pPr>
        <w:pStyle w:val="a3"/>
      </w:pPr>
    </w:p>
  </w:endnote>
  <w:endnote w:id="50">
    <w:p w:rsidR="00A06E23" w:rsidRDefault="00A06E23">
      <w:pPr>
        <w:pStyle w:val="a3"/>
      </w:pPr>
    </w:p>
  </w:endnote>
  <w:endnote w:id="51">
    <w:p w:rsidR="00A06E23" w:rsidRDefault="00A06E23">
      <w:pPr>
        <w:pStyle w:val="a3"/>
      </w:pPr>
    </w:p>
  </w:endnote>
  <w:endnote w:id="52">
    <w:p w:rsidR="00A06E23" w:rsidRDefault="00A06E23">
      <w:pPr>
        <w:pStyle w:val="a3"/>
      </w:pPr>
    </w:p>
  </w:endnote>
  <w:endnote w:id="53">
    <w:p w:rsidR="00A06E23" w:rsidRDefault="00A06E23">
      <w:pPr>
        <w:pStyle w:val="a3"/>
      </w:pPr>
    </w:p>
  </w:endnote>
  <w:endnote w:id="54">
    <w:p w:rsidR="00A06E23" w:rsidRDefault="00A06E23">
      <w:pPr>
        <w:pStyle w:val="a3"/>
      </w:pPr>
    </w:p>
  </w:endnote>
  <w:endnote w:id="55">
    <w:p w:rsidR="00A06E23" w:rsidRDefault="00A06E23">
      <w:pPr>
        <w:pStyle w:val="a3"/>
      </w:pPr>
    </w:p>
  </w:endnote>
  <w:endnote w:id="56">
    <w:p w:rsidR="00A06E23" w:rsidRDefault="00A06E23">
      <w:pPr>
        <w:pStyle w:val="a3"/>
      </w:pPr>
    </w:p>
  </w:endnote>
  <w:endnote w:id="57">
    <w:p w:rsidR="00A06E23" w:rsidRDefault="00A06E23">
      <w:pPr>
        <w:pStyle w:val="a3"/>
      </w:pPr>
    </w:p>
  </w:endnote>
  <w:endnote w:id="58">
    <w:p w:rsidR="00A06E23" w:rsidRDefault="00A06E23">
      <w:pPr>
        <w:pStyle w:val="a3"/>
      </w:pPr>
    </w:p>
  </w:endnote>
  <w:endnote w:id="59">
    <w:p w:rsidR="00A06E23" w:rsidRDefault="00A06E23">
      <w:pPr>
        <w:pStyle w:val="a3"/>
      </w:pPr>
    </w:p>
  </w:endnote>
  <w:endnote w:id="60">
    <w:p w:rsidR="00A06E23" w:rsidRDefault="00A06E23">
      <w:pPr>
        <w:pStyle w:val="a3"/>
      </w:pPr>
    </w:p>
  </w:endnote>
  <w:endnote w:id="61">
    <w:p w:rsidR="00A06E23" w:rsidRDefault="00A06E23">
      <w:pPr>
        <w:pStyle w:val="a3"/>
      </w:pPr>
    </w:p>
  </w:endnote>
  <w:endnote w:id="62">
    <w:p w:rsidR="00A06E23" w:rsidRDefault="00A06E23">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23" w:rsidRDefault="00A06E23">
    <w:pPr>
      <w:pStyle w:val="aa"/>
      <w:jc w:val="right"/>
    </w:pPr>
  </w:p>
  <w:p w:rsidR="00A06E23" w:rsidRDefault="009C05EF" w:rsidP="00BF6179">
    <w:pPr>
      <w:pStyle w:val="aa"/>
      <w:jc w:val="center"/>
    </w:pPr>
    <w:r>
      <w:fldChar w:fldCharType="begin"/>
    </w:r>
    <w:r>
      <w:instrText xml:space="preserve"> PAGE   \* MERGEFORMAT </w:instrText>
    </w:r>
    <w:r>
      <w:fldChar w:fldCharType="separate"/>
    </w:r>
    <w:r w:rsidR="004856ED">
      <w:rPr>
        <w:noProof/>
      </w:rPr>
      <w:t>37</w:t>
    </w:r>
    <w:r>
      <w:rPr>
        <w:noProof/>
      </w:rPr>
      <w:fldChar w:fldCharType="end"/>
    </w:r>
  </w:p>
  <w:p w:rsidR="00A06E23" w:rsidRDefault="00A06E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EF" w:rsidRDefault="009C05EF" w:rsidP="00643614">
      <w:pPr>
        <w:spacing w:after="0" w:line="240" w:lineRule="auto"/>
      </w:pPr>
      <w:r>
        <w:separator/>
      </w:r>
    </w:p>
  </w:footnote>
  <w:footnote w:type="continuationSeparator" w:id="0">
    <w:p w:rsidR="009C05EF" w:rsidRDefault="009C05EF" w:rsidP="00643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4D"/>
    <w:multiLevelType w:val="hybridMultilevel"/>
    <w:tmpl w:val="10EEE770"/>
    <w:lvl w:ilvl="0" w:tplc="09E4CE7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DD569A2"/>
    <w:multiLevelType w:val="hybridMultilevel"/>
    <w:tmpl w:val="A898487E"/>
    <w:lvl w:ilvl="0" w:tplc="462A38A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2C95D11"/>
    <w:multiLevelType w:val="hybridMultilevel"/>
    <w:tmpl w:val="9E42D9C2"/>
    <w:lvl w:ilvl="0" w:tplc="1FEC0D2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A5E0068"/>
    <w:multiLevelType w:val="hybridMultilevel"/>
    <w:tmpl w:val="C6E869BC"/>
    <w:lvl w:ilvl="0" w:tplc="10F25E2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8A96080"/>
    <w:multiLevelType w:val="hybridMultilevel"/>
    <w:tmpl w:val="BD785EA6"/>
    <w:lvl w:ilvl="0" w:tplc="5CF0DE9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B001D2A"/>
    <w:multiLevelType w:val="hybridMultilevel"/>
    <w:tmpl w:val="7E4CA2BE"/>
    <w:lvl w:ilvl="0" w:tplc="136EE7B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FF"/>
    <w:rsid w:val="00001900"/>
    <w:rsid w:val="0000262E"/>
    <w:rsid w:val="00002F0C"/>
    <w:rsid w:val="00004E3C"/>
    <w:rsid w:val="00010070"/>
    <w:rsid w:val="0001089E"/>
    <w:rsid w:val="00012899"/>
    <w:rsid w:val="00017491"/>
    <w:rsid w:val="00021EE2"/>
    <w:rsid w:val="00021FC6"/>
    <w:rsid w:val="000235DF"/>
    <w:rsid w:val="0003110F"/>
    <w:rsid w:val="00034DF7"/>
    <w:rsid w:val="00040A9B"/>
    <w:rsid w:val="0004167E"/>
    <w:rsid w:val="000420F2"/>
    <w:rsid w:val="00042960"/>
    <w:rsid w:val="00044350"/>
    <w:rsid w:val="0004472B"/>
    <w:rsid w:val="00052D43"/>
    <w:rsid w:val="00054AFE"/>
    <w:rsid w:val="00057587"/>
    <w:rsid w:val="000639A2"/>
    <w:rsid w:val="00064A26"/>
    <w:rsid w:val="000666AE"/>
    <w:rsid w:val="00072EE3"/>
    <w:rsid w:val="0007445F"/>
    <w:rsid w:val="00075BA6"/>
    <w:rsid w:val="00077C7E"/>
    <w:rsid w:val="00082E2E"/>
    <w:rsid w:val="000841AA"/>
    <w:rsid w:val="000850F1"/>
    <w:rsid w:val="00085108"/>
    <w:rsid w:val="00085159"/>
    <w:rsid w:val="0008657F"/>
    <w:rsid w:val="00086599"/>
    <w:rsid w:val="00090DBF"/>
    <w:rsid w:val="000965AC"/>
    <w:rsid w:val="00097B43"/>
    <w:rsid w:val="00097D73"/>
    <w:rsid w:val="000A22DE"/>
    <w:rsid w:val="000A2F7F"/>
    <w:rsid w:val="000A30A5"/>
    <w:rsid w:val="000A5B55"/>
    <w:rsid w:val="000A5E10"/>
    <w:rsid w:val="000A7F8C"/>
    <w:rsid w:val="000B008D"/>
    <w:rsid w:val="000B2C06"/>
    <w:rsid w:val="000B6210"/>
    <w:rsid w:val="000C0506"/>
    <w:rsid w:val="000C4081"/>
    <w:rsid w:val="000C6DCF"/>
    <w:rsid w:val="000D4B59"/>
    <w:rsid w:val="000D7A0D"/>
    <w:rsid w:val="000E0A5A"/>
    <w:rsid w:val="000E1FDE"/>
    <w:rsid w:val="000E5A78"/>
    <w:rsid w:val="000E7AF2"/>
    <w:rsid w:val="000F6559"/>
    <w:rsid w:val="00101121"/>
    <w:rsid w:val="00101C2A"/>
    <w:rsid w:val="001034E7"/>
    <w:rsid w:val="0010627A"/>
    <w:rsid w:val="00106CC2"/>
    <w:rsid w:val="00111802"/>
    <w:rsid w:val="00113E7E"/>
    <w:rsid w:val="001146E0"/>
    <w:rsid w:val="00115583"/>
    <w:rsid w:val="00121650"/>
    <w:rsid w:val="00136E63"/>
    <w:rsid w:val="001373D3"/>
    <w:rsid w:val="00140F5D"/>
    <w:rsid w:val="00142EE6"/>
    <w:rsid w:val="001441A3"/>
    <w:rsid w:val="001459C2"/>
    <w:rsid w:val="001470C5"/>
    <w:rsid w:val="00147ADC"/>
    <w:rsid w:val="001508BC"/>
    <w:rsid w:val="001518FB"/>
    <w:rsid w:val="001525B1"/>
    <w:rsid w:val="00153B39"/>
    <w:rsid w:val="0015500E"/>
    <w:rsid w:val="00157AF9"/>
    <w:rsid w:val="00163B83"/>
    <w:rsid w:val="00165E73"/>
    <w:rsid w:val="00167793"/>
    <w:rsid w:val="00167E50"/>
    <w:rsid w:val="00172F04"/>
    <w:rsid w:val="00173C5C"/>
    <w:rsid w:val="00177A9E"/>
    <w:rsid w:val="0018096B"/>
    <w:rsid w:val="00181904"/>
    <w:rsid w:val="00182AFE"/>
    <w:rsid w:val="00182B37"/>
    <w:rsid w:val="00187BE0"/>
    <w:rsid w:val="001921CF"/>
    <w:rsid w:val="001961A2"/>
    <w:rsid w:val="001A2943"/>
    <w:rsid w:val="001A7B07"/>
    <w:rsid w:val="001B1CF9"/>
    <w:rsid w:val="001B6368"/>
    <w:rsid w:val="001C2D4F"/>
    <w:rsid w:val="001C4912"/>
    <w:rsid w:val="001C7609"/>
    <w:rsid w:val="001D073E"/>
    <w:rsid w:val="001D09CE"/>
    <w:rsid w:val="001D1A25"/>
    <w:rsid w:val="001E6B36"/>
    <w:rsid w:val="001F0247"/>
    <w:rsid w:val="001F1D3D"/>
    <w:rsid w:val="001F2889"/>
    <w:rsid w:val="00205C8D"/>
    <w:rsid w:val="00207AF4"/>
    <w:rsid w:val="0021063C"/>
    <w:rsid w:val="00210771"/>
    <w:rsid w:val="00211901"/>
    <w:rsid w:val="00216F0B"/>
    <w:rsid w:val="00224760"/>
    <w:rsid w:val="002251D8"/>
    <w:rsid w:val="00225396"/>
    <w:rsid w:val="00226176"/>
    <w:rsid w:val="00226EA4"/>
    <w:rsid w:val="00230526"/>
    <w:rsid w:val="00232F05"/>
    <w:rsid w:val="0023439E"/>
    <w:rsid w:val="0023465E"/>
    <w:rsid w:val="00234C78"/>
    <w:rsid w:val="00234F4D"/>
    <w:rsid w:val="00235469"/>
    <w:rsid w:val="00236CA1"/>
    <w:rsid w:val="00237816"/>
    <w:rsid w:val="002379FC"/>
    <w:rsid w:val="00241AD0"/>
    <w:rsid w:val="002439D4"/>
    <w:rsid w:val="00252901"/>
    <w:rsid w:val="00261923"/>
    <w:rsid w:val="002725C2"/>
    <w:rsid w:val="00273043"/>
    <w:rsid w:val="00273B00"/>
    <w:rsid w:val="002742DA"/>
    <w:rsid w:val="002762DB"/>
    <w:rsid w:val="0028087B"/>
    <w:rsid w:val="00284E50"/>
    <w:rsid w:val="00287772"/>
    <w:rsid w:val="002923D6"/>
    <w:rsid w:val="00292C95"/>
    <w:rsid w:val="00292FA0"/>
    <w:rsid w:val="00293582"/>
    <w:rsid w:val="00293A05"/>
    <w:rsid w:val="00293A56"/>
    <w:rsid w:val="002A031F"/>
    <w:rsid w:val="002A0609"/>
    <w:rsid w:val="002A0C6D"/>
    <w:rsid w:val="002A5FDF"/>
    <w:rsid w:val="002A6018"/>
    <w:rsid w:val="002A65EF"/>
    <w:rsid w:val="002B2DFC"/>
    <w:rsid w:val="002B2E8C"/>
    <w:rsid w:val="002B390A"/>
    <w:rsid w:val="002B3C3E"/>
    <w:rsid w:val="002B56A4"/>
    <w:rsid w:val="002C298C"/>
    <w:rsid w:val="002C2BAF"/>
    <w:rsid w:val="002C54AD"/>
    <w:rsid w:val="002C6B18"/>
    <w:rsid w:val="002C7A3E"/>
    <w:rsid w:val="002D0C29"/>
    <w:rsid w:val="002D1CBB"/>
    <w:rsid w:val="002D4BE0"/>
    <w:rsid w:val="002E0C60"/>
    <w:rsid w:val="002E4BA8"/>
    <w:rsid w:val="002E75D8"/>
    <w:rsid w:val="002F3BE7"/>
    <w:rsid w:val="003001CD"/>
    <w:rsid w:val="003001EF"/>
    <w:rsid w:val="0030213E"/>
    <w:rsid w:val="00302EE1"/>
    <w:rsid w:val="00304C47"/>
    <w:rsid w:val="00305FBC"/>
    <w:rsid w:val="003076C1"/>
    <w:rsid w:val="00311819"/>
    <w:rsid w:val="00312A3F"/>
    <w:rsid w:val="00313C0D"/>
    <w:rsid w:val="00313E4F"/>
    <w:rsid w:val="003161BE"/>
    <w:rsid w:val="00316ED6"/>
    <w:rsid w:val="00317C91"/>
    <w:rsid w:val="00320294"/>
    <w:rsid w:val="00322793"/>
    <w:rsid w:val="00325355"/>
    <w:rsid w:val="003275F8"/>
    <w:rsid w:val="0033025A"/>
    <w:rsid w:val="003336A7"/>
    <w:rsid w:val="00337600"/>
    <w:rsid w:val="00342CBD"/>
    <w:rsid w:val="00346CE8"/>
    <w:rsid w:val="003503FF"/>
    <w:rsid w:val="00356502"/>
    <w:rsid w:val="003575C6"/>
    <w:rsid w:val="003618AB"/>
    <w:rsid w:val="00362707"/>
    <w:rsid w:val="0036275E"/>
    <w:rsid w:val="00362A5C"/>
    <w:rsid w:val="00362D7B"/>
    <w:rsid w:val="00364887"/>
    <w:rsid w:val="00365C95"/>
    <w:rsid w:val="00366493"/>
    <w:rsid w:val="003672FD"/>
    <w:rsid w:val="00370BDE"/>
    <w:rsid w:val="003719CB"/>
    <w:rsid w:val="00371AF8"/>
    <w:rsid w:val="003746F3"/>
    <w:rsid w:val="003761B1"/>
    <w:rsid w:val="00380F8F"/>
    <w:rsid w:val="003836B9"/>
    <w:rsid w:val="00383F5C"/>
    <w:rsid w:val="003845BE"/>
    <w:rsid w:val="003900C8"/>
    <w:rsid w:val="003966AE"/>
    <w:rsid w:val="00397EFB"/>
    <w:rsid w:val="003A09ED"/>
    <w:rsid w:val="003A10E6"/>
    <w:rsid w:val="003A1771"/>
    <w:rsid w:val="003A17FD"/>
    <w:rsid w:val="003A1F76"/>
    <w:rsid w:val="003A2E9E"/>
    <w:rsid w:val="003A3BB6"/>
    <w:rsid w:val="003B01DB"/>
    <w:rsid w:val="003B5901"/>
    <w:rsid w:val="003B75EB"/>
    <w:rsid w:val="003B7840"/>
    <w:rsid w:val="003B7B00"/>
    <w:rsid w:val="003C0951"/>
    <w:rsid w:val="003C0B88"/>
    <w:rsid w:val="003C0CAD"/>
    <w:rsid w:val="003D25FC"/>
    <w:rsid w:val="003D2608"/>
    <w:rsid w:val="003E1997"/>
    <w:rsid w:val="003E44EF"/>
    <w:rsid w:val="003E570B"/>
    <w:rsid w:val="003F1728"/>
    <w:rsid w:val="003F1CD7"/>
    <w:rsid w:val="003F4112"/>
    <w:rsid w:val="003F54B5"/>
    <w:rsid w:val="00402A9D"/>
    <w:rsid w:val="00406189"/>
    <w:rsid w:val="00406D54"/>
    <w:rsid w:val="00407C69"/>
    <w:rsid w:val="00413CCD"/>
    <w:rsid w:val="004149C3"/>
    <w:rsid w:val="00420690"/>
    <w:rsid w:val="00421905"/>
    <w:rsid w:val="00422FF1"/>
    <w:rsid w:val="00425E4A"/>
    <w:rsid w:val="00427DC2"/>
    <w:rsid w:val="00437368"/>
    <w:rsid w:val="00437B1D"/>
    <w:rsid w:val="00437C2E"/>
    <w:rsid w:val="00440740"/>
    <w:rsid w:val="00440BE3"/>
    <w:rsid w:val="0044226C"/>
    <w:rsid w:val="00444303"/>
    <w:rsid w:val="00455DFB"/>
    <w:rsid w:val="00456E13"/>
    <w:rsid w:val="00465A1C"/>
    <w:rsid w:val="0047171A"/>
    <w:rsid w:val="00471EC8"/>
    <w:rsid w:val="00473C80"/>
    <w:rsid w:val="00482318"/>
    <w:rsid w:val="004851AC"/>
    <w:rsid w:val="004856ED"/>
    <w:rsid w:val="00485CCF"/>
    <w:rsid w:val="00492702"/>
    <w:rsid w:val="00493D56"/>
    <w:rsid w:val="00495783"/>
    <w:rsid w:val="0049620D"/>
    <w:rsid w:val="00496A92"/>
    <w:rsid w:val="00497273"/>
    <w:rsid w:val="004A0D60"/>
    <w:rsid w:val="004A1F28"/>
    <w:rsid w:val="004A693F"/>
    <w:rsid w:val="004B0B43"/>
    <w:rsid w:val="004B0EE5"/>
    <w:rsid w:val="004B6992"/>
    <w:rsid w:val="004C41FA"/>
    <w:rsid w:val="004C64A7"/>
    <w:rsid w:val="004C693C"/>
    <w:rsid w:val="004D328E"/>
    <w:rsid w:val="004D61D8"/>
    <w:rsid w:val="004D7798"/>
    <w:rsid w:val="004E1D5F"/>
    <w:rsid w:val="004E5CF5"/>
    <w:rsid w:val="004E6154"/>
    <w:rsid w:val="004E654D"/>
    <w:rsid w:val="004E6583"/>
    <w:rsid w:val="004F30B6"/>
    <w:rsid w:val="004F6F8D"/>
    <w:rsid w:val="004F70A4"/>
    <w:rsid w:val="005010F4"/>
    <w:rsid w:val="00502F6A"/>
    <w:rsid w:val="0051367A"/>
    <w:rsid w:val="0051704B"/>
    <w:rsid w:val="00520317"/>
    <w:rsid w:val="0052217C"/>
    <w:rsid w:val="00524525"/>
    <w:rsid w:val="00527E46"/>
    <w:rsid w:val="005348AB"/>
    <w:rsid w:val="00537C3E"/>
    <w:rsid w:val="00543633"/>
    <w:rsid w:val="005454BE"/>
    <w:rsid w:val="00546458"/>
    <w:rsid w:val="00546BDD"/>
    <w:rsid w:val="005500FB"/>
    <w:rsid w:val="00557D21"/>
    <w:rsid w:val="00560604"/>
    <w:rsid w:val="00561B4E"/>
    <w:rsid w:val="00564E5C"/>
    <w:rsid w:val="00565CFC"/>
    <w:rsid w:val="00566E32"/>
    <w:rsid w:val="00572337"/>
    <w:rsid w:val="0057262C"/>
    <w:rsid w:val="00573494"/>
    <w:rsid w:val="00575C1D"/>
    <w:rsid w:val="005816C4"/>
    <w:rsid w:val="00591DB7"/>
    <w:rsid w:val="005975A0"/>
    <w:rsid w:val="005A512F"/>
    <w:rsid w:val="005A54EE"/>
    <w:rsid w:val="005A5609"/>
    <w:rsid w:val="005B44CB"/>
    <w:rsid w:val="005B75AA"/>
    <w:rsid w:val="005C0BE9"/>
    <w:rsid w:val="005C67CB"/>
    <w:rsid w:val="005C7F47"/>
    <w:rsid w:val="005D60AB"/>
    <w:rsid w:val="005D7E9A"/>
    <w:rsid w:val="005E19F8"/>
    <w:rsid w:val="005E7138"/>
    <w:rsid w:val="005E7451"/>
    <w:rsid w:val="005F17D9"/>
    <w:rsid w:val="005F5AB9"/>
    <w:rsid w:val="005F5DD3"/>
    <w:rsid w:val="005F6ABE"/>
    <w:rsid w:val="006009EA"/>
    <w:rsid w:val="006015ED"/>
    <w:rsid w:val="00602381"/>
    <w:rsid w:val="0060371B"/>
    <w:rsid w:val="0060427C"/>
    <w:rsid w:val="00606652"/>
    <w:rsid w:val="00607F9D"/>
    <w:rsid w:val="00614ED2"/>
    <w:rsid w:val="00623ABA"/>
    <w:rsid w:val="006307CA"/>
    <w:rsid w:val="0063365C"/>
    <w:rsid w:val="00633709"/>
    <w:rsid w:val="00634482"/>
    <w:rsid w:val="006356E8"/>
    <w:rsid w:val="0064155C"/>
    <w:rsid w:val="00643614"/>
    <w:rsid w:val="006471E8"/>
    <w:rsid w:val="00647336"/>
    <w:rsid w:val="00650EDF"/>
    <w:rsid w:val="006538CD"/>
    <w:rsid w:val="00653E4B"/>
    <w:rsid w:val="0065719B"/>
    <w:rsid w:val="00657B65"/>
    <w:rsid w:val="0066321D"/>
    <w:rsid w:val="006671F2"/>
    <w:rsid w:val="00667B42"/>
    <w:rsid w:val="006736E0"/>
    <w:rsid w:val="00676641"/>
    <w:rsid w:val="00681AC4"/>
    <w:rsid w:val="006866E7"/>
    <w:rsid w:val="00691C04"/>
    <w:rsid w:val="00691DC0"/>
    <w:rsid w:val="00692272"/>
    <w:rsid w:val="00692BDC"/>
    <w:rsid w:val="00693667"/>
    <w:rsid w:val="006937FE"/>
    <w:rsid w:val="00696988"/>
    <w:rsid w:val="006A437C"/>
    <w:rsid w:val="006A6E5D"/>
    <w:rsid w:val="006A7654"/>
    <w:rsid w:val="006A7842"/>
    <w:rsid w:val="006B0189"/>
    <w:rsid w:val="006B0CB1"/>
    <w:rsid w:val="006B212F"/>
    <w:rsid w:val="006B41C2"/>
    <w:rsid w:val="006C3344"/>
    <w:rsid w:val="006C3814"/>
    <w:rsid w:val="006C6EB7"/>
    <w:rsid w:val="006D4A88"/>
    <w:rsid w:val="006E0D25"/>
    <w:rsid w:val="006E2B9F"/>
    <w:rsid w:val="006E3587"/>
    <w:rsid w:val="006E41D3"/>
    <w:rsid w:val="006E4F8D"/>
    <w:rsid w:val="006F20F7"/>
    <w:rsid w:val="006F50BA"/>
    <w:rsid w:val="006F5526"/>
    <w:rsid w:val="006F7803"/>
    <w:rsid w:val="00702279"/>
    <w:rsid w:val="00702C19"/>
    <w:rsid w:val="00703C35"/>
    <w:rsid w:val="00704B1D"/>
    <w:rsid w:val="007070D5"/>
    <w:rsid w:val="0070754C"/>
    <w:rsid w:val="0071547F"/>
    <w:rsid w:val="00721924"/>
    <w:rsid w:val="00722959"/>
    <w:rsid w:val="00722E40"/>
    <w:rsid w:val="00724C86"/>
    <w:rsid w:val="0072598B"/>
    <w:rsid w:val="0073196F"/>
    <w:rsid w:val="00743458"/>
    <w:rsid w:val="00743557"/>
    <w:rsid w:val="00756A00"/>
    <w:rsid w:val="00756C8A"/>
    <w:rsid w:val="00765A1E"/>
    <w:rsid w:val="00766400"/>
    <w:rsid w:val="007705E2"/>
    <w:rsid w:val="00770808"/>
    <w:rsid w:val="007709B8"/>
    <w:rsid w:val="007729F1"/>
    <w:rsid w:val="00780E36"/>
    <w:rsid w:val="007827E3"/>
    <w:rsid w:val="0078363A"/>
    <w:rsid w:val="0078593E"/>
    <w:rsid w:val="00786460"/>
    <w:rsid w:val="0078734F"/>
    <w:rsid w:val="007975D6"/>
    <w:rsid w:val="007A1A84"/>
    <w:rsid w:val="007A418D"/>
    <w:rsid w:val="007A5C5C"/>
    <w:rsid w:val="007B24B6"/>
    <w:rsid w:val="007B3646"/>
    <w:rsid w:val="007B493C"/>
    <w:rsid w:val="007B605F"/>
    <w:rsid w:val="007C04FB"/>
    <w:rsid w:val="007C07AC"/>
    <w:rsid w:val="007C1C64"/>
    <w:rsid w:val="007C2AAC"/>
    <w:rsid w:val="007C36AE"/>
    <w:rsid w:val="007C3A65"/>
    <w:rsid w:val="007C5447"/>
    <w:rsid w:val="007C5FD8"/>
    <w:rsid w:val="007D5E8B"/>
    <w:rsid w:val="007E215A"/>
    <w:rsid w:val="007E2EE8"/>
    <w:rsid w:val="007E4080"/>
    <w:rsid w:val="007F26C1"/>
    <w:rsid w:val="007F3731"/>
    <w:rsid w:val="007F52FF"/>
    <w:rsid w:val="007F6BAE"/>
    <w:rsid w:val="007F6D52"/>
    <w:rsid w:val="007F7478"/>
    <w:rsid w:val="00802668"/>
    <w:rsid w:val="0080332E"/>
    <w:rsid w:val="00803831"/>
    <w:rsid w:val="00803BE6"/>
    <w:rsid w:val="008136ED"/>
    <w:rsid w:val="00824605"/>
    <w:rsid w:val="008261B2"/>
    <w:rsid w:val="00834498"/>
    <w:rsid w:val="00834C9C"/>
    <w:rsid w:val="00835FF5"/>
    <w:rsid w:val="00836543"/>
    <w:rsid w:val="00847226"/>
    <w:rsid w:val="00850EBE"/>
    <w:rsid w:val="00851E74"/>
    <w:rsid w:val="00852DE1"/>
    <w:rsid w:val="00856CF9"/>
    <w:rsid w:val="008612EB"/>
    <w:rsid w:val="00863917"/>
    <w:rsid w:val="0086561A"/>
    <w:rsid w:val="00866BC8"/>
    <w:rsid w:val="00874B57"/>
    <w:rsid w:val="00874D0F"/>
    <w:rsid w:val="008774A8"/>
    <w:rsid w:val="00877A3A"/>
    <w:rsid w:val="00880959"/>
    <w:rsid w:val="008810DD"/>
    <w:rsid w:val="008818D8"/>
    <w:rsid w:val="00881B56"/>
    <w:rsid w:val="00881C22"/>
    <w:rsid w:val="00884643"/>
    <w:rsid w:val="00884E2E"/>
    <w:rsid w:val="00891F89"/>
    <w:rsid w:val="00893F21"/>
    <w:rsid w:val="00895D6D"/>
    <w:rsid w:val="008A08F3"/>
    <w:rsid w:val="008A0961"/>
    <w:rsid w:val="008A1BED"/>
    <w:rsid w:val="008A50B3"/>
    <w:rsid w:val="008B02B6"/>
    <w:rsid w:val="008B1629"/>
    <w:rsid w:val="008B1918"/>
    <w:rsid w:val="008B7BE9"/>
    <w:rsid w:val="008C46A8"/>
    <w:rsid w:val="008C47AB"/>
    <w:rsid w:val="008C5D5E"/>
    <w:rsid w:val="008C7F7D"/>
    <w:rsid w:val="008D1713"/>
    <w:rsid w:val="008D245A"/>
    <w:rsid w:val="008D2F79"/>
    <w:rsid w:val="008D4ECB"/>
    <w:rsid w:val="008E050B"/>
    <w:rsid w:val="008E7E3B"/>
    <w:rsid w:val="008F00B6"/>
    <w:rsid w:val="008F61DA"/>
    <w:rsid w:val="0091151C"/>
    <w:rsid w:val="009149CC"/>
    <w:rsid w:val="009156E1"/>
    <w:rsid w:val="00934D19"/>
    <w:rsid w:val="00936B15"/>
    <w:rsid w:val="009370FF"/>
    <w:rsid w:val="0093759B"/>
    <w:rsid w:val="00941768"/>
    <w:rsid w:val="00941C54"/>
    <w:rsid w:val="00943799"/>
    <w:rsid w:val="00943AB0"/>
    <w:rsid w:val="009469A3"/>
    <w:rsid w:val="00947EE9"/>
    <w:rsid w:val="009516EA"/>
    <w:rsid w:val="00952EFC"/>
    <w:rsid w:val="00953033"/>
    <w:rsid w:val="00953747"/>
    <w:rsid w:val="009607A2"/>
    <w:rsid w:val="00961313"/>
    <w:rsid w:val="0096387C"/>
    <w:rsid w:val="00966AF0"/>
    <w:rsid w:val="00967795"/>
    <w:rsid w:val="00967C18"/>
    <w:rsid w:val="0097314D"/>
    <w:rsid w:val="00976F8E"/>
    <w:rsid w:val="00977166"/>
    <w:rsid w:val="00981DAF"/>
    <w:rsid w:val="00982D1B"/>
    <w:rsid w:val="009830A7"/>
    <w:rsid w:val="00983FC1"/>
    <w:rsid w:val="00984950"/>
    <w:rsid w:val="00984CCD"/>
    <w:rsid w:val="00986A66"/>
    <w:rsid w:val="009910A8"/>
    <w:rsid w:val="009920A4"/>
    <w:rsid w:val="009922A5"/>
    <w:rsid w:val="009967AC"/>
    <w:rsid w:val="00996FC4"/>
    <w:rsid w:val="00997C43"/>
    <w:rsid w:val="009A0D5C"/>
    <w:rsid w:val="009A422C"/>
    <w:rsid w:val="009C05EF"/>
    <w:rsid w:val="009C67C1"/>
    <w:rsid w:val="009D03E6"/>
    <w:rsid w:val="009D1298"/>
    <w:rsid w:val="009D4CA1"/>
    <w:rsid w:val="009E03DF"/>
    <w:rsid w:val="009E6CDA"/>
    <w:rsid w:val="009F0E82"/>
    <w:rsid w:val="009F2AC7"/>
    <w:rsid w:val="009F2F7F"/>
    <w:rsid w:val="009F34BC"/>
    <w:rsid w:val="009F4DAC"/>
    <w:rsid w:val="009F6C72"/>
    <w:rsid w:val="00A00EE0"/>
    <w:rsid w:val="00A01A74"/>
    <w:rsid w:val="00A04CCC"/>
    <w:rsid w:val="00A05A48"/>
    <w:rsid w:val="00A06E23"/>
    <w:rsid w:val="00A0726A"/>
    <w:rsid w:val="00A110EB"/>
    <w:rsid w:val="00A127B8"/>
    <w:rsid w:val="00A16642"/>
    <w:rsid w:val="00A173E3"/>
    <w:rsid w:val="00A1772B"/>
    <w:rsid w:val="00A234D5"/>
    <w:rsid w:val="00A23EBB"/>
    <w:rsid w:val="00A26D2B"/>
    <w:rsid w:val="00A373B7"/>
    <w:rsid w:val="00A41112"/>
    <w:rsid w:val="00A46AE1"/>
    <w:rsid w:val="00A51AC6"/>
    <w:rsid w:val="00A51D2A"/>
    <w:rsid w:val="00A52EDE"/>
    <w:rsid w:val="00A57847"/>
    <w:rsid w:val="00A6021E"/>
    <w:rsid w:val="00A64E2C"/>
    <w:rsid w:val="00A65F2B"/>
    <w:rsid w:val="00A67E8A"/>
    <w:rsid w:val="00A7572A"/>
    <w:rsid w:val="00A75A2D"/>
    <w:rsid w:val="00A75D4C"/>
    <w:rsid w:val="00A77F0E"/>
    <w:rsid w:val="00A8546C"/>
    <w:rsid w:val="00A8565A"/>
    <w:rsid w:val="00A86C0E"/>
    <w:rsid w:val="00A934B2"/>
    <w:rsid w:val="00A93756"/>
    <w:rsid w:val="00A953DF"/>
    <w:rsid w:val="00A96C71"/>
    <w:rsid w:val="00AA1565"/>
    <w:rsid w:val="00AA42E5"/>
    <w:rsid w:val="00AB7646"/>
    <w:rsid w:val="00AC1538"/>
    <w:rsid w:val="00AC1728"/>
    <w:rsid w:val="00AC17C3"/>
    <w:rsid w:val="00AC3104"/>
    <w:rsid w:val="00AC6A34"/>
    <w:rsid w:val="00AC7165"/>
    <w:rsid w:val="00AD4D8D"/>
    <w:rsid w:val="00AD6400"/>
    <w:rsid w:val="00AE0652"/>
    <w:rsid w:val="00AE07B3"/>
    <w:rsid w:val="00AE4CC5"/>
    <w:rsid w:val="00AE5C77"/>
    <w:rsid w:val="00AE680F"/>
    <w:rsid w:val="00AE6F8F"/>
    <w:rsid w:val="00AF087E"/>
    <w:rsid w:val="00AF0C88"/>
    <w:rsid w:val="00AF1E03"/>
    <w:rsid w:val="00AF5175"/>
    <w:rsid w:val="00B028F3"/>
    <w:rsid w:val="00B0455B"/>
    <w:rsid w:val="00B04DAC"/>
    <w:rsid w:val="00B05E99"/>
    <w:rsid w:val="00B067F1"/>
    <w:rsid w:val="00B14A61"/>
    <w:rsid w:val="00B200FB"/>
    <w:rsid w:val="00B21C55"/>
    <w:rsid w:val="00B23163"/>
    <w:rsid w:val="00B23DC9"/>
    <w:rsid w:val="00B252C3"/>
    <w:rsid w:val="00B30418"/>
    <w:rsid w:val="00B310EE"/>
    <w:rsid w:val="00B354E4"/>
    <w:rsid w:val="00B362BF"/>
    <w:rsid w:val="00B4360B"/>
    <w:rsid w:val="00B43621"/>
    <w:rsid w:val="00B43DCD"/>
    <w:rsid w:val="00B460DB"/>
    <w:rsid w:val="00B46D67"/>
    <w:rsid w:val="00B47981"/>
    <w:rsid w:val="00B522DA"/>
    <w:rsid w:val="00B52CC2"/>
    <w:rsid w:val="00B604E5"/>
    <w:rsid w:val="00B61724"/>
    <w:rsid w:val="00B6759C"/>
    <w:rsid w:val="00B709DF"/>
    <w:rsid w:val="00B823A3"/>
    <w:rsid w:val="00B8515A"/>
    <w:rsid w:val="00B856DD"/>
    <w:rsid w:val="00B946B7"/>
    <w:rsid w:val="00BB0607"/>
    <w:rsid w:val="00BB1822"/>
    <w:rsid w:val="00BB2E56"/>
    <w:rsid w:val="00BC1C12"/>
    <w:rsid w:val="00BC4EE4"/>
    <w:rsid w:val="00BC663E"/>
    <w:rsid w:val="00BC6912"/>
    <w:rsid w:val="00BC78E5"/>
    <w:rsid w:val="00BC7BE7"/>
    <w:rsid w:val="00BC7E40"/>
    <w:rsid w:val="00BD4EE2"/>
    <w:rsid w:val="00BD60A2"/>
    <w:rsid w:val="00BE6700"/>
    <w:rsid w:val="00BE7EDF"/>
    <w:rsid w:val="00BF011E"/>
    <w:rsid w:val="00BF104E"/>
    <w:rsid w:val="00BF1AE5"/>
    <w:rsid w:val="00BF2646"/>
    <w:rsid w:val="00BF37C9"/>
    <w:rsid w:val="00BF6179"/>
    <w:rsid w:val="00BF6376"/>
    <w:rsid w:val="00C030BF"/>
    <w:rsid w:val="00C03880"/>
    <w:rsid w:val="00C04AD4"/>
    <w:rsid w:val="00C07D52"/>
    <w:rsid w:val="00C1158F"/>
    <w:rsid w:val="00C15DDE"/>
    <w:rsid w:val="00C177CA"/>
    <w:rsid w:val="00C20860"/>
    <w:rsid w:val="00C21CB1"/>
    <w:rsid w:val="00C227D9"/>
    <w:rsid w:val="00C23947"/>
    <w:rsid w:val="00C255E0"/>
    <w:rsid w:val="00C32D42"/>
    <w:rsid w:val="00C35E9A"/>
    <w:rsid w:val="00C406C4"/>
    <w:rsid w:val="00C41F0F"/>
    <w:rsid w:val="00C4385F"/>
    <w:rsid w:val="00C447EB"/>
    <w:rsid w:val="00C44DAB"/>
    <w:rsid w:val="00C46BC6"/>
    <w:rsid w:val="00C516D1"/>
    <w:rsid w:val="00C534AF"/>
    <w:rsid w:val="00C54E5F"/>
    <w:rsid w:val="00C57539"/>
    <w:rsid w:val="00C578DE"/>
    <w:rsid w:val="00C57DF9"/>
    <w:rsid w:val="00C600AF"/>
    <w:rsid w:val="00C61839"/>
    <w:rsid w:val="00C632D8"/>
    <w:rsid w:val="00C66A72"/>
    <w:rsid w:val="00C71F05"/>
    <w:rsid w:val="00C72024"/>
    <w:rsid w:val="00C76A58"/>
    <w:rsid w:val="00C76F75"/>
    <w:rsid w:val="00C815FF"/>
    <w:rsid w:val="00C83AE6"/>
    <w:rsid w:val="00C87A84"/>
    <w:rsid w:val="00C908A8"/>
    <w:rsid w:val="00C947BE"/>
    <w:rsid w:val="00C94F9A"/>
    <w:rsid w:val="00C962AB"/>
    <w:rsid w:val="00C96435"/>
    <w:rsid w:val="00CA4B84"/>
    <w:rsid w:val="00CA7BE2"/>
    <w:rsid w:val="00CB2CF9"/>
    <w:rsid w:val="00CB6439"/>
    <w:rsid w:val="00CB65AF"/>
    <w:rsid w:val="00CB67A0"/>
    <w:rsid w:val="00CC05B7"/>
    <w:rsid w:val="00CC2238"/>
    <w:rsid w:val="00CD0A41"/>
    <w:rsid w:val="00CD2315"/>
    <w:rsid w:val="00CD4100"/>
    <w:rsid w:val="00CE1648"/>
    <w:rsid w:val="00CE2CF3"/>
    <w:rsid w:val="00CE3AE4"/>
    <w:rsid w:val="00CE3FFF"/>
    <w:rsid w:val="00CE62D9"/>
    <w:rsid w:val="00CE6717"/>
    <w:rsid w:val="00CF2EFA"/>
    <w:rsid w:val="00CF5304"/>
    <w:rsid w:val="00D0182D"/>
    <w:rsid w:val="00D0223E"/>
    <w:rsid w:val="00D0334D"/>
    <w:rsid w:val="00D04CBB"/>
    <w:rsid w:val="00D04F0E"/>
    <w:rsid w:val="00D05859"/>
    <w:rsid w:val="00D06118"/>
    <w:rsid w:val="00D16808"/>
    <w:rsid w:val="00D21C02"/>
    <w:rsid w:val="00D22165"/>
    <w:rsid w:val="00D23375"/>
    <w:rsid w:val="00D274CA"/>
    <w:rsid w:val="00D355D8"/>
    <w:rsid w:val="00D516F2"/>
    <w:rsid w:val="00D537EA"/>
    <w:rsid w:val="00D53C51"/>
    <w:rsid w:val="00D564B1"/>
    <w:rsid w:val="00D56CA1"/>
    <w:rsid w:val="00D654C2"/>
    <w:rsid w:val="00D6597D"/>
    <w:rsid w:val="00D67530"/>
    <w:rsid w:val="00D6772D"/>
    <w:rsid w:val="00D71346"/>
    <w:rsid w:val="00D724BA"/>
    <w:rsid w:val="00D75EF9"/>
    <w:rsid w:val="00D7641E"/>
    <w:rsid w:val="00D84407"/>
    <w:rsid w:val="00D848DF"/>
    <w:rsid w:val="00D90865"/>
    <w:rsid w:val="00D9348A"/>
    <w:rsid w:val="00D94112"/>
    <w:rsid w:val="00D9611D"/>
    <w:rsid w:val="00D96C1F"/>
    <w:rsid w:val="00D9720A"/>
    <w:rsid w:val="00DA2DD5"/>
    <w:rsid w:val="00DA6A72"/>
    <w:rsid w:val="00DB2BF1"/>
    <w:rsid w:val="00DB3510"/>
    <w:rsid w:val="00DB47E7"/>
    <w:rsid w:val="00DB5626"/>
    <w:rsid w:val="00DC1BE9"/>
    <w:rsid w:val="00DC4652"/>
    <w:rsid w:val="00DD1221"/>
    <w:rsid w:val="00DD50AF"/>
    <w:rsid w:val="00DE147D"/>
    <w:rsid w:val="00DE1DB9"/>
    <w:rsid w:val="00DE3017"/>
    <w:rsid w:val="00DE3D55"/>
    <w:rsid w:val="00DF1BD6"/>
    <w:rsid w:val="00DF3345"/>
    <w:rsid w:val="00DF368F"/>
    <w:rsid w:val="00DF4B77"/>
    <w:rsid w:val="00DF67E9"/>
    <w:rsid w:val="00E00234"/>
    <w:rsid w:val="00E01CDD"/>
    <w:rsid w:val="00E01FAF"/>
    <w:rsid w:val="00E060C4"/>
    <w:rsid w:val="00E06BD3"/>
    <w:rsid w:val="00E07E2B"/>
    <w:rsid w:val="00E108E8"/>
    <w:rsid w:val="00E14ADE"/>
    <w:rsid w:val="00E15D7A"/>
    <w:rsid w:val="00E24726"/>
    <w:rsid w:val="00E309A0"/>
    <w:rsid w:val="00E30D8E"/>
    <w:rsid w:val="00E3206E"/>
    <w:rsid w:val="00E32E2A"/>
    <w:rsid w:val="00E340EF"/>
    <w:rsid w:val="00E4651D"/>
    <w:rsid w:val="00E50E26"/>
    <w:rsid w:val="00E51743"/>
    <w:rsid w:val="00E527D4"/>
    <w:rsid w:val="00E53730"/>
    <w:rsid w:val="00E552E9"/>
    <w:rsid w:val="00E60E52"/>
    <w:rsid w:val="00E6712E"/>
    <w:rsid w:val="00E77C01"/>
    <w:rsid w:val="00E77ECE"/>
    <w:rsid w:val="00E800BF"/>
    <w:rsid w:val="00E83D1D"/>
    <w:rsid w:val="00E90188"/>
    <w:rsid w:val="00E9026C"/>
    <w:rsid w:val="00E93148"/>
    <w:rsid w:val="00E93E43"/>
    <w:rsid w:val="00E949C9"/>
    <w:rsid w:val="00E975AD"/>
    <w:rsid w:val="00E97BA3"/>
    <w:rsid w:val="00E97E93"/>
    <w:rsid w:val="00EA0FD3"/>
    <w:rsid w:val="00EA12BF"/>
    <w:rsid w:val="00EA2F21"/>
    <w:rsid w:val="00EA39EB"/>
    <w:rsid w:val="00EA7575"/>
    <w:rsid w:val="00EA7AFA"/>
    <w:rsid w:val="00EB2DFC"/>
    <w:rsid w:val="00EB6659"/>
    <w:rsid w:val="00EB69B9"/>
    <w:rsid w:val="00EC707A"/>
    <w:rsid w:val="00EC7923"/>
    <w:rsid w:val="00EC7B5F"/>
    <w:rsid w:val="00EC7DCB"/>
    <w:rsid w:val="00ED06A4"/>
    <w:rsid w:val="00ED5B0B"/>
    <w:rsid w:val="00ED66FC"/>
    <w:rsid w:val="00ED7A41"/>
    <w:rsid w:val="00EE2026"/>
    <w:rsid w:val="00EE3122"/>
    <w:rsid w:val="00EE43AE"/>
    <w:rsid w:val="00EE5EE0"/>
    <w:rsid w:val="00EF03E8"/>
    <w:rsid w:val="00EF4284"/>
    <w:rsid w:val="00EF61B8"/>
    <w:rsid w:val="00EF6855"/>
    <w:rsid w:val="00EF6A29"/>
    <w:rsid w:val="00F001A8"/>
    <w:rsid w:val="00F003FE"/>
    <w:rsid w:val="00F06CDE"/>
    <w:rsid w:val="00F11F44"/>
    <w:rsid w:val="00F145D8"/>
    <w:rsid w:val="00F22128"/>
    <w:rsid w:val="00F22727"/>
    <w:rsid w:val="00F232C7"/>
    <w:rsid w:val="00F23708"/>
    <w:rsid w:val="00F246C9"/>
    <w:rsid w:val="00F27797"/>
    <w:rsid w:val="00F30D72"/>
    <w:rsid w:val="00F32CB0"/>
    <w:rsid w:val="00F33BAF"/>
    <w:rsid w:val="00F34224"/>
    <w:rsid w:val="00F35627"/>
    <w:rsid w:val="00F412D0"/>
    <w:rsid w:val="00F42FE6"/>
    <w:rsid w:val="00F473CD"/>
    <w:rsid w:val="00F50273"/>
    <w:rsid w:val="00F51EEB"/>
    <w:rsid w:val="00F54ABC"/>
    <w:rsid w:val="00F55B46"/>
    <w:rsid w:val="00F55CEB"/>
    <w:rsid w:val="00F62FAA"/>
    <w:rsid w:val="00F72027"/>
    <w:rsid w:val="00F767D2"/>
    <w:rsid w:val="00F778A1"/>
    <w:rsid w:val="00F80F87"/>
    <w:rsid w:val="00F85959"/>
    <w:rsid w:val="00F8696E"/>
    <w:rsid w:val="00F878A0"/>
    <w:rsid w:val="00F87BAD"/>
    <w:rsid w:val="00F94E16"/>
    <w:rsid w:val="00F96ED3"/>
    <w:rsid w:val="00F973B9"/>
    <w:rsid w:val="00F97525"/>
    <w:rsid w:val="00F97BA1"/>
    <w:rsid w:val="00FA1573"/>
    <w:rsid w:val="00FA1C2A"/>
    <w:rsid w:val="00FA3D81"/>
    <w:rsid w:val="00FB0D67"/>
    <w:rsid w:val="00FB45C2"/>
    <w:rsid w:val="00FB525D"/>
    <w:rsid w:val="00FB71B3"/>
    <w:rsid w:val="00FB7329"/>
    <w:rsid w:val="00FC2A3F"/>
    <w:rsid w:val="00FC4B5D"/>
    <w:rsid w:val="00FC702D"/>
    <w:rsid w:val="00FD0042"/>
    <w:rsid w:val="00FD07D1"/>
    <w:rsid w:val="00FD0DFE"/>
    <w:rsid w:val="00FD3895"/>
    <w:rsid w:val="00FD46F9"/>
    <w:rsid w:val="00FD4854"/>
    <w:rsid w:val="00FD608A"/>
    <w:rsid w:val="00FE012A"/>
    <w:rsid w:val="00FE27A9"/>
    <w:rsid w:val="00FE3B98"/>
    <w:rsid w:val="00FE3D11"/>
    <w:rsid w:val="00FE7020"/>
    <w:rsid w:val="00FF0E5B"/>
    <w:rsid w:val="00FF4FA5"/>
    <w:rsid w:val="00FF7794"/>
    <w:rsid w:val="00FF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BB"/>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643614"/>
    <w:pPr>
      <w:spacing w:after="0" w:line="240" w:lineRule="auto"/>
    </w:pPr>
    <w:rPr>
      <w:sz w:val="20"/>
      <w:szCs w:val="20"/>
    </w:rPr>
  </w:style>
  <w:style w:type="character" w:customStyle="1" w:styleId="Char">
    <w:name w:val="尾注文本 Char"/>
    <w:basedOn w:val="a0"/>
    <w:link w:val="a3"/>
    <w:uiPriority w:val="99"/>
    <w:locked/>
    <w:rsid w:val="00643614"/>
    <w:rPr>
      <w:rFonts w:cs="Times New Roman"/>
      <w:sz w:val="20"/>
      <w:szCs w:val="20"/>
    </w:rPr>
  </w:style>
  <w:style w:type="character" w:styleId="a4">
    <w:name w:val="endnote reference"/>
    <w:basedOn w:val="a0"/>
    <w:uiPriority w:val="99"/>
    <w:rsid w:val="00643614"/>
    <w:rPr>
      <w:rFonts w:cs="Times New Roman"/>
      <w:vertAlign w:val="superscript"/>
    </w:rPr>
  </w:style>
  <w:style w:type="character" w:styleId="a5">
    <w:name w:val="Strong"/>
    <w:basedOn w:val="a0"/>
    <w:uiPriority w:val="99"/>
    <w:qFormat/>
    <w:rsid w:val="000841AA"/>
    <w:rPr>
      <w:rFonts w:cs="Times New Roman"/>
      <w:b/>
      <w:bCs/>
    </w:rPr>
  </w:style>
  <w:style w:type="character" w:styleId="a6">
    <w:name w:val="Placeholder Text"/>
    <w:basedOn w:val="a0"/>
    <w:uiPriority w:val="99"/>
    <w:semiHidden/>
    <w:rsid w:val="006A437C"/>
    <w:rPr>
      <w:rFonts w:cs="Times New Roman"/>
      <w:color w:val="808080"/>
    </w:rPr>
  </w:style>
  <w:style w:type="paragraph" w:styleId="a7">
    <w:name w:val="Balloon Text"/>
    <w:basedOn w:val="a"/>
    <w:link w:val="Char0"/>
    <w:uiPriority w:val="99"/>
    <w:semiHidden/>
    <w:rsid w:val="006A437C"/>
    <w:pPr>
      <w:spacing w:after="0" w:line="240" w:lineRule="auto"/>
    </w:pPr>
    <w:rPr>
      <w:rFonts w:ascii="Tahoma" w:hAnsi="Tahoma" w:cs="Tahoma"/>
      <w:sz w:val="16"/>
      <w:szCs w:val="16"/>
    </w:rPr>
  </w:style>
  <w:style w:type="character" w:customStyle="1" w:styleId="Char0">
    <w:name w:val="批注框文本 Char"/>
    <w:basedOn w:val="a0"/>
    <w:link w:val="a7"/>
    <w:uiPriority w:val="99"/>
    <w:semiHidden/>
    <w:locked/>
    <w:rsid w:val="006A437C"/>
    <w:rPr>
      <w:rFonts w:ascii="Tahoma" w:hAnsi="Tahoma" w:cs="Tahoma"/>
      <w:sz w:val="16"/>
      <w:szCs w:val="16"/>
    </w:rPr>
  </w:style>
  <w:style w:type="character" w:customStyle="1" w:styleId="ref-journal">
    <w:name w:val="ref-journal"/>
    <w:basedOn w:val="a0"/>
    <w:uiPriority w:val="99"/>
    <w:rsid w:val="00495783"/>
    <w:rPr>
      <w:rFonts w:cs="Times New Roman"/>
    </w:rPr>
  </w:style>
  <w:style w:type="character" w:customStyle="1" w:styleId="ref-vol">
    <w:name w:val="ref-vol"/>
    <w:basedOn w:val="a0"/>
    <w:uiPriority w:val="99"/>
    <w:rsid w:val="00495783"/>
    <w:rPr>
      <w:rFonts w:cs="Times New Roman"/>
    </w:rPr>
  </w:style>
  <w:style w:type="character" w:styleId="a8">
    <w:name w:val="Hyperlink"/>
    <w:basedOn w:val="a0"/>
    <w:uiPriority w:val="99"/>
    <w:rsid w:val="00495783"/>
    <w:rPr>
      <w:rFonts w:cs="Times New Roman"/>
      <w:color w:val="0000FF"/>
      <w:u w:val="single"/>
    </w:rPr>
  </w:style>
  <w:style w:type="character" w:customStyle="1" w:styleId="highlight">
    <w:name w:val="highlight"/>
    <w:basedOn w:val="a0"/>
    <w:uiPriority w:val="99"/>
    <w:rsid w:val="00495783"/>
    <w:rPr>
      <w:rFonts w:cs="Times New Roman"/>
    </w:rPr>
  </w:style>
  <w:style w:type="character" w:customStyle="1" w:styleId="googqs-tidbit">
    <w:name w:val="goog_qs-tidbit"/>
    <w:basedOn w:val="a0"/>
    <w:uiPriority w:val="99"/>
    <w:rsid w:val="0078734F"/>
    <w:rPr>
      <w:rFonts w:cs="Times New Roman"/>
    </w:rPr>
  </w:style>
  <w:style w:type="paragraph" w:styleId="a9">
    <w:name w:val="header"/>
    <w:basedOn w:val="a"/>
    <w:link w:val="Char1"/>
    <w:uiPriority w:val="99"/>
    <w:rsid w:val="00BF6179"/>
    <w:pPr>
      <w:tabs>
        <w:tab w:val="center" w:pos="4513"/>
        <w:tab w:val="right" w:pos="9026"/>
      </w:tabs>
      <w:spacing w:after="0" w:line="240" w:lineRule="auto"/>
    </w:pPr>
  </w:style>
  <w:style w:type="character" w:customStyle="1" w:styleId="Char1">
    <w:name w:val="页眉 Char"/>
    <w:basedOn w:val="a0"/>
    <w:link w:val="a9"/>
    <w:uiPriority w:val="99"/>
    <w:locked/>
    <w:rsid w:val="00BF6179"/>
    <w:rPr>
      <w:rFonts w:cs="Times New Roman"/>
    </w:rPr>
  </w:style>
  <w:style w:type="paragraph" w:styleId="aa">
    <w:name w:val="footer"/>
    <w:basedOn w:val="a"/>
    <w:link w:val="Char2"/>
    <w:uiPriority w:val="99"/>
    <w:rsid w:val="00BF6179"/>
    <w:pPr>
      <w:tabs>
        <w:tab w:val="center" w:pos="4513"/>
        <w:tab w:val="right" w:pos="9026"/>
      </w:tabs>
      <w:spacing w:after="0" w:line="240" w:lineRule="auto"/>
    </w:pPr>
  </w:style>
  <w:style w:type="character" w:customStyle="1" w:styleId="Char2">
    <w:name w:val="页脚 Char"/>
    <w:basedOn w:val="a0"/>
    <w:link w:val="aa"/>
    <w:uiPriority w:val="99"/>
    <w:locked/>
    <w:rsid w:val="00BF6179"/>
    <w:rPr>
      <w:rFonts w:cs="Times New Roman"/>
    </w:rPr>
  </w:style>
  <w:style w:type="character" w:customStyle="1" w:styleId="absmetadatalabel">
    <w:name w:val="abs_metadata_label"/>
    <w:basedOn w:val="a0"/>
    <w:uiPriority w:val="99"/>
    <w:rsid w:val="005816C4"/>
    <w:rPr>
      <w:rFonts w:cs="Times New Roman"/>
    </w:rPr>
  </w:style>
  <w:style w:type="character" w:customStyle="1" w:styleId="absnonlinkmetadata">
    <w:name w:val="abs_nonlink_metadata"/>
    <w:basedOn w:val="a0"/>
    <w:uiPriority w:val="99"/>
    <w:rsid w:val="005816C4"/>
    <w:rPr>
      <w:rFonts w:cs="Times New Roman"/>
    </w:rPr>
  </w:style>
  <w:style w:type="character" w:customStyle="1" w:styleId="slug-doi">
    <w:name w:val="slug-doi"/>
    <w:basedOn w:val="a0"/>
    <w:uiPriority w:val="99"/>
    <w:rsid w:val="005500FB"/>
    <w:rPr>
      <w:rFonts w:cs="Times New Roman"/>
    </w:rPr>
  </w:style>
  <w:style w:type="character" w:customStyle="1" w:styleId="protocol-title">
    <w:name w:val="protocol-title"/>
    <w:basedOn w:val="a0"/>
    <w:uiPriority w:val="99"/>
    <w:rsid w:val="00CF5304"/>
    <w:rPr>
      <w:rFonts w:cs="Times New Roman"/>
    </w:rPr>
  </w:style>
  <w:style w:type="character" w:customStyle="1" w:styleId="st1">
    <w:name w:val="st1"/>
    <w:basedOn w:val="a0"/>
    <w:uiPriority w:val="99"/>
    <w:rsid w:val="00B6759C"/>
    <w:rPr>
      <w:rFonts w:cs="Times New Roman"/>
    </w:rPr>
  </w:style>
  <w:style w:type="character" w:customStyle="1" w:styleId="highlight2">
    <w:name w:val="highlight2"/>
    <w:basedOn w:val="a0"/>
    <w:uiPriority w:val="99"/>
    <w:rsid w:val="008A0961"/>
    <w:rPr>
      <w:rFonts w:cs="Times New Roman"/>
    </w:rPr>
  </w:style>
  <w:style w:type="character" w:styleId="ab">
    <w:name w:val="FollowedHyperlink"/>
    <w:basedOn w:val="a0"/>
    <w:uiPriority w:val="99"/>
    <w:semiHidden/>
    <w:rsid w:val="00E06BD3"/>
    <w:rPr>
      <w:rFonts w:cs="Times New Roman"/>
      <w:color w:val="800080"/>
      <w:u w:val="single"/>
    </w:rPr>
  </w:style>
  <w:style w:type="character" w:styleId="ac">
    <w:name w:val="annotation reference"/>
    <w:basedOn w:val="a0"/>
    <w:uiPriority w:val="99"/>
    <w:semiHidden/>
    <w:rsid w:val="006009EA"/>
    <w:rPr>
      <w:rFonts w:cs="Times New Roman"/>
      <w:sz w:val="21"/>
      <w:szCs w:val="21"/>
    </w:rPr>
  </w:style>
  <w:style w:type="paragraph" w:styleId="ad">
    <w:name w:val="annotation text"/>
    <w:basedOn w:val="a"/>
    <w:link w:val="Char3"/>
    <w:uiPriority w:val="99"/>
    <w:semiHidden/>
    <w:rsid w:val="006009EA"/>
  </w:style>
  <w:style w:type="character" w:customStyle="1" w:styleId="Char3">
    <w:name w:val="批注文字 Char"/>
    <w:basedOn w:val="a0"/>
    <w:link w:val="ad"/>
    <w:uiPriority w:val="99"/>
    <w:semiHidden/>
    <w:locked/>
    <w:rsid w:val="006009EA"/>
    <w:rPr>
      <w:rFonts w:cs="Times New Roman"/>
    </w:rPr>
  </w:style>
  <w:style w:type="paragraph" w:styleId="ae">
    <w:name w:val="annotation subject"/>
    <w:basedOn w:val="ad"/>
    <w:next w:val="ad"/>
    <w:link w:val="Char4"/>
    <w:uiPriority w:val="99"/>
    <w:semiHidden/>
    <w:rsid w:val="006009EA"/>
    <w:rPr>
      <w:b/>
      <w:bCs/>
    </w:rPr>
  </w:style>
  <w:style w:type="character" w:customStyle="1" w:styleId="Char4">
    <w:name w:val="批注主题 Char"/>
    <w:basedOn w:val="Char3"/>
    <w:link w:val="ae"/>
    <w:uiPriority w:val="99"/>
    <w:semiHidden/>
    <w:locked/>
    <w:rsid w:val="006009EA"/>
    <w:rPr>
      <w:rFonts w:cs="Times New Roman"/>
      <w:b/>
      <w:bCs/>
    </w:rPr>
  </w:style>
  <w:style w:type="paragraph" w:styleId="af">
    <w:name w:val="List Paragraph"/>
    <w:basedOn w:val="a"/>
    <w:uiPriority w:val="99"/>
    <w:qFormat/>
    <w:rsid w:val="00473C80"/>
    <w:pPr>
      <w:ind w:firstLineChars="200" w:firstLine="420"/>
    </w:pPr>
  </w:style>
  <w:style w:type="paragraph" w:styleId="af0">
    <w:name w:val="footnote text"/>
    <w:basedOn w:val="a"/>
    <w:link w:val="Char5"/>
    <w:uiPriority w:val="99"/>
    <w:semiHidden/>
    <w:rsid w:val="00AD4D8D"/>
    <w:pPr>
      <w:snapToGrid w:val="0"/>
    </w:pPr>
    <w:rPr>
      <w:sz w:val="18"/>
      <w:szCs w:val="18"/>
    </w:rPr>
  </w:style>
  <w:style w:type="character" w:customStyle="1" w:styleId="Char5">
    <w:name w:val="脚注文本 Char"/>
    <w:basedOn w:val="a0"/>
    <w:link w:val="af0"/>
    <w:uiPriority w:val="99"/>
    <w:semiHidden/>
    <w:locked/>
    <w:rsid w:val="00AD4D8D"/>
    <w:rPr>
      <w:rFonts w:cs="Times New Roman"/>
      <w:sz w:val="18"/>
      <w:szCs w:val="18"/>
    </w:rPr>
  </w:style>
  <w:style w:type="character" w:styleId="af1">
    <w:name w:val="footnote reference"/>
    <w:basedOn w:val="a0"/>
    <w:uiPriority w:val="99"/>
    <w:semiHidden/>
    <w:rsid w:val="00AD4D8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BB"/>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643614"/>
    <w:pPr>
      <w:spacing w:after="0" w:line="240" w:lineRule="auto"/>
    </w:pPr>
    <w:rPr>
      <w:sz w:val="20"/>
      <w:szCs w:val="20"/>
    </w:rPr>
  </w:style>
  <w:style w:type="character" w:customStyle="1" w:styleId="Char">
    <w:name w:val="尾注文本 Char"/>
    <w:basedOn w:val="a0"/>
    <w:link w:val="a3"/>
    <w:uiPriority w:val="99"/>
    <w:locked/>
    <w:rsid w:val="00643614"/>
    <w:rPr>
      <w:rFonts w:cs="Times New Roman"/>
      <w:sz w:val="20"/>
      <w:szCs w:val="20"/>
    </w:rPr>
  </w:style>
  <w:style w:type="character" w:styleId="a4">
    <w:name w:val="endnote reference"/>
    <w:basedOn w:val="a0"/>
    <w:uiPriority w:val="99"/>
    <w:rsid w:val="00643614"/>
    <w:rPr>
      <w:rFonts w:cs="Times New Roman"/>
      <w:vertAlign w:val="superscript"/>
    </w:rPr>
  </w:style>
  <w:style w:type="character" w:styleId="a5">
    <w:name w:val="Strong"/>
    <w:basedOn w:val="a0"/>
    <w:uiPriority w:val="99"/>
    <w:qFormat/>
    <w:rsid w:val="000841AA"/>
    <w:rPr>
      <w:rFonts w:cs="Times New Roman"/>
      <w:b/>
      <w:bCs/>
    </w:rPr>
  </w:style>
  <w:style w:type="character" w:styleId="a6">
    <w:name w:val="Placeholder Text"/>
    <w:basedOn w:val="a0"/>
    <w:uiPriority w:val="99"/>
    <w:semiHidden/>
    <w:rsid w:val="006A437C"/>
    <w:rPr>
      <w:rFonts w:cs="Times New Roman"/>
      <w:color w:val="808080"/>
    </w:rPr>
  </w:style>
  <w:style w:type="paragraph" w:styleId="a7">
    <w:name w:val="Balloon Text"/>
    <w:basedOn w:val="a"/>
    <w:link w:val="Char0"/>
    <w:uiPriority w:val="99"/>
    <w:semiHidden/>
    <w:rsid w:val="006A437C"/>
    <w:pPr>
      <w:spacing w:after="0" w:line="240" w:lineRule="auto"/>
    </w:pPr>
    <w:rPr>
      <w:rFonts w:ascii="Tahoma" w:hAnsi="Tahoma" w:cs="Tahoma"/>
      <w:sz w:val="16"/>
      <w:szCs w:val="16"/>
    </w:rPr>
  </w:style>
  <w:style w:type="character" w:customStyle="1" w:styleId="Char0">
    <w:name w:val="批注框文本 Char"/>
    <w:basedOn w:val="a0"/>
    <w:link w:val="a7"/>
    <w:uiPriority w:val="99"/>
    <w:semiHidden/>
    <w:locked/>
    <w:rsid w:val="006A437C"/>
    <w:rPr>
      <w:rFonts w:ascii="Tahoma" w:hAnsi="Tahoma" w:cs="Tahoma"/>
      <w:sz w:val="16"/>
      <w:szCs w:val="16"/>
    </w:rPr>
  </w:style>
  <w:style w:type="character" w:customStyle="1" w:styleId="ref-journal">
    <w:name w:val="ref-journal"/>
    <w:basedOn w:val="a0"/>
    <w:uiPriority w:val="99"/>
    <w:rsid w:val="00495783"/>
    <w:rPr>
      <w:rFonts w:cs="Times New Roman"/>
    </w:rPr>
  </w:style>
  <w:style w:type="character" w:customStyle="1" w:styleId="ref-vol">
    <w:name w:val="ref-vol"/>
    <w:basedOn w:val="a0"/>
    <w:uiPriority w:val="99"/>
    <w:rsid w:val="00495783"/>
    <w:rPr>
      <w:rFonts w:cs="Times New Roman"/>
    </w:rPr>
  </w:style>
  <w:style w:type="character" w:styleId="a8">
    <w:name w:val="Hyperlink"/>
    <w:basedOn w:val="a0"/>
    <w:uiPriority w:val="99"/>
    <w:rsid w:val="00495783"/>
    <w:rPr>
      <w:rFonts w:cs="Times New Roman"/>
      <w:color w:val="0000FF"/>
      <w:u w:val="single"/>
    </w:rPr>
  </w:style>
  <w:style w:type="character" w:customStyle="1" w:styleId="highlight">
    <w:name w:val="highlight"/>
    <w:basedOn w:val="a0"/>
    <w:uiPriority w:val="99"/>
    <w:rsid w:val="00495783"/>
    <w:rPr>
      <w:rFonts w:cs="Times New Roman"/>
    </w:rPr>
  </w:style>
  <w:style w:type="character" w:customStyle="1" w:styleId="googqs-tidbit">
    <w:name w:val="goog_qs-tidbit"/>
    <w:basedOn w:val="a0"/>
    <w:uiPriority w:val="99"/>
    <w:rsid w:val="0078734F"/>
    <w:rPr>
      <w:rFonts w:cs="Times New Roman"/>
    </w:rPr>
  </w:style>
  <w:style w:type="paragraph" w:styleId="a9">
    <w:name w:val="header"/>
    <w:basedOn w:val="a"/>
    <w:link w:val="Char1"/>
    <w:uiPriority w:val="99"/>
    <w:rsid w:val="00BF6179"/>
    <w:pPr>
      <w:tabs>
        <w:tab w:val="center" w:pos="4513"/>
        <w:tab w:val="right" w:pos="9026"/>
      </w:tabs>
      <w:spacing w:after="0" w:line="240" w:lineRule="auto"/>
    </w:pPr>
  </w:style>
  <w:style w:type="character" w:customStyle="1" w:styleId="Char1">
    <w:name w:val="页眉 Char"/>
    <w:basedOn w:val="a0"/>
    <w:link w:val="a9"/>
    <w:uiPriority w:val="99"/>
    <w:locked/>
    <w:rsid w:val="00BF6179"/>
    <w:rPr>
      <w:rFonts w:cs="Times New Roman"/>
    </w:rPr>
  </w:style>
  <w:style w:type="paragraph" w:styleId="aa">
    <w:name w:val="footer"/>
    <w:basedOn w:val="a"/>
    <w:link w:val="Char2"/>
    <w:uiPriority w:val="99"/>
    <w:rsid w:val="00BF6179"/>
    <w:pPr>
      <w:tabs>
        <w:tab w:val="center" w:pos="4513"/>
        <w:tab w:val="right" w:pos="9026"/>
      </w:tabs>
      <w:spacing w:after="0" w:line="240" w:lineRule="auto"/>
    </w:pPr>
  </w:style>
  <w:style w:type="character" w:customStyle="1" w:styleId="Char2">
    <w:name w:val="页脚 Char"/>
    <w:basedOn w:val="a0"/>
    <w:link w:val="aa"/>
    <w:uiPriority w:val="99"/>
    <w:locked/>
    <w:rsid w:val="00BF6179"/>
    <w:rPr>
      <w:rFonts w:cs="Times New Roman"/>
    </w:rPr>
  </w:style>
  <w:style w:type="character" w:customStyle="1" w:styleId="absmetadatalabel">
    <w:name w:val="abs_metadata_label"/>
    <w:basedOn w:val="a0"/>
    <w:uiPriority w:val="99"/>
    <w:rsid w:val="005816C4"/>
    <w:rPr>
      <w:rFonts w:cs="Times New Roman"/>
    </w:rPr>
  </w:style>
  <w:style w:type="character" w:customStyle="1" w:styleId="absnonlinkmetadata">
    <w:name w:val="abs_nonlink_metadata"/>
    <w:basedOn w:val="a0"/>
    <w:uiPriority w:val="99"/>
    <w:rsid w:val="005816C4"/>
    <w:rPr>
      <w:rFonts w:cs="Times New Roman"/>
    </w:rPr>
  </w:style>
  <w:style w:type="character" w:customStyle="1" w:styleId="slug-doi">
    <w:name w:val="slug-doi"/>
    <w:basedOn w:val="a0"/>
    <w:uiPriority w:val="99"/>
    <w:rsid w:val="005500FB"/>
    <w:rPr>
      <w:rFonts w:cs="Times New Roman"/>
    </w:rPr>
  </w:style>
  <w:style w:type="character" w:customStyle="1" w:styleId="protocol-title">
    <w:name w:val="protocol-title"/>
    <w:basedOn w:val="a0"/>
    <w:uiPriority w:val="99"/>
    <w:rsid w:val="00CF5304"/>
    <w:rPr>
      <w:rFonts w:cs="Times New Roman"/>
    </w:rPr>
  </w:style>
  <w:style w:type="character" w:customStyle="1" w:styleId="st1">
    <w:name w:val="st1"/>
    <w:basedOn w:val="a0"/>
    <w:uiPriority w:val="99"/>
    <w:rsid w:val="00B6759C"/>
    <w:rPr>
      <w:rFonts w:cs="Times New Roman"/>
    </w:rPr>
  </w:style>
  <w:style w:type="character" w:customStyle="1" w:styleId="highlight2">
    <w:name w:val="highlight2"/>
    <w:basedOn w:val="a0"/>
    <w:uiPriority w:val="99"/>
    <w:rsid w:val="008A0961"/>
    <w:rPr>
      <w:rFonts w:cs="Times New Roman"/>
    </w:rPr>
  </w:style>
  <w:style w:type="character" w:styleId="ab">
    <w:name w:val="FollowedHyperlink"/>
    <w:basedOn w:val="a0"/>
    <w:uiPriority w:val="99"/>
    <w:semiHidden/>
    <w:rsid w:val="00E06BD3"/>
    <w:rPr>
      <w:rFonts w:cs="Times New Roman"/>
      <w:color w:val="800080"/>
      <w:u w:val="single"/>
    </w:rPr>
  </w:style>
  <w:style w:type="character" w:styleId="ac">
    <w:name w:val="annotation reference"/>
    <w:basedOn w:val="a0"/>
    <w:uiPriority w:val="99"/>
    <w:semiHidden/>
    <w:rsid w:val="006009EA"/>
    <w:rPr>
      <w:rFonts w:cs="Times New Roman"/>
      <w:sz w:val="21"/>
      <w:szCs w:val="21"/>
    </w:rPr>
  </w:style>
  <w:style w:type="paragraph" w:styleId="ad">
    <w:name w:val="annotation text"/>
    <w:basedOn w:val="a"/>
    <w:link w:val="Char3"/>
    <w:uiPriority w:val="99"/>
    <w:semiHidden/>
    <w:rsid w:val="006009EA"/>
  </w:style>
  <w:style w:type="character" w:customStyle="1" w:styleId="Char3">
    <w:name w:val="批注文字 Char"/>
    <w:basedOn w:val="a0"/>
    <w:link w:val="ad"/>
    <w:uiPriority w:val="99"/>
    <w:semiHidden/>
    <w:locked/>
    <w:rsid w:val="006009EA"/>
    <w:rPr>
      <w:rFonts w:cs="Times New Roman"/>
    </w:rPr>
  </w:style>
  <w:style w:type="paragraph" w:styleId="ae">
    <w:name w:val="annotation subject"/>
    <w:basedOn w:val="ad"/>
    <w:next w:val="ad"/>
    <w:link w:val="Char4"/>
    <w:uiPriority w:val="99"/>
    <w:semiHidden/>
    <w:rsid w:val="006009EA"/>
    <w:rPr>
      <w:b/>
      <w:bCs/>
    </w:rPr>
  </w:style>
  <w:style w:type="character" w:customStyle="1" w:styleId="Char4">
    <w:name w:val="批注主题 Char"/>
    <w:basedOn w:val="Char3"/>
    <w:link w:val="ae"/>
    <w:uiPriority w:val="99"/>
    <w:semiHidden/>
    <w:locked/>
    <w:rsid w:val="006009EA"/>
    <w:rPr>
      <w:rFonts w:cs="Times New Roman"/>
      <w:b/>
      <w:bCs/>
    </w:rPr>
  </w:style>
  <w:style w:type="paragraph" w:styleId="af">
    <w:name w:val="List Paragraph"/>
    <w:basedOn w:val="a"/>
    <w:uiPriority w:val="99"/>
    <w:qFormat/>
    <w:rsid w:val="00473C80"/>
    <w:pPr>
      <w:ind w:firstLineChars="200" w:firstLine="420"/>
    </w:pPr>
  </w:style>
  <w:style w:type="paragraph" w:styleId="af0">
    <w:name w:val="footnote text"/>
    <w:basedOn w:val="a"/>
    <w:link w:val="Char5"/>
    <w:uiPriority w:val="99"/>
    <w:semiHidden/>
    <w:rsid w:val="00AD4D8D"/>
    <w:pPr>
      <w:snapToGrid w:val="0"/>
    </w:pPr>
    <w:rPr>
      <w:sz w:val="18"/>
      <w:szCs w:val="18"/>
    </w:rPr>
  </w:style>
  <w:style w:type="character" w:customStyle="1" w:styleId="Char5">
    <w:name w:val="脚注文本 Char"/>
    <w:basedOn w:val="a0"/>
    <w:link w:val="af0"/>
    <w:uiPriority w:val="99"/>
    <w:semiHidden/>
    <w:locked/>
    <w:rsid w:val="00AD4D8D"/>
    <w:rPr>
      <w:rFonts w:cs="Times New Roman"/>
      <w:sz w:val="18"/>
      <w:szCs w:val="18"/>
    </w:rPr>
  </w:style>
  <w:style w:type="character" w:styleId="af1">
    <w:name w:val="footnote reference"/>
    <w:basedOn w:val="a0"/>
    <w:uiPriority w:val="99"/>
    <w:semiHidden/>
    <w:rsid w:val="00AD4D8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4350">
      <w:marLeft w:val="0"/>
      <w:marRight w:val="0"/>
      <w:marTop w:val="0"/>
      <w:marBottom w:val="0"/>
      <w:divBdr>
        <w:top w:val="none" w:sz="0" w:space="0" w:color="auto"/>
        <w:left w:val="none" w:sz="0" w:space="0" w:color="auto"/>
        <w:bottom w:val="none" w:sz="0" w:space="0" w:color="auto"/>
        <w:right w:val="none" w:sz="0" w:space="0" w:color="auto"/>
      </w:divBdr>
      <w:divsChild>
        <w:div w:id="141504491">
          <w:marLeft w:val="0"/>
          <w:marRight w:val="1"/>
          <w:marTop w:val="0"/>
          <w:marBottom w:val="0"/>
          <w:divBdr>
            <w:top w:val="none" w:sz="0" w:space="0" w:color="auto"/>
            <w:left w:val="none" w:sz="0" w:space="0" w:color="auto"/>
            <w:bottom w:val="none" w:sz="0" w:space="0" w:color="auto"/>
            <w:right w:val="none" w:sz="0" w:space="0" w:color="auto"/>
          </w:divBdr>
          <w:divsChild>
            <w:div w:id="141504520">
              <w:marLeft w:val="0"/>
              <w:marRight w:val="0"/>
              <w:marTop w:val="0"/>
              <w:marBottom w:val="0"/>
              <w:divBdr>
                <w:top w:val="none" w:sz="0" w:space="0" w:color="auto"/>
                <w:left w:val="none" w:sz="0" w:space="0" w:color="auto"/>
                <w:bottom w:val="none" w:sz="0" w:space="0" w:color="auto"/>
                <w:right w:val="none" w:sz="0" w:space="0" w:color="auto"/>
              </w:divBdr>
              <w:divsChild>
                <w:div w:id="141504722">
                  <w:marLeft w:val="0"/>
                  <w:marRight w:val="1"/>
                  <w:marTop w:val="0"/>
                  <w:marBottom w:val="0"/>
                  <w:divBdr>
                    <w:top w:val="none" w:sz="0" w:space="0" w:color="auto"/>
                    <w:left w:val="none" w:sz="0" w:space="0" w:color="auto"/>
                    <w:bottom w:val="none" w:sz="0" w:space="0" w:color="auto"/>
                    <w:right w:val="none" w:sz="0" w:space="0" w:color="auto"/>
                  </w:divBdr>
                  <w:divsChild>
                    <w:div w:id="141504535">
                      <w:marLeft w:val="0"/>
                      <w:marRight w:val="0"/>
                      <w:marTop w:val="0"/>
                      <w:marBottom w:val="0"/>
                      <w:divBdr>
                        <w:top w:val="none" w:sz="0" w:space="0" w:color="auto"/>
                        <w:left w:val="none" w:sz="0" w:space="0" w:color="auto"/>
                        <w:bottom w:val="none" w:sz="0" w:space="0" w:color="auto"/>
                        <w:right w:val="none" w:sz="0" w:space="0" w:color="auto"/>
                      </w:divBdr>
                      <w:divsChild>
                        <w:div w:id="141504497">
                          <w:marLeft w:val="0"/>
                          <w:marRight w:val="0"/>
                          <w:marTop w:val="0"/>
                          <w:marBottom w:val="0"/>
                          <w:divBdr>
                            <w:top w:val="none" w:sz="0" w:space="0" w:color="auto"/>
                            <w:left w:val="none" w:sz="0" w:space="0" w:color="auto"/>
                            <w:bottom w:val="none" w:sz="0" w:space="0" w:color="auto"/>
                            <w:right w:val="none" w:sz="0" w:space="0" w:color="auto"/>
                          </w:divBdr>
                          <w:divsChild>
                            <w:div w:id="141504709">
                              <w:marLeft w:val="0"/>
                              <w:marRight w:val="0"/>
                              <w:marTop w:val="120"/>
                              <w:marBottom w:val="360"/>
                              <w:divBdr>
                                <w:top w:val="none" w:sz="0" w:space="0" w:color="auto"/>
                                <w:left w:val="none" w:sz="0" w:space="0" w:color="auto"/>
                                <w:bottom w:val="none" w:sz="0" w:space="0" w:color="auto"/>
                                <w:right w:val="none" w:sz="0" w:space="0" w:color="auto"/>
                              </w:divBdr>
                              <w:divsChild>
                                <w:div w:id="141504724">
                                  <w:marLeft w:val="0"/>
                                  <w:marRight w:val="0"/>
                                  <w:marTop w:val="0"/>
                                  <w:marBottom w:val="0"/>
                                  <w:divBdr>
                                    <w:top w:val="none" w:sz="0" w:space="0" w:color="auto"/>
                                    <w:left w:val="none" w:sz="0" w:space="0" w:color="auto"/>
                                    <w:bottom w:val="none" w:sz="0" w:space="0" w:color="auto"/>
                                    <w:right w:val="none" w:sz="0" w:space="0" w:color="auto"/>
                                  </w:divBdr>
                                  <w:divsChild>
                                    <w:div w:id="1415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351">
      <w:marLeft w:val="0"/>
      <w:marRight w:val="0"/>
      <w:marTop w:val="0"/>
      <w:marBottom w:val="0"/>
      <w:divBdr>
        <w:top w:val="none" w:sz="0" w:space="0" w:color="auto"/>
        <w:left w:val="none" w:sz="0" w:space="0" w:color="auto"/>
        <w:bottom w:val="none" w:sz="0" w:space="0" w:color="auto"/>
        <w:right w:val="none" w:sz="0" w:space="0" w:color="auto"/>
      </w:divBdr>
      <w:divsChild>
        <w:div w:id="141504605">
          <w:marLeft w:val="0"/>
          <w:marRight w:val="1"/>
          <w:marTop w:val="0"/>
          <w:marBottom w:val="0"/>
          <w:divBdr>
            <w:top w:val="none" w:sz="0" w:space="0" w:color="auto"/>
            <w:left w:val="none" w:sz="0" w:space="0" w:color="auto"/>
            <w:bottom w:val="none" w:sz="0" w:space="0" w:color="auto"/>
            <w:right w:val="none" w:sz="0" w:space="0" w:color="auto"/>
          </w:divBdr>
          <w:divsChild>
            <w:div w:id="141504510">
              <w:marLeft w:val="0"/>
              <w:marRight w:val="0"/>
              <w:marTop w:val="0"/>
              <w:marBottom w:val="0"/>
              <w:divBdr>
                <w:top w:val="none" w:sz="0" w:space="0" w:color="auto"/>
                <w:left w:val="none" w:sz="0" w:space="0" w:color="auto"/>
                <w:bottom w:val="none" w:sz="0" w:space="0" w:color="auto"/>
                <w:right w:val="none" w:sz="0" w:space="0" w:color="auto"/>
              </w:divBdr>
              <w:divsChild>
                <w:div w:id="141504703">
                  <w:marLeft w:val="0"/>
                  <w:marRight w:val="1"/>
                  <w:marTop w:val="0"/>
                  <w:marBottom w:val="0"/>
                  <w:divBdr>
                    <w:top w:val="none" w:sz="0" w:space="0" w:color="auto"/>
                    <w:left w:val="none" w:sz="0" w:space="0" w:color="auto"/>
                    <w:bottom w:val="none" w:sz="0" w:space="0" w:color="auto"/>
                    <w:right w:val="none" w:sz="0" w:space="0" w:color="auto"/>
                  </w:divBdr>
                  <w:divsChild>
                    <w:div w:id="141504424">
                      <w:marLeft w:val="0"/>
                      <w:marRight w:val="0"/>
                      <w:marTop w:val="0"/>
                      <w:marBottom w:val="0"/>
                      <w:divBdr>
                        <w:top w:val="none" w:sz="0" w:space="0" w:color="auto"/>
                        <w:left w:val="none" w:sz="0" w:space="0" w:color="auto"/>
                        <w:bottom w:val="none" w:sz="0" w:space="0" w:color="auto"/>
                        <w:right w:val="none" w:sz="0" w:space="0" w:color="auto"/>
                      </w:divBdr>
                      <w:divsChild>
                        <w:div w:id="141504568">
                          <w:marLeft w:val="0"/>
                          <w:marRight w:val="0"/>
                          <w:marTop w:val="0"/>
                          <w:marBottom w:val="0"/>
                          <w:divBdr>
                            <w:top w:val="none" w:sz="0" w:space="0" w:color="auto"/>
                            <w:left w:val="none" w:sz="0" w:space="0" w:color="auto"/>
                            <w:bottom w:val="none" w:sz="0" w:space="0" w:color="auto"/>
                            <w:right w:val="none" w:sz="0" w:space="0" w:color="auto"/>
                          </w:divBdr>
                          <w:divsChild>
                            <w:div w:id="141504457">
                              <w:marLeft w:val="0"/>
                              <w:marRight w:val="0"/>
                              <w:marTop w:val="120"/>
                              <w:marBottom w:val="360"/>
                              <w:divBdr>
                                <w:top w:val="none" w:sz="0" w:space="0" w:color="auto"/>
                                <w:left w:val="none" w:sz="0" w:space="0" w:color="auto"/>
                                <w:bottom w:val="none" w:sz="0" w:space="0" w:color="auto"/>
                                <w:right w:val="none" w:sz="0" w:space="0" w:color="auto"/>
                              </w:divBdr>
                              <w:divsChild>
                                <w:div w:id="141504415">
                                  <w:marLeft w:val="0"/>
                                  <w:marRight w:val="0"/>
                                  <w:marTop w:val="0"/>
                                  <w:marBottom w:val="0"/>
                                  <w:divBdr>
                                    <w:top w:val="none" w:sz="0" w:space="0" w:color="auto"/>
                                    <w:left w:val="none" w:sz="0" w:space="0" w:color="auto"/>
                                    <w:bottom w:val="none" w:sz="0" w:space="0" w:color="auto"/>
                                    <w:right w:val="none" w:sz="0" w:space="0" w:color="auto"/>
                                  </w:divBdr>
                                  <w:divsChild>
                                    <w:div w:id="1415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352">
      <w:marLeft w:val="0"/>
      <w:marRight w:val="0"/>
      <w:marTop w:val="0"/>
      <w:marBottom w:val="0"/>
      <w:divBdr>
        <w:top w:val="none" w:sz="0" w:space="0" w:color="auto"/>
        <w:left w:val="none" w:sz="0" w:space="0" w:color="auto"/>
        <w:bottom w:val="none" w:sz="0" w:space="0" w:color="auto"/>
        <w:right w:val="none" w:sz="0" w:space="0" w:color="auto"/>
      </w:divBdr>
    </w:div>
    <w:div w:id="141504368">
      <w:marLeft w:val="0"/>
      <w:marRight w:val="0"/>
      <w:marTop w:val="0"/>
      <w:marBottom w:val="0"/>
      <w:divBdr>
        <w:top w:val="none" w:sz="0" w:space="0" w:color="auto"/>
        <w:left w:val="none" w:sz="0" w:space="0" w:color="auto"/>
        <w:bottom w:val="none" w:sz="0" w:space="0" w:color="auto"/>
        <w:right w:val="none" w:sz="0" w:space="0" w:color="auto"/>
      </w:divBdr>
      <w:divsChild>
        <w:div w:id="141504770">
          <w:marLeft w:val="0"/>
          <w:marRight w:val="1"/>
          <w:marTop w:val="0"/>
          <w:marBottom w:val="0"/>
          <w:divBdr>
            <w:top w:val="none" w:sz="0" w:space="0" w:color="auto"/>
            <w:left w:val="none" w:sz="0" w:space="0" w:color="auto"/>
            <w:bottom w:val="none" w:sz="0" w:space="0" w:color="auto"/>
            <w:right w:val="none" w:sz="0" w:space="0" w:color="auto"/>
          </w:divBdr>
          <w:divsChild>
            <w:div w:id="141504505">
              <w:marLeft w:val="0"/>
              <w:marRight w:val="0"/>
              <w:marTop w:val="0"/>
              <w:marBottom w:val="0"/>
              <w:divBdr>
                <w:top w:val="none" w:sz="0" w:space="0" w:color="auto"/>
                <w:left w:val="none" w:sz="0" w:space="0" w:color="auto"/>
                <w:bottom w:val="none" w:sz="0" w:space="0" w:color="auto"/>
                <w:right w:val="none" w:sz="0" w:space="0" w:color="auto"/>
              </w:divBdr>
              <w:divsChild>
                <w:div w:id="141504518">
                  <w:marLeft w:val="0"/>
                  <w:marRight w:val="1"/>
                  <w:marTop w:val="0"/>
                  <w:marBottom w:val="0"/>
                  <w:divBdr>
                    <w:top w:val="none" w:sz="0" w:space="0" w:color="auto"/>
                    <w:left w:val="none" w:sz="0" w:space="0" w:color="auto"/>
                    <w:bottom w:val="none" w:sz="0" w:space="0" w:color="auto"/>
                    <w:right w:val="none" w:sz="0" w:space="0" w:color="auto"/>
                  </w:divBdr>
                  <w:divsChild>
                    <w:div w:id="141504784">
                      <w:marLeft w:val="0"/>
                      <w:marRight w:val="0"/>
                      <w:marTop w:val="0"/>
                      <w:marBottom w:val="0"/>
                      <w:divBdr>
                        <w:top w:val="none" w:sz="0" w:space="0" w:color="auto"/>
                        <w:left w:val="none" w:sz="0" w:space="0" w:color="auto"/>
                        <w:bottom w:val="none" w:sz="0" w:space="0" w:color="auto"/>
                        <w:right w:val="none" w:sz="0" w:space="0" w:color="auto"/>
                      </w:divBdr>
                      <w:divsChild>
                        <w:div w:id="141504788">
                          <w:marLeft w:val="0"/>
                          <w:marRight w:val="0"/>
                          <w:marTop w:val="0"/>
                          <w:marBottom w:val="0"/>
                          <w:divBdr>
                            <w:top w:val="none" w:sz="0" w:space="0" w:color="auto"/>
                            <w:left w:val="none" w:sz="0" w:space="0" w:color="auto"/>
                            <w:bottom w:val="none" w:sz="0" w:space="0" w:color="auto"/>
                            <w:right w:val="none" w:sz="0" w:space="0" w:color="auto"/>
                          </w:divBdr>
                          <w:divsChild>
                            <w:div w:id="141504625">
                              <w:marLeft w:val="0"/>
                              <w:marRight w:val="0"/>
                              <w:marTop w:val="120"/>
                              <w:marBottom w:val="360"/>
                              <w:divBdr>
                                <w:top w:val="none" w:sz="0" w:space="0" w:color="auto"/>
                                <w:left w:val="none" w:sz="0" w:space="0" w:color="auto"/>
                                <w:bottom w:val="none" w:sz="0" w:space="0" w:color="auto"/>
                                <w:right w:val="none" w:sz="0" w:space="0" w:color="auto"/>
                              </w:divBdr>
                              <w:divsChild>
                                <w:div w:id="141504486">
                                  <w:marLeft w:val="0"/>
                                  <w:marRight w:val="0"/>
                                  <w:marTop w:val="0"/>
                                  <w:marBottom w:val="0"/>
                                  <w:divBdr>
                                    <w:top w:val="none" w:sz="0" w:space="0" w:color="auto"/>
                                    <w:left w:val="none" w:sz="0" w:space="0" w:color="auto"/>
                                    <w:bottom w:val="none" w:sz="0" w:space="0" w:color="auto"/>
                                    <w:right w:val="none" w:sz="0" w:space="0" w:color="auto"/>
                                  </w:divBdr>
                                  <w:divsChild>
                                    <w:div w:id="141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369">
      <w:marLeft w:val="0"/>
      <w:marRight w:val="0"/>
      <w:marTop w:val="0"/>
      <w:marBottom w:val="0"/>
      <w:divBdr>
        <w:top w:val="none" w:sz="0" w:space="0" w:color="auto"/>
        <w:left w:val="none" w:sz="0" w:space="0" w:color="auto"/>
        <w:bottom w:val="none" w:sz="0" w:space="0" w:color="auto"/>
        <w:right w:val="none" w:sz="0" w:space="0" w:color="auto"/>
      </w:divBdr>
      <w:divsChild>
        <w:div w:id="141504780">
          <w:marLeft w:val="0"/>
          <w:marRight w:val="1"/>
          <w:marTop w:val="0"/>
          <w:marBottom w:val="0"/>
          <w:divBdr>
            <w:top w:val="none" w:sz="0" w:space="0" w:color="auto"/>
            <w:left w:val="none" w:sz="0" w:space="0" w:color="auto"/>
            <w:bottom w:val="none" w:sz="0" w:space="0" w:color="auto"/>
            <w:right w:val="none" w:sz="0" w:space="0" w:color="auto"/>
          </w:divBdr>
          <w:divsChild>
            <w:div w:id="141504366">
              <w:marLeft w:val="0"/>
              <w:marRight w:val="0"/>
              <w:marTop w:val="0"/>
              <w:marBottom w:val="0"/>
              <w:divBdr>
                <w:top w:val="none" w:sz="0" w:space="0" w:color="auto"/>
                <w:left w:val="none" w:sz="0" w:space="0" w:color="auto"/>
                <w:bottom w:val="none" w:sz="0" w:space="0" w:color="auto"/>
                <w:right w:val="none" w:sz="0" w:space="0" w:color="auto"/>
              </w:divBdr>
              <w:divsChild>
                <w:div w:id="141504691">
                  <w:marLeft w:val="0"/>
                  <w:marRight w:val="1"/>
                  <w:marTop w:val="0"/>
                  <w:marBottom w:val="0"/>
                  <w:divBdr>
                    <w:top w:val="none" w:sz="0" w:space="0" w:color="auto"/>
                    <w:left w:val="none" w:sz="0" w:space="0" w:color="auto"/>
                    <w:bottom w:val="none" w:sz="0" w:space="0" w:color="auto"/>
                    <w:right w:val="none" w:sz="0" w:space="0" w:color="auto"/>
                  </w:divBdr>
                  <w:divsChild>
                    <w:div w:id="141504500">
                      <w:marLeft w:val="0"/>
                      <w:marRight w:val="0"/>
                      <w:marTop w:val="0"/>
                      <w:marBottom w:val="0"/>
                      <w:divBdr>
                        <w:top w:val="none" w:sz="0" w:space="0" w:color="auto"/>
                        <w:left w:val="none" w:sz="0" w:space="0" w:color="auto"/>
                        <w:bottom w:val="none" w:sz="0" w:space="0" w:color="auto"/>
                        <w:right w:val="none" w:sz="0" w:space="0" w:color="auto"/>
                      </w:divBdr>
                      <w:divsChild>
                        <w:div w:id="141504455">
                          <w:marLeft w:val="0"/>
                          <w:marRight w:val="0"/>
                          <w:marTop w:val="0"/>
                          <w:marBottom w:val="0"/>
                          <w:divBdr>
                            <w:top w:val="none" w:sz="0" w:space="0" w:color="auto"/>
                            <w:left w:val="none" w:sz="0" w:space="0" w:color="auto"/>
                            <w:bottom w:val="none" w:sz="0" w:space="0" w:color="auto"/>
                            <w:right w:val="none" w:sz="0" w:space="0" w:color="auto"/>
                          </w:divBdr>
                          <w:divsChild>
                            <w:div w:id="141504637">
                              <w:marLeft w:val="0"/>
                              <w:marRight w:val="0"/>
                              <w:marTop w:val="120"/>
                              <w:marBottom w:val="360"/>
                              <w:divBdr>
                                <w:top w:val="none" w:sz="0" w:space="0" w:color="auto"/>
                                <w:left w:val="none" w:sz="0" w:space="0" w:color="auto"/>
                                <w:bottom w:val="none" w:sz="0" w:space="0" w:color="auto"/>
                                <w:right w:val="none" w:sz="0" w:space="0" w:color="auto"/>
                              </w:divBdr>
                              <w:divsChild>
                                <w:div w:id="141504633">
                                  <w:marLeft w:val="0"/>
                                  <w:marRight w:val="0"/>
                                  <w:marTop w:val="0"/>
                                  <w:marBottom w:val="0"/>
                                  <w:divBdr>
                                    <w:top w:val="none" w:sz="0" w:space="0" w:color="auto"/>
                                    <w:left w:val="none" w:sz="0" w:space="0" w:color="auto"/>
                                    <w:bottom w:val="none" w:sz="0" w:space="0" w:color="auto"/>
                                    <w:right w:val="none" w:sz="0" w:space="0" w:color="auto"/>
                                  </w:divBdr>
                                  <w:divsChild>
                                    <w:div w:id="1415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378">
      <w:marLeft w:val="0"/>
      <w:marRight w:val="0"/>
      <w:marTop w:val="0"/>
      <w:marBottom w:val="0"/>
      <w:divBdr>
        <w:top w:val="none" w:sz="0" w:space="0" w:color="auto"/>
        <w:left w:val="none" w:sz="0" w:space="0" w:color="auto"/>
        <w:bottom w:val="none" w:sz="0" w:space="0" w:color="auto"/>
        <w:right w:val="none" w:sz="0" w:space="0" w:color="auto"/>
      </w:divBdr>
      <w:divsChild>
        <w:div w:id="141504536">
          <w:marLeft w:val="0"/>
          <w:marRight w:val="1"/>
          <w:marTop w:val="0"/>
          <w:marBottom w:val="0"/>
          <w:divBdr>
            <w:top w:val="none" w:sz="0" w:space="0" w:color="auto"/>
            <w:left w:val="none" w:sz="0" w:space="0" w:color="auto"/>
            <w:bottom w:val="none" w:sz="0" w:space="0" w:color="auto"/>
            <w:right w:val="none" w:sz="0" w:space="0" w:color="auto"/>
          </w:divBdr>
          <w:divsChild>
            <w:div w:id="141504668">
              <w:marLeft w:val="0"/>
              <w:marRight w:val="0"/>
              <w:marTop w:val="0"/>
              <w:marBottom w:val="0"/>
              <w:divBdr>
                <w:top w:val="none" w:sz="0" w:space="0" w:color="auto"/>
                <w:left w:val="none" w:sz="0" w:space="0" w:color="auto"/>
                <w:bottom w:val="none" w:sz="0" w:space="0" w:color="auto"/>
                <w:right w:val="none" w:sz="0" w:space="0" w:color="auto"/>
              </w:divBdr>
              <w:divsChild>
                <w:div w:id="141504439">
                  <w:marLeft w:val="0"/>
                  <w:marRight w:val="1"/>
                  <w:marTop w:val="0"/>
                  <w:marBottom w:val="0"/>
                  <w:divBdr>
                    <w:top w:val="none" w:sz="0" w:space="0" w:color="auto"/>
                    <w:left w:val="none" w:sz="0" w:space="0" w:color="auto"/>
                    <w:bottom w:val="none" w:sz="0" w:space="0" w:color="auto"/>
                    <w:right w:val="none" w:sz="0" w:space="0" w:color="auto"/>
                  </w:divBdr>
                  <w:divsChild>
                    <w:div w:id="141504689">
                      <w:marLeft w:val="0"/>
                      <w:marRight w:val="0"/>
                      <w:marTop w:val="0"/>
                      <w:marBottom w:val="0"/>
                      <w:divBdr>
                        <w:top w:val="none" w:sz="0" w:space="0" w:color="auto"/>
                        <w:left w:val="none" w:sz="0" w:space="0" w:color="auto"/>
                        <w:bottom w:val="none" w:sz="0" w:space="0" w:color="auto"/>
                        <w:right w:val="none" w:sz="0" w:space="0" w:color="auto"/>
                      </w:divBdr>
                      <w:divsChild>
                        <w:div w:id="141504407">
                          <w:marLeft w:val="0"/>
                          <w:marRight w:val="0"/>
                          <w:marTop w:val="0"/>
                          <w:marBottom w:val="0"/>
                          <w:divBdr>
                            <w:top w:val="none" w:sz="0" w:space="0" w:color="auto"/>
                            <w:left w:val="none" w:sz="0" w:space="0" w:color="auto"/>
                            <w:bottom w:val="none" w:sz="0" w:space="0" w:color="auto"/>
                            <w:right w:val="none" w:sz="0" w:space="0" w:color="auto"/>
                          </w:divBdr>
                          <w:divsChild>
                            <w:div w:id="141504454">
                              <w:marLeft w:val="0"/>
                              <w:marRight w:val="0"/>
                              <w:marTop w:val="120"/>
                              <w:marBottom w:val="360"/>
                              <w:divBdr>
                                <w:top w:val="none" w:sz="0" w:space="0" w:color="auto"/>
                                <w:left w:val="none" w:sz="0" w:space="0" w:color="auto"/>
                                <w:bottom w:val="none" w:sz="0" w:space="0" w:color="auto"/>
                                <w:right w:val="none" w:sz="0" w:space="0" w:color="auto"/>
                              </w:divBdr>
                              <w:divsChild>
                                <w:div w:id="141504537">
                                  <w:marLeft w:val="0"/>
                                  <w:marRight w:val="0"/>
                                  <w:marTop w:val="0"/>
                                  <w:marBottom w:val="0"/>
                                  <w:divBdr>
                                    <w:top w:val="none" w:sz="0" w:space="0" w:color="auto"/>
                                    <w:left w:val="none" w:sz="0" w:space="0" w:color="auto"/>
                                    <w:bottom w:val="none" w:sz="0" w:space="0" w:color="auto"/>
                                    <w:right w:val="none" w:sz="0" w:space="0" w:color="auto"/>
                                  </w:divBdr>
                                  <w:divsChild>
                                    <w:div w:id="1415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384">
      <w:marLeft w:val="0"/>
      <w:marRight w:val="0"/>
      <w:marTop w:val="0"/>
      <w:marBottom w:val="0"/>
      <w:divBdr>
        <w:top w:val="none" w:sz="0" w:space="0" w:color="auto"/>
        <w:left w:val="none" w:sz="0" w:space="0" w:color="auto"/>
        <w:bottom w:val="none" w:sz="0" w:space="0" w:color="auto"/>
        <w:right w:val="none" w:sz="0" w:space="0" w:color="auto"/>
      </w:divBdr>
    </w:div>
    <w:div w:id="141504396">
      <w:marLeft w:val="0"/>
      <w:marRight w:val="0"/>
      <w:marTop w:val="0"/>
      <w:marBottom w:val="0"/>
      <w:divBdr>
        <w:top w:val="none" w:sz="0" w:space="0" w:color="auto"/>
        <w:left w:val="none" w:sz="0" w:space="0" w:color="auto"/>
        <w:bottom w:val="none" w:sz="0" w:space="0" w:color="auto"/>
        <w:right w:val="none" w:sz="0" w:space="0" w:color="auto"/>
      </w:divBdr>
      <w:divsChild>
        <w:div w:id="141504674">
          <w:marLeft w:val="0"/>
          <w:marRight w:val="1"/>
          <w:marTop w:val="0"/>
          <w:marBottom w:val="0"/>
          <w:divBdr>
            <w:top w:val="none" w:sz="0" w:space="0" w:color="auto"/>
            <w:left w:val="none" w:sz="0" w:space="0" w:color="auto"/>
            <w:bottom w:val="none" w:sz="0" w:space="0" w:color="auto"/>
            <w:right w:val="none" w:sz="0" w:space="0" w:color="auto"/>
          </w:divBdr>
          <w:divsChild>
            <w:div w:id="141504657">
              <w:marLeft w:val="0"/>
              <w:marRight w:val="0"/>
              <w:marTop w:val="0"/>
              <w:marBottom w:val="0"/>
              <w:divBdr>
                <w:top w:val="none" w:sz="0" w:space="0" w:color="auto"/>
                <w:left w:val="none" w:sz="0" w:space="0" w:color="auto"/>
                <w:bottom w:val="none" w:sz="0" w:space="0" w:color="auto"/>
                <w:right w:val="none" w:sz="0" w:space="0" w:color="auto"/>
              </w:divBdr>
              <w:divsChild>
                <w:div w:id="141504783">
                  <w:marLeft w:val="0"/>
                  <w:marRight w:val="1"/>
                  <w:marTop w:val="0"/>
                  <w:marBottom w:val="0"/>
                  <w:divBdr>
                    <w:top w:val="none" w:sz="0" w:space="0" w:color="auto"/>
                    <w:left w:val="none" w:sz="0" w:space="0" w:color="auto"/>
                    <w:bottom w:val="none" w:sz="0" w:space="0" w:color="auto"/>
                    <w:right w:val="none" w:sz="0" w:space="0" w:color="auto"/>
                  </w:divBdr>
                  <w:divsChild>
                    <w:div w:id="141504360">
                      <w:marLeft w:val="0"/>
                      <w:marRight w:val="0"/>
                      <w:marTop w:val="0"/>
                      <w:marBottom w:val="0"/>
                      <w:divBdr>
                        <w:top w:val="none" w:sz="0" w:space="0" w:color="auto"/>
                        <w:left w:val="none" w:sz="0" w:space="0" w:color="auto"/>
                        <w:bottom w:val="none" w:sz="0" w:space="0" w:color="auto"/>
                        <w:right w:val="none" w:sz="0" w:space="0" w:color="auto"/>
                      </w:divBdr>
                      <w:divsChild>
                        <w:div w:id="141504459">
                          <w:marLeft w:val="0"/>
                          <w:marRight w:val="0"/>
                          <w:marTop w:val="0"/>
                          <w:marBottom w:val="0"/>
                          <w:divBdr>
                            <w:top w:val="none" w:sz="0" w:space="0" w:color="auto"/>
                            <w:left w:val="none" w:sz="0" w:space="0" w:color="auto"/>
                            <w:bottom w:val="none" w:sz="0" w:space="0" w:color="auto"/>
                            <w:right w:val="none" w:sz="0" w:space="0" w:color="auto"/>
                          </w:divBdr>
                          <w:divsChild>
                            <w:div w:id="141504575">
                              <w:marLeft w:val="0"/>
                              <w:marRight w:val="0"/>
                              <w:marTop w:val="120"/>
                              <w:marBottom w:val="360"/>
                              <w:divBdr>
                                <w:top w:val="none" w:sz="0" w:space="0" w:color="auto"/>
                                <w:left w:val="none" w:sz="0" w:space="0" w:color="auto"/>
                                <w:bottom w:val="none" w:sz="0" w:space="0" w:color="auto"/>
                                <w:right w:val="none" w:sz="0" w:space="0" w:color="auto"/>
                              </w:divBdr>
                              <w:divsChild>
                                <w:div w:id="141504616">
                                  <w:marLeft w:val="0"/>
                                  <w:marRight w:val="0"/>
                                  <w:marTop w:val="0"/>
                                  <w:marBottom w:val="0"/>
                                  <w:divBdr>
                                    <w:top w:val="none" w:sz="0" w:space="0" w:color="auto"/>
                                    <w:left w:val="none" w:sz="0" w:space="0" w:color="auto"/>
                                    <w:bottom w:val="none" w:sz="0" w:space="0" w:color="auto"/>
                                    <w:right w:val="none" w:sz="0" w:space="0" w:color="auto"/>
                                  </w:divBdr>
                                  <w:divsChild>
                                    <w:div w:id="141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02">
      <w:marLeft w:val="0"/>
      <w:marRight w:val="0"/>
      <w:marTop w:val="0"/>
      <w:marBottom w:val="0"/>
      <w:divBdr>
        <w:top w:val="none" w:sz="0" w:space="0" w:color="auto"/>
        <w:left w:val="none" w:sz="0" w:space="0" w:color="auto"/>
        <w:bottom w:val="none" w:sz="0" w:space="0" w:color="auto"/>
        <w:right w:val="none" w:sz="0" w:space="0" w:color="auto"/>
      </w:divBdr>
    </w:div>
    <w:div w:id="141504403">
      <w:marLeft w:val="0"/>
      <w:marRight w:val="0"/>
      <w:marTop w:val="0"/>
      <w:marBottom w:val="0"/>
      <w:divBdr>
        <w:top w:val="none" w:sz="0" w:space="0" w:color="auto"/>
        <w:left w:val="none" w:sz="0" w:space="0" w:color="auto"/>
        <w:bottom w:val="none" w:sz="0" w:space="0" w:color="auto"/>
        <w:right w:val="none" w:sz="0" w:space="0" w:color="auto"/>
      </w:divBdr>
      <w:divsChild>
        <w:div w:id="141504499">
          <w:marLeft w:val="0"/>
          <w:marRight w:val="1"/>
          <w:marTop w:val="0"/>
          <w:marBottom w:val="0"/>
          <w:divBdr>
            <w:top w:val="none" w:sz="0" w:space="0" w:color="auto"/>
            <w:left w:val="none" w:sz="0" w:space="0" w:color="auto"/>
            <w:bottom w:val="none" w:sz="0" w:space="0" w:color="auto"/>
            <w:right w:val="none" w:sz="0" w:space="0" w:color="auto"/>
          </w:divBdr>
          <w:divsChild>
            <w:div w:id="141504428">
              <w:marLeft w:val="0"/>
              <w:marRight w:val="0"/>
              <w:marTop w:val="0"/>
              <w:marBottom w:val="0"/>
              <w:divBdr>
                <w:top w:val="none" w:sz="0" w:space="0" w:color="auto"/>
                <w:left w:val="none" w:sz="0" w:space="0" w:color="auto"/>
                <w:bottom w:val="none" w:sz="0" w:space="0" w:color="auto"/>
                <w:right w:val="none" w:sz="0" w:space="0" w:color="auto"/>
              </w:divBdr>
              <w:divsChild>
                <w:div w:id="141504711">
                  <w:marLeft w:val="0"/>
                  <w:marRight w:val="1"/>
                  <w:marTop w:val="0"/>
                  <w:marBottom w:val="0"/>
                  <w:divBdr>
                    <w:top w:val="none" w:sz="0" w:space="0" w:color="auto"/>
                    <w:left w:val="none" w:sz="0" w:space="0" w:color="auto"/>
                    <w:bottom w:val="none" w:sz="0" w:space="0" w:color="auto"/>
                    <w:right w:val="none" w:sz="0" w:space="0" w:color="auto"/>
                  </w:divBdr>
                  <w:divsChild>
                    <w:div w:id="141504380">
                      <w:marLeft w:val="0"/>
                      <w:marRight w:val="0"/>
                      <w:marTop w:val="0"/>
                      <w:marBottom w:val="0"/>
                      <w:divBdr>
                        <w:top w:val="none" w:sz="0" w:space="0" w:color="auto"/>
                        <w:left w:val="none" w:sz="0" w:space="0" w:color="auto"/>
                        <w:bottom w:val="none" w:sz="0" w:space="0" w:color="auto"/>
                        <w:right w:val="none" w:sz="0" w:space="0" w:color="auto"/>
                      </w:divBdr>
                      <w:divsChild>
                        <w:div w:id="141504447">
                          <w:marLeft w:val="0"/>
                          <w:marRight w:val="0"/>
                          <w:marTop w:val="0"/>
                          <w:marBottom w:val="0"/>
                          <w:divBdr>
                            <w:top w:val="none" w:sz="0" w:space="0" w:color="auto"/>
                            <w:left w:val="none" w:sz="0" w:space="0" w:color="auto"/>
                            <w:bottom w:val="none" w:sz="0" w:space="0" w:color="auto"/>
                            <w:right w:val="none" w:sz="0" w:space="0" w:color="auto"/>
                          </w:divBdr>
                          <w:divsChild>
                            <w:div w:id="141504482">
                              <w:marLeft w:val="0"/>
                              <w:marRight w:val="0"/>
                              <w:marTop w:val="120"/>
                              <w:marBottom w:val="360"/>
                              <w:divBdr>
                                <w:top w:val="none" w:sz="0" w:space="0" w:color="auto"/>
                                <w:left w:val="none" w:sz="0" w:space="0" w:color="auto"/>
                                <w:bottom w:val="none" w:sz="0" w:space="0" w:color="auto"/>
                                <w:right w:val="none" w:sz="0" w:space="0" w:color="auto"/>
                              </w:divBdr>
                              <w:divsChild>
                                <w:div w:id="141504698">
                                  <w:marLeft w:val="0"/>
                                  <w:marRight w:val="0"/>
                                  <w:marTop w:val="0"/>
                                  <w:marBottom w:val="0"/>
                                  <w:divBdr>
                                    <w:top w:val="none" w:sz="0" w:space="0" w:color="auto"/>
                                    <w:left w:val="none" w:sz="0" w:space="0" w:color="auto"/>
                                    <w:bottom w:val="none" w:sz="0" w:space="0" w:color="auto"/>
                                    <w:right w:val="none" w:sz="0" w:space="0" w:color="auto"/>
                                  </w:divBdr>
                                  <w:divsChild>
                                    <w:div w:id="14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14">
      <w:marLeft w:val="0"/>
      <w:marRight w:val="0"/>
      <w:marTop w:val="0"/>
      <w:marBottom w:val="0"/>
      <w:divBdr>
        <w:top w:val="none" w:sz="0" w:space="0" w:color="auto"/>
        <w:left w:val="none" w:sz="0" w:space="0" w:color="auto"/>
        <w:bottom w:val="none" w:sz="0" w:space="0" w:color="auto"/>
        <w:right w:val="none" w:sz="0" w:space="0" w:color="auto"/>
      </w:divBdr>
      <w:divsChild>
        <w:div w:id="141504532">
          <w:marLeft w:val="0"/>
          <w:marRight w:val="1"/>
          <w:marTop w:val="0"/>
          <w:marBottom w:val="0"/>
          <w:divBdr>
            <w:top w:val="none" w:sz="0" w:space="0" w:color="auto"/>
            <w:left w:val="none" w:sz="0" w:space="0" w:color="auto"/>
            <w:bottom w:val="none" w:sz="0" w:space="0" w:color="auto"/>
            <w:right w:val="none" w:sz="0" w:space="0" w:color="auto"/>
          </w:divBdr>
          <w:divsChild>
            <w:div w:id="141504438">
              <w:marLeft w:val="0"/>
              <w:marRight w:val="0"/>
              <w:marTop w:val="0"/>
              <w:marBottom w:val="0"/>
              <w:divBdr>
                <w:top w:val="none" w:sz="0" w:space="0" w:color="auto"/>
                <w:left w:val="none" w:sz="0" w:space="0" w:color="auto"/>
                <w:bottom w:val="none" w:sz="0" w:space="0" w:color="auto"/>
                <w:right w:val="none" w:sz="0" w:space="0" w:color="auto"/>
              </w:divBdr>
              <w:divsChild>
                <w:div w:id="141504502">
                  <w:marLeft w:val="0"/>
                  <w:marRight w:val="1"/>
                  <w:marTop w:val="0"/>
                  <w:marBottom w:val="0"/>
                  <w:divBdr>
                    <w:top w:val="none" w:sz="0" w:space="0" w:color="auto"/>
                    <w:left w:val="none" w:sz="0" w:space="0" w:color="auto"/>
                    <w:bottom w:val="none" w:sz="0" w:space="0" w:color="auto"/>
                    <w:right w:val="none" w:sz="0" w:space="0" w:color="auto"/>
                  </w:divBdr>
                  <w:divsChild>
                    <w:div w:id="141504772">
                      <w:marLeft w:val="0"/>
                      <w:marRight w:val="0"/>
                      <w:marTop w:val="0"/>
                      <w:marBottom w:val="0"/>
                      <w:divBdr>
                        <w:top w:val="none" w:sz="0" w:space="0" w:color="auto"/>
                        <w:left w:val="none" w:sz="0" w:space="0" w:color="auto"/>
                        <w:bottom w:val="none" w:sz="0" w:space="0" w:color="auto"/>
                        <w:right w:val="none" w:sz="0" w:space="0" w:color="auto"/>
                      </w:divBdr>
                      <w:divsChild>
                        <w:div w:id="141504662">
                          <w:marLeft w:val="0"/>
                          <w:marRight w:val="0"/>
                          <w:marTop w:val="0"/>
                          <w:marBottom w:val="0"/>
                          <w:divBdr>
                            <w:top w:val="none" w:sz="0" w:space="0" w:color="auto"/>
                            <w:left w:val="none" w:sz="0" w:space="0" w:color="auto"/>
                            <w:bottom w:val="none" w:sz="0" w:space="0" w:color="auto"/>
                            <w:right w:val="none" w:sz="0" w:space="0" w:color="auto"/>
                          </w:divBdr>
                          <w:divsChild>
                            <w:div w:id="141504764">
                              <w:marLeft w:val="0"/>
                              <w:marRight w:val="0"/>
                              <w:marTop w:val="120"/>
                              <w:marBottom w:val="360"/>
                              <w:divBdr>
                                <w:top w:val="none" w:sz="0" w:space="0" w:color="auto"/>
                                <w:left w:val="none" w:sz="0" w:space="0" w:color="auto"/>
                                <w:bottom w:val="none" w:sz="0" w:space="0" w:color="auto"/>
                                <w:right w:val="none" w:sz="0" w:space="0" w:color="auto"/>
                              </w:divBdr>
                              <w:divsChild>
                                <w:div w:id="141504472">
                                  <w:marLeft w:val="0"/>
                                  <w:marRight w:val="0"/>
                                  <w:marTop w:val="0"/>
                                  <w:marBottom w:val="0"/>
                                  <w:divBdr>
                                    <w:top w:val="none" w:sz="0" w:space="0" w:color="auto"/>
                                    <w:left w:val="none" w:sz="0" w:space="0" w:color="auto"/>
                                    <w:bottom w:val="none" w:sz="0" w:space="0" w:color="auto"/>
                                    <w:right w:val="none" w:sz="0" w:space="0" w:color="auto"/>
                                  </w:divBdr>
                                  <w:divsChild>
                                    <w:div w:id="1415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20">
      <w:marLeft w:val="0"/>
      <w:marRight w:val="0"/>
      <w:marTop w:val="0"/>
      <w:marBottom w:val="0"/>
      <w:divBdr>
        <w:top w:val="none" w:sz="0" w:space="0" w:color="auto"/>
        <w:left w:val="none" w:sz="0" w:space="0" w:color="auto"/>
        <w:bottom w:val="none" w:sz="0" w:space="0" w:color="auto"/>
        <w:right w:val="none" w:sz="0" w:space="0" w:color="auto"/>
      </w:divBdr>
      <w:divsChild>
        <w:div w:id="141504750">
          <w:marLeft w:val="0"/>
          <w:marRight w:val="1"/>
          <w:marTop w:val="0"/>
          <w:marBottom w:val="0"/>
          <w:divBdr>
            <w:top w:val="none" w:sz="0" w:space="0" w:color="auto"/>
            <w:left w:val="none" w:sz="0" w:space="0" w:color="auto"/>
            <w:bottom w:val="none" w:sz="0" w:space="0" w:color="auto"/>
            <w:right w:val="none" w:sz="0" w:space="0" w:color="auto"/>
          </w:divBdr>
          <w:divsChild>
            <w:div w:id="141504749">
              <w:marLeft w:val="0"/>
              <w:marRight w:val="0"/>
              <w:marTop w:val="0"/>
              <w:marBottom w:val="0"/>
              <w:divBdr>
                <w:top w:val="none" w:sz="0" w:space="0" w:color="auto"/>
                <w:left w:val="none" w:sz="0" w:space="0" w:color="auto"/>
                <w:bottom w:val="none" w:sz="0" w:space="0" w:color="auto"/>
                <w:right w:val="none" w:sz="0" w:space="0" w:color="auto"/>
              </w:divBdr>
              <w:divsChild>
                <w:div w:id="141504679">
                  <w:marLeft w:val="0"/>
                  <w:marRight w:val="1"/>
                  <w:marTop w:val="0"/>
                  <w:marBottom w:val="0"/>
                  <w:divBdr>
                    <w:top w:val="none" w:sz="0" w:space="0" w:color="auto"/>
                    <w:left w:val="none" w:sz="0" w:space="0" w:color="auto"/>
                    <w:bottom w:val="none" w:sz="0" w:space="0" w:color="auto"/>
                    <w:right w:val="none" w:sz="0" w:space="0" w:color="auto"/>
                  </w:divBdr>
                  <w:divsChild>
                    <w:div w:id="141504574">
                      <w:marLeft w:val="0"/>
                      <w:marRight w:val="0"/>
                      <w:marTop w:val="0"/>
                      <w:marBottom w:val="0"/>
                      <w:divBdr>
                        <w:top w:val="none" w:sz="0" w:space="0" w:color="auto"/>
                        <w:left w:val="none" w:sz="0" w:space="0" w:color="auto"/>
                        <w:bottom w:val="none" w:sz="0" w:space="0" w:color="auto"/>
                        <w:right w:val="none" w:sz="0" w:space="0" w:color="auto"/>
                      </w:divBdr>
                      <w:divsChild>
                        <w:div w:id="141504782">
                          <w:marLeft w:val="0"/>
                          <w:marRight w:val="0"/>
                          <w:marTop w:val="0"/>
                          <w:marBottom w:val="0"/>
                          <w:divBdr>
                            <w:top w:val="none" w:sz="0" w:space="0" w:color="auto"/>
                            <w:left w:val="none" w:sz="0" w:space="0" w:color="auto"/>
                            <w:bottom w:val="none" w:sz="0" w:space="0" w:color="auto"/>
                            <w:right w:val="none" w:sz="0" w:space="0" w:color="auto"/>
                          </w:divBdr>
                          <w:divsChild>
                            <w:div w:id="141504514">
                              <w:marLeft w:val="0"/>
                              <w:marRight w:val="0"/>
                              <w:marTop w:val="120"/>
                              <w:marBottom w:val="360"/>
                              <w:divBdr>
                                <w:top w:val="none" w:sz="0" w:space="0" w:color="auto"/>
                                <w:left w:val="none" w:sz="0" w:space="0" w:color="auto"/>
                                <w:bottom w:val="none" w:sz="0" w:space="0" w:color="auto"/>
                                <w:right w:val="none" w:sz="0" w:space="0" w:color="auto"/>
                              </w:divBdr>
                              <w:divsChild>
                                <w:div w:id="141504696">
                                  <w:marLeft w:val="0"/>
                                  <w:marRight w:val="0"/>
                                  <w:marTop w:val="0"/>
                                  <w:marBottom w:val="0"/>
                                  <w:divBdr>
                                    <w:top w:val="none" w:sz="0" w:space="0" w:color="auto"/>
                                    <w:left w:val="none" w:sz="0" w:space="0" w:color="auto"/>
                                    <w:bottom w:val="none" w:sz="0" w:space="0" w:color="auto"/>
                                    <w:right w:val="none" w:sz="0" w:space="0" w:color="auto"/>
                                  </w:divBdr>
                                  <w:divsChild>
                                    <w:div w:id="141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26">
      <w:marLeft w:val="0"/>
      <w:marRight w:val="0"/>
      <w:marTop w:val="0"/>
      <w:marBottom w:val="0"/>
      <w:divBdr>
        <w:top w:val="none" w:sz="0" w:space="0" w:color="auto"/>
        <w:left w:val="none" w:sz="0" w:space="0" w:color="auto"/>
        <w:bottom w:val="none" w:sz="0" w:space="0" w:color="auto"/>
        <w:right w:val="none" w:sz="0" w:space="0" w:color="auto"/>
      </w:divBdr>
      <w:divsChild>
        <w:div w:id="141504635">
          <w:marLeft w:val="0"/>
          <w:marRight w:val="1"/>
          <w:marTop w:val="0"/>
          <w:marBottom w:val="0"/>
          <w:divBdr>
            <w:top w:val="none" w:sz="0" w:space="0" w:color="auto"/>
            <w:left w:val="none" w:sz="0" w:space="0" w:color="auto"/>
            <w:bottom w:val="none" w:sz="0" w:space="0" w:color="auto"/>
            <w:right w:val="none" w:sz="0" w:space="0" w:color="auto"/>
          </w:divBdr>
          <w:divsChild>
            <w:div w:id="141504685">
              <w:marLeft w:val="0"/>
              <w:marRight w:val="0"/>
              <w:marTop w:val="0"/>
              <w:marBottom w:val="0"/>
              <w:divBdr>
                <w:top w:val="none" w:sz="0" w:space="0" w:color="auto"/>
                <w:left w:val="none" w:sz="0" w:space="0" w:color="auto"/>
                <w:bottom w:val="none" w:sz="0" w:space="0" w:color="auto"/>
                <w:right w:val="none" w:sz="0" w:space="0" w:color="auto"/>
              </w:divBdr>
              <w:divsChild>
                <w:div w:id="141504661">
                  <w:marLeft w:val="0"/>
                  <w:marRight w:val="1"/>
                  <w:marTop w:val="0"/>
                  <w:marBottom w:val="0"/>
                  <w:divBdr>
                    <w:top w:val="none" w:sz="0" w:space="0" w:color="auto"/>
                    <w:left w:val="none" w:sz="0" w:space="0" w:color="auto"/>
                    <w:bottom w:val="none" w:sz="0" w:space="0" w:color="auto"/>
                    <w:right w:val="none" w:sz="0" w:space="0" w:color="auto"/>
                  </w:divBdr>
                  <w:divsChild>
                    <w:div w:id="141504693">
                      <w:marLeft w:val="0"/>
                      <w:marRight w:val="0"/>
                      <w:marTop w:val="0"/>
                      <w:marBottom w:val="0"/>
                      <w:divBdr>
                        <w:top w:val="none" w:sz="0" w:space="0" w:color="auto"/>
                        <w:left w:val="none" w:sz="0" w:space="0" w:color="auto"/>
                        <w:bottom w:val="none" w:sz="0" w:space="0" w:color="auto"/>
                        <w:right w:val="none" w:sz="0" w:space="0" w:color="auto"/>
                      </w:divBdr>
                      <w:divsChild>
                        <w:div w:id="141504728">
                          <w:marLeft w:val="0"/>
                          <w:marRight w:val="0"/>
                          <w:marTop w:val="0"/>
                          <w:marBottom w:val="0"/>
                          <w:divBdr>
                            <w:top w:val="none" w:sz="0" w:space="0" w:color="auto"/>
                            <w:left w:val="none" w:sz="0" w:space="0" w:color="auto"/>
                            <w:bottom w:val="none" w:sz="0" w:space="0" w:color="auto"/>
                            <w:right w:val="none" w:sz="0" w:space="0" w:color="auto"/>
                          </w:divBdr>
                          <w:divsChild>
                            <w:div w:id="141504416">
                              <w:marLeft w:val="0"/>
                              <w:marRight w:val="0"/>
                              <w:marTop w:val="120"/>
                              <w:marBottom w:val="360"/>
                              <w:divBdr>
                                <w:top w:val="none" w:sz="0" w:space="0" w:color="auto"/>
                                <w:left w:val="none" w:sz="0" w:space="0" w:color="auto"/>
                                <w:bottom w:val="none" w:sz="0" w:space="0" w:color="auto"/>
                                <w:right w:val="none" w:sz="0" w:space="0" w:color="auto"/>
                              </w:divBdr>
                              <w:divsChild>
                                <w:div w:id="141504464">
                                  <w:marLeft w:val="0"/>
                                  <w:marRight w:val="0"/>
                                  <w:marTop w:val="0"/>
                                  <w:marBottom w:val="0"/>
                                  <w:divBdr>
                                    <w:top w:val="none" w:sz="0" w:space="0" w:color="auto"/>
                                    <w:left w:val="none" w:sz="0" w:space="0" w:color="auto"/>
                                    <w:bottom w:val="none" w:sz="0" w:space="0" w:color="auto"/>
                                    <w:right w:val="none" w:sz="0" w:space="0" w:color="auto"/>
                                  </w:divBdr>
                                  <w:divsChild>
                                    <w:div w:id="1415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33">
      <w:marLeft w:val="0"/>
      <w:marRight w:val="0"/>
      <w:marTop w:val="0"/>
      <w:marBottom w:val="0"/>
      <w:divBdr>
        <w:top w:val="none" w:sz="0" w:space="0" w:color="auto"/>
        <w:left w:val="none" w:sz="0" w:space="0" w:color="auto"/>
        <w:bottom w:val="none" w:sz="0" w:space="0" w:color="auto"/>
        <w:right w:val="none" w:sz="0" w:space="0" w:color="auto"/>
      </w:divBdr>
      <w:divsChild>
        <w:div w:id="141504779">
          <w:marLeft w:val="0"/>
          <w:marRight w:val="1"/>
          <w:marTop w:val="0"/>
          <w:marBottom w:val="0"/>
          <w:divBdr>
            <w:top w:val="none" w:sz="0" w:space="0" w:color="auto"/>
            <w:left w:val="none" w:sz="0" w:space="0" w:color="auto"/>
            <w:bottom w:val="none" w:sz="0" w:space="0" w:color="auto"/>
            <w:right w:val="none" w:sz="0" w:space="0" w:color="auto"/>
          </w:divBdr>
          <w:divsChild>
            <w:div w:id="141504377">
              <w:marLeft w:val="0"/>
              <w:marRight w:val="0"/>
              <w:marTop w:val="0"/>
              <w:marBottom w:val="0"/>
              <w:divBdr>
                <w:top w:val="none" w:sz="0" w:space="0" w:color="auto"/>
                <w:left w:val="none" w:sz="0" w:space="0" w:color="auto"/>
                <w:bottom w:val="none" w:sz="0" w:space="0" w:color="auto"/>
                <w:right w:val="none" w:sz="0" w:space="0" w:color="auto"/>
              </w:divBdr>
              <w:divsChild>
                <w:div w:id="141504376">
                  <w:marLeft w:val="0"/>
                  <w:marRight w:val="1"/>
                  <w:marTop w:val="0"/>
                  <w:marBottom w:val="0"/>
                  <w:divBdr>
                    <w:top w:val="none" w:sz="0" w:space="0" w:color="auto"/>
                    <w:left w:val="none" w:sz="0" w:space="0" w:color="auto"/>
                    <w:bottom w:val="none" w:sz="0" w:space="0" w:color="auto"/>
                    <w:right w:val="none" w:sz="0" w:space="0" w:color="auto"/>
                  </w:divBdr>
                  <w:divsChild>
                    <w:div w:id="141504683">
                      <w:marLeft w:val="0"/>
                      <w:marRight w:val="0"/>
                      <w:marTop w:val="0"/>
                      <w:marBottom w:val="0"/>
                      <w:divBdr>
                        <w:top w:val="none" w:sz="0" w:space="0" w:color="auto"/>
                        <w:left w:val="none" w:sz="0" w:space="0" w:color="auto"/>
                        <w:bottom w:val="none" w:sz="0" w:space="0" w:color="auto"/>
                        <w:right w:val="none" w:sz="0" w:space="0" w:color="auto"/>
                      </w:divBdr>
                      <w:divsChild>
                        <w:div w:id="141504719">
                          <w:marLeft w:val="0"/>
                          <w:marRight w:val="0"/>
                          <w:marTop w:val="0"/>
                          <w:marBottom w:val="0"/>
                          <w:divBdr>
                            <w:top w:val="none" w:sz="0" w:space="0" w:color="auto"/>
                            <w:left w:val="none" w:sz="0" w:space="0" w:color="auto"/>
                            <w:bottom w:val="none" w:sz="0" w:space="0" w:color="auto"/>
                            <w:right w:val="none" w:sz="0" w:space="0" w:color="auto"/>
                          </w:divBdr>
                          <w:divsChild>
                            <w:div w:id="141504650">
                              <w:marLeft w:val="0"/>
                              <w:marRight w:val="0"/>
                              <w:marTop w:val="120"/>
                              <w:marBottom w:val="360"/>
                              <w:divBdr>
                                <w:top w:val="none" w:sz="0" w:space="0" w:color="auto"/>
                                <w:left w:val="none" w:sz="0" w:space="0" w:color="auto"/>
                                <w:bottom w:val="none" w:sz="0" w:space="0" w:color="auto"/>
                                <w:right w:val="none" w:sz="0" w:space="0" w:color="auto"/>
                              </w:divBdr>
                              <w:divsChild>
                                <w:div w:id="141504375">
                                  <w:marLeft w:val="0"/>
                                  <w:marRight w:val="0"/>
                                  <w:marTop w:val="0"/>
                                  <w:marBottom w:val="0"/>
                                  <w:divBdr>
                                    <w:top w:val="none" w:sz="0" w:space="0" w:color="auto"/>
                                    <w:left w:val="none" w:sz="0" w:space="0" w:color="auto"/>
                                    <w:bottom w:val="none" w:sz="0" w:space="0" w:color="auto"/>
                                    <w:right w:val="none" w:sz="0" w:space="0" w:color="auto"/>
                                  </w:divBdr>
                                  <w:divsChild>
                                    <w:div w:id="1415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53">
      <w:marLeft w:val="0"/>
      <w:marRight w:val="0"/>
      <w:marTop w:val="0"/>
      <w:marBottom w:val="0"/>
      <w:divBdr>
        <w:top w:val="none" w:sz="0" w:space="0" w:color="auto"/>
        <w:left w:val="none" w:sz="0" w:space="0" w:color="auto"/>
        <w:bottom w:val="none" w:sz="0" w:space="0" w:color="auto"/>
        <w:right w:val="none" w:sz="0" w:space="0" w:color="auto"/>
      </w:divBdr>
      <w:divsChild>
        <w:div w:id="141504610">
          <w:marLeft w:val="0"/>
          <w:marRight w:val="1"/>
          <w:marTop w:val="0"/>
          <w:marBottom w:val="0"/>
          <w:divBdr>
            <w:top w:val="none" w:sz="0" w:space="0" w:color="auto"/>
            <w:left w:val="none" w:sz="0" w:space="0" w:color="auto"/>
            <w:bottom w:val="none" w:sz="0" w:space="0" w:color="auto"/>
            <w:right w:val="none" w:sz="0" w:space="0" w:color="auto"/>
          </w:divBdr>
          <w:divsChild>
            <w:div w:id="141504692">
              <w:marLeft w:val="0"/>
              <w:marRight w:val="0"/>
              <w:marTop w:val="0"/>
              <w:marBottom w:val="0"/>
              <w:divBdr>
                <w:top w:val="none" w:sz="0" w:space="0" w:color="auto"/>
                <w:left w:val="none" w:sz="0" w:space="0" w:color="auto"/>
                <w:bottom w:val="none" w:sz="0" w:space="0" w:color="auto"/>
                <w:right w:val="none" w:sz="0" w:space="0" w:color="auto"/>
              </w:divBdr>
              <w:divsChild>
                <w:div w:id="141504441">
                  <w:marLeft w:val="0"/>
                  <w:marRight w:val="1"/>
                  <w:marTop w:val="0"/>
                  <w:marBottom w:val="0"/>
                  <w:divBdr>
                    <w:top w:val="none" w:sz="0" w:space="0" w:color="auto"/>
                    <w:left w:val="none" w:sz="0" w:space="0" w:color="auto"/>
                    <w:bottom w:val="none" w:sz="0" w:space="0" w:color="auto"/>
                    <w:right w:val="none" w:sz="0" w:space="0" w:color="auto"/>
                  </w:divBdr>
                  <w:divsChild>
                    <w:div w:id="141504492">
                      <w:marLeft w:val="0"/>
                      <w:marRight w:val="0"/>
                      <w:marTop w:val="0"/>
                      <w:marBottom w:val="0"/>
                      <w:divBdr>
                        <w:top w:val="none" w:sz="0" w:space="0" w:color="auto"/>
                        <w:left w:val="none" w:sz="0" w:space="0" w:color="auto"/>
                        <w:bottom w:val="none" w:sz="0" w:space="0" w:color="auto"/>
                        <w:right w:val="none" w:sz="0" w:space="0" w:color="auto"/>
                      </w:divBdr>
                      <w:divsChild>
                        <w:div w:id="141504586">
                          <w:marLeft w:val="0"/>
                          <w:marRight w:val="0"/>
                          <w:marTop w:val="0"/>
                          <w:marBottom w:val="0"/>
                          <w:divBdr>
                            <w:top w:val="none" w:sz="0" w:space="0" w:color="auto"/>
                            <w:left w:val="none" w:sz="0" w:space="0" w:color="auto"/>
                            <w:bottom w:val="none" w:sz="0" w:space="0" w:color="auto"/>
                            <w:right w:val="none" w:sz="0" w:space="0" w:color="auto"/>
                          </w:divBdr>
                          <w:divsChild>
                            <w:div w:id="141504589">
                              <w:marLeft w:val="0"/>
                              <w:marRight w:val="0"/>
                              <w:marTop w:val="120"/>
                              <w:marBottom w:val="360"/>
                              <w:divBdr>
                                <w:top w:val="none" w:sz="0" w:space="0" w:color="auto"/>
                                <w:left w:val="none" w:sz="0" w:space="0" w:color="auto"/>
                                <w:bottom w:val="none" w:sz="0" w:space="0" w:color="auto"/>
                                <w:right w:val="none" w:sz="0" w:space="0" w:color="auto"/>
                              </w:divBdr>
                              <w:divsChild>
                                <w:div w:id="141504641">
                                  <w:marLeft w:val="0"/>
                                  <w:marRight w:val="0"/>
                                  <w:marTop w:val="0"/>
                                  <w:marBottom w:val="0"/>
                                  <w:divBdr>
                                    <w:top w:val="none" w:sz="0" w:space="0" w:color="auto"/>
                                    <w:left w:val="none" w:sz="0" w:space="0" w:color="auto"/>
                                    <w:bottom w:val="none" w:sz="0" w:space="0" w:color="auto"/>
                                    <w:right w:val="none" w:sz="0" w:space="0" w:color="auto"/>
                                  </w:divBdr>
                                  <w:divsChild>
                                    <w:div w:id="1415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61">
      <w:marLeft w:val="0"/>
      <w:marRight w:val="0"/>
      <w:marTop w:val="0"/>
      <w:marBottom w:val="0"/>
      <w:divBdr>
        <w:top w:val="none" w:sz="0" w:space="0" w:color="auto"/>
        <w:left w:val="none" w:sz="0" w:space="0" w:color="auto"/>
        <w:bottom w:val="none" w:sz="0" w:space="0" w:color="auto"/>
        <w:right w:val="none" w:sz="0" w:space="0" w:color="auto"/>
      </w:divBdr>
      <w:divsChild>
        <w:div w:id="141504579">
          <w:marLeft w:val="0"/>
          <w:marRight w:val="1"/>
          <w:marTop w:val="0"/>
          <w:marBottom w:val="0"/>
          <w:divBdr>
            <w:top w:val="none" w:sz="0" w:space="0" w:color="auto"/>
            <w:left w:val="none" w:sz="0" w:space="0" w:color="auto"/>
            <w:bottom w:val="none" w:sz="0" w:space="0" w:color="auto"/>
            <w:right w:val="none" w:sz="0" w:space="0" w:color="auto"/>
          </w:divBdr>
          <w:divsChild>
            <w:div w:id="141504551">
              <w:marLeft w:val="0"/>
              <w:marRight w:val="0"/>
              <w:marTop w:val="0"/>
              <w:marBottom w:val="0"/>
              <w:divBdr>
                <w:top w:val="none" w:sz="0" w:space="0" w:color="auto"/>
                <w:left w:val="none" w:sz="0" w:space="0" w:color="auto"/>
                <w:bottom w:val="none" w:sz="0" w:space="0" w:color="auto"/>
                <w:right w:val="none" w:sz="0" w:space="0" w:color="auto"/>
              </w:divBdr>
              <w:divsChild>
                <w:div w:id="141504611">
                  <w:marLeft w:val="0"/>
                  <w:marRight w:val="1"/>
                  <w:marTop w:val="0"/>
                  <w:marBottom w:val="0"/>
                  <w:divBdr>
                    <w:top w:val="none" w:sz="0" w:space="0" w:color="auto"/>
                    <w:left w:val="none" w:sz="0" w:space="0" w:color="auto"/>
                    <w:bottom w:val="none" w:sz="0" w:space="0" w:color="auto"/>
                    <w:right w:val="none" w:sz="0" w:space="0" w:color="auto"/>
                  </w:divBdr>
                  <w:divsChild>
                    <w:div w:id="141504563">
                      <w:marLeft w:val="0"/>
                      <w:marRight w:val="0"/>
                      <w:marTop w:val="0"/>
                      <w:marBottom w:val="0"/>
                      <w:divBdr>
                        <w:top w:val="none" w:sz="0" w:space="0" w:color="auto"/>
                        <w:left w:val="none" w:sz="0" w:space="0" w:color="auto"/>
                        <w:bottom w:val="none" w:sz="0" w:space="0" w:color="auto"/>
                        <w:right w:val="none" w:sz="0" w:space="0" w:color="auto"/>
                      </w:divBdr>
                      <w:divsChild>
                        <w:div w:id="141504670">
                          <w:marLeft w:val="0"/>
                          <w:marRight w:val="0"/>
                          <w:marTop w:val="0"/>
                          <w:marBottom w:val="0"/>
                          <w:divBdr>
                            <w:top w:val="none" w:sz="0" w:space="0" w:color="auto"/>
                            <w:left w:val="none" w:sz="0" w:space="0" w:color="auto"/>
                            <w:bottom w:val="none" w:sz="0" w:space="0" w:color="auto"/>
                            <w:right w:val="none" w:sz="0" w:space="0" w:color="auto"/>
                          </w:divBdr>
                          <w:divsChild>
                            <w:div w:id="141504676">
                              <w:marLeft w:val="0"/>
                              <w:marRight w:val="0"/>
                              <w:marTop w:val="120"/>
                              <w:marBottom w:val="360"/>
                              <w:divBdr>
                                <w:top w:val="none" w:sz="0" w:space="0" w:color="auto"/>
                                <w:left w:val="none" w:sz="0" w:space="0" w:color="auto"/>
                                <w:bottom w:val="none" w:sz="0" w:space="0" w:color="auto"/>
                                <w:right w:val="none" w:sz="0" w:space="0" w:color="auto"/>
                              </w:divBdr>
                              <w:divsChild>
                                <w:div w:id="141504506">
                                  <w:marLeft w:val="0"/>
                                  <w:marRight w:val="0"/>
                                  <w:marTop w:val="0"/>
                                  <w:marBottom w:val="0"/>
                                  <w:divBdr>
                                    <w:top w:val="none" w:sz="0" w:space="0" w:color="auto"/>
                                    <w:left w:val="none" w:sz="0" w:space="0" w:color="auto"/>
                                    <w:bottom w:val="none" w:sz="0" w:space="0" w:color="auto"/>
                                    <w:right w:val="none" w:sz="0" w:space="0" w:color="auto"/>
                                  </w:divBdr>
                                  <w:divsChild>
                                    <w:div w:id="1415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69">
      <w:marLeft w:val="0"/>
      <w:marRight w:val="0"/>
      <w:marTop w:val="0"/>
      <w:marBottom w:val="0"/>
      <w:divBdr>
        <w:top w:val="none" w:sz="0" w:space="0" w:color="auto"/>
        <w:left w:val="none" w:sz="0" w:space="0" w:color="auto"/>
        <w:bottom w:val="none" w:sz="0" w:space="0" w:color="auto"/>
        <w:right w:val="none" w:sz="0" w:space="0" w:color="auto"/>
      </w:divBdr>
      <w:divsChild>
        <w:div w:id="141504476">
          <w:marLeft w:val="0"/>
          <w:marRight w:val="1"/>
          <w:marTop w:val="0"/>
          <w:marBottom w:val="0"/>
          <w:divBdr>
            <w:top w:val="none" w:sz="0" w:space="0" w:color="auto"/>
            <w:left w:val="none" w:sz="0" w:space="0" w:color="auto"/>
            <w:bottom w:val="none" w:sz="0" w:space="0" w:color="auto"/>
            <w:right w:val="none" w:sz="0" w:space="0" w:color="auto"/>
          </w:divBdr>
          <w:divsChild>
            <w:div w:id="141504430">
              <w:marLeft w:val="0"/>
              <w:marRight w:val="0"/>
              <w:marTop w:val="0"/>
              <w:marBottom w:val="0"/>
              <w:divBdr>
                <w:top w:val="none" w:sz="0" w:space="0" w:color="auto"/>
                <w:left w:val="none" w:sz="0" w:space="0" w:color="auto"/>
                <w:bottom w:val="none" w:sz="0" w:space="0" w:color="auto"/>
                <w:right w:val="none" w:sz="0" w:space="0" w:color="auto"/>
              </w:divBdr>
              <w:divsChild>
                <w:div w:id="141504744">
                  <w:marLeft w:val="0"/>
                  <w:marRight w:val="1"/>
                  <w:marTop w:val="0"/>
                  <w:marBottom w:val="0"/>
                  <w:divBdr>
                    <w:top w:val="none" w:sz="0" w:space="0" w:color="auto"/>
                    <w:left w:val="none" w:sz="0" w:space="0" w:color="auto"/>
                    <w:bottom w:val="none" w:sz="0" w:space="0" w:color="auto"/>
                    <w:right w:val="none" w:sz="0" w:space="0" w:color="auto"/>
                  </w:divBdr>
                  <w:divsChild>
                    <w:div w:id="141504590">
                      <w:marLeft w:val="0"/>
                      <w:marRight w:val="0"/>
                      <w:marTop w:val="0"/>
                      <w:marBottom w:val="0"/>
                      <w:divBdr>
                        <w:top w:val="none" w:sz="0" w:space="0" w:color="auto"/>
                        <w:left w:val="none" w:sz="0" w:space="0" w:color="auto"/>
                        <w:bottom w:val="none" w:sz="0" w:space="0" w:color="auto"/>
                        <w:right w:val="none" w:sz="0" w:space="0" w:color="auto"/>
                      </w:divBdr>
                      <w:divsChild>
                        <w:div w:id="141504642">
                          <w:marLeft w:val="0"/>
                          <w:marRight w:val="0"/>
                          <w:marTop w:val="0"/>
                          <w:marBottom w:val="0"/>
                          <w:divBdr>
                            <w:top w:val="none" w:sz="0" w:space="0" w:color="auto"/>
                            <w:left w:val="none" w:sz="0" w:space="0" w:color="auto"/>
                            <w:bottom w:val="none" w:sz="0" w:space="0" w:color="auto"/>
                            <w:right w:val="none" w:sz="0" w:space="0" w:color="auto"/>
                          </w:divBdr>
                          <w:divsChild>
                            <w:div w:id="141504798">
                              <w:marLeft w:val="0"/>
                              <w:marRight w:val="0"/>
                              <w:marTop w:val="120"/>
                              <w:marBottom w:val="360"/>
                              <w:divBdr>
                                <w:top w:val="none" w:sz="0" w:space="0" w:color="auto"/>
                                <w:left w:val="none" w:sz="0" w:space="0" w:color="auto"/>
                                <w:bottom w:val="none" w:sz="0" w:space="0" w:color="auto"/>
                                <w:right w:val="none" w:sz="0" w:space="0" w:color="auto"/>
                              </w:divBdr>
                              <w:divsChild>
                                <w:div w:id="141504534">
                                  <w:marLeft w:val="0"/>
                                  <w:marRight w:val="0"/>
                                  <w:marTop w:val="0"/>
                                  <w:marBottom w:val="0"/>
                                  <w:divBdr>
                                    <w:top w:val="none" w:sz="0" w:space="0" w:color="auto"/>
                                    <w:left w:val="none" w:sz="0" w:space="0" w:color="auto"/>
                                    <w:bottom w:val="none" w:sz="0" w:space="0" w:color="auto"/>
                                    <w:right w:val="none" w:sz="0" w:space="0" w:color="auto"/>
                                  </w:divBdr>
                                  <w:divsChild>
                                    <w:div w:id="1415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77">
      <w:marLeft w:val="0"/>
      <w:marRight w:val="0"/>
      <w:marTop w:val="0"/>
      <w:marBottom w:val="0"/>
      <w:divBdr>
        <w:top w:val="none" w:sz="0" w:space="0" w:color="auto"/>
        <w:left w:val="none" w:sz="0" w:space="0" w:color="auto"/>
        <w:bottom w:val="none" w:sz="0" w:space="0" w:color="auto"/>
        <w:right w:val="none" w:sz="0" w:space="0" w:color="auto"/>
      </w:divBdr>
      <w:divsChild>
        <w:div w:id="141504547">
          <w:marLeft w:val="0"/>
          <w:marRight w:val="1"/>
          <w:marTop w:val="0"/>
          <w:marBottom w:val="0"/>
          <w:divBdr>
            <w:top w:val="none" w:sz="0" w:space="0" w:color="auto"/>
            <w:left w:val="none" w:sz="0" w:space="0" w:color="auto"/>
            <w:bottom w:val="none" w:sz="0" w:space="0" w:color="auto"/>
            <w:right w:val="none" w:sz="0" w:space="0" w:color="auto"/>
          </w:divBdr>
          <w:divsChild>
            <w:div w:id="141504636">
              <w:marLeft w:val="0"/>
              <w:marRight w:val="0"/>
              <w:marTop w:val="0"/>
              <w:marBottom w:val="0"/>
              <w:divBdr>
                <w:top w:val="none" w:sz="0" w:space="0" w:color="auto"/>
                <w:left w:val="none" w:sz="0" w:space="0" w:color="auto"/>
                <w:bottom w:val="none" w:sz="0" w:space="0" w:color="auto"/>
                <w:right w:val="none" w:sz="0" w:space="0" w:color="auto"/>
              </w:divBdr>
              <w:divsChild>
                <w:div w:id="141504473">
                  <w:marLeft w:val="0"/>
                  <w:marRight w:val="1"/>
                  <w:marTop w:val="0"/>
                  <w:marBottom w:val="0"/>
                  <w:divBdr>
                    <w:top w:val="none" w:sz="0" w:space="0" w:color="auto"/>
                    <w:left w:val="none" w:sz="0" w:space="0" w:color="auto"/>
                    <w:bottom w:val="none" w:sz="0" w:space="0" w:color="auto"/>
                    <w:right w:val="none" w:sz="0" w:space="0" w:color="auto"/>
                  </w:divBdr>
                  <w:divsChild>
                    <w:div w:id="141504752">
                      <w:marLeft w:val="0"/>
                      <w:marRight w:val="0"/>
                      <w:marTop w:val="0"/>
                      <w:marBottom w:val="0"/>
                      <w:divBdr>
                        <w:top w:val="none" w:sz="0" w:space="0" w:color="auto"/>
                        <w:left w:val="none" w:sz="0" w:space="0" w:color="auto"/>
                        <w:bottom w:val="none" w:sz="0" w:space="0" w:color="auto"/>
                        <w:right w:val="none" w:sz="0" w:space="0" w:color="auto"/>
                      </w:divBdr>
                      <w:divsChild>
                        <w:div w:id="141504405">
                          <w:marLeft w:val="0"/>
                          <w:marRight w:val="0"/>
                          <w:marTop w:val="0"/>
                          <w:marBottom w:val="0"/>
                          <w:divBdr>
                            <w:top w:val="none" w:sz="0" w:space="0" w:color="auto"/>
                            <w:left w:val="none" w:sz="0" w:space="0" w:color="auto"/>
                            <w:bottom w:val="none" w:sz="0" w:space="0" w:color="auto"/>
                            <w:right w:val="none" w:sz="0" w:space="0" w:color="auto"/>
                          </w:divBdr>
                          <w:divsChild>
                            <w:div w:id="141504754">
                              <w:marLeft w:val="0"/>
                              <w:marRight w:val="0"/>
                              <w:marTop w:val="120"/>
                              <w:marBottom w:val="360"/>
                              <w:divBdr>
                                <w:top w:val="none" w:sz="0" w:space="0" w:color="auto"/>
                                <w:left w:val="none" w:sz="0" w:space="0" w:color="auto"/>
                                <w:bottom w:val="none" w:sz="0" w:space="0" w:color="auto"/>
                                <w:right w:val="none" w:sz="0" w:space="0" w:color="auto"/>
                              </w:divBdr>
                              <w:divsChild>
                                <w:div w:id="141504390">
                                  <w:marLeft w:val="0"/>
                                  <w:marRight w:val="0"/>
                                  <w:marTop w:val="0"/>
                                  <w:marBottom w:val="0"/>
                                  <w:divBdr>
                                    <w:top w:val="none" w:sz="0" w:space="0" w:color="auto"/>
                                    <w:left w:val="none" w:sz="0" w:space="0" w:color="auto"/>
                                    <w:bottom w:val="none" w:sz="0" w:space="0" w:color="auto"/>
                                    <w:right w:val="none" w:sz="0" w:space="0" w:color="auto"/>
                                  </w:divBdr>
                                  <w:divsChild>
                                    <w:div w:id="1415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78">
      <w:marLeft w:val="0"/>
      <w:marRight w:val="0"/>
      <w:marTop w:val="0"/>
      <w:marBottom w:val="0"/>
      <w:divBdr>
        <w:top w:val="none" w:sz="0" w:space="0" w:color="auto"/>
        <w:left w:val="none" w:sz="0" w:space="0" w:color="auto"/>
        <w:bottom w:val="none" w:sz="0" w:space="0" w:color="auto"/>
        <w:right w:val="none" w:sz="0" w:space="0" w:color="auto"/>
      </w:divBdr>
    </w:div>
    <w:div w:id="141504481">
      <w:marLeft w:val="0"/>
      <w:marRight w:val="0"/>
      <w:marTop w:val="0"/>
      <w:marBottom w:val="0"/>
      <w:divBdr>
        <w:top w:val="none" w:sz="0" w:space="0" w:color="auto"/>
        <w:left w:val="none" w:sz="0" w:space="0" w:color="auto"/>
        <w:bottom w:val="none" w:sz="0" w:space="0" w:color="auto"/>
        <w:right w:val="none" w:sz="0" w:space="0" w:color="auto"/>
      </w:divBdr>
      <w:divsChild>
        <w:div w:id="141504596">
          <w:marLeft w:val="0"/>
          <w:marRight w:val="1"/>
          <w:marTop w:val="0"/>
          <w:marBottom w:val="0"/>
          <w:divBdr>
            <w:top w:val="none" w:sz="0" w:space="0" w:color="auto"/>
            <w:left w:val="none" w:sz="0" w:space="0" w:color="auto"/>
            <w:bottom w:val="none" w:sz="0" w:space="0" w:color="auto"/>
            <w:right w:val="none" w:sz="0" w:space="0" w:color="auto"/>
          </w:divBdr>
          <w:divsChild>
            <w:div w:id="141504778">
              <w:marLeft w:val="0"/>
              <w:marRight w:val="0"/>
              <w:marTop w:val="0"/>
              <w:marBottom w:val="0"/>
              <w:divBdr>
                <w:top w:val="none" w:sz="0" w:space="0" w:color="auto"/>
                <w:left w:val="none" w:sz="0" w:space="0" w:color="auto"/>
                <w:bottom w:val="none" w:sz="0" w:space="0" w:color="auto"/>
                <w:right w:val="none" w:sz="0" w:space="0" w:color="auto"/>
              </w:divBdr>
              <w:divsChild>
                <w:div w:id="141504639">
                  <w:marLeft w:val="0"/>
                  <w:marRight w:val="1"/>
                  <w:marTop w:val="0"/>
                  <w:marBottom w:val="0"/>
                  <w:divBdr>
                    <w:top w:val="none" w:sz="0" w:space="0" w:color="auto"/>
                    <w:left w:val="none" w:sz="0" w:space="0" w:color="auto"/>
                    <w:bottom w:val="none" w:sz="0" w:space="0" w:color="auto"/>
                    <w:right w:val="none" w:sz="0" w:space="0" w:color="auto"/>
                  </w:divBdr>
                  <w:divsChild>
                    <w:div w:id="141504418">
                      <w:marLeft w:val="0"/>
                      <w:marRight w:val="0"/>
                      <w:marTop w:val="0"/>
                      <w:marBottom w:val="0"/>
                      <w:divBdr>
                        <w:top w:val="none" w:sz="0" w:space="0" w:color="auto"/>
                        <w:left w:val="none" w:sz="0" w:space="0" w:color="auto"/>
                        <w:bottom w:val="none" w:sz="0" w:space="0" w:color="auto"/>
                        <w:right w:val="none" w:sz="0" w:space="0" w:color="auto"/>
                      </w:divBdr>
                      <w:divsChild>
                        <w:div w:id="141504702">
                          <w:marLeft w:val="0"/>
                          <w:marRight w:val="0"/>
                          <w:marTop w:val="0"/>
                          <w:marBottom w:val="0"/>
                          <w:divBdr>
                            <w:top w:val="none" w:sz="0" w:space="0" w:color="auto"/>
                            <w:left w:val="none" w:sz="0" w:space="0" w:color="auto"/>
                            <w:bottom w:val="none" w:sz="0" w:space="0" w:color="auto"/>
                            <w:right w:val="none" w:sz="0" w:space="0" w:color="auto"/>
                          </w:divBdr>
                          <w:divsChild>
                            <w:div w:id="141504552">
                              <w:marLeft w:val="0"/>
                              <w:marRight w:val="0"/>
                              <w:marTop w:val="120"/>
                              <w:marBottom w:val="360"/>
                              <w:divBdr>
                                <w:top w:val="none" w:sz="0" w:space="0" w:color="auto"/>
                                <w:left w:val="none" w:sz="0" w:space="0" w:color="auto"/>
                                <w:bottom w:val="none" w:sz="0" w:space="0" w:color="auto"/>
                                <w:right w:val="none" w:sz="0" w:space="0" w:color="auto"/>
                              </w:divBdr>
                              <w:divsChild>
                                <w:div w:id="141504456">
                                  <w:marLeft w:val="0"/>
                                  <w:marRight w:val="0"/>
                                  <w:marTop w:val="0"/>
                                  <w:marBottom w:val="0"/>
                                  <w:divBdr>
                                    <w:top w:val="none" w:sz="0" w:space="0" w:color="auto"/>
                                    <w:left w:val="none" w:sz="0" w:space="0" w:color="auto"/>
                                    <w:bottom w:val="none" w:sz="0" w:space="0" w:color="auto"/>
                                    <w:right w:val="none" w:sz="0" w:space="0" w:color="auto"/>
                                  </w:divBdr>
                                  <w:divsChild>
                                    <w:div w:id="141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95">
      <w:marLeft w:val="0"/>
      <w:marRight w:val="0"/>
      <w:marTop w:val="0"/>
      <w:marBottom w:val="0"/>
      <w:divBdr>
        <w:top w:val="none" w:sz="0" w:space="0" w:color="auto"/>
        <w:left w:val="none" w:sz="0" w:space="0" w:color="auto"/>
        <w:bottom w:val="none" w:sz="0" w:space="0" w:color="auto"/>
        <w:right w:val="none" w:sz="0" w:space="0" w:color="auto"/>
      </w:divBdr>
      <w:divsChild>
        <w:div w:id="141504604">
          <w:marLeft w:val="0"/>
          <w:marRight w:val="1"/>
          <w:marTop w:val="0"/>
          <w:marBottom w:val="0"/>
          <w:divBdr>
            <w:top w:val="none" w:sz="0" w:space="0" w:color="auto"/>
            <w:left w:val="none" w:sz="0" w:space="0" w:color="auto"/>
            <w:bottom w:val="none" w:sz="0" w:space="0" w:color="auto"/>
            <w:right w:val="none" w:sz="0" w:space="0" w:color="auto"/>
          </w:divBdr>
          <w:divsChild>
            <w:div w:id="141504567">
              <w:marLeft w:val="0"/>
              <w:marRight w:val="0"/>
              <w:marTop w:val="0"/>
              <w:marBottom w:val="0"/>
              <w:divBdr>
                <w:top w:val="none" w:sz="0" w:space="0" w:color="auto"/>
                <w:left w:val="none" w:sz="0" w:space="0" w:color="auto"/>
                <w:bottom w:val="none" w:sz="0" w:space="0" w:color="auto"/>
                <w:right w:val="none" w:sz="0" w:space="0" w:color="auto"/>
              </w:divBdr>
              <w:divsChild>
                <w:div w:id="141504383">
                  <w:marLeft w:val="0"/>
                  <w:marRight w:val="1"/>
                  <w:marTop w:val="0"/>
                  <w:marBottom w:val="0"/>
                  <w:divBdr>
                    <w:top w:val="none" w:sz="0" w:space="0" w:color="auto"/>
                    <w:left w:val="none" w:sz="0" w:space="0" w:color="auto"/>
                    <w:bottom w:val="none" w:sz="0" w:space="0" w:color="auto"/>
                    <w:right w:val="none" w:sz="0" w:space="0" w:color="auto"/>
                  </w:divBdr>
                  <w:divsChild>
                    <w:div w:id="141504422">
                      <w:marLeft w:val="0"/>
                      <w:marRight w:val="0"/>
                      <w:marTop w:val="0"/>
                      <w:marBottom w:val="0"/>
                      <w:divBdr>
                        <w:top w:val="none" w:sz="0" w:space="0" w:color="auto"/>
                        <w:left w:val="none" w:sz="0" w:space="0" w:color="auto"/>
                        <w:bottom w:val="none" w:sz="0" w:space="0" w:color="auto"/>
                        <w:right w:val="none" w:sz="0" w:space="0" w:color="auto"/>
                      </w:divBdr>
                      <w:divsChild>
                        <w:div w:id="141504776">
                          <w:marLeft w:val="0"/>
                          <w:marRight w:val="0"/>
                          <w:marTop w:val="0"/>
                          <w:marBottom w:val="0"/>
                          <w:divBdr>
                            <w:top w:val="none" w:sz="0" w:space="0" w:color="auto"/>
                            <w:left w:val="none" w:sz="0" w:space="0" w:color="auto"/>
                            <w:bottom w:val="none" w:sz="0" w:space="0" w:color="auto"/>
                            <w:right w:val="none" w:sz="0" w:space="0" w:color="auto"/>
                          </w:divBdr>
                          <w:divsChild>
                            <w:div w:id="141504431">
                              <w:marLeft w:val="0"/>
                              <w:marRight w:val="0"/>
                              <w:marTop w:val="120"/>
                              <w:marBottom w:val="360"/>
                              <w:divBdr>
                                <w:top w:val="none" w:sz="0" w:space="0" w:color="auto"/>
                                <w:left w:val="none" w:sz="0" w:space="0" w:color="auto"/>
                                <w:bottom w:val="none" w:sz="0" w:space="0" w:color="auto"/>
                                <w:right w:val="none" w:sz="0" w:space="0" w:color="auto"/>
                              </w:divBdr>
                              <w:divsChild>
                                <w:div w:id="141504739">
                                  <w:marLeft w:val="0"/>
                                  <w:marRight w:val="0"/>
                                  <w:marTop w:val="0"/>
                                  <w:marBottom w:val="0"/>
                                  <w:divBdr>
                                    <w:top w:val="none" w:sz="0" w:space="0" w:color="auto"/>
                                    <w:left w:val="none" w:sz="0" w:space="0" w:color="auto"/>
                                    <w:bottom w:val="none" w:sz="0" w:space="0" w:color="auto"/>
                                    <w:right w:val="none" w:sz="0" w:space="0" w:color="auto"/>
                                  </w:divBdr>
                                  <w:divsChild>
                                    <w:div w:id="1415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498">
      <w:marLeft w:val="0"/>
      <w:marRight w:val="0"/>
      <w:marTop w:val="0"/>
      <w:marBottom w:val="0"/>
      <w:divBdr>
        <w:top w:val="none" w:sz="0" w:space="0" w:color="auto"/>
        <w:left w:val="none" w:sz="0" w:space="0" w:color="auto"/>
        <w:bottom w:val="none" w:sz="0" w:space="0" w:color="auto"/>
        <w:right w:val="none" w:sz="0" w:space="0" w:color="auto"/>
      </w:divBdr>
      <w:divsChild>
        <w:div w:id="141504401">
          <w:marLeft w:val="0"/>
          <w:marRight w:val="1"/>
          <w:marTop w:val="0"/>
          <w:marBottom w:val="0"/>
          <w:divBdr>
            <w:top w:val="none" w:sz="0" w:space="0" w:color="auto"/>
            <w:left w:val="none" w:sz="0" w:space="0" w:color="auto"/>
            <w:bottom w:val="none" w:sz="0" w:space="0" w:color="auto"/>
            <w:right w:val="none" w:sz="0" w:space="0" w:color="auto"/>
          </w:divBdr>
          <w:divsChild>
            <w:div w:id="141504367">
              <w:marLeft w:val="0"/>
              <w:marRight w:val="0"/>
              <w:marTop w:val="0"/>
              <w:marBottom w:val="0"/>
              <w:divBdr>
                <w:top w:val="none" w:sz="0" w:space="0" w:color="auto"/>
                <w:left w:val="none" w:sz="0" w:space="0" w:color="auto"/>
                <w:bottom w:val="none" w:sz="0" w:space="0" w:color="auto"/>
                <w:right w:val="none" w:sz="0" w:space="0" w:color="auto"/>
              </w:divBdr>
              <w:divsChild>
                <w:div w:id="141504381">
                  <w:marLeft w:val="0"/>
                  <w:marRight w:val="1"/>
                  <w:marTop w:val="0"/>
                  <w:marBottom w:val="0"/>
                  <w:divBdr>
                    <w:top w:val="none" w:sz="0" w:space="0" w:color="auto"/>
                    <w:left w:val="none" w:sz="0" w:space="0" w:color="auto"/>
                    <w:bottom w:val="none" w:sz="0" w:space="0" w:color="auto"/>
                    <w:right w:val="none" w:sz="0" w:space="0" w:color="auto"/>
                  </w:divBdr>
                  <w:divsChild>
                    <w:div w:id="141504704">
                      <w:marLeft w:val="0"/>
                      <w:marRight w:val="0"/>
                      <w:marTop w:val="0"/>
                      <w:marBottom w:val="0"/>
                      <w:divBdr>
                        <w:top w:val="none" w:sz="0" w:space="0" w:color="auto"/>
                        <w:left w:val="none" w:sz="0" w:space="0" w:color="auto"/>
                        <w:bottom w:val="none" w:sz="0" w:space="0" w:color="auto"/>
                        <w:right w:val="none" w:sz="0" w:space="0" w:color="auto"/>
                      </w:divBdr>
                      <w:divsChild>
                        <w:div w:id="141504716">
                          <w:marLeft w:val="0"/>
                          <w:marRight w:val="0"/>
                          <w:marTop w:val="0"/>
                          <w:marBottom w:val="0"/>
                          <w:divBdr>
                            <w:top w:val="none" w:sz="0" w:space="0" w:color="auto"/>
                            <w:left w:val="none" w:sz="0" w:space="0" w:color="auto"/>
                            <w:bottom w:val="none" w:sz="0" w:space="0" w:color="auto"/>
                            <w:right w:val="none" w:sz="0" w:space="0" w:color="auto"/>
                          </w:divBdr>
                          <w:divsChild>
                            <w:div w:id="141504372">
                              <w:marLeft w:val="0"/>
                              <w:marRight w:val="0"/>
                              <w:marTop w:val="120"/>
                              <w:marBottom w:val="360"/>
                              <w:divBdr>
                                <w:top w:val="none" w:sz="0" w:space="0" w:color="auto"/>
                                <w:left w:val="none" w:sz="0" w:space="0" w:color="auto"/>
                                <w:bottom w:val="none" w:sz="0" w:space="0" w:color="auto"/>
                                <w:right w:val="none" w:sz="0" w:space="0" w:color="auto"/>
                              </w:divBdr>
                              <w:divsChild>
                                <w:div w:id="141504356">
                                  <w:marLeft w:val="0"/>
                                  <w:marRight w:val="0"/>
                                  <w:marTop w:val="0"/>
                                  <w:marBottom w:val="0"/>
                                  <w:divBdr>
                                    <w:top w:val="none" w:sz="0" w:space="0" w:color="auto"/>
                                    <w:left w:val="none" w:sz="0" w:space="0" w:color="auto"/>
                                    <w:bottom w:val="none" w:sz="0" w:space="0" w:color="auto"/>
                                    <w:right w:val="none" w:sz="0" w:space="0" w:color="auto"/>
                                  </w:divBdr>
                                  <w:divsChild>
                                    <w:div w:id="1415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04">
      <w:marLeft w:val="0"/>
      <w:marRight w:val="0"/>
      <w:marTop w:val="0"/>
      <w:marBottom w:val="0"/>
      <w:divBdr>
        <w:top w:val="none" w:sz="0" w:space="0" w:color="auto"/>
        <w:left w:val="none" w:sz="0" w:space="0" w:color="auto"/>
        <w:bottom w:val="none" w:sz="0" w:space="0" w:color="auto"/>
        <w:right w:val="none" w:sz="0" w:space="0" w:color="auto"/>
      </w:divBdr>
      <w:divsChild>
        <w:div w:id="141504517">
          <w:marLeft w:val="0"/>
          <w:marRight w:val="1"/>
          <w:marTop w:val="0"/>
          <w:marBottom w:val="0"/>
          <w:divBdr>
            <w:top w:val="none" w:sz="0" w:space="0" w:color="auto"/>
            <w:left w:val="none" w:sz="0" w:space="0" w:color="auto"/>
            <w:bottom w:val="none" w:sz="0" w:space="0" w:color="auto"/>
            <w:right w:val="none" w:sz="0" w:space="0" w:color="auto"/>
          </w:divBdr>
          <w:divsChild>
            <w:div w:id="141504373">
              <w:marLeft w:val="0"/>
              <w:marRight w:val="0"/>
              <w:marTop w:val="0"/>
              <w:marBottom w:val="0"/>
              <w:divBdr>
                <w:top w:val="none" w:sz="0" w:space="0" w:color="auto"/>
                <w:left w:val="none" w:sz="0" w:space="0" w:color="auto"/>
                <w:bottom w:val="none" w:sz="0" w:space="0" w:color="auto"/>
                <w:right w:val="none" w:sz="0" w:space="0" w:color="auto"/>
              </w:divBdr>
              <w:divsChild>
                <w:div w:id="141504442">
                  <w:marLeft w:val="0"/>
                  <w:marRight w:val="1"/>
                  <w:marTop w:val="0"/>
                  <w:marBottom w:val="0"/>
                  <w:divBdr>
                    <w:top w:val="none" w:sz="0" w:space="0" w:color="auto"/>
                    <w:left w:val="none" w:sz="0" w:space="0" w:color="auto"/>
                    <w:bottom w:val="none" w:sz="0" w:space="0" w:color="auto"/>
                    <w:right w:val="none" w:sz="0" w:space="0" w:color="auto"/>
                  </w:divBdr>
                  <w:divsChild>
                    <w:div w:id="141504595">
                      <w:marLeft w:val="0"/>
                      <w:marRight w:val="0"/>
                      <w:marTop w:val="0"/>
                      <w:marBottom w:val="0"/>
                      <w:divBdr>
                        <w:top w:val="none" w:sz="0" w:space="0" w:color="auto"/>
                        <w:left w:val="none" w:sz="0" w:space="0" w:color="auto"/>
                        <w:bottom w:val="none" w:sz="0" w:space="0" w:color="auto"/>
                        <w:right w:val="none" w:sz="0" w:space="0" w:color="auto"/>
                      </w:divBdr>
                      <w:divsChild>
                        <w:div w:id="141504462">
                          <w:marLeft w:val="0"/>
                          <w:marRight w:val="0"/>
                          <w:marTop w:val="0"/>
                          <w:marBottom w:val="0"/>
                          <w:divBdr>
                            <w:top w:val="none" w:sz="0" w:space="0" w:color="auto"/>
                            <w:left w:val="none" w:sz="0" w:space="0" w:color="auto"/>
                            <w:bottom w:val="none" w:sz="0" w:space="0" w:color="auto"/>
                            <w:right w:val="none" w:sz="0" w:space="0" w:color="auto"/>
                          </w:divBdr>
                          <w:divsChild>
                            <w:div w:id="141504508">
                              <w:marLeft w:val="0"/>
                              <w:marRight w:val="0"/>
                              <w:marTop w:val="120"/>
                              <w:marBottom w:val="360"/>
                              <w:divBdr>
                                <w:top w:val="none" w:sz="0" w:space="0" w:color="auto"/>
                                <w:left w:val="none" w:sz="0" w:space="0" w:color="auto"/>
                                <w:bottom w:val="none" w:sz="0" w:space="0" w:color="auto"/>
                                <w:right w:val="none" w:sz="0" w:space="0" w:color="auto"/>
                              </w:divBdr>
                              <w:divsChild>
                                <w:div w:id="141504501">
                                  <w:marLeft w:val="0"/>
                                  <w:marRight w:val="0"/>
                                  <w:marTop w:val="0"/>
                                  <w:marBottom w:val="0"/>
                                  <w:divBdr>
                                    <w:top w:val="none" w:sz="0" w:space="0" w:color="auto"/>
                                    <w:left w:val="none" w:sz="0" w:space="0" w:color="auto"/>
                                    <w:bottom w:val="none" w:sz="0" w:space="0" w:color="auto"/>
                                    <w:right w:val="none" w:sz="0" w:space="0" w:color="auto"/>
                                  </w:divBdr>
                                  <w:divsChild>
                                    <w:div w:id="1415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09">
      <w:marLeft w:val="0"/>
      <w:marRight w:val="0"/>
      <w:marTop w:val="0"/>
      <w:marBottom w:val="0"/>
      <w:divBdr>
        <w:top w:val="none" w:sz="0" w:space="0" w:color="auto"/>
        <w:left w:val="none" w:sz="0" w:space="0" w:color="auto"/>
        <w:bottom w:val="none" w:sz="0" w:space="0" w:color="auto"/>
        <w:right w:val="none" w:sz="0" w:space="0" w:color="auto"/>
      </w:divBdr>
    </w:div>
    <w:div w:id="141504516">
      <w:marLeft w:val="0"/>
      <w:marRight w:val="0"/>
      <w:marTop w:val="0"/>
      <w:marBottom w:val="0"/>
      <w:divBdr>
        <w:top w:val="none" w:sz="0" w:space="0" w:color="auto"/>
        <w:left w:val="none" w:sz="0" w:space="0" w:color="auto"/>
        <w:bottom w:val="none" w:sz="0" w:space="0" w:color="auto"/>
        <w:right w:val="none" w:sz="0" w:space="0" w:color="auto"/>
      </w:divBdr>
      <w:divsChild>
        <w:div w:id="141504391">
          <w:marLeft w:val="0"/>
          <w:marRight w:val="1"/>
          <w:marTop w:val="0"/>
          <w:marBottom w:val="0"/>
          <w:divBdr>
            <w:top w:val="none" w:sz="0" w:space="0" w:color="auto"/>
            <w:left w:val="none" w:sz="0" w:space="0" w:color="auto"/>
            <w:bottom w:val="none" w:sz="0" w:space="0" w:color="auto"/>
            <w:right w:val="none" w:sz="0" w:space="0" w:color="auto"/>
          </w:divBdr>
          <w:divsChild>
            <w:div w:id="141504621">
              <w:marLeft w:val="0"/>
              <w:marRight w:val="0"/>
              <w:marTop w:val="0"/>
              <w:marBottom w:val="0"/>
              <w:divBdr>
                <w:top w:val="none" w:sz="0" w:space="0" w:color="auto"/>
                <w:left w:val="none" w:sz="0" w:space="0" w:color="auto"/>
                <w:bottom w:val="none" w:sz="0" w:space="0" w:color="auto"/>
                <w:right w:val="none" w:sz="0" w:space="0" w:color="auto"/>
              </w:divBdr>
              <w:divsChild>
                <w:div w:id="141504652">
                  <w:marLeft w:val="0"/>
                  <w:marRight w:val="1"/>
                  <w:marTop w:val="0"/>
                  <w:marBottom w:val="0"/>
                  <w:divBdr>
                    <w:top w:val="none" w:sz="0" w:space="0" w:color="auto"/>
                    <w:left w:val="none" w:sz="0" w:space="0" w:color="auto"/>
                    <w:bottom w:val="none" w:sz="0" w:space="0" w:color="auto"/>
                    <w:right w:val="none" w:sz="0" w:space="0" w:color="auto"/>
                  </w:divBdr>
                  <w:divsChild>
                    <w:div w:id="141504766">
                      <w:marLeft w:val="0"/>
                      <w:marRight w:val="0"/>
                      <w:marTop w:val="0"/>
                      <w:marBottom w:val="0"/>
                      <w:divBdr>
                        <w:top w:val="none" w:sz="0" w:space="0" w:color="auto"/>
                        <w:left w:val="none" w:sz="0" w:space="0" w:color="auto"/>
                        <w:bottom w:val="none" w:sz="0" w:space="0" w:color="auto"/>
                        <w:right w:val="none" w:sz="0" w:space="0" w:color="auto"/>
                      </w:divBdr>
                      <w:divsChild>
                        <w:div w:id="141504423">
                          <w:marLeft w:val="0"/>
                          <w:marRight w:val="0"/>
                          <w:marTop w:val="0"/>
                          <w:marBottom w:val="0"/>
                          <w:divBdr>
                            <w:top w:val="none" w:sz="0" w:space="0" w:color="auto"/>
                            <w:left w:val="none" w:sz="0" w:space="0" w:color="auto"/>
                            <w:bottom w:val="none" w:sz="0" w:space="0" w:color="auto"/>
                            <w:right w:val="none" w:sz="0" w:space="0" w:color="auto"/>
                          </w:divBdr>
                          <w:divsChild>
                            <w:div w:id="141504763">
                              <w:marLeft w:val="0"/>
                              <w:marRight w:val="0"/>
                              <w:marTop w:val="120"/>
                              <w:marBottom w:val="360"/>
                              <w:divBdr>
                                <w:top w:val="none" w:sz="0" w:space="0" w:color="auto"/>
                                <w:left w:val="none" w:sz="0" w:space="0" w:color="auto"/>
                                <w:bottom w:val="none" w:sz="0" w:space="0" w:color="auto"/>
                                <w:right w:val="none" w:sz="0" w:space="0" w:color="auto"/>
                              </w:divBdr>
                              <w:divsChild>
                                <w:div w:id="141504494">
                                  <w:marLeft w:val="0"/>
                                  <w:marRight w:val="0"/>
                                  <w:marTop w:val="0"/>
                                  <w:marBottom w:val="0"/>
                                  <w:divBdr>
                                    <w:top w:val="none" w:sz="0" w:space="0" w:color="auto"/>
                                    <w:left w:val="none" w:sz="0" w:space="0" w:color="auto"/>
                                    <w:bottom w:val="none" w:sz="0" w:space="0" w:color="auto"/>
                                    <w:right w:val="none" w:sz="0" w:space="0" w:color="auto"/>
                                  </w:divBdr>
                                  <w:divsChild>
                                    <w:div w:id="1415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19">
      <w:marLeft w:val="0"/>
      <w:marRight w:val="0"/>
      <w:marTop w:val="0"/>
      <w:marBottom w:val="0"/>
      <w:divBdr>
        <w:top w:val="none" w:sz="0" w:space="0" w:color="auto"/>
        <w:left w:val="none" w:sz="0" w:space="0" w:color="auto"/>
        <w:bottom w:val="none" w:sz="0" w:space="0" w:color="auto"/>
        <w:right w:val="none" w:sz="0" w:space="0" w:color="auto"/>
      </w:divBdr>
    </w:div>
    <w:div w:id="141504521">
      <w:marLeft w:val="0"/>
      <w:marRight w:val="0"/>
      <w:marTop w:val="0"/>
      <w:marBottom w:val="0"/>
      <w:divBdr>
        <w:top w:val="none" w:sz="0" w:space="0" w:color="auto"/>
        <w:left w:val="none" w:sz="0" w:space="0" w:color="auto"/>
        <w:bottom w:val="none" w:sz="0" w:space="0" w:color="auto"/>
        <w:right w:val="none" w:sz="0" w:space="0" w:color="auto"/>
      </w:divBdr>
      <w:divsChild>
        <w:div w:id="141504745">
          <w:marLeft w:val="0"/>
          <w:marRight w:val="1"/>
          <w:marTop w:val="0"/>
          <w:marBottom w:val="0"/>
          <w:divBdr>
            <w:top w:val="none" w:sz="0" w:space="0" w:color="auto"/>
            <w:left w:val="none" w:sz="0" w:space="0" w:color="auto"/>
            <w:bottom w:val="none" w:sz="0" w:space="0" w:color="auto"/>
            <w:right w:val="none" w:sz="0" w:space="0" w:color="auto"/>
          </w:divBdr>
          <w:divsChild>
            <w:div w:id="141504544">
              <w:marLeft w:val="0"/>
              <w:marRight w:val="0"/>
              <w:marTop w:val="0"/>
              <w:marBottom w:val="0"/>
              <w:divBdr>
                <w:top w:val="none" w:sz="0" w:space="0" w:color="auto"/>
                <w:left w:val="none" w:sz="0" w:space="0" w:color="auto"/>
                <w:bottom w:val="none" w:sz="0" w:space="0" w:color="auto"/>
                <w:right w:val="none" w:sz="0" w:space="0" w:color="auto"/>
              </w:divBdr>
              <w:divsChild>
                <w:div w:id="141504603">
                  <w:marLeft w:val="0"/>
                  <w:marRight w:val="1"/>
                  <w:marTop w:val="0"/>
                  <w:marBottom w:val="0"/>
                  <w:divBdr>
                    <w:top w:val="none" w:sz="0" w:space="0" w:color="auto"/>
                    <w:left w:val="none" w:sz="0" w:space="0" w:color="auto"/>
                    <w:bottom w:val="none" w:sz="0" w:space="0" w:color="auto"/>
                    <w:right w:val="none" w:sz="0" w:space="0" w:color="auto"/>
                  </w:divBdr>
                  <w:divsChild>
                    <w:div w:id="141504470">
                      <w:marLeft w:val="0"/>
                      <w:marRight w:val="0"/>
                      <w:marTop w:val="0"/>
                      <w:marBottom w:val="0"/>
                      <w:divBdr>
                        <w:top w:val="none" w:sz="0" w:space="0" w:color="auto"/>
                        <w:left w:val="none" w:sz="0" w:space="0" w:color="auto"/>
                        <w:bottom w:val="none" w:sz="0" w:space="0" w:color="auto"/>
                        <w:right w:val="none" w:sz="0" w:space="0" w:color="auto"/>
                      </w:divBdr>
                      <w:divsChild>
                        <w:div w:id="141504681">
                          <w:marLeft w:val="0"/>
                          <w:marRight w:val="0"/>
                          <w:marTop w:val="0"/>
                          <w:marBottom w:val="0"/>
                          <w:divBdr>
                            <w:top w:val="none" w:sz="0" w:space="0" w:color="auto"/>
                            <w:left w:val="none" w:sz="0" w:space="0" w:color="auto"/>
                            <w:bottom w:val="none" w:sz="0" w:space="0" w:color="auto"/>
                            <w:right w:val="none" w:sz="0" w:space="0" w:color="auto"/>
                          </w:divBdr>
                          <w:divsChild>
                            <w:div w:id="141504654">
                              <w:marLeft w:val="0"/>
                              <w:marRight w:val="0"/>
                              <w:marTop w:val="120"/>
                              <w:marBottom w:val="360"/>
                              <w:divBdr>
                                <w:top w:val="none" w:sz="0" w:space="0" w:color="auto"/>
                                <w:left w:val="none" w:sz="0" w:space="0" w:color="auto"/>
                                <w:bottom w:val="none" w:sz="0" w:space="0" w:color="auto"/>
                                <w:right w:val="none" w:sz="0" w:space="0" w:color="auto"/>
                              </w:divBdr>
                              <w:divsChild>
                                <w:div w:id="141504671">
                                  <w:marLeft w:val="0"/>
                                  <w:marRight w:val="0"/>
                                  <w:marTop w:val="0"/>
                                  <w:marBottom w:val="0"/>
                                  <w:divBdr>
                                    <w:top w:val="none" w:sz="0" w:space="0" w:color="auto"/>
                                    <w:left w:val="none" w:sz="0" w:space="0" w:color="auto"/>
                                    <w:bottom w:val="none" w:sz="0" w:space="0" w:color="auto"/>
                                    <w:right w:val="none" w:sz="0" w:space="0" w:color="auto"/>
                                  </w:divBdr>
                                  <w:divsChild>
                                    <w:div w:id="141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24">
      <w:marLeft w:val="0"/>
      <w:marRight w:val="0"/>
      <w:marTop w:val="0"/>
      <w:marBottom w:val="0"/>
      <w:divBdr>
        <w:top w:val="none" w:sz="0" w:space="0" w:color="auto"/>
        <w:left w:val="none" w:sz="0" w:space="0" w:color="auto"/>
        <w:bottom w:val="none" w:sz="0" w:space="0" w:color="auto"/>
        <w:right w:val="none" w:sz="0" w:space="0" w:color="auto"/>
      </w:divBdr>
      <w:divsChild>
        <w:div w:id="141504584">
          <w:marLeft w:val="0"/>
          <w:marRight w:val="1"/>
          <w:marTop w:val="0"/>
          <w:marBottom w:val="0"/>
          <w:divBdr>
            <w:top w:val="none" w:sz="0" w:space="0" w:color="auto"/>
            <w:left w:val="none" w:sz="0" w:space="0" w:color="auto"/>
            <w:bottom w:val="none" w:sz="0" w:space="0" w:color="auto"/>
            <w:right w:val="none" w:sz="0" w:space="0" w:color="auto"/>
          </w:divBdr>
          <w:divsChild>
            <w:div w:id="141504513">
              <w:marLeft w:val="0"/>
              <w:marRight w:val="0"/>
              <w:marTop w:val="0"/>
              <w:marBottom w:val="0"/>
              <w:divBdr>
                <w:top w:val="none" w:sz="0" w:space="0" w:color="auto"/>
                <w:left w:val="none" w:sz="0" w:space="0" w:color="auto"/>
                <w:bottom w:val="none" w:sz="0" w:space="0" w:color="auto"/>
                <w:right w:val="none" w:sz="0" w:space="0" w:color="auto"/>
              </w:divBdr>
              <w:divsChild>
                <w:div w:id="141504677">
                  <w:marLeft w:val="0"/>
                  <w:marRight w:val="1"/>
                  <w:marTop w:val="0"/>
                  <w:marBottom w:val="0"/>
                  <w:divBdr>
                    <w:top w:val="none" w:sz="0" w:space="0" w:color="auto"/>
                    <w:left w:val="none" w:sz="0" w:space="0" w:color="auto"/>
                    <w:bottom w:val="none" w:sz="0" w:space="0" w:color="auto"/>
                    <w:right w:val="none" w:sz="0" w:space="0" w:color="auto"/>
                  </w:divBdr>
                  <w:divsChild>
                    <w:div w:id="141504471">
                      <w:marLeft w:val="0"/>
                      <w:marRight w:val="0"/>
                      <w:marTop w:val="0"/>
                      <w:marBottom w:val="0"/>
                      <w:divBdr>
                        <w:top w:val="none" w:sz="0" w:space="0" w:color="auto"/>
                        <w:left w:val="none" w:sz="0" w:space="0" w:color="auto"/>
                        <w:bottom w:val="none" w:sz="0" w:space="0" w:color="auto"/>
                        <w:right w:val="none" w:sz="0" w:space="0" w:color="auto"/>
                      </w:divBdr>
                      <w:divsChild>
                        <w:div w:id="141504769">
                          <w:marLeft w:val="0"/>
                          <w:marRight w:val="0"/>
                          <w:marTop w:val="0"/>
                          <w:marBottom w:val="0"/>
                          <w:divBdr>
                            <w:top w:val="none" w:sz="0" w:space="0" w:color="auto"/>
                            <w:left w:val="none" w:sz="0" w:space="0" w:color="auto"/>
                            <w:bottom w:val="none" w:sz="0" w:space="0" w:color="auto"/>
                            <w:right w:val="none" w:sz="0" w:space="0" w:color="auto"/>
                          </w:divBdr>
                          <w:divsChild>
                            <w:div w:id="141504466">
                              <w:marLeft w:val="0"/>
                              <w:marRight w:val="0"/>
                              <w:marTop w:val="120"/>
                              <w:marBottom w:val="360"/>
                              <w:divBdr>
                                <w:top w:val="none" w:sz="0" w:space="0" w:color="auto"/>
                                <w:left w:val="none" w:sz="0" w:space="0" w:color="auto"/>
                                <w:bottom w:val="none" w:sz="0" w:space="0" w:color="auto"/>
                                <w:right w:val="none" w:sz="0" w:space="0" w:color="auto"/>
                              </w:divBdr>
                              <w:divsChild>
                                <w:div w:id="141504714">
                                  <w:marLeft w:val="0"/>
                                  <w:marRight w:val="0"/>
                                  <w:marTop w:val="0"/>
                                  <w:marBottom w:val="0"/>
                                  <w:divBdr>
                                    <w:top w:val="none" w:sz="0" w:space="0" w:color="auto"/>
                                    <w:left w:val="none" w:sz="0" w:space="0" w:color="auto"/>
                                    <w:bottom w:val="none" w:sz="0" w:space="0" w:color="auto"/>
                                    <w:right w:val="none" w:sz="0" w:space="0" w:color="auto"/>
                                  </w:divBdr>
                                  <w:divsChild>
                                    <w:div w:id="1415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33">
      <w:marLeft w:val="0"/>
      <w:marRight w:val="0"/>
      <w:marTop w:val="0"/>
      <w:marBottom w:val="0"/>
      <w:divBdr>
        <w:top w:val="none" w:sz="0" w:space="0" w:color="auto"/>
        <w:left w:val="none" w:sz="0" w:space="0" w:color="auto"/>
        <w:bottom w:val="none" w:sz="0" w:space="0" w:color="auto"/>
        <w:right w:val="none" w:sz="0" w:space="0" w:color="auto"/>
      </w:divBdr>
      <w:divsChild>
        <w:div w:id="141504528">
          <w:marLeft w:val="0"/>
          <w:marRight w:val="1"/>
          <w:marTop w:val="0"/>
          <w:marBottom w:val="0"/>
          <w:divBdr>
            <w:top w:val="none" w:sz="0" w:space="0" w:color="auto"/>
            <w:left w:val="none" w:sz="0" w:space="0" w:color="auto"/>
            <w:bottom w:val="none" w:sz="0" w:space="0" w:color="auto"/>
            <w:right w:val="none" w:sz="0" w:space="0" w:color="auto"/>
          </w:divBdr>
          <w:divsChild>
            <w:div w:id="141504799">
              <w:marLeft w:val="0"/>
              <w:marRight w:val="0"/>
              <w:marTop w:val="0"/>
              <w:marBottom w:val="0"/>
              <w:divBdr>
                <w:top w:val="none" w:sz="0" w:space="0" w:color="auto"/>
                <w:left w:val="none" w:sz="0" w:space="0" w:color="auto"/>
                <w:bottom w:val="none" w:sz="0" w:space="0" w:color="auto"/>
                <w:right w:val="none" w:sz="0" w:space="0" w:color="auto"/>
              </w:divBdr>
              <w:divsChild>
                <w:div w:id="141504593">
                  <w:marLeft w:val="0"/>
                  <w:marRight w:val="1"/>
                  <w:marTop w:val="0"/>
                  <w:marBottom w:val="0"/>
                  <w:divBdr>
                    <w:top w:val="none" w:sz="0" w:space="0" w:color="auto"/>
                    <w:left w:val="none" w:sz="0" w:space="0" w:color="auto"/>
                    <w:bottom w:val="none" w:sz="0" w:space="0" w:color="auto"/>
                    <w:right w:val="none" w:sz="0" w:space="0" w:color="auto"/>
                  </w:divBdr>
                  <w:divsChild>
                    <w:div w:id="141504576">
                      <w:marLeft w:val="0"/>
                      <w:marRight w:val="0"/>
                      <w:marTop w:val="0"/>
                      <w:marBottom w:val="0"/>
                      <w:divBdr>
                        <w:top w:val="none" w:sz="0" w:space="0" w:color="auto"/>
                        <w:left w:val="none" w:sz="0" w:space="0" w:color="auto"/>
                        <w:bottom w:val="none" w:sz="0" w:space="0" w:color="auto"/>
                        <w:right w:val="none" w:sz="0" w:space="0" w:color="auto"/>
                      </w:divBdr>
                      <w:divsChild>
                        <w:div w:id="141504357">
                          <w:marLeft w:val="0"/>
                          <w:marRight w:val="0"/>
                          <w:marTop w:val="0"/>
                          <w:marBottom w:val="0"/>
                          <w:divBdr>
                            <w:top w:val="none" w:sz="0" w:space="0" w:color="auto"/>
                            <w:left w:val="none" w:sz="0" w:space="0" w:color="auto"/>
                            <w:bottom w:val="none" w:sz="0" w:space="0" w:color="auto"/>
                            <w:right w:val="none" w:sz="0" w:space="0" w:color="auto"/>
                          </w:divBdr>
                          <w:divsChild>
                            <w:div w:id="141504355">
                              <w:marLeft w:val="0"/>
                              <w:marRight w:val="0"/>
                              <w:marTop w:val="120"/>
                              <w:marBottom w:val="360"/>
                              <w:divBdr>
                                <w:top w:val="none" w:sz="0" w:space="0" w:color="auto"/>
                                <w:left w:val="none" w:sz="0" w:space="0" w:color="auto"/>
                                <w:bottom w:val="none" w:sz="0" w:space="0" w:color="auto"/>
                                <w:right w:val="none" w:sz="0" w:space="0" w:color="auto"/>
                              </w:divBdr>
                              <w:divsChild>
                                <w:div w:id="141504540">
                                  <w:marLeft w:val="0"/>
                                  <w:marRight w:val="0"/>
                                  <w:marTop w:val="0"/>
                                  <w:marBottom w:val="0"/>
                                  <w:divBdr>
                                    <w:top w:val="none" w:sz="0" w:space="0" w:color="auto"/>
                                    <w:left w:val="none" w:sz="0" w:space="0" w:color="auto"/>
                                    <w:bottom w:val="none" w:sz="0" w:space="0" w:color="auto"/>
                                    <w:right w:val="none" w:sz="0" w:space="0" w:color="auto"/>
                                  </w:divBdr>
                                  <w:divsChild>
                                    <w:div w:id="1415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58">
      <w:marLeft w:val="0"/>
      <w:marRight w:val="0"/>
      <w:marTop w:val="0"/>
      <w:marBottom w:val="0"/>
      <w:divBdr>
        <w:top w:val="none" w:sz="0" w:space="0" w:color="auto"/>
        <w:left w:val="none" w:sz="0" w:space="0" w:color="auto"/>
        <w:bottom w:val="none" w:sz="0" w:space="0" w:color="auto"/>
        <w:right w:val="none" w:sz="0" w:space="0" w:color="auto"/>
      </w:divBdr>
      <w:divsChild>
        <w:div w:id="141504656">
          <w:marLeft w:val="0"/>
          <w:marRight w:val="1"/>
          <w:marTop w:val="0"/>
          <w:marBottom w:val="0"/>
          <w:divBdr>
            <w:top w:val="none" w:sz="0" w:space="0" w:color="auto"/>
            <w:left w:val="none" w:sz="0" w:space="0" w:color="auto"/>
            <w:bottom w:val="none" w:sz="0" w:space="0" w:color="auto"/>
            <w:right w:val="none" w:sz="0" w:space="0" w:color="auto"/>
          </w:divBdr>
          <w:divsChild>
            <w:div w:id="141504627">
              <w:marLeft w:val="0"/>
              <w:marRight w:val="0"/>
              <w:marTop w:val="0"/>
              <w:marBottom w:val="0"/>
              <w:divBdr>
                <w:top w:val="none" w:sz="0" w:space="0" w:color="auto"/>
                <w:left w:val="none" w:sz="0" w:space="0" w:color="auto"/>
                <w:bottom w:val="none" w:sz="0" w:space="0" w:color="auto"/>
                <w:right w:val="none" w:sz="0" w:space="0" w:color="auto"/>
              </w:divBdr>
              <w:divsChild>
                <w:div w:id="141504554">
                  <w:marLeft w:val="0"/>
                  <w:marRight w:val="1"/>
                  <w:marTop w:val="0"/>
                  <w:marBottom w:val="0"/>
                  <w:divBdr>
                    <w:top w:val="none" w:sz="0" w:space="0" w:color="auto"/>
                    <w:left w:val="none" w:sz="0" w:space="0" w:color="auto"/>
                    <w:bottom w:val="none" w:sz="0" w:space="0" w:color="auto"/>
                    <w:right w:val="none" w:sz="0" w:space="0" w:color="auto"/>
                  </w:divBdr>
                  <w:divsChild>
                    <w:div w:id="141504546">
                      <w:marLeft w:val="0"/>
                      <w:marRight w:val="0"/>
                      <w:marTop w:val="0"/>
                      <w:marBottom w:val="0"/>
                      <w:divBdr>
                        <w:top w:val="none" w:sz="0" w:space="0" w:color="auto"/>
                        <w:left w:val="none" w:sz="0" w:space="0" w:color="auto"/>
                        <w:bottom w:val="none" w:sz="0" w:space="0" w:color="auto"/>
                        <w:right w:val="none" w:sz="0" w:space="0" w:color="auto"/>
                      </w:divBdr>
                      <w:divsChild>
                        <w:div w:id="141504388">
                          <w:marLeft w:val="0"/>
                          <w:marRight w:val="0"/>
                          <w:marTop w:val="0"/>
                          <w:marBottom w:val="0"/>
                          <w:divBdr>
                            <w:top w:val="none" w:sz="0" w:space="0" w:color="auto"/>
                            <w:left w:val="none" w:sz="0" w:space="0" w:color="auto"/>
                            <w:bottom w:val="none" w:sz="0" w:space="0" w:color="auto"/>
                            <w:right w:val="none" w:sz="0" w:space="0" w:color="auto"/>
                          </w:divBdr>
                          <w:divsChild>
                            <w:div w:id="141504413">
                              <w:marLeft w:val="0"/>
                              <w:marRight w:val="0"/>
                              <w:marTop w:val="120"/>
                              <w:marBottom w:val="360"/>
                              <w:divBdr>
                                <w:top w:val="none" w:sz="0" w:space="0" w:color="auto"/>
                                <w:left w:val="none" w:sz="0" w:space="0" w:color="auto"/>
                                <w:bottom w:val="none" w:sz="0" w:space="0" w:color="auto"/>
                                <w:right w:val="none" w:sz="0" w:space="0" w:color="auto"/>
                              </w:divBdr>
                              <w:divsChild>
                                <w:div w:id="141504515">
                                  <w:marLeft w:val="0"/>
                                  <w:marRight w:val="0"/>
                                  <w:marTop w:val="0"/>
                                  <w:marBottom w:val="0"/>
                                  <w:divBdr>
                                    <w:top w:val="none" w:sz="0" w:space="0" w:color="auto"/>
                                    <w:left w:val="none" w:sz="0" w:space="0" w:color="auto"/>
                                    <w:bottom w:val="none" w:sz="0" w:space="0" w:color="auto"/>
                                    <w:right w:val="none" w:sz="0" w:space="0" w:color="auto"/>
                                  </w:divBdr>
                                  <w:divsChild>
                                    <w:div w:id="1415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61">
      <w:marLeft w:val="0"/>
      <w:marRight w:val="0"/>
      <w:marTop w:val="0"/>
      <w:marBottom w:val="0"/>
      <w:divBdr>
        <w:top w:val="none" w:sz="0" w:space="0" w:color="auto"/>
        <w:left w:val="none" w:sz="0" w:space="0" w:color="auto"/>
        <w:bottom w:val="none" w:sz="0" w:space="0" w:color="auto"/>
        <w:right w:val="none" w:sz="0" w:space="0" w:color="auto"/>
      </w:divBdr>
    </w:div>
    <w:div w:id="141504566">
      <w:marLeft w:val="0"/>
      <w:marRight w:val="0"/>
      <w:marTop w:val="0"/>
      <w:marBottom w:val="0"/>
      <w:divBdr>
        <w:top w:val="none" w:sz="0" w:space="0" w:color="auto"/>
        <w:left w:val="none" w:sz="0" w:space="0" w:color="auto"/>
        <w:bottom w:val="none" w:sz="0" w:space="0" w:color="auto"/>
        <w:right w:val="none" w:sz="0" w:space="0" w:color="auto"/>
      </w:divBdr>
      <w:divsChild>
        <w:div w:id="141504765">
          <w:marLeft w:val="0"/>
          <w:marRight w:val="1"/>
          <w:marTop w:val="0"/>
          <w:marBottom w:val="0"/>
          <w:divBdr>
            <w:top w:val="none" w:sz="0" w:space="0" w:color="auto"/>
            <w:left w:val="none" w:sz="0" w:space="0" w:color="auto"/>
            <w:bottom w:val="none" w:sz="0" w:space="0" w:color="auto"/>
            <w:right w:val="none" w:sz="0" w:space="0" w:color="auto"/>
          </w:divBdr>
          <w:divsChild>
            <w:div w:id="141504361">
              <w:marLeft w:val="0"/>
              <w:marRight w:val="0"/>
              <w:marTop w:val="0"/>
              <w:marBottom w:val="0"/>
              <w:divBdr>
                <w:top w:val="none" w:sz="0" w:space="0" w:color="auto"/>
                <w:left w:val="none" w:sz="0" w:space="0" w:color="auto"/>
                <w:bottom w:val="none" w:sz="0" w:space="0" w:color="auto"/>
                <w:right w:val="none" w:sz="0" w:space="0" w:color="auto"/>
              </w:divBdr>
              <w:divsChild>
                <w:div w:id="141504511">
                  <w:marLeft w:val="0"/>
                  <w:marRight w:val="1"/>
                  <w:marTop w:val="0"/>
                  <w:marBottom w:val="0"/>
                  <w:divBdr>
                    <w:top w:val="none" w:sz="0" w:space="0" w:color="auto"/>
                    <w:left w:val="none" w:sz="0" w:space="0" w:color="auto"/>
                    <w:bottom w:val="none" w:sz="0" w:space="0" w:color="auto"/>
                    <w:right w:val="none" w:sz="0" w:space="0" w:color="auto"/>
                  </w:divBdr>
                  <w:divsChild>
                    <w:div w:id="141504796">
                      <w:marLeft w:val="0"/>
                      <w:marRight w:val="0"/>
                      <w:marTop w:val="0"/>
                      <w:marBottom w:val="0"/>
                      <w:divBdr>
                        <w:top w:val="none" w:sz="0" w:space="0" w:color="auto"/>
                        <w:left w:val="none" w:sz="0" w:space="0" w:color="auto"/>
                        <w:bottom w:val="none" w:sz="0" w:space="0" w:color="auto"/>
                        <w:right w:val="none" w:sz="0" w:space="0" w:color="auto"/>
                      </w:divBdr>
                      <w:divsChild>
                        <w:div w:id="141504614">
                          <w:marLeft w:val="0"/>
                          <w:marRight w:val="0"/>
                          <w:marTop w:val="0"/>
                          <w:marBottom w:val="0"/>
                          <w:divBdr>
                            <w:top w:val="none" w:sz="0" w:space="0" w:color="auto"/>
                            <w:left w:val="none" w:sz="0" w:space="0" w:color="auto"/>
                            <w:bottom w:val="none" w:sz="0" w:space="0" w:color="auto"/>
                            <w:right w:val="none" w:sz="0" w:space="0" w:color="auto"/>
                          </w:divBdr>
                          <w:divsChild>
                            <w:div w:id="141504651">
                              <w:marLeft w:val="0"/>
                              <w:marRight w:val="0"/>
                              <w:marTop w:val="120"/>
                              <w:marBottom w:val="360"/>
                              <w:divBdr>
                                <w:top w:val="none" w:sz="0" w:space="0" w:color="auto"/>
                                <w:left w:val="none" w:sz="0" w:space="0" w:color="auto"/>
                                <w:bottom w:val="none" w:sz="0" w:space="0" w:color="auto"/>
                                <w:right w:val="none" w:sz="0" w:space="0" w:color="auto"/>
                              </w:divBdr>
                              <w:divsChild>
                                <w:div w:id="141504655">
                                  <w:marLeft w:val="420"/>
                                  <w:marRight w:val="0"/>
                                  <w:marTop w:val="0"/>
                                  <w:marBottom w:val="0"/>
                                  <w:divBdr>
                                    <w:top w:val="none" w:sz="0" w:space="0" w:color="auto"/>
                                    <w:left w:val="none" w:sz="0" w:space="0" w:color="auto"/>
                                    <w:bottom w:val="none" w:sz="0" w:space="0" w:color="auto"/>
                                    <w:right w:val="none" w:sz="0" w:space="0" w:color="auto"/>
                                  </w:divBdr>
                                  <w:divsChild>
                                    <w:div w:id="141504747">
                                      <w:marLeft w:val="0"/>
                                      <w:marRight w:val="0"/>
                                      <w:marTop w:val="0"/>
                                      <w:marBottom w:val="0"/>
                                      <w:divBdr>
                                        <w:top w:val="none" w:sz="0" w:space="0" w:color="auto"/>
                                        <w:left w:val="none" w:sz="0" w:space="0" w:color="auto"/>
                                        <w:bottom w:val="none" w:sz="0" w:space="0" w:color="auto"/>
                                        <w:right w:val="none" w:sz="0" w:space="0" w:color="auto"/>
                                      </w:divBdr>
                                      <w:divsChild>
                                        <w:div w:id="141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04581">
      <w:marLeft w:val="0"/>
      <w:marRight w:val="0"/>
      <w:marTop w:val="0"/>
      <w:marBottom w:val="0"/>
      <w:divBdr>
        <w:top w:val="none" w:sz="0" w:space="0" w:color="auto"/>
        <w:left w:val="none" w:sz="0" w:space="0" w:color="auto"/>
        <w:bottom w:val="none" w:sz="0" w:space="0" w:color="auto"/>
        <w:right w:val="none" w:sz="0" w:space="0" w:color="auto"/>
      </w:divBdr>
      <w:divsChild>
        <w:div w:id="141504648">
          <w:marLeft w:val="0"/>
          <w:marRight w:val="1"/>
          <w:marTop w:val="0"/>
          <w:marBottom w:val="0"/>
          <w:divBdr>
            <w:top w:val="none" w:sz="0" w:space="0" w:color="auto"/>
            <w:left w:val="none" w:sz="0" w:space="0" w:color="auto"/>
            <w:bottom w:val="none" w:sz="0" w:space="0" w:color="auto"/>
            <w:right w:val="none" w:sz="0" w:space="0" w:color="auto"/>
          </w:divBdr>
          <w:divsChild>
            <w:div w:id="141504560">
              <w:marLeft w:val="0"/>
              <w:marRight w:val="0"/>
              <w:marTop w:val="0"/>
              <w:marBottom w:val="0"/>
              <w:divBdr>
                <w:top w:val="none" w:sz="0" w:space="0" w:color="auto"/>
                <w:left w:val="none" w:sz="0" w:space="0" w:color="auto"/>
                <w:bottom w:val="none" w:sz="0" w:space="0" w:color="auto"/>
                <w:right w:val="none" w:sz="0" w:space="0" w:color="auto"/>
              </w:divBdr>
              <w:divsChild>
                <w:div w:id="141504601">
                  <w:marLeft w:val="0"/>
                  <w:marRight w:val="1"/>
                  <w:marTop w:val="0"/>
                  <w:marBottom w:val="0"/>
                  <w:divBdr>
                    <w:top w:val="none" w:sz="0" w:space="0" w:color="auto"/>
                    <w:left w:val="none" w:sz="0" w:space="0" w:color="auto"/>
                    <w:bottom w:val="none" w:sz="0" w:space="0" w:color="auto"/>
                    <w:right w:val="none" w:sz="0" w:space="0" w:color="auto"/>
                  </w:divBdr>
                  <w:divsChild>
                    <w:div w:id="141504684">
                      <w:marLeft w:val="0"/>
                      <w:marRight w:val="0"/>
                      <w:marTop w:val="0"/>
                      <w:marBottom w:val="0"/>
                      <w:divBdr>
                        <w:top w:val="none" w:sz="0" w:space="0" w:color="auto"/>
                        <w:left w:val="none" w:sz="0" w:space="0" w:color="auto"/>
                        <w:bottom w:val="none" w:sz="0" w:space="0" w:color="auto"/>
                        <w:right w:val="none" w:sz="0" w:space="0" w:color="auto"/>
                      </w:divBdr>
                      <w:divsChild>
                        <w:div w:id="141504365">
                          <w:marLeft w:val="0"/>
                          <w:marRight w:val="0"/>
                          <w:marTop w:val="0"/>
                          <w:marBottom w:val="0"/>
                          <w:divBdr>
                            <w:top w:val="none" w:sz="0" w:space="0" w:color="auto"/>
                            <w:left w:val="none" w:sz="0" w:space="0" w:color="auto"/>
                            <w:bottom w:val="none" w:sz="0" w:space="0" w:color="auto"/>
                            <w:right w:val="none" w:sz="0" w:space="0" w:color="auto"/>
                          </w:divBdr>
                          <w:divsChild>
                            <w:div w:id="141504582">
                              <w:marLeft w:val="0"/>
                              <w:marRight w:val="0"/>
                              <w:marTop w:val="120"/>
                              <w:marBottom w:val="360"/>
                              <w:divBdr>
                                <w:top w:val="none" w:sz="0" w:space="0" w:color="auto"/>
                                <w:left w:val="none" w:sz="0" w:space="0" w:color="auto"/>
                                <w:bottom w:val="none" w:sz="0" w:space="0" w:color="auto"/>
                                <w:right w:val="none" w:sz="0" w:space="0" w:color="auto"/>
                              </w:divBdr>
                              <w:divsChild>
                                <w:div w:id="141504409">
                                  <w:marLeft w:val="0"/>
                                  <w:marRight w:val="0"/>
                                  <w:marTop w:val="0"/>
                                  <w:marBottom w:val="0"/>
                                  <w:divBdr>
                                    <w:top w:val="none" w:sz="0" w:space="0" w:color="auto"/>
                                    <w:left w:val="none" w:sz="0" w:space="0" w:color="auto"/>
                                    <w:bottom w:val="none" w:sz="0" w:space="0" w:color="auto"/>
                                    <w:right w:val="none" w:sz="0" w:space="0" w:color="auto"/>
                                  </w:divBdr>
                                  <w:divsChild>
                                    <w:div w:id="1415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91">
      <w:marLeft w:val="0"/>
      <w:marRight w:val="0"/>
      <w:marTop w:val="0"/>
      <w:marBottom w:val="0"/>
      <w:divBdr>
        <w:top w:val="none" w:sz="0" w:space="0" w:color="auto"/>
        <w:left w:val="none" w:sz="0" w:space="0" w:color="auto"/>
        <w:bottom w:val="none" w:sz="0" w:space="0" w:color="auto"/>
        <w:right w:val="none" w:sz="0" w:space="0" w:color="auto"/>
      </w:divBdr>
      <w:divsChild>
        <w:div w:id="141504572">
          <w:marLeft w:val="0"/>
          <w:marRight w:val="1"/>
          <w:marTop w:val="0"/>
          <w:marBottom w:val="0"/>
          <w:divBdr>
            <w:top w:val="none" w:sz="0" w:space="0" w:color="auto"/>
            <w:left w:val="none" w:sz="0" w:space="0" w:color="auto"/>
            <w:bottom w:val="none" w:sz="0" w:space="0" w:color="auto"/>
            <w:right w:val="none" w:sz="0" w:space="0" w:color="auto"/>
          </w:divBdr>
          <w:divsChild>
            <w:div w:id="141504620">
              <w:marLeft w:val="0"/>
              <w:marRight w:val="0"/>
              <w:marTop w:val="0"/>
              <w:marBottom w:val="0"/>
              <w:divBdr>
                <w:top w:val="none" w:sz="0" w:space="0" w:color="auto"/>
                <w:left w:val="none" w:sz="0" w:space="0" w:color="auto"/>
                <w:bottom w:val="none" w:sz="0" w:space="0" w:color="auto"/>
                <w:right w:val="none" w:sz="0" w:space="0" w:color="auto"/>
              </w:divBdr>
              <w:divsChild>
                <w:div w:id="141504617">
                  <w:marLeft w:val="0"/>
                  <w:marRight w:val="1"/>
                  <w:marTop w:val="0"/>
                  <w:marBottom w:val="0"/>
                  <w:divBdr>
                    <w:top w:val="none" w:sz="0" w:space="0" w:color="auto"/>
                    <w:left w:val="none" w:sz="0" w:space="0" w:color="auto"/>
                    <w:bottom w:val="none" w:sz="0" w:space="0" w:color="auto"/>
                    <w:right w:val="none" w:sz="0" w:space="0" w:color="auto"/>
                  </w:divBdr>
                  <w:divsChild>
                    <w:div w:id="141504474">
                      <w:marLeft w:val="0"/>
                      <w:marRight w:val="0"/>
                      <w:marTop w:val="0"/>
                      <w:marBottom w:val="0"/>
                      <w:divBdr>
                        <w:top w:val="none" w:sz="0" w:space="0" w:color="auto"/>
                        <w:left w:val="none" w:sz="0" w:space="0" w:color="auto"/>
                        <w:bottom w:val="none" w:sz="0" w:space="0" w:color="auto"/>
                        <w:right w:val="none" w:sz="0" w:space="0" w:color="auto"/>
                      </w:divBdr>
                      <w:divsChild>
                        <w:div w:id="141504755">
                          <w:marLeft w:val="0"/>
                          <w:marRight w:val="0"/>
                          <w:marTop w:val="0"/>
                          <w:marBottom w:val="0"/>
                          <w:divBdr>
                            <w:top w:val="none" w:sz="0" w:space="0" w:color="auto"/>
                            <w:left w:val="none" w:sz="0" w:space="0" w:color="auto"/>
                            <w:bottom w:val="none" w:sz="0" w:space="0" w:color="auto"/>
                            <w:right w:val="none" w:sz="0" w:space="0" w:color="auto"/>
                          </w:divBdr>
                          <w:divsChild>
                            <w:div w:id="141504485">
                              <w:marLeft w:val="0"/>
                              <w:marRight w:val="0"/>
                              <w:marTop w:val="120"/>
                              <w:marBottom w:val="360"/>
                              <w:divBdr>
                                <w:top w:val="none" w:sz="0" w:space="0" w:color="auto"/>
                                <w:left w:val="none" w:sz="0" w:space="0" w:color="auto"/>
                                <w:bottom w:val="none" w:sz="0" w:space="0" w:color="auto"/>
                                <w:right w:val="none" w:sz="0" w:space="0" w:color="auto"/>
                              </w:divBdr>
                              <w:divsChild>
                                <w:div w:id="141504387">
                                  <w:marLeft w:val="0"/>
                                  <w:marRight w:val="0"/>
                                  <w:marTop w:val="0"/>
                                  <w:marBottom w:val="0"/>
                                  <w:divBdr>
                                    <w:top w:val="none" w:sz="0" w:space="0" w:color="auto"/>
                                    <w:left w:val="none" w:sz="0" w:space="0" w:color="auto"/>
                                    <w:bottom w:val="none" w:sz="0" w:space="0" w:color="auto"/>
                                    <w:right w:val="none" w:sz="0" w:space="0" w:color="auto"/>
                                  </w:divBdr>
                                  <w:divsChild>
                                    <w:div w:id="1415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592">
      <w:marLeft w:val="0"/>
      <w:marRight w:val="0"/>
      <w:marTop w:val="0"/>
      <w:marBottom w:val="0"/>
      <w:divBdr>
        <w:top w:val="none" w:sz="0" w:space="0" w:color="auto"/>
        <w:left w:val="none" w:sz="0" w:space="0" w:color="auto"/>
        <w:bottom w:val="none" w:sz="0" w:space="0" w:color="auto"/>
        <w:right w:val="none" w:sz="0" w:space="0" w:color="auto"/>
      </w:divBdr>
    </w:div>
    <w:div w:id="141504594">
      <w:marLeft w:val="0"/>
      <w:marRight w:val="0"/>
      <w:marTop w:val="0"/>
      <w:marBottom w:val="0"/>
      <w:divBdr>
        <w:top w:val="none" w:sz="0" w:space="0" w:color="auto"/>
        <w:left w:val="none" w:sz="0" w:space="0" w:color="auto"/>
        <w:bottom w:val="none" w:sz="0" w:space="0" w:color="auto"/>
        <w:right w:val="none" w:sz="0" w:space="0" w:color="auto"/>
      </w:divBdr>
      <w:divsChild>
        <w:div w:id="141504436">
          <w:marLeft w:val="0"/>
          <w:marRight w:val="1"/>
          <w:marTop w:val="0"/>
          <w:marBottom w:val="0"/>
          <w:divBdr>
            <w:top w:val="none" w:sz="0" w:space="0" w:color="auto"/>
            <w:left w:val="none" w:sz="0" w:space="0" w:color="auto"/>
            <w:bottom w:val="none" w:sz="0" w:space="0" w:color="auto"/>
            <w:right w:val="none" w:sz="0" w:space="0" w:color="auto"/>
          </w:divBdr>
          <w:divsChild>
            <w:div w:id="141504571">
              <w:marLeft w:val="0"/>
              <w:marRight w:val="0"/>
              <w:marTop w:val="0"/>
              <w:marBottom w:val="0"/>
              <w:divBdr>
                <w:top w:val="none" w:sz="0" w:space="0" w:color="auto"/>
                <w:left w:val="none" w:sz="0" w:space="0" w:color="auto"/>
                <w:bottom w:val="none" w:sz="0" w:space="0" w:color="auto"/>
                <w:right w:val="none" w:sz="0" w:space="0" w:color="auto"/>
              </w:divBdr>
              <w:divsChild>
                <w:div w:id="141504392">
                  <w:marLeft w:val="0"/>
                  <w:marRight w:val="1"/>
                  <w:marTop w:val="0"/>
                  <w:marBottom w:val="0"/>
                  <w:divBdr>
                    <w:top w:val="none" w:sz="0" w:space="0" w:color="auto"/>
                    <w:left w:val="none" w:sz="0" w:space="0" w:color="auto"/>
                    <w:bottom w:val="none" w:sz="0" w:space="0" w:color="auto"/>
                    <w:right w:val="none" w:sz="0" w:space="0" w:color="auto"/>
                  </w:divBdr>
                  <w:divsChild>
                    <w:div w:id="141504412">
                      <w:marLeft w:val="0"/>
                      <w:marRight w:val="0"/>
                      <w:marTop w:val="0"/>
                      <w:marBottom w:val="0"/>
                      <w:divBdr>
                        <w:top w:val="none" w:sz="0" w:space="0" w:color="auto"/>
                        <w:left w:val="none" w:sz="0" w:space="0" w:color="auto"/>
                        <w:bottom w:val="none" w:sz="0" w:space="0" w:color="auto"/>
                        <w:right w:val="none" w:sz="0" w:space="0" w:color="auto"/>
                      </w:divBdr>
                      <w:divsChild>
                        <w:div w:id="141504363">
                          <w:marLeft w:val="0"/>
                          <w:marRight w:val="0"/>
                          <w:marTop w:val="0"/>
                          <w:marBottom w:val="0"/>
                          <w:divBdr>
                            <w:top w:val="none" w:sz="0" w:space="0" w:color="auto"/>
                            <w:left w:val="none" w:sz="0" w:space="0" w:color="auto"/>
                            <w:bottom w:val="none" w:sz="0" w:space="0" w:color="auto"/>
                            <w:right w:val="none" w:sz="0" w:space="0" w:color="auto"/>
                          </w:divBdr>
                          <w:divsChild>
                            <w:div w:id="141504569">
                              <w:marLeft w:val="0"/>
                              <w:marRight w:val="0"/>
                              <w:marTop w:val="120"/>
                              <w:marBottom w:val="360"/>
                              <w:divBdr>
                                <w:top w:val="none" w:sz="0" w:space="0" w:color="auto"/>
                                <w:left w:val="none" w:sz="0" w:space="0" w:color="auto"/>
                                <w:bottom w:val="none" w:sz="0" w:space="0" w:color="auto"/>
                                <w:right w:val="none" w:sz="0" w:space="0" w:color="auto"/>
                              </w:divBdr>
                              <w:divsChild>
                                <w:div w:id="141504686">
                                  <w:marLeft w:val="0"/>
                                  <w:marRight w:val="0"/>
                                  <w:marTop w:val="0"/>
                                  <w:marBottom w:val="0"/>
                                  <w:divBdr>
                                    <w:top w:val="none" w:sz="0" w:space="0" w:color="auto"/>
                                    <w:left w:val="none" w:sz="0" w:space="0" w:color="auto"/>
                                    <w:bottom w:val="none" w:sz="0" w:space="0" w:color="auto"/>
                                    <w:right w:val="none" w:sz="0" w:space="0" w:color="auto"/>
                                  </w:divBdr>
                                  <w:divsChild>
                                    <w:div w:id="1415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06">
      <w:marLeft w:val="0"/>
      <w:marRight w:val="0"/>
      <w:marTop w:val="0"/>
      <w:marBottom w:val="0"/>
      <w:divBdr>
        <w:top w:val="none" w:sz="0" w:space="0" w:color="auto"/>
        <w:left w:val="none" w:sz="0" w:space="0" w:color="auto"/>
        <w:bottom w:val="none" w:sz="0" w:space="0" w:color="auto"/>
        <w:right w:val="none" w:sz="0" w:space="0" w:color="auto"/>
      </w:divBdr>
      <w:divsChild>
        <w:div w:id="141504522">
          <w:marLeft w:val="0"/>
          <w:marRight w:val="1"/>
          <w:marTop w:val="0"/>
          <w:marBottom w:val="0"/>
          <w:divBdr>
            <w:top w:val="none" w:sz="0" w:space="0" w:color="auto"/>
            <w:left w:val="none" w:sz="0" w:space="0" w:color="auto"/>
            <w:bottom w:val="none" w:sz="0" w:space="0" w:color="auto"/>
            <w:right w:val="none" w:sz="0" w:space="0" w:color="auto"/>
          </w:divBdr>
          <w:divsChild>
            <w:div w:id="141504794">
              <w:marLeft w:val="0"/>
              <w:marRight w:val="0"/>
              <w:marTop w:val="0"/>
              <w:marBottom w:val="0"/>
              <w:divBdr>
                <w:top w:val="none" w:sz="0" w:space="0" w:color="auto"/>
                <w:left w:val="none" w:sz="0" w:space="0" w:color="auto"/>
                <w:bottom w:val="none" w:sz="0" w:space="0" w:color="auto"/>
                <w:right w:val="none" w:sz="0" w:space="0" w:color="auto"/>
              </w:divBdr>
              <w:divsChild>
                <w:div w:id="141504451">
                  <w:marLeft w:val="0"/>
                  <w:marRight w:val="1"/>
                  <w:marTop w:val="0"/>
                  <w:marBottom w:val="0"/>
                  <w:divBdr>
                    <w:top w:val="none" w:sz="0" w:space="0" w:color="auto"/>
                    <w:left w:val="none" w:sz="0" w:space="0" w:color="auto"/>
                    <w:bottom w:val="none" w:sz="0" w:space="0" w:color="auto"/>
                    <w:right w:val="none" w:sz="0" w:space="0" w:color="auto"/>
                  </w:divBdr>
                  <w:divsChild>
                    <w:div w:id="141504781">
                      <w:marLeft w:val="0"/>
                      <w:marRight w:val="0"/>
                      <w:marTop w:val="0"/>
                      <w:marBottom w:val="0"/>
                      <w:divBdr>
                        <w:top w:val="none" w:sz="0" w:space="0" w:color="auto"/>
                        <w:left w:val="none" w:sz="0" w:space="0" w:color="auto"/>
                        <w:bottom w:val="none" w:sz="0" w:space="0" w:color="auto"/>
                        <w:right w:val="none" w:sz="0" w:space="0" w:color="auto"/>
                      </w:divBdr>
                      <w:divsChild>
                        <w:div w:id="141504487">
                          <w:marLeft w:val="0"/>
                          <w:marRight w:val="0"/>
                          <w:marTop w:val="0"/>
                          <w:marBottom w:val="0"/>
                          <w:divBdr>
                            <w:top w:val="none" w:sz="0" w:space="0" w:color="auto"/>
                            <w:left w:val="none" w:sz="0" w:space="0" w:color="auto"/>
                            <w:bottom w:val="none" w:sz="0" w:space="0" w:color="auto"/>
                            <w:right w:val="none" w:sz="0" w:space="0" w:color="auto"/>
                          </w:divBdr>
                          <w:divsChild>
                            <w:div w:id="141504550">
                              <w:marLeft w:val="0"/>
                              <w:marRight w:val="0"/>
                              <w:marTop w:val="120"/>
                              <w:marBottom w:val="360"/>
                              <w:divBdr>
                                <w:top w:val="none" w:sz="0" w:space="0" w:color="auto"/>
                                <w:left w:val="none" w:sz="0" w:space="0" w:color="auto"/>
                                <w:bottom w:val="none" w:sz="0" w:space="0" w:color="auto"/>
                                <w:right w:val="none" w:sz="0" w:space="0" w:color="auto"/>
                              </w:divBdr>
                              <w:divsChild>
                                <w:div w:id="141504411">
                                  <w:marLeft w:val="0"/>
                                  <w:marRight w:val="0"/>
                                  <w:marTop w:val="0"/>
                                  <w:marBottom w:val="0"/>
                                  <w:divBdr>
                                    <w:top w:val="none" w:sz="0" w:space="0" w:color="auto"/>
                                    <w:left w:val="none" w:sz="0" w:space="0" w:color="auto"/>
                                    <w:bottom w:val="none" w:sz="0" w:space="0" w:color="auto"/>
                                    <w:right w:val="none" w:sz="0" w:space="0" w:color="auto"/>
                                  </w:divBdr>
                                  <w:divsChild>
                                    <w:div w:id="1415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08">
      <w:marLeft w:val="0"/>
      <w:marRight w:val="0"/>
      <w:marTop w:val="0"/>
      <w:marBottom w:val="0"/>
      <w:divBdr>
        <w:top w:val="none" w:sz="0" w:space="0" w:color="auto"/>
        <w:left w:val="none" w:sz="0" w:space="0" w:color="auto"/>
        <w:bottom w:val="none" w:sz="0" w:space="0" w:color="auto"/>
        <w:right w:val="none" w:sz="0" w:space="0" w:color="auto"/>
      </w:divBdr>
    </w:div>
    <w:div w:id="141504609">
      <w:marLeft w:val="0"/>
      <w:marRight w:val="0"/>
      <w:marTop w:val="0"/>
      <w:marBottom w:val="0"/>
      <w:divBdr>
        <w:top w:val="none" w:sz="0" w:space="0" w:color="auto"/>
        <w:left w:val="none" w:sz="0" w:space="0" w:color="auto"/>
        <w:bottom w:val="none" w:sz="0" w:space="0" w:color="auto"/>
        <w:right w:val="none" w:sz="0" w:space="0" w:color="auto"/>
      </w:divBdr>
    </w:div>
    <w:div w:id="141504612">
      <w:marLeft w:val="0"/>
      <w:marRight w:val="0"/>
      <w:marTop w:val="0"/>
      <w:marBottom w:val="0"/>
      <w:divBdr>
        <w:top w:val="none" w:sz="0" w:space="0" w:color="auto"/>
        <w:left w:val="none" w:sz="0" w:space="0" w:color="auto"/>
        <w:bottom w:val="none" w:sz="0" w:space="0" w:color="auto"/>
        <w:right w:val="none" w:sz="0" w:space="0" w:color="auto"/>
      </w:divBdr>
      <w:divsChild>
        <w:div w:id="141504425">
          <w:marLeft w:val="0"/>
          <w:marRight w:val="1"/>
          <w:marTop w:val="0"/>
          <w:marBottom w:val="0"/>
          <w:divBdr>
            <w:top w:val="none" w:sz="0" w:space="0" w:color="auto"/>
            <w:left w:val="none" w:sz="0" w:space="0" w:color="auto"/>
            <w:bottom w:val="none" w:sz="0" w:space="0" w:color="auto"/>
            <w:right w:val="none" w:sz="0" w:space="0" w:color="auto"/>
          </w:divBdr>
          <w:divsChild>
            <w:div w:id="141504785">
              <w:marLeft w:val="0"/>
              <w:marRight w:val="0"/>
              <w:marTop w:val="0"/>
              <w:marBottom w:val="0"/>
              <w:divBdr>
                <w:top w:val="none" w:sz="0" w:space="0" w:color="auto"/>
                <w:left w:val="none" w:sz="0" w:space="0" w:color="auto"/>
                <w:bottom w:val="none" w:sz="0" w:space="0" w:color="auto"/>
                <w:right w:val="none" w:sz="0" w:space="0" w:color="auto"/>
              </w:divBdr>
              <w:divsChild>
                <w:div w:id="141504708">
                  <w:marLeft w:val="0"/>
                  <w:marRight w:val="1"/>
                  <w:marTop w:val="0"/>
                  <w:marBottom w:val="0"/>
                  <w:divBdr>
                    <w:top w:val="none" w:sz="0" w:space="0" w:color="auto"/>
                    <w:left w:val="none" w:sz="0" w:space="0" w:color="auto"/>
                    <w:bottom w:val="none" w:sz="0" w:space="0" w:color="auto"/>
                    <w:right w:val="none" w:sz="0" w:space="0" w:color="auto"/>
                  </w:divBdr>
                  <w:divsChild>
                    <w:div w:id="141504730">
                      <w:marLeft w:val="0"/>
                      <w:marRight w:val="0"/>
                      <w:marTop w:val="0"/>
                      <w:marBottom w:val="0"/>
                      <w:divBdr>
                        <w:top w:val="none" w:sz="0" w:space="0" w:color="auto"/>
                        <w:left w:val="none" w:sz="0" w:space="0" w:color="auto"/>
                        <w:bottom w:val="none" w:sz="0" w:space="0" w:color="auto"/>
                        <w:right w:val="none" w:sz="0" w:space="0" w:color="auto"/>
                      </w:divBdr>
                      <w:divsChild>
                        <w:div w:id="141504553">
                          <w:marLeft w:val="0"/>
                          <w:marRight w:val="0"/>
                          <w:marTop w:val="0"/>
                          <w:marBottom w:val="0"/>
                          <w:divBdr>
                            <w:top w:val="none" w:sz="0" w:space="0" w:color="auto"/>
                            <w:left w:val="none" w:sz="0" w:space="0" w:color="auto"/>
                            <w:bottom w:val="none" w:sz="0" w:space="0" w:color="auto"/>
                            <w:right w:val="none" w:sz="0" w:space="0" w:color="auto"/>
                          </w:divBdr>
                          <w:divsChild>
                            <w:div w:id="141504632">
                              <w:marLeft w:val="0"/>
                              <w:marRight w:val="0"/>
                              <w:marTop w:val="120"/>
                              <w:marBottom w:val="360"/>
                              <w:divBdr>
                                <w:top w:val="none" w:sz="0" w:space="0" w:color="auto"/>
                                <w:left w:val="none" w:sz="0" w:space="0" w:color="auto"/>
                                <w:bottom w:val="none" w:sz="0" w:space="0" w:color="auto"/>
                                <w:right w:val="none" w:sz="0" w:space="0" w:color="auto"/>
                              </w:divBdr>
                              <w:divsChild>
                                <w:div w:id="141504573">
                                  <w:marLeft w:val="0"/>
                                  <w:marRight w:val="0"/>
                                  <w:marTop w:val="0"/>
                                  <w:marBottom w:val="0"/>
                                  <w:divBdr>
                                    <w:top w:val="none" w:sz="0" w:space="0" w:color="auto"/>
                                    <w:left w:val="none" w:sz="0" w:space="0" w:color="auto"/>
                                    <w:bottom w:val="none" w:sz="0" w:space="0" w:color="auto"/>
                                    <w:right w:val="none" w:sz="0" w:space="0" w:color="auto"/>
                                  </w:divBdr>
                                  <w:divsChild>
                                    <w:div w:id="141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18">
      <w:marLeft w:val="0"/>
      <w:marRight w:val="0"/>
      <w:marTop w:val="0"/>
      <w:marBottom w:val="0"/>
      <w:divBdr>
        <w:top w:val="none" w:sz="0" w:space="0" w:color="auto"/>
        <w:left w:val="none" w:sz="0" w:space="0" w:color="auto"/>
        <w:bottom w:val="none" w:sz="0" w:space="0" w:color="auto"/>
        <w:right w:val="none" w:sz="0" w:space="0" w:color="auto"/>
      </w:divBdr>
      <w:divsChild>
        <w:div w:id="141504480">
          <w:marLeft w:val="0"/>
          <w:marRight w:val="1"/>
          <w:marTop w:val="0"/>
          <w:marBottom w:val="0"/>
          <w:divBdr>
            <w:top w:val="none" w:sz="0" w:space="0" w:color="auto"/>
            <w:left w:val="none" w:sz="0" w:space="0" w:color="auto"/>
            <w:bottom w:val="none" w:sz="0" w:space="0" w:color="auto"/>
            <w:right w:val="none" w:sz="0" w:space="0" w:color="auto"/>
          </w:divBdr>
          <w:divsChild>
            <w:div w:id="141504559">
              <w:marLeft w:val="0"/>
              <w:marRight w:val="0"/>
              <w:marTop w:val="0"/>
              <w:marBottom w:val="0"/>
              <w:divBdr>
                <w:top w:val="none" w:sz="0" w:space="0" w:color="auto"/>
                <w:left w:val="none" w:sz="0" w:space="0" w:color="auto"/>
                <w:bottom w:val="none" w:sz="0" w:space="0" w:color="auto"/>
                <w:right w:val="none" w:sz="0" w:space="0" w:color="auto"/>
              </w:divBdr>
              <w:divsChild>
                <w:div w:id="141504463">
                  <w:marLeft w:val="0"/>
                  <w:marRight w:val="1"/>
                  <w:marTop w:val="0"/>
                  <w:marBottom w:val="0"/>
                  <w:divBdr>
                    <w:top w:val="none" w:sz="0" w:space="0" w:color="auto"/>
                    <w:left w:val="none" w:sz="0" w:space="0" w:color="auto"/>
                    <w:bottom w:val="none" w:sz="0" w:space="0" w:color="auto"/>
                    <w:right w:val="none" w:sz="0" w:space="0" w:color="auto"/>
                  </w:divBdr>
                  <w:divsChild>
                    <w:div w:id="141504364">
                      <w:marLeft w:val="0"/>
                      <w:marRight w:val="0"/>
                      <w:marTop w:val="0"/>
                      <w:marBottom w:val="0"/>
                      <w:divBdr>
                        <w:top w:val="none" w:sz="0" w:space="0" w:color="auto"/>
                        <w:left w:val="none" w:sz="0" w:space="0" w:color="auto"/>
                        <w:bottom w:val="none" w:sz="0" w:space="0" w:color="auto"/>
                        <w:right w:val="none" w:sz="0" w:space="0" w:color="auto"/>
                      </w:divBdr>
                      <w:divsChild>
                        <w:div w:id="141504767">
                          <w:marLeft w:val="0"/>
                          <w:marRight w:val="0"/>
                          <w:marTop w:val="0"/>
                          <w:marBottom w:val="0"/>
                          <w:divBdr>
                            <w:top w:val="none" w:sz="0" w:space="0" w:color="auto"/>
                            <w:left w:val="none" w:sz="0" w:space="0" w:color="auto"/>
                            <w:bottom w:val="none" w:sz="0" w:space="0" w:color="auto"/>
                            <w:right w:val="none" w:sz="0" w:space="0" w:color="auto"/>
                          </w:divBdr>
                          <w:divsChild>
                            <w:div w:id="141504452">
                              <w:marLeft w:val="0"/>
                              <w:marRight w:val="0"/>
                              <w:marTop w:val="120"/>
                              <w:marBottom w:val="360"/>
                              <w:divBdr>
                                <w:top w:val="none" w:sz="0" w:space="0" w:color="auto"/>
                                <w:left w:val="none" w:sz="0" w:space="0" w:color="auto"/>
                                <w:bottom w:val="none" w:sz="0" w:space="0" w:color="auto"/>
                                <w:right w:val="none" w:sz="0" w:space="0" w:color="auto"/>
                              </w:divBdr>
                              <w:divsChild>
                                <w:div w:id="141504700">
                                  <w:marLeft w:val="0"/>
                                  <w:marRight w:val="0"/>
                                  <w:marTop w:val="0"/>
                                  <w:marBottom w:val="0"/>
                                  <w:divBdr>
                                    <w:top w:val="none" w:sz="0" w:space="0" w:color="auto"/>
                                    <w:left w:val="none" w:sz="0" w:space="0" w:color="auto"/>
                                    <w:bottom w:val="none" w:sz="0" w:space="0" w:color="auto"/>
                                    <w:right w:val="none" w:sz="0" w:space="0" w:color="auto"/>
                                  </w:divBdr>
                                  <w:divsChild>
                                    <w:div w:id="1415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22">
      <w:marLeft w:val="0"/>
      <w:marRight w:val="0"/>
      <w:marTop w:val="0"/>
      <w:marBottom w:val="0"/>
      <w:divBdr>
        <w:top w:val="none" w:sz="0" w:space="0" w:color="auto"/>
        <w:left w:val="none" w:sz="0" w:space="0" w:color="auto"/>
        <w:bottom w:val="none" w:sz="0" w:space="0" w:color="auto"/>
        <w:right w:val="none" w:sz="0" w:space="0" w:color="auto"/>
      </w:divBdr>
      <w:divsChild>
        <w:div w:id="141504527">
          <w:marLeft w:val="0"/>
          <w:marRight w:val="1"/>
          <w:marTop w:val="0"/>
          <w:marBottom w:val="0"/>
          <w:divBdr>
            <w:top w:val="none" w:sz="0" w:space="0" w:color="auto"/>
            <w:left w:val="none" w:sz="0" w:space="0" w:color="auto"/>
            <w:bottom w:val="none" w:sz="0" w:space="0" w:color="auto"/>
            <w:right w:val="none" w:sz="0" w:space="0" w:color="auto"/>
          </w:divBdr>
          <w:divsChild>
            <w:div w:id="141504400">
              <w:marLeft w:val="0"/>
              <w:marRight w:val="0"/>
              <w:marTop w:val="0"/>
              <w:marBottom w:val="0"/>
              <w:divBdr>
                <w:top w:val="none" w:sz="0" w:space="0" w:color="auto"/>
                <w:left w:val="none" w:sz="0" w:space="0" w:color="auto"/>
                <w:bottom w:val="none" w:sz="0" w:space="0" w:color="auto"/>
                <w:right w:val="none" w:sz="0" w:space="0" w:color="auto"/>
              </w:divBdr>
              <w:divsChild>
                <w:div w:id="141504397">
                  <w:marLeft w:val="0"/>
                  <w:marRight w:val="1"/>
                  <w:marTop w:val="0"/>
                  <w:marBottom w:val="0"/>
                  <w:divBdr>
                    <w:top w:val="none" w:sz="0" w:space="0" w:color="auto"/>
                    <w:left w:val="none" w:sz="0" w:space="0" w:color="auto"/>
                    <w:bottom w:val="none" w:sz="0" w:space="0" w:color="auto"/>
                    <w:right w:val="none" w:sz="0" w:space="0" w:color="auto"/>
                  </w:divBdr>
                  <w:divsChild>
                    <w:div w:id="141504737">
                      <w:marLeft w:val="0"/>
                      <w:marRight w:val="0"/>
                      <w:marTop w:val="0"/>
                      <w:marBottom w:val="0"/>
                      <w:divBdr>
                        <w:top w:val="none" w:sz="0" w:space="0" w:color="auto"/>
                        <w:left w:val="none" w:sz="0" w:space="0" w:color="auto"/>
                        <w:bottom w:val="none" w:sz="0" w:space="0" w:color="auto"/>
                        <w:right w:val="none" w:sz="0" w:space="0" w:color="auto"/>
                      </w:divBdr>
                      <w:divsChild>
                        <w:div w:id="141504460">
                          <w:marLeft w:val="0"/>
                          <w:marRight w:val="0"/>
                          <w:marTop w:val="0"/>
                          <w:marBottom w:val="0"/>
                          <w:divBdr>
                            <w:top w:val="none" w:sz="0" w:space="0" w:color="auto"/>
                            <w:left w:val="none" w:sz="0" w:space="0" w:color="auto"/>
                            <w:bottom w:val="none" w:sz="0" w:space="0" w:color="auto"/>
                            <w:right w:val="none" w:sz="0" w:space="0" w:color="auto"/>
                          </w:divBdr>
                          <w:divsChild>
                            <w:div w:id="141504370">
                              <w:marLeft w:val="0"/>
                              <w:marRight w:val="0"/>
                              <w:marTop w:val="120"/>
                              <w:marBottom w:val="360"/>
                              <w:divBdr>
                                <w:top w:val="none" w:sz="0" w:space="0" w:color="auto"/>
                                <w:left w:val="none" w:sz="0" w:space="0" w:color="auto"/>
                                <w:bottom w:val="none" w:sz="0" w:space="0" w:color="auto"/>
                                <w:right w:val="none" w:sz="0" w:space="0" w:color="auto"/>
                              </w:divBdr>
                              <w:divsChild>
                                <w:div w:id="141504771">
                                  <w:marLeft w:val="0"/>
                                  <w:marRight w:val="0"/>
                                  <w:marTop w:val="0"/>
                                  <w:marBottom w:val="0"/>
                                  <w:divBdr>
                                    <w:top w:val="none" w:sz="0" w:space="0" w:color="auto"/>
                                    <w:left w:val="none" w:sz="0" w:space="0" w:color="auto"/>
                                    <w:bottom w:val="none" w:sz="0" w:space="0" w:color="auto"/>
                                    <w:right w:val="none" w:sz="0" w:space="0" w:color="auto"/>
                                  </w:divBdr>
                                  <w:divsChild>
                                    <w:div w:id="1415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24">
      <w:marLeft w:val="0"/>
      <w:marRight w:val="0"/>
      <w:marTop w:val="0"/>
      <w:marBottom w:val="0"/>
      <w:divBdr>
        <w:top w:val="none" w:sz="0" w:space="0" w:color="auto"/>
        <w:left w:val="none" w:sz="0" w:space="0" w:color="auto"/>
        <w:bottom w:val="none" w:sz="0" w:space="0" w:color="auto"/>
        <w:right w:val="none" w:sz="0" w:space="0" w:color="auto"/>
      </w:divBdr>
      <w:divsChild>
        <w:div w:id="141504465">
          <w:marLeft w:val="0"/>
          <w:marRight w:val="1"/>
          <w:marTop w:val="0"/>
          <w:marBottom w:val="0"/>
          <w:divBdr>
            <w:top w:val="none" w:sz="0" w:space="0" w:color="auto"/>
            <w:left w:val="none" w:sz="0" w:space="0" w:color="auto"/>
            <w:bottom w:val="none" w:sz="0" w:space="0" w:color="auto"/>
            <w:right w:val="none" w:sz="0" w:space="0" w:color="auto"/>
          </w:divBdr>
          <w:divsChild>
            <w:div w:id="141504587">
              <w:marLeft w:val="0"/>
              <w:marRight w:val="0"/>
              <w:marTop w:val="0"/>
              <w:marBottom w:val="0"/>
              <w:divBdr>
                <w:top w:val="none" w:sz="0" w:space="0" w:color="auto"/>
                <w:left w:val="none" w:sz="0" w:space="0" w:color="auto"/>
                <w:bottom w:val="none" w:sz="0" w:space="0" w:color="auto"/>
                <w:right w:val="none" w:sz="0" w:space="0" w:color="auto"/>
              </w:divBdr>
              <w:divsChild>
                <w:div w:id="141504541">
                  <w:marLeft w:val="0"/>
                  <w:marRight w:val="1"/>
                  <w:marTop w:val="0"/>
                  <w:marBottom w:val="0"/>
                  <w:divBdr>
                    <w:top w:val="none" w:sz="0" w:space="0" w:color="auto"/>
                    <w:left w:val="none" w:sz="0" w:space="0" w:color="auto"/>
                    <w:bottom w:val="none" w:sz="0" w:space="0" w:color="auto"/>
                    <w:right w:val="none" w:sz="0" w:space="0" w:color="auto"/>
                  </w:divBdr>
                  <w:divsChild>
                    <w:div w:id="141504445">
                      <w:marLeft w:val="0"/>
                      <w:marRight w:val="0"/>
                      <w:marTop w:val="0"/>
                      <w:marBottom w:val="0"/>
                      <w:divBdr>
                        <w:top w:val="none" w:sz="0" w:space="0" w:color="auto"/>
                        <w:left w:val="none" w:sz="0" w:space="0" w:color="auto"/>
                        <w:bottom w:val="none" w:sz="0" w:space="0" w:color="auto"/>
                        <w:right w:val="none" w:sz="0" w:space="0" w:color="auto"/>
                      </w:divBdr>
                      <w:divsChild>
                        <w:div w:id="141504629">
                          <w:marLeft w:val="0"/>
                          <w:marRight w:val="0"/>
                          <w:marTop w:val="0"/>
                          <w:marBottom w:val="0"/>
                          <w:divBdr>
                            <w:top w:val="none" w:sz="0" w:space="0" w:color="auto"/>
                            <w:left w:val="none" w:sz="0" w:space="0" w:color="auto"/>
                            <w:bottom w:val="none" w:sz="0" w:space="0" w:color="auto"/>
                            <w:right w:val="none" w:sz="0" w:space="0" w:color="auto"/>
                          </w:divBdr>
                          <w:divsChild>
                            <w:div w:id="141504385">
                              <w:marLeft w:val="0"/>
                              <w:marRight w:val="0"/>
                              <w:marTop w:val="120"/>
                              <w:marBottom w:val="360"/>
                              <w:divBdr>
                                <w:top w:val="none" w:sz="0" w:space="0" w:color="auto"/>
                                <w:left w:val="none" w:sz="0" w:space="0" w:color="auto"/>
                                <w:bottom w:val="none" w:sz="0" w:space="0" w:color="auto"/>
                                <w:right w:val="none" w:sz="0" w:space="0" w:color="auto"/>
                              </w:divBdr>
                              <w:divsChild>
                                <w:div w:id="141504672">
                                  <w:marLeft w:val="0"/>
                                  <w:marRight w:val="0"/>
                                  <w:marTop w:val="0"/>
                                  <w:marBottom w:val="0"/>
                                  <w:divBdr>
                                    <w:top w:val="none" w:sz="0" w:space="0" w:color="auto"/>
                                    <w:left w:val="none" w:sz="0" w:space="0" w:color="auto"/>
                                    <w:bottom w:val="none" w:sz="0" w:space="0" w:color="auto"/>
                                    <w:right w:val="none" w:sz="0" w:space="0" w:color="auto"/>
                                  </w:divBdr>
                                  <w:divsChild>
                                    <w:div w:id="1415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45">
      <w:marLeft w:val="0"/>
      <w:marRight w:val="0"/>
      <w:marTop w:val="0"/>
      <w:marBottom w:val="0"/>
      <w:divBdr>
        <w:top w:val="none" w:sz="0" w:space="0" w:color="auto"/>
        <w:left w:val="none" w:sz="0" w:space="0" w:color="auto"/>
        <w:bottom w:val="none" w:sz="0" w:space="0" w:color="auto"/>
        <w:right w:val="none" w:sz="0" w:space="0" w:color="auto"/>
      </w:divBdr>
      <w:divsChild>
        <w:div w:id="141504602">
          <w:marLeft w:val="0"/>
          <w:marRight w:val="1"/>
          <w:marTop w:val="0"/>
          <w:marBottom w:val="0"/>
          <w:divBdr>
            <w:top w:val="none" w:sz="0" w:space="0" w:color="auto"/>
            <w:left w:val="none" w:sz="0" w:space="0" w:color="auto"/>
            <w:bottom w:val="none" w:sz="0" w:space="0" w:color="auto"/>
            <w:right w:val="none" w:sz="0" w:space="0" w:color="auto"/>
          </w:divBdr>
          <w:divsChild>
            <w:div w:id="141504732">
              <w:marLeft w:val="0"/>
              <w:marRight w:val="0"/>
              <w:marTop w:val="0"/>
              <w:marBottom w:val="0"/>
              <w:divBdr>
                <w:top w:val="none" w:sz="0" w:space="0" w:color="auto"/>
                <w:left w:val="none" w:sz="0" w:space="0" w:color="auto"/>
                <w:bottom w:val="none" w:sz="0" w:space="0" w:color="auto"/>
                <w:right w:val="none" w:sz="0" w:space="0" w:color="auto"/>
              </w:divBdr>
              <w:divsChild>
                <w:div w:id="141504417">
                  <w:marLeft w:val="0"/>
                  <w:marRight w:val="1"/>
                  <w:marTop w:val="0"/>
                  <w:marBottom w:val="0"/>
                  <w:divBdr>
                    <w:top w:val="none" w:sz="0" w:space="0" w:color="auto"/>
                    <w:left w:val="none" w:sz="0" w:space="0" w:color="auto"/>
                    <w:bottom w:val="none" w:sz="0" w:space="0" w:color="auto"/>
                    <w:right w:val="none" w:sz="0" w:space="0" w:color="auto"/>
                  </w:divBdr>
                  <w:divsChild>
                    <w:div w:id="141504526">
                      <w:marLeft w:val="0"/>
                      <w:marRight w:val="0"/>
                      <w:marTop w:val="0"/>
                      <w:marBottom w:val="0"/>
                      <w:divBdr>
                        <w:top w:val="none" w:sz="0" w:space="0" w:color="auto"/>
                        <w:left w:val="none" w:sz="0" w:space="0" w:color="auto"/>
                        <w:bottom w:val="none" w:sz="0" w:space="0" w:color="auto"/>
                        <w:right w:val="none" w:sz="0" w:space="0" w:color="auto"/>
                      </w:divBdr>
                      <w:divsChild>
                        <w:div w:id="141504667">
                          <w:marLeft w:val="0"/>
                          <w:marRight w:val="0"/>
                          <w:marTop w:val="0"/>
                          <w:marBottom w:val="0"/>
                          <w:divBdr>
                            <w:top w:val="none" w:sz="0" w:space="0" w:color="auto"/>
                            <w:left w:val="none" w:sz="0" w:space="0" w:color="auto"/>
                            <w:bottom w:val="none" w:sz="0" w:space="0" w:color="auto"/>
                            <w:right w:val="none" w:sz="0" w:space="0" w:color="auto"/>
                          </w:divBdr>
                          <w:divsChild>
                            <w:div w:id="141504529">
                              <w:marLeft w:val="0"/>
                              <w:marRight w:val="0"/>
                              <w:marTop w:val="120"/>
                              <w:marBottom w:val="360"/>
                              <w:divBdr>
                                <w:top w:val="none" w:sz="0" w:space="0" w:color="auto"/>
                                <w:left w:val="none" w:sz="0" w:space="0" w:color="auto"/>
                                <w:bottom w:val="none" w:sz="0" w:space="0" w:color="auto"/>
                                <w:right w:val="none" w:sz="0" w:space="0" w:color="auto"/>
                              </w:divBdr>
                              <w:divsChild>
                                <w:div w:id="141504659">
                                  <w:marLeft w:val="0"/>
                                  <w:marRight w:val="0"/>
                                  <w:marTop w:val="0"/>
                                  <w:marBottom w:val="0"/>
                                  <w:divBdr>
                                    <w:top w:val="none" w:sz="0" w:space="0" w:color="auto"/>
                                    <w:left w:val="none" w:sz="0" w:space="0" w:color="auto"/>
                                    <w:bottom w:val="none" w:sz="0" w:space="0" w:color="auto"/>
                                    <w:right w:val="none" w:sz="0" w:space="0" w:color="auto"/>
                                  </w:divBdr>
                                  <w:divsChild>
                                    <w:div w:id="1415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46">
      <w:marLeft w:val="0"/>
      <w:marRight w:val="0"/>
      <w:marTop w:val="0"/>
      <w:marBottom w:val="0"/>
      <w:divBdr>
        <w:top w:val="none" w:sz="0" w:space="0" w:color="auto"/>
        <w:left w:val="none" w:sz="0" w:space="0" w:color="auto"/>
        <w:bottom w:val="none" w:sz="0" w:space="0" w:color="auto"/>
        <w:right w:val="none" w:sz="0" w:space="0" w:color="auto"/>
      </w:divBdr>
      <w:divsChild>
        <w:div w:id="141504699">
          <w:marLeft w:val="0"/>
          <w:marRight w:val="1"/>
          <w:marTop w:val="0"/>
          <w:marBottom w:val="0"/>
          <w:divBdr>
            <w:top w:val="none" w:sz="0" w:space="0" w:color="auto"/>
            <w:left w:val="none" w:sz="0" w:space="0" w:color="auto"/>
            <w:bottom w:val="none" w:sz="0" w:space="0" w:color="auto"/>
            <w:right w:val="none" w:sz="0" w:space="0" w:color="auto"/>
          </w:divBdr>
          <w:divsChild>
            <w:div w:id="141504725">
              <w:marLeft w:val="0"/>
              <w:marRight w:val="0"/>
              <w:marTop w:val="0"/>
              <w:marBottom w:val="0"/>
              <w:divBdr>
                <w:top w:val="none" w:sz="0" w:space="0" w:color="auto"/>
                <w:left w:val="none" w:sz="0" w:space="0" w:color="auto"/>
                <w:bottom w:val="none" w:sz="0" w:space="0" w:color="auto"/>
                <w:right w:val="none" w:sz="0" w:space="0" w:color="auto"/>
              </w:divBdr>
              <w:divsChild>
                <w:div w:id="141504653">
                  <w:marLeft w:val="0"/>
                  <w:marRight w:val="1"/>
                  <w:marTop w:val="0"/>
                  <w:marBottom w:val="0"/>
                  <w:divBdr>
                    <w:top w:val="none" w:sz="0" w:space="0" w:color="auto"/>
                    <w:left w:val="none" w:sz="0" w:space="0" w:color="auto"/>
                    <w:bottom w:val="none" w:sz="0" w:space="0" w:color="auto"/>
                    <w:right w:val="none" w:sz="0" w:space="0" w:color="auto"/>
                  </w:divBdr>
                  <w:divsChild>
                    <w:div w:id="141504706">
                      <w:marLeft w:val="0"/>
                      <w:marRight w:val="0"/>
                      <w:marTop w:val="0"/>
                      <w:marBottom w:val="0"/>
                      <w:divBdr>
                        <w:top w:val="none" w:sz="0" w:space="0" w:color="auto"/>
                        <w:left w:val="none" w:sz="0" w:space="0" w:color="auto"/>
                        <w:bottom w:val="none" w:sz="0" w:space="0" w:color="auto"/>
                        <w:right w:val="none" w:sz="0" w:space="0" w:color="auto"/>
                      </w:divBdr>
                      <w:divsChild>
                        <w:div w:id="141504394">
                          <w:marLeft w:val="0"/>
                          <w:marRight w:val="0"/>
                          <w:marTop w:val="0"/>
                          <w:marBottom w:val="0"/>
                          <w:divBdr>
                            <w:top w:val="none" w:sz="0" w:space="0" w:color="auto"/>
                            <w:left w:val="none" w:sz="0" w:space="0" w:color="auto"/>
                            <w:bottom w:val="none" w:sz="0" w:space="0" w:color="auto"/>
                            <w:right w:val="none" w:sz="0" w:space="0" w:color="auto"/>
                          </w:divBdr>
                          <w:divsChild>
                            <w:div w:id="141504682">
                              <w:marLeft w:val="0"/>
                              <w:marRight w:val="0"/>
                              <w:marTop w:val="120"/>
                              <w:marBottom w:val="360"/>
                              <w:divBdr>
                                <w:top w:val="none" w:sz="0" w:space="0" w:color="auto"/>
                                <w:left w:val="none" w:sz="0" w:space="0" w:color="auto"/>
                                <w:bottom w:val="none" w:sz="0" w:space="0" w:color="auto"/>
                                <w:right w:val="none" w:sz="0" w:space="0" w:color="auto"/>
                              </w:divBdr>
                              <w:divsChild>
                                <w:div w:id="141504623">
                                  <w:marLeft w:val="0"/>
                                  <w:marRight w:val="0"/>
                                  <w:marTop w:val="0"/>
                                  <w:marBottom w:val="0"/>
                                  <w:divBdr>
                                    <w:top w:val="none" w:sz="0" w:space="0" w:color="auto"/>
                                    <w:left w:val="none" w:sz="0" w:space="0" w:color="auto"/>
                                    <w:bottom w:val="none" w:sz="0" w:space="0" w:color="auto"/>
                                    <w:right w:val="none" w:sz="0" w:space="0" w:color="auto"/>
                                  </w:divBdr>
                                  <w:divsChild>
                                    <w:div w:id="1415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47">
      <w:marLeft w:val="0"/>
      <w:marRight w:val="0"/>
      <w:marTop w:val="0"/>
      <w:marBottom w:val="0"/>
      <w:divBdr>
        <w:top w:val="none" w:sz="0" w:space="0" w:color="auto"/>
        <w:left w:val="none" w:sz="0" w:space="0" w:color="auto"/>
        <w:bottom w:val="none" w:sz="0" w:space="0" w:color="auto"/>
        <w:right w:val="none" w:sz="0" w:space="0" w:color="auto"/>
      </w:divBdr>
      <w:divsChild>
        <w:div w:id="141504615">
          <w:marLeft w:val="0"/>
          <w:marRight w:val="1"/>
          <w:marTop w:val="0"/>
          <w:marBottom w:val="0"/>
          <w:divBdr>
            <w:top w:val="none" w:sz="0" w:space="0" w:color="auto"/>
            <w:left w:val="none" w:sz="0" w:space="0" w:color="auto"/>
            <w:bottom w:val="none" w:sz="0" w:space="0" w:color="auto"/>
            <w:right w:val="none" w:sz="0" w:space="0" w:color="auto"/>
          </w:divBdr>
          <w:divsChild>
            <w:div w:id="141504479">
              <w:marLeft w:val="0"/>
              <w:marRight w:val="0"/>
              <w:marTop w:val="0"/>
              <w:marBottom w:val="0"/>
              <w:divBdr>
                <w:top w:val="none" w:sz="0" w:space="0" w:color="auto"/>
                <w:left w:val="none" w:sz="0" w:space="0" w:color="auto"/>
                <w:bottom w:val="none" w:sz="0" w:space="0" w:color="auto"/>
                <w:right w:val="none" w:sz="0" w:space="0" w:color="auto"/>
              </w:divBdr>
              <w:divsChild>
                <w:div w:id="141504435">
                  <w:marLeft w:val="0"/>
                  <w:marRight w:val="1"/>
                  <w:marTop w:val="0"/>
                  <w:marBottom w:val="0"/>
                  <w:divBdr>
                    <w:top w:val="none" w:sz="0" w:space="0" w:color="auto"/>
                    <w:left w:val="none" w:sz="0" w:space="0" w:color="auto"/>
                    <w:bottom w:val="none" w:sz="0" w:space="0" w:color="auto"/>
                    <w:right w:val="none" w:sz="0" w:space="0" w:color="auto"/>
                  </w:divBdr>
                  <w:divsChild>
                    <w:div w:id="141504450">
                      <w:marLeft w:val="0"/>
                      <w:marRight w:val="0"/>
                      <w:marTop w:val="0"/>
                      <w:marBottom w:val="0"/>
                      <w:divBdr>
                        <w:top w:val="none" w:sz="0" w:space="0" w:color="auto"/>
                        <w:left w:val="none" w:sz="0" w:space="0" w:color="auto"/>
                        <w:bottom w:val="none" w:sz="0" w:space="0" w:color="auto"/>
                        <w:right w:val="none" w:sz="0" w:space="0" w:color="auto"/>
                      </w:divBdr>
                      <w:divsChild>
                        <w:div w:id="141504503">
                          <w:marLeft w:val="0"/>
                          <w:marRight w:val="0"/>
                          <w:marTop w:val="0"/>
                          <w:marBottom w:val="0"/>
                          <w:divBdr>
                            <w:top w:val="none" w:sz="0" w:space="0" w:color="auto"/>
                            <w:left w:val="none" w:sz="0" w:space="0" w:color="auto"/>
                            <w:bottom w:val="none" w:sz="0" w:space="0" w:color="auto"/>
                            <w:right w:val="none" w:sz="0" w:space="0" w:color="auto"/>
                          </w:divBdr>
                          <w:divsChild>
                            <w:div w:id="141504762">
                              <w:marLeft w:val="0"/>
                              <w:marRight w:val="0"/>
                              <w:marTop w:val="120"/>
                              <w:marBottom w:val="360"/>
                              <w:divBdr>
                                <w:top w:val="none" w:sz="0" w:space="0" w:color="auto"/>
                                <w:left w:val="none" w:sz="0" w:space="0" w:color="auto"/>
                                <w:bottom w:val="none" w:sz="0" w:space="0" w:color="auto"/>
                                <w:right w:val="none" w:sz="0" w:space="0" w:color="auto"/>
                              </w:divBdr>
                              <w:divsChild>
                                <w:div w:id="141504718">
                                  <w:marLeft w:val="0"/>
                                  <w:marRight w:val="0"/>
                                  <w:marTop w:val="0"/>
                                  <w:marBottom w:val="0"/>
                                  <w:divBdr>
                                    <w:top w:val="none" w:sz="0" w:space="0" w:color="auto"/>
                                    <w:left w:val="none" w:sz="0" w:space="0" w:color="auto"/>
                                    <w:bottom w:val="none" w:sz="0" w:space="0" w:color="auto"/>
                                    <w:right w:val="none" w:sz="0" w:space="0" w:color="auto"/>
                                  </w:divBdr>
                                  <w:divsChild>
                                    <w:div w:id="1415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60">
      <w:marLeft w:val="0"/>
      <w:marRight w:val="0"/>
      <w:marTop w:val="0"/>
      <w:marBottom w:val="0"/>
      <w:divBdr>
        <w:top w:val="none" w:sz="0" w:space="0" w:color="auto"/>
        <w:left w:val="none" w:sz="0" w:space="0" w:color="auto"/>
        <w:bottom w:val="none" w:sz="0" w:space="0" w:color="auto"/>
        <w:right w:val="none" w:sz="0" w:space="0" w:color="auto"/>
      </w:divBdr>
    </w:div>
    <w:div w:id="141504663">
      <w:marLeft w:val="0"/>
      <w:marRight w:val="0"/>
      <w:marTop w:val="0"/>
      <w:marBottom w:val="0"/>
      <w:divBdr>
        <w:top w:val="none" w:sz="0" w:space="0" w:color="auto"/>
        <w:left w:val="none" w:sz="0" w:space="0" w:color="auto"/>
        <w:bottom w:val="none" w:sz="0" w:space="0" w:color="auto"/>
        <w:right w:val="none" w:sz="0" w:space="0" w:color="auto"/>
      </w:divBdr>
    </w:div>
    <w:div w:id="141504678">
      <w:marLeft w:val="0"/>
      <w:marRight w:val="0"/>
      <w:marTop w:val="0"/>
      <w:marBottom w:val="0"/>
      <w:divBdr>
        <w:top w:val="none" w:sz="0" w:space="0" w:color="auto"/>
        <w:left w:val="none" w:sz="0" w:space="0" w:color="auto"/>
        <w:bottom w:val="none" w:sz="0" w:space="0" w:color="auto"/>
        <w:right w:val="none" w:sz="0" w:space="0" w:color="auto"/>
      </w:divBdr>
      <w:divsChild>
        <w:div w:id="141504588">
          <w:marLeft w:val="0"/>
          <w:marRight w:val="1"/>
          <w:marTop w:val="0"/>
          <w:marBottom w:val="0"/>
          <w:divBdr>
            <w:top w:val="none" w:sz="0" w:space="0" w:color="auto"/>
            <w:left w:val="none" w:sz="0" w:space="0" w:color="auto"/>
            <w:bottom w:val="none" w:sz="0" w:space="0" w:color="auto"/>
            <w:right w:val="none" w:sz="0" w:space="0" w:color="auto"/>
          </w:divBdr>
          <w:divsChild>
            <w:div w:id="141504484">
              <w:marLeft w:val="0"/>
              <w:marRight w:val="0"/>
              <w:marTop w:val="0"/>
              <w:marBottom w:val="0"/>
              <w:divBdr>
                <w:top w:val="none" w:sz="0" w:space="0" w:color="auto"/>
                <w:left w:val="none" w:sz="0" w:space="0" w:color="auto"/>
                <w:bottom w:val="none" w:sz="0" w:space="0" w:color="auto"/>
                <w:right w:val="none" w:sz="0" w:space="0" w:color="auto"/>
              </w:divBdr>
              <w:divsChild>
                <w:div w:id="141504512">
                  <w:marLeft w:val="0"/>
                  <w:marRight w:val="1"/>
                  <w:marTop w:val="0"/>
                  <w:marBottom w:val="0"/>
                  <w:divBdr>
                    <w:top w:val="none" w:sz="0" w:space="0" w:color="auto"/>
                    <w:left w:val="none" w:sz="0" w:space="0" w:color="auto"/>
                    <w:bottom w:val="none" w:sz="0" w:space="0" w:color="auto"/>
                    <w:right w:val="none" w:sz="0" w:space="0" w:color="auto"/>
                  </w:divBdr>
                  <w:divsChild>
                    <w:div w:id="141504404">
                      <w:marLeft w:val="0"/>
                      <w:marRight w:val="0"/>
                      <w:marTop w:val="0"/>
                      <w:marBottom w:val="0"/>
                      <w:divBdr>
                        <w:top w:val="none" w:sz="0" w:space="0" w:color="auto"/>
                        <w:left w:val="none" w:sz="0" w:space="0" w:color="auto"/>
                        <w:bottom w:val="none" w:sz="0" w:space="0" w:color="auto"/>
                        <w:right w:val="none" w:sz="0" w:space="0" w:color="auto"/>
                      </w:divBdr>
                      <w:divsChild>
                        <w:div w:id="141504362">
                          <w:marLeft w:val="0"/>
                          <w:marRight w:val="0"/>
                          <w:marTop w:val="0"/>
                          <w:marBottom w:val="0"/>
                          <w:divBdr>
                            <w:top w:val="none" w:sz="0" w:space="0" w:color="auto"/>
                            <w:left w:val="none" w:sz="0" w:space="0" w:color="auto"/>
                            <w:bottom w:val="none" w:sz="0" w:space="0" w:color="auto"/>
                            <w:right w:val="none" w:sz="0" w:space="0" w:color="auto"/>
                          </w:divBdr>
                          <w:divsChild>
                            <w:div w:id="141504753">
                              <w:marLeft w:val="0"/>
                              <w:marRight w:val="0"/>
                              <w:marTop w:val="120"/>
                              <w:marBottom w:val="360"/>
                              <w:divBdr>
                                <w:top w:val="none" w:sz="0" w:space="0" w:color="auto"/>
                                <w:left w:val="none" w:sz="0" w:space="0" w:color="auto"/>
                                <w:bottom w:val="none" w:sz="0" w:space="0" w:color="auto"/>
                                <w:right w:val="none" w:sz="0" w:space="0" w:color="auto"/>
                              </w:divBdr>
                              <w:divsChild>
                                <w:div w:id="141504410">
                                  <w:marLeft w:val="0"/>
                                  <w:marRight w:val="0"/>
                                  <w:marTop w:val="0"/>
                                  <w:marBottom w:val="0"/>
                                  <w:divBdr>
                                    <w:top w:val="none" w:sz="0" w:space="0" w:color="auto"/>
                                    <w:left w:val="none" w:sz="0" w:space="0" w:color="auto"/>
                                    <w:bottom w:val="none" w:sz="0" w:space="0" w:color="auto"/>
                                    <w:right w:val="none" w:sz="0" w:space="0" w:color="auto"/>
                                  </w:divBdr>
                                  <w:divsChild>
                                    <w:div w:id="141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690">
      <w:marLeft w:val="0"/>
      <w:marRight w:val="0"/>
      <w:marTop w:val="0"/>
      <w:marBottom w:val="0"/>
      <w:divBdr>
        <w:top w:val="none" w:sz="0" w:space="0" w:color="auto"/>
        <w:left w:val="none" w:sz="0" w:space="0" w:color="auto"/>
        <w:bottom w:val="none" w:sz="0" w:space="0" w:color="auto"/>
        <w:right w:val="none" w:sz="0" w:space="0" w:color="auto"/>
      </w:divBdr>
      <w:divsChild>
        <w:div w:id="141504448">
          <w:marLeft w:val="0"/>
          <w:marRight w:val="1"/>
          <w:marTop w:val="0"/>
          <w:marBottom w:val="0"/>
          <w:divBdr>
            <w:top w:val="none" w:sz="0" w:space="0" w:color="auto"/>
            <w:left w:val="none" w:sz="0" w:space="0" w:color="auto"/>
            <w:bottom w:val="none" w:sz="0" w:space="0" w:color="auto"/>
            <w:right w:val="none" w:sz="0" w:space="0" w:color="auto"/>
          </w:divBdr>
          <w:divsChild>
            <w:div w:id="141504468">
              <w:marLeft w:val="0"/>
              <w:marRight w:val="0"/>
              <w:marTop w:val="0"/>
              <w:marBottom w:val="0"/>
              <w:divBdr>
                <w:top w:val="none" w:sz="0" w:space="0" w:color="auto"/>
                <w:left w:val="none" w:sz="0" w:space="0" w:color="auto"/>
                <w:bottom w:val="none" w:sz="0" w:space="0" w:color="auto"/>
                <w:right w:val="none" w:sz="0" w:space="0" w:color="auto"/>
              </w:divBdr>
              <w:divsChild>
                <w:div w:id="141504726">
                  <w:marLeft w:val="0"/>
                  <w:marRight w:val="1"/>
                  <w:marTop w:val="0"/>
                  <w:marBottom w:val="0"/>
                  <w:divBdr>
                    <w:top w:val="none" w:sz="0" w:space="0" w:color="auto"/>
                    <w:left w:val="none" w:sz="0" w:space="0" w:color="auto"/>
                    <w:bottom w:val="none" w:sz="0" w:space="0" w:color="auto"/>
                    <w:right w:val="none" w:sz="0" w:space="0" w:color="auto"/>
                  </w:divBdr>
                  <w:divsChild>
                    <w:div w:id="141504599">
                      <w:marLeft w:val="0"/>
                      <w:marRight w:val="0"/>
                      <w:marTop w:val="0"/>
                      <w:marBottom w:val="0"/>
                      <w:divBdr>
                        <w:top w:val="none" w:sz="0" w:space="0" w:color="auto"/>
                        <w:left w:val="none" w:sz="0" w:space="0" w:color="auto"/>
                        <w:bottom w:val="none" w:sz="0" w:space="0" w:color="auto"/>
                        <w:right w:val="none" w:sz="0" w:space="0" w:color="auto"/>
                      </w:divBdr>
                      <w:divsChild>
                        <w:div w:id="141504449">
                          <w:marLeft w:val="0"/>
                          <w:marRight w:val="0"/>
                          <w:marTop w:val="0"/>
                          <w:marBottom w:val="0"/>
                          <w:divBdr>
                            <w:top w:val="none" w:sz="0" w:space="0" w:color="auto"/>
                            <w:left w:val="none" w:sz="0" w:space="0" w:color="auto"/>
                            <w:bottom w:val="none" w:sz="0" w:space="0" w:color="auto"/>
                            <w:right w:val="none" w:sz="0" w:space="0" w:color="auto"/>
                          </w:divBdr>
                          <w:divsChild>
                            <w:div w:id="141504437">
                              <w:marLeft w:val="0"/>
                              <w:marRight w:val="0"/>
                              <w:marTop w:val="120"/>
                              <w:marBottom w:val="360"/>
                              <w:divBdr>
                                <w:top w:val="none" w:sz="0" w:space="0" w:color="auto"/>
                                <w:left w:val="none" w:sz="0" w:space="0" w:color="auto"/>
                                <w:bottom w:val="none" w:sz="0" w:space="0" w:color="auto"/>
                                <w:right w:val="none" w:sz="0" w:space="0" w:color="auto"/>
                              </w:divBdr>
                              <w:divsChild>
                                <w:div w:id="141504694">
                                  <w:marLeft w:val="0"/>
                                  <w:marRight w:val="0"/>
                                  <w:marTop w:val="0"/>
                                  <w:marBottom w:val="0"/>
                                  <w:divBdr>
                                    <w:top w:val="none" w:sz="0" w:space="0" w:color="auto"/>
                                    <w:left w:val="none" w:sz="0" w:space="0" w:color="auto"/>
                                    <w:bottom w:val="none" w:sz="0" w:space="0" w:color="auto"/>
                                    <w:right w:val="none" w:sz="0" w:space="0" w:color="auto"/>
                                  </w:divBdr>
                                  <w:divsChild>
                                    <w:div w:id="141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05">
      <w:marLeft w:val="0"/>
      <w:marRight w:val="0"/>
      <w:marTop w:val="0"/>
      <w:marBottom w:val="0"/>
      <w:divBdr>
        <w:top w:val="none" w:sz="0" w:space="0" w:color="auto"/>
        <w:left w:val="none" w:sz="0" w:space="0" w:color="auto"/>
        <w:bottom w:val="none" w:sz="0" w:space="0" w:color="auto"/>
        <w:right w:val="none" w:sz="0" w:space="0" w:color="auto"/>
      </w:divBdr>
      <w:divsChild>
        <w:div w:id="141504525">
          <w:marLeft w:val="0"/>
          <w:marRight w:val="1"/>
          <w:marTop w:val="0"/>
          <w:marBottom w:val="0"/>
          <w:divBdr>
            <w:top w:val="none" w:sz="0" w:space="0" w:color="auto"/>
            <w:left w:val="none" w:sz="0" w:space="0" w:color="auto"/>
            <w:bottom w:val="none" w:sz="0" w:space="0" w:color="auto"/>
            <w:right w:val="none" w:sz="0" w:space="0" w:color="auto"/>
          </w:divBdr>
          <w:divsChild>
            <w:div w:id="141504475">
              <w:marLeft w:val="0"/>
              <w:marRight w:val="0"/>
              <w:marTop w:val="0"/>
              <w:marBottom w:val="0"/>
              <w:divBdr>
                <w:top w:val="none" w:sz="0" w:space="0" w:color="auto"/>
                <w:left w:val="none" w:sz="0" w:space="0" w:color="auto"/>
                <w:bottom w:val="none" w:sz="0" w:space="0" w:color="auto"/>
                <w:right w:val="none" w:sz="0" w:space="0" w:color="auto"/>
              </w:divBdr>
              <w:divsChild>
                <w:div w:id="141504695">
                  <w:marLeft w:val="0"/>
                  <w:marRight w:val="1"/>
                  <w:marTop w:val="0"/>
                  <w:marBottom w:val="0"/>
                  <w:divBdr>
                    <w:top w:val="none" w:sz="0" w:space="0" w:color="auto"/>
                    <w:left w:val="none" w:sz="0" w:space="0" w:color="auto"/>
                    <w:bottom w:val="none" w:sz="0" w:space="0" w:color="auto"/>
                    <w:right w:val="none" w:sz="0" w:space="0" w:color="auto"/>
                  </w:divBdr>
                  <w:divsChild>
                    <w:div w:id="141504358">
                      <w:marLeft w:val="0"/>
                      <w:marRight w:val="0"/>
                      <w:marTop w:val="0"/>
                      <w:marBottom w:val="0"/>
                      <w:divBdr>
                        <w:top w:val="none" w:sz="0" w:space="0" w:color="auto"/>
                        <w:left w:val="none" w:sz="0" w:space="0" w:color="auto"/>
                        <w:bottom w:val="none" w:sz="0" w:space="0" w:color="auto"/>
                        <w:right w:val="none" w:sz="0" w:space="0" w:color="auto"/>
                      </w:divBdr>
                      <w:divsChild>
                        <w:div w:id="141504523">
                          <w:marLeft w:val="0"/>
                          <w:marRight w:val="0"/>
                          <w:marTop w:val="0"/>
                          <w:marBottom w:val="0"/>
                          <w:divBdr>
                            <w:top w:val="none" w:sz="0" w:space="0" w:color="auto"/>
                            <w:left w:val="none" w:sz="0" w:space="0" w:color="auto"/>
                            <w:bottom w:val="none" w:sz="0" w:space="0" w:color="auto"/>
                            <w:right w:val="none" w:sz="0" w:space="0" w:color="auto"/>
                          </w:divBdr>
                          <w:divsChild>
                            <w:div w:id="141504758">
                              <w:marLeft w:val="0"/>
                              <w:marRight w:val="0"/>
                              <w:marTop w:val="120"/>
                              <w:marBottom w:val="360"/>
                              <w:divBdr>
                                <w:top w:val="none" w:sz="0" w:space="0" w:color="auto"/>
                                <w:left w:val="none" w:sz="0" w:space="0" w:color="auto"/>
                                <w:bottom w:val="none" w:sz="0" w:space="0" w:color="auto"/>
                                <w:right w:val="none" w:sz="0" w:space="0" w:color="auto"/>
                              </w:divBdr>
                              <w:divsChild>
                                <w:div w:id="141504687">
                                  <w:marLeft w:val="0"/>
                                  <w:marRight w:val="0"/>
                                  <w:marTop w:val="0"/>
                                  <w:marBottom w:val="0"/>
                                  <w:divBdr>
                                    <w:top w:val="none" w:sz="0" w:space="0" w:color="auto"/>
                                    <w:left w:val="none" w:sz="0" w:space="0" w:color="auto"/>
                                    <w:bottom w:val="none" w:sz="0" w:space="0" w:color="auto"/>
                                    <w:right w:val="none" w:sz="0" w:space="0" w:color="auto"/>
                                  </w:divBdr>
                                  <w:divsChild>
                                    <w:div w:id="1415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31">
      <w:marLeft w:val="0"/>
      <w:marRight w:val="0"/>
      <w:marTop w:val="0"/>
      <w:marBottom w:val="0"/>
      <w:divBdr>
        <w:top w:val="none" w:sz="0" w:space="0" w:color="auto"/>
        <w:left w:val="none" w:sz="0" w:space="0" w:color="auto"/>
        <w:bottom w:val="none" w:sz="0" w:space="0" w:color="auto"/>
        <w:right w:val="none" w:sz="0" w:space="0" w:color="auto"/>
      </w:divBdr>
      <w:divsChild>
        <w:div w:id="141504795">
          <w:marLeft w:val="0"/>
          <w:marRight w:val="1"/>
          <w:marTop w:val="0"/>
          <w:marBottom w:val="0"/>
          <w:divBdr>
            <w:top w:val="none" w:sz="0" w:space="0" w:color="auto"/>
            <w:left w:val="none" w:sz="0" w:space="0" w:color="auto"/>
            <w:bottom w:val="none" w:sz="0" w:space="0" w:color="auto"/>
            <w:right w:val="none" w:sz="0" w:space="0" w:color="auto"/>
          </w:divBdr>
          <w:divsChild>
            <w:div w:id="141504359">
              <w:marLeft w:val="0"/>
              <w:marRight w:val="0"/>
              <w:marTop w:val="0"/>
              <w:marBottom w:val="0"/>
              <w:divBdr>
                <w:top w:val="none" w:sz="0" w:space="0" w:color="auto"/>
                <w:left w:val="none" w:sz="0" w:space="0" w:color="auto"/>
                <w:bottom w:val="none" w:sz="0" w:space="0" w:color="auto"/>
                <w:right w:val="none" w:sz="0" w:space="0" w:color="auto"/>
              </w:divBdr>
              <w:divsChild>
                <w:div w:id="141504626">
                  <w:marLeft w:val="0"/>
                  <w:marRight w:val="1"/>
                  <w:marTop w:val="0"/>
                  <w:marBottom w:val="0"/>
                  <w:divBdr>
                    <w:top w:val="none" w:sz="0" w:space="0" w:color="auto"/>
                    <w:left w:val="none" w:sz="0" w:space="0" w:color="auto"/>
                    <w:bottom w:val="none" w:sz="0" w:space="0" w:color="auto"/>
                    <w:right w:val="none" w:sz="0" w:space="0" w:color="auto"/>
                  </w:divBdr>
                  <w:divsChild>
                    <w:div w:id="141504619">
                      <w:marLeft w:val="0"/>
                      <w:marRight w:val="0"/>
                      <w:marTop w:val="0"/>
                      <w:marBottom w:val="0"/>
                      <w:divBdr>
                        <w:top w:val="none" w:sz="0" w:space="0" w:color="auto"/>
                        <w:left w:val="none" w:sz="0" w:space="0" w:color="auto"/>
                        <w:bottom w:val="none" w:sz="0" w:space="0" w:color="auto"/>
                        <w:right w:val="none" w:sz="0" w:space="0" w:color="auto"/>
                      </w:divBdr>
                      <w:divsChild>
                        <w:div w:id="141504548">
                          <w:marLeft w:val="0"/>
                          <w:marRight w:val="0"/>
                          <w:marTop w:val="0"/>
                          <w:marBottom w:val="0"/>
                          <w:divBdr>
                            <w:top w:val="none" w:sz="0" w:space="0" w:color="auto"/>
                            <w:left w:val="none" w:sz="0" w:space="0" w:color="auto"/>
                            <w:bottom w:val="none" w:sz="0" w:space="0" w:color="auto"/>
                            <w:right w:val="none" w:sz="0" w:space="0" w:color="auto"/>
                          </w:divBdr>
                          <w:divsChild>
                            <w:div w:id="141504710">
                              <w:marLeft w:val="0"/>
                              <w:marRight w:val="0"/>
                              <w:marTop w:val="120"/>
                              <w:marBottom w:val="360"/>
                              <w:divBdr>
                                <w:top w:val="none" w:sz="0" w:space="0" w:color="auto"/>
                                <w:left w:val="none" w:sz="0" w:space="0" w:color="auto"/>
                                <w:bottom w:val="none" w:sz="0" w:space="0" w:color="auto"/>
                                <w:right w:val="none" w:sz="0" w:space="0" w:color="auto"/>
                              </w:divBdr>
                              <w:divsChild>
                                <w:div w:id="141504634">
                                  <w:marLeft w:val="0"/>
                                  <w:marRight w:val="0"/>
                                  <w:marTop w:val="0"/>
                                  <w:marBottom w:val="0"/>
                                  <w:divBdr>
                                    <w:top w:val="none" w:sz="0" w:space="0" w:color="auto"/>
                                    <w:left w:val="none" w:sz="0" w:space="0" w:color="auto"/>
                                    <w:bottom w:val="none" w:sz="0" w:space="0" w:color="auto"/>
                                    <w:right w:val="none" w:sz="0" w:space="0" w:color="auto"/>
                                  </w:divBdr>
                                  <w:divsChild>
                                    <w:div w:id="1415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36">
      <w:marLeft w:val="0"/>
      <w:marRight w:val="0"/>
      <w:marTop w:val="0"/>
      <w:marBottom w:val="0"/>
      <w:divBdr>
        <w:top w:val="none" w:sz="0" w:space="0" w:color="auto"/>
        <w:left w:val="none" w:sz="0" w:space="0" w:color="auto"/>
        <w:bottom w:val="none" w:sz="0" w:space="0" w:color="auto"/>
        <w:right w:val="none" w:sz="0" w:space="0" w:color="auto"/>
      </w:divBdr>
    </w:div>
    <w:div w:id="141504741">
      <w:marLeft w:val="0"/>
      <w:marRight w:val="0"/>
      <w:marTop w:val="0"/>
      <w:marBottom w:val="0"/>
      <w:divBdr>
        <w:top w:val="none" w:sz="0" w:space="0" w:color="auto"/>
        <w:left w:val="none" w:sz="0" w:space="0" w:color="auto"/>
        <w:bottom w:val="none" w:sz="0" w:space="0" w:color="auto"/>
        <w:right w:val="none" w:sz="0" w:space="0" w:color="auto"/>
      </w:divBdr>
    </w:div>
    <w:div w:id="141504742">
      <w:marLeft w:val="0"/>
      <w:marRight w:val="0"/>
      <w:marTop w:val="0"/>
      <w:marBottom w:val="0"/>
      <w:divBdr>
        <w:top w:val="none" w:sz="0" w:space="0" w:color="auto"/>
        <w:left w:val="none" w:sz="0" w:space="0" w:color="auto"/>
        <w:bottom w:val="none" w:sz="0" w:space="0" w:color="auto"/>
        <w:right w:val="none" w:sz="0" w:space="0" w:color="auto"/>
      </w:divBdr>
    </w:div>
    <w:div w:id="141504756">
      <w:marLeft w:val="0"/>
      <w:marRight w:val="0"/>
      <w:marTop w:val="0"/>
      <w:marBottom w:val="0"/>
      <w:divBdr>
        <w:top w:val="none" w:sz="0" w:space="0" w:color="auto"/>
        <w:left w:val="none" w:sz="0" w:space="0" w:color="auto"/>
        <w:bottom w:val="none" w:sz="0" w:space="0" w:color="auto"/>
        <w:right w:val="none" w:sz="0" w:space="0" w:color="auto"/>
      </w:divBdr>
      <w:divsChild>
        <w:div w:id="141504578">
          <w:marLeft w:val="0"/>
          <w:marRight w:val="1"/>
          <w:marTop w:val="0"/>
          <w:marBottom w:val="0"/>
          <w:divBdr>
            <w:top w:val="none" w:sz="0" w:space="0" w:color="auto"/>
            <w:left w:val="none" w:sz="0" w:space="0" w:color="auto"/>
            <w:bottom w:val="none" w:sz="0" w:space="0" w:color="auto"/>
            <w:right w:val="none" w:sz="0" w:space="0" w:color="auto"/>
          </w:divBdr>
          <w:divsChild>
            <w:div w:id="141504697">
              <w:marLeft w:val="0"/>
              <w:marRight w:val="0"/>
              <w:marTop w:val="0"/>
              <w:marBottom w:val="0"/>
              <w:divBdr>
                <w:top w:val="none" w:sz="0" w:space="0" w:color="auto"/>
                <w:left w:val="none" w:sz="0" w:space="0" w:color="auto"/>
                <w:bottom w:val="none" w:sz="0" w:space="0" w:color="auto"/>
                <w:right w:val="none" w:sz="0" w:space="0" w:color="auto"/>
              </w:divBdr>
              <w:divsChild>
                <w:div w:id="141504446">
                  <w:marLeft w:val="0"/>
                  <w:marRight w:val="1"/>
                  <w:marTop w:val="0"/>
                  <w:marBottom w:val="0"/>
                  <w:divBdr>
                    <w:top w:val="none" w:sz="0" w:space="0" w:color="auto"/>
                    <w:left w:val="none" w:sz="0" w:space="0" w:color="auto"/>
                    <w:bottom w:val="none" w:sz="0" w:space="0" w:color="auto"/>
                    <w:right w:val="none" w:sz="0" w:space="0" w:color="auto"/>
                  </w:divBdr>
                  <w:divsChild>
                    <w:div w:id="141504408">
                      <w:marLeft w:val="0"/>
                      <w:marRight w:val="0"/>
                      <w:marTop w:val="0"/>
                      <w:marBottom w:val="0"/>
                      <w:divBdr>
                        <w:top w:val="none" w:sz="0" w:space="0" w:color="auto"/>
                        <w:left w:val="none" w:sz="0" w:space="0" w:color="auto"/>
                        <w:bottom w:val="none" w:sz="0" w:space="0" w:color="auto"/>
                        <w:right w:val="none" w:sz="0" w:space="0" w:color="auto"/>
                      </w:divBdr>
                      <w:divsChild>
                        <w:div w:id="141504735">
                          <w:marLeft w:val="0"/>
                          <w:marRight w:val="0"/>
                          <w:marTop w:val="0"/>
                          <w:marBottom w:val="0"/>
                          <w:divBdr>
                            <w:top w:val="none" w:sz="0" w:space="0" w:color="auto"/>
                            <w:left w:val="none" w:sz="0" w:space="0" w:color="auto"/>
                            <w:bottom w:val="none" w:sz="0" w:space="0" w:color="auto"/>
                            <w:right w:val="none" w:sz="0" w:space="0" w:color="auto"/>
                          </w:divBdr>
                          <w:divsChild>
                            <w:div w:id="141504727">
                              <w:marLeft w:val="0"/>
                              <w:marRight w:val="0"/>
                              <w:marTop w:val="120"/>
                              <w:marBottom w:val="360"/>
                              <w:divBdr>
                                <w:top w:val="none" w:sz="0" w:space="0" w:color="auto"/>
                                <w:left w:val="none" w:sz="0" w:space="0" w:color="auto"/>
                                <w:bottom w:val="none" w:sz="0" w:space="0" w:color="auto"/>
                                <w:right w:val="none" w:sz="0" w:space="0" w:color="auto"/>
                              </w:divBdr>
                              <w:divsChild>
                                <w:div w:id="141504640">
                                  <w:marLeft w:val="0"/>
                                  <w:marRight w:val="0"/>
                                  <w:marTop w:val="0"/>
                                  <w:marBottom w:val="0"/>
                                  <w:divBdr>
                                    <w:top w:val="none" w:sz="0" w:space="0" w:color="auto"/>
                                    <w:left w:val="none" w:sz="0" w:space="0" w:color="auto"/>
                                    <w:bottom w:val="none" w:sz="0" w:space="0" w:color="auto"/>
                                    <w:right w:val="none" w:sz="0" w:space="0" w:color="auto"/>
                                  </w:divBdr>
                                  <w:divsChild>
                                    <w:div w:id="1415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57">
      <w:marLeft w:val="0"/>
      <w:marRight w:val="0"/>
      <w:marTop w:val="0"/>
      <w:marBottom w:val="0"/>
      <w:divBdr>
        <w:top w:val="none" w:sz="0" w:space="0" w:color="auto"/>
        <w:left w:val="none" w:sz="0" w:space="0" w:color="auto"/>
        <w:bottom w:val="none" w:sz="0" w:space="0" w:color="auto"/>
        <w:right w:val="none" w:sz="0" w:space="0" w:color="auto"/>
      </w:divBdr>
      <w:divsChild>
        <w:div w:id="141504598">
          <w:marLeft w:val="0"/>
          <w:marRight w:val="1"/>
          <w:marTop w:val="0"/>
          <w:marBottom w:val="0"/>
          <w:divBdr>
            <w:top w:val="none" w:sz="0" w:space="0" w:color="auto"/>
            <w:left w:val="none" w:sz="0" w:space="0" w:color="auto"/>
            <w:bottom w:val="none" w:sz="0" w:space="0" w:color="auto"/>
            <w:right w:val="none" w:sz="0" w:space="0" w:color="auto"/>
          </w:divBdr>
          <w:divsChild>
            <w:div w:id="141504419">
              <w:marLeft w:val="0"/>
              <w:marRight w:val="0"/>
              <w:marTop w:val="0"/>
              <w:marBottom w:val="0"/>
              <w:divBdr>
                <w:top w:val="none" w:sz="0" w:space="0" w:color="auto"/>
                <w:left w:val="none" w:sz="0" w:space="0" w:color="auto"/>
                <w:bottom w:val="none" w:sz="0" w:space="0" w:color="auto"/>
                <w:right w:val="none" w:sz="0" w:space="0" w:color="auto"/>
              </w:divBdr>
              <w:divsChild>
                <w:div w:id="141504483">
                  <w:marLeft w:val="0"/>
                  <w:marRight w:val="1"/>
                  <w:marTop w:val="0"/>
                  <w:marBottom w:val="0"/>
                  <w:divBdr>
                    <w:top w:val="none" w:sz="0" w:space="0" w:color="auto"/>
                    <w:left w:val="none" w:sz="0" w:space="0" w:color="auto"/>
                    <w:bottom w:val="none" w:sz="0" w:space="0" w:color="auto"/>
                    <w:right w:val="none" w:sz="0" w:space="0" w:color="auto"/>
                  </w:divBdr>
                  <w:divsChild>
                    <w:div w:id="141504649">
                      <w:marLeft w:val="0"/>
                      <w:marRight w:val="0"/>
                      <w:marTop w:val="0"/>
                      <w:marBottom w:val="0"/>
                      <w:divBdr>
                        <w:top w:val="none" w:sz="0" w:space="0" w:color="auto"/>
                        <w:left w:val="none" w:sz="0" w:space="0" w:color="auto"/>
                        <w:bottom w:val="none" w:sz="0" w:space="0" w:color="auto"/>
                        <w:right w:val="none" w:sz="0" w:space="0" w:color="auto"/>
                      </w:divBdr>
                      <w:divsChild>
                        <w:div w:id="141504564">
                          <w:marLeft w:val="0"/>
                          <w:marRight w:val="0"/>
                          <w:marTop w:val="0"/>
                          <w:marBottom w:val="0"/>
                          <w:divBdr>
                            <w:top w:val="none" w:sz="0" w:space="0" w:color="auto"/>
                            <w:left w:val="none" w:sz="0" w:space="0" w:color="auto"/>
                            <w:bottom w:val="none" w:sz="0" w:space="0" w:color="auto"/>
                            <w:right w:val="none" w:sz="0" w:space="0" w:color="auto"/>
                          </w:divBdr>
                          <w:divsChild>
                            <w:div w:id="141504556">
                              <w:marLeft w:val="0"/>
                              <w:marRight w:val="0"/>
                              <w:marTop w:val="120"/>
                              <w:marBottom w:val="360"/>
                              <w:divBdr>
                                <w:top w:val="none" w:sz="0" w:space="0" w:color="auto"/>
                                <w:left w:val="none" w:sz="0" w:space="0" w:color="auto"/>
                                <w:bottom w:val="none" w:sz="0" w:space="0" w:color="auto"/>
                                <w:right w:val="none" w:sz="0" w:space="0" w:color="auto"/>
                              </w:divBdr>
                              <w:divsChild>
                                <w:div w:id="141504792">
                                  <w:marLeft w:val="0"/>
                                  <w:marRight w:val="0"/>
                                  <w:marTop w:val="0"/>
                                  <w:marBottom w:val="0"/>
                                  <w:divBdr>
                                    <w:top w:val="none" w:sz="0" w:space="0" w:color="auto"/>
                                    <w:left w:val="none" w:sz="0" w:space="0" w:color="auto"/>
                                    <w:bottom w:val="none" w:sz="0" w:space="0" w:color="auto"/>
                                    <w:right w:val="none" w:sz="0" w:space="0" w:color="auto"/>
                                  </w:divBdr>
                                  <w:divsChild>
                                    <w:div w:id="141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59">
      <w:marLeft w:val="0"/>
      <w:marRight w:val="0"/>
      <w:marTop w:val="0"/>
      <w:marBottom w:val="0"/>
      <w:divBdr>
        <w:top w:val="none" w:sz="0" w:space="0" w:color="auto"/>
        <w:left w:val="none" w:sz="0" w:space="0" w:color="auto"/>
        <w:bottom w:val="none" w:sz="0" w:space="0" w:color="auto"/>
        <w:right w:val="none" w:sz="0" w:space="0" w:color="auto"/>
      </w:divBdr>
    </w:div>
    <w:div w:id="141504761">
      <w:marLeft w:val="0"/>
      <w:marRight w:val="0"/>
      <w:marTop w:val="0"/>
      <w:marBottom w:val="0"/>
      <w:divBdr>
        <w:top w:val="none" w:sz="0" w:space="0" w:color="auto"/>
        <w:left w:val="none" w:sz="0" w:space="0" w:color="auto"/>
        <w:bottom w:val="none" w:sz="0" w:space="0" w:color="auto"/>
        <w:right w:val="none" w:sz="0" w:space="0" w:color="auto"/>
      </w:divBdr>
    </w:div>
    <w:div w:id="141504768">
      <w:marLeft w:val="0"/>
      <w:marRight w:val="0"/>
      <w:marTop w:val="0"/>
      <w:marBottom w:val="0"/>
      <w:divBdr>
        <w:top w:val="none" w:sz="0" w:space="0" w:color="auto"/>
        <w:left w:val="none" w:sz="0" w:space="0" w:color="auto"/>
        <w:bottom w:val="none" w:sz="0" w:space="0" w:color="auto"/>
        <w:right w:val="none" w:sz="0" w:space="0" w:color="auto"/>
      </w:divBdr>
      <w:divsChild>
        <w:div w:id="141504545">
          <w:marLeft w:val="0"/>
          <w:marRight w:val="1"/>
          <w:marTop w:val="0"/>
          <w:marBottom w:val="0"/>
          <w:divBdr>
            <w:top w:val="none" w:sz="0" w:space="0" w:color="auto"/>
            <w:left w:val="none" w:sz="0" w:space="0" w:color="auto"/>
            <w:bottom w:val="none" w:sz="0" w:space="0" w:color="auto"/>
            <w:right w:val="none" w:sz="0" w:space="0" w:color="auto"/>
          </w:divBdr>
          <w:divsChild>
            <w:div w:id="141504748">
              <w:marLeft w:val="0"/>
              <w:marRight w:val="0"/>
              <w:marTop w:val="0"/>
              <w:marBottom w:val="0"/>
              <w:divBdr>
                <w:top w:val="none" w:sz="0" w:space="0" w:color="auto"/>
                <w:left w:val="none" w:sz="0" w:space="0" w:color="auto"/>
                <w:bottom w:val="none" w:sz="0" w:space="0" w:color="auto"/>
                <w:right w:val="none" w:sz="0" w:space="0" w:color="auto"/>
              </w:divBdr>
              <w:divsChild>
                <w:div w:id="141504630">
                  <w:marLeft w:val="0"/>
                  <w:marRight w:val="1"/>
                  <w:marTop w:val="0"/>
                  <w:marBottom w:val="0"/>
                  <w:divBdr>
                    <w:top w:val="none" w:sz="0" w:space="0" w:color="auto"/>
                    <w:left w:val="none" w:sz="0" w:space="0" w:color="auto"/>
                    <w:bottom w:val="none" w:sz="0" w:space="0" w:color="auto"/>
                    <w:right w:val="none" w:sz="0" w:space="0" w:color="auto"/>
                  </w:divBdr>
                  <w:divsChild>
                    <w:div w:id="141504775">
                      <w:marLeft w:val="0"/>
                      <w:marRight w:val="0"/>
                      <w:marTop w:val="0"/>
                      <w:marBottom w:val="0"/>
                      <w:divBdr>
                        <w:top w:val="none" w:sz="0" w:space="0" w:color="auto"/>
                        <w:left w:val="none" w:sz="0" w:space="0" w:color="auto"/>
                        <w:bottom w:val="none" w:sz="0" w:space="0" w:color="auto"/>
                        <w:right w:val="none" w:sz="0" w:space="0" w:color="auto"/>
                      </w:divBdr>
                      <w:divsChild>
                        <w:div w:id="141504720">
                          <w:marLeft w:val="0"/>
                          <w:marRight w:val="0"/>
                          <w:marTop w:val="0"/>
                          <w:marBottom w:val="0"/>
                          <w:divBdr>
                            <w:top w:val="none" w:sz="0" w:space="0" w:color="auto"/>
                            <w:left w:val="none" w:sz="0" w:space="0" w:color="auto"/>
                            <w:bottom w:val="none" w:sz="0" w:space="0" w:color="auto"/>
                            <w:right w:val="none" w:sz="0" w:space="0" w:color="auto"/>
                          </w:divBdr>
                          <w:divsChild>
                            <w:div w:id="141504707">
                              <w:marLeft w:val="0"/>
                              <w:marRight w:val="0"/>
                              <w:marTop w:val="120"/>
                              <w:marBottom w:val="360"/>
                              <w:divBdr>
                                <w:top w:val="none" w:sz="0" w:space="0" w:color="auto"/>
                                <w:left w:val="none" w:sz="0" w:space="0" w:color="auto"/>
                                <w:bottom w:val="none" w:sz="0" w:space="0" w:color="auto"/>
                                <w:right w:val="none" w:sz="0" w:space="0" w:color="auto"/>
                              </w:divBdr>
                              <w:divsChild>
                                <w:div w:id="141504496">
                                  <w:marLeft w:val="0"/>
                                  <w:marRight w:val="0"/>
                                  <w:marTop w:val="0"/>
                                  <w:marBottom w:val="0"/>
                                  <w:divBdr>
                                    <w:top w:val="none" w:sz="0" w:space="0" w:color="auto"/>
                                    <w:left w:val="none" w:sz="0" w:space="0" w:color="auto"/>
                                    <w:bottom w:val="none" w:sz="0" w:space="0" w:color="auto"/>
                                    <w:right w:val="none" w:sz="0" w:space="0" w:color="auto"/>
                                  </w:divBdr>
                                  <w:divsChild>
                                    <w:div w:id="1415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73">
      <w:marLeft w:val="0"/>
      <w:marRight w:val="0"/>
      <w:marTop w:val="0"/>
      <w:marBottom w:val="0"/>
      <w:divBdr>
        <w:top w:val="none" w:sz="0" w:space="0" w:color="auto"/>
        <w:left w:val="none" w:sz="0" w:space="0" w:color="auto"/>
        <w:bottom w:val="none" w:sz="0" w:space="0" w:color="auto"/>
        <w:right w:val="none" w:sz="0" w:space="0" w:color="auto"/>
      </w:divBdr>
      <w:divsChild>
        <w:div w:id="141504399">
          <w:marLeft w:val="0"/>
          <w:marRight w:val="1"/>
          <w:marTop w:val="0"/>
          <w:marBottom w:val="0"/>
          <w:divBdr>
            <w:top w:val="none" w:sz="0" w:space="0" w:color="auto"/>
            <w:left w:val="none" w:sz="0" w:space="0" w:color="auto"/>
            <w:bottom w:val="none" w:sz="0" w:space="0" w:color="auto"/>
            <w:right w:val="none" w:sz="0" w:space="0" w:color="auto"/>
          </w:divBdr>
          <w:divsChild>
            <w:div w:id="141504458">
              <w:marLeft w:val="0"/>
              <w:marRight w:val="0"/>
              <w:marTop w:val="0"/>
              <w:marBottom w:val="0"/>
              <w:divBdr>
                <w:top w:val="none" w:sz="0" w:space="0" w:color="auto"/>
                <w:left w:val="none" w:sz="0" w:space="0" w:color="auto"/>
                <w:bottom w:val="none" w:sz="0" w:space="0" w:color="auto"/>
                <w:right w:val="none" w:sz="0" w:space="0" w:color="auto"/>
              </w:divBdr>
              <w:divsChild>
                <w:div w:id="141504539">
                  <w:marLeft w:val="0"/>
                  <w:marRight w:val="1"/>
                  <w:marTop w:val="0"/>
                  <w:marBottom w:val="0"/>
                  <w:divBdr>
                    <w:top w:val="none" w:sz="0" w:space="0" w:color="auto"/>
                    <w:left w:val="none" w:sz="0" w:space="0" w:color="auto"/>
                    <w:bottom w:val="none" w:sz="0" w:space="0" w:color="auto"/>
                    <w:right w:val="none" w:sz="0" w:space="0" w:color="auto"/>
                  </w:divBdr>
                  <w:divsChild>
                    <w:div w:id="141504774">
                      <w:marLeft w:val="0"/>
                      <w:marRight w:val="0"/>
                      <w:marTop w:val="0"/>
                      <w:marBottom w:val="0"/>
                      <w:divBdr>
                        <w:top w:val="none" w:sz="0" w:space="0" w:color="auto"/>
                        <w:left w:val="none" w:sz="0" w:space="0" w:color="auto"/>
                        <w:bottom w:val="none" w:sz="0" w:space="0" w:color="auto"/>
                        <w:right w:val="none" w:sz="0" w:space="0" w:color="auto"/>
                      </w:divBdr>
                      <w:divsChild>
                        <w:div w:id="141504717">
                          <w:marLeft w:val="0"/>
                          <w:marRight w:val="0"/>
                          <w:marTop w:val="0"/>
                          <w:marBottom w:val="0"/>
                          <w:divBdr>
                            <w:top w:val="none" w:sz="0" w:space="0" w:color="auto"/>
                            <w:left w:val="none" w:sz="0" w:space="0" w:color="auto"/>
                            <w:bottom w:val="none" w:sz="0" w:space="0" w:color="auto"/>
                            <w:right w:val="none" w:sz="0" w:space="0" w:color="auto"/>
                          </w:divBdr>
                          <w:divsChild>
                            <w:div w:id="141504406">
                              <w:marLeft w:val="0"/>
                              <w:marRight w:val="0"/>
                              <w:marTop w:val="120"/>
                              <w:marBottom w:val="360"/>
                              <w:divBdr>
                                <w:top w:val="none" w:sz="0" w:space="0" w:color="auto"/>
                                <w:left w:val="none" w:sz="0" w:space="0" w:color="auto"/>
                                <w:bottom w:val="none" w:sz="0" w:space="0" w:color="auto"/>
                                <w:right w:val="none" w:sz="0" w:space="0" w:color="auto"/>
                              </w:divBdr>
                              <w:divsChild>
                                <w:div w:id="141504734">
                                  <w:marLeft w:val="0"/>
                                  <w:marRight w:val="0"/>
                                  <w:marTop w:val="0"/>
                                  <w:marBottom w:val="0"/>
                                  <w:divBdr>
                                    <w:top w:val="none" w:sz="0" w:space="0" w:color="auto"/>
                                    <w:left w:val="none" w:sz="0" w:space="0" w:color="auto"/>
                                    <w:bottom w:val="none" w:sz="0" w:space="0" w:color="auto"/>
                                    <w:right w:val="none" w:sz="0" w:space="0" w:color="auto"/>
                                  </w:divBdr>
                                  <w:divsChild>
                                    <w:div w:id="141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77">
      <w:marLeft w:val="0"/>
      <w:marRight w:val="0"/>
      <w:marTop w:val="0"/>
      <w:marBottom w:val="0"/>
      <w:divBdr>
        <w:top w:val="none" w:sz="0" w:space="0" w:color="auto"/>
        <w:left w:val="none" w:sz="0" w:space="0" w:color="auto"/>
        <w:bottom w:val="none" w:sz="0" w:space="0" w:color="auto"/>
        <w:right w:val="none" w:sz="0" w:space="0" w:color="auto"/>
      </w:divBdr>
      <w:divsChild>
        <w:div w:id="141504631">
          <w:marLeft w:val="0"/>
          <w:marRight w:val="1"/>
          <w:marTop w:val="0"/>
          <w:marBottom w:val="0"/>
          <w:divBdr>
            <w:top w:val="none" w:sz="0" w:space="0" w:color="auto"/>
            <w:left w:val="none" w:sz="0" w:space="0" w:color="auto"/>
            <w:bottom w:val="none" w:sz="0" w:space="0" w:color="auto"/>
            <w:right w:val="none" w:sz="0" w:space="0" w:color="auto"/>
          </w:divBdr>
          <w:divsChild>
            <w:div w:id="141504680">
              <w:marLeft w:val="0"/>
              <w:marRight w:val="0"/>
              <w:marTop w:val="0"/>
              <w:marBottom w:val="0"/>
              <w:divBdr>
                <w:top w:val="none" w:sz="0" w:space="0" w:color="auto"/>
                <w:left w:val="none" w:sz="0" w:space="0" w:color="auto"/>
                <w:bottom w:val="none" w:sz="0" w:space="0" w:color="auto"/>
                <w:right w:val="none" w:sz="0" w:space="0" w:color="auto"/>
              </w:divBdr>
              <w:divsChild>
                <w:div w:id="141504570">
                  <w:marLeft w:val="0"/>
                  <w:marRight w:val="1"/>
                  <w:marTop w:val="0"/>
                  <w:marBottom w:val="0"/>
                  <w:divBdr>
                    <w:top w:val="none" w:sz="0" w:space="0" w:color="auto"/>
                    <w:left w:val="none" w:sz="0" w:space="0" w:color="auto"/>
                    <w:bottom w:val="none" w:sz="0" w:space="0" w:color="auto"/>
                    <w:right w:val="none" w:sz="0" w:space="0" w:color="auto"/>
                  </w:divBdr>
                  <w:divsChild>
                    <w:div w:id="141504382">
                      <w:marLeft w:val="0"/>
                      <w:marRight w:val="0"/>
                      <w:marTop w:val="0"/>
                      <w:marBottom w:val="0"/>
                      <w:divBdr>
                        <w:top w:val="none" w:sz="0" w:space="0" w:color="auto"/>
                        <w:left w:val="none" w:sz="0" w:space="0" w:color="auto"/>
                        <w:bottom w:val="none" w:sz="0" w:space="0" w:color="auto"/>
                        <w:right w:val="none" w:sz="0" w:space="0" w:color="auto"/>
                      </w:divBdr>
                      <w:divsChild>
                        <w:div w:id="141504429">
                          <w:marLeft w:val="0"/>
                          <w:marRight w:val="0"/>
                          <w:marTop w:val="0"/>
                          <w:marBottom w:val="0"/>
                          <w:divBdr>
                            <w:top w:val="none" w:sz="0" w:space="0" w:color="auto"/>
                            <w:left w:val="none" w:sz="0" w:space="0" w:color="auto"/>
                            <w:bottom w:val="none" w:sz="0" w:space="0" w:color="auto"/>
                            <w:right w:val="none" w:sz="0" w:space="0" w:color="auto"/>
                          </w:divBdr>
                          <w:divsChild>
                            <w:div w:id="141504723">
                              <w:marLeft w:val="0"/>
                              <w:marRight w:val="0"/>
                              <w:marTop w:val="120"/>
                              <w:marBottom w:val="360"/>
                              <w:divBdr>
                                <w:top w:val="none" w:sz="0" w:space="0" w:color="auto"/>
                                <w:left w:val="none" w:sz="0" w:space="0" w:color="auto"/>
                                <w:bottom w:val="none" w:sz="0" w:space="0" w:color="auto"/>
                                <w:right w:val="none" w:sz="0" w:space="0" w:color="auto"/>
                              </w:divBdr>
                              <w:divsChild>
                                <w:div w:id="141504669">
                                  <w:marLeft w:val="0"/>
                                  <w:marRight w:val="0"/>
                                  <w:marTop w:val="0"/>
                                  <w:marBottom w:val="0"/>
                                  <w:divBdr>
                                    <w:top w:val="none" w:sz="0" w:space="0" w:color="auto"/>
                                    <w:left w:val="none" w:sz="0" w:space="0" w:color="auto"/>
                                    <w:bottom w:val="none" w:sz="0" w:space="0" w:color="auto"/>
                                    <w:right w:val="none" w:sz="0" w:space="0" w:color="auto"/>
                                  </w:divBdr>
                                  <w:divsChild>
                                    <w:div w:id="1415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86">
      <w:marLeft w:val="0"/>
      <w:marRight w:val="0"/>
      <w:marTop w:val="0"/>
      <w:marBottom w:val="0"/>
      <w:divBdr>
        <w:top w:val="none" w:sz="0" w:space="0" w:color="auto"/>
        <w:left w:val="none" w:sz="0" w:space="0" w:color="auto"/>
        <w:bottom w:val="none" w:sz="0" w:space="0" w:color="auto"/>
        <w:right w:val="none" w:sz="0" w:space="0" w:color="auto"/>
      </w:divBdr>
      <w:divsChild>
        <w:div w:id="141504638">
          <w:marLeft w:val="0"/>
          <w:marRight w:val="1"/>
          <w:marTop w:val="0"/>
          <w:marBottom w:val="0"/>
          <w:divBdr>
            <w:top w:val="none" w:sz="0" w:space="0" w:color="auto"/>
            <w:left w:val="none" w:sz="0" w:space="0" w:color="auto"/>
            <w:bottom w:val="none" w:sz="0" w:space="0" w:color="auto"/>
            <w:right w:val="none" w:sz="0" w:space="0" w:color="auto"/>
          </w:divBdr>
          <w:divsChild>
            <w:div w:id="141504354">
              <w:marLeft w:val="0"/>
              <w:marRight w:val="0"/>
              <w:marTop w:val="0"/>
              <w:marBottom w:val="0"/>
              <w:divBdr>
                <w:top w:val="none" w:sz="0" w:space="0" w:color="auto"/>
                <w:left w:val="none" w:sz="0" w:space="0" w:color="auto"/>
                <w:bottom w:val="none" w:sz="0" w:space="0" w:color="auto"/>
                <w:right w:val="none" w:sz="0" w:space="0" w:color="auto"/>
              </w:divBdr>
              <w:divsChild>
                <w:div w:id="141504673">
                  <w:marLeft w:val="0"/>
                  <w:marRight w:val="1"/>
                  <w:marTop w:val="0"/>
                  <w:marBottom w:val="0"/>
                  <w:divBdr>
                    <w:top w:val="none" w:sz="0" w:space="0" w:color="auto"/>
                    <w:left w:val="none" w:sz="0" w:space="0" w:color="auto"/>
                    <w:bottom w:val="none" w:sz="0" w:space="0" w:color="auto"/>
                    <w:right w:val="none" w:sz="0" w:space="0" w:color="auto"/>
                  </w:divBdr>
                  <w:divsChild>
                    <w:div w:id="141504398">
                      <w:marLeft w:val="0"/>
                      <w:marRight w:val="0"/>
                      <w:marTop w:val="0"/>
                      <w:marBottom w:val="0"/>
                      <w:divBdr>
                        <w:top w:val="none" w:sz="0" w:space="0" w:color="auto"/>
                        <w:left w:val="none" w:sz="0" w:space="0" w:color="auto"/>
                        <w:bottom w:val="none" w:sz="0" w:space="0" w:color="auto"/>
                        <w:right w:val="none" w:sz="0" w:space="0" w:color="auto"/>
                      </w:divBdr>
                      <w:divsChild>
                        <w:div w:id="141504488">
                          <w:marLeft w:val="0"/>
                          <w:marRight w:val="0"/>
                          <w:marTop w:val="0"/>
                          <w:marBottom w:val="0"/>
                          <w:divBdr>
                            <w:top w:val="none" w:sz="0" w:space="0" w:color="auto"/>
                            <w:left w:val="none" w:sz="0" w:space="0" w:color="auto"/>
                            <w:bottom w:val="none" w:sz="0" w:space="0" w:color="auto"/>
                            <w:right w:val="none" w:sz="0" w:space="0" w:color="auto"/>
                          </w:divBdr>
                          <w:divsChild>
                            <w:div w:id="141504427">
                              <w:marLeft w:val="0"/>
                              <w:marRight w:val="0"/>
                              <w:marTop w:val="120"/>
                              <w:marBottom w:val="360"/>
                              <w:divBdr>
                                <w:top w:val="none" w:sz="0" w:space="0" w:color="auto"/>
                                <w:left w:val="none" w:sz="0" w:space="0" w:color="auto"/>
                                <w:bottom w:val="none" w:sz="0" w:space="0" w:color="auto"/>
                                <w:right w:val="none" w:sz="0" w:space="0" w:color="auto"/>
                              </w:divBdr>
                              <w:divsChild>
                                <w:div w:id="141504432">
                                  <w:marLeft w:val="0"/>
                                  <w:marRight w:val="0"/>
                                  <w:marTop w:val="0"/>
                                  <w:marBottom w:val="0"/>
                                  <w:divBdr>
                                    <w:top w:val="none" w:sz="0" w:space="0" w:color="auto"/>
                                    <w:left w:val="none" w:sz="0" w:space="0" w:color="auto"/>
                                    <w:bottom w:val="none" w:sz="0" w:space="0" w:color="auto"/>
                                    <w:right w:val="none" w:sz="0" w:space="0" w:color="auto"/>
                                  </w:divBdr>
                                  <w:divsChild>
                                    <w:div w:id="1415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90">
      <w:marLeft w:val="0"/>
      <w:marRight w:val="0"/>
      <w:marTop w:val="0"/>
      <w:marBottom w:val="0"/>
      <w:divBdr>
        <w:top w:val="none" w:sz="0" w:space="0" w:color="auto"/>
        <w:left w:val="none" w:sz="0" w:space="0" w:color="auto"/>
        <w:bottom w:val="none" w:sz="0" w:space="0" w:color="auto"/>
        <w:right w:val="none" w:sz="0" w:space="0" w:color="auto"/>
      </w:divBdr>
      <w:divsChild>
        <w:div w:id="141504444">
          <w:marLeft w:val="0"/>
          <w:marRight w:val="1"/>
          <w:marTop w:val="0"/>
          <w:marBottom w:val="0"/>
          <w:divBdr>
            <w:top w:val="none" w:sz="0" w:space="0" w:color="auto"/>
            <w:left w:val="none" w:sz="0" w:space="0" w:color="auto"/>
            <w:bottom w:val="none" w:sz="0" w:space="0" w:color="auto"/>
            <w:right w:val="none" w:sz="0" w:space="0" w:color="auto"/>
          </w:divBdr>
          <w:divsChild>
            <w:div w:id="141504543">
              <w:marLeft w:val="0"/>
              <w:marRight w:val="0"/>
              <w:marTop w:val="0"/>
              <w:marBottom w:val="0"/>
              <w:divBdr>
                <w:top w:val="none" w:sz="0" w:space="0" w:color="auto"/>
                <w:left w:val="none" w:sz="0" w:space="0" w:color="auto"/>
                <w:bottom w:val="none" w:sz="0" w:space="0" w:color="auto"/>
                <w:right w:val="none" w:sz="0" w:space="0" w:color="auto"/>
              </w:divBdr>
              <w:divsChild>
                <w:div w:id="141504493">
                  <w:marLeft w:val="0"/>
                  <w:marRight w:val="1"/>
                  <w:marTop w:val="0"/>
                  <w:marBottom w:val="0"/>
                  <w:divBdr>
                    <w:top w:val="none" w:sz="0" w:space="0" w:color="auto"/>
                    <w:left w:val="none" w:sz="0" w:space="0" w:color="auto"/>
                    <w:bottom w:val="none" w:sz="0" w:space="0" w:color="auto"/>
                    <w:right w:val="none" w:sz="0" w:space="0" w:color="auto"/>
                  </w:divBdr>
                  <w:divsChild>
                    <w:div w:id="141504733">
                      <w:marLeft w:val="0"/>
                      <w:marRight w:val="0"/>
                      <w:marTop w:val="0"/>
                      <w:marBottom w:val="0"/>
                      <w:divBdr>
                        <w:top w:val="none" w:sz="0" w:space="0" w:color="auto"/>
                        <w:left w:val="none" w:sz="0" w:space="0" w:color="auto"/>
                        <w:bottom w:val="none" w:sz="0" w:space="0" w:color="auto"/>
                        <w:right w:val="none" w:sz="0" w:space="0" w:color="auto"/>
                      </w:divBdr>
                      <w:divsChild>
                        <w:div w:id="141504434">
                          <w:marLeft w:val="0"/>
                          <w:marRight w:val="0"/>
                          <w:marTop w:val="0"/>
                          <w:marBottom w:val="0"/>
                          <w:divBdr>
                            <w:top w:val="none" w:sz="0" w:space="0" w:color="auto"/>
                            <w:left w:val="none" w:sz="0" w:space="0" w:color="auto"/>
                            <w:bottom w:val="none" w:sz="0" w:space="0" w:color="auto"/>
                            <w:right w:val="none" w:sz="0" w:space="0" w:color="auto"/>
                          </w:divBdr>
                          <w:divsChild>
                            <w:div w:id="141504577">
                              <w:marLeft w:val="0"/>
                              <w:marRight w:val="0"/>
                              <w:marTop w:val="120"/>
                              <w:marBottom w:val="360"/>
                              <w:divBdr>
                                <w:top w:val="none" w:sz="0" w:space="0" w:color="auto"/>
                                <w:left w:val="none" w:sz="0" w:space="0" w:color="auto"/>
                                <w:bottom w:val="none" w:sz="0" w:space="0" w:color="auto"/>
                                <w:right w:val="none" w:sz="0" w:space="0" w:color="auto"/>
                              </w:divBdr>
                              <w:divsChild>
                                <w:div w:id="141504489">
                                  <w:marLeft w:val="0"/>
                                  <w:marRight w:val="0"/>
                                  <w:marTop w:val="0"/>
                                  <w:marBottom w:val="0"/>
                                  <w:divBdr>
                                    <w:top w:val="none" w:sz="0" w:space="0" w:color="auto"/>
                                    <w:left w:val="none" w:sz="0" w:space="0" w:color="auto"/>
                                    <w:bottom w:val="none" w:sz="0" w:space="0" w:color="auto"/>
                                    <w:right w:val="none" w:sz="0" w:space="0" w:color="auto"/>
                                  </w:divBdr>
                                  <w:divsChild>
                                    <w:div w:id="1415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4797">
      <w:marLeft w:val="0"/>
      <w:marRight w:val="0"/>
      <w:marTop w:val="0"/>
      <w:marBottom w:val="0"/>
      <w:divBdr>
        <w:top w:val="none" w:sz="0" w:space="0" w:color="auto"/>
        <w:left w:val="none" w:sz="0" w:space="0" w:color="auto"/>
        <w:bottom w:val="none" w:sz="0" w:space="0" w:color="auto"/>
        <w:right w:val="none" w:sz="0" w:space="0" w:color="auto"/>
      </w:divBdr>
      <w:divsChild>
        <w:div w:id="141504562">
          <w:marLeft w:val="0"/>
          <w:marRight w:val="1"/>
          <w:marTop w:val="0"/>
          <w:marBottom w:val="0"/>
          <w:divBdr>
            <w:top w:val="none" w:sz="0" w:space="0" w:color="auto"/>
            <w:left w:val="none" w:sz="0" w:space="0" w:color="auto"/>
            <w:bottom w:val="none" w:sz="0" w:space="0" w:color="auto"/>
            <w:right w:val="none" w:sz="0" w:space="0" w:color="auto"/>
          </w:divBdr>
          <w:divsChild>
            <w:div w:id="141504791">
              <w:marLeft w:val="0"/>
              <w:marRight w:val="0"/>
              <w:marTop w:val="0"/>
              <w:marBottom w:val="0"/>
              <w:divBdr>
                <w:top w:val="none" w:sz="0" w:space="0" w:color="auto"/>
                <w:left w:val="none" w:sz="0" w:space="0" w:color="auto"/>
                <w:bottom w:val="none" w:sz="0" w:space="0" w:color="auto"/>
                <w:right w:val="none" w:sz="0" w:space="0" w:color="auto"/>
              </w:divBdr>
              <w:divsChild>
                <w:div w:id="141504538">
                  <w:marLeft w:val="0"/>
                  <w:marRight w:val="1"/>
                  <w:marTop w:val="0"/>
                  <w:marBottom w:val="0"/>
                  <w:divBdr>
                    <w:top w:val="none" w:sz="0" w:space="0" w:color="auto"/>
                    <w:left w:val="none" w:sz="0" w:space="0" w:color="auto"/>
                    <w:bottom w:val="none" w:sz="0" w:space="0" w:color="auto"/>
                    <w:right w:val="none" w:sz="0" w:space="0" w:color="auto"/>
                  </w:divBdr>
                  <w:divsChild>
                    <w:div w:id="141504664">
                      <w:marLeft w:val="0"/>
                      <w:marRight w:val="0"/>
                      <w:marTop w:val="0"/>
                      <w:marBottom w:val="0"/>
                      <w:divBdr>
                        <w:top w:val="none" w:sz="0" w:space="0" w:color="auto"/>
                        <w:left w:val="none" w:sz="0" w:space="0" w:color="auto"/>
                        <w:bottom w:val="none" w:sz="0" w:space="0" w:color="auto"/>
                        <w:right w:val="none" w:sz="0" w:space="0" w:color="auto"/>
                      </w:divBdr>
                      <w:divsChild>
                        <w:div w:id="141504353">
                          <w:marLeft w:val="0"/>
                          <w:marRight w:val="0"/>
                          <w:marTop w:val="0"/>
                          <w:marBottom w:val="0"/>
                          <w:divBdr>
                            <w:top w:val="none" w:sz="0" w:space="0" w:color="auto"/>
                            <w:left w:val="none" w:sz="0" w:space="0" w:color="auto"/>
                            <w:bottom w:val="none" w:sz="0" w:space="0" w:color="auto"/>
                            <w:right w:val="none" w:sz="0" w:space="0" w:color="auto"/>
                          </w:divBdr>
                          <w:divsChild>
                            <w:div w:id="141504713">
                              <w:marLeft w:val="0"/>
                              <w:marRight w:val="0"/>
                              <w:marTop w:val="120"/>
                              <w:marBottom w:val="360"/>
                              <w:divBdr>
                                <w:top w:val="none" w:sz="0" w:space="0" w:color="auto"/>
                                <w:left w:val="none" w:sz="0" w:space="0" w:color="auto"/>
                                <w:bottom w:val="none" w:sz="0" w:space="0" w:color="auto"/>
                                <w:right w:val="none" w:sz="0" w:space="0" w:color="auto"/>
                              </w:divBdr>
                              <w:divsChild>
                                <w:div w:id="141504701">
                                  <w:marLeft w:val="0"/>
                                  <w:marRight w:val="0"/>
                                  <w:marTop w:val="0"/>
                                  <w:marBottom w:val="0"/>
                                  <w:divBdr>
                                    <w:top w:val="none" w:sz="0" w:space="0" w:color="auto"/>
                                    <w:left w:val="none" w:sz="0" w:space="0" w:color="auto"/>
                                    <w:bottom w:val="none" w:sz="0" w:space="0" w:color="auto"/>
                                    <w:right w:val="none" w:sz="0" w:space="0" w:color="auto"/>
                                  </w:divBdr>
                                  <w:divsChild>
                                    <w:div w:id="1415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10466</Words>
  <Characters>59658</Characters>
  <Application>Microsoft Office Word</Application>
  <DocSecurity>0</DocSecurity>
  <Lines>497</Lines>
  <Paragraphs>139</Paragraphs>
  <ScaleCrop>false</ScaleCrop>
  <Company>Hewlett-Packard Company</Company>
  <LinksUpToDate>false</LinksUpToDate>
  <CharactersWithSpaces>69985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Owain Jones</dc:creator>
  <cp:lastModifiedBy>LS Ma</cp:lastModifiedBy>
  <cp:revision>2</cp:revision>
  <cp:lastPrinted>2014-04-09T10:24:00Z</cp:lastPrinted>
  <dcterms:created xsi:type="dcterms:W3CDTF">2014-05-25T18:55:00Z</dcterms:created>
  <dcterms:modified xsi:type="dcterms:W3CDTF">2014-05-25T18:55:00Z</dcterms:modified>
</cp:coreProperties>
</file>