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A33" w:rsidRPr="00E44C52" w:rsidRDefault="00B52A33" w:rsidP="006B3EF8">
      <w:pPr>
        <w:spacing w:line="360" w:lineRule="auto"/>
        <w:jc w:val="both"/>
        <w:rPr>
          <w:rFonts w:ascii="Book Antiqua" w:hAnsi="Book Antiqua" w:cs="Tahoma"/>
          <w:b/>
          <w:color w:val="000000"/>
        </w:rPr>
      </w:pPr>
      <w:r w:rsidRPr="00E44C52">
        <w:rPr>
          <w:rFonts w:ascii="Book Antiqua" w:hAnsi="Book Antiqua" w:cs="Tahoma"/>
          <w:b/>
          <w:color w:val="0000FF"/>
        </w:rPr>
        <w:t xml:space="preserve">Name of journal: </w:t>
      </w:r>
      <w:r w:rsidRPr="00E44C52">
        <w:rPr>
          <w:rFonts w:ascii="Book Antiqua" w:hAnsi="Book Antiqua" w:cs="Tahoma"/>
          <w:b/>
          <w:color w:val="000000"/>
        </w:rPr>
        <w:t>World Journal of Gastroenterology</w:t>
      </w:r>
    </w:p>
    <w:p w:rsidR="00B52A33" w:rsidRPr="00E44C52" w:rsidRDefault="00B52A33" w:rsidP="006B3EF8">
      <w:pPr>
        <w:spacing w:line="360" w:lineRule="auto"/>
        <w:jc w:val="both"/>
        <w:rPr>
          <w:rFonts w:ascii="Book Antiqua" w:eastAsia="宋体" w:hAnsi="Book Antiqua" w:cs="Tahoma"/>
          <w:b/>
          <w:color w:val="0000FF"/>
          <w:lang w:eastAsia="zh-CN"/>
        </w:rPr>
      </w:pPr>
      <w:r w:rsidRPr="00E44C52">
        <w:rPr>
          <w:rFonts w:ascii="Book Antiqua" w:hAnsi="Book Antiqua" w:cs="Tahoma"/>
          <w:b/>
          <w:color w:val="0000FF"/>
        </w:rPr>
        <w:t>ESPS Manuscript NO:</w:t>
      </w:r>
      <w:r w:rsidRPr="00E44C52">
        <w:rPr>
          <w:rFonts w:ascii="Book Antiqua" w:eastAsia="宋体" w:hAnsi="Book Antiqua" w:cs="Tahoma"/>
          <w:b/>
          <w:color w:val="0000FF"/>
          <w:lang w:eastAsia="zh-CN"/>
        </w:rPr>
        <w:t xml:space="preserve"> 978</w:t>
      </w:r>
    </w:p>
    <w:p w:rsidR="00B52A33" w:rsidRPr="00E44C52" w:rsidRDefault="00B52A33" w:rsidP="006B3EF8">
      <w:pPr>
        <w:spacing w:line="360" w:lineRule="auto"/>
        <w:ind w:right="210"/>
        <w:jc w:val="both"/>
        <w:rPr>
          <w:rFonts w:ascii="Book Antiqua" w:eastAsia="幼圆" w:hAnsi="Book Antiqua"/>
          <w:b/>
          <w:color w:val="0000FF"/>
          <w:lang w:val="nl-NL"/>
        </w:rPr>
      </w:pPr>
      <w:r w:rsidRPr="00E44C52">
        <w:rPr>
          <w:rFonts w:ascii="Book Antiqua" w:hAnsi="Book Antiqua" w:cs="Tahoma"/>
          <w:b/>
          <w:color w:val="0000FF"/>
        </w:rPr>
        <w:t>Columns:</w:t>
      </w:r>
      <w:r w:rsidRPr="00E44C52">
        <w:rPr>
          <w:rFonts w:ascii="Book Antiqua" w:hAnsi="Book Antiqua" w:cs="Tahoma"/>
          <w:b/>
        </w:rPr>
        <w:t xml:space="preserve"> </w:t>
      </w:r>
      <w:r w:rsidRPr="00E44C52">
        <w:rPr>
          <w:rFonts w:ascii="Book Antiqua" w:eastAsia="幼圆" w:hAnsi="Book Antiqua"/>
          <w:b/>
          <w:lang w:val="nl-NL"/>
        </w:rPr>
        <w:t>CASE REPORT</w:t>
      </w:r>
    </w:p>
    <w:p w:rsidR="00B52A33" w:rsidRPr="00E44C52" w:rsidRDefault="00B52A33" w:rsidP="006B3EF8">
      <w:pPr>
        <w:spacing w:line="360" w:lineRule="auto"/>
        <w:jc w:val="both"/>
        <w:rPr>
          <w:rFonts w:ascii="Book Antiqua" w:hAnsi="Book Antiqua" w:cs="Times New Roman"/>
          <w:b/>
          <w:bCs/>
        </w:rPr>
      </w:pPr>
    </w:p>
    <w:p w:rsidR="00B52A33" w:rsidRPr="00E44C52" w:rsidRDefault="00B52A33" w:rsidP="006B3EF8">
      <w:pPr>
        <w:spacing w:line="360" w:lineRule="auto"/>
        <w:jc w:val="both"/>
        <w:rPr>
          <w:rFonts w:ascii="Book Antiqua" w:hAnsi="Book Antiqua" w:cs="Times New Roman"/>
          <w:b/>
          <w:bCs/>
        </w:rPr>
      </w:pPr>
      <w:r w:rsidRPr="00E44C52">
        <w:rPr>
          <w:rFonts w:ascii="Book Antiqua" w:hAnsi="Book Antiqua" w:cs="Times New Roman"/>
          <w:b/>
          <w:bCs/>
        </w:rPr>
        <w:t>Case report and review of esophageal lichen planus treated with fluticasone</w:t>
      </w:r>
    </w:p>
    <w:p w:rsidR="00B52A33" w:rsidRPr="00E44C52" w:rsidRDefault="00B52A33" w:rsidP="006B3EF8">
      <w:pPr>
        <w:spacing w:line="360" w:lineRule="auto"/>
        <w:jc w:val="both"/>
        <w:rPr>
          <w:rFonts w:ascii="Book Antiqua" w:hAnsi="Book Antiqua" w:cs="Times New Roman"/>
          <w:b/>
          <w:bCs/>
        </w:rPr>
      </w:pPr>
    </w:p>
    <w:p w:rsidR="00B52A33" w:rsidRPr="00500A2E" w:rsidRDefault="00B52A33" w:rsidP="006B3EF8">
      <w:pPr>
        <w:spacing w:line="360" w:lineRule="auto"/>
        <w:jc w:val="both"/>
        <w:rPr>
          <w:rFonts w:ascii="Book Antiqua" w:hAnsi="Book Antiqua" w:cs="Times New Roman"/>
          <w:bCs/>
        </w:rPr>
      </w:pPr>
      <w:r w:rsidRPr="00500A2E">
        <w:rPr>
          <w:rFonts w:ascii="Book Antiqua" w:hAnsi="Book Antiqua" w:cs="Times New Roman"/>
          <w:bCs/>
        </w:rPr>
        <w:t xml:space="preserve">Ynson M </w:t>
      </w:r>
      <w:r w:rsidRPr="00500A2E">
        <w:rPr>
          <w:rFonts w:ascii="Book Antiqua" w:hAnsi="Book Antiqua" w:cs="Times New Roman"/>
          <w:bCs/>
          <w:i/>
        </w:rPr>
        <w:t>et al.</w:t>
      </w:r>
      <w:r w:rsidRPr="00500A2E">
        <w:rPr>
          <w:rFonts w:ascii="Book Antiqua" w:hAnsi="Book Antiqua" w:cs="Times New Roman"/>
          <w:bCs/>
        </w:rPr>
        <w:t xml:space="preserve"> Esophageal lichen planus treated with fluticasone</w:t>
      </w:r>
    </w:p>
    <w:p w:rsidR="00B52A33" w:rsidRPr="00E44C52" w:rsidRDefault="00B52A33" w:rsidP="006B3EF8">
      <w:pPr>
        <w:spacing w:line="360" w:lineRule="auto"/>
        <w:jc w:val="both"/>
        <w:rPr>
          <w:rFonts w:ascii="Book Antiqua" w:hAnsi="Book Antiqua" w:cs="Times New Roman"/>
          <w:bCs/>
        </w:rPr>
      </w:pPr>
    </w:p>
    <w:p w:rsidR="00B52A33" w:rsidRPr="00773412" w:rsidRDefault="00B52A33" w:rsidP="006B3EF8">
      <w:pPr>
        <w:spacing w:line="360" w:lineRule="auto"/>
        <w:jc w:val="both"/>
        <w:rPr>
          <w:rFonts w:ascii="Book Antiqua" w:eastAsia="宋体" w:hAnsi="Book Antiqua" w:cs="Times New Roman"/>
          <w:bCs/>
          <w:lang w:eastAsia="zh-CN"/>
        </w:rPr>
      </w:pPr>
      <w:r w:rsidRPr="00E44C52">
        <w:rPr>
          <w:rFonts w:ascii="Book Antiqua" w:hAnsi="Book Antiqua" w:cs="Times New Roman"/>
          <w:bCs/>
        </w:rPr>
        <w:t>Marie Lourdes Ynson, Faripour Forouhar, Haleh Vaziri</w:t>
      </w:r>
    </w:p>
    <w:p w:rsidR="00B52A33" w:rsidRPr="00E44C52" w:rsidRDefault="001B2B2B" w:rsidP="006B3EF8">
      <w:pPr>
        <w:spacing w:line="360" w:lineRule="auto"/>
        <w:jc w:val="both"/>
        <w:rPr>
          <w:rFonts w:ascii="Book Antiqua" w:hAnsi="Book Antiqua" w:cs="Times New Roman"/>
          <w:b/>
          <w:bCs/>
        </w:rPr>
      </w:pP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12065</wp:posOffset>
                </wp:positionV>
                <wp:extent cx="5715000" cy="0"/>
                <wp:effectExtent l="19050" t="21590" r="19050" b="35560"/>
                <wp:wrapNone/>
                <wp:docPr id="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5400">
                          <a:solidFill>
                            <a:srgbClr val="4F81BD"/>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50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" strokecolor="#4f81bd" strokeweight="2pt">
                <v:shadow on="t" opacity="24903f" origin=",.5" offset="0,.55556mm"/>
              </v:line>
            </w:pict>
          </mc:Fallback>
        </mc:AlternateContent>
      </w:r>
    </w:p>
    <w:p w:rsidR="00B52A33" w:rsidRPr="00E44C52" w:rsidRDefault="00B52A33" w:rsidP="006B3EF8">
      <w:pPr>
        <w:spacing w:line="360" w:lineRule="auto"/>
        <w:jc w:val="both"/>
        <w:rPr>
          <w:rFonts w:ascii="Book Antiqua" w:eastAsia="宋体" w:hAnsi="Book Antiqua" w:cs="Times New Roman"/>
          <w:bCs/>
          <w:lang w:eastAsia="zh-CN"/>
        </w:rPr>
      </w:pPr>
      <w:r w:rsidRPr="00E44C52">
        <w:rPr>
          <w:rFonts w:ascii="Book Antiqua" w:hAnsi="Book Antiqua" w:cs="Times New Roman"/>
          <w:b/>
          <w:bCs/>
        </w:rPr>
        <w:t>Marie Lourdes Ynson</w:t>
      </w:r>
      <w:r w:rsidRPr="00E44C52">
        <w:rPr>
          <w:rFonts w:ascii="Book Antiqua" w:eastAsia="宋体" w:hAnsi="Book Antiqua" w:cs="Times New Roman"/>
          <w:b/>
          <w:bCs/>
          <w:lang w:eastAsia="zh-CN"/>
        </w:rPr>
        <w:t xml:space="preserve">, </w:t>
      </w:r>
      <w:r w:rsidRPr="00E44C52">
        <w:rPr>
          <w:rFonts w:ascii="Book Antiqua" w:hAnsi="Book Antiqua" w:cs="Times New Roman"/>
          <w:bCs/>
        </w:rPr>
        <w:t>Department of Medicine,</w:t>
      </w:r>
      <w:r w:rsidRPr="00E44C52">
        <w:rPr>
          <w:rFonts w:ascii="Book Antiqua" w:eastAsia="宋体" w:hAnsi="Book Antiqua" w:cs="Times New Roman"/>
          <w:bCs/>
          <w:lang w:eastAsia="zh-CN"/>
        </w:rPr>
        <w:t xml:space="preserve"> </w:t>
      </w:r>
      <w:r w:rsidRPr="00E44C52">
        <w:rPr>
          <w:rFonts w:ascii="Book Antiqua" w:hAnsi="Book Antiqua" w:cs="Times New Roman"/>
          <w:bCs/>
        </w:rPr>
        <w:t>University of Connecticut Health Center</w:t>
      </w:r>
      <w:r w:rsidRPr="00E44C52">
        <w:rPr>
          <w:rFonts w:ascii="Book Antiqua" w:eastAsia="宋体" w:hAnsi="Book Antiqua" w:cs="Times New Roman"/>
          <w:bCs/>
          <w:lang w:eastAsia="zh-CN"/>
        </w:rPr>
        <w:t xml:space="preserve">, </w:t>
      </w:r>
      <w:r w:rsidRPr="00E44C52">
        <w:rPr>
          <w:rFonts w:ascii="Book Antiqua" w:hAnsi="Book Antiqua" w:cs="Times New Roman"/>
          <w:bCs/>
        </w:rPr>
        <w:t>Farmington</w:t>
      </w:r>
      <w:r w:rsidRPr="00E44C52">
        <w:rPr>
          <w:rFonts w:ascii="Book Antiqua" w:eastAsia="宋体" w:hAnsi="Book Antiqua" w:cs="Times New Roman"/>
          <w:bCs/>
          <w:lang w:eastAsia="zh-CN"/>
        </w:rPr>
        <w:t>,</w:t>
      </w:r>
      <w:r w:rsidRPr="00E44C52">
        <w:rPr>
          <w:rFonts w:ascii="Book Antiqua" w:hAnsi="Book Antiqua" w:cs="Times New Roman"/>
          <w:bCs/>
        </w:rPr>
        <w:t xml:space="preserve"> CT 06030</w:t>
      </w:r>
      <w:r w:rsidRPr="00E44C52">
        <w:rPr>
          <w:rFonts w:ascii="Book Antiqua" w:eastAsia="宋体" w:hAnsi="Book Antiqua" w:cs="Times New Roman"/>
          <w:bCs/>
          <w:lang w:eastAsia="zh-CN"/>
        </w:rPr>
        <w:t xml:space="preserve">, </w:t>
      </w:r>
      <w:r w:rsidRPr="00E44C52">
        <w:rPr>
          <w:rFonts w:ascii="Book Antiqua" w:hAnsi="Book Antiqua" w:cs="Garamond"/>
        </w:rPr>
        <w:t>United States</w:t>
      </w:r>
    </w:p>
    <w:p w:rsidR="00B52A33" w:rsidRDefault="00B52A33" w:rsidP="006B3EF8">
      <w:pPr>
        <w:spacing w:line="360" w:lineRule="auto"/>
        <w:jc w:val="both"/>
        <w:rPr>
          <w:rFonts w:ascii="Book Antiqua" w:eastAsia="宋体" w:hAnsi="Book Antiqua" w:cs="Times New Roman"/>
          <w:b/>
          <w:bCs/>
          <w:lang w:eastAsia="zh-CN"/>
        </w:rPr>
      </w:pPr>
    </w:p>
    <w:p w:rsidR="00B52A33" w:rsidRPr="00E44C52" w:rsidRDefault="00B52A33" w:rsidP="006B3EF8">
      <w:pPr>
        <w:spacing w:line="360" w:lineRule="auto"/>
        <w:jc w:val="both"/>
        <w:rPr>
          <w:rFonts w:ascii="Book Antiqua" w:eastAsia="宋体" w:hAnsi="Book Antiqua" w:cs="Times New Roman"/>
          <w:bCs/>
          <w:lang w:eastAsia="zh-CN"/>
        </w:rPr>
      </w:pPr>
      <w:r w:rsidRPr="00E44C52">
        <w:rPr>
          <w:rFonts w:ascii="Book Antiqua" w:hAnsi="Book Antiqua" w:cs="Times New Roman"/>
          <w:b/>
          <w:bCs/>
        </w:rPr>
        <w:t>Faripour Forouhar</w:t>
      </w:r>
      <w:r w:rsidRPr="00E44C52">
        <w:rPr>
          <w:rFonts w:ascii="Book Antiqua" w:eastAsia="宋体" w:hAnsi="Book Antiqua" w:cs="Times New Roman"/>
          <w:b/>
          <w:bCs/>
          <w:lang w:eastAsia="zh-CN"/>
        </w:rPr>
        <w:t xml:space="preserve">, </w:t>
      </w:r>
      <w:r w:rsidRPr="00E44C52">
        <w:rPr>
          <w:rFonts w:ascii="Book Antiqua" w:hAnsi="Book Antiqua" w:cs="Times New Roman"/>
          <w:bCs/>
        </w:rPr>
        <w:t>Department of Pathology</w:t>
      </w:r>
      <w:r w:rsidRPr="00E44C52">
        <w:rPr>
          <w:rFonts w:ascii="Book Antiqua" w:eastAsia="宋体" w:hAnsi="Book Antiqua" w:cs="Times New Roman"/>
          <w:bCs/>
          <w:lang w:eastAsia="zh-CN"/>
        </w:rPr>
        <w:t xml:space="preserve">, </w:t>
      </w:r>
      <w:r w:rsidRPr="00E44C52">
        <w:rPr>
          <w:rFonts w:ascii="Book Antiqua" w:hAnsi="Book Antiqua" w:cs="Times New Roman"/>
          <w:bCs/>
        </w:rPr>
        <w:t>University of Connecticut Health Center</w:t>
      </w:r>
      <w:r w:rsidRPr="00E44C52">
        <w:rPr>
          <w:rFonts w:ascii="Book Antiqua" w:eastAsia="宋体" w:hAnsi="Book Antiqua" w:cs="Times New Roman"/>
          <w:bCs/>
          <w:lang w:eastAsia="zh-CN"/>
        </w:rPr>
        <w:t xml:space="preserve">, </w:t>
      </w:r>
      <w:r w:rsidRPr="00E44C52">
        <w:rPr>
          <w:rFonts w:ascii="Book Antiqua" w:hAnsi="Book Antiqua" w:cs="Times New Roman"/>
          <w:bCs/>
        </w:rPr>
        <w:t>Farmington</w:t>
      </w:r>
      <w:r w:rsidRPr="00E44C52">
        <w:rPr>
          <w:rFonts w:ascii="Book Antiqua" w:eastAsia="宋体" w:hAnsi="Book Antiqua" w:cs="Times New Roman"/>
          <w:bCs/>
          <w:lang w:eastAsia="zh-CN"/>
        </w:rPr>
        <w:t>,</w:t>
      </w:r>
      <w:r w:rsidRPr="00E44C52">
        <w:rPr>
          <w:rFonts w:ascii="Book Antiqua" w:hAnsi="Book Antiqua" w:cs="Times New Roman"/>
          <w:bCs/>
        </w:rPr>
        <w:t xml:space="preserve"> CT 06030</w:t>
      </w:r>
      <w:r w:rsidRPr="00E44C52">
        <w:rPr>
          <w:rFonts w:ascii="Book Antiqua" w:eastAsia="宋体" w:hAnsi="Book Antiqua" w:cs="Times New Roman"/>
          <w:bCs/>
          <w:lang w:eastAsia="zh-CN"/>
        </w:rPr>
        <w:t xml:space="preserve">, </w:t>
      </w:r>
      <w:r w:rsidRPr="00E44C52">
        <w:rPr>
          <w:rFonts w:ascii="Book Antiqua" w:hAnsi="Book Antiqua" w:cs="Garamond"/>
        </w:rPr>
        <w:t>United States</w:t>
      </w:r>
    </w:p>
    <w:p w:rsidR="00B52A33" w:rsidRDefault="00B52A33" w:rsidP="006B3EF8">
      <w:pPr>
        <w:spacing w:line="360" w:lineRule="auto"/>
        <w:jc w:val="both"/>
        <w:rPr>
          <w:rFonts w:ascii="Book Antiqua" w:eastAsia="宋体" w:hAnsi="Book Antiqua" w:cs="Times New Roman"/>
          <w:b/>
          <w:bCs/>
          <w:lang w:eastAsia="zh-CN"/>
        </w:rPr>
      </w:pPr>
    </w:p>
    <w:p w:rsidR="00B52A33" w:rsidRPr="00E44C52" w:rsidRDefault="00B52A33" w:rsidP="006B3EF8">
      <w:pPr>
        <w:spacing w:line="360" w:lineRule="auto"/>
        <w:jc w:val="both"/>
        <w:rPr>
          <w:rFonts w:ascii="Book Antiqua" w:eastAsia="宋体" w:hAnsi="Book Antiqua" w:cs="Times New Roman"/>
          <w:bCs/>
          <w:lang w:eastAsia="zh-CN"/>
        </w:rPr>
      </w:pPr>
      <w:r w:rsidRPr="00E44C52">
        <w:rPr>
          <w:rFonts w:ascii="Book Antiqua" w:hAnsi="Book Antiqua" w:cs="Times New Roman"/>
          <w:b/>
          <w:bCs/>
        </w:rPr>
        <w:t>Haleh Vaziri</w:t>
      </w:r>
      <w:r w:rsidRPr="00E44C52">
        <w:rPr>
          <w:rFonts w:ascii="Book Antiqua" w:eastAsia="宋体" w:hAnsi="Book Antiqua" w:cs="Times New Roman"/>
          <w:b/>
          <w:bCs/>
          <w:lang w:eastAsia="zh-CN"/>
        </w:rPr>
        <w:t xml:space="preserve">, </w:t>
      </w:r>
      <w:r w:rsidRPr="00E44C52">
        <w:rPr>
          <w:rFonts w:ascii="Book Antiqua" w:hAnsi="Book Antiqua" w:cs="Times New Roman"/>
          <w:bCs/>
        </w:rPr>
        <w:t>Department of Gastroenterology</w:t>
      </w:r>
      <w:r w:rsidRPr="00E44C52">
        <w:rPr>
          <w:rFonts w:ascii="Book Antiqua" w:eastAsia="宋体" w:hAnsi="Book Antiqua" w:cs="Times New Roman"/>
          <w:bCs/>
          <w:lang w:eastAsia="zh-CN"/>
        </w:rPr>
        <w:t xml:space="preserve">, </w:t>
      </w:r>
      <w:r w:rsidRPr="00E44C52">
        <w:rPr>
          <w:rFonts w:ascii="Book Antiqua" w:hAnsi="Book Antiqua" w:cs="Times New Roman"/>
          <w:bCs/>
        </w:rPr>
        <w:t>University of Connecticut Health Center</w:t>
      </w:r>
      <w:r w:rsidRPr="00E44C52">
        <w:rPr>
          <w:rFonts w:ascii="Book Antiqua" w:eastAsia="宋体" w:hAnsi="Book Antiqua" w:cs="Times New Roman"/>
          <w:bCs/>
          <w:lang w:eastAsia="zh-CN"/>
        </w:rPr>
        <w:t xml:space="preserve">, </w:t>
      </w:r>
      <w:r w:rsidRPr="00E44C52">
        <w:rPr>
          <w:rFonts w:ascii="Book Antiqua" w:hAnsi="Book Antiqua" w:cs="Times New Roman"/>
          <w:bCs/>
        </w:rPr>
        <w:t>Farmington</w:t>
      </w:r>
      <w:r w:rsidRPr="00E44C52">
        <w:rPr>
          <w:rFonts w:ascii="Book Antiqua" w:eastAsia="宋体" w:hAnsi="Book Antiqua" w:cs="Times New Roman"/>
          <w:bCs/>
          <w:lang w:eastAsia="zh-CN"/>
        </w:rPr>
        <w:t>,</w:t>
      </w:r>
      <w:r w:rsidRPr="00E44C52">
        <w:rPr>
          <w:rFonts w:ascii="Book Antiqua" w:hAnsi="Book Antiqua" w:cs="Times New Roman"/>
          <w:bCs/>
        </w:rPr>
        <w:t xml:space="preserve"> CT 06030</w:t>
      </w:r>
      <w:r w:rsidRPr="00E44C52">
        <w:rPr>
          <w:rFonts w:ascii="Book Antiqua" w:eastAsia="宋体" w:hAnsi="Book Antiqua" w:cs="Times New Roman"/>
          <w:bCs/>
          <w:lang w:eastAsia="zh-CN"/>
        </w:rPr>
        <w:t xml:space="preserve">, </w:t>
      </w:r>
      <w:r w:rsidRPr="00E44C52">
        <w:rPr>
          <w:rFonts w:ascii="Book Antiqua" w:hAnsi="Book Antiqua" w:cs="Garamond"/>
        </w:rPr>
        <w:t>United States</w:t>
      </w:r>
    </w:p>
    <w:p w:rsidR="00B52A33" w:rsidRPr="00E44C52" w:rsidRDefault="00B52A33" w:rsidP="006B3EF8">
      <w:pPr>
        <w:spacing w:line="360" w:lineRule="auto"/>
        <w:jc w:val="both"/>
        <w:rPr>
          <w:rFonts w:ascii="Book Antiqua" w:eastAsia="宋体" w:hAnsi="Book Antiqua" w:cs="Times New Roman"/>
          <w:bCs/>
          <w:lang w:eastAsia="zh-CN"/>
        </w:rPr>
      </w:pPr>
    </w:p>
    <w:p w:rsidR="00B52A33" w:rsidRPr="0075085D" w:rsidRDefault="00B52A33" w:rsidP="006B3EF8">
      <w:pPr>
        <w:spacing w:line="360" w:lineRule="auto"/>
        <w:jc w:val="both"/>
        <w:rPr>
          <w:rFonts w:ascii="Book Antiqua" w:eastAsia="宋体" w:hAnsi="Book Antiqua" w:cs="Times New Roman"/>
          <w:bCs/>
          <w:lang w:eastAsia="zh-CN"/>
        </w:rPr>
      </w:pPr>
      <w:r w:rsidRPr="00E44C52">
        <w:rPr>
          <w:rFonts w:ascii="Book Antiqua" w:hAnsi="Book Antiqua" w:cs="Times New Roman"/>
          <w:b/>
          <w:bCs/>
        </w:rPr>
        <w:t>Author contributions:</w:t>
      </w:r>
      <w:r>
        <w:rPr>
          <w:rFonts w:ascii="Book Antiqua" w:hAnsi="Book Antiqua" w:cs="Times New Roman"/>
          <w:bCs/>
        </w:rPr>
        <w:t xml:space="preserve"> Ynson M</w:t>
      </w:r>
      <w:r>
        <w:rPr>
          <w:rFonts w:ascii="Book Antiqua" w:eastAsia="宋体" w:hAnsi="Book Antiqua" w:cs="Times New Roman"/>
          <w:bCs/>
          <w:lang w:eastAsia="zh-CN"/>
        </w:rPr>
        <w:t>L</w:t>
      </w:r>
      <w:r>
        <w:rPr>
          <w:rFonts w:ascii="Book Antiqua" w:hAnsi="Book Antiqua" w:cs="Times New Roman"/>
          <w:bCs/>
        </w:rPr>
        <w:t>, Forouhar F</w:t>
      </w:r>
      <w:r>
        <w:rPr>
          <w:rFonts w:ascii="Book Antiqua" w:eastAsia="宋体" w:hAnsi="Book Antiqua" w:cs="Times New Roman"/>
          <w:bCs/>
          <w:lang w:eastAsia="zh-CN"/>
        </w:rPr>
        <w:t xml:space="preserve"> and</w:t>
      </w:r>
      <w:r w:rsidRPr="00E44C52">
        <w:rPr>
          <w:rFonts w:ascii="Book Antiqua" w:hAnsi="Book Antiqua" w:cs="Times New Roman"/>
          <w:bCs/>
        </w:rPr>
        <w:t xml:space="preserve"> Vaziri H contributed to manuscript writing and revisions</w:t>
      </w:r>
      <w:r>
        <w:rPr>
          <w:rFonts w:ascii="Book Antiqua" w:eastAsia="宋体" w:hAnsi="Book Antiqua" w:cs="Times New Roman"/>
          <w:bCs/>
          <w:lang w:eastAsia="zh-CN"/>
        </w:rPr>
        <w:t>.</w:t>
      </w:r>
    </w:p>
    <w:p w:rsidR="00B52A33" w:rsidRPr="00E44C52" w:rsidRDefault="00B52A33" w:rsidP="006B3EF8">
      <w:pPr>
        <w:spacing w:line="360" w:lineRule="auto"/>
        <w:jc w:val="both"/>
        <w:rPr>
          <w:rFonts w:ascii="Book Antiqua" w:hAnsi="Book Antiqua" w:cs="Times New Roman"/>
          <w:bCs/>
        </w:rPr>
      </w:pPr>
    </w:p>
    <w:p w:rsidR="00B52A33" w:rsidRDefault="00B52A33" w:rsidP="006B3EF8">
      <w:pPr>
        <w:spacing w:line="360" w:lineRule="auto"/>
        <w:jc w:val="both"/>
        <w:rPr>
          <w:rStyle w:val="a8"/>
          <w:rFonts w:ascii="Book Antiqua" w:eastAsia="宋体" w:hAnsi="Book Antiqua"/>
          <w:bCs/>
          <w:lang w:eastAsia="zh-CN"/>
        </w:rPr>
      </w:pPr>
      <w:r w:rsidRPr="00E44C52">
        <w:rPr>
          <w:rFonts w:ascii="Book Antiqua" w:hAnsi="Book Antiqua" w:cs="Times New Roman"/>
          <w:b/>
          <w:bCs/>
        </w:rPr>
        <w:t>Correspondence to</w:t>
      </w:r>
      <w:r w:rsidRPr="00E44C52">
        <w:rPr>
          <w:rFonts w:ascii="Book Antiqua" w:hAnsi="Book Antiqua" w:cs="Times New Roman"/>
          <w:bCs/>
        </w:rPr>
        <w:t>:</w:t>
      </w:r>
      <w:r w:rsidRPr="0075085D">
        <w:rPr>
          <w:rFonts w:ascii="Book Antiqua" w:eastAsia="宋体" w:hAnsi="Book Antiqua" w:cs="Times New Roman"/>
          <w:b/>
          <w:bCs/>
          <w:lang w:eastAsia="zh-CN"/>
        </w:rPr>
        <w:t xml:space="preserve"> </w:t>
      </w:r>
      <w:r w:rsidRPr="0075085D">
        <w:rPr>
          <w:rFonts w:ascii="Book Antiqua" w:hAnsi="Book Antiqua" w:cs="Times New Roman"/>
          <w:b/>
          <w:bCs/>
        </w:rPr>
        <w:t>Marie Lourdes Ynson</w:t>
      </w:r>
      <w:r w:rsidRPr="0075085D">
        <w:rPr>
          <w:rFonts w:ascii="Book Antiqua" w:eastAsia="宋体" w:hAnsi="Book Antiqua" w:cs="Times New Roman"/>
          <w:b/>
          <w:bCs/>
          <w:lang w:eastAsia="zh-CN"/>
        </w:rPr>
        <w:t>,</w:t>
      </w:r>
      <w:r w:rsidRPr="00E44C52">
        <w:rPr>
          <w:rFonts w:ascii="Book Antiqua" w:eastAsia="宋体" w:hAnsi="Book Antiqua" w:cs="Times New Roman"/>
          <w:bCs/>
          <w:lang w:eastAsia="zh-CN"/>
        </w:rPr>
        <w:t xml:space="preserve"> </w:t>
      </w:r>
      <w:r w:rsidRPr="0075085D">
        <w:rPr>
          <w:rFonts w:ascii="Book Antiqua" w:eastAsia="宋体" w:hAnsi="Book Antiqua" w:cs="Times New Roman"/>
          <w:b/>
          <w:bCs/>
          <w:lang w:eastAsia="zh-CN"/>
        </w:rPr>
        <w:t xml:space="preserve">MD, </w:t>
      </w:r>
      <w:r w:rsidRPr="00E44C52">
        <w:rPr>
          <w:rFonts w:ascii="Book Antiqua" w:hAnsi="Book Antiqua" w:cs="Times New Roman"/>
          <w:bCs/>
        </w:rPr>
        <w:t>Department of Medicine,</w:t>
      </w:r>
      <w:r w:rsidRPr="00E44C52">
        <w:rPr>
          <w:rFonts w:ascii="Book Antiqua" w:eastAsia="宋体" w:hAnsi="Book Antiqua" w:cs="Times New Roman"/>
          <w:bCs/>
          <w:lang w:eastAsia="zh-CN"/>
        </w:rPr>
        <w:t xml:space="preserve"> </w:t>
      </w:r>
      <w:r>
        <w:rPr>
          <w:rFonts w:ascii="Book Antiqua" w:hAnsi="Book Antiqua" w:cs="Times New Roman"/>
          <w:bCs/>
        </w:rPr>
        <w:t>University</w:t>
      </w:r>
      <w:r>
        <w:rPr>
          <w:rFonts w:ascii="Book Antiqua" w:eastAsia="宋体" w:hAnsi="Book Antiqua" w:cs="Times New Roman"/>
          <w:bCs/>
          <w:lang w:eastAsia="zh-CN"/>
        </w:rPr>
        <w:t xml:space="preserve"> </w:t>
      </w:r>
      <w:r w:rsidRPr="00E44C52">
        <w:rPr>
          <w:rFonts w:ascii="Book Antiqua" w:hAnsi="Book Antiqua" w:cs="Times New Roman"/>
          <w:bCs/>
        </w:rPr>
        <w:t>of Connecticut Health Center</w:t>
      </w:r>
      <w:r w:rsidRPr="00E44C52">
        <w:rPr>
          <w:rFonts w:ascii="Book Antiqua" w:eastAsia="宋体" w:hAnsi="Book Antiqua" w:cs="Times New Roman"/>
          <w:bCs/>
          <w:lang w:eastAsia="zh-CN"/>
        </w:rPr>
        <w:t xml:space="preserve">, </w:t>
      </w:r>
      <w:r w:rsidRPr="00E44C52">
        <w:rPr>
          <w:rFonts w:ascii="Book Antiqua" w:hAnsi="Book Antiqua" w:cs="Times New Roman"/>
          <w:bCs/>
        </w:rPr>
        <w:t>263 Farmington Avenue</w:t>
      </w:r>
      <w:r w:rsidRPr="00E44C52">
        <w:rPr>
          <w:rFonts w:ascii="Book Antiqua" w:eastAsia="宋体" w:hAnsi="Book Antiqua" w:cs="Times New Roman"/>
          <w:bCs/>
          <w:lang w:eastAsia="zh-CN"/>
        </w:rPr>
        <w:t xml:space="preserve">, </w:t>
      </w:r>
      <w:r w:rsidRPr="00E44C52">
        <w:rPr>
          <w:rFonts w:ascii="Book Antiqua" w:hAnsi="Book Antiqua" w:cs="Times New Roman"/>
          <w:bCs/>
        </w:rPr>
        <w:t>Farmington</w:t>
      </w:r>
      <w:r w:rsidRPr="00E44C52">
        <w:rPr>
          <w:rFonts w:ascii="Book Antiqua" w:eastAsia="宋体" w:hAnsi="Book Antiqua" w:cs="Times New Roman"/>
          <w:bCs/>
          <w:lang w:eastAsia="zh-CN"/>
        </w:rPr>
        <w:t>,</w:t>
      </w:r>
      <w:r w:rsidRPr="00E44C52">
        <w:rPr>
          <w:rFonts w:ascii="Book Antiqua" w:hAnsi="Book Antiqua" w:cs="Times New Roman"/>
          <w:bCs/>
        </w:rPr>
        <w:t xml:space="preserve"> CT 06030</w:t>
      </w:r>
      <w:r w:rsidRPr="00E44C52">
        <w:rPr>
          <w:rFonts w:ascii="Book Antiqua" w:eastAsia="宋体" w:hAnsi="Book Antiqua" w:cs="Times New Roman"/>
          <w:bCs/>
          <w:lang w:eastAsia="zh-CN"/>
        </w:rPr>
        <w:t xml:space="preserve">, </w:t>
      </w:r>
      <w:r w:rsidRPr="00E44C52">
        <w:rPr>
          <w:rFonts w:ascii="Book Antiqua" w:hAnsi="Book Antiqua" w:cs="Garamond"/>
        </w:rPr>
        <w:t>United States</w:t>
      </w:r>
      <w:r w:rsidRPr="00E44C52">
        <w:rPr>
          <w:rFonts w:ascii="Book Antiqua" w:eastAsia="宋体" w:hAnsi="Book Antiqua" w:cs="Garamond"/>
          <w:lang w:eastAsia="zh-CN"/>
        </w:rPr>
        <w:t xml:space="preserve">. </w:t>
      </w:r>
      <w:bookmarkStart w:id="0" w:name="OLE_LINK84"/>
      <w:bookmarkStart w:id="1" w:name="OLE_LINK85"/>
      <w:r>
        <w:fldChar w:fldCharType="begin"/>
      </w:r>
      <w:r>
        <w:instrText xml:space="preserve"> HYPERLINK "mailto:mynson@resident.uchc.edu" </w:instrText>
      </w:r>
      <w:r>
        <w:fldChar w:fldCharType="separate"/>
      </w:r>
      <w:r w:rsidRPr="00E44C52">
        <w:rPr>
          <w:rStyle w:val="a8"/>
          <w:rFonts w:ascii="Book Antiqua" w:hAnsi="Book Antiqua"/>
          <w:bCs/>
        </w:rPr>
        <w:t>mynson@resident.uchc.edu</w:t>
      </w:r>
      <w:r>
        <w:fldChar w:fldCharType="end"/>
      </w:r>
      <w:bookmarkEnd w:id="0"/>
      <w:bookmarkEnd w:id="1"/>
    </w:p>
    <w:p w:rsidR="00B52A33" w:rsidRPr="000010DA" w:rsidRDefault="00B52A33" w:rsidP="006B3EF8">
      <w:pPr>
        <w:spacing w:line="360" w:lineRule="auto"/>
        <w:jc w:val="both"/>
        <w:rPr>
          <w:rFonts w:ascii="Book Antiqua" w:eastAsia="宋体" w:hAnsi="Book Antiqua" w:cs="Times New Roman"/>
          <w:bCs/>
          <w:lang w:eastAsia="zh-CN"/>
        </w:rPr>
      </w:pPr>
    </w:p>
    <w:p w:rsidR="00B52A33" w:rsidRPr="00E44C52" w:rsidRDefault="00B52A33" w:rsidP="006B3EF8">
      <w:pPr>
        <w:spacing w:line="360" w:lineRule="auto"/>
        <w:jc w:val="both"/>
        <w:rPr>
          <w:rFonts w:ascii="Book Antiqua" w:hAnsi="Book Antiqua" w:cs="Times New Roman"/>
          <w:bCs/>
        </w:rPr>
      </w:pPr>
      <w:r w:rsidRPr="00483223">
        <w:rPr>
          <w:rFonts w:ascii="Book Antiqua" w:hAnsi="Book Antiqua" w:cs="Times New Roman"/>
          <w:b/>
          <w:bCs/>
        </w:rPr>
        <w:t>Telephone:</w:t>
      </w:r>
      <w:r w:rsidRPr="00E44C52">
        <w:rPr>
          <w:rFonts w:ascii="Book Antiqua" w:hAnsi="Book Antiqua" w:cs="Times New Roman"/>
          <w:bCs/>
        </w:rPr>
        <w:t xml:space="preserve"> </w:t>
      </w:r>
      <w:r w:rsidRPr="00E44C52">
        <w:rPr>
          <w:rFonts w:ascii="Book Antiqua" w:eastAsia="宋体" w:hAnsi="Book Antiqua" w:cs="Times New Roman"/>
          <w:bCs/>
          <w:lang w:eastAsia="zh-CN"/>
        </w:rPr>
        <w:t>+</w:t>
      </w:r>
      <w:r>
        <w:rPr>
          <w:rFonts w:ascii="Book Antiqua" w:eastAsia="宋体" w:hAnsi="Book Antiqua" w:cs="Times New Roman"/>
          <w:bCs/>
          <w:lang w:eastAsia="zh-CN"/>
        </w:rPr>
        <w:t>1-</w:t>
      </w:r>
      <w:r w:rsidRPr="00E44C52">
        <w:rPr>
          <w:rFonts w:ascii="Book Antiqua" w:hAnsi="Book Antiqua" w:cs="Times New Roman"/>
          <w:bCs/>
        </w:rPr>
        <w:t>860</w:t>
      </w:r>
      <w:r w:rsidRPr="00E44C52">
        <w:rPr>
          <w:rFonts w:ascii="Book Antiqua" w:eastAsia="宋体" w:hAnsi="Book Antiqua" w:cs="Times New Roman"/>
          <w:bCs/>
          <w:lang w:eastAsia="zh-CN"/>
        </w:rPr>
        <w:t>-</w:t>
      </w:r>
      <w:r>
        <w:rPr>
          <w:rFonts w:ascii="Book Antiqua" w:hAnsi="Book Antiqua" w:cs="Times New Roman"/>
          <w:bCs/>
        </w:rPr>
        <w:t>679</w:t>
      </w:r>
      <w:r w:rsidRPr="00E44C52">
        <w:rPr>
          <w:rFonts w:ascii="Book Antiqua" w:hAnsi="Book Antiqua" w:cs="Times New Roman"/>
          <w:bCs/>
        </w:rPr>
        <w:t>6524</w:t>
      </w:r>
      <w:r>
        <w:rPr>
          <w:rFonts w:ascii="Book Antiqua" w:eastAsia="宋体" w:hAnsi="Book Antiqua" w:cs="Times New Roman"/>
          <w:bCs/>
          <w:lang w:eastAsia="zh-CN"/>
        </w:rPr>
        <w:t xml:space="preserve">                   </w:t>
      </w:r>
      <w:r w:rsidRPr="00483223">
        <w:rPr>
          <w:rFonts w:ascii="Book Antiqua" w:hAnsi="Book Antiqua" w:cs="Times New Roman"/>
          <w:b/>
          <w:bCs/>
        </w:rPr>
        <w:t xml:space="preserve">Fax: </w:t>
      </w:r>
      <w:r w:rsidRPr="00E44C52">
        <w:rPr>
          <w:rFonts w:ascii="Book Antiqua" w:eastAsia="宋体" w:hAnsi="Book Antiqua" w:cs="Times New Roman"/>
          <w:bCs/>
          <w:lang w:eastAsia="zh-CN"/>
        </w:rPr>
        <w:t>+</w:t>
      </w:r>
      <w:r>
        <w:rPr>
          <w:rFonts w:ascii="Book Antiqua" w:eastAsia="宋体" w:hAnsi="Book Antiqua" w:cs="Times New Roman"/>
          <w:bCs/>
          <w:lang w:eastAsia="zh-CN"/>
        </w:rPr>
        <w:t>1-</w:t>
      </w:r>
      <w:r w:rsidRPr="00E44C52">
        <w:rPr>
          <w:rFonts w:ascii="Book Antiqua" w:hAnsi="Book Antiqua" w:cs="Times New Roman"/>
          <w:bCs/>
        </w:rPr>
        <w:t>860</w:t>
      </w:r>
      <w:r w:rsidRPr="00E44C52">
        <w:rPr>
          <w:rFonts w:ascii="Book Antiqua" w:eastAsia="宋体" w:hAnsi="Book Antiqua" w:cs="Times New Roman"/>
          <w:bCs/>
          <w:lang w:eastAsia="zh-CN"/>
        </w:rPr>
        <w:t>-</w:t>
      </w:r>
      <w:r>
        <w:rPr>
          <w:rFonts w:ascii="Book Antiqua" w:hAnsi="Book Antiqua" w:cs="Times New Roman"/>
          <w:bCs/>
        </w:rPr>
        <w:t>679</w:t>
      </w:r>
      <w:r w:rsidRPr="00E44C52">
        <w:rPr>
          <w:rFonts w:ascii="Book Antiqua" w:hAnsi="Book Antiqua" w:cs="Times New Roman"/>
          <w:bCs/>
        </w:rPr>
        <w:t>3159</w:t>
      </w:r>
    </w:p>
    <w:p w:rsidR="00B52A33" w:rsidRPr="001D4C7F" w:rsidRDefault="00B52A33" w:rsidP="006B3EF8">
      <w:pPr>
        <w:spacing w:line="360" w:lineRule="auto"/>
        <w:jc w:val="both"/>
        <w:rPr>
          <w:rFonts w:ascii="Book Antiqua" w:eastAsia="宋体" w:hAnsi="Book Antiqua" w:cs="Times New Roman"/>
          <w:b/>
          <w:bCs/>
          <w:lang w:eastAsia="zh-CN"/>
        </w:rPr>
      </w:pPr>
      <w:r w:rsidRPr="00E44C52">
        <w:rPr>
          <w:rFonts w:ascii="Book Antiqua" w:hAnsi="Book Antiqua" w:cs="Times New Roman"/>
          <w:b/>
          <w:bCs/>
        </w:rPr>
        <w:t>Received:</w:t>
      </w:r>
      <w:r>
        <w:rPr>
          <w:rFonts w:ascii="Book Antiqua" w:eastAsia="宋体" w:hAnsi="Book Antiqua" w:cs="Times New Roman"/>
          <w:b/>
          <w:bCs/>
          <w:lang w:eastAsia="zh-CN"/>
        </w:rPr>
        <w:t xml:space="preserve">  </w:t>
      </w:r>
      <w:r w:rsidRPr="00421E83">
        <w:rPr>
          <w:rFonts w:ascii="Book Antiqua" w:hAnsi="Book Antiqua"/>
        </w:rPr>
        <w:t>October</w:t>
      </w:r>
      <w:r>
        <w:rPr>
          <w:rFonts w:ascii="Book Antiqua" w:eastAsia="宋体" w:hAnsi="Book Antiqua"/>
          <w:lang w:eastAsia="zh-CN"/>
        </w:rPr>
        <w:t xml:space="preserve"> 31, 2012</w:t>
      </w:r>
      <w:r>
        <w:rPr>
          <w:rFonts w:ascii="Book Antiqua" w:eastAsia="宋体" w:hAnsi="Book Antiqua" w:cs="Times New Roman"/>
          <w:b/>
          <w:bCs/>
          <w:lang w:eastAsia="zh-CN"/>
        </w:rPr>
        <w:t xml:space="preserve">                  </w:t>
      </w:r>
      <w:r w:rsidRPr="00E44C52">
        <w:rPr>
          <w:rFonts w:ascii="Book Antiqua" w:hAnsi="Book Antiqua" w:cs="Times New Roman"/>
          <w:b/>
          <w:bCs/>
        </w:rPr>
        <w:t>Revised:</w:t>
      </w:r>
      <w:r>
        <w:rPr>
          <w:rFonts w:ascii="Book Antiqua" w:eastAsia="宋体" w:hAnsi="Book Antiqua" w:cs="Times New Roman"/>
          <w:b/>
          <w:bCs/>
          <w:lang w:eastAsia="zh-CN"/>
        </w:rPr>
        <w:t xml:space="preserve"> </w:t>
      </w:r>
      <w:bookmarkStart w:id="2" w:name="OLE_LINK6"/>
      <w:bookmarkStart w:id="3" w:name="OLE_LINK7"/>
      <w:bookmarkStart w:id="4" w:name="OLE_LINK65"/>
      <w:bookmarkStart w:id="5" w:name="OLE_LINK46"/>
      <w:r w:rsidRPr="00421E83">
        <w:rPr>
          <w:rFonts w:ascii="Book Antiqua" w:hAnsi="Book Antiqua"/>
        </w:rPr>
        <w:t>January</w:t>
      </w:r>
      <w:bookmarkEnd w:id="2"/>
      <w:bookmarkEnd w:id="3"/>
      <w:bookmarkEnd w:id="4"/>
      <w:bookmarkEnd w:id="5"/>
      <w:r>
        <w:rPr>
          <w:rFonts w:ascii="Book Antiqua" w:eastAsia="宋体" w:hAnsi="Book Antiqua"/>
          <w:lang w:eastAsia="zh-CN"/>
        </w:rPr>
        <w:t xml:space="preserve"> 21, 2013</w:t>
      </w:r>
    </w:p>
    <w:p w:rsidR="003940EA" w:rsidRDefault="00B52A33" w:rsidP="003940EA">
      <w:r w:rsidRPr="00E44C52">
        <w:rPr>
          <w:rFonts w:ascii="Book Antiqua" w:hAnsi="Book Antiqua" w:cs="Times New Roman"/>
          <w:b/>
          <w:bCs/>
        </w:rPr>
        <w:t xml:space="preserve">Accepted: </w:t>
      </w:r>
      <w:r w:rsidR="003940EA">
        <w:t>January 23, 2013</w:t>
      </w:r>
    </w:p>
    <w:p w:rsidR="00B52A33" w:rsidRPr="00E44C52" w:rsidRDefault="00B52A33" w:rsidP="006B3EF8">
      <w:pPr>
        <w:spacing w:line="360" w:lineRule="auto"/>
        <w:jc w:val="both"/>
        <w:rPr>
          <w:rFonts w:ascii="Book Antiqua" w:hAnsi="Book Antiqua" w:cs="Times New Roman"/>
          <w:b/>
          <w:bCs/>
        </w:rPr>
      </w:pPr>
      <w:bookmarkStart w:id="6" w:name="_GoBack"/>
      <w:bookmarkEnd w:id="6"/>
    </w:p>
    <w:p w:rsidR="00B52A33" w:rsidRPr="00E44C52" w:rsidRDefault="00B52A33" w:rsidP="006B3EF8">
      <w:pPr>
        <w:spacing w:line="360" w:lineRule="auto"/>
        <w:jc w:val="both"/>
        <w:rPr>
          <w:rFonts w:ascii="Book Antiqua" w:hAnsi="Book Antiqua" w:cs="Times New Roman"/>
          <w:b/>
          <w:bCs/>
        </w:rPr>
      </w:pPr>
      <w:r w:rsidRPr="00E44C52">
        <w:rPr>
          <w:rFonts w:ascii="Book Antiqua" w:hAnsi="Book Antiqua" w:cs="Times New Roman"/>
          <w:b/>
          <w:bCs/>
        </w:rPr>
        <w:t>Published online</w:t>
      </w:r>
    </w:p>
    <w:p w:rsidR="00B52A33" w:rsidRDefault="00B52A33" w:rsidP="006B3EF8">
      <w:pPr>
        <w:spacing w:line="360" w:lineRule="auto"/>
        <w:jc w:val="both"/>
        <w:rPr>
          <w:rFonts w:ascii="Book Antiqua" w:hAnsi="Book Antiqua"/>
          <w:b/>
        </w:rPr>
      </w:pPr>
    </w:p>
    <w:p w:rsidR="00B52A33" w:rsidRPr="00E44C52" w:rsidRDefault="00B52A33" w:rsidP="006B3EF8">
      <w:pPr>
        <w:spacing w:line="360" w:lineRule="auto"/>
        <w:jc w:val="both"/>
        <w:rPr>
          <w:rFonts w:ascii="Book Antiqua" w:eastAsia="宋体" w:hAnsi="Book Antiqua"/>
          <w:b/>
          <w:lang w:eastAsia="zh-CN"/>
        </w:rPr>
      </w:pPr>
      <w:r w:rsidRPr="00E44C52">
        <w:rPr>
          <w:rFonts w:ascii="Book Antiqua" w:hAnsi="Book Antiqua"/>
          <w:b/>
        </w:rPr>
        <w:t>Abstract</w:t>
      </w:r>
    </w:p>
    <w:p w:rsidR="00B52A33" w:rsidRPr="00E44C52" w:rsidRDefault="00B52A33" w:rsidP="006B3EF8">
      <w:pPr>
        <w:spacing w:line="360" w:lineRule="auto"/>
        <w:jc w:val="both"/>
        <w:rPr>
          <w:rFonts w:ascii="Book Antiqua" w:hAnsi="Book Antiqua"/>
        </w:rPr>
      </w:pPr>
      <w:r w:rsidRPr="00E44C52">
        <w:rPr>
          <w:rFonts w:ascii="Book Antiqua" w:hAnsi="Book Antiqua"/>
        </w:rPr>
        <w:t xml:space="preserve">Lichen planus is a fairly common chronic idiopathic disorder of the skin, nails and mucosal surfaces. Esophageal involvement of this disease on the other hand is rare and only about 50 cases have been reported in literature. Given its rarity, it can be difficult to diagnose and may be easily misdiagnosed as reflux esophagitis. Currently, there are no clear recommendations on the optimal management of this disease and little is known about the best treatment approach. Systemic steroids are usually the first line treatment and offer a favorable response. In this report, we would like to present a novel approach in the management of esophageal lichen planus in a middle-aged woman treated successfully with swallowed fluticasone propionate 220 mcg twice a day for 6 </w:t>
      </w:r>
      <w:r>
        <w:rPr>
          <w:rFonts w:ascii="Book Antiqua" w:hAnsi="Book Antiqua"/>
        </w:rPr>
        <w:t>weeks</w:t>
      </w:r>
      <w:r w:rsidRPr="00E44C52">
        <w:rPr>
          <w:rFonts w:ascii="Book Antiqua" w:hAnsi="Book Antiqua"/>
        </w:rPr>
        <w:t>, as evidenced by objective clinical findings. Based on our review of related literature and experience in this patient, we feel that a trial of swallowed fluticasone may be a prudent approach in the management of these patients since it has a more favorable side effect profile than systemic treatment.</w:t>
      </w:r>
      <w:r>
        <w:rPr>
          <w:rFonts w:ascii="Book Antiqua" w:hAnsi="Book Antiqua"/>
        </w:rPr>
        <w:t xml:space="preserve"> </w:t>
      </w:r>
    </w:p>
    <w:p w:rsidR="00B52A33" w:rsidRPr="00E44C52" w:rsidRDefault="00B52A33" w:rsidP="006B3EF8">
      <w:pPr>
        <w:spacing w:line="360" w:lineRule="auto"/>
        <w:jc w:val="both"/>
        <w:rPr>
          <w:rFonts w:ascii="Book Antiqua" w:eastAsia="宋体" w:hAnsi="Book Antiqua"/>
          <w:lang w:eastAsia="zh-CN"/>
        </w:rPr>
      </w:pPr>
    </w:p>
    <w:p w:rsidR="00B52A33" w:rsidRPr="00E44C52" w:rsidRDefault="00B52A33" w:rsidP="006B3EF8">
      <w:pPr>
        <w:spacing w:line="360" w:lineRule="auto"/>
        <w:jc w:val="both"/>
        <w:rPr>
          <w:rFonts w:ascii="Book Antiqua" w:hAnsi="Book Antiqua"/>
        </w:rPr>
      </w:pPr>
      <w:r w:rsidRPr="00E44C52">
        <w:rPr>
          <w:rFonts w:ascii="Book Antiqua" w:hAnsi="Book Antiqua"/>
        </w:rPr>
        <w:t>© 2013 Baishideng. All rights reserved.</w:t>
      </w:r>
    </w:p>
    <w:p w:rsidR="00B52A33" w:rsidRPr="00E44C52" w:rsidRDefault="00B52A33" w:rsidP="006B3EF8">
      <w:pPr>
        <w:spacing w:line="360" w:lineRule="auto"/>
        <w:jc w:val="both"/>
        <w:rPr>
          <w:rFonts w:ascii="Book Antiqua" w:eastAsia="宋体" w:hAnsi="Book Antiqua"/>
          <w:lang w:eastAsia="zh-CN"/>
        </w:rPr>
      </w:pPr>
    </w:p>
    <w:p w:rsidR="00B52A33" w:rsidRDefault="00B52A33" w:rsidP="006B3EF8">
      <w:pPr>
        <w:spacing w:line="360" w:lineRule="auto"/>
        <w:jc w:val="both"/>
        <w:rPr>
          <w:rFonts w:ascii="Book Antiqua" w:eastAsia="宋体" w:hAnsi="Book Antiqua"/>
          <w:lang w:eastAsia="zh-CN"/>
        </w:rPr>
      </w:pPr>
      <w:r w:rsidRPr="00E44C52">
        <w:rPr>
          <w:rFonts w:ascii="Book Antiqua" w:hAnsi="Book Antiqua"/>
          <w:b/>
        </w:rPr>
        <w:t>Key words:</w:t>
      </w:r>
      <w:r w:rsidRPr="00E44C52">
        <w:rPr>
          <w:rFonts w:ascii="Book Antiqua" w:hAnsi="Book Antiqua"/>
        </w:rPr>
        <w:t xml:space="preserve"> Lichen planus</w:t>
      </w:r>
      <w:r w:rsidRPr="00E44C52">
        <w:rPr>
          <w:rFonts w:ascii="Book Antiqua" w:eastAsia="宋体" w:hAnsi="Book Antiqua"/>
          <w:lang w:eastAsia="zh-CN"/>
        </w:rPr>
        <w:t>;</w:t>
      </w:r>
      <w:r w:rsidRPr="00E44C52">
        <w:rPr>
          <w:rFonts w:ascii="Book Antiqua" w:hAnsi="Book Antiqua"/>
        </w:rPr>
        <w:t xml:space="preserve"> Lichen rubra planus</w:t>
      </w:r>
      <w:r w:rsidRPr="00E44C52">
        <w:rPr>
          <w:rFonts w:ascii="Book Antiqua" w:eastAsia="宋体" w:hAnsi="Book Antiqua"/>
          <w:lang w:eastAsia="zh-CN"/>
        </w:rPr>
        <w:t>;</w:t>
      </w:r>
      <w:r w:rsidRPr="00E44C52">
        <w:rPr>
          <w:rFonts w:ascii="Book Antiqua" w:hAnsi="Book Antiqua"/>
        </w:rPr>
        <w:t xml:space="preserve"> Anti-inflammatory agents</w:t>
      </w:r>
      <w:r w:rsidRPr="00E44C52">
        <w:rPr>
          <w:rFonts w:ascii="Book Antiqua" w:eastAsia="宋体" w:hAnsi="Book Antiqua"/>
          <w:lang w:eastAsia="zh-CN"/>
        </w:rPr>
        <w:t>;</w:t>
      </w:r>
      <w:r w:rsidRPr="00E44C52">
        <w:rPr>
          <w:rFonts w:ascii="Book Antiqua" w:hAnsi="Book Antiqua"/>
        </w:rPr>
        <w:t xml:space="preserve"> Steroids</w:t>
      </w:r>
      <w:r w:rsidRPr="00E44C52">
        <w:rPr>
          <w:rFonts w:ascii="Book Antiqua" w:eastAsia="宋体" w:hAnsi="Book Antiqua"/>
          <w:lang w:eastAsia="zh-CN"/>
        </w:rPr>
        <w:t>;</w:t>
      </w:r>
      <w:r w:rsidRPr="00E44C52">
        <w:rPr>
          <w:rFonts w:ascii="Book Antiqua" w:hAnsi="Book Antiqua"/>
        </w:rPr>
        <w:t xml:space="preserve"> Dysphagia</w:t>
      </w:r>
      <w:r w:rsidRPr="00E44C52">
        <w:rPr>
          <w:rFonts w:ascii="Book Antiqua" w:eastAsia="宋体" w:hAnsi="Book Antiqua"/>
          <w:lang w:eastAsia="zh-CN"/>
        </w:rPr>
        <w:t>;</w:t>
      </w:r>
      <w:r w:rsidRPr="00E44C52">
        <w:rPr>
          <w:rFonts w:ascii="Book Antiqua" w:hAnsi="Book Antiqua"/>
        </w:rPr>
        <w:t xml:space="preserve"> Fluticasone</w:t>
      </w:r>
    </w:p>
    <w:p w:rsidR="00B52A33" w:rsidRDefault="00B52A33" w:rsidP="006B3EF8">
      <w:pPr>
        <w:spacing w:line="360" w:lineRule="auto"/>
        <w:jc w:val="both"/>
        <w:rPr>
          <w:rFonts w:ascii="Book Antiqua" w:eastAsia="宋体" w:hAnsi="Book Antiqua"/>
          <w:lang w:eastAsia="zh-CN"/>
        </w:rPr>
      </w:pPr>
    </w:p>
    <w:p w:rsidR="00B52A33" w:rsidRPr="00CE4867" w:rsidRDefault="00B52A33" w:rsidP="003A6861">
      <w:pPr>
        <w:spacing w:line="360" w:lineRule="auto"/>
        <w:rPr>
          <w:rFonts w:ascii="Book Antiqua" w:hAnsi="Book Antiqua"/>
        </w:rPr>
      </w:pPr>
      <w:r w:rsidRPr="00E44C52">
        <w:rPr>
          <w:rFonts w:ascii="Book Antiqua" w:hAnsi="Book Antiqua" w:cs="Times New Roman"/>
          <w:bCs/>
        </w:rPr>
        <w:t>Ynson</w:t>
      </w:r>
      <w:r>
        <w:rPr>
          <w:rFonts w:ascii="Book Antiqua" w:eastAsia="宋体" w:hAnsi="Book Antiqua" w:cs="Times New Roman"/>
          <w:bCs/>
          <w:lang w:eastAsia="zh-CN"/>
        </w:rPr>
        <w:t xml:space="preserve"> ML</w:t>
      </w:r>
      <w:r w:rsidRPr="00E44C52">
        <w:rPr>
          <w:rFonts w:ascii="Book Antiqua" w:hAnsi="Book Antiqua" w:cs="Times New Roman"/>
          <w:bCs/>
        </w:rPr>
        <w:t>, Forouhar</w:t>
      </w:r>
      <w:r>
        <w:rPr>
          <w:rFonts w:ascii="Book Antiqua" w:eastAsia="宋体" w:hAnsi="Book Antiqua" w:cs="Times New Roman"/>
          <w:bCs/>
          <w:lang w:eastAsia="zh-CN"/>
        </w:rPr>
        <w:t xml:space="preserve"> F</w:t>
      </w:r>
      <w:r w:rsidRPr="00E44C52">
        <w:rPr>
          <w:rFonts w:ascii="Book Antiqua" w:hAnsi="Book Antiqua" w:cs="Times New Roman"/>
          <w:bCs/>
        </w:rPr>
        <w:t>, Vaziri</w:t>
      </w:r>
      <w:r>
        <w:rPr>
          <w:rFonts w:ascii="Book Antiqua" w:eastAsia="宋体" w:hAnsi="Book Antiqua" w:cs="Times New Roman"/>
          <w:bCs/>
          <w:lang w:eastAsia="zh-CN"/>
        </w:rPr>
        <w:t xml:space="preserve"> H. </w:t>
      </w:r>
      <w:r w:rsidRPr="007C7A95">
        <w:rPr>
          <w:rFonts w:ascii="Book Antiqua" w:hAnsi="Book Antiqua" w:cs="Times New Roman"/>
          <w:bCs/>
        </w:rPr>
        <w:t>Case report and review of esophageal lichen planus treated with fluticasone</w:t>
      </w:r>
      <w:r>
        <w:rPr>
          <w:rFonts w:ascii="Book Antiqua" w:eastAsia="宋体" w:hAnsi="Book Antiqua" w:cs="Times New Roman"/>
          <w:bCs/>
          <w:lang w:eastAsia="zh-CN"/>
        </w:rPr>
        <w:t xml:space="preserve">. </w:t>
      </w:r>
      <w:r w:rsidRPr="00CE4867">
        <w:rPr>
          <w:rFonts w:ascii="Book Antiqua" w:hAnsi="Book Antiqua"/>
          <w:i/>
        </w:rPr>
        <w:t xml:space="preserve">World J Gastroenterol </w:t>
      </w:r>
      <w:r w:rsidRPr="00CE4867">
        <w:rPr>
          <w:rFonts w:ascii="Book Antiqua" w:hAnsi="Book Antiqua"/>
        </w:rPr>
        <w:t>2013; 19</w:t>
      </w:r>
    </w:p>
    <w:p w:rsidR="00B52A33" w:rsidRPr="00CE4867" w:rsidRDefault="00B52A33" w:rsidP="003A6861">
      <w:pPr>
        <w:spacing w:line="360" w:lineRule="auto"/>
        <w:rPr>
          <w:rFonts w:ascii="Book Antiqua" w:hAnsi="Book Antiqua"/>
        </w:rPr>
      </w:pPr>
      <w:r w:rsidRPr="00CE4867">
        <w:rPr>
          <w:rFonts w:ascii="Book Antiqua" w:hAnsi="Book Antiqua"/>
        </w:rPr>
        <w:t xml:space="preserve">Available from: URL: </w:t>
      </w:r>
    </w:p>
    <w:p w:rsidR="00B52A33" w:rsidRPr="00CE4867" w:rsidRDefault="00B52A33" w:rsidP="003A6861">
      <w:pPr>
        <w:spacing w:line="360" w:lineRule="auto"/>
        <w:rPr>
          <w:rFonts w:ascii="Book Antiqua" w:hAnsi="Book Antiqua"/>
        </w:rPr>
      </w:pPr>
      <w:r w:rsidRPr="00CE4867">
        <w:rPr>
          <w:rFonts w:ascii="Book Antiqua" w:hAnsi="Book Antiqua"/>
        </w:rPr>
        <w:t>DOI:</w:t>
      </w:r>
    </w:p>
    <w:p w:rsidR="00B52A33" w:rsidRPr="007C7A95" w:rsidRDefault="00B52A33" w:rsidP="006B3EF8">
      <w:pPr>
        <w:spacing w:line="360" w:lineRule="auto"/>
        <w:jc w:val="both"/>
        <w:rPr>
          <w:rFonts w:ascii="Book Antiqua" w:eastAsia="宋体" w:hAnsi="Book Antiqua"/>
          <w:lang w:eastAsia="zh-CN"/>
        </w:rPr>
      </w:pPr>
    </w:p>
    <w:p w:rsidR="00B52A33" w:rsidRPr="00E44C52" w:rsidRDefault="00B52A33" w:rsidP="006B3EF8">
      <w:pPr>
        <w:spacing w:line="360" w:lineRule="auto"/>
        <w:jc w:val="both"/>
        <w:rPr>
          <w:rFonts w:ascii="Book Antiqua" w:hAnsi="Book Antiqua"/>
          <w:b/>
        </w:rPr>
      </w:pPr>
    </w:p>
    <w:p w:rsidR="00B52A33" w:rsidRPr="00E44C52" w:rsidRDefault="00B52A33" w:rsidP="006B3EF8">
      <w:pPr>
        <w:spacing w:line="360" w:lineRule="auto"/>
        <w:jc w:val="both"/>
        <w:rPr>
          <w:rFonts w:ascii="Book Antiqua" w:hAnsi="Book Antiqua"/>
          <w:b/>
        </w:rPr>
      </w:pPr>
      <w:r w:rsidRPr="00E44C52">
        <w:rPr>
          <w:rFonts w:ascii="Book Antiqua" w:hAnsi="Book Antiqua"/>
          <w:b/>
        </w:rPr>
        <w:br w:type="page"/>
      </w:r>
    </w:p>
    <w:p w:rsidR="00B52A33" w:rsidRPr="00E44C52" w:rsidRDefault="00B52A33" w:rsidP="006B3EF8">
      <w:pPr>
        <w:spacing w:line="360" w:lineRule="auto"/>
        <w:jc w:val="both"/>
        <w:rPr>
          <w:rFonts w:ascii="Book Antiqua" w:hAnsi="Book Antiqua"/>
          <w:b/>
        </w:rPr>
      </w:pPr>
      <w:r w:rsidRPr="00E44C52">
        <w:rPr>
          <w:rFonts w:ascii="Book Antiqua" w:hAnsi="Book Antiqua"/>
          <w:b/>
        </w:rPr>
        <w:t>INTRODUCTION</w:t>
      </w:r>
    </w:p>
    <w:p w:rsidR="00B52A33" w:rsidRPr="00E44C52" w:rsidRDefault="00B52A33" w:rsidP="006B3EF8">
      <w:pPr>
        <w:spacing w:line="360" w:lineRule="auto"/>
        <w:jc w:val="both"/>
        <w:rPr>
          <w:rFonts w:ascii="Book Antiqua" w:hAnsi="Book Antiqua"/>
        </w:rPr>
      </w:pPr>
      <w:r w:rsidRPr="00E44C52">
        <w:rPr>
          <w:rFonts w:ascii="Book Antiqua" w:hAnsi="Book Antiqua"/>
        </w:rPr>
        <w:t>Lichen planus is a well-recognized chronic idiopathic disorder involving the skin, nails and mucosal surfaces including the mouth, pharynx and perineum</w:t>
      </w:r>
      <w:r w:rsidRPr="00E44C52">
        <w:rPr>
          <w:rFonts w:ascii="Book Antiqua" w:eastAsia="宋体" w:hAnsi="Book Antiqua"/>
          <w:vertAlign w:val="superscript"/>
          <w:lang w:eastAsia="zh-CN"/>
        </w:rPr>
        <w:t>[</w:t>
      </w:r>
      <w:r w:rsidRPr="00E44C52">
        <w:rPr>
          <w:rFonts w:ascii="Book Antiqua" w:hAnsi="Book Antiqua"/>
          <w:vertAlign w:val="superscript"/>
        </w:rPr>
        <w:t>1</w:t>
      </w:r>
      <w:r w:rsidRPr="00E44C52">
        <w:rPr>
          <w:rFonts w:ascii="Book Antiqua" w:eastAsia="宋体" w:hAnsi="Book Antiqua"/>
          <w:vertAlign w:val="superscript"/>
          <w:lang w:eastAsia="zh-CN"/>
        </w:rPr>
        <w:t>]</w:t>
      </w:r>
      <w:r w:rsidRPr="00E44C52">
        <w:rPr>
          <w:rFonts w:ascii="Book Antiqua" w:hAnsi="Book Antiqua"/>
        </w:rPr>
        <w:t>. It affects less than 1% of the general population</w:t>
      </w:r>
      <w:r w:rsidRPr="00E44C52">
        <w:rPr>
          <w:rFonts w:ascii="Book Antiqua" w:eastAsia="宋体" w:hAnsi="Book Antiqua"/>
          <w:vertAlign w:val="superscript"/>
          <w:lang w:eastAsia="zh-CN"/>
        </w:rPr>
        <w:t>[2]</w:t>
      </w:r>
      <w:r w:rsidRPr="00E44C52">
        <w:rPr>
          <w:rFonts w:ascii="Book Antiqua" w:hAnsi="Book Antiqua"/>
        </w:rPr>
        <w:t>. Mucosal surface involvement is found in about 30% to 70% of patients diagnosed with lichen planus</w:t>
      </w:r>
      <w:r w:rsidRPr="00E44C52">
        <w:rPr>
          <w:rFonts w:ascii="Book Antiqua" w:eastAsia="宋体" w:hAnsi="Book Antiqua"/>
          <w:vertAlign w:val="superscript"/>
          <w:lang w:eastAsia="zh-CN"/>
        </w:rPr>
        <w:t>[3]</w:t>
      </w:r>
      <w:r w:rsidRPr="00E44C52">
        <w:rPr>
          <w:rFonts w:ascii="Book Antiqua" w:hAnsi="Book Antiqua"/>
        </w:rPr>
        <w:t xml:space="preserve">. Esophageal involvement, on the other hand, is considered to be rare with its true prevalence unknown. The study by </w:t>
      </w:r>
      <w:r w:rsidRPr="00F90BE5">
        <w:rPr>
          <w:rFonts w:ascii="Book Antiqua" w:hAnsi="Book Antiqua"/>
        </w:rPr>
        <w:t>Dickens</w:t>
      </w:r>
      <w:r w:rsidRPr="00E44C52">
        <w:rPr>
          <w:rFonts w:ascii="Book Antiqua" w:hAnsi="Book Antiqua"/>
          <w:i/>
        </w:rPr>
        <w:t xml:space="preserve"> et al</w:t>
      </w:r>
      <w:r w:rsidRPr="00076ECB">
        <w:rPr>
          <w:rFonts w:ascii="Book Antiqua" w:eastAsia="宋体" w:hAnsi="Book Antiqua"/>
          <w:vertAlign w:val="superscript"/>
          <w:lang w:eastAsia="zh-CN"/>
        </w:rPr>
        <w:t>[4]</w:t>
      </w:r>
      <w:r w:rsidRPr="00E44C52">
        <w:rPr>
          <w:rFonts w:ascii="Book Antiqua" w:hAnsi="Book Antiqua"/>
          <w:i/>
        </w:rPr>
        <w:t xml:space="preserve"> </w:t>
      </w:r>
      <w:r w:rsidRPr="00E44C52">
        <w:rPr>
          <w:rFonts w:ascii="Book Antiqua" w:hAnsi="Book Antiqua"/>
        </w:rPr>
        <w:t xml:space="preserve">demonstrated esophageal lichen planus in 26% of patients with mucocutaneous lesions while a larger study by </w:t>
      </w:r>
      <w:r w:rsidRPr="00F90BE5">
        <w:rPr>
          <w:rFonts w:ascii="Book Antiqua" w:hAnsi="Book Antiqua"/>
        </w:rPr>
        <w:t>Eisen</w:t>
      </w:r>
      <w:r w:rsidRPr="00E44C52">
        <w:rPr>
          <w:rFonts w:ascii="Book Antiqua" w:hAnsi="Book Antiqua"/>
          <w:i/>
        </w:rPr>
        <w:t xml:space="preserve"> et a</w:t>
      </w:r>
      <w:r w:rsidRPr="00076ECB">
        <w:rPr>
          <w:rFonts w:ascii="Book Antiqua" w:hAnsi="Book Antiqua"/>
          <w:i/>
        </w:rPr>
        <w:t>l</w:t>
      </w:r>
      <w:r w:rsidRPr="00076ECB">
        <w:rPr>
          <w:rFonts w:ascii="Book Antiqua" w:eastAsia="宋体" w:hAnsi="Book Antiqua"/>
          <w:vertAlign w:val="superscript"/>
          <w:lang w:eastAsia="zh-CN"/>
        </w:rPr>
        <w:t>[5]</w:t>
      </w:r>
      <w:r w:rsidRPr="00E44C52">
        <w:rPr>
          <w:rFonts w:ascii="Book Antiqua" w:hAnsi="Book Antiqua"/>
        </w:rPr>
        <w:t xml:space="preserve"> found esophageal lesions in only 1% of patients. Here we describe a case of esophageal lichen planus who was treated with swallowed fluticasone with good response and present a review of this topic.</w:t>
      </w:r>
    </w:p>
    <w:p w:rsidR="00B52A33" w:rsidRPr="00E44C52" w:rsidRDefault="00B52A33" w:rsidP="006B3EF8">
      <w:pPr>
        <w:spacing w:line="360" w:lineRule="auto"/>
        <w:jc w:val="both"/>
        <w:rPr>
          <w:rFonts w:ascii="Book Antiqua" w:eastAsia="宋体" w:hAnsi="Book Antiqua"/>
          <w:lang w:eastAsia="zh-CN"/>
        </w:rPr>
      </w:pPr>
    </w:p>
    <w:p w:rsidR="00B52A33" w:rsidRPr="00E44C52" w:rsidRDefault="00B52A33" w:rsidP="006B3EF8">
      <w:pPr>
        <w:spacing w:line="360" w:lineRule="auto"/>
        <w:jc w:val="both"/>
        <w:rPr>
          <w:rFonts w:ascii="Book Antiqua" w:hAnsi="Book Antiqua"/>
          <w:b/>
          <w:bCs/>
        </w:rPr>
      </w:pPr>
      <w:r w:rsidRPr="00E44C52">
        <w:rPr>
          <w:rFonts w:ascii="Book Antiqua" w:hAnsi="Book Antiqua"/>
          <w:b/>
          <w:bCs/>
        </w:rPr>
        <w:t>CASE REPORT</w:t>
      </w:r>
    </w:p>
    <w:p w:rsidR="00B52A33" w:rsidRPr="00E44C52" w:rsidRDefault="00B52A33" w:rsidP="006B3EF8">
      <w:pPr>
        <w:widowControl w:val="0"/>
        <w:autoSpaceDE w:val="0"/>
        <w:autoSpaceDN w:val="0"/>
        <w:adjustRightInd w:val="0"/>
        <w:spacing w:line="360" w:lineRule="auto"/>
        <w:jc w:val="both"/>
        <w:rPr>
          <w:rFonts w:ascii="Book Antiqua" w:hAnsi="Book Antiqua"/>
        </w:rPr>
      </w:pPr>
      <w:r w:rsidRPr="00E44C52">
        <w:rPr>
          <w:rFonts w:ascii="Book Antiqua" w:hAnsi="Book Antiqua"/>
        </w:rPr>
        <w:t>A 63 year-old female with history of gastric bypass surgery, coronary artery disease, and hyperlipidemia reported having intermittent solid food dysphagia for the past 3 years. She also had symptoms of gastroesophageal reflux disease that was initially controlled with omeprazole 20</w:t>
      </w:r>
      <w:r>
        <w:rPr>
          <w:rFonts w:ascii="Book Antiqua" w:eastAsia="宋体" w:hAnsi="Book Antiqua"/>
          <w:lang w:eastAsia="zh-CN"/>
        </w:rPr>
        <w:t xml:space="preserve"> </w:t>
      </w:r>
      <w:r w:rsidRPr="00E44C52">
        <w:rPr>
          <w:rFonts w:ascii="Book Antiqua" w:hAnsi="Book Antiqua"/>
        </w:rPr>
        <w:t>mg daily. Later on, she developed multiple episodes of breakthrough and nocturnal reflux symptoms accompanied by occasional difficulty in swallowing large pills that happened 2-3 times a week.</w:t>
      </w:r>
      <w:r>
        <w:rPr>
          <w:rFonts w:ascii="Book Antiqua" w:hAnsi="Book Antiqua"/>
        </w:rPr>
        <w:t xml:space="preserve"> </w:t>
      </w:r>
      <w:r w:rsidRPr="00E44C52">
        <w:rPr>
          <w:rFonts w:ascii="Book Antiqua" w:hAnsi="Book Antiqua"/>
        </w:rPr>
        <w:t>She denied food regurgitation, odynophagia, nausea, vomiting or weight loss.</w:t>
      </w:r>
      <w:r>
        <w:rPr>
          <w:rFonts w:ascii="Book Antiqua" w:hAnsi="Book Antiqua"/>
        </w:rPr>
        <w:t xml:space="preserve"> </w:t>
      </w:r>
      <w:r w:rsidRPr="00E44C52">
        <w:rPr>
          <w:rFonts w:ascii="Book Antiqua" w:hAnsi="Book Antiqua"/>
        </w:rPr>
        <w:t>For further evaluation of her dysphagia, a barium swallow was performed.</w:t>
      </w:r>
      <w:r>
        <w:rPr>
          <w:rFonts w:ascii="Book Antiqua" w:hAnsi="Book Antiqua"/>
        </w:rPr>
        <w:t xml:space="preserve"> </w:t>
      </w:r>
      <w:r w:rsidRPr="00E44C52">
        <w:rPr>
          <w:rFonts w:ascii="Book Antiqua" w:hAnsi="Book Antiqua"/>
        </w:rPr>
        <w:t xml:space="preserve">During the procedure, the barium pill briefly got trapped in the upper esophagus at the level of C6-C7. This location correlated with the reported site of dysphagia (Figure 1). The rest of the exam was uneventful and no mass or stricture was noted except for a small sliding hiatal hernia. She subsequently underwent an upper endoscopy which showed areas of friable mucosa in the upper esophagus with denuded areas due to the peeled mucosa and dried blood as well as a mild stricture at the junction of upper and mid-esophagus (Figure 2). </w:t>
      </w:r>
      <w:r w:rsidRPr="00E44C52">
        <w:rPr>
          <w:rFonts w:ascii="Book Antiqua" w:hAnsi="Book Antiqua"/>
        </w:rPr>
        <w:lastRenderedPageBreak/>
        <w:t>Esophageal biopsies were obtained which showed hyperkeratosis, parakeratosis and spongiosis of the lower third of the epithelium with focal dyskeratosis. Chronic inflammatory cell infiltration of the epithelium was also present and was</w:t>
      </w:r>
      <w:r>
        <w:rPr>
          <w:rFonts w:ascii="Book Antiqua" w:hAnsi="Book Antiqua"/>
        </w:rPr>
        <w:t xml:space="preserve"> mainly composed of lymphocytes</w:t>
      </w:r>
      <w:r w:rsidRPr="00E44C52">
        <w:rPr>
          <w:rFonts w:ascii="Book Antiqua" w:hAnsi="Book Antiqua"/>
        </w:rPr>
        <w:t xml:space="preserve"> (Figure</w:t>
      </w:r>
      <w:r w:rsidR="00441440">
        <w:rPr>
          <w:rFonts w:ascii="Book Antiqua" w:eastAsia="宋体" w:hAnsi="Book Antiqua" w:hint="eastAsia"/>
          <w:lang w:eastAsia="zh-CN"/>
        </w:rPr>
        <w:t xml:space="preserve"> 3</w:t>
      </w:r>
      <w:r w:rsidRPr="00E44C52">
        <w:rPr>
          <w:rFonts w:ascii="Book Antiqua" w:hAnsi="Book Antiqua"/>
        </w:rPr>
        <w:t xml:space="preserve">). Submucosa was not present for evaluation of lichenoid inflammation. Nonetheless, in the presence of the clinical history, the findings were interpreted to be consistent with lichen planus. On further questioning, patient reported having an oral lesion diagnosed to be lichen planus in 2009. Due to her history of previous lichen planus and endoscopy findings, patient was diagnosed with esophageal lichen planus and was started on swallowed fluticasone propionate 220 mcg twice daily for 6 wk. At her 4th week follow-up she noted resolution of her symptoms. On follow-up endoscopy at 15 wk, only small light pink plaques were noted in the mid-esophagus while the rest of the esophagus showed normal looking mucosa (Figure </w:t>
      </w:r>
      <w:r w:rsidR="00441440">
        <w:rPr>
          <w:rFonts w:ascii="Book Antiqua" w:eastAsiaTheme="minorEastAsia" w:hAnsi="Book Antiqua" w:hint="eastAsia"/>
          <w:lang w:eastAsia="zh-CN"/>
        </w:rPr>
        <w:t>4</w:t>
      </w:r>
      <w:r w:rsidRPr="00E44C52">
        <w:rPr>
          <w:rFonts w:ascii="Book Antiqua" w:hAnsi="Book Antiqua"/>
        </w:rPr>
        <w:t>)</w:t>
      </w:r>
      <w:r>
        <w:rPr>
          <w:rFonts w:ascii="Book Antiqua" w:eastAsia="宋体" w:hAnsi="Book Antiqua"/>
          <w:lang w:eastAsia="zh-CN"/>
        </w:rPr>
        <w:t>.</w:t>
      </w:r>
      <w:r w:rsidRPr="00E44C52">
        <w:rPr>
          <w:rFonts w:ascii="Book Antiqua" w:hAnsi="Book Antiqua"/>
        </w:rPr>
        <w:t xml:space="preserve"> Pathology showed normal to atrophic squamous mucosa with mild non-specific inflammation including rare eosinophils and no evidence of interface band-like lymphocytic infiltrate which was compatible with lichen planus post-therapy. </w:t>
      </w:r>
    </w:p>
    <w:p w:rsidR="00B52A33" w:rsidRPr="00E44C52" w:rsidRDefault="00B52A33" w:rsidP="006B3EF8">
      <w:pPr>
        <w:widowControl w:val="0"/>
        <w:autoSpaceDE w:val="0"/>
        <w:autoSpaceDN w:val="0"/>
        <w:adjustRightInd w:val="0"/>
        <w:spacing w:line="360" w:lineRule="auto"/>
        <w:jc w:val="both"/>
        <w:rPr>
          <w:rFonts w:ascii="Book Antiqua" w:hAnsi="Book Antiqua"/>
        </w:rPr>
      </w:pPr>
    </w:p>
    <w:p w:rsidR="00B52A33" w:rsidRPr="00E44C52" w:rsidRDefault="00B52A33" w:rsidP="006B3EF8">
      <w:pPr>
        <w:spacing w:line="360" w:lineRule="auto"/>
        <w:jc w:val="both"/>
        <w:rPr>
          <w:rFonts w:ascii="Book Antiqua" w:eastAsia="宋体" w:hAnsi="Book Antiqua"/>
          <w:b/>
          <w:bCs/>
          <w:lang w:eastAsia="zh-CN"/>
        </w:rPr>
      </w:pPr>
      <w:r w:rsidRPr="00E44C52">
        <w:rPr>
          <w:rFonts w:ascii="Book Antiqua" w:hAnsi="Book Antiqua"/>
          <w:b/>
          <w:bCs/>
        </w:rPr>
        <w:t>DISCUSSION</w:t>
      </w:r>
    </w:p>
    <w:p w:rsidR="00B52A33" w:rsidRPr="00E44C52" w:rsidRDefault="00B52A33" w:rsidP="006B3EF8">
      <w:pPr>
        <w:spacing w:line="360" w:lineRule="auto"/>
        <w:jc w:val="both"/>
        <w:rPr>
          <w:rFonts w:ascii="Book Antiqua" w:hAnsi="Book Antiqua"/>
        </w:rPr>
      </w:pPr>
      <w:r w:rsidRPr="00E44C52">
        <w:rPr>
          <w:rFonts w:ascii="Book Antiqua" w:hAnsi="Book Antiqua"/>
        </w:rPr>
        <w:t>Lichen planus is a common disorder of squamous epithelium</w:t>
      </w:r>
      <w:r w:rsidRPr="00E44C52">
        <w:rPr>
          <w:rFonts w:ascii="Book Antiqua" w:eastAsia="宋体" w:hAnsi="Book Antiqua"/>
          <w:vertAlign w:val="superscript"/>
          <w:lang w:eastAsia="zh-CN"/>
        </w:rPr>
        <w:t>[2]</w:t>
      </w:r>
      <w:r w:rsidRPr="00E44C52">
        <w:rPr>
          <w:rFonts w:ascii="Book Antiqua" w:hAnsi="Book Antiqua"/>
        </w:rPr>
        <w:t>. The exact cause of this disease is unknown; however infectious (viral), neurologic, genetic and immunologic causes have been proposed</w:t>
      </w:r>
      <w:r w:rsidRPr="00E44C52">
        <w:rPr>
          <w:rFonts w:ascii="Book Antiqua" w:eastAsia="宋体" w:hAnsi="Book Antiqua"/>
          <w:vertAlign w:val="superscript"/>
          <w:lang w:eastAsia="zh-CN"/>
        </w:rPr>
        <w:t>[6]</w:t>
      </w:r>
      <w:r w:rsidRPr="00E44C52">
        <w:rPr>
          <w:rFonts w:ascii="Book Antiqua" w:hAnsi="Book Antiqua"/>
        </w:rPr>
        <w:t>. Lichen planus appears to be mediated by cytotoxic CD8+ T cells that attack an antigen in the basal epithelium in a manner resembling graft-versus-host disease</w:t>
      </w:r>
      <w:r w:rsidRPr="00E44C52">
        <w:rPr>
          <w:rFonts w:ascii="Book Antiqua" w:eastAsia="宋体" w:hAnsi="Book Antiqua"/>
          <w:vertAlign w:val="superscript"/>
          <w:lang w:eastAsia="zh-CN"/>
        </w:rPr>
        <w:t>[2]</w:t>
      </w:r>
      <w:r w:rsidRPr="00E44C52">
        <w:rPr>
          <w:rFonts w:ascii="Book Antiqua" w:hAnsi="Book Antiqua"/>
        </w:rPr>
        <w:t>.</w:t>
      </w:r>
      <w:r w:rsidRPr="00E44C52">
        <w:rPr>
          <w:rFonts w:ascii="Book Antiqua" w:hAnsi="Book Antiqua"/>
          <w:vertAlign w:val="superscript"/>
        </w:rPr>
        <w:t xml:space="preserve"> </w:t>
      </w:r>
      <w:r w:rsidRPr="00E44C52">
        <w:rPr>
          <w:rFonts w:ascii="Book Antiqua" w:hAnsi="Book Antiqua"/>
        </w:rPr>
        <w:t xml:space="preserve">There are no detailed studies published to specifically address the pathogenesis of esophageal lichen planus. </w:t>
      </w:r>
      <w:r w:rsidRPr="006C489B">
        <w:rPr>
          <w:rFonts w:ascii="Book Antiqua" w:hAnsi="Book Antiqua"/>
        </w:rPr>
        <w:t>Chandan</w:t>
      </w:r>
      <w:r w:rsidRPr="00E44C52">
        <w:rPr>
          <w:rFonts w:ascii="Book Antiqua" w:hAnsi="Book Antiqua"/>
          <w:i/>
        </w:rPr>
        <w:t xml:space="preserve"> et al</w:t>
      </w:r>
      <w:r w:rsidRPr="00E44C52">
        <w:rPr>
          <w:rFonts w:ascii="Book Antiqua" w:eastAsia="宋体" w:hAnsi="Book Antiqua"/>
          <w:vertAlign w:val="superscript"/>
          <w:lang w:eastAsia="zh-CN"/>
        </w:rPr>
        <w:t>[7]</w:t>
      </w:r>
      <w:r w:rsidRPr="00E44C52">
        <w:rPr>
          <w:rFonts w:ascii="Book Antiqua" w:hAnsi="Book Antiqua"/>
        </w:rPr>
        <w:t xml:space="preserve"> suggests that the pathogenesis may be similar to oral lichen planus. It has been suggested that oral lichen planus</w:t>
      </w:r>
      <w:r>
        <w:rPr>
          <w:rFonts w:ascii="Book Antiqua" w:hAnsi="Book Antiqua"/>
        </w:rPr>
        <w:t xml:space="preserve"> </w:t>
      </w:r>
      <w:r w:rsidRPr="00E44C52">
        <w:rPr>
          <w:rFonts w:ascii="Book Antiqua" w:hAnsi="Book Antiqua"/>
        </w:rPr>
        <w:t>is due to an immune response to an exogenous or endogenous antigen found in the basal keratinocytes.</w:t>
      </w:r>
      <w:r>
        <w:rPr>
          <w:rFonts w:ascii="Book Antiqua" w:hAnsi="Book Antiqua"/>
        </w:rPr>
        <w:t xml:space="preserve"> </w:t>
      </w:r>
      <w:r w:rsidRPr="00E44C52">
        <w:rPr>
          <w:rFonts w:ascii="Book Antiqua" w:hAnsi="Book Antiqua"/>
        </w:rPr>
        <w:t>This activates the Langerhans cells which then present the antigen to the CD4+ T lymphocytes migrating to the oral mucosa lamina propria.</w:t>
      </w:r>
      <w:r>
        <w:rPr>
          <w:rFonts w:ascii="Book Antiqua" w:hAnsi="Book Antiqua"/>
        </w:rPr>
        <w:t xml:space="preserve"> </w:t>
      </w:r>
      <w:r w:rsidRPr="00E44C52">
        <w:rPr>
          <w:rFonts w:ascii="Book Antiqua" w:hAnsi="Book Antiqua"/>
        </w:rPr>
        <w:lastRenderedPageBreak/>
        <w:t>Keratinocytes respond to the injury by producing cytokines that promote CD8+ T lymphocyte stimulation. These CD8+ cytotoxic cells will distribute near the epithelium and destroy it</w:t>
      </w:r>
      <w:r w:rsidRPr="00CB5C42">
        <w:rPr>
          <w:rFonts w:ascii="Book Antiqua" w:eastAsia="宋体" w:hAnsi="Book Antiqua"/>
          <w:vertAlign w:val="superscript"/>
          <w:lang w:eastAsia="zh-CN"/>
        </w:rPr>
        <w:t>[8]</w:t>
      </w:r>
      <w:r>
        <w:rPr>
          <w:rFonts w:ascii="Book Antiqua" w:hAnsi="Book Antiqua"/>
        </w:rPr>
        <w:t xml:space="preserve">. </w:t>
      </w:r>
      <w:r w:rsidRPr="00E44C52">
        <w:rPr>
          <w:rFonts w:ascii="Book Antiqua" w:hAnsi="Book Antiqua"/>
        </w:rPr>
        <w:t>Table 1 summarizes the differences between esophageal versus oral and cutaneous lichen planus</w:t>
      </w:r>
      <w:r w:rsidRPr="00E44C52">
        <w:rPr>
          <w:rFonts w:ascii="Book Antiqua" w:eastAsia="宋体" w:hAnsi="Book Antiqua"/>
          <w:lang w:eastAsia="zh-CN"/>
        </w:rPr>
        <w:t>.</w:t>
      </w:r>
      <w:r w:rsidRPr="00E44C52">
        <w:rPr>
          <w:rFonts w:ascii="Book Antiqua" w:hAnsi="Book Antiqua"/>
        </w:rPr>
        <w:t xml:space="preserve"> </w:t>
      </w:r>
    </w:p>
    <w:p w:rsidR="00B52A33" w:rsidRPr="00E44C52" w:rsidRDefault="00B52A33" w:rsidP="006B3EF8">
      <w:pPr>
        <w:spacing w:line="360" w:lineRule="auto"/>
        <w:jc w:val="both"/>
        <w:rPr>
          <w:rFonts w:ascii="Book Antiqua" w:hAnsi="Book Antiqua"/>
        </w:rPr>
      </w:pPr>
      <w:r w:rsidRPr="00E44C52">
        <w:rPr>
          <w:rFonts w:ascii="Book Antiqua" w:hAnsi="Book Antiqua" w:cs="Times New Roman"/>
        </w:rPr>
        <w:tab/>
      </w:r>
      <w:r w:rsidRPr="00E44C52">
        <w:rPr>
          <w:rFonts w:ascii="Book Antiqua" w:hAnsi="Book Antiqua"/>
        </w:rPr>
        <w:t>Esophageal lichen planus is considered to be a rare disease with only about 50 cases reported in English literature. Retrospectively, Eisen</w:t>
      </w:r>
      <w:r>
        <w:rPr>
          <w:rFonts w:ascii="Book Antiqua" w:eastAsia="宋体" w:hAnsi="Book Antiqua"/>
          <w:vertAlign w:val="superscript"/>
          <w:lang w:eastAsia="zh-CN"/>
        </w:rPr>
        <w:t>[5</w:t>
      </w:r>
      <w:r w:rsidRPr="00E44C52">
        <w:rPr>
          <w:rFonts w:ascii="Book Antiqua" w:eastAsia="宋体" w:hAnsi="Book Antiqua"/>
          <w:vertAlign w:val="superscript"/>
          <w:lang w:eastAsia="zh-CN"/>
        </w:rPr>
        <w:t>]</w:t>
      </w:r>
      <w:r w:rsidRPr="00E44C52">
        <w:rPr>
          <w:rFonts w:ascii="Book Antiqua" w:hAnsi="Book Antiqua"/>
        </w:rPr>
        <w:t xml:space="preserve"> suggests a prevalence of less than 1% among patients with oral lichen planus but because of subtle clinical findings and lack of characteristic histologic features, the true prevalence is hard to determin</w:t>
      </w:r>
      <w:r>
        <w:rPr>
          <w:rFonts w:ascii="Book Antiqua" w:hAnsi="Book Antiqua"/>
        </w:rPr>
        <w:t>e</w:t>
      </w:r>
      <w:r>
        <w:rPr>
          <w:rFonts w:ascii="Book Antiqua" w:eastAsia="宋体" w:hAnsi="Book Antiqua"/>
          <w:vertAlign w:val="superscript"/>
          <w:lang w:eastAsia="zh-CN"/>
        </w:rPr>
        <w:t>[9</w:t>
      </w:r>
      <w:r w:rsidRPr="00CB5C42">
        <w:rPr>
          <w:rFonts w:ascii="Book Antiqua" w:eastAsia="宋体" w:hAnsi="Book Antiqua"/>
          <w:vertAlign w:val="superscript"/>
          <w:lang w:eastAsia="zh-CN"/>
        </w:rPr>
        <w:t>]</w:t>
      </w:r>
      <w:r w:rsidRPr="00CB5C42">
        <w:rPr>
          <w:rFonts w:ascii="Book Antiqua" w:hAnsi="Book Antiqua"/>
        </w:rPr>
        <w:t>.</w:t>
      </w:r>
      <w:r w:rsidRPr="00E44C52">
        <w:rPr>
          <w:rFonts w:ascii="Book Antiqua" w:hAnsi="Book Antiqua"/>
        </w:rPr>
        <w:t xml:space="preserve"> All reported patients are usually middle-aged females except in the study by </w:t>
      </w:r>
      <w:r w:rsidRPr="00E43E63">
        <w:rPr>
          <w:rFonts w:ascii="Book Antiqua" w:hAnsi="Book Antiqua"/>
        </w:rPr>
        <w:t>Chryssostalis</w:t>
      </w:r>
      <w:r w:rsidRPr="00E44C52">
        <w:rPr>
          <w:rFonts w:ascii="Book Antiqua" w:hAnsi="Book Antiqua"/>
          <w:i/>
        </w:rPr>
        <w:t xml:space="preserve"> et al</w:t>
      </w:r>
      <w:r w:rsidRPr="00E44C52">
        <w:rPr>
          <w:rFonts w:ascii="Book Antiqua" w:eastAsia="宋体" w:hAnsi="Book Antiqua"/>
          <w:vertAlign w:val="superscript"/>
          <w:lang w:eastAsia="zh-CN"/>
        </w:rPr>
        <w:t>[10]</w:t>
      </w:r>
      <w:r w:rsidRPr="00E44C52">
        <w:rPr>
          <w:rFonts w:ascii="Book Antiqua" w:hAnsi="Book Antiqua"/>
          <w:i/>
        </w:rPr>
        <w:t xml:space="preserve"> </w:t>
      </w:r>
      <w:r w:rsidRPr="00E44C52">
        <w:rPr>
          <w:rFonts w:ascii="Book Antiqua" w:hAnsi="Book Antiqua"/>
        </w:rPr>
        <w:t>that reported a case of a 22-year-old male with esophageal involvement. Esophageal lichen planus is often present in patients with extraesophageal involvement, but it may also be present in patients without dermal or oropharyngeal manifestations</w:t>
      </w:r>
      <w:r>
        <w:rPr>
          <w:rFonts w:ascii="Book Antiqua" w:hAnsi="Book Antiqua"/>
          <w:vertAlign w:val="superscript"/>
        </w:rPr>
        <w:t>[</w:t>
      </w:r>
      <w:r w:rsidRPr="002C2B4E">
        <w:rPr>
          <w:rFonts w:ascii="Book Antiqua" w:hAnsi="Book Antiqua"/>
          <w:vertAlign w:val="superscript"/>
        </w:rPr>
        <w:t>1</w:t>
      </w:r>
      <w:r>
        <w:rPr>
          <w:rFonts w:ascii="Book Antiqua" w:hAnsi="Book Antiqua"/>
          <w:vertAlign w:val="superscript"/>
        </w:rPr>
        <w:t>1]</w:t>
      </w:r>
      <w:r w:rsidRPr="002C2B4E">
        <w:rPr>
          <w:rFonts w:ascii="Book Antiqua" w:hAnsi="Book Antiqua"/>
        </w:rPr>
        <w:t>.</w:t>
      </w:r>
      <w:r w:rsidRPr="00E44C52">
        <w:rPr>
          <w:rFonts w:ascii="Book Antiqua" w:hAnsi="Book Antiqua"/>
        </w:rPr>
        <w:t xml:space="preserve"> In a case series of esophageal lichen planus, the initial site of involvement was esophagus in 48% of patients</w:t>
      </w:r>
      <w:r>
        <w:rPr>
          <w:rFonts w:ascii="Book Antiqua" w:eastAsia="宋体" w:hAnsi="Book Antiqua"/>
          <w:vertAlign w:val="superscript"/>
          <w:lang w:eastAsia="zh-CN"/>
        </w:rPr>
        <w:t>[12</w:t>
      </w:r>
      <w:r w:rsidRPr="002C2B4E">
        <w:rPr>
          <w:rFonts w:ascii="Book Antiqua" w:eastAsia="宋体" w:hAnsi="Book Antiqua"/>
          <w:vertAlign w:val="superscript"/>
          <w:lang w:eastAsia="zh-CN"/>
        </w:rPr>
        <w:t>]</w:t>
      </w:r>
      <w:r w:rsidRPr="002C2B4E">
        <w:rPr>
          <w:rFonts w:ascii="Book Antiqua" w:hAnsi="Book Antiqua"/>
        </w:rPr>
        <w:t>.</w:t>
      </w:r>
      <w:r w:rsidRPr="00E44C52">
        <w:rPr>
          <w:rFonts w:ascii="Book Antiqua" w:hAnsi="Book Antiqua"/>
        </w:rPr>
        <w:t xml:space="preserve"> Symptoms can range from asymptomatic to odynophagia and dysphagia</w:t>
      </w:r>
      <w:r w:rsidRPr="00E44C52">
        <w:rPr>
          <w:rFonts w:ascii="Book Antiqua" w:eastAsia="宋体" w:hAnsi="Book Antiqua"/>
          <w:vertAlign w:val="superscript"/>
          <w:lang w:eastAsia="zh-CN"/>
        </w:rPr>
        <w:t>[4]</w:t>
      </w:r>
      <w:r w:rsidRPr="00E44C52">
        <w:rPr>
          <w:rFonts w:ascii="Book Antiqua" w:hAnsi="Book Antiqua"/>
        </w:rPr>
        <w:t>.</w:t>
      </w:r>
      <w:r w:rsidRPr="00E44C52">
        <w:rPr>
          <w:rFonts w:ascii="Book Antiqua" w:eastAsia="宋体" w:hAnsi="Book Antiqua"/>
          <w:lang w:eastAsia="zh-CN"/>
        </w:rPr>
        <w:t xml:space="preserve"> </w:t>
      </w:r>
      <w:r w:rsidRPr="00E44C52">
        <w:rPr>
          <w:rFonts w:ascii="Book Antiqua" w:hAnsi="Book Antiqua"/>
        </w:rPr>
        <w:t>The proximal or mid-esophagus is the most common site of involvement</w:t>
      </w:r>
      <w:r w:rsidRPr="00E44C52">
        <w:rPr>
          <w:rFonts w:ascii="Book Antiqua" w:eastAsia="宋体" w:hAnsi="Book Antiqua"/>
          <w:vertAlign w:val="superscript"/>
          <w:lang w:eastAsia="zh-CN"/>
        </w:rPr>
        <w:t>[7]</w:t>
      </w:r>
      <w:r w:rsidRPr="00E44C52">
        <w:rPr>
          <w:rFonts w:ascii="Book Antiqua" w:hAnsi="Book Antiqua"/>
        </w:rPr>
        <w:t>, although the entire esophagus can also be affected with sparing of the gastroesophageal junction</w:t>
      </w:r>
      <w:r>
        <w:rPr>
          <w:rFonts w:ascii="Book Antiqua" w:eastAsia="宋体" w:hAnsi="Book Antiqua"/>
          <w:vertAlign w:val="superscript"/>
          <w:lang w:eastAsia="zh-CN"/>
        </w:rPr>
        <w:t>[13</w:t>
      </w:r>
      <w:r w:rsidRPr="00E44C52">
        <w:rPr>
          <w:rFonts w:ascii="Book Antiqua" w:eastAsia="宋体" w:hAnsi="Book Antiqua"/>
          <w:vertAlign w:val="superscript"/>
          <w:lang w:eastAsia="zh-CN"/>
        </w:rPr>
        <w:t>]</w:t>
      </w:r>
      <w:r w:rsidRPr="00E44C52">
        <w:rPr>
          <w:rFonts w:ascii="Book Antiqua" w:hAnsi="Book Antiqua"/>
        </w:rPr>
        <w:t>. Different types of</w:t>
      </w:r>
      <w:r>
        <w:rPr>
          <w:rFonts w:ascii="Book Antiqua" w:hAnsi="Book Antiqua"/>
        </w:rPr>
        <w:t xml:space="preserve"> </w:t>
      </w:r>
      <w:r w:rsidRPr="00E44C52">
        <w:rPr>
          <w:rFonts w:ascii="Book Antiqua" w:hAnsi="Book Antiqua"/>
        </w:rPr>
        <w:t>lesions</w:t>
      </w:r>
      <w:r>
        <w:rPr>
          <w:rFonts w:ascii="Book Antiqua" w:hAnsi="Book Antiqua"/>
        </w:rPr>
        <w:t xml:space="preserve"> </w:t>
      </w:r>
      <w:r w:rsidRPr="00E44C52">
        <w:rPr>
          <w:rFonts w:ascii="Book Antiqua" w:hAnsi="Book Antiqua"/>
        </w:rPr>
        <w:t>have been reported and can range from elevated lacy white papules, esophageal webs, pseudomembranes, desquamation, and superficial pinpoint erosions with and without stenosis. Most case reports mention the characteristic finding of peeling of the mucosa away from the esophagus leaving a friable, inflamed surface that bleeds on contact</w:t>
      </w:r>
      <w:r>
        <w:rPr>
          <w:rFonts w:ascii="Book Antiqua" w:eastAsia="宋体" w:hAnsi="Book Antiqua"/>
          <w:vertAlign w:val="superscript"/>
          <w:lang w:eastAsia="zh-CN"/>
        </w:rPr>
        <w:t>[11</w:t>
      </w:r>
      <w:r w:rsidRPr="00E44C52">
        <w:rPr>
          <w:rFonts w:ascii="Book Antiqua" w:eastAsia="宋体" w:hAnsi="Book Antiqua"/>
          <w:vertAlign w:val="superscript"/>
          <w:lang w:eastAsia="zh-CN"/>
        </w:rPr>
        <w:t>]</w:t>
      </w:r>
      <w:r w:rsidRPr="00E44C52">
        <w:rPr>
          <w:rFonts w:ascii="Book Antiqua" w:hAnsi="Book Antiqua"/>
        </w:rPr>
        <w:t>. Strictures are also common in these patients and may represent progression from inflammation to ulceration, fibrosis with subsequent stricture formation</w:t>
      </w:r>
      <w:r>
        <w:rPr>
          <w:rFonts w:ascii="Book Antiqua" w:eastAsia="宋体" w:hAnsi="Book Antiqua"/>
          <w:vertAlign w:val="superscript"/>
          <w:lang w:eastAsia="zh-CN"/>
        </w:rPr>
        <w:t>[14</w:t>
      </w:r>
      <w:r w:rsidRPr="00E44C52">
        <w:rPr>
          <w:rFonts w:ascii="Book Antiqua" w:eastAsia="宋体" w:hAnsi="Book Antiqua"/>
          <w:vertAlign w:val="superscript"/>
          <w:lang w:eastAsia="zh-CN"/>
        </w:rPr>
        <w:t>]</w:t>
      </w:r>
      <w:r w:rsidRPr="00E44C52">
        <w:rPr>
          <w:rFonts w:ascii="Book Antiqua" w:hAnsi="Book Antiqua"/>
        </w:rPr>
        <w:t xml:space="preserve">. </w:t>
      </w:r>
    </w:p>
    <w:p w:rsidR="00B52A33" w:rsidRPr="00E44C52" w:rsidRDefault="00B52A33" w:rsidP="006B3EF8">
      <w:pPr>
        <w:spacing w:line="360" w:lineRule="auto"/>
        <w:jc w:val="both"/>
        <w:rPr>
          <w:rFonts w:ascii="Book Antiqua" w:hAnsi="Book Antiqua"/>
        </w:rPr>
      </w:pPr>
      <w:r w:rsidRPr="00E44C52">
        <w:rPr>
          <w:rFonts w:ascii="Book Antiqua" w:hAnsi="Book Antiqua"/>
        </w:rPr>
        <w:tab/>
        <w:t xml:space="preserve">Esophageal lichen planus may be misdiagnosed as reflux esophagitis which further compounds the situation. In our patient, esophageal lichen planus was favored over reflux esophagitis due to the extensive degree of hyperkeratosis and focal parakeratosis with accumulation of keratohyalin </w:t>
      </w:r>
      <w:r w:rsidRPr="00E44C52">
        <w:rPr>
          <w:rFonts w:ascii="Book Antiqua" w:hAnsi="Book Antiqua"/>
        </w:rPr>
        <w:lastRenderedPageBreak/>
        <w:t>granules which are unlikely in reflux related injury. The presence of spongiosis in the lower third of the epithelium was also more consistent with esophageal lichen planus. The spongiosis in reflux diseases tend to occur in the upper third of the epithelium where acid is in contact with the mucosa. The other factor that can help to differentiate these 2 entities is the site of involvement in the esophagus. While reflux disease is usually more severe in the distal esophagus, lichen planus affects the middle and upper esophagus in most cases.</w:t>
      </w:r>
    </w:p>
    <w:p w:rsidR="00B52A33" w:rsidRPr="00E44C52" w:rsidRDefault="00B52A33" w:rsidP="006B3EF8">
      <w:pPr>
        <w:spacing w:line="360" w:lineRule="auto"/>
        <w:ind w:firstLine="720"/>
        <w:jc w:val="both"/>
        <w:rPr>
          <w:rFonts w:ascii="Book Antiqua" w:hAnsi="Book Antiqua"/>
        </w:rPr>
      </w:pPr>
      <w:r w:rsidRPr="00E44C52">
        <w:rPr>
          <w:rFonts w:ascii="Book Antiqua" w:hAnsi="Book Antiqua"/>
        </w:rPr>
        <w:t>The most characteristic histologic finding in esophageal lichen planus is a bandlike or lichenoid lymphocytic infiltrate involving the superficial lamina propria and basal epithelium</w:t>
      </w:r>
      <w:r w:rsidRPr="00E44C52">
        <w:rPr>
          <w:rFonts w:ascii="Book Antiqua" w:eastAsia="宋体" w:hAnsi="Book Antiqua"/>
          <w:vertAlign w:val="superscript"/>
          <w:lang w:eastAsia="zh-CN"/>
        </w:rPr>
        <w:t>[7]</w:t>
      </w:r>
      <w:r w:rsidRPr="00E44C52">
        <w:rPr>
          <w:rFonts w:ascii="Book Antiqua" w:hAnsi="Book Antiqua"/>
        </w:rPr>
        <w:t>. A predominance of mature T cells is present within this infiltrate. These are associated with basal keratinocyte degeneration which often include Civatte bodies (necrotic keratinocytes with anucleate remnants)</w:t>
      </w:r>
      <w:r w:rsidRPr="00E44C52">
        <w:rPr>
          <w:rFonts w:ascii="Book Antiqua" w:eastAsia="宋体" w:hAnsi="Book Antiqua"/>
          <w:vertAlign w:val="superscript"/>
          <w:lang w:eastAsia="zh-CN"/>
        </w:rPr>
        <w:t>[7]</w:t>
      </w:r>
      <w:r w:rsidRPr="00E44C52">
        <w:rPr>
          <w:rFonts w:ascii="Book Antiqua" w:hAnsi="Book Antiqua"/>
        </w:rPr>
        <w:t>. Lymphocytic infiltration of the mucosa is not pathognomonic of this disease and medications such as gold, thiazide, and anti-malarials can induce lichen planus-like lesions and need to be excluded clinically</w:t>
      </w:r>
      <w:r w:rsidRPr="00E44C52">
        <w:rPr>
          <w:rFonts w:ascii="Book Antiqua" w:eastAsia="宋体" w:hAnsi="Book Antiqua"/>
          <w:vertAlign w:val="superscript"/>
          <w:lang w:eastAsia="zh-CN"/>
        </w:rPr>
        <w:t>[15]</w:t>
      </w:r>
      <w:r w:rsidRPr="00E44C52">
        <w:rPr>
          <w:rFonts w:ascii="Book Antiqua" w:hAnsi="Book Antiqua"/>
        </w:rPr>
        <w:t xml:space="preserve">. </w:t>
      </w:r>
    </w:p>
    <w:p w:rsidR="00B52A33" w:rsidRPr="00E44C52" w:rsidRDefault="00B52A33" w:rsidP="006B3EF8">
      <w:pPr>
        <w:spacing w:line="360" w:lineRule="auto"/>
        <w:ind w:firstLineChars="200" w:firstLine="480"/>
        <w:jc w:val="both"/>
        <w:rPr>
          <w:rFonts w:ascii="Book Antiqua" w:hAnsi="Book Antiqua"/>
        </w:rPr>
      </w:pPr>
      <w:r w:rsidRPr="00E44C52">
        <w:rPr>
          <w:rFonts w:ascii="Book Antiqua" w:hAnsi="Book Antiqua"/>
        </w:rPr>
        <w:t>No clear guidelines are present for the treatment of esophageal lichen planus and there is no specific way to treat this entity. Historically, systemic corticosteroids have been used as first-line treatment with a response rate of up to 74% based on multiple reports. However, relapse rate can be as high as 85% with steroid withdrawal</w:t>
      </w:r>
      <w:r>
        <w:rPr>
          <w:rFonts w:ascii="Book Antiqua" w:eastAsia="宋体" w:hAnsi="Book Antiqua"/>
          <w:vertAlign w:val="superscript"/>
          <w:lang w:eastAsia="zh-CN"/>
        </w:rPr>
        <w:t>[11</w:t>
      </w:r>
      <w:r w:rsidRPr="00E44C52">
        <w:rPr>
          <w:rFonts w:ascii="Book Antiqua" w:eastAsia="宋体" w:hAnsi="Book Antiqua"/>
          <w:vertAlign w:val="superscript"/>
          <w:lang w:eastAsia="zh-CN"/>
        </w:rPr>
        <w:t>]</w:t>
      </w:r>
      <w:r w:rsidRPr="00E44C52">
        <w:rPr>
          <w:rFonts w:ascii="Book Antiqua" w:hAnsi="Book Antiqua"/>
        </w:rPr>
        <w:t>. Treatment response was also reported with adrenocorticotrophic hormone injection, etretinate, topical tacrolimus, intralesional corticosteroids and cyclosporine</w:t>
      </w:r>
      <w:r>
        <w:rPr>
          <w:rFonts w:ascii="Book Antiqua" w:eastAsia="宋体" w:hAnsi="Book Antiqua"/>
          <w:vertAlign w:val="superscript"/>
          <w:lang w:eastAsia="zh-CN"/>
        </w:rPr>
        <w:t>[2,</w:t>
      </w:r>
      <w:r w:rsidRPr="00E44C52">
        <w:rPr>
          <w:rFonts w:ascii="Book Antiqua" w:eastAsia="宋体" w:hAnsi="Book Antiqua"/>
          <w:vertAlign w:val="superscript"/>
          <w:lang w:eastAsia="zh-CN"/>
        </w:rPr>
        <w:t>1</w:t>
      </w:r>
      <w:r>
        <w:rPr>
          <w:rFonts w:ascii="Book Antiqua" w:eastAsia="宋体" w:hAnsi="Book Antiqua"/>
          <w:vertAlign w:val="superscript"/>
          <w:lang w:eastAsia="zh-CN"/>
        </w:rPr>
        <w:t>6</w:t>
      </w:r>
      <w:r w:rsidRPr="00E44C52">
        <w:rPr>
          <w:rFonts w:ascii="Book Antiqua" w:eastAsia="宋体" w:hAnsi="Book Antiqua"/>
          <w:vertAlign w:val="superscript"/>
          <w:lang w:eastAsia="zh-CN"/>
        </w:rPr>
        <w:t>]</w:t>
      </w:r>
      <w:r w:rsidRPr="00E44C52">
        <w:rPr>
          <w:rFonts w:ascii="Book Antiqua" w:hAnsi="Book Antiqua"/>
        </w:rPr>
        <w:t>. Esophageal dilation is commonly used to treat strictures, although intralesional steroid injections and/or oral tacrolimus may decrease the frequency of required dilations. It is important to note that koebner phenomenon which is defined as development of new lesions along the lines of trauma, can occur with dilatation.</w:t>
      </w:r>
      <w:r>
        <w:rPr>
          <w:rFonts w:ascii="Book Antiqua" w:hAnsi="Book Antiqua"/>
        </w:rPr>
        <w:t xml:space="preserve"> </w:t>
      </w:r>
    </w:p>
    <w:p w:rsidR="00B52A33" w:rsidRPr="00E44C52" w:rsidRDefault="00B52A33" w:rsidP="006B3EF8">
      <w:pPr>
        <w:spacing w:line="360" w:lineRule="auto"/>
        <w:ind w:firstLine="720"/>
        <w:jc w:val="both"/>
        <w:rPr>
          <w:rFonts w:ascii="Book Antiqua" w:hAnsi="Book Antiqua"/>
        </w:rPr>
      </w:pPr>
      <w:r w:rsidRPr="00E44C52">
        <w:rPr>
          <w:rFonts w:ascii="Book Antiqua" w:hAnsi="Book Antiqua"/>
        </w:rPr>
        <w:t>Although effective, systemic corticosteroid treatment can be associated with serious side effects and therefore there is a need for a safer alternative.</w:t>
      </w:r>
      <w:r>
        <w:rPr>
          <w:rFonts w:ascii="Book Antiqua" w:hAnsi="Book Antiqua"/>
        </w:rPr>
        <w:t xml:space="preserve"> </w:t>
      </w:r>
      <w:r w:rsidRPr="00E44C52">
        <w:rPr>
          <w:rFonts w:ascii="Book Antiqua" w:hAnsi="Book Antiqua"/>
        </w:rPr>
        <w:t xml:space="preserve">In our review of literature, we have come upon case reports and a recent case series </w:t>
      </w:r>
      <w:r w:rsidRPr="00E44C52">
        <w:rPr>
          <w:rFonts w:ascii="Book Antiqua" w:hAnsi="Book Antiqua"/>
        </w:rPr>
        <w:lastRenderedPageBreak/>
        <w:t>where treatment with swallowed fluticasone proprionate has resulted in symptomatic improvement as well as endoscopic improvement in 4 out 6 treated patients</w:t>
      </w:r>
      <w:r w:rsidRPr="00E44C52">
        <w:rPr>
          <w:rFonts w:ascii="Book Antiqua" w:eastAsia="宋体" w:hAnsi="Book Antiqua"/>
          <w:vertAlign w:val="superscript"/>
          <w:lang w:eastAsia="zh-CN"/>
        </w:rPr>
        <w:t>[</w:t>
      </w:r>
      <w:r>
        <w:rPr>
          <w:rFonts w:ascii="Book Antiqua" w:hAnsi="Book Antiqua"/>
          <w:vertAlign w:val="superscript"/>
        </w:rPr>
        <w:t>14,17</w:t>
      </w:r>
      <w:r w:rsidRPr="00E44C52">
        <w:rPr>
          <w:rFonts w:ascii="Book Antiqua" w:eastAsia="宋体" w:hAnsi="Book Antiqua"/>
          <w:vertAlign w:val="superscript"/>
          <w:lang w:eastAsia="zh-CN"/>
        </w:rPr>
        <w:t>]</w:t>
      </w:r>
      <w:r w:rsidRPr="00E44C52">
        <w:rPr>
          <w:rFonts w:ascii="Book Antiqua" w:hAnsi="Book Antiqua"/>
        </w:rPr>
        <w:t>.</w:t>
      </w:r>
      <w:r w:rsidRPr="00E44C52">
        <w:rPr>
          <w:rFonts w:ascii="Book Antiqua" w:eastAsia="宋体" w:hAnsi="Book Antiqua"/>
          <w:vertAlign w:val="superscript"/>
          <w:lang w:eastAsia="zh-CN"/>
        </w:rPr>
        <w:t xml:space="preserve"> </w:t>
      </w:r>
      <w:r w:rsidRPr="00E44C52">
        <w:rPr>
          <w:rFonts w:ascii="Book Antiqua" w:hAnsi="Book Antiqua"/>
        </w:rPr>
        <w:t>Because of these promising results, we decided to try this novel approach for our patient which proved to be successful.</w:t>
      </w:r>
      <w:r>
        <w:rPr>
          <w:rFonts w:ascii="Book Antiqua" w:hAnsi="Book Antiqua"/>
        </w:rPr>
        <w:t xml:space="preserve"> </w:t>
      </w:r>
    </w:p>
    <w:p w:rsidR="00B52A33" w:rsidRPr="00E44C52" w:rsidRDefault="00B52A33" w:rsidP="006B3EF8">
      <w:pPr>
        <w:spacing w:line="360" w:lineRule="auto"/>
        <w:jc w:val="both"/>
        <w:rPr>
          <w:rFonts w:ascii="Book Antiqua" w:hAnsi="Book Antiqua"/>
          <w:vertAlign w:val="superscript"/>
        </w:rPr>
      </w:pPr>
      <w:r w:rsidRPr="00E44C52">
        <w:rPr>
          <w:rFonts w:ascii="Book Antiqua" w:hAnsi="Book Antiqua"/>
        </w:rPr>
        <w:tab/>
        <w:t>Oral lichen planus has a 1%-3% risk of malignant transformation to squamous cell carcinoma</w:t>
      </w:r>
      <w:r w:rsidRPr="00E44C52">
        <w:rPr>
          <w:rFonts w:ascii="Book Antiqua" w:eastAsia="宋体" w:hAnsi="Book Antiqua"/>
          <w:vertAlign w:val="superscript"/>
          <w:lang w:eastAsia="zh-CN"/>
        </w:rPr>
        <w:t>[3]</w:t>
      </w:r>
      <w:r w:rsidRPr="00E44C52">
        <w:rPr>
          <w:rFonts w:ascii="Book Antiqua" w:hAnsi="Book Antiqua"/>
        </w:rPr>
        <w:t>. It is unknown however if the same is true for esophageal lichen planus. To date, 3 case reports have described squamous cell carcinoma and 1 described a verrucous carcinoma arising from these lesions.</w:t>
      </w:r>
      <w:r>
        <w:rPr>
          <w:rFonts w:ascii="Book Antiqua" w:hAnsi="Book Antiqua"/>
          <w:vertAlign w:val="superscript"/>
        </w:rPr>
        <w:t xml:space="preserve"> 18,19</w:t>
      </w:r>
      <w:r w:rsidRPr="00E44C52">
        <w:rPr>
          <w:rFonts w:ascii="Book Antiqua" w:hAnsi="Book Antiqua"/>
          <w:vertAlign w:val="superscript"/>
        </w:rPr>
        <w:t>,10</w:t>
      </w:r>
      <w:r w:rsidRPr="00E44C52">
        <w:rPr>
          <w:rFonts w:ascii="Book Antiqua" w:hAnsi="Book Antiqua"/>
        </w:rPr>
        <w:t xml:space="preserve"> In these reports, squamous cell carcinoma developed more than 20 years after the diagnosis of esophageal lichen planus</w:t>
      </w:r>
      <w:r>
        <w:rPr>
          <w:rFonts w:ascii="Book Antiqua" w:eastAsia="宋体" w:hAnsi="Book Antiqua"/>
          <w:vertAlign w:val="superscript"/>
          <w:lang w:eastAsia="zh-CN"/>
        </w:rPr>
        <w:t>[18</w:t>
      </w:r>
      <w:r w:rsidRPr="00E44C52">
        <w:rPr>
          <w:rFonts w:ascii="Book Antiqua" w:eastAsia="宋体" w:hAnsi="Book Antiqua"/>
          <w:vertAlign w:val="superscript"/>
          <w:lang w:eastAsia="zh-CN"/>
        </w:rPr>
        <w:t>]</w:t>
      </w:r>
      <w:r w:rsidRPr="00E44C52">
        <w:rPr>
          <w:rFonts w:ascii="Book Antiqua" w:hAnsi="Book Antiqua"/>
        </w:rPr>
        <w:t xml:space="preserve">. Due to this risk, some advocated surveillance endoscopies in patients with esophageal lichen planus to detect early malignancy. In the study by </w:t>
      </w:r>
      <w:r w:rsidRPr="007A4B82">
        <w:rPr>
          <w:rFonts w:ascii="Book Antiqua" w:hAnsi="Book Antiqua"/>
        </w:rPr>
        <w:t>Quispel</w:t>
      </w:r>
      <w:r w:rsidRPr="00E44C52">
        <w:rPr>
          <w:rFonts w:ascii="Book Antiqua" w:hAnsi="Book Antiqua"/>
          <w:i/>
        </w:rPr>
        <w:t xml:space="preserve"> et al</w:t>
      </w:r>
      <w:r w:rsidRPr="00E44C52">
        <w:rPr>
          <w:rFonts w:ascii="Book Antiqua" w:eastAsia="宋体" w:hAnsi="Book Antiqua"/>
          <w:vertAlign w:val="superscript"/>
          <w:lang w:eastAsia="zh-CN"/>
        </w:rPr>
        <w:t>[</w:t>
      </w:r>
      <w:r w:rsidRPr="00E44C52">
        <w:rPr>
          <w:rFonts w:ascii="Book Antiqua" w:hAnsi="Book Antiqua"/>
          <w:vertAlign w:val="superscript"/>
        </w:rPr>
        <w:t>2</w:t>
      </w:r>
      <w:r>
        <w:rPr>
          <w:rFonts w:ascii="Book Antiqua" w:eastAsia="宋体" w:hAnsi="Book Antiqua"/>
          <w:vertAlign w:val="superscript"/>
          <w:lang w:eastAsia="zh-CN"/>
        </w:rPr>
        <w:t>0</w:t>
      </w:r>
      <w:r w:rsidRPr="00E44C52">
        <w:rPr>
          <w:rFonts w:ascii="Book Antiqua" w:eastAsia="宋体" w:hAnsi="Book Antiqua"/>
          <w:vertAlign w:val="superscript"/>
          <w:lang w:eastAsia="zh-CN"/>
        </w:rPr>
        <w:t>]</w:t>
      </w:r>
      <w:r w:rsidRPr="00E44C52">
        <w:rPr>
          <w:rFonts w:ascii="Book Antiqua" w:hAnsi="Book Antiqua"/>
        </w:rPr>
        <w:t>, high magnification indigo carmine chromoendoscopy was used to establish the prevalence of endoscopic and histopathologic esophageal abnormalities consistent with lichen planus and dysplasia in a cohort of patients with lichen planus. It was found that up to 50% of patients with orocutaneous lichen planus had esophageal involvement but no dysplasia was found.</w:t>
      </w:r>
      <w:r>
        <w:rPr>
          <w:rFonts w:ascii="Book Antiqua" w:hAnsi="Book Antiqua"/>
        </w:rPr>
        <w:t xml:space="preserve"> </w:t>
      </w:r>
      <w:r w:rsidRPr="00E44C52">
        <w:rPr>
          <w:rFonts w:ascii="Book Antiqua" w:hAnsi="Book Antiqua"/>
        </w:rPr>
        <w:t>The authors of this study proposed to set a low threshold for performing endoscopy in patients with lichen planus and symptoms suggestive of esophageal involvement but recommended against routine screening</w:t>
      </w:r>
      <w:r w:rsidRPr="00E44C52">
        <w:rPr>
          <w:rFonts w:ascii="Book Antiqua" w:eastAsia="宋体" w:hAnsi="Book Antiqua"/>
          <w:vertAlign w:val="superscript"/>
          <w:lang w:eastAsia="zh-CN"/>
        </w:rPr>
        <w:t>[</w:t>
      </w:r>
      <w:r w:rsidRPr="00E44C52">
        <w:rPr>
          <w:rFonts w:ascii="Book Antiqua" w:hAnsi="Book Antiqua"/>
          <w:vertAlign w:val="superscript"/>
        </w:rPr>
        <w:t>2</w:t>
      </w:r>
      <w:r>
        <w:rPr>
          <w:rFonts w:ascii="Book Antiqua" w:eastAsia="宋体" w:hAnsi="Book Antiqua"/>
          <w:vertAlign w:val="superscript"/>
          <w:lang w:eastAsia="zh-CN"/>
        </w:rPr>
        <w:t>0</w:t>
      </w:r>
      <w:r w:rsidRPr="00E44C52">
        <w:rPr>
          <w:rFonts w:ascii="Book Antiqua" w:eastAsia="宋体" w:hAnsi="Book Antiqua"/>
          <w:vertAlign w:val="superscript"/>
          <w:lang w:eastAsia="zh-CN"/>
        </w:rPr>
        <w:t>]</w:t>
      </w:r>
      <w:r w:rsidRPr="00E44C52">
        <w:rPr>
          <w:rFonts w:ascii="Book Antiqua" w:hAnsi="Book Antiqua"/>
        </w:rPr>
        <w:t>.</w:t>
      </w:r>
      <w:r w:rsidRPr="00E44C52">
        <w:rPr>
          <w:rFonts w:ascii="Book Antiqua" w:hAnsi="Book Antiqua"/>
          <w:vertAlign w:val="superscript"/>
        </w:rPr>
        <w:t xml:space="preserve"> </w:t>
      </w:r>
      <w:r w:rsidRPr="00E44C52">
        <w:rPr>
          <w:rFonts w:ascii="Book Antiqua" w:hAnsi="Book Antiqua"/>
        </w:rPr>
        <w:t xml:space="preserve">Based on these data, we recommend that the frequency of screening by endoscopy be individualized, but the possibility of malignancy be kept in mind while evaluating these patients with a low threshold for further evaluation in patients with symptoms suggestive for esophageal cancer. </w:t>
      </w:r>
    </w:p>
    <w:p w:rsidR="00B52A33" w:rsidRPr="00E44C52" w:rsidRDefault="00B52A33" w:rsidP="006B3EF8">
      <w:pPr>
        <w:spacing w:line="360" w:lineRule="auto"/>
        <w:jc w:val="both"/>
        <w:rPr>
          <w:rFonts w:ascii="Book Antiqua" w:hAnsi="Book Antiqua"/>
        </w:rPr>
      </w:pPr>
      <w:r w:rsidRPr="00E44C52">
        <w:rPr>
          <w:rFonts w:ascii="Book Antiqua" w:hAnsi="Book Antiqua" w:cs="Times New Roman"/>
        </w:rPr>
        <w:tab/>
      </w:r>
      <w:r w:rsidRPr="00E44C52">
        <w:rPr>
          <w:rFonts w:ascii="Book Antiqua" w:hAnsi="Book Antiqua"/>
        </w:rPr>
        <w:t xml:space="preserve">In conclusion, esophageal lichen planus should be suspected in middle-aged female patients who present with symptoms of dysphagia and odynophagia and found to have mucosal abnormalities involving the upper third of the esophagus. Once the diagnosis of esophageal lichen planus is made, these patients should be considered for treatment with swallowed fluticasone before other systemic and more toxic therapies. It is important to keep in mind </w:t>
      </w:r>
      <w:r w:rsidRPr="00E44C52">
        <w:rPr>
          <w:rFonts w:ascii="Book Antiqua" w:hAnsi="Book Antiqua"/>
        </w:rPr>
        <w:lastRenderedPageBreak/>
        <w:t>that secondary to the risk for malignant transformation, these patients should be followed closely.</w:t>
      </w:r>
      <w:r>
        <w:rPr>
          <w:rFonts w:ascii="Book Antiqua" w:hAnsi="Book Antiqua"/>
        </w:rPr>
        <w:t xml:space="preserve"> </w:t>
      </w:r>
    </w:p>
    <w:p w:rsidR="00B52A33" w:rsidRPr="00E44C52" w:rsidRDefault="00B52A33" w:rsidP="006B3EF8">
      <w:pPr>
        <w:spacing w:line="360" w:lineRule="auto"/>
        <w:jc w:val="both"/>
        <w:rPr>
          <w:rFonts w:ascii="Book Antiqua" w:hAnsi="Book Antiqua" w:cs="Times New Roman"/>
        </w:rPr>
      </w:pPr>
    </w:p>
    <w:p w:rsidR="00B52A33" w:rsidRPr="00125031" w:rsidRDefault="00B52A33" w:rsidP="006B3EF8">
      <w:pPr>
        <w:spacing w:line="360" w:lineRule="auto"/>
        <w:jc w:val="both"/>
        <w:rPr>
          <w:rFonts w:ascii="Book Antiqua" w:hAnsi="Book Antiqua" w:cs="Times New Roman"/>
        </w:rPr>
      </w:pPr>
      <w:r w:rsidRPr="00E44C52">
        <w:rPr>
          <w:rFonts w:ascii="Book Antiqua" w:hAnsi="Book Antiqua"/>
          <w:b/>
        </w:rPr>
        <w:t>REFERENCES</w:t>
      </w:r>
    </w:p>
    <w:p w:rsidR="00B52A33" w:rsidRPr="006B3EF8" w:rsidRDefault="00B52A33" w:rsidP="006B3EF8">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1</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Boyd AS</w:t>
      </w:r>
      <w:r w:rsidRPr="006B3EF8">
        <w:rPr>
          <w:rFonts w:ascii="Book Antiqua" w:eastAsia="宋体" w:hAnsi="Book Antiqua" w:cs="宋体"/>
          <w:color w:val="000000"/>
          <w:lang w:eastAsia="zh-CN"/>
        </w:rPr>
        <w:t>, Neldner KH.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J Am Acad Dermatol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1991;</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25</w:t>
      </w:r>
      <w:r w:rsidRPr="006B3EF8">
        <w:rPr>
          <w:rFonts w:ascii="Book Antiqua" w:eastAsia="宋体" w:hAnsi="Book Antiqua" w:cs="宋体"/>
          <w:color w:val="000000"/>
          <w:lang w:eastAsia="zh-CN"/>
        </w:rPr>
        <w:t>: 593-619 [PMID: 1791218 DOI: 10.1016/0190-9622(91)70241-S]</w:t>
      </w:r>
    </w:p>
    <w:p w:rsidR="00B52A33" w:rsidRPr="006B3EF8" w:rsidRDefault="00B52A33" w:rsidP="006B3EF8">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2</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Keate RF</w:t>
      </w:r>
      <w:r w:rsidRPr="006B3EF8">
        <w:rPr>
          <w:rFonts w:ascii="Book Antiqua" w:eastAsia="宋体" w:hAnsi="Book Antiqua" w:cs="宋体"/>
          <w:color w:val="000000"/>
          <w:lang w:eastAsia="zh-CN"/>
        </w:rPr>
        <w:t>, Williams JW, Connolly SM. Lichen planus esophagitis: report of three patients treated with oral tacrolimus or intraesophageal corticosteroid injections or both.</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Dis Esophagus</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2003;</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16</w:t>
      </w:r>
      <w:r w:rsidRPr="006B3EF8">
        <w:rPr>
          <w:rFonts w:ascii="Book Antiqua" w:eastAsia="宋体" w:hAnsi="Book Antiqua" w:cs="宋体"/>
          <w:color w:val="000000"/>
          <w:lang w:eastAsia="zh-CN"/>
        </w:rPr>
        <w:t>: 47-53 [PMID: 12581256 DOI: 10.1046/j.1442-2050.2003.00289.x]</w:t>
      </w:r>
    </w:p>
    <w:p w:rsidR="00B52A33" w:rsidRPr="006B3EF8" w:rsidRDefault="00B52A33" w:rsidP="006B3EF8">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3</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Shenfine J</w:t>
      </w:r>
      <w:r w:rsidRPr="006B3EF8">
        <w:rPr>
          <w:rFonts w:ascii="Book Antiqua" w:eastAsia="宋体" w:hAnsi="Book Antiqua" w:cs="宋体"/>
          <w:color w:val="000000"/>
          <w:lang w:eastAsia="zh-CN"/>
        </w:rPr>
        <w:t>, Preston SR. Lichen planus in the oesophagus: are we missing something?</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Eur J Gastroenterol Hepatol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2006;</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18</w:t>
      </w:r>
      <w:r w:rsidRPr="006B3EF8">
        <w:rPr>
          <w:rFonts w:ascii="Book Antiqua" w:eastAsia="宋体" w:hAnsi="Book Antiqua" w:cs="宋体"/>
          <w:color w:val="000000"/>
          <w:lang w:eastAsia="zh-CN"/>
        </w:rPr>
        <w:t>: 1043-1045 [PMID: 16957508 DOI: 10.1097/01.meg.0000236870.01151.c2]</w:t>
      </w:r>
    </w:p>
    <w:p w:rsidR="00B52A33" w:rsidRPr="006B3EF8" w:rsidRDefault="00B52A33" w:rsidP="00076ECB">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4</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Dickens CM</w:t>
      </w:r>
      <w:r w:rsidRPr="006B3EF8">
        <w:rPr>
          <w:rFonts w:ascii="Book Antiqua" w:eastAsia="宋体" w:hAnsi="Book Antiqua" w:cs="宋体"/>
          <w:color w:val="000000"/>
          <w:lang w:eastAsia="zh-CN"/>
        </w:rPr>
        <w:t>, Heseltine D, Walton S, Bennett JR. The oesophagus in lichen planus: an endoscopic study.</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BMJ</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1990;</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300</w:t>
      </w:r>
      <w:r w:rsidRPr="006B3EF8">
        <w:rPr>
          <w:rFonts w:ascii="Book Antiqua" w:eastAsia="宋体" w:hAnsi="Book Antiqua" w:cs="宋体"/>
          <w:color w:val="000000"/>
          <w:lang w:eastAsia="zh-CN"/>
        </w:rPr>
        <w:t>: 84 [PMID: 2105780 DOI: 10.1136/bmj.300.6717.84]</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5</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Eisen D</w:t>
      </w:r>
      <w:r w:rsidRPr="006B3EF8">
        <w:rPr>
          <w:rFonts w:ascii="Book Antiqua" w:eastAsia="宋体" w:hAnsi="Book Antiqua" w:cs="宋体"/>
          <w:color w:val="000000"/>
          <w:lang w:eastAsia="zh-CN"/>
        </w:rPr>
        <w:t>. The evaluation of cutaneous, genital, scalp, nail, esophageal, and ocular involvement in patients with oral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Oral Surg Oral Med Oral Pathol Oral Radiol Endod</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1999;</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88</w:t>
      </w:r>
      <w:r w:rsidRPr="006B3EF8">
        <w:rPr>
          <w:rFonts w:ascii="Book Antiqua" w:eastAsia="宋体" w:hAnsi="Book Antiqua" w:cs="宋体"/>
          <w:color w:val="000000"/>
          <w:lang w:eastAsia="zh-CN"/>
        </w:rPr>
        <w:t>: 431-436 [PMID: 10519750 DOI: 10.1016/S1079-2104(99)70057-0]</w:t>
      </w:r>
    </w:p>
    <w:p w:rsidR="00B52A33" w:rsidRPr="006B3EF8" w:rsidRDefault="00B52A33" w:rsidP="006B3EF8">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6</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Oliver GF</w:t>
      </w:r>
      <w:r w:rsidRPr="006B3EF8">
        <w:rPr>
          <w:rFonts w:ascii="Book Antiqua" w:eastAsia="宋体" w:hAnsi="Book Antiqua" w:cs="宋体"/>
          <w:color w:val="000000"/>
          <w:lang w:eastAsia="zh-CN"/>
        </w:rPr>
        <w:t>, Winkelmann RK. Treatment of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Drugs</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1993;</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45</w:t>
      </w:r>
      <w:r w:rsidRPr="006B3EF8">
        <w:rPr>
          <w:rFonts w:ascii="Book Antiqua" w:eastAsia="宋体" w:hAnsi="Book Antiqua" w:cs="宋体"/>
          <w:color w:val="000000"/>
          <w:lang w:eastAsia="zh-CN"/>
        </w:rPr>
        <w:t>: 56-65 [PMID: 7680985 DOI: 10.2165/00003495-199345010-00006]</w:t>
      </w:r>
    </w:p>
    <w:p w:rsidR="00B52A33" w:rsidRPr="006B3EF8" w:rsidRDefault="00B52A33" w:rsidP="006B3EF8">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7</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Chandan VS</w:t>
      </w:r>
      <w:r w:rsidRPr="006B3EF8">
        <w:rPr>
          <w:rFonts w:ascii="Book Antiqua" w:eastAsia="宋体" w:hAnsi="Book Antiqua" w:cs="宋体"/>
          <w:color w:val="000000"/>
          <w:lang w:eastAsia="zh-CN"/>
        </w:rPr>
        <w:t>, Murray JA, Abraham SC. Esophageal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Arch Pathol Lab Med</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2008;</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132</w:t>
      </w:r>
      <w:r w:rsidRPr="006B3EF8">
        <w:rPr>
          <w:rFonts w:ascii="Book Antiqua" w:eastAsia="宋体" w:hAnsi="Book Antiqua" w:cs="宋体"/>
          <w:color w:val="000000"/>
          <w:lang w:eastAsia="zh-CN"/>
        </w:rPr>
        <w:t>: 1026-1029 [PMID: 18517264]</w:t>
      </w:r>
    </w:p>
    <w:p w:rsidR="00B52A33" w:rsidRPr="006B3EF8" w:rsidRDefault="00B52A33" w:rsidP="006B3EF8">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8</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Villarroel Dorrego M</w:t>
      </w:r>
      <w:r w:rsidRPr="006B3EF8">
        <w:rPr>
          <w:rFonts w:ascii="Book Antiqua" w:eastAsia="宋体" w:hAnsi="Book Antiqua" w:cs="宋体"/>
          <w:color w:val="000000"/>
          <w:lang w:eastAsia="zh-CN"/>
        </w:rPr>
        <w:t>, Correnti M, Delgado R, Tapia FJ. Oral lichen planus: immunohistology of mucosal lesions.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J Oral Pathol Med</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2002;</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31</w:t>
      </w:r>
      <w:r w:rsidRPr="006B3EF8">
        <w:rPr>
          <w:rFonts w:ascii="Book Antiqua" w:eastAsia="宋体" w:hAnsi="Book Antiqua" w:cs="宋体"/>
          <w:color w:val="000000"/>
          <w:lang w:eastAsia="zh-CN"/>
        </w:rPr>
        <w:t>: 410-414 [PMID: 12165059 DOI: 10.1034/j.1600-0714.2002.00097.x]</w:t>
      </w:r>
    </w:p>
    <w:p w:rsidR="00B52A33"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lastRenderedPageBreak/>
        <w:t>9</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Bombeccari GP</w:t>
      </w:r>
      <w:r w:rsidRPr="006B3EF8">
        <w:rPr>
          <w:rFonts w:ascii="Book Antiqua" w:eastAsia="宋体" w:hAnsi="Book Antiqua" w:cs="宋体"/>
          <w:color w:val="000000"/>
          <w:lang w:eastAsia="zh-CN"/>
        </w:rPr>
        <w:t>, Guzzi GP, Pallotti F, Marino R, Spadari F. Lichen planus esophagitis: diagnostic implications.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Am J Dermatopathol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2009;</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31</w:t>
      </w:r>
      <w:r w:rsidRPr="006B3EF8">
        <w:rPr>
          <w:rFonts w:ascii="Book Antiqua" w:eastAsia="宋体" w:hAnsi="Book Antiqua" w:cs="宋体"/>
          <w:color w:val="000000"/>
          <w:lang w:eastAsia="zh-CN"/>
        </w:rPr>
        <w:t>: 509-510 [PMID: 19542934 DOI: 10.1097/DAD.0b013e31818c99e1]</w:t>
      </w:r>
    </w:p>
    <w:p w:rsidR="00B52A33" w:rsidRPr="006B3EF8" w:rsidRDefault="00B52A33" w:rsidP="002C2B4E">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10</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Chryssostalis A</w:t>
      </w:r>
      <w:r w:rsidRPr="006B3EF8">
        <w:rPr>
          <w:rFonts w:ascii="Book Antiqua" w:eastAsia="宋体" w:hAnsi="Book Antiqua" w:cs="宋体"/>
          <w:color w:val="000000"/>
          <w:lang w:eastAsia="zh-CN"/>
        </w:rPr>
        <w:t>, Gaudric M, Terris B, Coriat R, Prat F, Chaussade S. Esophageal lichen planus: a series of eight cases including a patient with esophageal verrucous carcinoma. A case series.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Endoscopy</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2008;</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40</w:t>
      </w:r>
      <w:r w:rsidRPr="006B3EF8">
        <w:rPr>
          <w:rFonts w:ascii="Book Antiqua" w:eastAsia="宋体" w:hAnsi="Book Antiqua" w:cs="宋体"/>
          <w:color w:val="000000"/>
          <w:lang w:eastAsia="zh-CN"/>
        </w:rPr>
        <w:t>: 764-768 [PMID: 18535938 DOI: 10.1055/s-2008-1077357]</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11</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Westbrook R</w:t>
      </w:r>
      <w:r w:rsidRPr="006B3EF8">
        <w:rPr>
          <w:rFonts w:ascii="Book Antiqua" w:eastAsia="宋体" w:hAnsi="Book Antiqua" w:cs="宋体"/>
          <w:color w:val="000000"/>
          <w:lang w:eastAsia="zh-CN"/>
        </w:rPr>
        <w:t>, Riley S. Esophageal lichen planus: case report and literature review.</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Dysphagia</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2008;</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23</w:t>
      </w:r>
      <w:r w:rsidRPr="006B3EF8">
        <w:rPr>
          <w:rFonts w:ascii="Book Antiqua" w:eastAsia="宋体" w:hAnsi="Book Antiqua" w:cs="宋体"/>
          <w:color w:val="000000"/>
          <w:lang w:eastAsia="zh-CN"/>
        </w:rPr>
        <w:t>: 331-334 [PMID: 18575934 DOI: 10.1007/s00455-007-9136-x]</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12</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Katzka DA</w:t>
      </w:r>
      <w:r w:rsidRPr="006B3EF8">
        <w:rPr>
          <w:rFonts w:ascii="Book Antiqua" w:eastAsia="宋体" w:hAnsi="Book Antiqua" w:cs="宋体"/>
          <w:color w:val="000000"/>
          <w:lang w:eastAsia="zh-CN"/>
        </w:rPr>
        <w:t>, Smyrk TC, Bruce AJ, Romero Y, Alexander JA, Murray JA. Variations in presentations of esophageal involvement in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Clin Gastroenterol Hepatol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2010;</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8</w:t>
      </w:r>
      <w:r w:rsidRPr="006B3EF8">
        <w:rPr>
          <w:rFonts w:ascii="Book Antiqua" w:eastAsia="宋体" w:hAnsi="Book Antiqua" w:cs="宋体"/>
          <w:color w:val="000000"/>
          <w:lang w:eastAsia="zh-CN"/>
        </w:rPr>
        <w:t>: 777-782 [PMID: 20471494 DOI: 10.1016/j.cgh.2010.04.024]</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13</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Ukleja A</w:t>
      </w:r>
      <w:r w:rsidRPr="006B3EF8">
        <w:rPr>
          <w:rFonts w:ascii="Book Antiqua" w:eastAsia="宋体" w:hAnsi="Book Antiqua" w:cs="宋体"/>
          <w:color w:val="000000"/>
          <w:lang w:eastAsia="zh-CN"/>
        </w:rPr>
        <w:t>, DeVault KR, Stark ME, Achem SR. Lichen planus involving the esophagus.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Dig Dis Sci</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2001;</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46</w:t>
      </w:r>
      <w:r w:rsidRPr="006B3EF8">
        <w:rPr>
          <w:rFonts w:ascii="Book Antiqua" w:eastAsia="宋体" w:hAnsi="Book Antiqua" w:cs="宋体"/>
          <w:color w:val="000000"/>
          <w:lang w:eastAsia="zh-CN"/>
        </w:rPr>
        <w:t>: 2292-2297 [PMID: 11680610 DOI: 10.1023/A: 1011943805711]</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14</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Donnellan F</w:t>
      </w:r>
      <w:r w:rsidRPr="006B3EF8">
        <w:rPr>
          <w:rFonts w:ascii="Book Antiqua" w:eastAsia="宋体" w:hAnsi="Book Antiqua" w:cs="宋体"/>
          <w:color w:val="000000"/>
          <w:lang w:eastAsia="zh-CN"/>
        </w:rPr>
        <w:t>, Swan MP, May GR, Kandel G, Marcon NE, Kortan PP. Fluticasone propionate for treatment of esophageal lichen planus. A case series.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Dis Esophagus</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2011;</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24</w:t>
      </w:r>
      <w:r w:rsidRPr="006B3EF8">
        <w:rPr>
          <w:rFonts w:ascii="Book Antiqua" w:eastAsia="宋体" w:hAnsi="Book Antiqua" w:cs="宋体"/>
          <w:color w:val="000000"/>
          <w:lang w:eastAsia="zh-CN"/>
        </w:rPr>
        <w:t>: 211-214 [PMID: 20946136 DOI: 10.1111/j.1442-2050.2010.01120.x.]</w:t>
      </w:r>
    </w:p>
    <w:p w:rsidR="00B52A33" w:rsidRPr="006B3EF8" w:rsidRDefault="00B52A33" w:rsidP="002C2B4E">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15</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Lefer LG</w:t>
      </w:r>
      <w:r w:rsidRPr="006B3EF8">
        <w:rPr>
          <w:rFonts w:ascii="Book Antiqua" w:eastAsia="宋体" w:hAnsi="Book Antiqua" w:cs="宋体"/>
          <w:color w:val="000000"/>
          <w:lang w:eastAsia="zh-CN"/>
        </w:rPr>
        <w:t>. Lichen planus of the esophagus.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Am J Dermatopathol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1982;</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4</w:t>
      </w:r>
      <w:r w:rsidRPr="006B3EF8">
        <w:rPr>
          <w:rFonts w:ascii="Book Antiqua" w:eastAsia="宋体" w:hAnsi="Book Antiqua" w:cs="宋体"/>
          <w:color w:val="000000"/>
          <w:lang w:eastAsia="zh-CN"/>
        </w:rPr>
        <w:t>: 267-269 [PMID: 7114412 DOI: 10.1097/00000372-198206000-00017]</w:t>
      </w:r>
    </w:p>
    <w:p w:rsidR="00B52A33" w:rsidRPr="006B3EF8" w:rsidRDefault="00B52A33" w:rsidP="006B3EF8">
      <w:pPr>
        <w:spacing w:line="360" w:lineRule="auto"/>
        <w:jc w:val="both"/>
        <w:rPr>
          <w:rFonts w:ascii="Book Antiqua" w:eastAsia="宋体" w:hAnsi="Book Antiqua" w:cs="宋体"/>
          <w:color w:val="000000"/>
          <w:lang w:eastAsia="zh-CN"/>
        </w:rPr>
      </w:pPr>
      <w:r w:rsidRPr="006B3EF8">
        <w:rPr>
          <w:rFonts w:ascii="Book Antiqua" w:eastAsia="宋体" w:hAnsi="Book Antiqua" w:cs="宋体"/>
          <w:color w:val="000000"/>
          <w:lang w:eastAsia="zh-CN"/>
        </w:rPr>
        <w:t>1</w:t>
      </w:r>
      <w:r>
        <w:rPr>
          <w:rFonts w:ascii="Book Antiqua" w:eastAsia="宋体" w:hAnsi="Book Antiqua" w:cs="宋体"/>
          <w:color w:val="000000"/>
          <w:lang w:eastAsia="zh-CN"/>
        </w:rPr>
        <w:t>6</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Chaklader M</w:t>
      </w:r>
      <w:r w:rsidRPr="006B3EF8">
        <w:rPr>
          <w:rFonts w:ascii="Book Antiqua" w:eastAsia="宋体" w:hAnsi="Book Antiqua" w:cs="宋体"/>
          <w:color w:val="000000"/>
          <w:lang w:eastAsia="zh-CN"/>
        </w:rPr>
        <w:t>, Morris-Larkin C, Gulliver W, McGrath J. Cyclosporine in the management of esophageal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Can J Gastroenterol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2009;</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23</w:t>
      </w:r>
      <w:r w:rsidRPr="006B3EF8">
        <w:rPr>
          <w:rFonts w:ascii="Book Antiqua" w:eastAsia="宋体" w:hAnsi="Book Antiqua" w:cs="宋体"/>
          <w:color w:val="000000"/>
          <w:lang w:eastAsia="zh-CN"/>
        </w:rPr>
        <w:t>: 686-688 [PMID: 19826643]</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17</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Hou JK</w:t>
      </w:r>
      <w:r w:rsidRPr="006B3EF8">
        <w:rPr>
          <w:rFonts w:ascii="Book Antiqua" w:eastAsia="宋体" w:hAnsi="Book Antiqua" w:cs="宋体"/>
          <w:color w:val="000000"/>
          <w:lang w:eastAsia="zh-CN"/>
        </w:rPr>
        <w:t>, Qureshi W. Swallowed fluticasone for the treatment of esophageal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Gastrointest Endosc</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2011;</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74</w:t>
      </w:r>
      <w:r w:rsidRPr="006B3EF8">
        <w:rPr>
          <w:rFonts w:ascii="Book Antiqua" w:eastAsia="宋体" w:hAnsi="Book Antiqua" w:cs="宋体"/>
          <w:color w:val="000000"/>
          <w:lang w:eastAsia="zh-CN"/>
        </w:rPr>
        <w:t>: 708-709 [PMID: 21092955 DOI: 10.1016/j.gie.2010.09.032]</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lastRenderedPageBreak/>
        <w:t>18</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Schwartz MP</w:t>
      </w:r>
      <w:r w:rsidRPr="006B3EF8">
        <w:rPr>
          <w:rFonts w:ascii="Book Antiqua" w:eastAsia="宋体" w:hAnsi="Book Antiqua" w:cs="宋体"/>
          <w:color w:val="000000"/>
          <w:lang w:eastAsia="zh-CN"/>
        </w:rPr>
        <w:t>, Sigurdsson V, Vreuls W, Lubbert PH, Smout AJ. Two siblings with lichen planus and squamous cell carcinoma of the oesophagus.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Eur J Gastroenterol Hepatol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2006;</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18</w:t>
      </w:r>
      <w:r w:rsidRPr="006B3EF8">
        <w:rPr>
          <w:rFonts w:ascii="Book Antiqua" w:eastAsia="宋体" w:hAnsi="Book Antiqua" w:cs="宋体"/>
          <w:color w:val="000000"/>
          <w:lang w:eastAsia="zh-CN"/>
        </w:rPr>
        <w:t>: 1111-1115 [PMID: 16957518 DOI: 10.1097/01.meg.0000221854.25039.83]</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19</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Calabrese C</w:t>
      </w:r>
      <w:r w:rsidRPr="006B3EF8">
        <w:rPr>
          <w:rFonts w:ascii="Book Antiqua" w:eastAsia="宋体" w:hAnsi="Book Antiqua" w:cs="宋体"/>
          <w:color w:val="000000"/>
          <w:lang w:eastAsia="zh-CN"/>
        </w:rPr>
        <w:t>, Fabbri A, Benni M, Areni A, Scialpi C, Miglioli M, Di Febo G. Squamous cell carcinoma arising in esophageal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Gastrointest Endosc</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2003;</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57</w:t>
      </w:r>
      <w:r w:rsidRPr="006B3EF8">
        <w:rPr>
          <w:rFonts w:ascii="Book Antiqua" w:eastAsia="宋体" w:hAnsi="Book Antiqua" w:cs="宋体"/>
          <w:color w:val="000000"/>
          <w:lang w:eastAsia="zh-CN"/>
        </w:rPr>
        <w:t>: 596-599 [PMID: 12665780 DOI: 10.1067/mge.2003.154]</w:t>
      </w:r>
    </w:p>
    <w:p w:rsidR="00B52A33" w:rsidRPr="006B3EF8" w:rsidRDefault="00B52A33" w:rsidP="006B3EF8">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20</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Quispel R</w:t>
      </w:r>
      <w:r w:rsidRPr="006B3EF8">
        <w:rPr>
          <w:rFonts w:ascii="Book Antiqua" w:eastAsia="宋体" w:hAnsi="Book Antiqua" w:cs="宋体"/>
          <w:color w:val="000000"/>
          <w:lang w:eastAsia="zh-CN"/>
        </w:rPr>
        <w:t>, van Boxel OS, Schipper ME, Sigurdsson V, Canninga-van Dijk MR, Kerckhoffs A, Smout AJ, Samsom M, Schwartz MP. High prevalence of esophageal involvement in lichen planus: a study using magnification chromoendoscopy.</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Endoscopy</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2009;</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41</w:t>
      </w:r>
      <w:r w:rsidRPr="006B3EF8">
        <w:rPr>
          <w:rFonts w:ascii="Book Antiqua" w:eastAsia="宋体" w:hAnsi="Book Antiqua" w:cs="宋体"/>
          <w:color w:val="000000"/>
          <w:lang w:eastAsia="zh-CN"/>
        </w:rPr>
        <w:t>: 187-193 [PMID: 19280529 DOI: 10.1055/s-0028-1119590]</w:t>
      </w:r>
    </w:p>
    <w:p w:rsidR="00B52A33" w:rsidRPr="006B3EF8" w:rsidRDefault="00B52A33" w:rsidP="00CB5C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21</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Abraham SC</w:t>
      </w:r>
      <w:r w:rsidRPr="006B3EF8">
        <w:rPr>
          <w:rFonts w:ascii="Book Antiqua" w:eastAsia="宋体" w:hAnsi="Book Antiqua" w:cs="宋体"/>
          <w:color w:val="000000"/>
          <w:lang w:eastAsia="zh-CN"/>
        </w:rPr>
        <w:t>, Ravich WJ, Anhalt GJ, Yardley JH, Wu TT. Esophageal lichen planus: case report and review of the literature.</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Am J Surg Pathol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2000;</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24</w:t>
      </w:r>
      <w:r w:rsidRPr="006B3EF8">
        <w:rPr>
          <w:rFonts w:ascii="Book Antiqua" w:eastAsia="宋体" w:hAnsi="Book Antiqua" w:cs="宋体"/>
          <w:color w:val="000000"/>
          <w:lang w:eastAsia="zh-CN"/>
        </w:rPr>
        <w:t>: 1678-1682 [PMID: 11117791 DOI: 10.1097/00000478-200012000-00014]</w:t>
      </w:r>
    </w:p>
    <w:p w:rsidR="00B52A33" w:rsidRPr="006B3EF8" w:rsidRDefault="00B52A33" w:rsidP="00CB5C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22</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Jobard-Drobacheff C</w:t>
      </w:r>
      <w:r w:rsidRPr="006B3EF8">
        <w:rPr>
          <w:rFonts w:ascii="Book Antiqua" w:eastAsia="宋体" w:hAnsi="Book Antiqua" w:cs="宋体"/>
          <w:color w:val="000000"/>
          <w:lang w:eastAsia="zh-CN"/>
        </w:rPr>
        <w:t>, Blanc D, Quencez E, Zultak M, Paris B, Ottignon Y, Agache P. Lichen planus of the oesophagus.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Clin Exp Dermatol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1988;</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13</w:t>
      </w:r>
      <w:r w:rsidRPr="006B3EF8">
        <w:rPr>
          <w:rFonts w:ascii="Book Antiqua" w:eastAsia="宋体" w:hAnsi="Book Antiqua" w:cs="宋体"/>
          <w:color w:val="000000"/>
          <w:lang w:eastAsia="zh-CN"/>
        </w:rPr>
        <w:t>: 38-41 [PMID: 3208440 DOI: 10.1111/j.1365-2230.1988.tb00648.x]</w:t>
      </w:r>
    </w:p>
    <w:p w:rsidR="00B52A33" w:rsidRPr="006B3EF8" w:rsidRDefault="00B52A33" w:rsidP="00CB5C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23</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Holder PD</w:t>
      </w:r>
      <w:r w:rsidRPr="006B3EF8">
        <w:rPr>
          <w:rFonts w:ascii="Book Antiqua" w:eastAsia="宋体" w:hAnsi="Book Antiqua" w:cs="宋体"/>
          <w:color w:val="000000"/>
          <w:lang w:eastAsia="zh-CN"/>
        </w:rPr>
        <w:t>, Wong WL, Pemberton J, Thompson RP, Parker SC. Diagnosis and treatment of an oesophageal stricture due to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Br J Radiol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1992;</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65</w:t>
      </w:r>
      <w:r w:rsidRPr="006B3EF8">
        <w:rPr>
          <w:rFonts w:ascii="Book Antiqua" w:eastAsia="宋体" w:hAnsi="Book Antiqua" w:cs="宋体"/>
          <w:color w:val="000000"/>
          <w:lang w:eastAsia="zh-CN"/>
        </w:rPr>
        <w:t>: 451-452 [PMID: 1611430 DOI: 10.1259/0007-1285-65-773-451]</w:t>
      </w:r>
    </w:p>
    <w:p w:rsidR="00B52A33" w:rsidRPr="006B3EF8" w:rsidRDefault="00B52A33" w:rsidP="00CB5C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24</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Sheehan-Dare RA</w:t>
      </w:r>
      <w:r w:rsidRPr="006B3EF8">
        <w:rPr>
          <w:rFonts w:ascii="Book Antiqua" w:eastAsia="宋体" w:hAnsi="Book Antiqua" w:cs="宋体"/>
          <w:color w:val="000000"/>
          <w:lang w:eastAsia="zh-CN"/>
        </w:rPr>
        <w:t>, Cotterill JA, Simmons AV. Oesophageal lichen planus.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Br J Dermatol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1986;</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115</w:t>
      </w:r>
      <w:r w:rsidRPr="006B3EF8">
        <w:rPr>
          <w:rFonts w:ascii="Book Antiqua" w:eastAsia="宋体" w:hAnsi="Book Antiqua" w:cs="宋体"/>
          <w:color w:val="000000"/>
          <w:lang w:eastAsia="zh-CN"/>
        </w:rPr>
        <w:t>: 729-730 [PMID: 3801311 DOI: 10.1111/j.1365-2133.1986.tb06655.x]</w:t>
      </w:r>
    </w:p>
    <w:p w:rsidR="00B52A33" w:rsidRPr="006B3EF8" w:rsidRDefault="00B52A33" w:rsidP="00CB5C42">
      <w:pPr>
        <w:spacing w:line="360" w:lineRule="auto"/>
        <w:jc w:val="both"/>
        <w:rPr>
          <w:rFonts w:ascii="Book Antiqua" w:eastAsia="宋体" w:hAnsi="Book Antiqua" w:cs="宋体"/>
          <w:color w:val="000000"/>
          <w:lang w:eastAsia="zh-CN"/>
        </w:rPr>
      </w:pPr>
      <w:r>
        <w:rPr>
          <w:rFonts w:ascii="Book Antiqua" w:eastAsia="宋体" w:hAnsi="Book Antiqua" w:cs="宋体"/>
          <w:color w:val="000000"/>
          <w:lang w:eastAsia="zh-CN"/>
        </w:rPr>
        <w:t>25</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Kirsch M</w:t>
      </w:r>
      <w:r w:rsidRPr="006B3EF8">
        <w:rPr>
          <w:rFonts w:ascii="Book Antiqua" w:eastAsia="宋体" w:hAnsi="Book Antiqua" w:cs="宋体"/>
          <w:color w:val="000000"/>
          <w:lang w:eastAsia="zh-CN"/>
        </w:rPr>
        <w:t>. Esophageal lichen planus: a forgotten diagnosis.</w:t>
      </w:r>
      <w:r w:rsidRPr="00E44C52">
        <w:rPr>
          <w:rFonts w:ascii="Book Antiqua" w:eastAsia="宋体" w:hAnsi="Book Antiqua" w:cs="宋体"/>
          <w:color w:val="000000"/>
          <w:lang w:eastAsia="zh-CN"/>
        </w:rPr>
        <w:t> </w:t>
      </w:r>
      <w:r w:rsidRPr="006B3EF8">
        <w:rPr>
          <w:rFonts w:ascii="Book Antiqua" w:eastAsia="宋体" w:hAnsi="Book Antiqua" w:cs="宋体"/>
          <w:i/>
          <w:iCs/>
          <w:color w:val="000000"/>
          <w:lang w:eastAsia="zh-CN"/>
        </w:rPr>
        <w:t>J Clin Gastroenterol</w:t>
      </w:r>
      <w:r w:rsidRPr="00E44C52">
        <w:rPr>
          <w:rFonts w:ascii="Book Antiqua" w:eastAsia="宋体" w:hAnsi="Book Antiqua" w:cs="宋体"/>
          <w:color w:val="000000"/>
          <w:lang w:eastAsia="zh-CN"/>
        </w:rPr>
        <w:t> </w:t>
      </w:r>
      <w:r w:rsidRPr="006B3EF8">
        <w:rPr>
          <w:rFonts w:ascii="Book Antiqua" w:eastAsia="宋体" w:hAnsi="Book Antiqua" w:cs="宋体"/>
          <w:color w:val="000000"/>
          <w:lang w:eastAsia="zh-CN"/>
        </w:rPr>
        <w:t>1995;</w:t>
      </w:r>
      <w:r w:rsidRPr="00E44C52">
        <w:rPr>
          <w:rFonts w:ascii="Book Antiqua" w:eastAsia="宋体" w:hAnsi="Book Antiqua" w:cs="宋体"/>
          <w:color w:val="000000"/>
          <w:lang w:eastAsia="zh-CN"/>
        </w:rPr>
        <w:t> </w:t>
      </w:r>
      <w:r w:rsidRPr="006B3EF8">
        <w:rPr>
          <w:rFonts w:ascii="Book Antiqua" w:eastAsia="宋体" w:hAnsi="Book Antiqua" w:cs="宋体"/>
          <w:b/>
          <w:bCs/>
          <w:color w:val="000000"/>
          <w:lang w:eastAsia="zh-CN"/>
        </w:rPr>
        <w:t>20</w:t>
      </w:r>
      <w:r w:rsidRPr="006B3EF8">
        <w:rPr>
          <w:rFonts w:ascii="Book Antiqua" w:eastAsia="宋体" w:hAnsi="Book Antiqua" w:cs="宋体"/>
          <w:color w:val="000000"/>
          <w:lang w:eastAsia="zh-CN"/>
        </w:rPr>
        <w:t>: 145-146 [PMID: 7769197 DOI: 10.1097/00004836-199503000-00016]</w:t>
      </w:r>
    </w:p>
    <w:p w:rsidR="00B52A33" w:rsidRDefault="00B52A33" w:rsidP="006B3EF8">
      <w:pPr>
        <w:spacing w:line="360" w:lineRule="auto"/>
        <w:ind w:right="240"/>
        <w:jc w:val="both"/>
        <w:rPr>
          <w:rFonts w:ascii="Book Antiqua" w:eastAsia="宋体" w:hAnsi="Book Antiqua"/>
          <w:b/>
          <w:lang w:eastAsia="zh-CN"/>
        </w:rPr>
      </w:pPr>
    </w:p>
    <w:p w:rsidR="00B52A33" w:rsidRDefault="00B52A33" w:rsidP="00125031">
      <w:pPr>
        <w:spacing w:line="360" w:lineRule="auto"/>
        <w:jc w:val="right"/>
        <w:rPr>
          <w:rFonts w:ascii="Book Antiqua" w:eastAsia="宋体" w:hAnsi="Book Antiqua"/>
          <w:b/>
          <w:bCs/>
          <w:color w:val="000000"/>
          <w:lang w:eastAsia="zh-CN"/>
        </w:rPr>
      </w:pPr>
      <w:bookmarkStart w:id="7" w:name="OLE_LINK11"/>
      <w:bookmarkStart w:id="8" w:name="OLE_LINK12"/>
      <w:bookmarkStart w:id="9" w:name="OLE_LINK36"/>
      <w:bookmarkStart w:id="10" w:name="OLE_LINK37"/>
      <w:bookmarkStart w:id="11" w:name="OLE_LINK20"/>
      <w:r w:rsidRPr="00CE4867">
        <w:rPr>
          <w:rStyle w:val="af"/>
          <w:rFonts w:ascii="Book Antiqua" w:hAnsi="Book Antiqua" w:cs="Cambria"/>
          <w:bCs/>
          <w:noProof/>
          <w:color w:val="000000"/>
        </w:rPr>
        <w:t>P-Reviewer</w:t>
      </w:r>
      <w:bookmarkEnd w:id="7"/>
      <w:bookmarkEnd w:id="8"/>
      <w:r>
        <w:rPr>
          <w:rStyle w:val="af"/>
          <w:rFonts w:ascii="Book Antiqua" w:eastAsia="宋体" w:hAnsi="Book Antiqua" w:cs="Cambria"/>
          <w:bCs/>
          <w:noProof/>
          <w:color w:val="000000"/>
          <w:lang w:eastAsia="zh-CN"/>
        </w:rPr>
        <w:t>s</w:t>
      </w:r>
      <w:r w:rsidRPr="00CE4867">
        <w:rPr>
          <w:rFonts w:ascii="Book Antiqua" w:hAnsi="Book Antiqua"/>
          <w:b/>
          <w:bCs/>
          <w:color w:val="000000"/>
        </w:rPr>
        <w:t xml:space="preserve"> </w:t>
      </w:r>
      <w:r>
        <w:rPr>
          <w:rFonts w:ascii="Book Antiqua" w:hAnsi="Book Antiqua"/>
          <w:bCs/>
          <w:color w:val="000000"/>
        </w:rPr>
        <w:t>Watabe</w:t>
      </w:r>
      <w:r>
        <w:rPr>
          <w:rFonts w:ascii="Book Antiqua" w:eastAsia="宋体" w:hAnsi="Book Antiqua"/>
          <w:bCs/>
          <w:color w:val="000000"/>
          <w:lang w:eastAsia="zh-CN"/>
        </w:rPr>
        <w:t xml:space="preserve"> </w:t>
      </w:r>
      <w:r w:rsidRPr="00B065F7">
        <w:rPr>
          <w:rFonts w:ascii="Book Antiqua" w:hAnsi="Book Antiqua"/>
          <w:bCs/>
          <w:color w:val="000000"/>
        </w:rPr>
        <w:t>K</w:t>
      </w:r>
      <w:r>
        <w:rPr>
          <w:rFonts w:ascii="Book Antiqua" w:eastAsia="宋体" w:hAnsi="Book Antiqua"/>
          <w:bCs/>
          <w:color w:val="000000"/>
          <w:lang w:eastAsia="zh-CN"/>
        </w:rPr>
        <w:t xml:space="preserve">, </w:t>
      </w:r>
      <w:r>
        <w:rPr>
          <w:color w:val="000000"/>
        </w:rPr>
        <w:t>Mullin</w:t>
      </w:r>
      <w:r>
        <w:rPr>
          <w:rFonts w:eastAsia="宋体"/>
          <w:color w:val="000000"/>
          <w:lang w:eastAsia="zh-CN"/>
        </w:rPr>
        <w:t xml:space="preserve"> </w:t>
      </w:r>
      <w:r>
        <w:rPr>
          <w:color w:val="000000"/>
        </w:rPr>
        <w:t>J</w:t>
      </w:r>
      <w:r>
        <w:rPr>
          <w:rFonts w:eastAsia="宋体"/>
          <w:color w:val="000000"/>
          <w:lang w:eastAsia="zh-CN"/>
        </w:rPr>
        <w:t>M</w:t>
      </w:r>
      <w:r w:rsidRPr="00CE4867">
        <w:rPr>
          <w:rFonts w:ascii="Book Antiqua" w:hAnsi="Book Antiqua"/>
          <w:b/>
          <w:bCs/>
          <w:color w:val="000000"/>
        </w:rPr>
        <w:t xml:space="preserve">      </w:t>
      </w:r>
    </w:p>
    <w:p w:rsidR="00B52A33" w:rsidRPr="00CE4867" w:rsidRDefault="00B52A33" w:rsidP="00125031">
      <w:pPr>
        <w:spacing w:line="360" w:lineRule="auto"/>
        <w:jc w:val="right"/>
        <w:rPr>
          <w:rFonts w:ascii="Book Antiqua" w:hAnsi="Book Antiqua"/>
          <w:b/>
          <w:bCs/>
          <w:color w:val="000000"/>
        </w:rPr>
      </w:pPr>
      <w:r w:rsidRPr="00CE4867">
        <w:rPr>
          <w:rFonts w:ascii="Book Antiqua" w:hAnsi="Book Antiqua"/>
          <w:b/>
          <w:bCs/>
          <w:color w:val="000000"/>
        </w:rPr>
        <w:lastRenderedPageBreak/>
        <w:t xml:space="preserve">S-Editor </w:t>
      </w:r>
      <w:r w:rsidRPr="00CE4867">
        <w:rPr>
          <w:rFonts w:ascii="Book Antiqua" w:hAnsi="Book Antiqua"/>
          <w:bCs/>
          <w:color w:val="000000"/>
        </w:rPr>
        <w:t xml:space="preserve">Wen LL  </w:t>
      </w:r>
      <w:r w:rsidRPr="00CE4867">
        <w:rPr>
          <w:rFonts w:ascii="Book Antiqua" w:hAnsi="Book Antiqua"/>
          <w:b/>
          <w:bCs/>
          <w:color w:val="000000"/>
        </w:rPr>
        <w:t xml:space="preserve">         </w:t>
      </w:r>
      <w:r w:rsidRPr="00CE4867">
        <w:rPr>
          <w:rFonts w:ascii="Book Antiqua" w:hAnsi="Book Antiqua"/>
          <w:color w:val="000000"/>
        </w:rPr>
        <w:t xml:space="preserve">  </w:t>
      </w:r>
      <w:r w:rsidRPr="00CE4867">
        <w:rPr>
          <w:rFonts w:ascii="Book Antiqua" w:hAnsi="Book Antiqua"/>
          <w:b/>
          <w:bCs/>
          <w:color w:val="000000"/>
        </w:rPr>
        <w:t xml:space="preserve">L-Editor                </w:t>
      </w:r>
      <w:r w:rsidRPr="00CE4867">
        <w:rPr>
          <w:rFonts w:ascii="Book Antiqua" w:hAnsi="Book Antiqua"/>
          <w:color w:val="000000"/>
        </w:rPr>
        <w:t xml:space="preserve">  </w:t>
      </w:r>
      <w:r w:rsidRPr="00CE4867">
        <w:rPr>
          <w:rFonts w:ascii="Book Antiqua" w:hAnsi="Book Antiqua"/>
          <w:b/>
          <w:bCs/>
          <w:color w:val="000000"/>
        </w:rPr>
        <w:t>E-Editor</w:t>
      </w:r>
    </w:p>
    <w:bookmarkEnd w:id="9"/>
    <w:bookmarkEnd w:id="10"/>
    <w:bookmarkEnd w:id="11"/>
    <w:p w:rsidR="00B52A33" w:rsidRPr="00E44C52" w:rsidRDefault="00B52A33" w:rsidP="006B3EF8">
      <w:pPr>
        <w:spacing w:line="360" w:lineRule="auto"/>
        <w:jc w:val="both"/>
        <w:rPr>
          <w:rFonts w:ascii="Book Antiqua" w:hAnsi="Book Antiqua" w:cs="Times New Roman"/>
        </w:rPr>
      </w:pPr>
      <w:r w:rsidRPr="00E44C52">
        <w:rPr>
          <w:rFonts w:ascii="Book Antiqua" w:hAnsi="Book Antiqua" w:cs="Times New Roman"/>
        </w:rPr>
        <w:br w:type="page"/>
      </w:r>
    </w:p>
    <w:p w:rsidR="00B52A33" w:rsidRPr="00E44C52" w:rsidRDefault="00B52A33" w:rsidP="006B3EF8">
      <w:pPr>
        <w:spacing w:line="360" w:lineRule="auto"/>
        <w:jc w:val="both"/>
        <w:rPr>
          <w:rFonts w:ascii="Book Antiqua" w:hAnsi="Book Antiqua"/>
        </w:rPr>
      </w:pPr>
    </w:p>
    <w:p w:rsidR="00B52A33" w:rsidRPr="00E44C52" w:rsidRDefault="001B2B2B" w:rsidP="006B3EF8">
      <w:pPr>
        <w:pStyle w:val="a5"/>
        <w:spacing w:line="360" w:lineRule="auto"/>
        <w:jc w:val="both"/>
        <w:rPr>
          <w:rFonts w:ascii="Book Antiqua" w:hAnsi="Book Antiqua"/>
        </w:rPr>
      </w:pPr>
      <w:r>
        <w:rPr>
          <w:noProof/>
          <w:lang w:eastAsia="zh-CN"/>
        </w:rPr>
        <mc:AlternateContent>
          <mc:Choice Requires="wps">
            <w:drawing>
              <wp:anchor distT="4294967295" distB="4294967295" distL="114300" distR="114300" simplePos="0" relativeHeight="251657216" behindDoc="0" locked="0" layoutInCell="1" allowOverlap="1">
                <wp:simplePos x="0" y="0"/>
                <wp:positionH relativeFrom="column">
                  <wp:posOffset>2057400</wp:posOffset>
                </wp:positionH>
                <wp:positionV relativeFrom="paragraph">
                  <wp:posOffset>2954654</wp:posOffset>
                </wp:positionV>
                <wp:extent cx="457200" cy="0"/>
                <wp:effectExtent l="57150" t="95250" r="19050" b="171450"/>
                <wp:wrapNone/>
                <wp:docPr id="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25400">
                          <a:solidFill>
                            <a:srgbClr val="FF0000"/>
                          </a:solidFill>
                          <a:round/>
                          <a:headEnd/>
                          <a:tailEnd type="arrow" w="med" len="me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62pt;margin-top:232.65pt;width:36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" strokecolor="red" strokeweight="2pt">
                <v:stroke endarrow="open"/>
                <v:shadow on="t" color="black" opacity="24903f" origin=",.5" offset="0,.55556mm"/>
              </v:shape>
            </w:pict>
          </mc:Fallback>
        </mc:AlternateContent>
      </w:r>
      <w:r>
        <w:rPr>
          <w:rFonts w:ascii="Book Antiqua" w:hAnsi="Book Antiqua"/>
          <w:noProof/>
          <w:lang w:eastAsia="zh-CN"/>
        </w:rPr>
        <w:drawing>
          <wp:inline distT="0" distB="0" distL="0" distR="0">
            <wp:extent cx="4524375" cy="4484370"/>
            <wp:effectExtent l="0" t="0" r="952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l="13658" t="4320" r="10648" b="3084"/>
                    <a:stretch>
                      <a:fillRect/>
                    </a:stretch>
                  </pic:blipFill>
                  <pic:spPr bwMode="auto">
                    <a:xfrm>
                      <a:off x="0" y="0"/>
                      <a:ext cx="4524375" cy="4484370"/>
                    </a:xfrm>
                    <a:prstGeom prst="rect">
                      <a:avLst/>
                    </a:prstGeom>
                    <a:noFill/>
                    <a:ln>
                      <a:noFill/>
                    </a:ln>
                  </pic:spPr>
                </pic:pic>
              </a:graphicData>
            </a:graphic>
          </wp:inline>
        </w:drawing>
      </w:r>
      <w:r w:rsidR="00B52A33" w:rsidRPr="00E44C52">
        <w:rPr>
          <w:rFonts w:ascii="Book Antiqua" w:hAnsi="Book Antiqua"/>
          <w:noProof/>
        </w:rPr>
        <w:t xml:space="preserve"> </w:t>
      </w:r>
    </w:p>
    <w:p w:rsidR="00B52A33" w:rsidRPr="00BF3B70" w:rsidRDefault="00B52A33" w:rsidP="006B3EF8">
      <w:pPr>
        <w:spacing w:line="360" w:lineRule="auto"/>
        <w:jc w:val="both"/>
        <w:rPr>
          <w:rFonts w:ascii="Book Antiqua" w:eastAsia="宋体" w:hAnsi="Book Antiqua"/>
          <w:b/>
          <w:lang w:eastAsia="zh-CN"/>
        </w:rPr>
      </w:pPr>
      <w:r w:rsidRPr="00BF3B70">
        <w:rPr>
          <w:rFonts w:ascii="Book Antiqua" w:hAnsi="Book Antiqua"/>
          <w:b/>
        </w:rPr>
        <w:t>Figure 1 Barium swallow showing barium pill (red arrow) trapped in C6-C7</w:t>
      </w:r>
      <w:r>
        <w:rPr>
          <w:rFonts w:ascii="Book Antiqua" w:eastAsia="宋体" w:hAnsi="Book Antiqua"/>
          <w:b/>
          <w:lang w:eastAsia="zh-CN"/>
        </w:rPr>
        <w:t>.</w:t>
      </w:r>
    </w:p>
    <w:p w:rsidR="00B52A33" w:rsidRPr="00E44C52" w:rsidRDefault="00B52A33" w:rsidP="006B3EF8">
      <w:pPr>
        <w:pStyle w:val="a5"/>
        <w:spacing w:line="360" w:lineRule="auto"/>
        <w:jc w:val="both"/>
        <w:rPr>
          <w:rFonts w:ascii="Book Antiqua" w:hAnsi="Book Antiqua"/>
        </w:rPr>
      </w:pPr>
    </w:p>
    <w:p w:rsidR="00B52A33" w:rsidRPr="00E44C52" w:rsidRDefault="00B52A33" w:rsidP="006B3EF8">
      <w:pPr>
        <w:pStyle w:val="a5"/>
        <w:spacing w:line="360" w:lineRule="auto"/>
        <w:jc w:val="both"/>
        <w:rPr>
          <w:rFonts w:ascii="Book Antiqua" w:hAnsi="Book Antiqua"/>
        </w:rPr>
      </w:pPr>
    </w:p>
    <w:p w:rsidR="00B52A33" w:rsidRPr="00E44C52" w:rsidRDefault="00B52A33" w:rsidP="006B3EF8">
      <w:pPr>
        <w:pStyle w:val="a5"/>
        <w:spacing w:line="360" w:lineRule="auto"/>
        <w:jc w:val="both"/>
        <w:rPr>
          <w:rFonts w:ascii="Book Antiqua" w:hAnsi="Book Antiqua"/>
        </w:rPr>
      </w:pPr>
      <w:r w:rsidRPr="00E44C52">
        <w:rPr>
          <w:rFonts w:ascii="Book Antiqua" w:hAnsi="Book Antiqua"/>
        </w:rPr>
        <w:br w:type="textWrapping" w:clear="all"/>
      </w:r>
    </w:p>
    <w:p w:rsidR="00B52A33" w:rsidRPr="00E44C52" w:rsidRDefault="001B2B2B" w:rsidP="006B3EF8">
      <w:pPr>
        <w:pStyle w:val="a5"/>
        <w:spacing w:line="360" w:lineRule="auto"/>
        <w:jc w:val="both"/>
        <w:rPr>
          <w:rFonts w:ascii="Book Antiqua" w:hAnsi="Book Antiqua"/>
        </w:rPr>
      </w:pPr>
      <w:r>
        <w:rPr>
          <w:rFonts w:ascii="Book Antiqua" w:hAnsi="Book Antiqua"/>
          <w:noProof/>
          <w:lang w:eastAsia="zh-CN"/>
        </w:rPr>
        <w:lastRenderedPageBreak/>
        <w:drawing>
          <wp:inline distT="0" distB="0" distL="0" distR="0">
            <wp:extent cx="4460875" cy="322008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0875" cy="3220085"/>
                    </a:xfrm>
                    <a:prstGeom prst="rect">
                      <a:avLst/>
                    </a:prstGeom>
                    <a:noFill/>
                    <a:ln>
                      <a:noFill/>
                    </a:ln>
                  </pic:spPr>
                </pic:pic>
              </a:graphicData>
            </a:graphic>
          </wp:inline>
        </w:drawing>
      </w:r>
    </w:p>
    <w:p w:rsidR="00B52A33" w:rsidRPr="00070B3C" w:rsidRDefault="00B52A33" w:rsidP="006B3EF8">
      <w:pPr>
        <w:pStyle w:val="a5"/>
        <w:spacing w:line="360" w:lineRule="auto"/>
        <w:jc w:val="both"/>
        <w:rPr>
          <w:rFonts w:ascii="Book Antiqua" w:hAnsi="Book Antiqua"/>
          <w:b/>
        </w:rPr>
      </w:pPr>
      <w:r w:rsidRPr="00070B3C">
        <w:rPr>
          <w:rFonts w:ascii="Book Antiqua" w:hAnsi="Book Antiqua"/>
          <w:b/>
        </w:rPr>
        <w:t xml:space="preserve">Figure 2 Endoscopy image showing friable mucosa and dried blood in upper esophagus with a mild to moderate stricture at upper and mid-esophageal junction. </w:t>
      </w:r>
    </w:p>
    <w:p w:rsidR="00B52A33" w:rsidRPr="00E44C52" w:rsidRDefault="00B52A33" w:rsidP="006B3EF8">
      <w:pPr>
        <w:spacing w:line="360" w:lineRule="auto"/>
        <w:jc w:val="both"/>
        <w:rPr>
          <w:rFonts w:ascii="Book Antiqua" w:hAnsi="Book Antiqua"/>
        </w:rPr>
      </w:pPr>
      <w:r w:rsidRPr="00E44C52">
        <w:rPr>
          <w:rFonts w:ascii="Book Antiqua" w:hAnsi="Book Antiqua"/>
        </w:rPr>
        <w:br w:type="page"/>
      </w:r>
    </w:p>
    <w:p w:rsidR="00B52A33" w:rsidRPr="00E44C52" w:rsidRDefault="00B52A33" w:rsidP="006B3EF8">
      <w:pPr>
        <w:pStyle w:val="a5"/>
        <w:spacing w:line="360" w:lineRule="auto"/>
        <w:jc w:val="both"/>
        <w:rPr>
          <w:rFonts w:ascii="Book Antiqua" w:hAnsi="Book Antiqua"/>
        </w:rPr>
      </w:pPr>
    </w:p>
    <w:p w:rsidR="00B52A33" w:rsidRPr="00F613F3" w:rsidRDefault="00F613F3" w:rsidP="006B3EF8">
      <w:pPr>
        <w:pStyle w:val="a5"/>
        <w:spacing w:line="360" w:lineRule="auto"/>
        <w:jc w:val="both"/>
        <w:rPr>
          <w:rFonts w:ascii="Book Antiqua" w:eastAsiaTheme="minorEastAsia" w:hAnsi="Book Antiqua"/>
          <w:lang w:eastAsia="zh-CN"/>
        </w:rPr>
      </w:pPr>
      <w:r>
        <w:rPr>
          <w:rFonts w:ascii="Book Antiqua" w:eastAsiaTheme="minorEastAsia" w:hAnsi="Book Antiqua" w:hint="eastAsia"/>
          <w:lang w:eastAsia="zh-CN"/>
        </w:rPr>
        <w:t>A</w:t>
      </w:r>
    </w:p>
    <w:p w:rsidR="00B52A33" w:rsidRDefault="001B2B2B" w:rsidP="006B3EF8">
      <w:pPr>
        <w:pStyle w:val="a5"/>
        <w:spacing w:line="360" w:lineRule="auto"/>
        <w:jc w:val="both"/>
        <w:rPr>
          <w:rFonts w:ascii="Book Antiqua" w:eastAsiaTheme="minorEastAsia" w:hAnsi="Book Antiqua"/>
          <w:noProof/>
          <w:lang w:eastAsia="zh-CN"/>
        </w:rPr>
      </w:pPr>
      <w:r>
        <w:rPr>
          <w:rFonts w:ascii="Book Antiqua" w:hAnsi="Book Antiqua"/>
          <w:noProof/>
          <w:lang w:eastAsia="zh-CN"/>
        </w:rPr>
        <w:drawing>
          <wp:inline distT="0" distB="0" distL="0" distR="0">
            <wp:extent cx="4476750" cy="33477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3347720"/>
                    </a:xfrm>
                    <a:prstGeom prst="rect">
                      <a:avLst/>
                    </a:prstGeom>
                    <a:noFill/>
                    <a:ln>
                      <a:noFill/>
                    </a:ln>
                  </pic:spPr>
                </pic:pic>
              </a:graphicData>
            </a:graphic>
          </wp:inline>
        </w:drawing>
      </w:r>
    </w:p>
    <w:p w:rsidR="00F613F3" w:rsidRDefault="00F613F3" w:rsidP="006B3EF8">
      <w:pPr>
        <w:pStyle w:val="a5"/>
        <w:spacing w:line="360" w:lineRule="auto"/>
        <w:jc w:val="both"/>
        <w:rPr>
          <w:rFonts w:ascii="Book Antiqua" w:eastAsiaTheme="minorEastAsia" w:hAnsi="Book Antiqua"/>
          <w:noProof/>
          <w:lang w:eastAsia="zh-CN"/>
        </w:rPr>
      </w:pPr>
      <w:r>
        <w:rPr>
          <w:rFonts w:ascii="Book Antiqua" w:eastAsiaTheme="minorEastAsia" w:hAnsi="Book Antiqua" w:hint="eastAsia"/>
          <w:noProof/>
          <w:lang w:eastAsia="zh-CN"/>
        </w:rPr>
        <w:t>B</w:t>
      </w:r>
    </w:p>
    <w:p w:rsidR="00F613F3" w:rsidRDefault="001B2B2B" w:rsidP="006B3EF8">
      <w:pPr>
        <w:pStyle w:val="a5"/>
        <w:spacing w:line="360" w:lineRule="auto"/>
        <w:jc w:val="both"/>
        <w:rPr>
          <w:rFonts w:ascii="Book Antiqua" w:eastAsiaTheme="minorEastAsia" w:hAnsi="Book Antiqua"/>
          <w:noProof/>
          <w:lang w:eastAsia="zh-CN"/>
        </w:rPr>
      </w:pPr>
      <w:r>
        <w:rPr>
          <w:rFonts w:ascii="Book Antiqua" w:hAnsi="Book Antiqua"/>
          <w:noProof/>
          <w:lang w:eastAsia="zh-CN"/>
        </w:rPr>
        <w:drawing>
          <wp:inline distT="0" distB="0" distL="0" distR="0">
            <wp:extent cx="4580255" cy="33712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0255" cy="3371215"/>
                    </a:xfrm>
                    <a:prstGeom prst="rect">
                      <a:avLst/>
                    </a:prstGeom>
                    <a:noFill/>
                    <a:ln>
                      <a:noFill/>
                    </a:ln>
                  </pic:spPr>
                </pic:pic>
              </a:graphicData>
            </a:graphic>
          </wp:inline>
        </w:drawing>
      </w:r>
    </w:p>
    <w:p w:rsidR="00F613F3" w:rsidRDefault="00F613F3" w:rsidP="006B3EF8">
      <w:pPr>
        <w:pStyle w:val="a5"/>
        <w:spacing w:line="360" w:lineRule="auto"/>
        <w:jc w:val="both"/>
        <w:rPr>
          <w:rFonts w:ascii="Book Antiqua" w:eastAsiaTheme="minorEastAsia" w:hAnsi="Book Antiqua"/>
          <w:noProof/>
          <w:lang w:eastAsia="zh-CN"/>
        </w:rPr>
      </w:pPr>
      <w:r>
        <w:rPr>
          <w:rFonts w:ascii="Book Antiqua" w:eastAsiaTheme="minorEastAsia" w:hAnsi="Book Antiqua" w:hint="eastAsia"/>
          <w:noProof/>
          <w:lang w:eastAsia="zh-CN"/>
        </w:rPr>
        <w:lastRenderedPageBreak/>
        <w:t>C</w:t>
      </w:r>
    </w:p>
    <w:p w:rsidR="00F613F3" w:rsidRPr="00F613F3" w:rsidRDefault="001B2B2B" w:rsidP="006B3EF8">
      <w:pPr>
        <w:pStyle w:val="a5"/>
        <w:spacing w:line="360" w:lineRule="auto"/>
        <w:jc w:val="both"/>
        <w:rPr>
          <w:rFonts w:ascii="Book Antiqua" w:eastAsiaTheme="minorEastAsia" w:hAnsi="Book Antiqua"/>
        </w:rPr>
      </w:pPr>
      <w:r>
        <w:rPr>
          <w:rFonts w:ascii="Book Antiqua" w:hAnsi="Book Antiqua"/>
          <w:noProof/>
          <w:lang w:eastAsia="zh-CN"/>
        </w:rPr>
        <w:drawing>
          <wp:inline distT="0" distB="0" distL="0" distR="0">
            <wp:extent cx="4580255" cy="31330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255" cy="3133090"/>
                    </a:xfrm>
                    <a:prstGeom prst="rect">
                      <a:avLst/>
                    </a:prstGeom>
                    <a:noFill/>
                    <a:ln>
                      <a:noFill/>
                    </a:ln>
                  </pic:spPr>
                </pic:pic>
              </a:graphicData>
            </a:graphic>
          </wp:inline>
        </w:drawing>
      </w:r>
    </w:p>
    <w:p w:rsidR="003379D0" w:rsidRPr="003379D0" w:rsidRDefault="00B52A33" w:rsidP="003379D0">
      <w:pPr>
        <w:pStyle w:val="a5"/>
        <w:spacing w:line="360" w:lineRule="auto"/>
        <w:jc w:val="both"/>
        <w:rPr>
          <w:rFonts w:ascii="Book Antiqua" w:eastAsiaTheme="minorEastAsia" w:hAnsi="Book Antiqua"/>
          <w:lang w:eastAsia="zh-CN"/>
        </w:rPr>
      </w:pPr>
      <w:r w:rsidRPr="004406FF">
        <w:rPr>
          <w:rFonts w:ascii="Book Antiqua" w:hAnsi="Book Antiqua"/>
          <w:b/>
        </w:rPr>
        <w:t>Figure 3</w:t>
      </w:r>
      <w:r w:rsidRPr="004406FF">
        <w:rPr>
          <w:rFonts w:ascii="Book Antiqua" w:eastAsia="宋体" w:hAnsi="Book Antiqua"/>
          <w:b/>
          <w:lang w:eastAsia="zh-CN"/>
        </w:rPr>
        <w:t xml:space="preserve"> </w:t>
      </w:r>
      <w:r w:rsidR="003379D0" w:rsidRPr="003379D0">
        <w:rPr>
          <w:rFonts w:ascii="Book Antiqua" w:hAnsi="Book Antiqua"/>
          <w:b/>
        </w:rPr>
        <w:t>Chronic inflammatory cell infiltration of the epithelium was also present and was mainly composed of lymphocytes</w:t>
      </w:r>
      <w:r w:rsidR="003379D0" w:rsidRPr="003379D0">
        <w:rPr>
          <w:rFonts w:ascii="Book Antiqua" w:eastAsiaTheme="minorEastAsia" w:hAnsi="Book Antiqua" w:hint="eastAsia"/>
          <w:b/>
          <w:lang w:eastAsia="zh-CN"/>
        </w:rPr>
        <w:t>.</w:t>
      </w:r>
      <w:r w:rsidR="003379D0">
        <w:rPr>
          <w:rFonts w:ascii="Book Antiqua" w:eastAsiaTheme="minorEastAsia" w:hAnsi="Book Antiqua" w:hint="eastAsia"/>
          <w:b/>
          <w:lang w:eastAsia="zh-CN"/>
        </w:rPr>
        <w:t xml:space="preserve"> </w:t>
      </w:r>
      <w:r w:rsidR="003379D0" w:rsidRPr="003379D0">
        <w:rPr>
          <w:rFonts w:ascii="Book Antiqua" w:eastAsiaTheme="minorEastAsia" w:hAnsi="Book Antiqua" w:hint="eastAsia"/>
          <w:lang w:eastAsia="zh-CN"/>
        </w:rPr>
        <w:t xml:space="preserve">A: </w:t>
      </w:r>
      <w:r w:rsidRPr="003379D0">
        <w:rPr>
          <w:rFonts w:ascii="Book Antiqua" w:hAnsi="Book Antiqua"/>
        </w:rPr>
        <w:t>Low power view of upper esophagus shows extensive severe keratinization, organizational disarray of cell arrangement and spongiosis of lower layer associated with inflammatory infiltration.</w:t>
      </w:r>
      <w:r w:rsidRPr="003379D0">
        <w:rPr>
          <w:rFonts w:ascii="Book Antiqua" w:eastAsia="宋体" w:hAnsi="Book Antiqua"/>
          <w:lang w:eastAsia="zh-CN"/>
        </w:rPr>
        <w:t xml:space="preserve"> </w:t>
      </w:r>
      <w:r w:rsidRPr="003379D0">
        <w:rPr>
          <w:rFonts w:ascii="Book Antiqua" w:hAnsi="Book Antiqua"/>
        </w:rPr>
        <w:t>(H</w:t>
      </w:r>
      <w:r w:rsidRPr="003379D0">
        <w:rPr>
          <w:rFonts w:ascii="Book Antiqua" w:eastAsia="宋体" w:hAnsi="Book Antiqua"/>
          <w:lang w:eastAsia="zh-CN"/>
        </w:rPr>
        <w:t xml:space="preserve"> and </w:t>
      </w:r>
      <w:r w:rsidRPr="003379D0">
        <w:rPr>
          <w:rFonts w:ascii="Book Antiqua" w:hAnsi="Book Antiqua"/>
        </w:rPr>
        <w:t xml:space="preserve">E, </w:t>
      </w:r>
      <w:bookmarkStart w:id="12" w:name="OLE_LINK50"/>
      <w:bookmarkStart w:id="13" w:name="OLE_LINK51"/>
      <w:r w:rsidRPr="003379D0">
        <w:rPr>
          <w:rFonts w:ascii="Book Antiqua" w:hAnsi="Book Antiqua"/>
        </w:rPr>
        <w:t>×</w:t>
      </w:r>
      <w:bookmarkEnd w:id="12"/>
      <w:bookmarkEnd w:id="13"/>
      <w:r w:rsidRPr="003379D0">
        <w:rPr>
          <w:rFonts w:ascii="Book Antiqua" w:hAnsi="Book Antiqua"/>
        </w:rPr>
        <w:t>40)</w:t>
      </w:r>
      <w:r w:rsidR="003379D0" w:rsidRPr="003379D0">
        <w:rPr>
          <w:rFonts w:ascii="Book Antiqua" w:eastAsiaTheme="minorEastAsia" w:hAnsi="Book Antiqua" w:hint="eastAsia"/>
          <w:lang w:eastAsia="zh-CN"/>
        </w:rPr>
        <w:t xml:space="preserve">; B: </w:t>
      </w:r>
      <w:r w:rsidR="003379D0" w:rsidRPr="003379D0">
        <w:rPr>
          <w:rFonts w:ascii="Book Antiqua" w:hAnsi="Book Antiqua"/>
        </w:rPr>
        <w:t>High power of parakeratotic cells and accumulation of kerato-hyline granules in the cytoplasm of the mature keratinocytes. In this zone keratinization is mild.</w:t>
      </w:r>
      <w:r w:rsidR="003379D0" w:rsidRPr="003379D0">
        <w:rPr>
          <w:rFonts w:ascii="Book Antiqua" w:eastAsia="宋体" w:hAnsi="Book Antiqua"/>
          <w:lang w:eastAsia="zh-CN"/>
        </w:rPr>
        <w:t xml:space="preserve"> </w:t>
      </w:r>
      <w:r w:rsidR="003379D0" w:rsidRPr="003379D0">
        <w:rPr>
          <w:rFonts w:ascii="Book Antiqua" w:hAnsi="Book Antiqua"/>
        </w:rPr>
        <w:t>(H</w:t>
      </w:r>
      <w:r w:rsidR="003379D0" w:rsidRPr="003379D0">
        <w:rPr>
          <w:rFonts w:ascii="Book Antiqua" w:eastAsia="宋体" w:hAnsi="Book Antiqua"/>
          <w:lang w:eastAsia="zh-CN"/>
        </w:rPr>
        <w:t xml:space="preserve"> and </w:t>
      </w:r>
      <w:r w:rsidR="003379D0" w:rsidRPr="003379D0">
        <w:rPr>
          <w:rFonts w:ascii="Book Antiqua" w:hAnsi="Book Antiqua"/>
        </w:rPr>
        <w:t>E, ×400)</w:t>
      </w:r>
      <w:r w:rsidR="003379D0" w:rsidRPr="003379D0">
        <w:rPr>
          <w:rFonts w:ascii="Book Antiqua" w:eastAsiaTheme="minorEastAsia" w:hAnsi="Book Antiqua" w:hint="eastAsia"/>
          <w:lang w:eastAsia="zh-CN"/>
        </w:rPr>
        <w:t xml:space="preserve">; C: </w:t>
      </w:r>
      <w:r w:rsidR="003379D0" w:rsidRPr="003379D0">
        <w:rPr>
          <w:rFonts w:ascii="Book Antiqua" w:hAnsi="Book Antiqua"/>
        </w:rPr>
        <w:t>High power view of spongiosis of lower layers of squamous epithelium associated with sprinkling of lymphocytes typical of longstanding chronic inflammation. (H</w:t>
      </w:r>
      <w:r w:rsidR="003379D0" w:rsidRPr="003379D0">
        <w:rPr>
          <w:rFonts w:ascii="Book Antiqua" w:eastAsia="宋体" w:hAnsi="Book Antiqua"/>
          <w:lang w:eastAsia="zh-CN"/>
        </w:rPr>
        <w:t xml:space="preserve"> and </w:t>
      </w:r>
      <w:r w:rsidR="003379D0" w:rsidRPr="003379D0">
        <w:rPr>
          <w:rFonts w:ascii="Book Antiqua" w:hAnsi="Book Antiqua"/>
        </w:rPr>
        <w:t>E, ×400)</w:t>
      </w:r>
      <w:r w:rsidR="003379D0">
        <w:rPr>
          <w:rFonts w:ascii="Book Antiqua" w:eastAsiaTheme="minorEastAsia" w:hAnsi="Book Antiqua" w:hint="eastAsia"/>
          <w:lang w:eastAsia="zh-CN"/>
        </w:rPr>
        <w:t>.</w:t>
      </w:r>
    </w:p>
    <w:p w:rsidR="003379D0" w:rsidRPr="003379D0" w:rsidRDefault="003379D0" w:rsidP="003379D0">
      <w:pPr>
        <w:pStyle w:val="a5"/>
        <w:spacing w:line="360" w:lineRule="auto"/>
        <w:jc w:val="both"/>
        <w:rPr>
          <w:rFonts w:ascii="Book Antiqua" w:eastAsiaTheme="minorEastAsia" w:hAnsi="Book Antiqua"/>
          <w:lang w:eastAsia="zh-CN"/>
        </w:rPr>
      </w:pPr>
    </w:p>
    <w:p w:rsidR="00B52A33" w:rsidRPr="003379D0" w:rsidRDefault="00B52A33" w:rsidP="006B3EF8">
      <w:pPr>
        <w:pStyle w:val="a5"/>
        <w:spacing w:line="360" w:lineRule="auto"/>
        <w:jc w:val="both"/>
        <w:rPr>
          <w:rFonts w:ascii="Book Antiqua" w:eastAsiaTheme="minorEastAsia" w:hAnsi="Book Antiqua"/>
          <w:lang w:eastAsia="zh-CN"/>
        </w:rPr>
      </w:pPr>
    </w:p>
    <w:p w:rsidR="00B52A33" w:rsidRPr="00E44C52" w:rsidRDefault="00B52A33" w:rsidP="006B3EF8">
      <w:pPr>
        <w:pStyle w:val="a5"/>
        <w:spacing w:line="360" w:lineRule="auto"/>
        <w:jc w:val="both"/>
        <w:rPr>
          <w:rFonts w:ascii="Book Antiqua" w:hAnsi="Book Antiqua"/>
        </w:rPr>
      </w:pPr>
    </w:p>
    <w:p w:rsidR="00B52A33" w:rsidRPr="00E44C52" w:rsidRDefault="00B52A33" w:rsidP="006B3EF8">
      <w:pPr>
        <w:pStyle w:val="a5"/>
        <w:spacing w:line="360" w:lineRule="auto"/>
        <w:jc w:val="both"/>
        <w:rPr>
          <w:rFonts w:ascii="Book Antiqua" w:hAnsi="Book Antiqua"/>
        </w:rPr>
      </w:pPr>
    </w:p>
    <w:p w:rsidR="00B52A33" w:rsidRPr="00E44C52" w:rsidRDefault="00B52A33" w:rsidP="006B3EF8">
      <w:pPr>
        <w:pStyle w:val="a5"/>
        <w:spacing w:line="360" w:lineRule="auto"/>
        <w:jc w:val="both"/>
        <w:rPr>
          <w:rFonts w:ascii="Book Antiqua" w:hAnsi="Book Antiqua"/>
        </w:rPr>
      </w:pPr>
    </w:p>
    <w:p w:rsidR="00B52A33" w:rsidRPr="00E44C52" w:rsidRDefault="00B52A33" w:rsidP="006B3EF8">
      <w:pPr>
        <w:pStyle w:val="a5"/>
        <w:spacing w:line="360" w:lineRule="auto"/>
        <w:jc w:val="both"/>
        <w:rPr>
          <w:rFonts w:ascii="Book Antiqua" w:hAnsi="Book Antiqua"/>
        </w:rPr>
      </w:pPr>
    </w:p>
    <w:p w:rsidR="00B52A33" w:rsidRPr="00473CF4" w:rsidRDefault="00B52A33" w:rsidP="006B3EF8">
      <w:pPr>
        <w:pStyle w:val="a5"/>
        <w:spacing w:line="360" w:lineRule="auto"/>
        <w:jc w:val="both"/>
        <w:rPr>
          <w:rFonts w:ascii="Book Antiqua" w:eastAsia="宋体" w:hAnsi="Book Antiqua"/>
          <w:b/>
          <w:lang w:eastAsia="zh-CN"/>
        </w:rPr>
      </w:pPr>
    </w:p>
    <w:p w:rsidR="00B52A33" w:rsidRPr="00E44C52" w:rsidRDefault="00B52A33" w:rsidP="006B3EF8">
      <w:pPr>
        <w:pStyle w:val="a5"/>
        <w:spacing w:line="360" w:lineRule="auto"/>
        <w:jc w:val="both"/>
        <w:rPr>
          <w:rFonts w:ascii="Book Antiqua" w:hAnsi="Book Antiqua"/>
        </w:rPr>
      </w:pPr>
    </w:p>
    <w:p w:rsidR="00B52A33" w:rsidRPr="00E44C52" w:rsidRDefault="00B52A33" w:rsidP="006B3EF8">
      <w:pPr>
        <w:spacing w:line="360" w:lineRule="auto"/>
        <w:jc w:val="both"/>
        <w:rPr>
          <w:rFonts w:ascii="Book Antiqua" w:hAnsi="Book Antiqua"/>
        </w:rPr>
      </w:pPr>
    </w:p>
    <w:p w:rsidR="00B52A33" w:rsidRPr="00E44C52" w:rsidRDefault="001B2B2B" w:rsidP="006B3EF8">
      <w:pPr>
        <w:pStyle w:val="a5"/>
        <w:spacing w:line="360" w:lineRule="auto"/>
        <w:jc w:val="both"/>
        <w:rPr>
          <w:rFonts w:ascii="Book Antiqua" w:hAnsi="Book Antiqua"/>
        </w:rPr>
      </w:pPr>
      <w:r>
        <w:rPr>
          <w:rFonts w:ascii="Book Antiqua" w:hAnsi="Book Antiqua"/>
          <w:noProof/>
          <w:lang w:eastAsia="zh-CN"/>
        </w:rPr>
        <w:drawing>
          <wp:inline distT="0" distB="0" distL="0" distR="0">
            <wp:extent cx="4436745" cy="3617595"/>
            <wp:effectExtent l="0" t="0" r="1905"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6745" cy="3617595"/>
                    </a:xfrm>
                    <a:prstGeom prst="rect">
                      <a:avLst/>
                    </a:prstGeom>
                    <a:noFill/>
                    <a:ln>
                      <a:noFill/>
                    </a:ln>
                  </pic:spPr>
                </pic:pic>
              </a:graphicData>
            </a:graphic>
          </wp:inline>
        </w:drawing>
      </w:r>
    </w:p>
    <w:p w:rsidR="00B52A33" w:rsidRDefault="00B52A33" w:rsidP="006B3EF8">
      <w:pPr>
        <w:pStyle w:val="a5"/>
        <w:spacing w:line="360" w:lineRule="auto"/>
        <w:jc w:val="both"/>
        <w:rPr>
          <w:rFonts w:ascii="Book Antiqua" w:eastAsia="宋体" w:hAnsi="Book Antiqua"/>
          <w:b/>
          <w:lang w:eastAsia="zh-CN"/>
        </w:rPr>
      </w:pPr>
      <w:r w:rsidRPr="00D413EC">
        <w:rPr>
          <w:rFonts w:ascii="Book Antiqua" w:hAnsi="Book Antiqua"/>
          <w:b/>
        </w:rPr>
        <w:t xml:space="preserve">Figure </w:t>
      </w:r>
      <w:r w:rsidR="00441440">
        <w:rPr>
          <w:rFonts w:ascii="Book Antiqua" w:eastAsiaTheme="minorEastAsia" w:hAnsi="Book Antiqua" w:hint="eastAsia"/>
          <w:b/>
          <w:lang w:eastAsia="zh-CN"/>
        </w:rPr>
        <w:t>4</w:t>
      </w:r>
      <w:r w:rsidRPr="00D413EC">
        <w:rPr>
          <w:rFonts w:ascii="Book Antiqua" w:hAnsi="Book Antiqua"/>
          <w:b/>
        </w:rPr>
        <w:t xml:space="preserve"> Endoscopy image showing resolution of lesions in the upper esophagus post treatment</w:t>
      </w:r>
      <w:r w:rsidRPr="00D413EC">
        <w:rPr>
          <w:rFonts w:ascii="Book Antiqua" w:eastAsia="宋体" w:hAnsi="Book Antiqua"/>
          <w:b/>
          <w:lang w:eastAsia="zh-CN"/>
        </w:rPr>
        <w:t>.</w:t>
      </w:r>
      <w:r w:rsidRPr="00D413EC">
        <w:rPr>
          <w:rFonts w:ascii="Book Antiqua" w:hAnsi="Book Antiqua"/>
          <w:b/>
        </w:rPr>
        <w:t xml:space="preserve"> </w:t>
      </w: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Default="00B52A33" w:rsidP="006B3EF8">
      <w:pPr>
        <w:pStyle w:val="a5"/>
        <w:spacing w:line="360" w:lineRule="auto"/>
        <w:jc w:val="both"/>
        <w:rPr>
          <w:rFonts w:ascii="Book Antiqua" w:eastAsia="宋体" w:hAnsi="Book Antiqua"/>
          <w:b/>
          <w:lang w:eastAsia="zh-CN"/>
        </w:rPr>
      </w:pPr>
    </w:p>
    <w:p w:rsidR="00B52A33" w:rsidRPr="007A4B82" w:rsidRDefault="00B52A33" w:rsidP="003A6B68">
      <w:pPr>
        <w:spacing w:line="360" w:lineRule="auto"/>
        <w:jc w:val="both"/>
        <w:rPr>
          <w:rFonts w:ascii="Book Antiqua" w:hAnsi="Book Antiqua" w:cs="Times New Roman"/>
          <w:b/>
        </w:rPr>
      </w:pPr>
      <w:r w:rsidRPr="007A4B82">
        <w:rPr>
          <w:rFonts w:ascii="Book Antiqua" w:eastAsia="MS MinNew Roman" w:hAnsi="Book Antiqua"/>
          <w:b/>
          <w:iCs/>
        </w:rPr>
        <w:t>Table 1 Differentiation between types of Lichen Planus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2321"/>
        <w:gridCol w:w="153"/>
        <w:gridCol w:w="1956"/>
        <w:gridCol w:w="87"/>
        <w:gridCol w:w="2530"/>
      </w:tblGrid>
      <w:tr w:rsidR="00B52A33" w:rsidRPr="00E44C52" w:rsidTr="00AB65C0">
        <w:trPr>
          <w:trHeight w:val="240"/>
        </w:trPr>
        <w:tc>
          <w:tcPr>
            <w:tcW w:w="1809" w:type="dxa"/>
          </w:tcPr>
          <w:p w:rsidR="00B52A33" w:rsidRPr="00E44C52" w:rsidRDefault="00B52A33" w:rsidP="00AB65C0">
            <w:pPr>
              <w:spacing w:line="360" w:lineRule="auto"/>
              <w:jc w:val="both"/>
              <w:rPr>
                <w:rFonts w:ascii="Book Antiqua" w:eastAsia="MS MinNew Roman" w:hAnsi="Book Antiqua" w:cs="Times New Roman"/>
              </w:rPr>
            </w:pPr>
          </w:p>
        </w:tc>
        <w:tc>
          <w:tcPr>
            <w:tcW w:w="2321" w:type="dxa"/>
            <w:vAlign w:val="center"/>
          </w:tcPr>
          <w:p w:rsidR="00B52A33" w:rsidRPr="007A4B82" w:rsidRDefault="00B52A33" w:rsidP="00AB65C0">
            <w:pPr>
              <w:spacing w:line="360" w:lineRule="auto"/>
              <w:jc w:val="both"/>
              <w:rPr>
                <w:rFonts w:ascii="Book Antiqua" w:eastAsia="MS MinNew Roman" w:hAnsi="Book Antiqua" w:cs="Times New Roman"/>
                <w:b/>
              </w:rPr>
            </w:pPr>
            <w:r w:rsidRPr="007A4B82">
              <w:rPr>
                <w:rFonts w:ascii="Book Antiqua" w:eastAsia="MS MinNew Roman" w:hAnsi="Book Antiqua"/>
                <w:b/>
              </w:rPr>
              <w:t>Cutaneous</w:t>
            </w:r>
          </w:p>
        </w:tc>
        <w:tc>
          <w:tcPr>
            <w:tcW w:w="2109" w:type="dxa"/>
            <w:gridSpan w:val="2"/>
            <w:vAlign w:val="center"/>
          </w:tcPr>
          <w:p w:rsidR="00B52A33" w:rsidRPr="007A4B82" w:rsidRDefault="00B52A33" w:rsidP="00AB65C0">
            <w:pPr>
              <w:spacing w:line="360" w:lineRule="auto"/>
              <w:jc w:val="both"/>
              <w:rPr>
                <w:rFonts w:ascii="Book Antiqua" w:eastAsia="MS MinNew Roman" w:hAnsi="Book Antiqua" w:cs="Times New Roman"/>
                <w:b/>
              </w:rPr>
            </w:pPr>
            <w:r w:rsidRPr="007A4B82">
              <w:rPr>
                <w:rFonts w:ascii="Book Antiqua" w:eastAsia="MS MinNew Roman" w:hAnsi="Book Antiqua"/>
                <w:b/>
              </w:rPr>
              <w:t>Oral</w:t>
            </w:r>
          </w:p>
        </w:tc>
        <w:tc>
          <w:tcPr>
            <w:tcW w:w="2617" w:type="dxa"/>
            <w:gridSpan w:val="2"/>
            <w:vAlign w:val="center"/>
          </w:tcPr>
          <w:p w:rsidR="00B52A33" w:rsidRPr="007A4B82" w:rsidRDefault="00B52A33" w:rsidP="00AB65C0">
            <w:pPr>
              <w:spacing w:line="360" w:lineRule="auto"/>
              <w:jc w:val="both"/>
              <w:rPr>
                <w:rFonts w:ascii="Book Antiqua" w:eastAsia="MS MinNew Roman" w:hAnsi="Book Antiqua" w:cs="Times New Roman"/>
                <w:b/>
              </w:rPr>
            </w:pPr>
            <w:r w:rsidRPr="007A4B82">
              <w:rPr>
                <w:rFonts w:ascii="Book Antiqua" w:eastAsia="MS MinNew Roman" w:hAnsi="Book Antiqua"/>
                <w:b/>
              </w:rPr>
              <w:t>Esophageal</w:t>
            </w:r>
          </w:p>
        </w:tc>
      </w:tr>
      <w:tr w:rsidR="00B52A33" w:rsidRPr="00E44C52" w:rsidTr="00AB65C0">
        <w:trPr>
          <w:trHeight w:val="769"/>
        </w:trPr>
        <w:tc>
          <w:tcPr>
            <w:tcW w:w="1809" w:type="dxa"/>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Age and Gender Distribution</w:t>
            </w:r>
          </w:p>
        </w:tc>
        <w:tc>
          <w:tcPr>
            <w:tcW w:w="4430" w:type="dxa"/>
            <w:gridSpan w:val="3"/>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No gender preference</w:t>
            </w:r>
          </w:p>
        </w:tc>
        <w:tc>
          <w:tcPr>
            <w:tcW w:w="2617" w:type="dxa"/>
            <w:gridSpan w:val="2"/>
          </w:tcPr>
          <w:p w:rsidR="00B52A33" w:rsidRPr="0073365B" w:rsidRDefault="00B52A33" w:rsidP="00AB65C0">
            <w:pPr>
              <w:spacing w:line="360" w:lineRule="auto"/>
              <w:jc w:val="both"/>
              <w:rPr>
                <w:rFonts w:ascii="Book Antiqua" w:eastAsia="宋体" w:hAnsi="Book Antiqua" w:cs="Times New Roman"/>
                <w:lang w:eastAsia="zh-CN"/>
              </w:rPr>
            </w:pPr>
            <w:r w:rsidRPr="00E44C52">
              <w:rPr>
                <w:rFonts w:ascii="Book Antiqua" w:eastAsia="MS MinNew Roman" w:hAnsi="Book Antiqua"/>
              </w:rPr>
              <w:t>Generally middle aged females</w:t>
            </w:r>
            <w:r w:rsidRPr="00DB6F9C">
              <w:rPr>
                <w:rFonts w:ascii="Book Antiqua" w:eastAsia="宋体" w:hAnsi="Book Antiqua"/>
                <w:vertAlign w:val="superscript"/>
                <w:lang w:eastAsia="zh-CN"/>
              </w:rPr>
              <w:t>1</w:t>
            </w:r>
          </w:p>
        </w:tc>
      </w:tr>
      <w:tr w:rsidR="00B52A33" w:rsidRPr="00E44C52" w:rsidTr="00AB65C0">
        <w:trPr>
          <w:trHeight w:val="2066"/>
        </w:trPr>
        <w:tc>
          <w:tcPr>
            <w:tcW w:w="1809" w:type="dxa"/>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Clinical Findings</w:t>
            </w:r>
          </w:p>
        </w:tc>
        <w:tc>
          <w:tcPr>
            <w:tcW w:w="2474" w:type="dxa"/>
            <w:gridSpan w:val="2"/>
            <w:vAlign w:val="center"/>
          </w:tcPr>
          <w:p w:rsidR="00B52A33" w:rsidRPr="00B065F7" w:rsidRDefault="00B52A33" w:rsidP="00AB65C0">
            <w:pPr>
              <w:spacing w:line="360" w:lineRule="auto"/>
              <w:jc w:val="both"/>
              <w:rPr>
                <w:rFonts w:ascii="Book Antiqua" w:eastAsia="宋体" w:hAnsi="Book Antiqua" w:cs="Times New Roman"/>
                <w:vertAlign w:val="superscript"/>
                <w:lang w:eastAsia="zh-CN"/>
              </w:rPr>
            </w:pPr>
            <w:r w:rsidRPr="00E44C52">
              <w:rPr>
                <w:rFonts w:ascii="Book Antiqua" w:eastAsia="MS MinNew Roman" w:hAnsi="Book Antiqua"/>
              </w:rPr>
              <w:t>Eruptions of violaceous, scaling, pruritic plaques</w:t>
            </w:r>
            <w:r w:rsidRPr="00B065F7">
              <w:rPr>
                <w:rFonts w:ascii="Book Antiqua" w:eastAsia="宋体" w:hAnsi="Book Antiqua"/>
                <w:vertAlign w:val="superscript"/>
                <w:lang w:eastAsia="zh-CN"/>
              </w:rPr>
              <w:t>[</w:t>
            </w:r>
            <w:r w:rsidRPr="00B065F7">
              <w:rPr>
                <w:rFonts w:ascii="Book Antiqua" w:eastAsia="MS MinNew Roman" w:hAnsi="Book Antiqua"/>
                <w:vertAlign w:val="superscript"/>
              </w:rPr>
              <w:t>7</w:t>
            </w:r>
            <w:r w:rsidRPr="00B065F7">
              <w:rPr>
                <w:rFonts w:ascii="Book Antiqua" w:eastAsia="宋体" w:hAnsi="Book Antiqua"/>
                <w:vertAlign w:val="superscript"/>
                <w:lang w:eastAsia="zh-CN"/>
              </w:rPr>
              <w:t>]</w:t>
            </w:r>
          </w:p>
          <w:p w:rsidR="00B52A33" w:rsidRPr="00E44C52" w:rsidRDefault="00B52A33" w:rsidP="00AB65C0">
            <w:pPr>
              <w:spacing w:line="360" w:lineRule="auto"/>
              <w:jc w:val="both"/>
              <w:rPr>
                <w:rFonts w:ascii="Book Antiqua" w:eastAsia="MS MinNew Roman" w:hAnsi="Book Antiqua" w:cs="Times New Roman"/>
              </w:rPr>
            </w:pPr>
          </w:p>
          <w:p w:rsidR="00B52A33" w:rsidRPr="00E44C52" w:rsidRDefault="00B52A33" w:rsidP="00AB65C0">
            <w:pPr>
              <w:spacing w:line="360" w:lineRule="auto"/>
              <w:ind w:firstLine="720"/>
              <w:jc w:val="both"/>
              <w:rPr>
                <w:rFonts w:ascii="Book Antiqua" w:eastAsia="MS MinNew Roman" w:hAnsi="Book Antiqua" w:cs="Times New Roman"/>
              </w:rPr>
            </w:pPr>
          </w:p>
        </w:tc>
        <w:tc>
          <w:tcPr>
            <w:tcW w:w="1956" w:type="dxa"/>
            <w:vAlign w:val="center"/>
          </w:tcPr>
          <w:p w:rsidR="00B52A33" w:rsidRPr="00E44C52" w:rsidRDefault="00B52A33" w:rsidP="00AB65C0">
            <w:pPr>
              <w:spacing w:line="360" w:lineRule="auto"/>
              <w:jc w:val="both"/>
              <w:rPr>
                <w:rFonts w:ascii="Book Antiqua" w:eastAsia="MS MinNew Roman" w:hAnsi="Book Antiqua"/>
              </w:rPr>
            </w:pPr>
            <w:r w:rsidRPr="00E44C52">
              <w:rPr>
                <w:rFonts w:ascii="Book Antiqua" w:eastAsia="MS MinNew Roman" w:hAnsi="Book Antiqua"/>
              </w:rPr>
              <w:t xml:space="preserve">Atrophic lesions, erosions, lace-like reticulated </w:t>
            </w:r>
          </w:p>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Plaques</w:t>
            </w:r>
            <w:r w:rsidRPr="00B065F7">
              <w:rPr>
                <w:rFonts w:ascii="Book Antiqua" w:eastAsia="宋体" w:hAnsi="Book Antiqua"/>
                <w:vertAlign w:val="superscript"/>
                <w:lang w:eastAsia="zh-CN"/>
              </w:rPr>
              <w:t>[</w:t>
            </w:r>
            <w:r w:rsidRPr="00B065F7">
              <w:rPr>
                <w:rFonts w:ascii="Book Antiqua" w:eastAsia="MS MinNew Roman" w:hAnsi="Book Antiqua"/>
                <w:vertAlign w:val="superscript"/>
              </w:rPr>
              <w:t>2</w:t>
            </w:r>
            <w:r w:rsidRPr="00B065F7">
              <w:rPr>
                <w:rFonts w:ascii="Book Antiqua" w:eastAsia="宋体" w:hAnsi="Book Antiqua"/>
                <w:vertAlign w:val="superscript"/>
                <w:lang w:eastAsia="zh-CN"/>
              </w:rPr>
              <w:t>]</w:t>
            </w:r>
            <w:r w:rsidRPr="00B065F7">
              <w:rPr>
                <w:rFonts w:ascii="Book Antiqua" w:eastAsia="MS MinNew Roman" w:hAnsi="Book Antiqua"/>
                <w:vertAlign w:val="superscript"/>
              </w:rPr>
              <w:t xml:space="preserve"> </w:t>
            </w:r>
          </w:p>
        </w:tc>
        <w:tc>
          <w:tcPr>
            <w:tcW w:w="2617" w:type="dxa"/>
            <w:gridSpan w:val="2"/>
            <w:vAlign w:val="center"/>
          </w:tcPr>
          <w:p w:rsidR="00B52A33" w:rsidRPr="00B065F7" w:rsidRDefault="00B52A33" w:rsidP="00AB65C0">
            <w:pPr>
              <w:spacing w:line="360" w:lineRule="auto"/>
              <w:jc w:val="both"/>
              <w:rPr>
                <w:rFonts w:ascii="Book Antiqua" w:eastAsia="宋体" w:hAnsi="Book Antiqua" w:cs="Times New Roman"/>
                <w:lang w:eastAsia="zh-CN"/>
              </w:rPr>
            </w:pPr>
            <w:r w:rsidRPr="00E44C52">
              <w:rPr>
                <w:rFonts w:ascii="Book Antiqua" w:eastAsia="MS MinNew Roman" w:hAnsi="Book Antiqua"/>
              </w:rPr>
              <w:t>Elevated lacy white papules, esophageal webs, pseudomembranes, desquamation, and superficial pinpoint erosions with and without stenosis</w:t>
            </w:r>
            <w:r w:rsidRPr="00B065F7">
              <w:rPr>
                <w:rFonts w:ascii="Book Antiqua" w:eastAsia="宋体" w:hAnsi="Book Antiqua"/>
                <w:vertAlign w:val="superscript"/>
                <w:lang w:eastAsia="zh-CN"/>
              </w:rPr>
              <w:t>[</w:t>
            </w:r>
            <w:r>
              <w:rPr>
                <w:rFonts w:ascii="Book Antiqua" w:eastAsia="MS MinNew Roman" w:hAnsi="Book Antiqua"/>
                <w:vertAlign w:val="superscript"/>
              </w:rPr>
              <w:t>4,5,</w:t>
            </w:r>
            <w:r w:rsidRPr="00DB6F9C">
              <w:rPr>
                <w:rFonts w:ascii="Book Antiqua" w:eastAsia="MS MinNew Roman" w:hAnsi="Book Antiqua"/>
                <w:vertAlign w:val="superscript"/>
              </w:rPr>
              <w:t>15</w:t>
            </w:r>
            <w:r>
              <w:rPr>
                <w:rFonts w:ascii="Book Antiqua" w:eastAsia="MS MinNew Roman" w:hAnsi="Book Antiqua"/>
                <w:vertAlign w:val="superscript"/>
              </w:rPr>
              <w:t>,22-25</w:t>
            </w:r>
            <w:r>
              <w:rPr>
                <w:rFonts w:ascii="Book Antiqua" w:eastAsia="宋体" w:hAnsi="Book Antiqua"/>
                <w:vertAlign w:val="superscript"/>
                <w:lang w:eastAsia="zh-CN"/>
              </w:rPr>
              <w:t>]</w:t>
            </w:r>
          </w:p>
        </w:tc>
      </w:tr>
      <w:tr w:rsidR="00B52A33" w:rsidRPr="00E44C52" w:rsidTr="00AB65C0">
        <w:trPr>
          <w:trHeight w:val="1025"/>
        </w:trPr>
        <w:tc>
          <w:tcPr>
            <w:tcW w:w="1809" w:type="dxa"/>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Duration of illness</w:t>
            </w:r>
          </w:p>
        </w:tc>
        <w:tc>
          <w:tcPr>
            <w:tcW w:w="2474" w:type="dxa"/>
            <w:gridSpan w:val="2"/>
            <w:vAlign w:val="center"/>
          </w:tcPr>
          <w:p w:rsidR="00B52A33" w:rsidRPr="00B065F7" w:rsidRDefault="00B52A33" w:rsidP="00AB65C0">
            <w:pPr>
              <w:spacing w:line="360" w:lineRule="auto"/>
              <w:jc w:val="both"/>
              <w:rPr>
                <w:rFonts w:ascii="Book Antiqua" w:eastAsia="宋体" w:hAnsi="Book Antiqua" w:cs="Times New Roman"/>
                <w:lang w:eastAsia="zh-CN"/>
              </w:rPr>
            </w:pPr>
            <w:r w:rsidRPr="00E44C52">
              <w:rPr>
                <w:rFonts w:ascii="Book Antiqua" w:eastAsia="MS MinNew Roman" w:hAnsi="Book Antiqua"/>
              </w:rPr>
              <w:t>Self-limited with spontaneous regression in 1-2 y</w:t>
            </w:r>
            <w:r>
              <w:rPr>
                <w:rFonts w:ascii="Book Antiqua" w:eastAsia="宋体" w:hAnsi="Book Antiqua"/>
                <w:lang w:eastAsia="zh-CN"/>
              </w:rPr>
              <w:t>r</w:t>
            </w:r>
            <w:r w:rsidRPr="00B065F7">
              <w:rPr>
                <w:rFonts w:ascii="Book Antiqua" w:eastAsia="宋体" w:hAnsi="Book Antiqua"/>
                <w:vertAlign w:val="superscript"/>
                <w:lang w:eastAsia="zh-CN"/>
              </w:rPr>
              <w:t>[</w:t>
            </w:r>
            <w:r>
              <w:rPr>
                <w:rFonts w:ascii="Book Antiqua" w:eastAsia="MS MinNew Roman" w:hAnsi="Book Antiqua"/>
                <w:vertAlign w:val="superscript"/>
              </w:rPr>
              <w:t>21</w:t>
            </w:r>
            <w:r>
              <w:rPr>
                <w:rFonts w:ascii="Book Antiqua" w:eastAsia="宋体" w:hAnsi="Book Antiqua"/>
                <w:vertAlign w:val="superscript"/>
                <w:lang w:eastAsia="zh-CN"/>
              </w:rPr>
              <w:t>]</w:t>
            </w:r>
          </w:p>
        </w:tc>
        <w:tc>
          <w:tcPr>
            <w:tcW w:w="4573" w:type="dxa"/>
            <w:gridSpan w:val="3"/>
            <w:vAlign w:val="center"/>
          </w:tcPr>
          <w:p w:rsidR="00B52A33" w:rsidRPr="009D02B1" w:rsidRDefault="00B52A33" w:rsidP="00AB65C0">
            <w:pPr>
              <w:spacing w:line="360" w:lineRule="auto"/>
              <w:jc w:val="both"/>
              <w:rPr>
                <w:rFonts w:ascii="Book Antiqua" w:eastAsia="宋体" w:hAnsi="Book Antiqua" w:cs="Times New Roman"/>
                <w:lang w:eastAsia="zh-CN"/>
              </w:rPr>
            </w:pPr>
            <w:r w:rsidRPr="00E44C52">
              <w:rPr>
                <w:rFonts w:ascii="Book Antiqua" w:eastAsia="MS MinNew Roman" w:hAnsi="Book Antiqua"/>
              </w:rPr>
              <w:t>Propensity for chronicity</w:t>
            </w:r>
            <w:r w:rsidRPr="009D02B1">
              <w:rPr>
                <w:rFonts w:ascii="Book Antiqua" w:eastAsia="宋体" w:hAnsi="Book Antiqua"/>
                <w:vertAlign w:val="superscript"/>
                <w:lang w:eastAsia="zh-CN"/>
              </w:rPr>
              <w:t>[</w:t>
            </w:r>
            <w:r w:rsidRPr="00DB6F9C">
              <w:rPr>
                <w:rFonts w:ascii="Book Antiqua" w:eastAsia="MS MinNew Roman" w:hAnsi="Book Antiqua"/>
                <w:vertAlign w:val="superscript"/>
              </w:rPr>
              <w:t>7</w:t>
            </w:r>
            <w:r>
              <w:rPr>
                <w:rFonts w:ascii="Book Antiqua" w:eastAsia="宋体" w:hAnsi="Book Antiqua"/>
                <w:vertAlign w:val="superscript"/>
                <w:lang w:eastAsia="zh-CN"/>
              </w:rPr>
              <w:t>]</w:t>
            </w:r>
          </w:p>
        </w:tc>
      </w:tr>
      <w:tr w:rsidR="00B52A33" w:rsidRPr="00E44C52" w:rsidTr="00AB65C0">
        <w:trPr>
          <w:trHeight w:val="1281"/>
        </w:trPr>
        <w:tc>
          <w:tcPr>
            <w:tcW w:w="1809" w:type="dxa"/>
            <w:vMerge w:val="restart"/>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Histologic Findings</w:t>
            </w:r>
          </w:p>
        </w:tc>
        <w:tc>
          <w:tcPr>
            <w:tcW w:w="2474" w:type="dxa"/>
            <w:gridSpan w:val="2"/>
            <w:vAlign w:val="center"/>
          </w:tcPr>
          <w:p w:rsidR="00B52A33" w:rsidRPr="00B065F7" w:rsidRDefault="00B52A33" w:rsidP="00AB65C0">
            <w:pPr>
              <w:spacing w:line="360" w:lineRule="auto"/>
              <w:jc w:val="both"/>
              <w:rPr>
                <w:rFonts w:ascii="Book Antiqua" w:eastAsia="宋体" w:hAnsi="Book Antiqua" w:cs="Times New Roman"/>
                <w:lang w:eastAsia="zh-CN"/>
              </w:rPr>
            </w:pPr>
            <w:r w:rsidRPr="00E44C52">
              <w:rPr>
                <w:rFonts w:ascii="Book Antiqua" w:eastAsia="MS MinNew Roman" w:hAnsi="Book Antiqua"/>
              </w:rPr>
              <w:t>Hypergranulosis, hyperorthokeratosis, acanthosis and “saw-too</w:t>
            </w:r>
            <w:r>
              <w:rPr>
                <w:rFonts w:ascii="Book Antiqua" w:eastAsia="MS MinNew Roman" w:hAnsi="Book Antiqua"/>
              </w:rPr>
              <w:t>th” elongation of the rete pegs</w:t>
            </w:r>
            <w:r w:rsidRPr="00B065F7">
              <w:rPr>
                <w:rFonts w:ascii="Book Antiqua" w:eastAsia="宋体" w:hAnsi="Book Antiqua"/>
                <w:vertAlign w:val="superscript"/>
                <w:lang w:eastAsia="zh-CN"/>
              </w:rPr>
              <w:t>[</w:t>
            </w:r>
            <w:r>
              <w:rPr>
                <w:rFonts w:ascii="Book Antiqua" w:eastAsia="MS MinNew Roman" w:hAnsi="Book Antiqua"/>
                <w:vertAlign w:val="superscript"/>
              </w:rPr>
              <w:t>21</w:t>
            </w:r>
            <w:r>
              <w:rPr>
                <w:rFonts w:ascii="Book Antiqua" w:eastAsia="宋体" w:hAnsi="Book Antiqua"/>
                <w:vertAlign w:val="superscript"/>
                <w:lang w:eastAsia="zh-CN"/>
              </w:rPr>
              <w:t>]</w:t>
            </w:r>
          </w:p>
        </w:tc>
        <w:tc>
          <w:tcPr>
            <w:tcW w:w="1956" w:type="dxa"/>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Oral lesions closely resemble esophageal lesions</w:t>
            </w:r>
          </w:p>
        </w:tc>
        <w:tc>
          <w:tcPr>
            <w:tcW w:w="2617" w:type="dxa"/>
            <w:gridSpan w:val="2"/>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Parakeratosis, atrophic epithelium, lacks hypergranulosis, variable thinning or acanthosis</w:t>
            </w:r>
            <w:r w:rsidRPr="00B065F7">
              <w:rPr>
                <w:rFonts w:ascii="Book Antiqua" w:eastAsia="宋体" w:hAnsi="Book Antiqua"/>
                <w:vertAlign w:val="superscript"/>
                <w:lang w:eastAsia="zh-CN"/>
              </w:rPr>
              <w:t>[</w:t>
            </w:r>
            <w:r>
              <w:rPr>
                <w:rFonts w:ascii="Book Antiqua" w:eastAsia="MS MinNew Roman" w:hAnsi="Book Antiqua"/>
                <w:vertAlign w:val="superscript"/>
              </w:rPr>
              <w:t>21</w:t>
            </w:r>
            <w:r>
              <w:rPr>
                <w:rFonts w:ascii="Book Antiqua" w:eastAsia="宋体" w:hAnsi="Book Antiqua"/>
                <w:vertAlign w:val="superscript"/>
                <w:lang w:eastAsia="zh-CN"/>
              </w:rPr>
              <w:t>]</w:t>
            </w:r>
          </w:p>
        </w:tc>
      </w:tr>
      <w:tr w:rsidR="00B52A33" w:rsidRPr="00E44C52" w:rsidTr="00AB65C0">
        <w:trPr>
          <w:trHeight w:val="144"/>
        </w:trPr>
        <w:tc>
          <w:tcPr>
            <w:tcW w:w="1809" w:type="dxa"/>
            <w:vMerge/>
            <w:vAlign w:val="center"/>
          </w:tcPr>
          <w:p w:rsidR="00B52A33" w:rsidRPr="00E44C52" w:rsidRDefault="00B52A33" w:rsidP="00AB65C0">
            <w:pPr>
              <w:spacing w:line="360" w:lineRule="auto"/>
              <w:jc w:val="both"/>
              <w:rPr>
                <w:rFonts w:ascii="Book Antiqua" w:eastAsia="MS MinNew Roman" w:hAnsi="Book Antiqua" w:cs="Times New Roman"/>
              </w:rPr>
            </w:pPr>
          </w:p>
        </w:tc>
        <w:tc>
          <w:tcPr>
            <w:tcW w:w="7047" w:type="dxa"/>
            <w:gridSpan w:val="5"/>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 xml:space="preserve">Typical band-like inflammatory infiltrate with a predominance of mature T cells and basal layer degeneration including </w:t>
            </w:r>
            <w:r w:rsidRPr="00E44C52">
              <w:rPr>
                <w:rFonts w:ascii="Book Antiqua" w:eastAsia="MS MinNew Roman" w:hAnsi="Book Antiqua"/>
              </w:rPr>
              <w:lastRenderedPageBreak/>
              <w:t>characteristic Civatte bodies (i.e.</w:t>
            </w:r>
            <w:r>
              <w:rPr>
                <w:rFonts w:ascii="Book Antiqua" w:eastAsia="宋体" w:hAnsi="Book Antiqua"/>
                <w:lang w:eastAsia="zh-CN"/>
              </w:rPr>
              <w:t>,</w:t>
            </w:r>
            <w:r w:rsidRPr="00E44C52">
              <w:rPr>
                <w:rFonts w:ascii="Book Antiqua" w:eastAsia="MS MinNew Roman" w:hAnsi="Book Antiqua"/>
              </w:rPr>
              <w:t xml:space="preserve"> apoptotic basal keratinocytes)</w:t>
            </w:r>
            <w:r w:rsidRPr="00B065F7">
              <w:rPr>
                <w:rFonts w:ascii="Book Antiqua" w:eastAsia="宋体" w:hAnsi="Book Antiqua"/>
                <w:vertAlign w:val="superscript"/>
                <w:lang w:eastAsia="zh-CN"/>
              </w:rPr>
              <w:t>[</w:t>
            </w:r>
            <w:r>
              <w:rPr>
                <w:rFonts w:ascii="Book Antiqua" w:eastAsia="MS MinNew Roman" w:hAnsi="Book Antiqua"/>
                <w:vertAlign w:val="superscript"/>
              </w:rPr>
              <w:t>21</w:t>
            </w:r>
            <w:r>
              <w:rPr>
                <w:rFonts w:ascii="Book Antiqua" w:eastAsia="宋体" w:hAnsi="Book Antiqua"/>
                <w:vertAlign w:val="superscript"/>
                <w:lang w:eastAsia="zh-CN"/>
              </w:rPr>
              <w:t>]</w:t>
            </w:r>
            <w:r w:rsidRPr="00E44C52">
              <w:rPr>
                <w:rFonts w:ascii="Book Antiqua" w:eastAsia="MS MinNew Roman" w:hAnsi="Book Antiqua"/>
              </w:rPr>
              <w:t>.</w:t>
            </w:r>
          </w:p>
        </w:tc>
      </w:tr>
      <w:tr w:rsidR="00B52A33" w:rsidRPr="00E44C52" w:rsidTr="00AB65C0">
        <w:trPr>
          <w:trHeight w:val="1281"/>
        </w:trPr>
        <w:tc>
          <w:tcPr>
            <w:tcW w:w="1809" w:type="dxa"/>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lastRenderedPageBreak/>
              <w:t>Risk of Malignancy</w:t>
            </w:r>
          </w:p>
        </w:tc>
        <w:tc>
          <w:tcPr>
            <w:tcW w:w="2474" w:type="dxa"/>
            <w:gridSpan w:val="2"/>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 xml:space="preserve">No increased risk of malignant transformation </w:t>
            </w:r>
          </w:p>
        </w:tc>
        <w:tc>
          <w:tcPr>
            <w:tcW w:w="2043" w:type="dxa"/>
            <w:gridSpan w:val="2"/>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Increased risk of oral malignancy</w:t>
            </w:r>
          </w:p>
        </w:tc>
        <w:tc>
          <w:tcPr>
            <w:tcW w:w="2530" w:type="dxa"/>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Some case reports have shown malignancy associated with esophageal lichen planus</w:t>
            </w:r>
          </w:p>
        </w:tc>
      </w:tr>
      <w:tr w:rsidR="00B52A33" w:rsidRPr="00E44C52" w:rsidTr="00AB65C0">
        <w:trPr>
          <w:trHeight w:val="1281"/>
        </w:trPr>
        <w:tc>
          <w:tcPr>
            <w:tcW w:w="1809" w:type="dxa"/>
            <w:vAlign w:val="center"/>
          </w:tcPr>
          <w:p w:rsidR="00B52A33" w:rsidRPr="00E44C52" w:rsidRDefault="00B52A33" w:rsidP="00AB65C0">
            <w:pPr>
              <w:spacing w:line="360" w:lineRule="auto"/>
              <w:jc w:val="both"/>
              <w:rPr>
                <w:rFonts w:ascii="Book Antiqua" w:eastAsia="MS MinNew Roman" w:hAnsi="Book Antiqua" w:cs="Times New Roman"/>
              </w:rPr>
            </w:pPr>
          </w:p>
        </w:tc>
        <w:tc>
          <w:tcPr>
            <w:tcW w:w="2474" w:type="dxa"/>
            <w:gridSpan w:val="2"/>
            <w:vAlign w:val="center"/>
          </w:tcPr>
          <w:p w:rsidR="00B52A33" w:rsidRPr="00E44C52" w:rsidRDefault="00B52A33" w:rsidP="00AB65C0">
            <w:pPr>
              <w:spacing w:line="360" w:lineRule="auto"/>
              <w:jc w:val="both"/>
              <w:rPr>
                <w:rFonts w:ascii="Book Antiqua" w:eastAsia="MS MinNew Roman" w:hAnsi="Book Antiqua" w:cs="Times New Roman"/>
              </w:rPr>
            </w:pPr>
          </w:p>
        </w:tc>
        <w:tc>
          <w:tcPr>
            <w:tcW w:w="2043" w:type="dxa"/>
            <w:gridSpan w:val="2"/>
            <w:vAlign w:val="center"/>
          </w:tcPr>
          <w:p w:rsidR="00B52A33" w:rsidRPr="00E44C52" w:rsidRDefault="00B52A33" w:rsidP="00AB65C0">
            <w:pPr>
              <w:spacing w:line="360" w:lineRule="auto"/>
              <w:jc w:val="both"/>
              <w:rPr>
                <w:rFonts w:ascii="Book Antiqua" w:eastAsia="MS MinNew Roman" w:hAnsi="Book Antiqua" w:cs="Times New Roman"/>
              </w:rPr>
            </w:pPr>
            <w:r w:rsidRPr="00E44C52">
              <w:rPr>
                <w:rFonts w:ascii="Book Antiqua" w:eastAsia="MS MinNew Roman" w:hAnsi="Book Antiqua"/>
              </w:rPr>
              <w:t>Associated with hepatitis C</w:t>
            </w:r>
          </w:p>
        </w:tc>
        <w:tc>
          <w:tcPr>
            <w:tcW w:w="2530" w:type="dxa"/>
            <w:vAlign w:val="center"/>
          </w:tcPr>
          <w:p w:rsidR="00B52A33" w:rsidRPr="00E44C52" w:rsidRDefault="00B52A33" w:rsidP="00AB65C0">
            <w:pPr>
              <w:spacing w:line="360" w:lineRule="auto"/>
              <w:jc w:val="both"/>
              <w:rPr>
                <w:rFonts w:ascii="Book Antiqua" w:eastAsia="MS MinNew Roman" w:hAnsi="Book Antiqua" w:cs="Times New Roman"/>
              </w:rPr>
            </w:pPr>
          </w:p>
        </w:tc>
      </w:tr>
      <w:tr w:rsidR="00B52A33" w:rsidRPr="00E44C52" w:rsidTr="00AB65C0">
        <w:trPr>
          <w:trHeight w:val="188"/>
        </w:trPr>
        <w:tc>
          <w:tcPr>
            <w:tcW w:w="8856" w:type="dxa"/>
            <w:gridSpan w:val="6"/>
          </w:tcPr>
          <w:p w:rsidR="00B52A33" w:rsidRPr="00E44C52" w:rsidRDefault="00B52A33" w:rsidP="00AB65C0">
            <w:pPr>
              <w:spacing w:line="360" w:lineRule="auto"/>
              <w:jc w:val="both"/>
              <w:rPr>
                <w:rFonts w:ascii="Book Antiqua" w:eastAsia="MS MinNew Roman" w:hAnsi="Book Antiqua" w:cs="Times New Roman"/>
                <w:i/>
                <w:iCs/>
                <w:vertAlign w:val="superscript"/>
              </w:rPr>
            </w:pPr>
          </w:p>
        </w:tc>
      </w:tr>
    </w:tbl>
    <w:p w:rsidR="00B52A33" w:rsidRPr="0073365B" w:rsidRDefault="00B52A33" w:rsidP="003A6B68">
      <w:pPr>
        <w:spacing w:line="360" w:lineRule="auto"/>
        <w:jc w:val="both"/>
        <w:rPr>
          <w:rFonts w:ascii="Book Antiqua" w:hAnsi="Book Antiqua" w:cs="Times New Roman"/>
        </w:rPr>
      </w:pPr>
      <w:r w:rsidRPr="0073365B">
        <w:rPr>
          <w:rFonts w:ascii="Book Antiqua" w:eastAsia="宋体" w:hAnsi="Book Antiqua"/>
          <w:iCs/>
          <w:vertAlign w:val="superscript"/>
          <w:lang w:eastAsia="zh-CN"/>
        </w:rPr>
        <w:t>1</w:t>
      </w:r>
      <w:r w:rsidRPr="0073365B">
        <w:rPr>
          <w:rFonts w:ascii="Book Antiqua" w:eastAsia="MS MinNew Roman" w:hAnsi="Book Antiqua"/>
          <w:iCs/>
        </w:rPr>
        <w:t>One report by Chryssostalis showed esophageal lichen planus in a 22 year old male patient</w:t>
      </w:r>
      <w:r w:rsidRPr="00B065F7">
        <w:rPr>
          <w:rFonts w:ascii="Book Antiqua" w:eastAsia="宋体" w:hAnsi="Book Antiqua"/>
          <w:vertAlign w:val="superscript"/>
          <w:lang w:eastAsia="zh-CN"/>
        </w:rPr>
        <w:t>[</w:t>
      </w:r>
      <w:r>
        <w:rPr>
          <w:rFonts w:ascii="Book Antiqua" w:eastAsia="MS MinNew Roman" w:hAnsi="Book Antiqua"/>
          <w:vertAlign w:val="superscript"/>
        </w:rPr>
        <w:t>1</w:t>
      </w:r>
      <w:r>
        <w:rPr>
          <w:rFonts w:ascii="Book Antiqua" w:eastAsia="宋体" w:hAnsi="Book Antiqua"/>
          <w:vertAlign w:val="superscript"/>
          <w:lang w:eastAsia="zh-CN"/>
        </w:rPr>
        <w:t>0]</w:t>
      </w:r>
      <w:r w:rsidRPr="001D50D5">
        <w:rPr>
          <w:rFonts w:ascii="Book Antiqua" w:eastAsia="宋体" w:hAnsi="Book Antiqua"/>
          <w:lang w:eastAsia="zh-CN"/>
        </w:rPr>
        <w:t>.</w:t>
      </w:r>
    </w:p>
    <w:p w:rsidR="00B52A33" w:rsidRPr="003A6B68" w:rsidRDefault="00B52A33" w:rsidP="003A6B68">
      <w:pPr>
        <w:spacing w:line="360" w:lineRule="auto"/>
        <w:jc w:val="both"/>
        <w:rPr>
          <w:rFonts w:ascii="Book Antiqua" w:eastAsia="宋体" w:hAnsi="Book Antiqua" w:cs="Times New Roman"/>
          <w:lang w:eastAsia="zh-CN"/>
        </w:rPr>
      </w:pPr>
    </w:p>
    <w:p w:rsidR="00B52A33" w:rsidRPr="006B3EF8" w:rsidRDefault="00B52A33" w:rsidP="006B3EF8">
      <w:pPr>
        <w:spacing w:line="360" w:lineRule="auto"/>
        <w:jc w:val="both"/>
        <w:rPr>
          <w:rFonts w:ascii="Book Antiqua" w:hAnsi="Book Antiqua" w:cs="Times New Roman"/>
          <w:i/>
          <w:iCs/>
        </w:rPr>
      </w:pPr>
    </w:p>
    <w:sectPr w:rsidR="00B52A33" w:rsidRPr="006B3EF8" w:rsidSect="00D2756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0FF" w:rsidRDefault="00EA20FF" w:rsidP="00B579F4">
      <w:pPr>
        <w:rPr>
          <w:rFonts w:cs="Times New Roman"/>
        </w:rPr>
      </w:pPr>
      <w:r>
        <w:rPr>
          <w:rFonts w:cs="Times New Roman"/>
        </w:rPr>
        <w:separator/>
      </w:r>
    </w:p>
  </w:endnote>
  <w:endnote w:type="continuationSeparator" w:id="0">
    <w:p w:rsidR="00EA20FF" w:rsidRDefault="00EA20FF" w:rsidP="00B579F4">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幼圆">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MS MinNew Roman">
    <w:altName w:val="MS Mincho"/>
    <w:panose1 w:val="00000000000000000000"/>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0FF" w:rsidRDefault="00EA20FF" w:rsidP="00B579F4">
      <w:pPr>
        <w:rPr>
          <w:rFonts w:cs="Times New Roman"/>
        </w:rPr>
      </w:pPr>
      <w:r>
        <w:rPr>
          <w:rFonts w:cs="Times New Roman"/>
        </w:rPr>
        <w:separator/>
      </w:r>
    </w:p>
  </w:footnote>
  <w:footnote w:type="continuationSeparator" w:id="0">
    <w:p w:rsidR="00EA20FF" w:rsidRDefault="00EA20FF" w:rsidP="00B579F4">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80496"/>
    <w:multiLevelType w:val="hybridMultilevel"/>
    <w:tmpl w:val="3788DC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0E140F3"/>
    <w:multiLevelType w:val="hybridMultilevel"/>
    <w:tmpl w:val="29C0051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7AE578EF"/>
    <w:multiLevelType w:val="hybridMultilevel"/>
    <w:tmpl w:val="FB129D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720"/>
  <w:drawingGridHorizontalSpacing w:val="360"/>
  <w:drawingGridVerticalSpacing w:val="360"/>
  <w:displayHorizontalDrawingGridEvery w:val="0"/>
  <w:displayVerticalDrawingGridEvery w:val="0"/>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DF6"/>
    <w:rsid w:val="000010DA"/>
    <w:rsid w:val="00021CBB"/>
    <w:rsid w:val="00031290"/>
    <w:rsid w:val="00034791"/>
    <w:rsid w:val="00047D60"/>
    <w:rsid w:val="00070B3C"/>
    <w:rsid w:val="000745A2"/>
    <w:rsid w:val="00076ECB"/>
    <w:rsid w:val="00094068"/>
    <w:rsid w:val="000D278C"/>
    <w:rsid w:val="000E625D"/>
    <w:rsid w:val="000F6FF0"/>
    <w:rsid w:val="001054BB"/>
    <w:rsid w:val="00120E61"/>
    <w:rsid w:val="00125031"/>
    <w:rsid w:val="00126651"/>
    <w:rsid w:val="0014615A"/>
    <w:rsid w:val="001640CD"/>
    <w:rsid w:val="00177B64"/>
    <w:rsid w:val="001815DA"/>
    <w:rsid w:val="00187C52"/>
    <w:rsid w:val="001924B8"/>
    <w:rsid w:val="001A7206"/>
    <w:rsid w:val="001B2B2B"/>
    <w:rsid w:val="001C1AA9"/>
    <w:rsid w:val="001C6183"/>
    <w:rsid w:val="001D4C7F"/>
    <w:rsid w:val="001D50D5"/>
    <w:rsid w:val="00210AF5"/>
    <w:rsid w:val="002174BF"/>
    <w:rsid w:val="00221A14"/>
    <w:rsid w:val="00225527"/>
    <w:rsid w:val="00231230"/>
    <w:rsid w:val="0023293F"/>
    <w:rsid w:val="00242CA3"/>
    <w:rsid w:val="00246018"/>
    <w:rsid w:val="00267D20"/>
    <w:rsid w:val="0029098B"/>
    <w:rsid w:val="00297B86"/>
    <w:rsid w:val="002A2C2C"/>
    <w:rsid w:val="002B1DC7"/>
    <w:rsid w:val="002B2A6C"/>
    <w:rsid w:val="002C2B4E"/>
    <w:rsid w:val="002E37A5"/>
    <w:rsid w:val="003249E6"/>
    <w:rsid w:val="00331386"/>
    <w:rsid w:val="00332BC7"/>
    <w:rsid w:val="003379D0"/>
    <w:rsid w:val="00355DC0"/>
    <w:rsid w:val="00361111"/>
    <w:rsid w:val="00381398"/>
    <w:rsid w:val="00384668"/>
    <w:rsid w:val="003940EA"/>
    <w:rsid w:val="003A6861"/>
    <w:rsid w:val="003A6B68"/>
    <w:rsid w:val="003B7AC0"/>
    <w:rsid w:val="003E2F66"/>
    <w:rsid w:val="003E65B3"/>
    <w:rsid w:val="003E7E0A"/>
    <w:rsid w:val="00415BD2"/>
    <w:rsid w:val="00421E83"/>
    <w:rsid w:val="004228F2"/>
    <w:rsid w:val="00422B1C"/>
    <w:rsid w:val="00426128"/>
    <w:rsid w:val="00426578"/>
    <w:rsid w:val="004406FF"/>
    <w:rsid w:val="00441440"/>
    <w:rsid w:val="0044238B"/>
    <w:rsid w:val="00451468"/>
    <w:rsid w:val="00473CF4"/>
    <w:rsid w:val="00483223"/>
    <w:rsid w:val="00491AA2"/>
    <w:rsid w:val="004952E1"/>
    <w:rsid w:val="004B417A"/>
    <w:rsid w:val="004D1F1F"/>
    <w:rsid w:val="00500A2E"/>
    <w:rsid w:val="00500CD0"/>
    <w:rsid w:val="005053A7"/>
    <w:rsid w:val="00530777"/>
    <w:rsid w:val="005474AC"/>
    <w:rsid w:val="00551842"/>
    <w:rsid w:val="00583D59"/>
    <w:rsid w:val="00591259"/>
    <w:rsid w:val="005926D0"/>
    <w:rsid w:val="00592A1F"/>
    <w:rsid w:val="005B1441"/>
    <w:rsid w:val="005B450A"/>
    <w:rsid w:val="005C256A"/>
    <w:rsid w:val="005E16F7"/>
    <w:rsid w:val="005F4E53"/>
    <w:rsid w:val="00600ACD"/>
    <w:rsid w:val="00605790"/>
    <w:rsid w:val="00606DF6"/>
    <w:rsid w:val="00611682"/>
    <w:rsid w:val="006163CF"/>
    <w:rsid w:val="00623647"/>
    <w:rsid w:val="00637A0C"/>
    <w:rsid w:val="00643F0A"/>
    <w:rsid w:val="006468E0"/>
    <w:rsid w:val="006730D7"/>
    <w:rsid w:val="00681669"/>
    <w:rsid w:val="006A5DA7"/>
    <w:rsid w:val="006A6779"/>
    <w:rsid w:val="006B3EF8"/>
    <w:rsid w:val="006C43A9"/>
    <w:rsid w:val="006C489B"/>
    <w:rsid w:val="006E37DC"/>
    <w:rsid w:val="006F6BB3"/>
    <w:rsid w:val="00726C75"/>
    <w:rsid w:val="00733293"/>
    <w:rsid w:val="0073365B"/>
    <w:rsid w:val="00746294"/>
    <w:rsid w:val="0075085D"/>
    <w:rsid w:val="00756977"/>
    <w:rsid w:val="00762344"/>
    <w:rsid w:val="00773412"/>
    <w:rsid w:val="007833C5"/>
    <w:rsid w:val="00790FA2"/>
    <w:rsid w:val="007933F3"/>
    <w:rsid w:val="007A4B82"/>
    <w:rsid w:val="007A5F4C"/>
    <w:rsid w:val="007B3B4C"/>
    <w:rsid w:val="007B62C0"/>
    <w:rsid w:val="007C1235"/>
    <w:rsid w:val="007C7A95"/>
    <w:rsid w:val="007F098A"/>
    <w:rsid w:val="007F41FA"/>
    <w:rsid w:val="007F76DF"/>
    <w:rsid w:val="00804207"/>
    <w:rsid w:val="0081409E"/>
    <w:rsid w:val="00814FCE"/>
    <w:rsid w:val="0081734F"/>
    <w:rsid w:val="008210D3"/>
    <w:rsid w:val="00843C25"/>
    <w:rsid w:val="008529E8"/>
    <w:rsid w:val="00853E17"/>
    <w:rsid w:val="00857D1F"/>
    <w:rsid w:val="008716F2"/>
    <w:rsid w:val="00883F6F"/>
    <w:rsid w:val="008B323A"/>
    <w:rsid w:val="008B34C0"/>
    <w:rsid w:val="008C499C"/>
    <w:rsid w:val="008D23A5"/>
    <w:rsid w:val="00903F92"/>
    <w:rsid w:val="00905C15"/>
    <w:rsid w:val="00910724"/>
    <w:rsid w:val="009166BB"/>
    <w:rsid w:val="00925506"/>
    <w:rsid w:val="00946BCE"/>
    <w:rsid w:val="00950587"/>
    <w:rsid w:val="00950C78"/>
    <w:rsid w:val="009B3DE9"/>
    <w:rsid w:val="009B6244"/>
    <w:rsid w:val="009C2A89"/>
    <w:rsid w:val="009C3371"/>
    <w:rsid w:val="009D02B1"/>
    <w:rsid w:val="009D7003"/>
    <w:rsid w:val="009E2B8F"/>
    <w:rsid w:val="009E738A"/>
    <w:rsid w:val="009F2D13"/>
    <w:rsid w:val="009F3E5D"/>
    <w:rsid w:val="00A11AEE"/>
    <w:rsid w:val="00A14205"/>
    <w:rsid w:val="00A14C94"/>
    <w:rsid w:val="00A309EF"/>
    <w:rsid w:val="00A46578"/>
    <w:rsid w:val="00A72DF1"/>
    <w:rsid w:val="00A8124D"/>
    <w:rsid w:val="00AA1358"/>
    <w:rsid w:val="00AA5D91"/>
    <w:rsid w:val="00AB65C0"/>
    <w:rsid w:val="00AE21CD"/>
    <w:rsid w:val="00B065F7"/>
    <w:rsid w:val="00B13F32"/>
    <w:rsid w:val="00B14103"/>
    <w:rsid w:val="00B2167D"/>
    <w:rsid w:val="00B4709F"/>
    <w:rsid w:val="00B51C1B"/>
    <w:rsid w:val="00B52A33"/>
    <w:rsid w:val="00B579F4"/>
    <w:rsid w:val="00B63A10"/>
    <w:rsid w:val="00B84CED"/>
    <w:rsid w:val="00BB58C9"/>
    <w:rsid w:val="00BC2B07"/>
    <w:rsid w:val="00BC44AF"/>
    <w:rsid w:val="00BD22AD"/>
    <w:rsid w:val="00BD4DAC"/>
    <w:rsid w:val="00BF3B70"/>
    <w:rsid w:val="00C340C5"/>
    <w:rsid w:val="00C37D9D"/>
    <w:rsid w:val="00C456A7"/>
    <w:rsid w:val="00C51F1E"/>
    <w:rsid w:val="00C61E15"/>
    <w:rsid w:val="00C71328"/>
    <w:rsid w:val="00C718E0"/>
    <w:rsid w:val="00C75967"/>
    <w:rsid w:val="00C871E4"/>
    <w:rsid w:val="00CB4E7B"/>
    <w:rsid w:val="00CB5C42"/>
    <w:rsid w:val="00CD07CB"/>
    <w:rsid w:val="00CE4867"/>
    <w:rsid w:val="00CF572D"/>
    <w:rsid w:val="00D00372"/>
    <w:rsid w:val="00D052BB"/>
    <w:rsid w:val="00D16C8F"/>
    <w:rsid w:val="00D22567"/>
    <w:rsid w:val="00D2756C"/>
    <w:rsid w:val="00D413EC"/>
    <w:rsid w:val="00D54C6A"/>
    <w:rsid w:val="00D559B8"/>
    <w:rsid w:val="00D56A09"/>
    <w:rsid w:val="00D7511E"/>
    <w:rsid w:val="00D84E79"/>
    <w:rsid w:val="00D92C52"/>
    <w:rsid w:val="00DA2F22"/>
    <w:rsid w:val="00DB6F9C"/>
    <w:rsid w:val="00DD0850"/>
    <w:rsid w:val="00DD1F96"/>
    <w:rsid w:val="00DD5D7E"/>
    <w:rsid w:val="00DF0066"/>
    <w:rsid w:val="00E02A1A"/>
    <w:rsid w:val="00E17607"/>
    <w:rsid w:val="00E372FC"/>
    <w:rsid w:val="00E43E63"/>
    <w:rsid w:val="00E44C52"/>
    <w:rsid w:val="00E50014"/>
    <w:rsid w:val="00E57C89"/>
    <w:rsid w:val="00E621B8"/>
    <w:rsid w:val="00E63175"/>
    <w:rsid w:val="00E66555"/>
    <w:rsid w:val="00E83307"/>
    <w:rsid w:val="00E838B9"/>
    <w:rsid w:val="00E85D2D"/>
    <w:rsid w:val="00E862F5"/>
    <w:rsid w:val="00E9734F"/>
    <w:rsid w:val="00EA20FF"/>
    <w:rsid w:val="00EA42BD"/>
    <w:rsid w:val="00EA64E5"/>
    <w:rsid w:val="00EB5F2D"/>
    <w:rsid w:val="00ED76D1"/>
    <w:rsid w:val="00EF7AEE"/>
    <w:rsid w:val="00F17371"/>
    <w:rsid w:val="00F17D13"/>
    <w:rsid w:val="00F201A4"/>
    <w:rsid w:val="00F26705"/>
    <w:rsid w:val="00F41887"/>
    <w:rsid w:val="00F478E9"/>
    <w:rsid w:val="00F57F54"/>
    <w:rsid w:val="00F613F3"/>
    <w:rsid w:val="00F64FE2"/>
    <w:rsid w:val="00F67E99"/>
    <w:rsid w:val="00F857E0"/>
    <w:rsid w:val="00F90BE5"/>
    <w:rsid w:val="00F94B22"/>
    <w:rsid w:val="00FB61FA"/>
    <w:rsid w:val="00FC42EF"/>
    <w:rsid w:val="00FD3F5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ngs"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9E8"/>
    <w:rPr>
      <w:rFonts w:cs="Cambria"/>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rsid w:val="00B579F4"/>
  </w:style>
  <w:style w:type="character" w:customStyle="1" w:styleId="Char">
    <w:name w:val="脚注文本 Char"/>
    <w:basedOn w:val="a0"/>
    <w:link w:val="a3"/>
    <w:uiPriority w:val="99"/>
    <w:locked/>
    <w:rsid w:val="00B579F4"/>
    <w:rPr>
      <w:rFonts w:cs="Times New Roman"/>
    </w:rPr>
  </w:style>
  <w:style w:type="character" w:styleId="a4">
    <w:name w:val="footnote reference"/>
    <w:basedOn w:val="a0"/>
    <w:uiPriority w:val="99"/>
    <w:semiHidden/>
    <w:rsid w:val="00B579F4"/>
    <w:rPr>
      <w:rFonts w:cs="Times New Roman"/>
      <w:vertAlign w:val="superscript"/>
    </w:rPr>
  </w:style>
  <w:style w:type="paragraph" w:styleId="a5">
    <w:name w:val="List Paragraph"/>
    <w:basedOn w:val="a"/>
    <w:uiPriority w:val="99"/>
    <w:qFormat/>
    <w:rsid w:val="00762344"/>
    <w:pPr>
      <w:ind w:left="720"/>
      <w:contextualSpacing/>
    </w:pPr>
  </w:style>
  <w:style w:type="table" w:styleId="a6">
    <w:name w:val="Table Grid"/>
    <w:basedOn w:val="a1"/>
    <w:uiPriority w:val="99"/>
    <w:rsid w:val="005E16F7"/>
    <w:rPr>
      <w:rFonts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semiHidden/>
    <w:rsid w:val="009C3371"/>
    <w:rPr>
      <w:rFonts w:ascii="Lucida Grande" w:hAnsi="Lucida Grande" w:cs="Lucida Grande"/>
      <w:sz w:val="18"/>
      <w:szCs w:val="18"/>
    </w:rPr>
  </w:style>
  <w:style w:type="character" w:customStyle="1" w:styleId="Char0">
    <w:name w:val="批注框文本 Char"/>
    <w:basedOn w:val="a0"/>
    <w:link w:val="a7"/>
    <w:uiPriority w:val="99"/>
    <w:semiHidden/>
    <w:locked/>
    <w:rsid w:val="009C3371"/>
    <w:rPr>
      <w:rFonts w:ascii="Lucida Grande" w:hAnsi="Lucida Grande" w:cs="Lucida Grande"/>
      <w:sz w:val="18"/>
      <w:szCs w:val="18"/>
    </w:rPr>
  </w:style>
  <w:style w:type="character" w:styleId="a8">
    <w:name w:val="Hyperlink"/>
    <w:basedOn w:val="a0"/>
    <w:uiPriority w:val="99"/>
    <w:rsid w:val="00E621B8"/>
    <w:rPr>
      <w:rFonts w:cs="Times New Roman"/>
      <w:color w:val="0000FF"/>
      <w:u w:val="single"/>
    </w:rPr>
  </w:style>
  <w:style w:type="character" w:styleId="a9">
    <w:name w:val="annotation reference"/>
    <w:basedOn w:val="a0"/>
    <w:uiPriority w:val="99"/>
    <w:semiHidden/>
    <w:rsid w:val="005B450A"/>
    <w:rPr>
      <w:rFonts w:cs="Times New Roman"/>
      <w:sz w:val="16"/>
      <w:szCs w:val="16"/>
    </w:rPr>
  </w:style>
  <w:style w:type="paragraph" w:styleId="aa">
    <w:name w:val="annotation text"/>
    <w:basedOn w:val="a"/>
    <w:link w:val="Char1"/>
    <w:uiPriority w:val="99"/>
    <w:semiHidden/>
    <w:rsid w:val="005B450A"/>
    <w:rPr>
      <w:sz w:val="20"/>
      <w:szCs w:val="20"/>
    </w:rPr>
  </w:style>
  <w:style w:type="character" w:customStyle="1" w:styleId="Char1">
    <w:name w:val="批注文字 Char"/>
    <w:basedOn w:val="a0"/>
    <w:link w:val="aa"/>
    <w:uiPriority w:val="99"/>
    <w:semiHidden/>
    <w:locked/>
    <w:rsid w:val="005B450A"/>
    <w:rPr>
      <w:rFonts w:cs="Cambria"/>
      <w:sz w:val="20"/>
      <w:szCs w:val="20"/>
    </w:rPr>
  </w:style>
  <w:style w:type="paragraph" w:styleId="ab">
    <w:name w:val="annotation subject"/>
    <w:basedOn w:val="aa"/>
    <w:next w:val="aa"/>
    <w:link w:val="Char2"/>
    <w:uiPriority w:val="99"/>
    <w:semiHidden/>
    <w:rsid w:val="005B450A"/>
    <w:rPr>
      <w:b/>
      <w:bCs/>
    </w:rPr>
  </w:style>
  <w:style w:type="character" w:customStyle="1" w:styleId="Char2">
    <w:name w:val="批注主题 Char"/>
    <w:basedOn w:val="Char1"/>
    <w:link w:val="ab"/>
    <w:uiPriority w:val="99"/>
    <w:semiHidden/>
    <w:locked/>
    <w:rsid w:val="005B450A"/>
    <w:rPr>
      <w:rFonts w:cs="Cambria"/>
      <w:b/>
      <w:bCs/>
      <w:sz w:val="20"/>
      <w:szCs w:val="20"/>
    </w:rPr>
  </w:style>
  <w:style w:type="paragraph" w:styleId="ac">
    <w:name w:val="Revision"/>
    <w:hidden/>
    <w:uiPriority w:val="99"/>
    <w:semiHidden/>
    <w:rsid w:val="00F17D13"/>
    <w:rPr>
      <w:rFonts w:cs="Cambria"/>
      <w:kern w:val="0"/>
      <w:sz w:val="24"/>
      <w:szCs w:val="24"/>
      <w:lang w:eastAsia="en-US"/>
    </w:rPr>
  </w:style>
  <w:style w:type="character" w:customStyle="1" w:styleId="apple-converted-space">
    <w:name w:val="apple-converted-space"/>
    <w:basedOn w:val="a0"/>
    <w:uiPriority w:val="99"/>
    <w:rsid w:val="006B3EF8"/>
    <w:rPr>
      <w:rFonts w:cs="Times New Roman"/>
    </w:rPr>
  </w:style>
  <w:style w:type="paragraph" w:styleId="ad">
    <w:name w:val="header"/>
    <w:basedOn w:val="a"/>
    <w:link w:val="Char3"/>
    <w:uiPriority w:val="99"/>
    <w:rsid w:val="009F2D1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locked/>
    <w:rsid w:val="009F2D13"/>
    <w:rPr>
      <w:rFonts w:cs="Cambria"/>
      <w:sz w:val="18"/>
      <w:szCs w:val="18"/>
    </w:rPr>
  </w:style>
  <w:style w:type="paragraph" w:styleId="ae">
    <w:name w:val="footer"/>
    <w:basedOn w:val="a"/>
    <w:link w:val="Char4"/>
    <w:uiPriority w:val="99"/>
    <w:rsid w:val="009F2D13"/>
    <w:pPr>
      <w:tabs>
        <w:tab w:val="center" w:pos="4153"/>
        <w:tab w:val="right" w:pos="8306"/>
      </w:tabs>
      <w:snapToGrid w:val="0"/>
    </w:pPr>
    <w:rPr>
      <w:sz w:val="18"/>
      <w:szCs w:val="18"/>
    </w:rPr>
  </w:style>
  <w:style w:type="character" w:customStyle="1" w:styleId="Char4">
    <w:name w:val="页脚 Char"/>
    <w:basedOn w:val="a0"/>
    <w:link w:val="ae"/>
    <w:uiPriority w:val="99"/>
    <w:locked/>
    <w:rsid w:val="009F2D13"/>
    <w:rPr>
      <w:rFonts w:cs="Cambria"/>
      <w:sz w:val="18"/>
      <w:szCs w:val="18"/>
    </w:rPr>
  </w:style>
  <w:style w:type="character" w:styleId="af">
    <w:name w:val="Strong"/>
    <w:basedOn w:val="a0"/>
    <w:uiPriority w:val="99"/>
    <w:qFormat/>
    <w:rsid w:val="00B065F7"/>
    <w:rPr>
      <w:rFonts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ngs"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9E8"/>
    <w:rPr>
      <w:rFonts w:cs="Cambria"/>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rsid w:val="00B579F4"/>
  </w:style>
  <w:style w:type="character" w:customStyle="1" w:styleId="Char">
    <w:name w:val="脚注文本 Char"/>
    <w:basedOn w:val="a0"/>
    <w:link w:val="a3"/>
    <w:uiPriority w:val="99"/>
    <w:locked/>
    <w:rsid w:val="00B579F4"/>
    <w:rPr>
      <w:rFonts w:cs="Times New Roman"/>
    </w:rPr>
  </w:style>
  <w:style w:type="character" w:styleId="a4">
    <w:name w:val="footnote reference"/>
    <w:basedOn w:val="a0"/>
    <w:uiPriority w:val="99"/>
    <w:semiHidden/>
    <w:rsid w:val="00B579F4"/>
    <w:rPr>
      <w:rFonts w:cs="Times New Roman"/>
      <w:vertAlign w:val="superscript"/>
    </w:rPr>
  </w:style>
  <w:style w:type="paragraph" w:styleId="a5">
    <w:name w:val="List Paragraph"/>
    <w:basedOn w:val="a"/>
    <w:uiPriority w:val="99"/>
    <w:qFormat/>
    <w:rsid w:val="00762344"/>
    <w:pPr>
      <w:ind w:left="720"/>
      <w:contextualSpacing/>
    </w:pPr>
  </w:style>
  <w:style w:type="table" w:styleId="a6">
    <w:name w:val="Table Grid"/>
    <w:basedOn w:val="a1"/>
    <w:uiPriority w:val="99"/>
    <w:rsid w:val="005E16F7"/>
    <w:rPr>
      <w:rFonts w:cs="Cambria"/>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semiHidden/>
    <w:rsid w:val="009C3371"/>
    <w:rPr>
      <w:rFonts w:ascii="Lucida Grande" w:hAnsi="Lucida Grande" w:cs="Lucida Grande"/>
      <w:sz w:val="18"/>
      <w:szCs w:val="18"/>
    </w:rPr>
  </w:style>
  <w:style w:type="character" w:customStyle="1" w:styleId="Char0">
    <w:name w:val="批注框文本 Char"/>
    <w:basedOn w:val="a0"/>
    <w:link w:val="a7"/>
    <w:uiPriority w:val="99"/>
    <w:semiHidden/>
    <w:locked/>
    <w:rsid w:val="009C3371"/>
    <w:rPr>
      <w:rFonts w:ascii="Lucida Grande" w:hAnsi="Lucida Grande" w:cs="Lucida Grande"/>
      <w:sz w:val="18"/>
      <w:szCs w:val="18"/>
    </w:rPr>
  </w:style>
  <w:style w:type="character" w:styleId="a8">
    <w:name w:val="Hyperlink"/>
    <w:basedOn w:val="a0"/>
    <w:uiPriority w:val="99"/>
    <w:rsid w:val="00E621B8"/>
    <w:rPr>
      <w:rFonts w:cs="Times New Roman"/>
      <w:color w:val="0000FF"/>
      <w:u w:val="single"/>
    </w:rPr>
  </w:style>
  <w:style w:type="character" w:styleId="a9">
    <w:name w:val="annotation reference"/>
    <w:basedOn w:val="a0"/>
    <w:uiPriority w:val="99"/>
    <w:semiHidden/>
    <w:rsid w:val="005B450A"/>
    <w:rPr>
      <w:rFonts w:cs="Times New Roman"/>
      <w:sz w:val="16"/>
      <w:szCs w:val="16"/>
    </w:rPr>
  </w:style>
  <w:style w:type="paragraph" w:styleId="aa">
    <w:name w:val="annotation text"/>
    <w:basedOn w:val="a"/>
    <w:link w:val="Char1"/>
    <w:uiPriority w:val="99"/>
    <w:semiHidden/>
    <w:rsid w:val="005B450A"/>
    <w:rPr>
      <w:sz w:val="20"/>
      <w:szCs w:val="20"/>
    </w:rPr>
  </w:style>
  <w:style w:type="character" w:customStyle="1" w:styleId="Char1">
    <w:name w:val="批注文字 Char"/>
    <w:basedOn w:val="a0"/>
    <w:link w:val="aa"/>
    <w:uiPriority w:val="99"/>
    <w:semiHidden/>
    <w:locked/>
    <w:rsid w:val="005B450A"/>
    <w:rPr>
      <w:rFonts w:cs="Cambria"/>
      <w:sz w:val="20"/>
      <w:szCs w:val="20"/>
    </w:rPr>
  </w:style>
  <w:style w:type="paragraph" w:styleId="ab">
    <w:name w:val="annotation subject"/>
    <w:basedOn w:val="aa"/>
    <w:next w:val="aa"/>
    <w:link w:val="Char2"/>
    <w:uiPriority w:val="99"/>
    <w:semiHidden/>
    <w:rsid w:val="005B450A"/>
    <w:rPr>
      <w:b/>
      <w:bCs/>
    </w:rPr>
  </w:style>
  <w:style w:type="character" w:customStyle="1" w:styleId="Char2">
    <w:name w:val="批注主题 Char"/>
    <w:basedOn w:val="Char1"/>
    <w:link w:val="ab"/>
    <w:uiPriority w:val="99"/>
    <w:semiHidden/>
    <w:locked/>
    <w:rsid w:val="005B450A"/>
    <w:rPr>
      <w:rFonts w:cs="Cambria"/>
      <w:b/>
      <w:bCs/>
      <w:sz w:val="20"/>
      <w:szCs w:val="20"/>
    </w:rPr>
  </w:style>
  <w:style w:type="paragraph" w:styleId="ac">
    <w:name w:val="Revision"/>
    <w:hidden/>
    <w:uiPriority w:val="99"/>
    <w:semiHidden/>
    <w:rsid w:val="00F17D13"/>
    <w:rPr>
      <w:rFonts w:cs="Cambria"/>
      <w:kern w:val="0"/>
      <w:sz w:val="24"/>
      <w:szCs w:val="24"/>
      <w:lang w:eastAsia="en-US"/>
    </w:rPr>
  </w:style>
  <w:style w:type="character" w:customStyle="1" w:styleId="apple-converted-space">
    <w:name w:val="apple-converted-space"/>
    <w:basedOn w:val="a0"/>
    <w:uiPriority w:val="99"/>
    <w:rsid w:val="006B3EF8"/>
    <w:rPr>
      <w:rFonts w:cs="Times New Roman"/>
    </w:rPr>
  </w:style>
  <w:style w:type="paragraph" w:styleId="ad">
    <w:name w:val="header"/>
    <w:basedOn w:val="a"/>
    <w:link w:val="Char3"/>
    <w:uiPriority w:val="99"/>
    <w:rsid w:val="009F2D13"/>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locked/>
    <w:rsid w:val="009F2D13"/>
    <w:rPr>
      <w:rFonts w:cs="Cambria"/>
      <w:sz w:val="18"/>
      <w:szCs w:val="18"/>
    </w:rPr>
  </w:style>
  <w:style w:type="paragraph" w:styleId="ae">
    <w:name w:val="footer"/>
    <w:basedOn w:val="a"/>
    <w:link w:val="Char4"/>
    <w:uiPriority w:val="99"/>
    <w:rsid w:val="009F2D13"/>
    <w:pPr>
      <w:tabs>
        <w:tab w:val="center" w:pos="4153"/>
        <w:tab w:val="right" w:pos="8306"/>
      </w:tabs>
      <w:snapToGrid w:val="0"/>
    </w:pPr>
    <w:rPr>
      <w:sz w:val="18"/>
      <w:szCs w:val="18"/>
    </w:rPr>
  </w:style>
  <w:style w:type="character" w:customStyle="1" w:styleId="Char4">
    <w:name w:val="页脚 Char"/>
    <w:basedOn w:val="a0"/>
    <w:link w:val="ae"/>
    <w:uiPriority w:val="99"/>
    <w:locked/>
    <w:rsid w:val="009F2D13"/>
    <w:rPr>
      <w:rFonts w:cs="Cambria"/>
      <w:sz w:val="18"/>
      <w:szCs w:val="18"/>
    </w:rPr>
  </w:style>
  <w:style w:type="character" w:styleId="af">
    <w:name w:val="Strong"/>
    <w:basedOn w:val="a0"/>
    <w:uiPriority w:val="99"/>
    <w:qFormat/>
    <w:rsid w:val="00B065F7"/>
    <w:rPr>
      <w:rFonts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933670">
      <w:marLeft w:val="0"/>
      <w:marRight w:val="0"/>
      <w:marTop w:val="0"/>
      <w:marBottom w:val="0"/>
      <w:divBdr>
        <w:top w:val="none" w:sz="0" w:space="0" w:color="auto"/>
        <w:left w:val="none" w:sz="0" w:space="0" w:color="auto"/>
        <w:bottom w:val="none" w:sz="0" w:space="0" w:color="auto"/>
        <w:right w:val="none" w:sz="0" w:space="0" w:color="auto"/>
      </w:divBdr>
      <w:divsChild>
        <w:div w:id="803933658">
          <w:marLeft w:val="0"/>
          <w:marRight w:val="0"/>
          <w:marTop w:val="0"/>
          <w:marBottom w:val="0"/>
          <w:divBdr>
            <w:top w:val="none" w:sz="0" w:space="0" w:color="auto"/>
            <w:left w:val="none" w:sz="0" w:space="0" w:color="auto"/>
            <w:bottom w:val="none" w:sz="0" w:space="0" w:color="auto"/>
            <w:right w:val="none" w:sz="0" w:space="0" w:color="auto"/>
          </w:divBdr>
        </w:div>
        <w:div w:id="803933659">
          <w:marLeft w:val="0"/>
          <w:marRight w:val="0"/>
          <w:marTop w:val="0"/>
          <w:marBottom w:val="0"/>
          <w:divBdr>
            <w:top w:val="none" w:sz="0" w:space="0" w:color="auto"/>
            <w:left w:val="none" w:sz="0" w:space="0" w:color="auto"/>
            <w:bottom w:val="none" w:sz="0" w:space="0" w:color="auto"/>
            <w:right w:val="none" w:sz="0" w:space="0" w:color="auto"/>
          </w:divBdr>
        </w:div>
        <w:div w:id="803933660">
          <w:marLeft w:val="0"/>
          <w:marRight w:val="0"/>
          <w:marTop w:val="0"/>
          <w:marBottom w:val="0"/>
          <w:divBdr>
            <w:top w:val="none" w:sz="0" w:space="0" w:color="auto"/>
            <w:left w:val="none" w:sz="0" w:space="0" w:color="auto"/>
            <w:bottom w:val="none" w:sz="0" w:space="0" w:color="auto"/>
            <w:right w:val="none" w:sz="0" w:space="0" w:color="auto"/>
          </w:divBdr>
        </w:div>
        <w:div w:id="803933661">
          <w:marLeft w:val="0"/>
          <w:marRight w:val="0"/>
          <w:marTop w:val="0"/>
          <w:marBottom w:val="0"/>
          <w:divBdr>
            <w:top w:val="none" w:sz="0" w:space="0" w:color="auto"/>
            <w:left w:val="none" w:sz="0" w:space="0" w:color="auto"/>
            <w:bottom w:val="none" w:sz="0" w:space="0" w:color="auto"/>
            <w:right w:val="none" w:sz="0" w:space="0" w:color="auto"/>
          </w:divBdr>
        </w:div>
        <w:div w:id="803933662">
          <w:marLeft w:val="0"/>
          <w:marRight w:val="0"/>
          <w:marTop w:val="0"/>
          <w:marBottom w:val="0"/>
          <w:divBdr>
            <w:top w:val="none" w:sz="0" w:space="0" w:color="auto"/>
            <w:left w:val="none" w:sz="0" w:space="0" w:color="auto"/>
            <w:bottom w:val="none" w:sz="0" w:space="0" w:color="auto"/>
            <w:right w:val="none" w:sz="0" w:space="0" w:color="auto"/>
          </w:divBdr>
        </w:div>
        <w:div w:id="803933663">
          <w:marLeft w:val="0"/>
          <w:marRight w:val="0"/>
          <w:marTop w:val="0"/>
          <w:marBottom w:val="0"/>
          <w:divBdr>
            <w:top w:val="none" w:sz="0" w:space="0" w:color="auto"/>
            <w:left w:val="none" w:sz="0" w:space="0" w:color="auto"/>
            <w:bottom w:val="none" w:sz="0" w:space="0" w:color="auto"/>
            <w:right w:val="none" w:sz="0" w:space="0" w:color="auto"/>
          </w:divBdr>
        </w:div>
        <w:div w:id="803933664">
          <w:marLeft w:val="0"/>
          <w:marRight w:val="0"/>
          <w:marTop w:val="0"/>
          <w:marBottom w:val="0"/>
          <w:divBdr>
            <w:top w:val="none" w:sz="0" w:space="0" w:color="auto"/>
            <w:left w:val="none" w:sz="0" w:space="0" w:color="auto"/>
            <w:bottom w:val="none" w:sz="0" w:space="0" w:color="auto"/>
            <w:right w:val="none" w:sz="0" w:space="0" w:color="auto"/>
          </w:divBdr>
        </w:div>
        <w:div w:id="803933665">
          <w:marLeft w:val="0"/>
          <w:marRight w:val="0"/>
          <w:marTop w:val="0"/>
          <w:marBottom w:val="0"/>
          <w:divBdr>
            <w:top w:val="none" w:sz="0" w:space="0" w:color="auto"/>
            <w:left w:val="none" w:sz="0" w:space="0" w:color="auto"/>
            <w:bottom w:val="none" w:sz="0" w:space="0" w:color="auto"/>
            <w:right w:val="none" w:sz="0" w:space="0" w:color="auto"/>
          </w:divBdr>
        </w:div>
        <w:div w:id="803933666">
          <w:marLeft w:val="0"/>
          <w:marRight w:val="0"/>
          <w:marTop w:val="0"/>
          <w:marBottom w:val="0"/>
          <w:divBdr>
            <w:top w:val="none" w:sz="0" w:space="0" w:color="auto"/>
            <w:left w:val="none" w:sz="0" w:space="0" w:color="auto"/>
            <w:bottom w:val="none" w:sz="0" w:space="0" w:color="auto"/>
            <w:right w:val="none" w:sz="0" w:space="0" w:color="auto"/>
          </w:divBdr>
        </w:div>
        <w:div w:id="803933667">
          <w:marLeft w:val="0"/>
          <w:marRight w:val="0"/>
          <w:marTop w:val="0"/>
          <w:marBottom w:val="0"/>
          <w:divBdr>
            <w:top w:val="none" w:sz="0" w:space="0" w:color="auto"/>
            <w:left w:val="none" w:sz="0" w:space="0" w:color="auto"/>
            <w:bottom w:val="none" w:sz="0" w:space="0" w:color="auto"/>
            <w:right w:val="none" w:sz="0" w:space="0" w:color="auto"/>
          </w:divBdr>
        </w:div>
        <w:div w:id="803933668">
          <w:marLeft w:val="0"/>
          <w:marRight w:val="0"/>
          <w:marTop w:val="0"/>
          <w:marBottom w:val="0"/>
          <w:divBdr>
            <w:top w:val="none" w:sz="0" w:space="0" w:color="auto"/>
            <w:left w:val="none" w:sz="0" w:space="0" w:color="auto"/>
            <w:bottom w:val="none" w:sz="0" w:space="0" w:color="auto"/>
            <w:right w:val="none" w:sz="0" w:space="0" w:color="auto"/>
          </w:divBdr>
        </w:div>
        <w:div w:id="803933669">
          <w:marLeft w:val="0"/>
          <w:marRight w:val="0"/>
          <w:marTop w:val="0"/>
          <w:marBottom w:val="0"/>
          <w:divBdr>
            <w:top w:val="none" w:sz="0" w:space="0" w:color="auto"/>
            <w:left w:val="none" w:sz="0" w:space="0" w:color="auto"/>
            <w:bottom w:val="none" w:sz="0" w:space="0" w:color="auto"/>
            <w:right w:val="none" w:sz="0" w:space="0" w:color="auto"/>
          </w:divBdr>
        </w:div>
        <w:div w:id="803933671">
          <w:marLeft w:val="0"/>
          <w:marRight w:val="0"/>
          <w:marTop w:val="0"/>
          <w:marBottom w:val="0"/>
          <w:divBdr>
            <w:top w:val="none" w:sz="0" w:space="0" w:color="auto"/>
            <w:left w:val="none" w:sz="0" w:space="0" w:color="auto"/>
            <w:bottom w:val="none" w:sz="0" w:space="0" w:color="auto"/>
            <w:right w:val="none" w:sz="0" w:space="0" w:color="auto"/>
          </w:divBdr>
        </w:div>
        <w:div w:id="803933672">
          <w:marLeft w:val="0"/>
          <w:marRight w:val="0"/>
          <w:marTop w:val="0"/>
          <w:marBottom w:val="0"/>
          <w:divBdr>
            <w:top w:val="none" w:sz="0" w:space="0" w:color="auto"/>
            <w:left w:val="none" w:sz="0" w:space="0" w:color="auto"/>
            <w:bottom w:val="none" w:sz="0" w:space="0" w:color="auto"/>
            <w:right w:val="none" w:sz="0" w:space="0" w:color="auto"/>
          </w:divBdr>
        </w:div>
        <w:div w:id="803933673">
          <w:marLeft w:val="0"/>
          <w:marRight w:val="0"/>
          <w:marTop w:val="0"/>
          <w:marBottom w:val="0"/>
          <w:divBdr>
            <w:top w:val="none" w:sz="0" w:space="0" w:color="auto"/>
            <w:left w:val="none" w:sz="0" w:space="0" w:color="auto"/>
            <w:bottom w:val="none" w:sz="0" w:space="0" w:color="auto"/>
            <w:right w:val="none" w:sz="0" w:space="0" w:color="auto"/>
          </w:divBdr>
        </w:div>
        <w:div w:id="803933674">
          <w:marLeft w:val="0"/>
          <w:marRight w:val="0"/>
          <w:marTop w:val="0"/>
          <w:marBottom w:val="0"/>
          <w:divBdr>
            <w:top w:val="none" w:sz="0" w:space="0" w:color="auto"/>
            <w:left w:val="none" w:sz="0" w:space="0" w:color="auto"/>
            <w:bottom w:val="none" w:sz="0" w:space="0" w:color="auto"/>
            <w:right w:val="none" w:sz="0" w:space="0" w:color="auto"/>
          </w:divBdr>
        </w:div>
        <w:div w:id="803933675">
          <w:marLeft w:val="0"/>
          <w:marRight w:val="0"/>
          <w:marTop w:val="0"/>
          <w:marBottom w:val="0"/>
          <w:divBdr>
            <w:top w:val="none" w:sz="0" w:space="0" w:color="auto"/>
            <w:left w:val="none" w:sz="0" w:space="0" w:color="auto"/>
            <w:bottom w:val="none" w:sz="0" w:space="0" w:color="auto"/>
            <w:right w:val="none" w:sz="0" w:space="0" w:color="auto"/>
          </w:divBdr>
        </w:div>
        <w:div w:id="803933676">
          <w:marLeft w:val="0"/>
          <w:marRight w:val="0"/>
          <w:marTop w:val="0"/>
          <w:marBottom w:val="0"/>
          <w:divBdr>
            <w:top w:val="none" w:sz="0" w:space="0" w:color="auto"/>
            <w:left w:val="none" w:sz="0" w:space="0" w:color="auto"/>
            <w:bottom w:val="none" w:sz="0" w:space="0" w:color="auto"/>
            <w:right w:val="none" w:sz="0" w:space="0" w:color="auto"/>
          </w:divBdr>
        </w:div>
        <w:div w:id="803933677">
          <w:marLeft w:val="0"/>
          <w:marRight w:val="0"/>
          <w:marTop w:val="0"/>
          <w:marBottom w:val="0"/>
          <w:divBdr>
            <w:top w:val="none" w:sz="0" w:space="0" w:color="auto"/>
            <w:left w:val="none" w:sz="0" w:space="0" w:color="auto"/>
            <w:bottom w:val="none" w:sz="0" w:space="0" w:color="auto"/>
            <w:right w:val="none" w:sz="0" w:space="0" w:color="auto"/>
          </w:divBdr>
        </w:div>
        <w:div w:id="803933678">
          <w:marLeft w:val="0"/>
          <w:marRight w:val="0"/>
          <w:marTop w:val="0"/>
          <w:marBottom w:val="0"/>
          <w:divBdr>
            <w:top w:val="none" w:sz="0" w:space="0" w:color="auto"/>
            <w:left w:val="none" w:sz="0" w:space="0" w:color="auto"/>
            <w:bottom w:val="none" w:sz="0" w:space="0" w:color="auto"/>
            <w:right w:val="none" w:sz="0" w:space="0" w:color="auto"/>
          </w:divBdr>
        </w:div>
        <w:div w:id="803933679">
          <w:marLeft w:val="0"/>
          <w:marRight w:val="0"/>
          <w:marTop w:val="0"/>
          <w:marBottom w:val="0"/>
          <w:divBdr>
            <w:top w:val="none" w:sz="0" w:space="0" w:color="auto"/>
            <w:left w:val="none" w:sz="0" w:space="0" w:color="auto"/>
            <w:bottom w:val="none" w:sz="0" w:space="0" w:color="auto"/>
            <w:right w:val="none" w:sz="0" w:space="0" w:color="auto"/>
          </w:divBdr>
        </w:div>
        <w:div w:id="803933680">
          <w:marLeft w:val="0"/>
          <w:marRight w:val="0"/>
          <w:marTop w:val="0"/>
          <w:marBottom w:val="0"/>
          <w:divBdr>
            <w:top w:val="none" w:sz="0" w:space="0" w:color="auto"/>
            <w:left w:val="none" w:sz="0" w:space="0" w:color="auto"/>
            <w:bottom w:val="none" w:sz="0" w:space="0" w:color="auto"/>
            <w:right w:val="none" w:sz="0" w:space="0" w:color="auto"/>
          </w:divBdr>
        </w:div>
        <w:div w:id="803933681">
          <w:marLeft w:val="0"/>
          <w:marRight w:val="0"/>
          <w:marTop w:val="0"/>
          <w:marBottom w:val="0"/>
          <w:divBdr>
            <w:top w:val="none" w:sz="0" w:space="0" w:color="auto"/>
            <w:left w:val="none" w:sz="0" w:space="0" w:color="auto"/>
            <w:bottom w:val="none" w:sz="0" w:space="0" w:color="auto"/>
            <w:right w:val="none" w:sz="0" w:space="0" w:color="auto"/>
          </w:divBdr>
        </w:div>
        <w:div w:id="803933682">
          <w:marLeft w:val="0"/>
          <w:marRight w:val="0"/>
          <w:marTop w:val="0"/>
          <w:marBottom w:val="0"/>
          <w:divBdr>
            <w:top w:val="none" w:sz="0" w:space="0" w:color="auto"/>
            <w:left w:val="none" w:sz="0" w:space="0" w:color="auto"/>
            <w:bottom w:val="none" w:sz="0" w:space="0" w:color="auto"/>
            <w:right w:val="none" w:sz="0" w:space="0" w:color="auto"/>
          </w:divBdr>
        </w:div>
        <w:div w:id="803933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3097</Words>
  <Characters>17659</Characters>
  <Application>Microsoft Office Word</Application>
  <DocSecurity>0</DocSecurity>
  <Lines>147</Lines>
  <Paragraphs>41</Paragraphs>
  <ScaleCrop>false</ScaleCrop>
  <Company>Hewlett-Packard Company</Company>
  <LinksUpToDate>false</LinksUpToDate>
  <CharactersWithSpaces>20715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Lourdes Ynson</dc:creator>
  <cp:lastModifiedBy>LS Ma</cp:lastModifiedBy>
  <cp:revision>2</cp:revision>
  <cp:lastPrinted>2012-11-30T03:18:00Z</cp:lastPrinted>
  <dcterms:created xsi:type="dcterms:W3CDTF">2013-01-23T05:22:00Z</dcterms:created>
  <dcterms:modified xsi:type="dcterms:W3CDTF">2013-01-23T05:22:00Z</dcterms:modified>
</cp:coreProperties>
</file>