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4" w:rsidRPr="00ED4C00" w:rsidRDefault="00332594" w:rsidP="000E5643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color w:val="000000" w:themeColor="text1"/>
          <w:sz w:val="24"/>
        </w:rPr>
        <w:t xml:space="preserve">Name of journal: </w:t>
      </w:r>
      <w:r w:rsidRPr="00ED4C00">
        <w:rPr>
          <w:rFonts w:ascii="Book Antiqua" w:hAnsi="Book Antiqua"/>
          <w:bCs/>
          <w:i/>
          <w:color w:val="000000" w:themeColor="text1"/>
          <w:sz w:val="24"/>
        </w:rPr>
        <w:t>World Journal of Gastroenterology</w:t>
      </w:r>
    </w:p>
    <w:p w:rsidR="00332594" w:rsidRPr="00ED4C00" w:rsidRDefault="00332594" w:rsidP="000E5643">
      <w:pPr>
        <w:snapToGrid w:val="0"/>
        <w:spacing w:line="360" w:lineRule="auto"/>
        <w:rPr>
          <w:rFonts w:ascii="Book Antiqua" w:eastAsia="宋体" w:hAnsi="Book Antiqua"/>
          <w:b/>
          <w:bCs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bCs/>
          <w:color w:val="000000" w:themeColor="text1"/>
          <w:sz w:val="24"/>
        </w:rPr>
        <w:t>ESPS Manuscript NO: 9791</w:t>
      </w:r>
    </w:p>
    <w:p w:rsidR="0032737B" w:rsidRPr="00ED4C00" w:rsidRDefault="0032737B" w:rsidP="000E5643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  <w:sz w:val="24"/>
          <w:lang w:eastAsia="zh-CN"/>
        </w:rPr>
      </w:pPr>
      <w:r w:rsidRPr="00ED4C00">
        <w:rPr>
          <w:rFonts w:ascii="Book Antiqua" w:hAnsi="Book Antiqua"/>
          <w:b/>
          <w:color w:val="000000" w:themeColor="text1"/>
          <w:kern w:val="0"/>
          <w:sz w:val="24"/>
        </w:rPr>
        <w:t xml:space="preserve">Columns: </w:t>
      </w:r>
      <w:r w:rsidRPr="00ED4C00">
        <w:rPr>
          <w:rFonts w:ascii="Book Antiqua" w:eastAsia="宋体" w:hAnsi="Book Antiqua"/>
          <w:b/>
          <w:color w:val="000000" w:themeColor="text1"/>
          <w:kern w:val="0"/>
          <w:sz w:val="24"/>
          <w:lang w:eastAsia="zh-CN"/>
        </w:rPr>
        <w:t>CASE REPORT</w:t>
      </w:r>
    </w:p>
    <w:p w:rsidR="00332594" w:rsidRPr="00ED4C00" w:rsidRDefault="00332594" w:rsidP="000E5643">
      <w:pPr>
        <w:snapToGrid w:val="0"/>
        <w:spacing w:line="360" w:lineRule="auto"/>
        <w:rPr>
          <w:rFonts w:ascii="Book Antiqua" w:eastAsia="宋体" w:hAnsi="Book Antiqua"/>
          <w:b/>
          <w:bCs/>
          <w:color w:val="000000" w:themeColor="text1"/>
          <w:sz w:val="24"/>
          <w:lang w:eastAsia="zh-CN"/>
        </w:rPr>
      </w:pPr>
    </w:p>
    <w:p w:rsidR="005F1383" w:rsidRPr="00ED4C00" w:rsidRDefault="000547F8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color w:val="000000" w:themeColor="text1"/>
          <w:sz w:val="24"/>
        </w:rPr>
        <w:t>Amenorrhea</w:t>
      </w:r>
      <w:r w:rsidRPr="00ED4C00">
        <w:rPr>
          <w:rFonts w:ascii="Book Antiqua" w:hAnsi="Book Antiqua"/>
          <w:b/>
          <w:color w:val="000000" w:themeColor="text1"/>
          <w:sz w:val="24"/>
        </w:rPr>
        <w:t xml:space="preserve"> as</w:t>
      </w:r>
      <w:r w:rsidR="00DB5AA2" w:rsidRPr="00ED4C00">
        <w:rPr>
          <w:rFonts w:ascii="Book Antiqua" w:hAnsi="Book Antiqua"/>
          <w:b/>
          <w:color w:val="000000" w:themeColor="text1"/>
          <w:sz w:val="24"/>
        </w:rPr>
        <w:t xml:space="preserve"> a</w:t>
      </w:r>
      <w:r w:rsidRPr="00ED4C00">
        <w:rPr>
          <w:rFonts w:ascii="Book Antiqua" w:hAnsi="Book Antiqua"/>
          <w:b/>
          <w:color w:val="000000" w:themeColor="text1"/>
          <w:sz w:val="24"/>
        </w:rPr>
        <w:t xml:space="preserve"> rare drug-related adverse event associated with </w:t>
      </w:r>
      <w:proofErr w:type="spellStart"/>
      <w:r w:rsidRPr="00ED4C00">
        <w:rPr>
          <w:rFonts w:ascii="Book Antiqua" w:hAnsi="Book Antiqua"/>
          <w:b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b/>
          <w:color w:val="000000" w:themeColor="text1"/>
          <w:sz w:val="24"/>
        </w:rPr>
        <w:t xml:space="preserve"> for </w:t>
      </w:r>
      <w:r w:rsidR="0032737B" w:rsidRPr="00ED4C00">
        <w:rPr>
          <w:rFonts w:ascii="Book Antiqua" w:hAnsi="Book Antiqua"/>
          <w:b/>
          <w:color w:val="000000" w:themeColor="text1"/>
          <w:sz w:val="24"/>
        </w:rPr>
        <w:t>pancreatic neuroendocrine tumor</w:t>
      </w:r>
      <w:r w:rsidR="005F1383" w:rsidRPr="00ED4C00">
        <w:rPr>
          <w:rFonts w:ascii="Book Antiqua" w:hAnsi="Book Antiqua"/>
          <w:b/>
          <w:color w:val="000000" w:themeColor="text1"/>
          <w:sz w:val="24"/>
        </w:rPr>
        <w:t>s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332594" w:rsidRPr="00ED4C00" w:rsidRDefault="00332594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bCs/>
          <w:color w:val="000000" w:themeColor="text1"/>
          <w:sz w:val="24"/>
        </w:rPr>
        <w:t xml:space="preserve">Kawaguchi Y </w:t>
      </w:r>
      <w:r w:rsidRPr="00ED4C00">
        <w:rPr>
          <w:rFonts w:ascii="Book Antiqua" w:hAnsi="Book Antiqua"/>
          <w:bCs/>
          <w:i/>
          <w:color w:val="000000" w:themeColor="text1"/>
          <w:sz w:val="24"/>
        </w:rPr>
        <w:t>et al</w:t>
      </w:r>
      <w:r w:rsidRPr="00ED4C00">
        <w:rPr>
          <w:rFonts w:ascii="Book Antiqua" w:hAnsi="Book Antiqua"/>
          <w:bCs/>
          <w:color w:val="000000" w:themeColor="text1"/>
          <w:sz w:val="24"/>
        </w:rPr>
        <w:t>. Amenorrhea</w:t>
      </w:r>
      <w:r w:rsidRPr="00ED4C00">
        <w:rPr>
          <w:rFonts w:ascii="Book Antiqua" w:hAnsi="Book Antiqua"/>
          <w:color w:val="000000" w:themeColor="text1"/>
          <w:sz w:val="24"/>
        </w:rPr>
        <w:t xml:space="preserve"> associated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for PNETs</w:t>
      </w:r>
    </w:p>
    <w:p w:rsidR="00332594" w:rsidRPr="00ED4C00" w:rsidRDefault="00332594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 xml:space="preserve">Yoshiaki Kawaguchi, </w:t>
      </w:r>
      <w:r w:rsidR="00020269" w:rsidRPr="00ED4C00">
        <w:rPr>
          <w:rFonts w:ascii="Book Antiqua" w:hAnsi="Book Antiqua"/>
          <w:color w:val="000000" w:themeColor="text1"/>
          <w:sz w:val="24"/>
        </w:rPr>
        <w:t xml:space="preserve">Atsuko </w:t>
      </w:r>
      <w:proofErr w:type="spellStart"/>
      <w:r w:rsidR="00020269" w:rsidRPr="00ED4C00">
        <w:rPr>
          <w:rFonts w:ascii="Book Antiqua" w:hAnsi="Book Antiqua"/>
          <w:color w:val="000000" w:themeColor="text1"/>
          <w:sz w:val="24"/>
        </w:rPr>
        <w:t>Maruno</w:t>
      </w:r>
      <w:proofErr w:type="spellEnd"/>
      <w:r w:rsidR="00020269" w:rsidRPr="00ED4C0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Yo</w:t>
      </w:r>
      <w:r w:rsidR="000547F8" w:rsidRPr="00ED4C00">
        <w:rPr>
          <w:rFonts w:ascii="Book Antiqua" w:hAnsi="Book Antiqua"/>
          <w:color w:val="000000" w:themeColor="text1"/>
          <w:sz w:val="24"/>
        </w:rPr>
        <w:t>hei</w:t>
      </w:r>
      <w:proofErr w:type="spellEnd"/>
      <w:r w:rsidR="000547F8" w:rsidRPr="00ED4C00">
        <w:rPr>
          <w:rFonts w:ascii="Book Antiqua" w:hAnsi="Book Antiqua"/>
          <w:color w:val="000000" w:themeColor="text1"/>
          <w:sz w:val="24"/>
        </w:rPr>
        <w:t xml:space="preserve"> Kawashima, </w:t>
      </w:r>
      <w:r w:rsidRPr="00ED4C00">
        <w:rPr>
          <w:rFonts w:ascii="Book Antiqua" w:hAnsi="Book Antiqua"/>
          <w:color w:val="000000" w:themeColor="text1"/>
          <w:sz w:val="24"/>
        </w:rPr>
        <w:t xml:space="preserve">Hiroyuki Ito, </w:t>
      </w:r>
      <w:r w:rsidR="000547F8" w:rsidRPr="00ED4C00">
        <w:rPr>
          <w:rFonts w:ascii="Book Antiqua" w:hAnsi="Book Antiqua"/>
          <w:color w:val="000000" w:themeColor="text1"/>
          <w:sz w:val="24"/>
        </w:rPr>
        <w:t xml:space="preserve">Masami Ogawa, </w:t>
      </w:r>
      <w:r w:rsidRPr="00ED4C00">
        <w:rPr>
          <w:rFonts w:ascii="Book Antiqua" w:hAnsi="Book Antiqua"/>
          <w:color w:val="000000" w:themeColor="text1"/>
          <w:sz w:val="24"/>
        </w:rPr>
        <w:t>Tetsuya Mine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32737B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 xml:space="preserve">Yoshiaki Kawaguchi, Atsuko </w:t>
      </w:r>
      <w:proofErr w:type="spellStart"/>
      <w:r w:rsidRPr="00ED4C00">
        <w:rPr>
          <w:rFonts w:ascii="Book Antiqua" w:hAnsi="Book Antiqua"/>
          <w:b/>
          <w:color w:val="000000" w:themeColor="text1"/>
          <w:sz w:val="24"/>
        </w:rPr>
        <w:t>Maruno</w:t>
      </w:r>
      <w:proofErr w:type="spellEnd"/>
      <w:r w:rsidRPr="00ED4C00">
        <w:rPr>
          <w:rFonts w:ascii="Book Antiqua" w:hAnsi="Book Antiqua"/>
          <w:b/>
          <w:color w:val="000000" w:themeColor="text1"/>
          <w:sz w:val="24"/>
        </w:rPr>
        <w:t xml:space="preserve">, </w:t>
      </w:r>
      <w:proofErr w:type="spellStart"/>
      <w:r w:rsidRPr="00ED4C00">
        <w:rPr>
          <w:rFonts w:ascii="Book Antiqua" w:hAnsi="Book Antiqua"/>
          <w:b/>
          <w:color w:val="000000" w:themeColor="text1"/>
          <w:sz w:val="24"/>
        </w:rPr>
        <w:t>Yohei</w:t>
      </w:r>
      <w:proofErr w:type="spellEnd"/>
      <w:r w:rsidRPr="00ED4C00">
        <w:rPr>
          <w:rFonts w:ascii="Book Antiqua" w:hAnsi="Book Antiqua"/>
          <w:b/>
          <w:color w:val="000000" w:themeColor="text1"/>
          <w:sz w:val="24"/>
        </w:rPr>
        <w:t xml:space="preserve"> Kawashima, Hiroyuki Ito, Masami Ogawa, Tetsuya Mine</w:t>
      </w:r>
      <w:r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, </w:t>
      </w:r>
      <w:r w:rsidR="005F1383" w:rsidRPr="00ED4C00">
        <w:rPr>
          <w:rFonts w:ascii="Book Antiqua" w:hAnsi="Book Antiqua"/>
          <w:color w:val="000000" w:themeColor="text1"/>
          <w:sz w:val="24"/>
        </w:rPr>
        <w:t xml:space="preserve">Department of Gastroenterology, Tokai University School of Medicine,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Isehara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 259-1193, Japan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332594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 xml:space="preserve">Author contributions: </w:t>
      </w:r>
      <w:r w:rsidRPr="00ED4C00">
        <w:rPr>
          <w:rFonts w:ascii="Book Antiqua" w:hAnsi="Book Antiqua"/>
          <w:color w:val="000000" w:themeColor="text1"/>
          <w:sz w:val="24"/>
        </w:rPr>
        <w:t xml:space="preserve">Kawaguchi Y contributed mainly to this work; Kawaguchi Y wrote the paper;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Maruno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A, Kawashima Y, Ito H, Ogawa M and Mine T, supported and checked the paper.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332594" w:rsidRPr="00ED4C00" w:rsidRDefault="00332594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Correspondence to: Yoshiaki Kawaguchi, MD, PhD</w:t>
      </w:r>
      <w:r w:rsidRPr="00ED4C00">
        <w:rPr>
          <w:rFonts w:ascii="Book Antiqua" w:hAnsi="Book Antiqua"/>
          <w:color w:val="000000" w:themeColor="text1"/>
          <w:sz w:val="24"/>
        </w:rPr>
        <w:t xml:space="preserve">, </w:t>
      </w:r>
      <w:r w:rsidR="003073CF" w:rsidRPr="00ED4C00">
        <w:rPr>
          <w:rFonts w:ascii="Book Antiqua" w:hAnsi="Book Antiqua"/>
          <w:color w:val="000000" w:themeColor="text1"/>
          <w:sz w:val="24"/>
        </w:rPr>
        <w:t xml:space="preserve">Department of </w:t>
      </w:r>
      <w:r w:rsidRPr="00ED4C00">
        <w:rPr>
          <w:rFonts w:ascii="Book Antiqua" w:hAnsi="Book Antiqua"/>
          <w:color w:val="000000" w:themeColor="text1"/>
          <w:sz w:val="24"/>
        </w:rPr>
        <w:t xml:space="preserve">Gastroenterology, Tokai University School of Medicine, 143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Shimo</w:t>
      </w:r>
      <w:r w:rsidR="00371D91">
        <w:rPr>
          <w:rFonts w:ascii="Book Antiqua" w:hAnsi="Book Antiqua"/>
          <w:color w:val="000000" w:themeColor="text1"/>
          <w:sz w:val="24"/>
        </w:rPr>
        <w:t>kasuya</w:t>
      </w:r>
      <w:proofErr w:type="spellEnd"/>
      <w:r w:rsidR="00371D91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="00371D91">
        <w:rPr>
          <w:rFonts w:ascii="Book Antiqua" w:hAnsi="Book Antiqua"/>
          <w:color w:val="000000" w:themeColor="text1"/>
          <w:sz w:val="24"/>
        </w:rPr>
        <w:t>Isehara</w:t>
      </w:r>
      <w:proofErr w:type="spellEnd"/>
      <w:r w:rsidR="00371D91">
        <w:rPr>
          <w:rFonts w:ascii="Book Antiqua" w:hAnsi="Book Antiqua"/>
          <w:color w:val="000000" w:themeColor="text1"/>
          <w:sz w:val="24"/>
        </w:rPr>
        <w:t xml:space="preserve"> 259-1193, Japan.</w:t>
      </w:r>
      <w:r w:rsidRPr="00ED4C00">
        <w:rPr>
          <w:rFonts w:ascii="Book Antiqua" w:hAnsi="Book Antiqua"/>
          <w:color w:val="000000" w:themeColor="text1"/>
          <w:sz w:val="24"/>
        </w:rPr>
        <w:t xml:space="preserve"> </w:t>
      </w:r>
      <w:hyperlink r:id="rId8" w:history="1">
        <w:r w:rsidRPr="00ED4C00">
          <w:rPr>
            <w:rStyle w:val="a3"/>
            <w:rFonts w:ascii="Book Antiqua" w:hAnsi="Book Antiqua"/>
            <w:color w:val="000000" w:themeColor="text1"/>
            <w:sz w:val="24"/>
            <w:u w:val="none"/>
          </w:rPr>
          <w:t>y711kawa@is.icc.u-tokai.ac.jp</w:t>
        </w:r>
      </w:hyperlink>
    </w:p>
    <w:p w:rsidR="003073CF" w:rsidRPr="00ED4C00" w:rsidRDefault="003073CF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</w:p>
    <w:p w:rsidR="00332594" w:rsidRPr="00ED4C00" w:rsidRDefault="00332594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Telephone:</w:t>
      </w:r>
      <w:r w:rsidR="003073CF" w:rsidRPr="00ED4C00">
        <w:rPr>
          <w:rFonts w:ascii="Book Antiqua" w:hAnsi="Book Antiqua"/>
          <w:color w:val="000000" w:themeColor="text1"/>
          <w:sz w:val="24"/>
        </w:rPr>
        <w:t xml:space="preserve"> +81-463-93</w:t>
      </w:r>
      <w:r w:rsidRPr="00ED4C00">
        <w:rPr>
          <w:rFonts w:ascii="Book Antiqua" w:hAnsi="Book Antiqua"/>
          <w:color w:val="000000" w:themeColor="text1"/>
          <w:sz w:val="24"/>
        </w:rPr>
        <w:t xml:space="preserve">1121     </w:t>
      </w:r>
      <w:r w:rsidRPr="00ED4C00">
        <w:rPr>
          <w:rFonts w:ascii="Book Antiqua" w:hAnsi="Book Antiqua"/>
          <w:b/>
          <w:color w:val="000000" w:themeColor="text1"/>
          <w:sz w:val="24"/>
        </w:rPr>
        <w:t>F</w:t>
      </w:r>
      <w:r w:rsidR="003073CF" w:rsidRPr="00ED4C00">
        <w:rPr>
          <w:rFonts w:ascii="Book Antiqua" w:hAnsi="Book Antiqua"/>
          <w:b/>
          <w:color w:val="000000" w:themeColor="text1"/>
          <w:sz w:val="24"/>
        </w:rPr>
        <w:t>ax</w:t>
      </w:r>
      <w:r w:rsidRPr="00ED4C00">
        <w:rPr>
          <w:rFonts w:ascii="Book Antiqua" w:hAnsi="Book Antiqua"/>
          <w:b/>
          <w:color w:val="000000" w:themeColor="text1"/>
          <w:sz w:val="24"/>
        </w:rPr>
        <w:t>:</w:t>
      </w:r>
      <w:r w:rsidR="003073CF" w:rsidRPr="00ED4C00">
        <w:rPr>
          <w:rFonts w:ascii="Book Antiqua" w:hAnsi="Book Antiqua"/>
          <w:color w:val="000000" w:themeColor="text1"/>
          <w:sz w:val="24"/>
        </w:rPr>
        <w:t xml:space="preserve"> +81-463-93</w:t>
      </w:r>
      <w:r w:rsidRPr="00ED4C00">
        <w:rPr>
          <w:rFonts w:ascii="Book Antiqua" w:hAnsi="Book Antiqua"/>
          <w:color w:val="000000" w:themeColor="text1"/>
          <w:sz w:val="24"/>
        </w:rPr>
        <w:t>7134</w:t>
      </w:r>
    </w:p>
    <w:p w:rsidR="00AF4ECE" w:rsidRPr="00ED4C00" w:rsidRDefault="00AF4ECE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Received:</w:t>
      </w:r>
      <w:r w:rsidR="003073CF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r w:rsidR="003073CF" w:rsidRPr="00ED4C00">
        <w:rPr>
          <w:rFonts w:ascii="Book Antiqua" w:eastAsia="宋体" w:hAnsi="Book Antiqua"/>
          <w:color w:val="000000" w:themeColor="text1"/>
          <w:sz w:val="24"/>
          <w:lang w:eastAsia="zh-CN"/>
        </w:rPr>
        <w:t>February 27, 2014</w:t>
      </w:r>
      <w:r w:rsidR="003073CF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   </w:t>
      </w:r>
      <w:r w:rsidRPr="00ED4C00">
        <w:rPr>
          <w:rFonts w:ascii="Book Antiqua" w:hAnsi="Book Antiqua"/>
          <w:b/>
          <w:color w:val="000000" w:themeColor="text1"/>
          <w:sz w:val="24"/>
        </w:rPr>
        <w:t>Revised:</w:t>
      </w:r>
      <w:r w:rsidR="003073CF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r w:rsidR="003073CF" w:rsidRPr="00ED4C00">
        <w:rPr>
          <w:rFonts w:ascii="Book Antiqua" w:eastAsia="宋体" w:hAnsi="Book Antiqua"/>
          <w:color w:val="000000" w:themeColor="text1"/>
          <w:sz w:val="24"/>
          <w:lang w:eastAsia="zh-CN"/>
        </w:rPr>
        <w:t>May 21, 2014</w:t>
      </w:r>
    </w:p>
    <w:p w:rsidR="00B46045" w:rsidRDefault="00AF4ECE" w:rsidP="00B46045">
      <w:pPr>
        <w:rPr>
          <w:rFonts w:ascii="Book Antiqua" w:hAnsi="Book Antiqua"/>
          <w:color w:val="000000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Accepted: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9"/>
      <w:r w:rsidR="00B46045" w:rsidRPr="00B46045">
        <w:rPr>
          <w:rFonts w:ascii="Book Antiqua" w:hAnsi="Book Antiqua"/>
          <w:color w:val="000000"/>
          <w:sz w:val="24"/>
        </w:rPr>
        <w:t xml:space="preserve"> </w:t>
      </w:r>
      <w:r w:rsidR="00B46045">
        <w:rPr>
          <w:rFonts w:ascii="Book Antiqua" w:hAnsi="Book Antiqua"/>
          <w:color w:val="000000"/>
          <w:sz w:val="24"/>
        </w:rPr>
        <w:t>June 14, 2014</w:t>
      </w:r>
    </w:p>
    <w:p w:rsidR="00AF4ECE" w:rsidRPr="00ED4C00" w:rsidRDefault="00AF4ECE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bookmarkStart w:id="2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AF4ECE" w:rsidRPr="00ED4C00" w:rsidRDefault="00AF4ECE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Published online:</w:t>
      </w:r>
    </w:p>
    <w:p w:rsidR="00AF4ECE" w:rsidRPr="00ED4C00" w:rsidRDefault="00AF4ECE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</w:p>
    <w:p w:rsidR="003073CF" w:rsidRPr="00ED4C00" w:rsidRDefault="003073CF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</w:p>
    <w:p w:rsidR="008505CB" w:rsidRPr="00ED4C00" w:rsidRDefault="008505CB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Abstract</w:t>
      </w:r>
    </w:p>
    <w:p w:rsidR="008505CB" w:rsidRPr="00ED4C00" w:rsidRDefault="008505CB" w:rsidP="000E5643">
      <w:pPr>
        <w:snapToGrid w:val="0"/>
        <w:spacing w:line="360" w:lineRule="auto"/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</w:pP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The patient was an asymptomatic 43-year-old woman. Abdominal ultrasonography and enhanced computed tomography showed a tumor lesion accompanied by multiple cystic changes in the liver and the pancreatic tail. Endoscopic ultrasound-fine needle aspiration was performed on the pancreatic tumor lesion and revealed </w:t>
      </w:r>
      <w:r w:rsidR="00DB5AA2" w:rsidRPr="00ED4C00">
        <w:rPr>
          <w:rFonts w:ascii="Book Antiqua" w:hAnsi="Book Antiqua"/>
          <w:color w:val="000000" w:themeColor="text1"/>
          <w:sz w:val="24"/>
        </w:rPr>
        <w:t xml:space="preserve">pancreatic </w:t>
      </w:r>
      <w:r w:rsidR="001477FF" w:rsidRPr="00ED4C00">
        <w:rPr>
          <w:rFonts w:ascii="Book Antiqua" w:hAnsi="Book Antiqua"/>
          <w:color w:val="000000" w:themeColor="text1"/>
          <w:sz w:val="24"/>
        </w:rPr>
        <w:t>n</w:t>
      </w:r>
      <w:r w:rsidR="003073CF" w:rsidRPr="00ED4C00">
        <w:rPr>
          <w:rFonts w:ascii="Book Antiqua" w:hAnsi="Book Antiqua"/>
          <w:color w:val="000000" w:themeColor="text1"/>
          <w:sz w:val="24"/>
        </w:rPr>
        <w:t>euroendocrine tumor (</w:t>
      </w:r>
      <w:r w:rsidR="00DB5AA2" w:rsidRPr="00ED4C00">
        <w:rPr>
          <w:rFonts w:ascii="Book Antiqua" w:eastAsiaTheme="minorEastAsia" w:hAnsi="Book Antiqua"/>
          <w:color w:val="000000" w:themeColor="text1"/>
          <w:sz w:val="24"/>
          <w:lang w:eastAsia="zh-CN"/>
        </w:rPr>
        <w:t>P</w:t>
      </w:r>
      <w:r w:rsidR="003073CF" w:rsidRPr="00ED4C00">
        <w:rPr>
          <w:rFonts w:ascii="Book Antiqua" w:hAnsi="Book Antiqua"/>
          <w:color w:val="000000" w:themeColor="text1"/>
          <w:sz w:val="24"/>
        </w:rPr>
        <w:t>NET)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. As it was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unresectable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due to multiple liver metastases, the decision was made to initiate treatment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and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transcatheter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arterial chemoembolization. The patient ceased menstruating after the start of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administration. When the administration was discontinued due to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interstitial lung disease, menstruation resumed, but then again stopped with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e</w:t>
      </w:r>
      <w:r w:rsidRPr="00ED4C00">
        <w:rPr>
          <w:rFonts w:ascii="Book Antiqua" w:hAnsi="Book Antiqua"/>
          <w:color w:val="000000" w:themeColor="text1"/>
          <w:sz w:val="24"/>
        </w:rPr>
        <w:t>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resumption. An association </w:t>
      </w:r>
      <w:r w:rsidRPr="00ED4C00">
        <w:rPr>
          <w:rFonts w:ascii="Book Antiqua" w:hAnsi="Book Antiqua"/>
          <w:bCs/>
          <w:color w:val="000000" w:themeColor="text1"/>
          <w:sz w:val="24"/>
        </w:rPr>
        <w:t xml:space="preserve">between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sz w:val="24"/>
        </w:rPr>
        <w:t xml:space="preserve"> and amenorrhea</w:t>
      </w:r>
      <w:r w:rsidRPr="00ED4C00">
        <w:rPr>
          <w:rFonts w:ascii="Book Antiqua" w:hAnsi="Book Antiqua"/>
          <w:color w:val="000000" w:themeColor="text1"/>
          <w:sz w:val="24"/>
        </w:rPr>
        <w:t xml:space="preserve"> was highly suspected.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Amenorrhea occurred as a rare adverse event of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. As the younger women might be included in </w:t>
      </w:r>
      <w:r w:rsidR="00DB5AA2" w:rsidRPr="00ED4C00">
        <w:rPr>
          <w:rFonts w:ascii="Book Antiqua" w:eastAsiaTheme="minorEastAsia" w:hAnsi="Book Antiqua"/>
          <w:color w:val="000000" w:themeColor="text1"/>
          <w:sz w:val="24"/>
          <w:lang w:eastAsia="zh-CN"/>
        </w:rPr>
        <w:t>P</w:t>
      </w:r>
      <w:r w:rsidR="001477FF"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 xml:space="preserve">NETs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patients, we should put this adverse event into consideration.</w:t>
      </w:r>
    </w:p>
    <w:p w:rsidR="001477FF" w:rsidRPr="00ED4C00" w:rsidRDefault="001477FF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</w:p>
    <w:p w:rsidR="001477FF" w:rsidRPr="00ED4C00" w:rsidRDefault="001477FF" w:rsidP="000E5643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21" w:name="OLE_LINK98"/>
      <w:bookmarkStart w:id="22" w:name="OLE_LINK156"/>
      <w:bookmarkStart w:id="23" w:name="OLE_LINK196"/>
      <w:bookmarkStart w:id="24" w:name="OLE_LINK217"/>
      <w:bookmarkStart w:id="25" w:name="OLE_LINK242"/>
      <w:bookmarkStart w:id="26" w:name="OLE_LINK247"/>
      <w:bookmarkStart w:id="27" w:name="OLE_LINK311"/>
      <w:bookmarkStart w:id="28" w:name="OLE_LINK312"/>
      <w:bookmarkStart w:id="29" w:name="OLE_LINK325"/>
      <w:bookmarkStart w:id="30" w:name="OLE_LINK330"/>
      <w:bookmarkStart w:id="31" w:name="OLE_LINK513"/>
      <w:bookmarkStart w:id="32" w:name="OLE_LINK514"/>
      <w:bookmarkStart w:id="33" w:name="OLE_LINK464"/>
      <w:bookmarkStart w:id="34" w:name="OLE_LINK465"/>
      <w:bookmarkStart w:id="35" w:name="OLE_LINK466"/>
      <w:bookmarkStart w:id="36" w:name="OLE_LINK470"/>
      <w:bookmarkStart w:id="37" w:name="OLE_LINK471"/>
      <w:bookmarkStart w:id="38" w:name="OLE_LINK472"/>
      <w:bookmarkStart w:id="39" w:name="OLE_LINK474"/>
      <w:bookmarkStart w:id="40" w:name="OLE_LINK512"/>
      <w:bookmarkStart w:id="41" w:name="OLE_LINK800"/>
      <w:bookmarkStart w:id="42" w:name="OLE_LINK982"/>
      <w:bookmarkStart w:id="43" w:name="OLE_LINK1027"/>
      <w:bookmarkStart w:id="44" w:name="OLE_LINK504"/>
      <w:bookmarkStart w:id="45" w:name="OLE_LINK546"/>
      <w:bookmarkStart w:id="46" w:name="OLE_LINK547"/>
      <w:bookmarkStart w:id="47" w:name="OLE_LINK575"/>
      <w:bookmarkStart w:id="48" w:name="OLE_LINK640"/>
      <w:bookmarkStart w:id="49" w:name="OLE_LINK672"/>
      <w:bookmarkStart w:id="50" w:name="OLE_LINK714"/>
      <w:bookmarkStart w:id="51" w:name="OLE_LINK651"/>
      <w:bookmarkStart w:id="52" w:name="OLE_LINK652"/>
      <w:bookmarkStart w:id="53" w:name="OLE_LINK744"/>
      <w:bookmarkStart w:id="54" w:name="OLE_LINK758"/>
      <w:bookmarkStart w:id="55" w:name="OLE_LINK787"/>
      <w:bookmarkStart w:id="56" w:name="OLE_LINK807"/>
      <w:bookmarkStart w:id="57" w:name="OLE_LINK820"/>
      <w:bookmarkStart w:id="58" w:name="OLE_LINK862"/>
      <w:bookmarkStart w:id="59" w:name="OLE_LINK879"/>
      <w:bookmarkStart w:id="60" w:name="OLE_LINK906"/>
      <w:bookmarkStart w:id="61" w:name="OLE_LINK928"/>
      <w:bookmarkStart w:id="62" w:name="OLE_LINK960"/>
      <w:bookmarkStart w:id="63" w:name="OLE_LINK861"/>
      <w:bookmarkStart w:id="64" w:name="OLE_LINK983"/>
      <w:bookmarkStart w:id="65" w:name="OLE_LINK1334"/>
      <w:bookmarkStart w:id="66" w:name="OLE_LINK1029"/>
      <w:bookmarkStart w:id="67" w:name="OLE_LINK1060"/>
      <w:bookmarkStart w:id="68" w:name="OLE_LINK1061"/>
      <w:bookmarkStart w:id="69" w:name="OLE_LINK1348"/>
      <w:bookmarkStart w:id="70" w:name="OLE_LINK1086"/>
      <w:bookmarkStart w:id="71" w:name="OLE_LINK1100"/>
      <w:bookmarkStart w:id="72" w:name="OLE_LINK1125"/>
      <w:bookmarkStart w:id="73" w:name="OLE_LINK1163"/>
      <w:bookmarkStart w:id="74" w:name="OLE_LINK1193"/>
      <w:bookmarkStart w:id="75" w:name="OLE_LINK1219"/>
      <w:bookmarkStart w:id="76" w:name="OLE_LINK1247"/>
      <w:bookmarkStart w:id="77" w:name="OLE_LINK1284"/>
      <w:bookmarkStart w:id="78" w:name="OLE_LINK1313"/>
      <w:bookmarkStart w:id="79" w:name="OLE_LINK1361"/>
      <w:bookmarkStart w:id="80" w:name="OLE_LINK1384"/>
      <w:bookmarkStart w:id="81" w:name="OLE_LINK1403"/>
      <w:bookmarkStart w:id="82" w:name="OLE_LINK1437"/>
      <w:bookmarkStart w:id="83" w:name="OLE_LINK1454"/>
      <w:bookmarkStart w:id="84" w:name="OLE_LINK1480"/>
      <w:bookmarkStart w:id="85" w:name="OLE_LINK1504"/>
      <w:bookmarkStart w:id="86" w:name="OLE_LINK1516"/>
      <w:bookmarkStart w:id="87" w:name="OLE_LINK135"/>
      <w:bookmarkStart w:id="88" w:name="OLE_LINK216"/>
      <w:bookmarkStart w:id="89" w:name="OLE_LINK259"/>
      <w:bookmarkStart w:id="90" w:name="OLE_LINK1186"/>
      <w:bookmarkStart w:id="91" w:name="OLE_LINK1265"/>
      <w:bookmarkStart w:id="92" w:name="OLE_LINK1373"/>
      <w:bookmarkStart w:id="93" w:name="OLE_LINK1478"/>
      <w:bookmarkStart w:id="94" w:name="OLE_LINK1644"/>
      <w:bookmarkStart w:id="95" w:name="OLE_LINK1884"/>
      <w:bookmarkStart w:id="96" w:name="OLE_LINK1885"/>
      <w:bookmarkStart w:id="97" w:name="OLE_LINK1538"/>
      <w:bookmarkStart w:id="98" w:name="OLE_LINK1539"/>
      <w:bookmarkStart w:id="99" w:name="OLE_LINK1543"/>
      <w:bookmarkStart w:id="100" w:name="OLE_LINK1549"/>
      <w:bookmarkStart w:id="101" w:name="OLE_LINK1778"/>
      <w:bookmarkStart w:id="102" w:name="OLE_LINK1756"/>
      <w:bookmarkStart w:id="103" w:name="OLE_LINK1776"/>
      <w:bookmarkStart w:id="104" w:name="OLE_LINK1777"/>
      <w:bookmarkStart w:id="105" w:name="OLE_LINK1868"/>
      <w:bookmarkStart w:id="106" w:name="OLE_LINK1744"/>
      <w:bookmarkStart w:id="107" w:name="OLE_LINK1817"/>
      <w:bookmarkStart w:id="108" w:name="OLE_LINK1835"/>
      <w:bookmarkStart w:id="109" w:name="OLE_LINK1866"/>
      <w:bookmarkStart w:id="110" w:name="OLE_LINK1882"/>
      <w:bookmarkStart w:id="111" w:name="OLE_LINK1901"/>
      <w:bookmarkStart w:id="112" w:name="OLE_LINK1902"/>
      <w:bookmarkStart w:id="113" w:name="OLE_LINK2013"/>
      <w:bookmarkStart w:id="114" w:name="OLE_LINK1894"/>
      <w:bookmarkStart w:id="115" w:name="OLE_LINK1929"/>
      <w:bookmarkStart w:id="116" w:name="OLE_LINK1941"/>
      <w:bookmarkStart w:id="117" w:name="OLE_LINK1995"/>
      <w:bookmarkStart w:id="118" w:name="OLE_LINK1938"/>
      <w:bookmarkStart w:id="119" w:name="OLE_LINK2081"/>
      <w:bookmarkStart w:id="120" w:name="OLE_LINK2082"/>
      <w:bookmarkStart w:id="121" w:name="OLE_LINK2292"/>
      <w:bookmarkStart w:id="122" w:name="OLE_LINK1931"/>
      <w:bookmarkStart w:id="123" w:name="OLE_LINK1964"/>
      <w:bookmarkStart w:id="124" w:name="OLE_LINK2020"/>
      <w:bookmarkStart w:id="125" w:name="OLE_LINK2071"/>
      <w:bookmarkStart w:id="126" w:name="OLE_LINK2134"/>
      <w:bookmarkStart w:id="127" w:name="OLE_LINK2265"/>
      <w:bookmarkStart w:id="128" w:name="OLE_LINK2562"/>
      <w:bookmarkStart w:id="129" w:name="OLE_LINK1923"/>
      <w:bookmarkStart w:id="130" w:name="OLE_LINK2192"/>
      <w:bookmarkStart w:id="131" w:name="OLE_LINK2110"/>
      <w:bookmarkStart w:id="132" w:name="OLE_LINK2445"/>
      <w:bookmarkStart w:id="133" w:name="OLE_LINK2446"/>
      <w:bookmarkStart w:id="134" w:name="OLE_LINK2169"/>
      <w:bookmarkStart w:id="135" w:name="OLE_LINK2190"/>
      <w:bookmarkStart w:id="136" w:name="OLE_LINK2331"/>
      <w:bookmarkStart w:id="137" w:name="OLE_LINK2345"/>
      <w:bookmarkStart w:id="138" w:name="OLE_LINK2467"/>
      <w:bookmarkStart w:id="139" w:name="OLE_LINK2484"/>
      <w:bookmarkStart w:id="140" w:name="OLE_LINK2157"/>
      <w:bookmarkStart w:id="141" w:name="OLE_LINK2221"/>
      <w:bookmarkStart w:id="142" w:name="OLE_LINK2252"/>
      <w:bookmarkStart w:id="143" w:name="OLE_LINK2348"/>
      <w:bookmarkStart w:id="144" w:name="OLE_LINK2451"/>
      <w:bookmarkStart w:id="145" w:name="OLE_LINK2627"/>
      <w:bookmarkStart w:id="146" w:name="OLE_LINK2482"/>
      <w:bookmarkStart w:id="147" w:name="OLE_LINK2663"/>
      <w:bookmarkStart w:id="148" w:name="OLE_LINK2761"/>
      <w:bookmarkStart w:id="149" w:name="OLE_LINK2856"/>
      <w:bookmarkStart w:id="150" w:name="OLE_LINK2993"/>
      <w:bookmarkStart w:id="151" w:name="OLE_LINK2643"/>
      <w:bookmarkStart w:id="152" w:name="OLE_LINK2583"/>
      <w:bookmarkStart w:id="153" w:name="OLE_LINK2762"/>
      <w:bookmarkStart w:id="154" w:name="OLE_LINK2962"/>
      <w:bookmarkStart w:id="155" w:name="OLE_LINK2582"/>
      <w:r w:rsidRPr="00ED4C00">
        <w:rPr>
          <w:rFonts w:ascii="Book Antiqua" w:hAnsi="Book Antiqua"/>
          <w:sz w:val="24"/>
        </w:rPr>
        <w:t xml:space="preserve">© 2014 </w:t>
      </w:r>
      <w:proofErr w:type="spellStart"/>
      <w:r w:rsidRPr="00ED4C00">
        <w:rPr>
          <w:rFonts w:ascii="Book Antiqua" w:hAnsi="Book Antiqua"/>
          <w:sz w:val="24"/>
        </w:rPr>
        <w:t>Baishideng</w:t>
      </w:r>
      <w:proofErr w:type="spellEnd"/>
      <w:r w:rsidRPr="00ED4C00">
        <w:rPr>
          <w:rFonts w:ascii="Book Antiqua" w:hAnsi="Book Antiqua"/>
          <w:sz w:val="24"/>
        </w:rPr>
        <w:t xml:space="preserve"> Publishing Group Inc. All rights reserved.  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p w:rsidR="008505CB" w:rsidRPr="00ED4C00" w:rsidRDefault="008505CB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5F1383" w:rsidP="000E5643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Key words:</w:t>
      </w:r>
      <w:r w:rsidR="001477FF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r w:rsidR="000547F8" w:rsidRPr="00ED4C00">
        <w:rPr>
          <w:rFonts w:ascii="Book Antiqua" w:hAnsi="Book Antiqua"/>
          <w:bCs/>
          <w:color w:val="000000" w:themeColor="text1"/>
          <w:sz w:val="24"/>
        </w:rPr>
        <w:t>Amenorrhea</w:t>
      </w:r>
      <w:r w:rsidRPr="00ED4C00">
        <w:rPr>
          <w:rFonts w:ascii="Book Antiqua" w:hAnsi="Book Antiqua"/>
          <w:color w:val="000000" w:themeColor="text1"/>
          <w:sz w:val="24"/>
        </w:rPr>
        <w:t xml:space="preserve">; </w:t>
      </w:r>
      <w:proofErr w:type="spellStart"/>
      <w:r w:rsidR="000547F8"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; </w:t>
      </w:r>
      <w:r w:rsidR="001477FF" w:rsidRPr="00ED4C00">
        <w:rPr>
          <w:rFonts w:ascii="Book Antiqua" w:hAnsi="Book Antiqua"/>
          <w:color w:val="000000" w:themeColor="text1"/>
          <w:sz w:val="24"/>
        </w:rPr>
        <w:t>Neuroendocrine tumor</w:t>
      </w:r>
      <w:r w:rsidRPr="00ED4C00">
        <w:rPr>
          <w:rFonts w:ascii="Book Antiqua" w:hAnsi="Book Antiqua"/>
          <w:color w:val="000000" w:themeColor="text1"/>
          <w:sz w:val="24"/>
        </w:rPr>
        <w:t xml:space="preserve">; </w:t>
      </w:r>
      <w:r w:rsidR="000547F8" w:rsidRPr="00ED4C00">
        <w:rPr>
          <w:rFonts w:ascii="Book Antiqua" w:hAnsi="Book Antiqua"/>
          <w:color w:val="000000" w:themeColor="text1"/>
          <w:sz w:val="24"/>
        </w:rPr>
        <w:t>Pancreas; Adverse event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2F343E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Core tip:</w:t>
      </w:r>
      <w:r w:rsidR="001E40EB" w:rsidRPr="00ED4C00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="001E40EB" w:rsidRPr="00ED4C00">
        <w:rPr>
          <w:rFonts w:ascii="Book Antiqua" w:hAnsi="Book Antiqua"/>
          <w:color w:val="000000" w:themeColor="text1"/>
          <w:sz w:val="24"/>
        </w:rPr>
        <w:t>Thi</w:t>
      </w:r>
      <w:r w:rsidR="001477FF" w:rsidRPr="00ED4C00">
        <w:rPr>
          <w:rFonts w:ascii="Book Antiqua" w:eastAsia="宋体" w:hAnsi="Book Antiqua"/>
          <w:color w:val="000000" w:themeColor="text1"/>
          <w:sz w:val="24"/>
          <w:lang w:eastAsia="zh-CN"/>
        </w:rPr>
        <w:t>s</w:t>
      </w:r>
      <w:r w:rsidR="001E40EB" w:rsidRPr="00ED4C00">
        <w:rPr>
          <w:rFonts w:ascii="Book Antiqua" w:hAnsi="Book Antiqua"/>
          <w:color w:val="000000" w:themeColor="text1"/>
          <w:sz w:val="24"/>
        </w:rPr>
        <w:t xml:space="preserve"> is the first case report of amenor</w:t>
      </w:r>
      <w:r w:rsidR="003D5CC3" w:rsidRPr="00ED4C00">
        <w:rPr>
          <w:rFonts w:ascii="Book Antiqua" w:hAnsi="Book Antiqua"/>
          <w:color w:val="000000" w:themeColor="text1"/>
          <w:sz w:val="24"/>
        </w:rPr>
        <w:t>rh</w:t>
      </w:r>
      <w:r w:rsidR="001E40EB" w:rsidRPr="00ED4C00">
        <w:rPr>
          <w:rFonts w:ascii="Book Antiqua" w:hAnsi="Book Antiqua"/>
          <w:color w:val="000000" w:themeColor="text1"/>
          <w:sz w:val="24"/>
        </w:rPr>
        <w:t xml:space="preserve">ea as a rare adverse event associated with </w:t>
      </w:r>
      <w:proofErr w:type="spellStart"/>
      <w:r w:rsidR="001E40EB"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="001E40EB" w:rsidRPr="00ED4C00">
        <w:rPr>
          <w:rFonts w:ascii="Book Antiqua" w:hAnsi="Book Antiqua"/>
          <w:color w:val="000000" w:themeColor="text1"/>
          <w:sz w:val="24"/>
        </w:rPr>
        <w:t xml:space="preserve"> treatment for pancreatic neuroendocrine tumor. </w:t>
      </w:r>
      <w:r w:rsidR="001E40EB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As the younger women might be included in </w:t>
      </w:r>
      <w:r w:rsidR="001477FF" w:rsidRPr="00ED4C00">
        <w:rPr>
          <w:rFonts w:ascii="Book Antiqua" w:hAnsi="Book Antiqua"/>
          <w:color w:val="000000" w:themeColor="text1"/>
          <w:sz w:val="24"/>
        </w:rPr>
        <w:t>pancreatic neuroendocrine tumors</w:t>
      </w:r>
      <w:r w:rsidR="001E40EB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patients, we should put this adverse event into consideration.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1E40EB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ED4C00">
        <w:rPr>
          <w:rFonts w:ascii="Book Antiqua" w:hAnsi="Book Antiqua"/>
          <w:color w:val="000000" w:themeColor="text1"/>
          <w:sz w:val="24"/>
        </w:rPr>
        <w:t xml:space="preserve">Kawaguchi Y,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Maruno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A, Kawashima Y, Ito H, Ogawa M, Mine T. </w:t>
      </w:r>
      <w:r w:rsidRPr="00ED4C00">
        <w:rPr>
          <w:rFonts w:ascii="Book Antiqua" w:hAnsi="Book Antiqua"/>
          <w:bCs/>
          <w:color w:val="000000" w:themeColor="text1"/>
          <w:sz w:val="24"/>
        </w:rPr>
        <w:t>Amenorrhea</w:t>
      </w:r>
      <w:r w:rsidRPr="00ED4C00">
        <w:rPr>
          <w:rFonts w:ascii="Book Antiqua" w:hAnsi="Book Antiqua"/>
          <w:color w:val="000000" w:themeColor="text1"/>
          <w:sz w:val="24"/>
        </w:rPr>
        <w:t xml:space="preserve"> as rare drug-related adverse event associated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for </w:t>
      </w:r>
      <w:r w:rsidR="006A30DA" w:rsidRPr="00ED4C00">
        <w:rPr>
          <w:rFonts w:ascii="Book Antiqua" w:hAnsi="Book Antiqua"/>
          <w:color w:val="000000" w:themeColor="text1"/>
          <w:sz w:val="24"/>
        </w:rPr>
        <w:t xml:space="preserve">pancreatic </w:t>
      </w:r>
      <w:r w:rsidR="006A30DA" w:rsidRPr="00ED4C00">
        <w:rPr>
          <w:rFonts w:ascii="Book Antiqua" w:hAnsi="Book Antiqua"/>
          <w:color w:val="000000" w:themeColor="text1"/>
          <w:sz w:val="24"/>
        </w:rPr>
        <w:lastRenderedPageBreak/>
        <w:t>neuroendocrine tumors</w:t>
      </w:r>
      <w:r w:rsidRPr="00ED4C00">
        <w:rPr>
          <w:rFonts w:ascii="Book Antiqua" w:hAnsi="Book Antiqua"/>
          <w:color w:val="000000" w:themeColor="text1"/>
          <w:sz w:val="24"/>
        </w:rPr>
        <w:t>.</w:t>
      </w:r>
      <w:proofErr w:type="gramEnd"/>
      <w:r w:rsidRPr="00ED4C00">
        <w:rPr>
          <w:rFonts w:ascii="Book Antiqua" w:hAnsi="Book Antiqua"/>
          <w:color w:val="000000" w:themeColor="text1"/>
          <w:sz w:val="24"/>
        </w:rPr>
        <w:t xml:space="preserve"> </w:t>
      </w:r>
      <w:bookmarkStart w:id="156" w:name="OLE_LINK335"/>
      <w:bookmarkStart w:id="157" w:name="OLE_LINK336"/>
      <w:bookmarkStart w:id="158" w:name="OLE_LINK87"/>
      <w:bookmarkStart w:id="159" w:name="OLE_LINK97"/>
      <w:bookmarkStart w:id="160" w:name="OLE_LINK144"/>
      <w:bookmarkStart w:id="161" w:name="OLE_LINK152"/>
      <w:bookmarkStart w:id="162" w:name="OLE_LINK163"/>
      <w:bookmarkStart w:id="163" w:name="OLE_LINK1297"/>
      <w:bookmarkStart w:id="164" w:name="OLE_LINK1298"/>
      <w:bookmarkStart w:id="165" w:name="OLE_LINK1689"/>
      <w:bookmarkStart w:id="166" w:name="OLE_LINK1895"/>
      <w:bookmarkStart w:id="167" w:name="OLE_LINK1897"/>
      <w:bookmarkStart w:id="168" w:name="OLE_LINK1937"/>
      <w:bookmarkStart w:id="169" w:name="OLE_LINK2087"/>
      <w:bookmarkStart w:id="170" w:name="OLE_LINK2088"/>
      <w:bookmarkStart w:id="171" w:name="OLE_LINK2569"/>
      <w:bookmarkStart w:id="172" w:name="OLE_LINK2570"/>
      <w:bookmarkStart w:id="173" w:name="OLE_LINK2127"/>
      <w:bookmarkStart w:id="174" w:name="OLE_LINK2128"/>
      <w:bookmarkStart w:id="175" w:name="OLE_LINK2200"/>
      <w:bookmarkStart w:id="176" w:name="OLE_LINK2113"/>
      <w:bookmarkStart w:id="177" w:name="OLE_LINK2391"/>
      <w:bookmarkStart w:id="178" w:name="OLE_LINK2392"/>
      <w:bookmarkStart w:id="179" w:name="OLE_LINK2499"/>
      <w:bookmarkStart w:id="180" w:name="OLE_LINK2782"/>
      <w:bookmarkStart w:id="181" w:name="OLE_LINK2783"/>
      <w:bookmarkStart w:id="182" w:name="OLE_LINK2667"/>
      <w:bookmarkStart w:id="183" w:name="OLE_LINK2668"/>
      <w:bookmarkStart w:id="184" w:name="OLE_LINK2766"/>
      <w:bookmarkStart w:id="185" w:name="OLE_LINK3008"/>
      <w:bookmarkStart w:id="186" w:name="OLE_LINK3156"/>
      <w:bookmarkStart w:id="187" w:name="OLE_LINK3303"/>
      <w:bookmarkStart w:id="188" w:name="OLE_LINK3304"/>
      <w:bookmarkStart w:id="189" w:name="OLE_LINK2689"/>
      <w:bookmarkStart w:id="190" w:name="OLE_LINK2588"/>
      <w:bookmarkStart w:id="191" w:name="OLE_LINK2769"/>
      <w:bookmarkStart w:id="192" w:name="OLE_LINK3019"/>
      <w:bookmarkStart w:id="193" w:name="OLE_LINK3020"/>
      <w:r w:rsidR="006A30DA" w:rsidRPr="00ED4C00">
        <w:rPr>
          <w:rFonts w:ascii="Book Antiqua" w:hAnsi="Book Antiqua"/>
          <w:i/>
          <w:sz w:val="24"/>
        </w:rPr>
        <w:t xml:space="preserve">World J </w:t>
      </w:r>
      <w:proofErr w:type="spellStart"/>
      <w:r w:rsidR="006A30DA" w:rsidRPr="00ED4C00">
        <w:rPr>
          <w:rFonts w:ascii="Book Antiqua" w:hAnsi="Book Antiqua"/>
          <w:i/>
          <w:sz w:val="24"/>
        </w:rPr>
        <w:t>Gastroenterol</w:t>
      </w:r>
      <w:proofErr w:type="spellEnd"/>
      <w:r w:rsidR="006A30DA" w:rsidRPr="00ED4C00">
        <w:rPr>
          <w:rFonts w:ascii="Book Antiqua" w:hAnsi="Book Antiqua"/>
          <w:sz w:val="24"/>
        </w:rPr>
        <w:t xml:space="preserve"> </w:t>
      </w:r>
      <w:bookmarkEnd w:id="156"/>
      <w:bookmarkEnd w:id="157"/>
      <w:r w:rsidR="006A30DA" w:rsidRPr="00ED4C00">
        <w:rPr>
          <w:rFonts w:ascii="Book Antiqua" w:hAnsi="Book Antiqua"/>
          <w:sz w:val="24"/>
        </w:rPr>
        <w:t xml:space="preserve">2014; </w:t>
      </w:r>
      <w:proofErr w:type="gramStart"/>
      <w:r w:rsidR="006A30DA" w:rsidRPr="00ED4C00">
        <w:rPr>
          <w:rFonts w:ascii="Book Antiqua" w:hAnsi="Book Antiqua"/>
          <w:sz w:val="24"/>
        </w:rPr>
        <w:t>In</w:t>
      </w:r>
      <w:proofErr w:type="gramEnd"/>
      <w:r w:rsidR="006A30DA" w:rsidRPr="00ED4C00">
        <w:rPr>
          <w:rFonts w:ascii="Book Antiqua" w:hAnsi="Book Antiqua"/>
          <w:sz w:val="24"/>
        </w:rPr>
        <w:t xml:space="preserve"> press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="006A30DA" w:rsidRPr="00ED4C00">
        <w:rPr>
          <w:rFonts w:ascii="Book Antiqua" w:hAnsi="Book Antiqua"/>
          <w:sz w:val="24"/>
        </w:rPr>
        <w:t xml:space="preserve"> </w:t>
      </w:r>
    </w:p>
    <w:p w:rsidR="005F1383" w:rsidRPr="00ED4C00" w:rsidRDefault="006A30DA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INTRODUCTION</w:t>
      </w:r>
    </w:p>
    <w:p w:rsidR="005F1383" w:rsidRPr="00ED4C00" w:rsidRDefault="00896CB8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sz w:val="24"/>
        </w:rPr>
        <w:t xml:space="preserve">Pancreatic neuroendocrine tumors (PNETs) are becoming more frequent in both incidence and prevalence. PNETs at the time of diagnosis have reached an advanced stage, and the tumors are metastatic or </w:t>
      </w:r>
      <w:proofErr w:type="spellStart"/>
      <w:r w:rsidRPr="00ED4C00">
        <w:rPr>
          <w:rFonts w:ascii="Book Antiqua" w:hAnsi="Book Antiqua"/>
          <w:sz w:val="24"/>
        </w:rPr>
        <w:t>unresectable</w:t>
      </w:r>
      <w:proofErr w:type="spellEnd"/>
      <w:r w:rsidRPr="00ED4C00">
        <w:rPr>
          <w:rFonts w:ascii="Book Antiqua" w:hAnsi="Book Antiqua"/>
          <w:sz w:val="24"/>
        </w:rPr>
        <w:t xml:space="preserve">, in 65% of cases. For PNETs at such a stage, prognosis is poor, mainly because few good treatments exist. </w:t>
      </w:r>
      <w:r w:rsidR="005F1383" w:rsidRPr="00ED4C00">
        <w:rPr>
          <w:rFonts w:ascii="Book Antiqua" w:hAnsi="Book Antiqua"/>
          <w:color w:val="000000" w:themeColor="text1"/>
          <w:sz w:val="24"/>
        </w:rPr>
        <w:t xml:space="preserve">A recent prospective study showed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sunitinib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 and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 to exert antitumor activity against PNETs. The drug-related adverse events associated with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 were stomatitis,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aphthous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 ulceration,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lymphopenia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, neutropenia or </w:t>
      </w:r>
      <w:proofErr w:type="gramStart"/>
      <w:r w:rsidR="005F1383" w:rsidRPr="00ED4C00">
        <w:rPr>
          <w:rFonts w:ascii="Book Antiqua" w:hAnsi="Book Antiqua"/>
          <w:color w:val="000000" w:themeColor="text1"/>
          <w:sz w:val="24"/>
        </w:rPr>
        <w:t>infections</w:t>
      </w:r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[</w:t>
      </w:r>
      <w:proofErr w:type="gramEnd"/>
      <w:r w:rsidR="00E47738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1</w:t>
      </w:r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]</w:t>
      </w:r>
      <w:r w:rsidR="005F1383" w:rsidRPr="00ED4C00">
        <w:rPr>
          <w:rFonts w:ascii="Book Antiqua" w:hAnsi="Book Antiqua"/>
          <w:color w:val="000000" w:themeColor="text1"/>
          <w:sz w:val="24"/>
        </w:rPr>
        <w:t>. In this case, we experienced ameno</w:t>
      </w:r>
      <w:r w:rsidR="00C05FB9" w:rsidRPr="00ED4C00">
        <w:rPr>
          <w:rFonts w:ascii="Book Antiqua" w:hAnsi="Book Antiqua"/>
          <w:color w:val="000000" w:themeColor="text1"/>
          <w:sz w:val="24"/>
        </w:rPr>
        <w:t>r</w:t>
      </w:r>
      <w:r w:rsidR="005F1383" w:rsidRPr="00ED4C00">
        <w:rPr>
          <w:rFonts w:ascii="Book Antiqua" w:hAnsi="Book Antiqua"/>
          <w:color w:val="000000" w:themeColor="text1"/>
          <w:sz w:val="24"/>
        </w:rPr>
        <w:t>r</w:t>
      </w:r>
      <w:r w:rsidR="00C05FB9" w:rsidRPr="00ED4C00">
        <w:rPr>
          <w:rFonts w:ascii="Book Antiqua" w:hAnsi="Book Antiqua"/>
          <w:color w:val="000000" w:themeColor="text1"/>
          <w:sz w:val="24"/>
        </w:rPr>
        <w:t>h</w:t>
      </w:r>
      <w:r w:rsidR="005F1383" w:rsidRPr="00ED4C00">
        <w:rPr>
          <w:rFonts w:ascii="Book Antiqua" w:hAnsi="Book Antiqua"/>
          <w:color w:val="000000" w:themeColor="text1"/>
          <w:sz w:val="24"/>
        </w:rPr>
        <w:t xml:space="preserve">ea as a rare drug-related adverse event.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Thia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 is the first case report of amenor</w:t>
      </w:r>
      <w:r w:rsidR="00C05FB9" w:rsidRPr="00ED4C00">
        <w:rPr>
          <w:rFonts w:ascii="Book Antiqua" w:hAnsi="Book Antiqua"/>
          <w:color w:val="000000" w:themeColor="text1"/>
          <w:sz w:val="24"/>
        </w:rPr>
        <w:t>rh</w:t>
      </w:r>
      <w:r w:rsidR="005F1383" w:rsidRPr="00ED4C00">
        <w:rPr>
          <w:rFonts w:ascii="Book Antiqua" w:hAnsi="Book Antiqua"/>
          <w:color w:val="000000" w:themeColor="text1"/>
          <w:sz w:val="24"/>
        </w:rPr>
        <w:t xml:space="preserve">ea as a rare adverse event associated with </w:t>
      </w:r>
      <w:proofErr w:type="spellStart"/>
      <w:r w:rsidR="005F1383"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="005F1383" w:rsidRPr="00ED4C00">
        <w:rPr>
          <w:rFonts w:ascii="Book Antiqua" w:hAnsi="Book Antiqua"/>
          <w:color w:val="000000" w:themeColor="text1"/>
          <w:sz w:val="24"/>
        </w:rPr>
        <w:t xml:space="preserve"> treatment for PNETs.</w:t>
      </w:r>
    </w:p>
    <w:p w:rsidR="00B528EB" w:rsidRPr="00ED4C00" w:rsidRDefault="00B528EB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E47738" w:rsidP="000E5643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CASE REPORT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kern w:val="24"/>
          <w:sz w:val="24"/>
        </w:rPr>
      </w:pP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The patient was an asymptomatic 43-year-old woman. Her past medical and family histories were unremarkable. Because multiple hepatic tumors were identified at a routine health check-up, she was referred to our hospital. There were no marked physical findings. Blood biochemistry tests revealed no abnormalities in either tumor markers or endocrine data except for mildly elevated </w:t>
      </w:r>
      <w:r w:rsidR="00E47738" w:rsidRPr="00ED4C00">
        <w:rPr>
          <w:rFonts w:ascii="Book Antiqua" w:hAnsi="Book Antiqua"/>
          <w:bCs/>
          <w:color w:val="000000" w:themeColor="text1"/>
          <w:kern w:val="24"/>
          <w:sz w:val="24"/>
        </w:rPr>
        <w:t>alkaline phosphatase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and </w:t>
      </w:r>
      <w:r w:rsidR="00E47738" w:rsidRPr="00ED4C00">
        <w:rPr>
          <w:rFonts w:ascii="Book Antiqua" w:hAnsi="Book Antiqua"/>
          <w:bCs/>
          <w:color w:val="000000" w:themeColor="text1"/>
          <w:kern w:val="24"/>
          <w:sz w:val="24"/>
        </w:rPr>
        <w:t>gamma-</w:t>
      </w:r>
      <w:proofErr w:type="spellStart"/>
      <w:r w:rsidR="00E47738" w:rsidRPr="00ED4C00">
        <w:rPr>
          <w:rFonts w:ascii="Book Antiqua" w:hAnsi="Book Antiqua"/>
          <w:bCs/>
          <w:color w:val="000000" w:themeColor="text1"/>
          <w:kern w:val="24"/>
          <w:sz w:val="24"/>
        </w:rPr>
        <w:t>glutamyl</w:t>
      </w:r>
      <w:proofErr w:type="spellEnd"/>
      <w:r w:rsidR="00E47738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proofErr w:type="spellStart"/>
      <w:r w:rsidR="00E47738" w:rsidRPr="00ED4C00">
        <w:rPr>
          <w:rFonts w:ascii="Book Antiqua" w:hAnsi="Book Antiqua"/>
          <w:bCs/>
          <w:color w:val="000000" w:themeColor="text1"/>
          <w:kern w:val="24"/>
          <w:sz w:val="24"/>
        </w:rPr>
        <w:t>transferase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. Abdominal ultrasonography showed a tumor lesion accompanied by multiple cystic changes in the liver, and abdominal enhanced computed tomography identified a contrast-enhanced tumor lesion accompanied by multiple cystic changes in the liver (Figure 1). The pancreatic tail showed contrast enhancement of the same level as that in the pancreatic parenchyma, confirming a tumor lesion accompanied by cystic changes in a portion of the liver (Figure 1). Endoscopic ultrasound-fine needle aspiration was performed o</w:t>
      </w:r>
      <w:r w:rsidR="005E52F6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n the pancreatic tumor lesion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and revealed a n</w:t>
      </w:r>
      <w:r w:rsidRPr="00ED4C00">
        <w:rPr>
          <w:rFonts w:ascii="Book Antiqua" w:hAnsi="Book Antiqua"/>
          <w:color w:val="000000" w:themeColor="text1"/>
          <w:sz w:val="24"/>
        </w:rPr>
        <w:t>euroendocrine tumor (</w:t>
      </w:r>
      <w:r w:rsidR="005E52F6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NET) G2 (Figure </w:t>
      </w:r>
      <w:r w:rsidR="006A30DA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2A-D).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As it was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unresectable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due to multiple liver metastases, the decision was made to initiate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lastRenderedPageBreak/>
        <w:t xml:space="preserve">treatment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and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transcatheter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arterial chemoembolization (TACE). Approximately 4 </w:t>
      </w:r>
      <w:proofErr w:type="spellStart"/>
      <w:r w:rsidR="007310B0" w:rsidRPr="00ED4C00">
        <w:rPr>
          <w:rFonts w:ascii="Book Antiqua" w:hAnsi="Book Antiqua"/>
          <w:bCs/>
          <w:color w:val="000000" w:themeColor="text1"/>
          <w:kern w:val="24"/>
          <w:sz w:val="24"/>
        </w:rPr>
        <w:t>mo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after starting</w:t>
      </w:r>
      <w:r w:rsidRPr="00ED4C00">
        <w:rPr>
          <w:rFonts w:ascii="Book Antiqua" w:hAnsi="Book Antiqua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administration, the patient developed interstitial lung disease (Grade 2). As symptoms disappeared and image findings improved after drug suspension for 2 </w:t>
      </w:r>
      <w:r w:rsidR="007310B0" w:rsidRPr="00ED4C00">
        <w:rPr>
          <w:rFonts w:ascii="Book Antiqua" w:hAnsi="Book Antiqua"/>
          <w:bCs/>
          <w:color w:val="000000" w:themeColor="text1"/>
          <w:kern w:val="24"/>
          <w:sz w:val="24"/>
        </w:rPr>
        <w:t>mo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and 10 </w:t>
      </w:r>
      <w:r w:rsidR="007310B0" w:rsidRPr="00ED4C00">
        <w:rPr>
          <w:rFonts w:ascii="Book Antiqua" w:hAnsi="Book Antiqua"/>
          <w:bCs/>
          <w:color w:val="000000" w:themeColor="text1"/>
          <w:kern w:val="24"/>
          <w:sz w:val="24"/>
        </w:rPr>
        <w:t>d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, treatment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was resumed with a dose reduction to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5 mg</w:t>
      </w:r>
      <w:r w:rsidR="007310B0" w:rsidRPr="00ED4C00">
        <w:rPr>
          <w:rFonts w:ascii="Book Antiqua" w:hAnsi="Book Antiqua"/>
          <w:bCs/>
          <w:color w:val="000000" w:themeColor="text1"/>
          <w:kern w:val="24"/>
          <w:sz w:val="24"/>
        </w:rPr>
        <w:t>/d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. At 2.5 </w:t>
      </w:r>
      <w:proofErr w:type="gramStart"/>
      <w:r w:rsidR="007310B0" w:rsidRPr="00ED4C00">
        <w:rPr>
          <w:rFonts w:ascii="Book Antiqua" w:hAnsi="Book Antiqua"/>
          <w:bCs/>
          <w:color w:val="000000" w:themeColor="text1"/>
          <w:kern w:val="24"/>
          <w:sz w:val="24"/>
        </w:rPr>
        <w:t>mo</w:t>
      </w:r>
      <w:proofErr w:type="gram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after treatment resumption, there was no recurrence of interstitial lung disease. The KL-6 level reflected well the state of interstitial lung disease. The patient ceased menstruating after the start of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administration. When the administration was discontinued due to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interstitial lung disease, menstruation resumed, but then again stopped with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e</w:t>
      </w:r>
      <w:r w:rsidRPr="00ED4C00">
        <w:rPr>
          <w:rFonts w:ascii="Book Antiqua" w:hAnsi="Book Antiqua"/>
          <w:color w:val="000000" w:themeColor="text1"/>
          <w:sz w:val="24"/>
        </w:rPr>
        <w:t>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resumption. As the patient had experienced no prior episodes of menstrual disorders or irregularities, an association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</w:t>
      </w:r>
      <w:r w:rsidR="005E52F6" w:rsidRPr="00ED4C00">
        <w:rPr>
          <w:rFonts w:ascii="Book Antiqua" w:hAnsi="Book Antiqua"/>
          <w:color w:val="000000" w:themeColor="text1"/>
          <w:sz w:val="24"/>
        </w:rPr>
        <w:t>s</w:t>
      </w:r>
      <w:proofErr w:type="spellEnd"/>
      <w:r w:rsidR="005E52F6" w:rsidRPr="00ED4C00">
        <w:rPr>
          <w:rFonts w:ascii="Book Antiqua" w:hAnsi="Book Antiqua"/>
          <w:color w:val="000000" w:themeColor="text1"/>
          <w:sz w:val="24"/>
        </w:rPr>
        <w:t xml:space="preserve"> was highly suspected (Figure 3</w:t>
      </w:r>
      <w:r w:rsidRPr="00ED4C00">
        <w:rPr>
          <w:rFonts w:ascii="Book Antiqua" w:hAnsi="Book Antiqua"/>
          <w:color w:val="000000" w:themeColor="text1"/>
          <w:sz w:val="24"/>
        </w:rPr>
        <w:t xml:space="preserve">). At approximately 1 year after the start of treatment, she underwent TACE three times and has since had a favorable course, with the therapeutic effect of </w:t>
      </w:r>
      <w:r w:rsidR="005E52F6" w:rsidRPr="00ED4C00">
        <w:rPr>
          <w:rFonts w:ascii="Book Antiqua" w:hAnsi="Book Antiqua"/>
          <w:color w:val="000000" w:themeColor="text1"/>
          <w:sz w:val="24"/>
        </w:rPr>
        <w:t>a partial response</w:t>
      </w:r>
      <w:r w:rsidRPr="00ED4C00">
        <w:rPr>
          <w:rFonts w:ascii="Book Antiqua" w:hAnsi="Book Antiqua"/>
          <w:color w:val="000000" w:themeColor="text1"/>
          <w:sz w:val="24"/>
        </w:rPr>
        <w:t xml:space="preserve">. We experienced a patient with a PNET accompanied by multiple liver metastases </w:t>
      </w:r>
      <w:r w:rsidR="008530E2" w:rsidRPr="00ED4C00">
        <w:rPr>
          <w:rFonts w:ascii="Book Antiqua" w:hAnsi="Book Antiqua"/>
          <w:color w:val="000000" w:themeColor="text1"/>
          <w:sz w:val="24"/>
        </w:rPr>
        <w:t>that</w:t>
      </w:r>
      <w:r w:rsidRPr="00ED4C00">
        <w:rPr>
          <w:rFonts w:ascii="Book Antiqua" w:hAnsi="Book Antiqua"/>
          <w:color w:val="000000" w:themeColor="text1"/>
          <w:sz w:val="24"/>
        </w:rPr>
        <w:t xml:space="preserve"> responded to combination treatment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and T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ACE. After discontinuation of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due to the development of interstitial lung disease, this drug could be resumed and continuously administered at a reduced dose without recurrence of the lung disease. However, amenorrhea occurred as a rare adverse event.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kern w:val="24"/>
          <w:sz w:val="24"/>
        </w:rPr>
      </w:pPr>
    </w:p>
    <w:p w:rsidR="005F1383" w:rsidRPr="00ED4C00" w:rsidRDefault="006A30DA" w:rsidP="000E5643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kern w:val="24"/>
          <w:sz w:val="24"/>
        </w:rPr>
      </w:pPr>
      <w:r w:rsidRPr="00ED4C00">
        <w:rPr>
          <w:rFonts w:ascii="Book Antiqua" w:hAnsi="Book Antiqua"/>
          <w:b/>
          <w:bCs/>
          <w:color w:val="000000" w:themeColor="text1"/>
          <w:kern w:val="24"/>
          <w:sz w:val="24"/>
        </w:rPr>
        <w:t>DISCUSSION</w:t>
      </w:r>
    </w:p>
    <w:p w:rsidR="00896CB8" w:rsidRPr="00ED4C00" w:rsidRDefault="00896CB8" w:rsidP="000E5643">
      <w:pPr>
        <w:snapToGrid w:val="0"/>
        <w:spacing w:line="360" w:lineRule="auto"/>
        <w:rPr>
          <w:rFonts w:ascii="Book Antiqua" w:hAnsi="Book Antiqua"/>
          <w:sz w:val="24"/>
        </w:rPr>
      </w:pPr>
      <w:r w:rsidRPr="00ED4C00">
        <w:rPr>
          <w:rFonts w:ascii="Book Antiqua" w:hAnsi="Book Antiqua"/>
          <w:sz w:val="24"/>
        </w:rPr>
        <w:t xml:space="preserve">PNETs are becoming more frequent in both incidence and prevalence, and now account for about 1.3% of the incidence, and 10% of the prevalence, of pancreatic </w:t>
      </w:r>
      <w:proofErr w:type="gramStart"/>
      <w:r w:rsidRPr="00ED4C00">
        <w:rPr>
          <w:rFonts w:ascii="Book Antiqua" w:hAnsi="Book Antiqua"/>
          <w:sz w:val="24"/>
        </w:rPr>
        <w:t>cancer</w:t>
      </w:r>
      <w:r w:rsidR="00437C46" w:rsidRPr="00ED4C00">
        <w:rPr>
          <w:rFonts w:ascii="Book Antiqua" w:eastAsiaTheme="minorEastAsia" w:hAnsi="Book Antiqua"/>
          <w:sz w:val="24"/>
          <w:vertAlign w:val="superscript"/>
          <w:lang w:eastAsia="zh-CN"/>
        </w:rPr>
        <w:t>[</w:t>
      </w:r>
      <w:proofErr w:type="gramEnd"/>
      <w:r w:rsidRPr="00ED4C00">
        <w:rPr>
          <w:rFonts w:ascii="Book Antiqua" w:hAnsi="Book Antiqua"/>
          <w:sz w:val="24"/>
          <w:vertAlign w:val="superscript"/>
        </w:rPr>
        <w:t>2-4</w:t>
      </w:r>
      <w:r w:rsidR="00437C46" w:rsidRPr="00ED4C00">
        <w:rPr>
          <w:rFonts w:ascii="Book Antiqua" w:eastAsiaTheme="minorEastAsia" w:hAnsi="Book Antiqua"/>
          <w:sz w:val="24"/>
          <w:vertAlign w:val="superscript"/>
          <w:lang w:eastAsia="zh-CN"/>
        </w:rPr>
        <w:t>]</w:t>
      </w:r>
      <w:r w:rsidRPr="00ED4C00">
        <w:rPr>
          <w:rFonts w:ascii="Book Antiqua" w:hAnsi="Book Antiqua"/>
          <w:sz w:val="24"/>
        </w:rPr>
        <w:t xml:space="preserve">. PNETs at the time of diagnosis have reached an advanced stage, and the tumors are metastatic or </w:t>
      </w:r>
      <w:proofErr w:type="spellStart"/>
      <w:r w:rsidRPr="00ED4C00">
        <w:rPr>
          <w:rFonts w:ascii="Book Antiqua" w:hAnsi="Book Antiqua"/>
          <w:sz w:val="24"/>
        </w:rPr>
        <w:t>unresectable</w:t>
      </w:r>
      <w:proofErr w:type="spellEnd"/>
      <w:r w:rsidRPr="00ED4C00">
        <w:rPr>
          <w:rFonts w:ascii="Book Antiqua" w:hAnsi="Book Antiqua"/>
          <w:sz w:val="24"/>
        </w:rPr>
        <w:t xml:space="preserve">, in 65% of cases. For PNETs at such a stage, prognosis is poor. Patients with distant metastatic disease have a median survival time of 24 </w:t>
      </w:r>
      <w:proofErr w:type="gramStart"/>
      <w:r w:rsidRPr="00ED4C00">
        <w:rPr>
          <w:rFonts w:ascii="Book Antiqua" w:hAnsi="Book Antiqua"/>
          <w:sz w:val="24"/>
        </w:rPr>
        <w:t>mo</w:t>
      </w:r>
      <w:r w:rsidR="00437C46" w:rsidRPr="00ED4C00">
        <w:rPr>
          <w:rFonts w:ascii="Book Antiqua" w:eastAsiaTheme="minorEastAsia" w:hAnsi="Book Antiqua"/>
          <w:sz w:val="24"/>
          <w:vertAlign w:val="superscript"/>
          <w:lang w:eastAsia="zh-CN"/>
        </w:rPr>
        <w:t>[</w:t>
      </w:r>
      <w:proofErr w:type="gramEnd"/>
      <w:r w:rsidRPr="00ED4C00">
        <w:rPr>
          <w:rFonts w:ascii="Book Antiqua" w:hAnsi="Book Antiqua"/>
          <w:sz w:val="24"/>
          <w:vertAlign w:val="superscript"/>
        </w:rPr>
        <w:t>3</w:t>
      </w:r>
      <w:r w:rsidR="00437C46" w:rsidRPr="00ED4C00">
        <w:rPr>
          <w:rFonts w:ascii="Book Antiqua" w:eastAsiaTheme="minorEastAsia" w:hAnsi="Book Antiqua"/>
          <w:sz w:val="24"/>
          <w:vertAlign w:val="superscript"/>
          <w:lang w:eastAsia="zh-CN"/>
        </w:rPr>
        <w:t>]</w:t>
      </w:r>
      <w:r w:rsidRPr="00ED4C00">
        <w:rPr>
          <w:rFonts w:ascii="Book Antiqua" w:hAnsi="Book Antiqua"/>
          <w:sz w:val="24"/>
        </w:rPr>
        <w:t>, and few good treatments exist.</w:t>
      </w:r>
    </w:p>
    <w:p w:rsidR="005F1383" w:rsidRPr="00ED4C00" w:rsidRDefault="005F1383" w:rsidP="000E5643">
      <w:pPr>
        <w:snapToGrid w:val="0"/>
        <w:spacing w:line="360" w:lineRule="auto"/>
        <w:ind w:firstLineChars="50" w:firstLine="120"/>
        <w:rPr>
          <w:rFonts w:ascii="Book Antiqua" w:hAnsi="Book Antiqua"/>
          <w:bCs/>
          <w:color w:val="000000" w:themeColor="text1"/>
          <w:kern w:val="24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 xml:space="preserve">The majority of patients with PNETs receive chemotherapy, radiotherapy,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lastRenderedPageBreak/>
        <w:t>somatostatin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analogue therapy, or some combination of these treatments.</w:t>
      </w:r>
    </w:p>
    <w:p w:rsidR="00474567" w:rsidRPr="00ED4C00" w:rsidRDefault="005F1383" w:rsidP="000E5643">
      <w:pPr>
        <w:snapToGrid w:val="0"/>
        <w:spacing w:line="360" w:lineRule="auto"/>
        <w:rPr>
          <w:rFonts w:ascii="Book Antiqua" w:hAnsi="Book Antiqua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 xml:space="preserve">A recent prospective study showed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sunitinib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and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to exert antitumor activity against </w:t>
      </w:r>
      <w:proofErr w:type="gramStart"/>
      <w:r w:rsidRPr="00ED4C00">
        <w:rPr>
          <w:rFonts w:ascii="Book Antiqua" w:hAnsi="Book Antiqua"/>
          <w:color w:val="000000" w:themeColor="text1"/>
          <w:sz w:val="24"/>
        </w:rPr>
        <w:t>PNETs</w:t>
      </w:r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[</w:t>
      </w:r>
      <w:proofErr w:type="gramEnd"/>
      <w:r w:rsidR="007310B0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1,5</w:t>
      </w:r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]</w:t>
      </w:r>
      <w:r w:rsidRPr="00ED4C00">
        <w:rPr>
          <w:rFonts w:ascii="Book Antiqua" w:hAnsi="Book Antiqua"/>
          <w:color w:val="000000" w:themeColor="text1"/>
          <w:sz w:val="24"/>
        </w:rPr>
        <w:t xml:space="preserve">. </w:t>
      </w:r>
      <w:r w:rsidR="00474567" w:rsidRPr="00ED4C00">
        <w:rPr>
          <w:rFonts w:ascii="Book Antiqua" w:hAnsi="Book Antiqua"/>
          <w:sz w:val="24"/>
        </w:rPr>
        <w:t xml:space="preserve">Yao </w:t>
      </w:r>
      <w:r w:rsidR="00474567" w:rsidRPr="00ED4C00">
        <w:rPr>
          <w:rFonts w:ascii="Book Antiqua" w:hAnsi="Book Antiqua"/>
          <w:i/>
          <w:sz w:val="24"/>
        </w:rPr>
        <w:t xml:space="preserve">et </w:t>
      </w:r>
      <w:proofErr w:type="gramStart"/>
      <w:r w:rsidR="00474567" w:rsidRPr="00ED4C00">
        <w:rPr>
          <w:rFonts w:ascii="Book Antiqua" w:hAnsi="Book Antiqua"/>
          <w:i/>
          <w:sz w:val="24"/>
        </w:rPr>
        <w:t>al</w:t>
      </w:r>
      <w:r w:rsidR="00474567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[</w:t>
      </w:r>
      <w:proofErr w:type="gramEnd"/>
      <w:r w:rsidR="00474567" w:rsidRPr="00ED4C00">
        <w:rPr>
          <w:rFonts w:ascii="Book Antiqua" w:hAnsi="Book Antiqua"/>
          <w:sz w:val="24"/>
          <w:vertAlign w:val="superscript"/>
        </w:rPr>
        <w:t>1</w:t>
      </w:r>
      <w:r w:rsidR="00474567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]</w:t>
      </w:r>
      <w:r w:rsidR="00474567" w:rsidRPr="00ED4C00">
        <w:rPr>
          <w:rFonts w:ascii="Book Antiqua" w:hAnsi="Book Antiqua"/>
          <w:sz w:val="24"/>
        </w:rPr>
        <w:t xml:space="preserve"> showed that 10</w:t>
      </w:r>
      <w:r w:rsidR="00474567" w:rsidRPr="00ED4C00">
        <w:rPr>
          <w:rFonts w:ascii="Book Antiqua" w:eastAsiaTheme="minorEastAsia" w:hAnsi="Book Antiqua" w:hint="eastAsia"/>
          <w:sz w:val="24"/>
          <w:lang w:eastAsia="zh-CN"/>
        </w:rPr>
        <w:t xml:space="preserve"> </w:t>
      </w:r>
      <w:r w:rsidR="00474567" w:rsidRPr="00ED4C00">
        <w:rPr>
          <w:rFonts w:ascii="Book Antiqua" w:hAnsi="Book Antiqua"/>
          <w:sz w:val="24"/>
        </w:rPr>
        <w:t xml:space="preserve">mg per day </w:t>
      </w:r>
      <w:proofErr w:type="spellStart"/>
      <w:r w:rsidR="00474567" w:rsidRPr="00ED4C00">
        <w:rPr>
          <w:rFonts w:ascii="Book Antiqua" w:hAnsi="Book Antiqua"/>
          <w:sz w:val="24"/>
        </w:rPr>
        <w:t>everolimus</w:t>
      </w:r>
      <w:proofErr w:type="spellEnd"/>
      <w:r w:rsidR="00474567" w:rsidRPr="00ED4C00">
        <w:rPr>
          <w:rFonts w:ascii="Book Antiqua" w:hAnsi="Book Antiqua"/>
          <w:sz w:val="24"/>
        </w:rPr>
        <w:t xml:space="preserve"> significantly prolonged the survival of advanced PNETs in comparison with a placebo. Also, the rate of severe adverse events was lower in the </w:t>
      </w:r>
      <w:proofErr w:type="spellStart"/>
      <w:r w:rsidR="00474567" w:rsidRPr="00ED4C00">
        <w:rPr>
          <w:rFonts w:ascii="Book Antiqua" w:hAnsi="Book Antiqua"/>
          <w:sz w:val="24"/>
        </w:rPr>
        <w:t>everolimus</w:t>
      </w:r>
      <w:proofErr w:type="spellEnd"/>
      <w:r w:rsidR="00474567" w:rsidRPr="00ED4C00">
        <w:rPr>
          <w:rFonts w:ascii="Book Antiqua" w:hAnsi="Book Antiqua"/>
          <w:sz w:val="24"/>
        </w:rPr>
        <w:t xml:space="preserve"> group than in the placebo group.</w:t>
      </w:r>
    </w:p>
    <w:p w:rsidR="00474567" w:rsidRPr="00ED4C00" w:rsidRDefault="005F1383" w:rsidP="000E5643">
      <w:pPr>
        <w:snapToGrid w:val="0"/>
        <w:spacing w:line="360" w:lineRule="auto"/>
        <w:rPr>
          <w:rFonts w:ascii="Book Antiqua" w:hAnsi="Book Antiqua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474567" w:rsidRPr="00ED4C00">
        <w:rPr>
          <w:rFonts w:ascii="Book Antiqua" w:hAnsi="Book Antiqua"/>
          <w:sz w:val="24"/>
        </w:rPr>
        <w:t>Everolimus</w:t>
      </w:r>
      <w:proofErr w:type="spellEnd"/>
      <w:r w:rsidR="00474567" w:rsidRPr="00ED4C00">
        <w:rPr>
          <w:rFonts w:ascii="Book Antiqua" w:hAnsi="Book Antiqua"/>
          <w:sz w:val="24"/>
        </w:rPr>
        <w:t xml:space="preserve"> is an antitumor drug that inhibits mammalian target of </w:t>
      </w:r>
      <w:proofErr w:type="spellStart"/>
      <w:r w:rsidR="00474567" w:rsidRPr="00ED4C00">
        <w:rPr>
          <w:rFonts w:ascii="Book Antiqua" w:hAnsi="Book Antiqua"/>
          <w:sz w:val="24"/>
        </w:rPr>
        <w:t>rapamycin</w:t>
      </w:r>
      <w:proofErr w:type="spellEnd"/>
      <w:r w:rsidR="00474567" w:rsidRPr="00ED4C00">
        <w:rPr>
          <w:rFonts w:ascii="Book Antiqua" w:hAnsi="Book Antiqua"/>
          <w:sz w:val="24"/>
        </w:rPr>
        <w:t xml:space="preserve"> (</w:t>
      </w:r>
      <w:proofErr w:type="spellStart"/>
      <w:r w:rsidR="00474567" w:rsidRPr="00ED4C00">
        <w:rPr>
          <w:rFonts w:ascii="Book Antiqua" w:hAnsi="Book Antiqua"/>
          <w:sz w:val="24"/>
        </w:rPr>
        <w:t>mTOR</w:t>
      </w:r>
      <w:proofErr w:type="spellEnd"/>
      <w:r w:rsidR="00474567" w:rsidRPr="00ED4C00">
        <w:rPr>
          <w:rFonts w:ascii="Book Antiqua" w:hAnsi="Book Antiqua"/>
          <w:sz w:val="24"/>
        </w:rPr>
        <w:t xml:space="preserve">) pathway. As </w:t>
      </w:r>
      <w:proofErr w:type="spellStart"/>
      <w:r w:rsidR="00474567" w:rsidRPr="00ED4C00">
        <w:rPr>
          <w:rFonts w:ascii="Book Antiqua" w:hAnsi="Book Antiqua"/>
          <w:sz w:val="24"/>
        </w:rPr>
        <w:t>mTOR</w:t>
      </w:r>
      <w:proofErr w:type="spellEnd"/>
      <w:r w:rsidR="00474567" w:rsidRPr="00ED4C00">
        <w:rPr>
          <w:rFonts w:ascii="Book Antiqua" w:hAnsi="Book Antiqua"/>
          <w:sz w:val="24"/>
        </w:rPr>
        <w:t xml:space="preserve"> pathway plays a role in proliferation and angiogenesis, </w:t>
      </w:r>
      <w:proofErr w:type="spellStart"/>
      <w:r w:rsidR="00474567" w:rsidRPr="00ED4C00">
        <w:rPr>
          <w:rFonts w:ascii="Book Antiqua" w:hAnsi="Book Antiqua"/>
          <w:sz w:val="24"/>
        </w:rPr>
        <w:t>everolimus</w:t>
      </w:r>
      <w:proofErr w:type="spellEnd"/>
      <w:r w:rsidR="00474567" w:rsidRPr="00ED4C00">
        <w:rPr>
          <w:rFonts w:ascii="Book Antiqua" w:hAnsi="Book Antiqua"/>
          <w:sz w:val="24"/>
        </w:rPr>
        <w:t xml:space="preserve"> has an impor</w:t>
      </w:r>
      <w:r w:rsidR="000E5643" w:rsidRPr="00ED4C00">
        <w:rPr>
          <w:rFonts w:ascii="Book Antiqua" w:hAnsi="Book Antiqua"/>
          <w:sz w:val="24"/>
        </w:rPr>
        <w:t xml:space="preserve">tant antitumor effect on </w:t>
      </w:r>
      <w:proofErr w:type="gramStart"/>
      <w:r w:rsidR="000E5643" w:rsidRPr="00ED4C00">
        <w:rPr>
          <w:rFonts w:ascii="Book Antiqua" w:hAnsi="Book Antiqua"/>
          <w:sz w:val="24"/>
        </w:rPr>
        <w:t>PNETs</w:t>
      </w:r>
      <w:r w:rsidR="000E5643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[</w:t>
      </w:r>
      <w:proofErr w:type="gramEnd"/>
      <w:r w:rsidR="000E5643" w:rsidRPr="00ED4C00">
        <w:rPr>
          <w:rFonts w:ascii="Book Antiqua" w:hAnsi="Book Antiqua"/>
          <w:sz w:val="24"/>
          <w:vertAlign w:val="superscript"/>
        </w:rPr>
        <w:t>4,</w:t>
      </w:r>
      <w:r w:rsidR="00474567" w:rsidRPr="00ED4C00">
        <w:rPr>
          <w:rFonts w:ascii="Book Antiqua" w:hAnsi="Book Antiqua"/>
          <w:sz w:val="24"/>
          <w:vertAlign w:val="superscript"/>
        </w:rPr>
        <w:t>6-10</w:t>
      </w:r>
      <w:r w:rsidR="000E5643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]</w:t>
      </w:r>
      <w:r w:rsidR="00474567" w:rsidRPr="00ED4C00">
        <w:rPr>
          <w:rFonts w:ascii="Book Antiqua" w:hAnsi="Book Antiqua"/>
          <w:sz w:val="24"/>
        </w:rPr>
        <w:t>.</w:t>
      </w:r>
    </w:p>
    <w:p w:rsidR="00474567" w:rsidRPr="00ED4C00" w:rsidRDefault="00474567" w:rsidP="000E5643">
      <w:pPr>
        <w:snapToGrid w:val="0"/>
        <w:spacing w:line="360" w:lineRule="auto"/>
        <w:rPr>
          <w:rFonts w:ascii="Book Antiqua" w:hAnsi="Book Antiqua"/>
          <w:sz w:val="24"/>
        </w:rPr>
      </w:pPr>
      <w:r w:rsidRPr="00ED4C00">
        <w:rPr>
          <w:rFonts w:ascii="Book Antiqua" w:hAnsi="Book Antiqua"/>
          <w:sz w:val="24"/>
        </w:rPr>
        <w:t xml:space="preserve"> The safety profile of </w:t>
      </w:r>
      <w:proofErr w:type="spellStart"/>
      <w:r w:rsidRPr="00ED4C00">
        <w:rPr>
          <w:rFonts w:ascii="Book Antiqua" w:hAnsi="Book Antiqua"/>
          <w:sz w:val="24"/>
        </w:rPr>
        <w:t>everolimus</w:t>
      </w:r>
      <w:proofErr w:type="spellEnd"/>
      <w:r w:rsidRPr="00ED4C00">
        <w:rPr>
          <w:rFonts w:ascii="Book Antiqua" w:hAnsi="Book Antiqua"/>
          <w:sz w:val="24"/>
        </w:rPr>
        <w:t xml:space="preserve"> has </w:t>
      </w:r>
      <w:r w:rsidR="000E5643" w:rsidRPr="00ED4C00">
        <w:rPr>
          <w:rFonts w:ascii="Book Antiqua" w:hAnsi="Book Antiqua"/>
          <w:sz w:val="24"/>
        </w:rPr>
        <w:t xml:space="preserve">been examined in prior </w:t>
      </w:r>
      <w:proofErr w:type="gramStart"/>
      <w:r w:rsidR="000E5643" w:rsidRPr="00ED4C00">
        <w:rPr>
          <w:rFonts w:ascii="Book Antiqua" w:hAnsi="Book Antiqua"/>
          <w:sz w:val="24"/>
        </w:rPr>
        <w:t>studies</w:t>
      </w:r>
      <w:r w:rsidR="000E5643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[</w:t>
      </w:r>
      <w:proofErr w:type="gramEnd"/>
      <w:r w:rsidRPr="00ED4C00">
        <w:rPr>
          <w:rFonts w:ascii="Book Antiqua" w:hAnsi="Book Antiqua"/>
          <w:sz w:val="24"/>
          <w:vertAlign w:val="superscript"/>
        </w:rPr>
        <w:t>1,11</w:t>
      </w:r>
      <w:r w:rsidR="000E5643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]</w:t>
      </w:r>
      <w:r w:rsidRPr="00ED4C00">
        <w:rPr>
          <w:rFonts w:ascii="Book Antiqua" w:hAnsi="Book Antiqua"/>
          <w:sz w:val="24"/>
        </w:rPr>
        <w:t xml:space="preserve">. Stomatitis and </w:t>
      </w:r>
      <w:proofErr w:type="spellStart"/>
      <w:r w:rsidRPr="00ED4C00">
        <w:rPr>
          <w:rFonts w:ascii="Book Antiqua" w:hAnsi="Book Antiqua"/>
          <w:sz w:val="24"/>
        </w:rPr>
        <w:t>aphthous</w:t>
      </w:r>
      <w:proofErr w:type="spellEnd"/>
      <w:r w:rsidRPr="00ED4C00">
        <w:rPr>
          <w:rFonts w:ascii="Book Antiqua" w:hAnsi="Book Antiqua"/>
          <w:sz w:val="24"/>
        </w:rPr>
        <w:t xml:space="preserve"> ulceration were reported as the commonest drug-related adverse events in these studies. </w:t>
      </w:r>
      <w:proofErr w:type="spellStart"/>
      <w:r w:rsidRPr="00ED4C00">
        <w:rPr>
          <w:rFonts w:ascii="Book Antiqua" w:hAnsi="Book Antiqua"/>
          <w:sz w:val="24"/>
        </w:rPr>
        <w:t>Lymphopenia</w:t>
      </w:r>
      <w:proofErr w:type="spellEnd"/>
      <w:r w:rsidRPr="00ED4C00">
        <w:rPr>
          <w:rFonts w:ascii="Book Antiqua" w:hAnsi="Book Antiqua"/>
          <w:sz w:val="24"/>
        </w:rPr>
        <w:t xml:space="preserve">, neutropenia and infections have also been reported as common adverse events associated with </w:t>
      </w:r>
      <w:proofErr w:type="spellStart"/>
      <w:r w:rsidRPr="00ED4C00">
        <w:rPr>
          <w:rFonts w:ascii="Book Antiqua" w:hAnsi="Book Antiqua"/>
          <w:sz w:val="24"/>
        </w:rPr>
        <w:t>everolimus</w:t>
      </w:r>
      <w:proofErr w:type="spellEnd"/>
      <w:r w:rsidRPr="00ED4C00">
        <w:rPr>
          <w:rFonts w:ascii="Book Antiqua" w:hAnsi="Book Antiqua"/>
          <w:sz w:val="24"/>
        </w:rPr>
        <w:t>. However, as most of these adverse events were mild and manageable, there were few that this</w:t>
      </w:r>
      <w:r w:rsidR="000E5643" w:rsidRPr="00ED4C00">
        <w:rPr>
          <w:rFonts w:ascii="Book Antiqua" w:hAnsi="Book Antiqua"/>
          <w:sz w:val="24"/>
        </w:rPr>
        <w:t xml:space="preserve"> treatment failed to </w:t>
      </w:r>
      <w:proofErr w:type="gramStart"/>
      <w:r w:rsidR="000E5643" w:rsidRPr="00ED4C00">
        <w:rPr>
          <w:rFonts w:ascii="Book Antiqua" w:hAnsi="Book Antiqua"/>
          <w:sz w:val="24"/>
        </w:rPr>
        <w:t>terminate</w:t>
      </w:r>
      <w:r w:rsidR="000E5643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[</w:t>
      </w:r>
      <w:proofErr w:type="gramEnd"/>
      <w:r w:rsidR="000E5643" w:rsidRPr="00ED4C00">
        <w:rPr>
          <w:rFonts w:ascii="Book Antiqua" w:hAnsi="Book Antiqua"/>
          <w:sz w:val="24"/>
          <w:vertAlign w:val="superscript"/>
        </w:rPr>
        <w:t>1</w:t>
      </w:r>
      <w:r w:rsidR="000E5643" w:rsidRPr="00ED4C00">
        <w:rPr>
          <w:rFonts w:ascii="Book Antiqua" w:eastAsiaTheme="minorEastAsia" w:hAnsi="Book Antiqua" w:hint="eastAsia"/>
          <w:sz w:val="24"/>
          <w:vertAlign w:val="superscript"/>
          <w:lang w:eastAsia="zh-CN"/>
        </w:rPr>
        <w:t>]</w:t>
      </w:r>
      <w:r w:rsidRPr="00ED4C00">
        <w:rPr>
          <w:rFonts w:ascii="Book Antiqua" w:hAnsi="Book Antiqua"/>
          <w:sz w:val="24"/>
        </w:rPr>
        <w:t xml:space="preserve">. Though severe adverse events of interstitial pneumonitis were also reported, in most cases, the treatment guidelines were effectual in eliminating the disease.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The present patient developed interstitial </w:t>
      </w:r>
      <w:r w:rsidRPr="00ED4C00">
        <w:rPr>
          <w:rFonts w:ascii="Book Antiqua" w:hAnsi="Book Antiqua"/>
          <w:sz w:val="24"/>
        </w:rPr>
        <w:t>pneumonitis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during </w:t>
      </w:r>
      <w:proofErr w:type="spell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administration. However, it resolved with temporary suspension of drug administration, and there has been no recurrence, to date, since the resumption of </w:t>
      </w:r>
      <w:proofErr w:type="spellStart"/>
      <w:r w:rsidRPr="00ED4C00">
        <w:rPr>
          <w:rFonts w:ascii="Book Antiqua" w:hAnsi="Book Antiqua"/>
          <w:sz w:val="24"/>
        </w:rPr>
        <w:t>everolimus</w:t>
      </w:r>
      <w:proofErr w:type="spellEnd"/>
      <w:r w:rsidRPr="00ED4C00">
        <w:rPr>
          <w:rFonts w:ascii="Book Antiqua" w:hAnsi="Book Antiqua"/>
          <w:sz w:val="24"/>
        </w:rPr>
        <w:t xml:space="preserve"> at a reduced dose. </w:t>
      </w:r>
    </w:p>
    <w:p w:rsidR="005F1383" w:rsidRPr="00ED4C00" w:rsidRDefault="005F1383" w:rsidP="000E5643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 xml:space="preserve">With regard to </w:t>
      </w:r>
      <w:r w:rsidRPr="00ED4C00">
        <w:rPr>
          <w:rFonts w:ascii="Book Antiqua" w:hAnsi="Book Antiqua"/>
          <w:bCs/>
          <w:color w:val="000000" w:themeColor="text1"/>
          <w:sz w:val="24"/>
        </w:rPr>
        <w:t xml:space="preserve">amenorrhea, our patient had no prior history of menstrual disorders. Menstruation ceased after the start of </w:t>
      </w:r>
      <w:proofErr w:type="spellStart"/>
      <w:r w:rsidRPr="00ED4C00">
        <w:rPr>
          <w:rFonts w:ascii="Book Antiqua" w:hAnsi="Book Antiqua"/>
          <w:bCs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sz w:val="24"/>
        </w:rPr>
        <w:t xml:space="preserve"> administration and resumed when the drug was suspended, then ceased again with re-administration. Therefore, an association between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sz w:val="24"/>
        </w:rPr>
        <w:t xml:space="preserve"> and amenorrhea was strongly suspected. There </w:t>
      </w:r>
      <w:proofErr w:type="gramStart"/>
      <w:r w:rsidRPr="00ED4C00">
        <w:rPr>
          <w:rFonts w:ascii="Book Antiqua" w:hAnsi="Book Antiqua"/>
          <w:bCs/>
          <w:color w:val="000000" w:themeColor="text1"/>
          <w:sz w:val="24"/>
        </w:rPr>
        <w:t>are</w:t>
      </w:r>
      <w:proofErr w:type="gramEnd"/>
      <w:r w:rsidRPr="00ED4C00">
        <w:rPr>
          <w:rFonts w:ascii="Book Antiqua" w:hAnsi="Book Antiqua"/>
          <w:bCs/>
          <w:color w:val="000000" w:themeColor="text1"/>
          <w:sz w:val="24"/>
        </w:rPr>
        <w:t xml:space="preserve"> no case reports, to our knowledge, describing amenorrhea associated with </w:t>
      </w:r>
      <w:proofErr w:type="spellStart"/>
      <w:r w:rsidRPr="00ED4C00">
        <w:rPr>
          <w:rFonts w:ascii="Book Antiqua" w:hAnsi="Book Antiqua"/>
          <w:bCs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bCs/>
          <w:color w:val="000000" w:themeColor="text1"/>
          <w:sz w:val="24"/>
        </w:rPr>
        <w:t xml:space="preserve">, and it was thus considered to be a rare </w:t>
      </w:r>
      <w:r w:rsidRPr="00ED4C00">
        <w:rPr>
          <w:rFonts w:ascii="Book Antiqua" w:hAnsi="Book Antiqua"/>
          <w:color w:val="000000" w:themeColor="text1"/>
          <w:sz w:val="24"/>
        </w:rPr>
        <w:t xml:space="preserve">drug-related adverse event. In the EXIST-2 study of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angiomyolipoma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, 11 amenorrhea-related events were reported in 8 of 52 female </w:t>
      </w:r>
      <w:r w:rsidRPr="00ED4C00">
        <w:rPr>
          <w:rFonts w:ascii="Book Antiqua" w:hAnsi="Book Antiqua"/>
          <w:color w:val="000000" w:themeColor="text1"/>
          <w:sz w:val="24"/>
        </w:rPr>
        <w:lastRenderedPageBreak/>
        <w:t xml:space="preserve">patients (15%) receiving </w:t>
      </w:r>
      <w:proofErr w:type="spellStart"/>
      <w:proofErr w:type="gram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[</w:t>
      </w:r>
      <w:proofErr w:type="gramEnd"/>
      <w:r w:rsidR="00D724BE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12</w:t>
      </w:r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]</w:t>
      </w:r>
      <w:r w:rsidRPr="00ED4C00">
        <w:rPr>
          <w:rFonts w:ascii="Book Antiqua" w:hAnsi="Book Antiqua"/>
          <w:bCs/>
          <w:color w:val="000000" w:themeColor="text1"/>
          <w:sz w:val="24"/>
        </w:rPr>
        <w:t xml:space="preserve">. When patients were followed without receiving treatment, amenorrhea disappeared in 7 and persisted in 4 until 28 </w:t>
      </w:r>
      <w:r w:rsidR="007310B0" w:rsidRPr="00ED4C00">
        <w:rPr>
          <w:rFonts w:ascii="Book Antiqua" w:hAnsi="Book Antiqua"/>
          <w:bCs/>
          <w:color w:val="000000" w:themeColor="text1"/>
          <w:sz w:val="24"/>
        </w:rPr>
        <w:t>d</w:t>
      </w:r>
      <w:r w:rsidRPr="00ED4C00">
        <w:rPr>
          <w:rFonts w:ascii="Book Antiqua" w:hAnsi="Book Antiqua"/>
          <w:bCs/>
          <w:color w:val="000000" w:themeColor="text1"/>
          <w:sz w:val="24"/>
        </w:rPr>
        <w:t xml:space="preserve"> after the end of treatment. In the EXIT-1 study of </w:t>
      </w:r>
      <w:proofErr w:type="spellStart"/>
      <w:r w:rsidRPr="00ED4C00">
        <w:rPr>
          <w:rFonts w:ascii="Book Antiqua" w:hAnsi="Book Antiqua"/>
          <w:bCs/>
          <w:color w:val="000000" w:themeColor="text1"/>
          <w:sz w:val="24"/>
        </w:rPr>
        <w:t>s</w:t>
      </w:r>
      <w:r w:rsidRPr="00ED4C00">
        <w:rPr>
          <w:rFonts w:ascii="Book Antiqua" w:hAnsi="Book Antiqua"/>
          <w:color w:val="000000" w:themeColor="text1"/>
          <w:sz w:val="24"/>
        </w:rPr>
        <w:t>ubependymal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giant cell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astrocytomas</w:t>
      </w:r>
      <w:proofErr w:type="spellEnd"/>
      <w:r w:rsidRPr="00ED4C00">
        <w:rPr>
          <w:rFonts w:ascii="Book Antiqua" w:hAnsi="Book Antiqua"/>
          <w:bCs/>
          <w:color w:val="000000" w:themeColor="text1"/>
          <w:sz w:val="24"/>
        </w:rPr>
        <w:t xml:space="preserve">, 3 amenorrhea-related events were reported in 3 of 29 female patients (10%) receiving </w:t>
      </w:r>
      <w:proofErr w:type="spellStart"/>
      <w:proofErr w:type="gram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[</w:t>
      </w:r>
      <w:proofErr w:type="gramEnd"/>
      <w:r w:rsidR="00D724BE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13</w:t>
      </w:r>
      <w:r w:rsidR="006A30DA" w:rsidRPr="00ED4C00">
        <w:rPr>
          <w:rFonts w:ascii="Book Antiqua" w:eastAsia="宋体" w:hAnsi="Book Antiqua"/>
          <w:color w:val="000000" w:themeColor="text1"/>
          <w:sz w:val="24"/>
          <w:vertAlign w:val="superscript"/>
          <w:lang w:eastAsia="zh-CN"/>
        </w:rPr>
        <w:t>]</w:t>
      </w:r>
      <w:r w:rsidRPr="00ED4C00">
        <w:rPr>
          <w:rFonts w:ascii="Book Antiqua" w:hAnsi="Book Antiqua"/>
          <w:bCs/>
          <w:color w:val="000000" w:themeColor="text1"/>
          <w:sz w:val="24"/>
        </w:rPr>
        <w:t xml:space="preserve">. Two patients were followed without treatment and one received medication. The amenorrhea disappeared in 1 patient and persisted in 2, though reportedly disappeared thereafter. 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 xml:space="preserve">　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-induced </w:t>
      </w:r>
      <w:r w:rsidRPr="00ED4C00">
        <w:rPr>
          <w:rFonts w:ascii="Book Antiqua" w:hAnsi="Book Antiqua"/>
          <w:bCs/>
          <w:color w:val="000000" w:themeColor="text1"/>
          <w:sz w:val="24"/>
        </w:rPr>
        <w:t xml:space="preserve">amenorrhea is a potential, albeit rare, </w:t>
      </w:r>
      <w:r w:rsidRPr="00ED4C00">
        <w:rPr>
          <w:rFonts w:ascii="Book Antiqua" w:hAnsi="Book Antiqua"/>
          <w:color w:val="000000" w:themeColor="text1"/>
          <w:sz w:val="24"/>
        </w:rPr>
        <w:t xml:space="preserve">drug-related adverse event. Unfortunately, the mechanism underlying the occurrence of amenorrhea has not been examined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endocrinologically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, and no treatment for </w:t>
      </w:r>
      <w:r w:rsidRPr="00ED4C00">
        <w:rPr>
          <w:rFonts w:ascii="Book Antiqua" w:hAnsi="Book Antiqua"/>
          <w:bCs/>
          <w:color w:val="000000" w:themeColor="text1"/>
          <w:sz w:val="24"/>
        </w:rPr>
        <w:t xml:space="preserve">amenorrhea has yet been established. Therefore, </w:t>
      </w:r>
      <w:proofErr w:type="spellStart"/>
      <w:r w:rsidRPr="00ED4C00">
        <w:rPr>
          <w:rFonts w:ascii="Book Antiqua" w:hAnsi="Book Antiqua"/>
          <w:bCs/>
          <w:color w:val="000000" w:themeColor="text1"/>
          <w:sz w:val="24"/>
        </w:rPr>
        <w:t>endocrinological</w:t>
      </w:r>
      <w:proofErr w:type="spellEnd"/>
      <w:r w:rsidRPr="00ED4C00">
        <w:rPr>
          <w:rFonts w:ascii="Book Antiqua" w:hAnsi="Book Antiqua"/>
          <w:bCs/>
          <w:color w:val="000000" w:themeColor="text1"/>
          <w:sz w:val="24"/>
        </w:rPr>
        <w:t xml:space="preserve"> studies are required in the future. As PNETs tend to develop in relatively young people, we should be aware that the administration of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</w:t>
      </w:r>
      <w:r w:rsidR="00020269" w:rsidRPr="00ED4C00">
        <w:rPr>
          <w:rFonts w:ascii="Book Antiqua" w:hAnsi="Book Antiqua"/>
          <w:color w:val="000000" w:themeColor="text1"/>
          <w:sz w:val="24"/>
        </w:rPr>
        <w:t>could</w:t>
      </w:r>
      <w:r w:rsidRPr="00ED4C00">
        <w:rPr>
          <w:rFonts w:ascii="Book Antiqua" w:hAnsi="Book Antiqua"/>
          <w:color w:val="000000" w:themeColor="text1"/>
          <w:sz w:val="24"/>
        </w:rPr>
        <w:t xml:space="preserve"> result in </w:t>
      </w:r>
      <w:r w:rsidRPr="00ED4C00">
        <w:rPr>
          <w:rFonts w:ascii="Book Antiqua" w:hAnsi="Book Antiqua"/>
          <w:bCs/>
          <w:color w:val="000000" w:themeColor="text1"/>
          <w:sz w:val="24"/>
        </w:rPr>
        <w:t>amenorrhea.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B528EB" w:rsidRPr="00ED4C00" w:rsidRDefault="007C6317" w:rsidP="000E5643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color w:val="000000" w:themeColor="text1"/>
          <w:sz w:val="24"/>
        </w:rPr>
        <w:t>COMMENTS</w:t>
      </w:r>
    </w:p>
    <w:p w:rsidR="00B528EB" w:rsidRPr="00ED4C00" w:rsidRDefault="007C6317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Case characteristics</w:t>
      </w:r>
    </w:p>
    <w:p w:rsidR="007C6317" w:rsidRPr="00ED4C00" w:rsidRDefault="007C6317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proofErr w:type="gramStart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An asymptomatic 43-year-old woman</w:t>
      </w:r>
      <w:r w:rsidR="00211CEC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that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multiple hepatic tumors were identified at a routine health check-up</w:t>
      </w:r>
      <w:r w:rsidR="00211CEC" w:rsidRPr="00ED4C00">
        <w:rPr>
          <w:rFonts w:ascii="Book Antiqua" w:hAnsi="Book Antiqua"/>
          <w:bCs/>
          <w:color w:val="000000" w:themeColor="text1"/>
          <w:kern w:val="24"/>
          <w:sz w:val="24"/>
        </w:rPr>
        <w:t>.</w:t>
      </w:r>
      <w:proofErr w:type="gramEnd"/>
    </w:p>
    <w:p w:rsidR="00B528EB" w:rsidRPr="00ED4C00" w:rsidRDefault="00B528EB" w:rsidP="000E5643">
      <w:pPr>
        <w:snapToGrid w:val="0"/>
        <w:spacing w:line="360" w:lineRule="auto"/>
        <w:rPr>
          <w:rFonts w:ascii="Book Antiqua" w:eastAsia="宋体" w:hAnsi="Book Antiqua"/>
          <w:bCs/>
          <w:color w:val="000000" w:themeColor="text1"/>
          <w:sz w:val="24"/>
          <w:lang w:eastAsia="zh-CN"/>
        </w:rPr>
      </w:pPr>
    </w:p>
    <w:p w:rsidR="00D724BE" w:rsidRPr="00ED4C00" w:rsidRDefault="00211CEC" w:rsidP="000E5643">
      <w:pPr>
        <w:snapToGrid w:val="0"/>
        <w:spacing w:line="360" w:lineRule="auto"/>
        <w:rPr>
          <w:rFonts w:ascii="Book Antiqua" w:eastAsia="宋体" w:hAnsi="Book Antiqua"/>
          <w:b/>
          <w:bCs/>
          <w:i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Differential diagnosis</w:t>
      </w:r>
    </w:p>
    <w:p w:rsidR="00B528EB" w:rsidRPr="00ED4C00" w:rsidRDefault="00211CEC" w:rsidP="000E5643">
      <w:pPr>
        <w:snapToGrid w:val="0"/>
        <w:spacing w:line="360" w:lineRule="auto"/>
        <w:rPr>
          <w:rFonts w:ascii="Book Antiqua" w:eastAsia="宋体" w:hAnsi="Book Antiqua"/>
          <w:bCs/>
          <w:color w:val="000000" w:themeColor="text1"/>
          <w:sz w:val="24"/>
          <w:lang w:eastAsia="zh-CN"/>
        </w:rPr>
      </w:pPr>
      <w:proofErr w:type="gramStart"/>
      <w:r w:rsidRPr="00ED4C00">
        <w:rPr>
          <w:rFonts w:ascii="Book Antiqua" w:hAnsi="Book Antiqua"/>
          <w:bCs/>
          <w:color w:val="000000" w:themeColor="text1"/>
          <w:sz w:val="24"/>
        </w:rPr>
        <w:t>Multiple hepatic tumors, pancreatic tumor</w:t>
      </w:r>
      <w:r w:rsidR="00D724BE" w:rsidRPr="00ED4C00">
        <w:rPr>
          <w:rFonts w:ascii="Book Antiqua" w:eastAsia="宋体" w:hAnsi="Book Antiqua"/>
          <w:bCs/>
          <w:color w:val="000000" w:themeColor="text1"/>
          <w:sz w:val="24"/>
          <w:lang w:eastAsia="zh-CN"/>
        </w:rPr>
        <w:t>.</w:t>
      </w:r>
      <w:proofErr w:type="gramEnd"/>
    </w:p>
    <w:p w:rsidR="000E5643" w:rsidRPr="00ED4C00" w:rsidRDefault="000E5643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</w:p>
    <w:p w:rsidR="00B528EB" w:rsidRPr="00ED4C00" w:rsidRDefault="00211CEC" w:rsidP="000E5643">
      <w:pPr>
        <w:snapToGrid w:val="0"/>
        <w:spacing w:line="360" w:lineRule="auto"/>
        <w:rPr>
          <w:rFonts w:ascii="Book Antiqua" w:eastAsiaTheme="minorEastAsia" w:hAnsi="Book Antiqua"/>
          <w:b/>
          <w:bCs/>
          <w:i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Laboratory diagnosis</w:t>
      </w:r>
    </w:p>
    <w:p w:rsidR="00B528EB" w:rsidRPr="00ED4C00" w:rsidRDefault="00211CEC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Blood biochemistry tests revealed no abnormalities in either tumor markers or endocrine data except for mildly elevated </w:t>
      </w:r>
      <w:r w:rsidR="00D724BE" w:rsidRPr="00ED4C00">
        <w:rPr>
          <w:rFonts w:ascii="Book Antiqua" w:hAnsi="Book Antiqua"/>
          <w:bCs/>
          <w:color w:val="000000" w:themeColor="text1"/>
          <w:kern w:val="24"/>
          <w:sz w:val="24"/>
        </w:rPr>
        <w:t>alkaline phosphatase and gamma-</w:t>
      </w:r>
      <w:proofErr w:type="spellStart"/>
      <w:r w:rsidR="00D724BE" w:rsidRPr="00ED4C00">
        <w:rPr>
          <w:rFonts w:ascii="Book Antiqua" w:hAnsi="Book Antiqua"/>
          <w:bCs/>
          <w:color w:val="000000" w:themeColor="text1"/>
          <w:kern w:val="24"/>
          <w:sz w:val="24"/>
        </w:rPr>
        <w:t>glutamyl</w:t>
      </w:r>
      <w:proofErr w:type="spellEnd"/>
      <w:r w:rsidR="00D724BE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proofErr w:type="spellStart"/>
      <w:r w:rsidR="00D724BE" w:rsidRPr="00ED4C00">
        <w:rPr>
          <w:rFonts w:ascii="Book Antiqua" w:hAnsi="Book Antiqua"/>
          <w:bCs/>
          <w:color w:val="000000" w:themeColor="text1"/>
          <w:kern w:val="24"/>
          <w:sz w:val="24"/>
        </w:rPr>
        <w:t>transferase</w:t>
      </w:r>
      <w:proofErr w:type="spellEnd"/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.</w:t>
      </w:r>
    </w:p>
    <w:p w:rsidR="00B528EB" w:rsidRPr="00ED4C00" w:rsidRDefault="00B528EB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B528EB" w:rsidRPr="00ED4C00" w:rsidRDefault="00211CEC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Imaging diagnosis</w:t>
      </w:r>
    </w:p>
    <w:p w:rsidR="00B528EB" w:rsidRPr="00ED4C00" w:rsidRDefault="00211CEC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lastRenderedPageBreak/>
        <w:t xml:space="preserve">Abdominal enhanced </w:t>
      </w:r>
      <w:r w:rsidR="00D724BE"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computed tomography</w:t>
      </w:r>
      <w:r w:rsidR="00186D96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identified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contrast-enhanced </w:t>
      </w:r>
      <w:r w:rsidR="00186D96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multiple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tu</w:t>
      </w:r>
      <w:r w:rsidR="00186D96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mor lesions accompanied by 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cystic changes in the liver and the pancreatic tail.</w:t>
      </w:r>
    </w:p>
    <w:p w:rsidR="00B528EB" w:rsidRPr="00ED4C00" w:rsidRDefault="00B528EB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B528EB" w:rsidRPr="00ED4C00" w:rsidRDefault="00186D96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Pathological diagnosis</w:t>
      </w:r>
    </w:p>
    <w:p w:rsidR="00B528EB" w:rsidRPr="00ED4C00" w:rsidRDefault="00186D96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Endoscopic ultrasound-fine needle aspiration, which was performed on the pancreatic tumor lesion, revealed a </w:t>
      </w:r>
      <w:r w:rsidR="00512AA0" w:rsidRPr="00ED4C00">
        <w:rPr>
          <w:rFonts w:ascii="Book Antiqua" w:hAnsi="Book Antiqua"/>
          <w:color w:val="000000" w:themeColor="text1"/>
          <w:sz w:val="24"/>
        </w:rPr>
        <w:t>neuroendocrine tumor (NET)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G2.</w:t>
      </w:r>
    </w:p>
    <w:p w:rsidR="00B528EB" w:rsidRPr="00ED4C00" w:rsidRDefault="00B528EB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B528EB" w:rsidRPr="00ED4C00" w:rsidRDefault="00186D96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Treatment</w:t>
      </w:r>
    </w:p>
    <w:p w:rsidR="00186D96" w:rsidRPr="00ED4C00" w:rsidRDefault="00186D96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The patient was treated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in combination with </w:t>
      </w:r>
      <w:proofErr w:type="spellStart"/>
      <w:r w:rsidR="00512AA0" w:rsidRPr="00ED4C00">
        <w:rPr>
          <w:rFonts w:ascii="Book Antiqua" w:hAnsi="Book Antiqua"/>
          <w:bCs/>
          <w:color w:val="000000" w:themeColor="text1"/>
          <w:kern w:val="24"/>
          <w:sz w:val="24"/>
        </w:rPr>
        <w:t>transcatheter</w:t>
      </w:r>
      <w:proofErr w:type="spellEnd"/>
      <w:r w:rsidR="00512AA0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arterial chemoembolization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.</w:t>
      </w:r>
    </w:p>
    <w:p w:rsidR="00186D96" w:rsidRPr="00ED4C00" w:rsidRDefault="00186D96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186D96" w:rsidRPr="00ED4C00" w:rsidRDefault="00186D96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Related reports</w:t>
      </w:r>
    </w:p>
    <w:p w:rsidR="00186D96" w:rsidRPr="00ED4C00" w:rsidRDefault="00186D96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>Thi</w:t>
      </w:r>
      <w:r w:rsidR="00512AA0" w:rsidRPr="00ED4C00">
        <w:rPr>
          <w:rFonts w:ascii="Book Antiqua" w:eastAsia="宋体" w:hAnsi="Book Antiqua"/>
          <w:color w:val="000000" w:themeColor="text1"/>
          <w:sz w:val="24"/>
          <w:lang w:eastAsia="zh-CN"/>
        </w:rPr>
        <w:t>s</w:t>
      </w:r>
      <w:r w:rsidRPr="00ED4C00">
        <w:rPr>
          <w:rFonts w:ascii="Book Antiqua" w:hAnsi="Book Antiqua"/>
          <w:color w:val="000000" w:themeColor="text1"/>
          <w:sz w:val="24"/>
        </w:rPr>
        <w:t xml:space="preserve"> is the first case report of </w:t>
      </w:r>
      <w:r w:rsidR="008530E2" w:rsidRPr="00ED4C00">
        <w:rPr>
          <w:rFonts w:ascii="Book Antiqua" w:hAnsi="Book Antiqua"/>
          <w:color w:val="000000" w:themeColor="text1"/>
          <w:sz w:val="24"/>
        </w:rPr>
        <w:t>amenorrhea</w:t>
      </w:r>
      <w:r w:rsidRPr="00ED4C00">
        <w:rPr>
          <w:rFonts w:ascii="Book Antiqua" w:hAnsi="Book Antiqua"/>
          <w:color w:val="000000" w:themeColor="text1"/>
          <w:sz w:val="24"/>
        </w:rPr>
        <w:t xml:space="preserve"> as a rare adverse event associated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treatment for pancreatic </w:t>
      </w:r>
      <w:r w:rsidR="003D5CC3" w:rsidRPr="00ED4C00">
        <w:rPr>
          <w:rFonts w:ascii="Book Antiqua" w:hAnsi="Book Antiqua"/>
          <w:color w:val="000000" w:themeColor="text1"/>
          <w:sz w:val="24"/>
        </w:rPr>
        <w:t>NET</w:t>
      </w:r>
      <w:r w:rsidRPr="00ED4C00">
        <w:rPr>
          <w:rFonts w:ascii="Book Antiqua" w:hAnsi="Book Antiqua"/>
          <w:color w:val="000000" w:themeColor="text1"/>
          <w:sz w:val="24"/>
        </w:rPr>
        <w:t>.</w:t>
      </w:r>
    </w:p>
    <w:p w:rsidR="00186D96" w:rsidRPr="00ED4C00" w:rsidRDefault="00186D96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186D96" w:rsidRPr="00ED4C00" w:rsidRDefault="00186D96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Term explanation</w:t>
      </w:r>
    </w:p>
    <w:p w:rsidR="000E5643" w:rsidRPr="00ED4C00" w:rsidRDefault="000E5643" w:rsidP="000E5643">
      <w:pPr>
        <w:rPr>
          <w:rFonts w:ascii="Book Antiqua" w:hAnsi="Book Antiqua"/>
          <w:bCs/>
          <w:sz w:val="24"/>
        </w:rPr>
      </w:pPr>
      <w:proofErr w:type="spellStart"/>
      <w:r w:rsidRPr="00ED4C00">
        <w:rPr>
          <w:rFonts w:ascii="Book Antiqua" w:hAnsi="Book Antiqua"/>
          <w:sz w:val="24"/>
        </w:rPr>
        <w:t>Everolimus</w:t>
      </w:r>
      <w:proofErr w:type="spellEnd"/>
      <w:r w:rsidRPr="00ED4C00">
        <w:rPr>
          <w:rFonts w:ascii="Book Antiqua" w:hAnsi="Book Antiqua"/>
          <w:sz w:val="24"/>
        </w:rPr>
        <w:t xml:space="preserve"> is an antitumor drug that inhibits mammalian targ</w:t>
      </w:r>
      <w:r w:rsidR="00ED4C00">
        <w:rPr>
          <w:rFonts w:ascii="Book Antiqua" w:hAnsi="Book Antiqua"/>
          <w:sz w:val="24"/>
        </w:rPr>
        <w:t xml:space="preserve">et of </w:t>
      </w:r>
      <w:proofErr w:type="spellStart"/>
      <w:r w:rsidR="00ED4C00">
        <w:rPr>
          <w:rFonts w:ascii="Book Antiqua" w:hAnsi="Book Antiqua"/>
          <w:sz w:val="24"/>
        </w:rPr>
        <w:t>rapamycin</w:t>
      </w:r>
      <w:proofErr w:type="spellEnd"/>
      <w:r w:rsidR="00ED4C00">
        <w:rPr>
          <w:rFonts w:ascii="Book Antiqua" w:hAnsi="Book Antiqua"/>
          <w:sz w:val="24"/>
        </w:rPr>
        <w:t xml:space="preserve"> (</w:t>
      </w:r>
      <w:proofErr w:type="spellStart"/>
      <w:r w:rsidR="00ED4C00">
        <w:rPr>
          <w:rFonts w:ascii="Book Antiqua" w:hAnsi="Book Antiqua"/>
          <w:sz w:val="24"/>
        </w:rPr>
        <w:t>mTOR</w:t>
      </w:r>
      <w:proofErr w:type="spellEnd"/>
      <w:r w:rsidR="00ED4C00">
        <w:rPr>
          <w:rFonts w:ascii="Book Antiqua" w:hAnsi="Book Antiqua"/>
          <w:sz w:val="24"/>
        </w:rPr>
        <w:t>) pathway.</w:t>
      </w:r>
      <w:r w:rsidR="00ED4C00">
        <w:rPr>
          <w:rFonts w:ascii="Book Antiqua" w:eastAsiaTheme="minorEastAsia" w:hAnsi="Book Antiqua" w:hint="eastAsia"/>
          <w:sz w:val="24"/>
          <w:lang w:eastAsia="zh-CN"/>
        </w:rPr>
        <w:t xml:space="preserve"> </w:t>
      </w:r>
      <w:r w:rsidRPr="00ED4C00">
        <w:rPr>
          <w:rFonts w:ascii="Book Antiqua" w:hAnsi="Book Antiqua"/>
          <w:sz w:val="24"/>
        </w:rPr>
        <w:t xml:space="preserve">As </w:t>
      </w:r>
      <w:proofErr w:type="spellStart"/>
      <w:r w:rsidRPr="00ED4C00">
        <w:rPr>
          <w:rFonts w:ascii="Book Antiqua" w:hAnsi="Book Antiqua"/>
          <w:sz w:val="24"/>
        </w:rPr>
        <w:t>mTOR</w:t>
      </w:r>
      <w:proofErr w:type="spellEnd"/>
      <w:r w:rsidRPr="00ED4C00">
        <w:rPr>
          <w:rFonts w:ascii="Book Antiqua" w:hAnsi="Book Antiqua"/>
          <w:sz w:val="24"/>
        </w:rPr>
        <w:t xml:space="preserve"> pathway plays a role in proliferation and angiogenesis, </w:t>
      </w:r>
      <w:proofErr w:type="spellStart"/>
      <w:r w:rsidRPr="00ED4C00">
        <w:rPr>
          <w:rFonts w:ascii="Book Antiqua" w:hAnsi="Book Antiqua"/>
          <w:sz w:val="24"/>
        </w:rPr>
        <w:t>everolimus</w:t>
      </w:r>
      <w:proofErr w:type="spellEnd"/>
      <w:r w:rsidRPr="00ED4C00">
        <w:rPr>
          <w:rFonts w:ascii="Book Antiqua" w:hAnsi="Book Antiqua"/>
          <w:sz w:val="24"/>
        </w:rPr>
        <w:t xml:space="preserve"> has an important antitumor effect on PNETs.</w:t>
      </w:r>
    </w:p>
    <w:p w:rsidR="003D5CC3" w:rsidRPr="00ED4C00" w:rsidRDefault="003D5CC3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3D5CC3" w:rsidRPr="00ED4C00" w:rsidRDefault="003D5CC3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Experiences and lessons</w:t>
      </w:r>
    </w:p>
    <w:p w:rsidR="003D5CC3" w:rsidRPr="00ED4C00" w:rsidRDefault="003D5CC3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As the younger women might be included in PNETs patients, we should put this adverse event “</w:t>
      </w:r>
      <w:r w:rsidR="008530E2" w:rsidRPr="00ED4C00">
        <w:rPr>
          <w:rFonts w:ascii="Book Antiqua" w:hAnsi="Book Antiqua"/>
          <w:bCs/>
          <w:color w:val="000000" w:themeColor="text1"/>
          <w:kern w:val="24"/>
          <w:sz w:val="24"/>
        </w:rPr>
        <w:t>amenorrhea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” into consideration.</w:t>
      </w:r>
    </w:p>
    <w:p w:rsidR="003D5CC3" w:rsidRPr="00ED4C00" w:rsidRDefault="003D5CC3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3D5CC3" w:rsidRPr="00ED4C00" w:rsidRDefault="008530E2" w:rsidP="000E5643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i/>
          <w:color w:val="000000" w:themeColor="text1"/>
          <w:sz w:val="24"/>
        </w:rPr>
        <w:t>Peer review</w:t>
      </w:r>
    </w:p>
    <w:p w:rsidR="008530E2" w:rsidRPr="00ED4C00" w:rsidRDefault="008530E2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t>Th</w:t>
      </w:r>
      <w:r w:rsidR="00F3619A" w:rsidRPr="00ED4C00">
        <w:rPr>
          <w:rFonts w:ascii="Book Antiqua" w:hAnsi="Book Antiqua"/>
          <w:color w:val="000000" w:themeColor="text1"/>
          <w:sz w:val="24"/>
        </w:rPr>
        <w:t>i</w:t>
      </w:r>
      <w:r w:rsidR="00F3619A" w:rsidRPr="00ED4C00">
        <w:rPr>
          <w:rFonts w:ascii="Book Antiqua" w:eastAsia="宋体" w:hAnsi="Book Antiqua"/>
          <w:color w:val="000000" w:themeColor="text1"/>
          <w:sz w:val="24"/>
          <w:lang w:eastAsia="zh-CN"/>
        </w:rPr>
        <w:t>s</w:t>
      </w:r>
      <w:r w:rsidRPr="00ED4C00">
        <w:rPr>
          <w:rFonts w:ascii="Book Antiqua" w:hAnsi="Book Antiqua"/>
          <w:color w:val="000000" w:themeColor="text1"/>
          <w:sz w:val="24"/>
        </w:rPr>
        <w:t xml:space="preserve"> article is the first case report of amenorrhea as a rare adverse event associated with </w:t>
      </w:r>
      <w:proofErr w:type="spellStart"/>
      <w:r w:rsidRPr="00ED4C00">
        <w:rPr>
          <w:rFonts w:ascii="Book Antiqua" w:hAnsi="Book Antiqua"/>
          <w:color w:val="000000" w:themeColor="text1"/>
          <w:sz w:val="24"/>
        </w:rPr>
        <w:t>everolimus</w:t>
      </w:r>
      <w:proofErr w:type="spellEnd"/>
      <w:r w:rsidRPr="00ED4C00">
        <w:rPr>
          <w:rFonts w:ascii="Book Antiqua" w:hAnsi="Book Antiqua"/>
          <w:color w:val="000000" w:themeColor="text1"/>
          <w:sz w:val="24"/>
        </w:rPr>
        <w:t xml:space="preserve"> treatment for PNETs.</w:t>
      </w:r>
    </w:p>
    <w:p w:rsidR="008530E2" w:rsidRPr="00ED4C00" w:rsidRDefault="008530E2" w:rsidP="000E5643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5F1383" w:rsidRPr="00ED4C00" w:rsidRDefault="00F3619A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b/>
          <w:bCs/>
          <w:color w:val="000000" w:themeColor="text1"/>
          <w:sz w:val="24"/>
        </w:rPr>
        <w:t>REFERENCES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>1 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Yao JC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Shah MH, Ito T,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Bohas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CL,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Wolin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EM, Van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Cutsem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Hobday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Okusaka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Capdevila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J, de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Vries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EG,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Tomassetti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P, Pavel ME,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Hoosen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Haas T,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Lincy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Lebwohl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Öberg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K.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Everolimus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for advanced pancreatic neuroendocrine tumors.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N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Engl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J Med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2011;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364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514-523 [PMID: 21306238 DOI: 10.1056/NEJMoa1009290]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2 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Yao JC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Eisner MP, Leary C,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Dagohoy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C,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Phan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A, Rashid A, Hassan M, Evans DB. </w:t>
      </w:r>
      <w:proofErr w:type="gram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Population-based study of islet cell carcinoma.</w:t>
      </w:r>
      <w:proofErr w:type="gram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Ann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2007;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14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3492-3500 [PMID: 17896148]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3 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Yao JC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Hassan 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Phan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Dagohoy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C, Leary C, Mares JE,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Abdalla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EK, Fleming JB,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Vauthey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JN, Rashid A, Evans DB. One hundred years after "carcinoid": epidemiology of and prognostic factors for neuroendocrine tumors in 35,825 cases in the United States.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Clin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2008;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26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3063-3072 [PMID: 18565894 DOI: 10.1200/JCO.2007.15.4377]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4 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Yao JC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, Lombard-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Bohas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C,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Baudin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Kvols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LK,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Rougier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Ruszniewski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Hoosen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St Peter J, Haas T,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Lebwohl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D, Van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Cutsem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Kulke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MH,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Hobday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O'Dorisio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TM, Shah MH,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Cadiot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G,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Luppi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G, Posey JA,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Wiedenmann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B. Daily oral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everolimus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activity in patients with metastatic pancreatic neuroendocrine tumors after failure of cytotoxic chemotherapy: a phase II trial.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Clin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2010;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28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69-76 [PMID: 19933912 DOI: 10.1200/JCO.2009.24.2669]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5 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Raymond E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Dahan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L, Raoul JL, Bang YJ,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Borbath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I, Lombard-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Bohas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C, Valle 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Metrakos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P, Smith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Vinik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A, Chen JS,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Hörsch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Hammel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Wiedenmann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B, Van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Cutsem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Patyna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Lu DR,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Blanckmeister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C, Chao R,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Ruszniewski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P.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Sunitinib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malate for the treatment of pancreatic neuroendocrine tumors.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N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Engl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J Med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2011;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364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501-513 [PMID: 21306237 DOI: 10.1056/NEJMoa1003825]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6 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Yao JC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Phan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AT, Chang DZ, Wolff RA, Hess K, Gupta S, Jacobs C, Mares JE,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Landgraf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AN, Rashid 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Meric-Bernstam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F. Efficacy of RAD001 (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everolimus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) and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octreotide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LAR in advanced low- to intermediate-grade neuroendocrine tumors: results of a phase II study.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Clin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2008;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26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4311-4318 [PMID: 18779618 DOI: 10.1200/JCO.2008.16.7858]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>7 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O'Donnell A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Faivre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Burris HA, Rea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Papadimitrakopoulou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V,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Shand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N, Lane HA,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Hazell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K,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Zoellner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U,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Kovarik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JM, Brock C, Jones S, Raymond E, Judson I. Phase I pharmacokinetic and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pharmacodynamic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study of the oral mammalian target of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rapamycin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inhibitor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everolimus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in patients with advanced solid tumors.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Clin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2008;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26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1588-1595 [PMID: 18332470 DOI: 10.1200/JCO.2007.14.0988]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8 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von </w:t>
      </w:r>
      <w:proofErr w:type="spellStart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Wichert</w:t>
      </w:r>
      <w:proofErr w:type="spellEnd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G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Jehle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Hoeflich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Koschnick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Dralle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H, Wolf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Wiedenmann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B, Boehm BO, Adler G,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Seufferlein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T. Insulin-like growth factor-I is an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autocrine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regulator of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chromogranin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 secretion and growth in human neuroendocrine tumor cells.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Cancer Res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2000;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60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4573-4581 [PMID: 10969809]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9 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Moreno A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Akcakanat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Munsell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MF,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Soni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A, Yao JC,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Meric-Bernstam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F. Antitumor activity of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rapamycin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and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octreotide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as single agents or in combination in neuroendocrine tumors. 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Endocr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Relat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Cancer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2008;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15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257-266 [PMID: 18310292 DOI: 10.1677/ERC-07-0202]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10 </w:t>
      </w:r>
      <w:proofErr w:type="spellStart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Missiaglia</w:t>
      </w:r>
      <w:proofErr w:type="spellEnd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E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Dalai I,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Barbi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Beghelli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Falconi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della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Peruta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Piemonti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L,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Capurso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G, Di Florio 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delle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Fave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G,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Pederzoli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P, Croce CM,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Scarpa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A. Pancreatic endocrine tumors: expression profiling evidences a role for AKT-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mTOR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pathway.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Clin</w:t>
      </w:r>
      <w:proofErr w:type="spellEnd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2010;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28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245-255 [PMID: 19917848 DOI: 10.1200/JCO.2008.21.5988]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11 </w:t>
      </w:r>
      <w:proofErr w:type="spellStart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Motzer</w:t>
      </w:r>
      <w:proofErr w:type="spellEnd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RJ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Escudier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B,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Oudard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Hutson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Porta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C,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Bracarda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Grünwald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V, Thompson JA,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Figlin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RA,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Hollaender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N,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Urbanowitz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G, Berg WJ, Kay A,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Lebwohl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Ravaud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A. Efficacy of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everolimus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in advanced renal cell carcinoma: a double-blind,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randomised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, placebo-controlled phase III trial.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Lancet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2008;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372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449-456 [PMID: 18653228 DOI: 10.1016/S0140-6736(08)61039-9]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12 </w:t>
      </w:r>
      <w:proofErr w:type="spellStart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Bissler</w:t>
      </w:r>
      <w:proofErr w:type="spellEnd"/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JJ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Kingswood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JC,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Radzikowska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Zonnenberg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BA, Frost 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Belousova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Sauter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Nonomura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N,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Brakemeier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de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Vries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Whittemore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VH, Chen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Sahmoud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T, Shah G,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Lincy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Lebwohl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Budde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K.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Everolimus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for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angiomyolipoma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associated with tuberous sclerosis complex or sporadic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lymphangioleiomyomatosis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(EXIST-2): a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multicentre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randomised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double-blind, 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>placebo-controlled trial.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Lancet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2013;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381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817-824 [PMID: 23312829 DOI: 10.1016/S0140-6736(12)61767-X]</w:t>
      </w:r>
    </w:p>
    <w:p w:rsidR="00E6782D" w:rsidRPr="00ED4C00" w:rsidRDefault="00E6782D" w:rsidP="000E5643">
      <w:pPr>
        <w:widowControl/>
        <w:snapToGrid w:val="0"/>
        <w:spacing w:line="360" w:lineRule="auto"/>
        <w:jc w:val="left"/>
        <w:rPr>
          <w:rFonts w:ascii="Book Antiqua" w:eastAsia="宋体" w:hAnsi="Book Antiqua" w:cs="宋体"/>
          <w:kern w:val="0"/>
          <w:sz w:val="24"/>
          <w:lang w:eastAsia="zh-CN"/>
        </w:rPr>
      </w:pP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13 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Franz DN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Belousova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Sparagana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Bebin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EM, Frost M,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Kuperman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R, Witt O,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Kohrman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MH,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Flamini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JR, Wu JY,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Curatolo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P, de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Vries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PJ,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Whittemore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VH, Thiele EA, Ford JP, Shah G,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Cauwel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Lebwohl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D,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Sahmoud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Jozwiak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S. Efficacy and safety of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everolimus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for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subependymal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giant cell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astrocytomas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 associated with tuberous sclerosis complex (EXIST-1): a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multicentre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randomised</w:t>
      </w:r>
      <w:proofErr w:type="spellEnd"/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, placebo-controlled phase 3 trial. </w:t>
      </w:r>
      <w:r w:rsidRPr="00ED4C00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Lancet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 2013; </w:t>
      </w:r>
      <w:r w:rsidRPr="00ED4C00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381</w:t>
      </w:r>
      <w:r w:rsidRPr="00ED4C00">
        <w:rPr>
          <w:rFonts w:ascii="Book Antiqua" w:eastAsia="宋体" w:hAnsi="Book Antiqua" w:cs="宋体"/>
          <w:kern w:val="0"/>
          <w:sz w:val="24"/>
          <w:lang w:eastAsia="zh-CN"/>
        </w:rPr>
        <w:t>: 125-132 [PMID: 23158522 DOI: 10.1016/S0140-6736(12)61134-9</w:t>
      </w:r>
      <w:r w:rsidR="00ED4C00">
        <w:rPr>
          <w:rFonts w:ascii="Book Antiqua" w:eastAsia="宋体" w:hAnsi="Book Antiqua" w:cs="宋体"/>
          <w:kern w:val="0"/>
          <w:sz w:val="24"/>
          <w:lang w:eastAsia="zh-CN"/>
        </w:rPr>
        <w:t>]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E6782D" w:rsidRPr="00ED4C00" w:rsidRDefault="00E6782D" w:rsidP="000E5643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bookmarkStart w:id="194" w:name="OLE_LINK874"/>
      <w:bookmarkStart w:id="195" w:name="OLE_LINK875"/>
      <w:bookmarkStart w:id="196" w:name="OLE_LINK347"/>
      <w:bookmarkStart w:id="197" w:name="OLE_LINK384"/>
      <w:bookmarkStart w:id="198" w:name="OLE_LINK557"/>
      <w:bookmarkStart w:id="199" w:name="OLE_LINK558"/>
      <w:bookmarkStart w:id="200" w:name="OLE_LINK631"/>
      <w:bookmarkStart w:id="201" w:name="OLE_LINK632"/>
      <w:bookmarkStart w:id="202" w:name="OLE_LINK386"/>
      <w:bookmarkStart w:id="203" w:name="OLE_LINK431"/>
      <w:bookmarkStart w:id="204" w:name="OLE_LINK564"/>
      <w:bookmarkStart w:id="205" w:name="OLE_LINK493"/>
      <w:bookmarkStart w:id="206" w:name="OLE_LINK442"/>
      <w:bookmarkStart w:id="207" w:name="OLE_LINK551"/>
      <w:bookmarkStart w:id="208" w:name="OLE_LINK668"/>
      <w:bookmarkStart w:id="209" w:name="OLE_LINK669"/>
      <w:bookmarkStart w:id="210" w:name="OLE_LINK725"/>
      <w:bookmarkStart w:id="211" w:name="OLE_LINK489"/>
      <w:bookmarkStart w:id="212" w:name="OLE_LINK602"/>
      <w:bookmarkStart w:id="213" w:name="OLE_LINK658"/>
      <w:bookmarkStart w:id="214" w:name="OLE_LINK747"/>
      <w:bookmarkStart w:id="215" w:name="OLE_LINK897"/>
      <w:bookmarkStart w:id="216" w:name="OLE_LINK1138"/>
      <w:bookmarkStart w:id="217" w:name="OLE_LINK1139"/>
      <w:bookmarkStart w:id="218" w:name="OLE_LINK882"/>
      <w:bookmarkStart w:id="219" w:name="OLE_LINK1095"/>
      <w:bookmarkStart w:id="220" w:name="OLE_LINK1305"/>
      <w:bookmarkStart w:id="221" w:name="OLE_LINK1390"/>
      <w:bookmarkStart w:id="222" w:name="OLE_LINK964"/>
      <w:bookmarkStart w:id="223" w:name="OLE_LINK1190"/>
      <w:bookmarkStart w:id="224" w:name="OLE_LINK1314"/>
      <w:bookmarkStart w:id="225" w:name="OLE_LINK1031"/>
      <w:bookmarkStart w:id="226" w:name="OLE_LINK1092"/>
      <w:bookmarkStart w:id="227" w:name="OLE_LINK1258"/>
      <w:bookmarkStart w:id="228" w:name="OLE_LINK1259"/>
      <w:bookmarkStart w:id="229" w:name="OLE_LINK1337"/>
      <w:bookmarkStart w:id="230" w:name="OLE_LINK1338"/>
      <w:bookmarkStart w:id="231" w:name="OLE_LINK1363"/>
      <w:bookmarkStart w:id="232" w:name="OLE_LINK1364"/>
      <w:bookmarkStart w:id="233" w:name="OLE_LINK86"/>
      <w:bookmarkStart w:id="234" w:name="OLE_LINK1595"/>
      <w:bookmarkStart w:id="235" w:name="OLE_LINK1613"/>
      <w:bookmarkStart w:id="236" w:name="OLE_LINK1708"/>
      <w:bookmarkStart w:id="237" w:name="OLE_LINK1774"/>
      <w:bookmarkStart w:id="238" w:name="OLE_LINK1872"/>
      <w:bookmarkStart w:id="239" w:name="OLE_LINK1899"/>
      <w:bookmarkStart w:id="240" w:name="OLE_LINK1492"/>
      <w:bookmarkStart w:id="241" w:name="OLE_LINK1497"/>
      <w:bookmarkStart w:id="242" w:name="OLE_LINK1498"/>
      <w:bookmarkStart w:id="243" w:name="OLE_LINK1589"/>
      <w:bookmarkStart w:id="244" w:name="OLE_LINK1666"/>
      <w:bookmarkStart w:id="245" w:name="OLE_LINK1752"/>
      <w:bookmarkStart w:id="246" w:name="OLE_LINK1616"/>
      <w:bookmarkStart w:id="247" w:name="OLE_LINK1696"/>
      <w:bookmarkStart w:id="248" w:name="OLE_LINK1855"/>
      <w:bookmarkStart w:id="249" w:name="OLE_LINK1942"/>
      <w:bookmarkStart w:id="250" w:name="OLE_LINK1943"/>
      <w:bookmarkStart w:id="251" w:name="OLE_LINK1573"/>
      <w:bookmarkStart w:id="252" w:name="OLE_LINK1574"/>
      <w:bookmarkStart w:id="253" w:name="OLE_LINK1575"/>
      <w:bookmarkStart w:id="254" w:name="OLE_LINK1739"/>
      <w:bookmarkStart w:id="255" w:name="OLE_LINK1761"/>
      <w:bookmarkStart w:id="256" w:name="OLE_LINK1743"/>
      <w:bookmarkStart w:id="257" w:name="OLE_LINK1841"/>
      <w:bookmarkStart w:id="258" w:name="OLE_LINK1858"/>
      <w:bookmarkStart w:id="259" w:name="OLE_LINK1890"/>
      <w:bookmarkStart w:id="260" w:name="OLE_LINK1915"/>
      <w:bookmarkStart w:id="261" w:name="OLE_LINK1980"/>
      <w:bookmarkStart w:id="262" w:name="OLE_LINK1883"/>
      <w:bookmarkStart w:id="263" w:name="OLE_LINK1935"/>
      <w:bookmarkStart w:id="264" w:name="OLE_LINK1936"/>
      <w:bookmarkStart w:id="265" w:name="OLE_LINK1952"/>
      <w:bookmarkStart w:id="266" w:name="OLE_LINK1953"/>
      <w:bookmarkStart w:id="267" w:name="OLE_LINK1999"/>
      <w:bookmarkStart w:id="268" w:name="OLE_LINK2050"/>
      <w:bookmarkStart w:id="269" w:name="OLE_LINK1862"/>
      <w:bookmarkStart w:id="270" w:name="OLE_LINK1963"/>
      <w:bookmarkStart w:id="271" w:name="OLE_LINK2052"/>
      <w:bookmarkStart w:id="272" w:name="OLE_LINK1906"/>
      <w:bookmarkStart w:id="273" w:name="OLE_LINK2031"/>
      <w:bookmarkStart w:id="274" w:name="OLE_LINK2032"/>
      <w:bookmarkStart w:id="275" w:name="OLE_LINK1907"/>
      <w:bookmarkStart w:id="276" w:name="OLE_LINK2004"/>
      <w:bookmarkStart w:id="277" w:name="OLE_LINK2238"/>
      <w:bookmarkStart w:id="278" w:name="OLE_LINK2239"/>
      <w:bookmarkStart w:id="279" w:name="OLE_LINK2163"/>
      <w:bookmarkStart w:id="280" w:name="OLE_LINK2207"/>
      <w:bookmarkStart w:id="281" w:name="OLE_LINK2341"/>
      <w:bookmarkStart w:id="282" w:name="OLE_LINK2417"/>
      <w:bookmarkStart w:id="283" w:name="OLE_LINK2509"/>
      <w:bookmarkStart w:id="284" w:name="OLE_LINK2510"/>
      <w:bookmarkStart w:id="285" w:name="OLE_LINK2511"/>
      <w:bookmarkStart w:id="286" w:name="OLE_LINK2512"/>
      <w:bookmarkStart w:id="287" w:name="OLE_LINK2513"/>
      <w:bookmarkStart w:id="288" w:name="OLE_LINK2514"/>
      <w:bookmarkStart w:id="289" w:name="OLE_LINK2515"/>
      <w:bookmarkStart w:id="290" w:name="OLE_LINK2516"/>
      <w:bookmarkStart w:id="291" w:name="OLE_LINK2517"/>
      <w:bookmarkStart w:id="292" w:name="OLE_LINK2518"/>
      <w:bookmarkStart w:id="293" w:name="OLE_LINK2519"/>
      <w:bookmarkStart w:id="294" w:name="OLE_LINK2520"/>
      <w:bookmarkStart w:id="295" w:name="OLE_LINK2521"/>
      <w:bookmarkStart w:id="296" w:name="OLE_LINK2522"/>
      <w:bookmarkStart w:id="297" w:name="OLE_LINK2523"/>
      <w:bookmarkStart w:id="298" w:name="OLE_LINK2524"/>
      <w:bookmarkStart w:id="299" w:name="OLE_LINK2051"/>
      <w:bookmarkStart w:id="300" w:name="OLE_LINK2109"/>
      <w:bookmarkStart w:id="301" w:name="OLE_LINK2165"/>
      <w:bookmarkStart w:id="302" w:name="OLE_LINK2385"/>
      <w:bookmarkStart w:id="303" w:name="OLE_LINK2593"/>
      <w:bookmarkStart w:id="304" w:name="OLE_LINK2332"/>
      <w:bookmarkStart w:id="305" w:name="OLE_LINK2448"/>
      <w:bookmarkStart w:id="306" w:name="OLE_LINK2525"/>
      <w:bookmarkStart w:id="307" w:name="OLE_LINK2506"/>
      <w:bookmarkStart w:id="308" w:name="OLE_LINK2507"/>
      <w:bookmarkStart w:id="309" w:name="OLE_LINK2291"/>
      <w:bookmarkStart w:id="310" w:name="OLE_LINK2294"/>
      <w:bookmarkStart w:id="311" w:name="OLE_LINK2298"/>
      <w:bookmarkStart w:id="312" w:name="OLE_LINK2300"/>
      <w:bookmarkStart w:id="313" w:name="OLE_LINK2301"/>
      <w:bookmarkStart w:id="314" w:name="OLE_LINK2546"/>
      <w:bookmarkStart w:id="315" w:name="OLE_LINK2756"/>
      <w:bookmarkStart w:id="316" w:name="OLE_LINK2757"/>
      <w:bookmarkStart w:id="317" w:name="OLE_LINK2736"/>
      <w:bookmarkStart w:id="318" w:name="OLE_LINK2923"/>
      <w:bookmarkStart w:id="319" w:name="OLE_LINK2974"/>
      <w:bookmarkStart w:id="320" w:name="OLE_LINK3125"/>
      <w:bookmarkStart w:id="321" w:name="OLE_LINK3218"/>
      <w:bookmarkStart w:id="322" w:name="OLE_LINK2575"/>
      <w:bookmarkStart w:id="323" w:name="OLE_LINK2687"/>
      <w:bookmarkStart w:id="324" w:name="OLE_LINK2688"/>
      <w:bookmarkStart w:id="325" w:name="OLE_LINK2700"/>
      <w:bookmarkStart w:id="326" w:name="OLE_LINK2576"/>
      <w:bookmarkStart w:id="327" w:name="OLE_LINK2674"/>
      <w:bookmarkStart w:id="328" w:name="OLE_LINK2738"/>
      <w:bookmarkStart w:id="329" w:name="OLE_LINK2983"/>
      <w:bookmarkStart w:id="330" w:name="OLE_LINK76"/>
      <w:bookmarkStart w:id="331" w:name="OLE_LINK115"/>
      <w:bookmarkStart w:id="332" w:name="OLE_LINK155"/>
      <w:r w:rsidRPr="00ED4C00">
        <w:rPr>
          <w:rFonts w:ascii="Book Antiqua" w:hAnsi="Book Antiqua" w:cs="Tahoma"/>
          <w:b/>
          <w:color w:val="000000"/>
          <w:sz w:val="24"/>
        </w:rPr>
        <w:t xml:space="preserve">P-Reviewers: </w:t>
      </w:r>
      <w:r w:rsidR="001E4401" w:rsidRPr="00ED4C00">
        <w:rPr>
          <w:rFonts w:ascii="Book Antiqua" w:hAnsi="Book Antiqua" w:cs="Tahoma"/>
          <w:color w:val="000000"/>
          <w:sz w:val="24"/>
        </w:rPr>
        <w:t xml:space="preserve">Shi BM, </w:t>
      </w:r>
      <w:proofErr w:type="spellStart"/>
      <w:r w:rsidR="001E4401" w:rsidRPr="00ED4C00">
        <w:rPr>
          <w:rFonts w:ascii="Book Antiqua" w:hAnsi="Book Antiqua" w:cs="Tahoma"/>
          <w:color w:val="000000"/>
          <w:sz w:val="24"/>
        </w:rPr>
        <w:t>Trevisani</w:t>
      </w:r>
      <w:proofErr w:type="spellEnd"/>
      <w:r w:rsidR="001E4401" w:rsidRPr="00ED4C00">
        <w:rPr>
          <w:rFonts w:ascii="Book Antiqua" w:hAnsi="Book Antiqua" w:cs="Tahoma"/>
          <w:color w:val="000000"/>
          <w:sz w:val="24"/>
        </w:rPr>
        <w:t xml:space="preserve"> L</w:t>
      </w:r>
      <w:r w:rsidR="001E4401" w:rsidRPr="00ED4C00">
        <w:rPr>
          <w:rFonts w:ascii="Book Antiqua" w:hAnsi="Book Antiqua" w:cs="Tahoma"/>
          <w:b/>
          <w:color w:val="000000"/>
          <w:sz w:val="24"/>
        </w:rPr>
        <w:t xml:space="preserve"> </w:t>
      </w:r>
      <w:r w:rsidRPr="00ED4C00">
        <w:rPr>
          <w:rFonts w:ascii="Book Antiqua" w:hAnsi="Book Antiqua" w:cs="Tahoma"/>
          <w:b/>
          <w:color w:val="000000"/>
          <w:sz w:val="24"/>
        </w:rPr>
        <w:t xml:space="preserve">S-Editor: </w:t>
      </w:r>
      <w:r w:rsidRPr="00ED4C00">
        <w:rPr>
          <w:rFonts w:ascii="Book Antiqua" w:hAnsi="Book Antiqua" w:cs="Tahoma"/>
          <w:color w:val="000000"/>
          <w:sz w:val="24"/>
        </w:rPr>
        <w:t xml:space="preserve">Gou SX </w:t>
      </w:r>
      <w:r w:rsidRPr="00ED4C00">
        <w:rPr>
          <w:rFonts w:ascii="Book Antiqua" w:hAnsi="Book Antiqua" w:cs="Tahoma"/>
          <w:b/>
          <w:color w:val="000000"/>
          <w:sz w:val="24"/>
        </w:rPr>
        <w:t xml:space="preserve">  L-Editor:    E-Edito</w:t>
      </w:r>
      <w:bookmarkEnd w:id="194"/>
      <w:bookmarkEnd w:id="195"/>
      <w:r w:rsidRPr="00ED4C00">
        <w:rPr>
          <w:rFonts w:ascii="Book Antiqua" w:hAnsi="Book Antiqua" w:cs="Tahoma"/>
          <w:b/>
          <w:color w:val="000000"/>
          <w:sz w:val="24"/>
        </w:rPr>
        <w:t>r:</w:t>
      </w:r>
    </w:p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5F1383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1E4401" w:rsidRPr="00ED4C00" w:rsidRDefault="001E4401" w:rsidP="000E5643">
      <w:pPr>
        <w:widowControl/>
        <w:snapToGrid w:val="0"/>
        <w:spacing w:line="360" w:lineRule="auto"/>
        <w:jc w:val="left"/>
        <w:rPr>
          <w:rFonts w:ascii="Book Antiqua" w:hAnsi="Book Antiqua"/>
          <w:color w:val="000000" w:themeColor="text1"/>
          <w:sz w:val="24"/>
        </w:rPr>
      </w:pPr>
      <w:r w:rsidRPr="00ED4C00">
        <w:rPr>
          <w:rFonts w:ascii="Book Antiqua" w:hAnsi="Book Antiqua"/>
          <w:color w:val="000000" w:themeColor="text1"/>
          <w:sz w:val="24"/>
        </w:rPr>
        <w:br w:type="page"/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5F1383" w:rsidP="000E5643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Figure legends</w:t>
      </w:r>
    </w:p>
    <w:p w:rsidR="00FC243D" w:rsidRPr="00ED4C00" w:rsidRDefault="00FC243D" w:rsidP="000E5643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ED4C00">
        <w:rPr>
          <w:rFonts w:ascii="Book Antiqua" w:eastAsia="宋体" w:hAnsi="Book Antiqua"/>
          <w:b/>
          <w:noProof/>
          <w:color w:val="000000" w:themeColor="text1"/>
          <w:sz w:val="24"/>
          <w:lang w:eastAsia="zh-CN"/>
        </w:rPr>
        <w:drawing>
          <wp:inline distT="0" distB="0" distL="0" distR="0">
            <wp:extent cx="4114800" cy="3228975"/>
            <wp:effectExtent l="19050" t="0" r="0" b="0"/>
            <wp:docPr id="1" name="图片 1" descr="E:\2013-10-10\2014-5-23\9791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3-10-10\2014-5-23\9791\Figure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83" w:rsidRPr="00ED4C00" w:rsidRDefault="00B3142D" w:rsidP="000E5643">
      <w:pPr>
        <w:snapToGrid w:val="0"/>
        <w:spacing w:line="360" w:lineRule="auto"/>
        <w:rPr>
          <w:rFonts w:ascii="Book Antiqua" w:eastAsia="宋体" w:hAnsi="Book Antiqua"/>
          <w:b/>
          <w:bCs/>
          <w:color w:val="000000" w:themeColor="text1"/>
          <w:kern w:val="24"/>
          <w:sz w:val="24"/>
          <w:lang w:eastAsia="zh-CN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Figure 1</w:t>
      </w:r>
      <w:r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r w:rsidR="005F1383" w:rsidRPr="00ED4C00">
        <w:rPr>
          <w:rFonts w:ascii="Book Antiqua" w:hAnsi="Book Antiqua"/>
          <w:b/>
          <w:bCs/>
          <w:color w:val="000000" w:themeColor="text1"/>
          <w:kern w:val="24"/>
          <w:sz w:val="24"/>
        </w:rPr>
        <w:t>Abdominal enhanced computed tomography showed a contrast-enhanced tumor lesions accompanied by cystic changes in the liver and the pancreatic tail.</w:t>
      </w:r>
    </w:p>
    <w:p w:rsidR="00B3142D" w:rsidRPr="00ED4C00" w:rsidRDefault="00B3142D" w:rsidP="000E5643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</w:p>
    <w:p w:rsidR="005F1383" w:rsidRPr="00ED4C00" w:rsidRDefault="00FC243D" w:rsidP="000E5643">
      <w:pPr>
        <w:snapToGrid w:val="0"/>
        <w:spacing w:line="360" w:lineRule="auto"/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</w:pPr>
      <w:r w:rsidRPr="00ED4C00">
        <w:rPr>
          <w:rFonts w:ascii="Book Antiqua" w:hAnsi="Book Antiqua"/>
          <w:b/>
          <w:noProof/>
          <w:color w:val="000000" w:themeColor="text1"/>
          <w:sz w:val="24"/>
          <w:lang w:eastAsia="zh-CN"/>
        </w:rPr>
        <w:lastRenderedPageBreak/>
        <w:drawing>
          <wp:inline distT="0" distB="0" distL="0" distR="0">
            <wp:extent cx="5396230" cy="5419063"/>
            <wp:effectExtent l="19050" t="0" r="0" b="0"/>
            <wp:docPr id="2" name="图片 2" descr="E:\2013-10-10\2014-5-23\9791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3-10-10\2014-5-23\9791\Figure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41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2F6" w:rsidRPr="00ED4C00">
        <w:rPr>
          <w:rFonts w:ascii="Book Antiqua" w:hAnsi="Book Antiqua"/>
          <w:b/>
          <w:color w:val="000000" w:themeColor="text1"/>
          <w:sz w:val="24"/>
        </w:rPr>
        <w:t>Figure 2</w:t>
      </w:r>
      <w:r w:rsidR="00B3142D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r w:rsidR="005F1383" w:rsidRPr="00ED4C00">
        <w:rPr>
          <w:rFonts w:ascii="Book Antiqua" w:hAnsi="Book Antiqua"/>
          <w:b/>
          <w:bCs/>
          <w:color w:val="000000" w:themeColor="text1"/>
          <w:kern w:val="24"/>
          <w:sz w:val="24"/>
        </w:rPr>
        <w:t>Endoscopic ultrasound-fine needle aspiration revealed a n</w:t>
      </w:r>
      <w:r w:rsidR="005F1383" w:rsidRPr="00ED4C00">
        <w:rPr>
          <w:rFonts w:ascii="Book Antiqua" w:hAnsi="Book Antiqua"/>
          <w:b/>
          <w:color w:val="000000" w:themeColor="text1"/>
          <w:sz w:val="24"/>
        </w:rPr>
        <w:t>euroendocrine tumor</w:t>
      </w:r>
      <w:r w:rsidR="00B3142D"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 xml:space="preserve">. </w:t>
      </w:r>
      <w:r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A:</w:t>
      </w:r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proofErr w:type="spellStart"/>
      <w:r w:rsidR="00E6782D" w:rsidRPr="00ED4C00">
        <w:rPr>
          <w:rFonts w:ascii="Book Antiqua" w:hAnsi="Book Antiqua"/>
          <w:bCs/>
          <w:color w:val="000000" w:themeColor="text1"/>
          <w:kern w:val="24"/>
          <w:sz w:val="24"/>
        </w:rPr>
        <w:t>Hematoxylin</w:t>
      </w:r>
      <w:proofErr w:type="spellEnd"/>
      <w:r w:rsidR="00E6782D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and eosin</w:t>
      </w:r>
      <w:r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;</w:t>
      </w:r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r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B:</w:t>
      </w:r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proofErr w:type="spellStart"/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>Chromogranin</w:t>
      </w:r>
      <w:proofErr w:type="spellEnd"/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</w:t>
      </w:r>
      <w:r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;</w:t>
      </w:r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r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C:</w:t>
      </w:r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CD56</w:t>
      </w:r>
      <w:r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;</w:t>
      </w:r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r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D:</w:t>
      </w:r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</w:t>
      </w:r>
      <w:proofErr w:type="spellStart"/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>Synap</w:t>
      </w:r>
      <w:r w:rsidRPr="00ED4C00">
        <w:rPr>
          <w:rFonts w:ascii="Book Antiqua" w:hAnsi="Book Antiqua"/>
          <w:bCs/>
          <w:color w:val="000000" w:themeColor="text1"/>
          <w:kern w:val="24"/>
          <w:sz w:val="24"/>
        </w:rPr>
        <w:t>tophisin</w:t>
      </w:r>
      <w:proofErr w:type="spellEnd"/>
      <w:r w:rsidR="005F1383" w:rsidRPr="00ED4C00">
        <w:rPr>
          <w:rFonts w:ascii="Book Antiqua" w:hAnsi="Book Antiqua"/>
          <w:bCs/>
          <w:color w:val="000000" w:themeColor="text1"/>
          <w:kern w:val="24"/>
          <w:sz w:val="24"/>
        </w:rPr>
        <w:t>.</w:t>
      </w:r>
    </w:p>
    <w:p w:rsidR="00B3142D" w:rsidRPr="00ED4C00" w:rsidRDefault="00E6782D" w:rsidP="000E5643">
      <w:pPr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  <w:r w:rsidRPr="00ED4C00">
        <w:rPr>
          <w:rFonts w:ascii="Book Antiqua" w:eastAsia="宋体" w:hAnsi="Book Antiqua"/>
          <w:noProof/>
          <w:color w:val="000000" w:themeColor="text1"/>
          <w:sz w:val="24"/>
          <w:lang w:eastAsia="zh-CN"/>
        </w:rPr>
        <w:lastRenderedPageBreak/>
        <w:drawing>
          <wp:inline distT="0" distB="0" distL="0" distR="0">
            <wp:extent cx="5396230" cy="3975001"/>
            <wp:effectExtent l="19050" t="0" r="0" b="0"/>
            <wp:docPr id="3" name="图片 3" descr="E:\2013-10-10\2014-5-23\9791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3-10-10\2014-5-23\9791\figure 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97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83" w:rsidRPr="00ED4C00" w:rsidRDefault="005E52F6" w:rsidP="000E5643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ED4C00">
        <w:rPr>
          <w:rFonts w:ascii="Book Antiqua" w:hAnsi="Book Antiqua"/>
          <w:b/>
          <w:color w:val="000000" w:themeColor="text1"/>
          <w:sz w:val="24"/>
        </w:rPr>
        <w:t>Figure 3</w:t>
      </w:r>
      <w:r w:rsidR="00B3142D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r w:rsidR="005F1383" w:rsidRPr="00ED4C00">
        <w:rPr>
          <w:rFonts w:ascii="Book Antiqua" w:hAnsi="Book Antiqua"/>
          <w:b/>
          <w:color w:val="000000" w:themeColor="text1"/>
          <w:sz w:val="24"/>
        </w:rPr>
        <w:t xml:space="preserve">Clinical </w:t>
      </w:r>
      <w:proofErr w:type="gramStart"/>
      <w:r w:rsidR="005F1383" w:rsidRPr="00ED4C00">
        <w:rPr>
          <w:rFonts w:ascii="Book Antiqua" w:hAnsi="Book Antiqua"/>
          <w:b/>
          <w:color w:val="000000" w:themeColor="text1"/>
          <w:sz w:val="24"/>
        </w:rPr>
        <w:t>course</w:t>
      </w:r>
      <w:proofErr w:type="gramEnd"/>
      <w:r w:rsidR="00B3142D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>.</w:t>
      </w:r>
      <w:r w:rsidR="00E6782D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r w:rsidR="00E6782D" w:rsidRPr="00ED4C00">
        <w:rPr>
          <w:rFonts w:ascii="Book Antiqua" w:eastAsia="宋体" w:hAnsi="Book Antiqua"/>
          <w:color w:val="000000" w:themeColor="text1"/>
          <w:sz w:val="24"/>
          <w:lang w:eastAsia="zh-CN"/>
        </w:rPr>
        <w:t>TACE:</w:t>
      </w:r>
      <w:r w:rsidR="00E6782D" w:rsidRPr="00ED4C00">
        <w:rPr>
          <w:rFonts w:ascii="Book Antiqua" w:eastAsia="宋体" w:hAnsi="Book Antiqua"/>
          <w:b/>
          <w:color w:val="000000" w:themeColor="text1"/>
          <w:sz w:val="24"/>
          <w:lang w:eastAsia="zh-CN"/>
        </w:rPr>
        <w:t xml:space="preserve"> </w:t>
      </w:r>
      <w:proofErr w:type="spellStart"/>
      <w:r w:rsidR="00E6782D" w:rsidRPr="00ED4C00">
        <w:rPr>
          <w:rFonts w:ascii="Book Antiqua" w:hAnsi="Book Antiqua"/>
          <w:bCs/>
          <w:color w:val="000000" w:themeColor="text1"/>
          <w:kern w:val="24"/>
          <w:sz w:val="24"/>
        </w:rPr>
        <w:t>Transcatheter</w:t>
      </w:r>
      <w:proofErr w:type="spellEnd"/>
      <w:r w:rsidR="00E6782D" w:rsidRPr="00ED4C00">
        <w:rPr>
          <w:rFonts w:ascii="Book Antiqua" w:hAnsi="Book Antiqua"/>
          <w:bCs/>
          <w:color w:val="000000" w:themeColor="text1"/>
          <w:kern w:val="24"/>
          <w:sz w:val="24"/>
        </w:rPr>
        <w:t xml:space="preserve"> arterial chemoembolization</w:t>
      </w:r>
      <w:r w:rsidR="00E6782D" w:rsidRPr="00ED4C00">
        <w:rPr>
          <w:rFonts w:ascii="Book Antiqua" w:eastAsia="宋体" w:hAnsi="Book Antiqua"/>
          <w:bCs/>
          <w:color w:val="000000" w:themeColor="text1"/>
          <w:kern w:val="24"/>
          <w:sz w:val="24"/>
          <w:lang w:eastAsia="zh-CN"/>
        </w:rPr>
        <w:t>.</w:t>
      </w: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5F1383" w:rsidRPr="00ED4C00" w:rsidRDefault="005F1383" w:rsidP="000E5643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sectPr w:rsidR="005F1383" w:rsidRPr="00ED4C00" w:rsidSect="004C79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69" w:rsidRDefault="00256369" w:rsidP="0032737B">
      <w:r>
        <w:separator/>
      </w:r>
    </w:p>
  </w:endnote>
  <w:endnote w:type="continuationSeparator" w:id="0">
    <w:p w:rsidR="00256369" w:rsidRDefault="00256369" w:rsidP="0032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69" w:rsidRDefault="00256369" w:rsidP="0032737B">
      <w:r>
        <w:separator/>
      </w:r>
    </w:p>
  </w:footnote>
  <w:footnote w:type="continuationSeparator" w:id="0">
    <w:p w:rsidR="00256369" w:rsidRDefault="00256369" w:rsidP="0032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5DF"/>
    <w:multiLevelType w:val="hybridMultilevel"/>
    <w:tmpl w:val="2ECE064C"/>
    <w:lvl w:ilvl="0" w:tplc="53DCAB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3"/>
    <w:rsid w:val="00020269"/>
    <w:rsid w:val="000547F8"/>
    <w:rsid w:val="000C36EA"/>
    <w:rsid w:val="000E5643"/>
    <w:rsid w:val="00107E0E"/>
    <w:rsid w:val="001477FF"/>
    <w:rsid w:val="00186D96"/>
    <w:rsid w:val="001E40EB"/>
    <w:rsid w:val="001E4401"/>
    <w:rsid w:val="00211CEC"/>
    <w:rsid w:val="00256369"/>
    <w:rsid w:val="002F343E"/>
    <w:rsid w:val="00300604"/>
    <w:rsid w:val="003073CF"/>
    <w:rsid w:val="0032737B"/>
    <w:rsid w:val="00332594"/>
    <w:rsid w:val="00371D91"/>
    <w:rsid w:val="003D488D"/>
    <w:rsid w:val="003D5CC3"/>
    <w:rsid w:val="00426CFD"/>
    <w:rsid w:val="0043153B"/>
    <w:rsid w:val="00437C46"/>
    <w:rsid w:val="00474567"/>
    <w:rsid w:val="004C79CF"/>
    <w:rsid w:val="00512AA0"/>
    <w:rsid w:val="00592E1A"/>
    <w:rsid w:val="005C7096"/>
    <w:rsid w:val="005E52F6"/>
    <w:rsid w:val="005F1383"/>
    <w:rsid w:val="006A30DA"/>
    <w:rsid w:val="007310B0"/>
    <w:rsid w:val="00793B62"/>
    <w:rsid w:val="007C6317"/>
    <w:rsid w:val="008505CB"/>
    <w:rsid w:val="008530E2"/>
    <w:rsid w:val="00896CB8"/>
    <w:rsid w:val="008E7117"/>
    <w:rsid w:val="008F0219"/>
    <w:rsid w:val="008F7D02"/>
    <w:rsid w:val="00A537D6"/>
    <w:rsid w:val="00AF4ECE"/>
    <w:rsid w:val="00B3142D"/>
    <w:rsid w:val="00B46045"/>
    <w:rsid w:val="00B528EB"/>
    <w:rsid w:val="00BD2003"/>
    <w:rsid w:val="00C05FB9"/>
    <w:rsid w:val="00CA7CAE"/>
    <w:rsid w:val="00D724BE"/>
    <w:rsid w:val="00DB5AA2"/>
    <w:rsid w:val="00E30AF8"/>
    <w:rsid w:val="00E47738"/>
    <w:rsid w:val="00E6782D"/>
    <w:rsid w:val="00ED4C00"/>
    <w:rsid w:val="00EF0650"/>
    <w:rsid w:val="00F3619A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3"/>
    <w:pPr>
      <w:widowControl w:val="0"/>
      <w:jc w:val="both"/>
    </w:pPr>
    <w:rPr>
      <w:rFonts w:ascii="Century" w:eastAsia="MS Mincho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F1383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a5">
    <w:name w:val="header"/>
    <w:basedOn w:val="a"/>
    <w:link w:val="Char"/>
    <w:uiPriority w:val="99"/>
    <w:unhideWhenUsed/>
    <w:rsid w:val="0032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737B"/>
    <w:rPr>
      <w:rFonts w:ascii="Century" w:eastAsia="MS Mincho" w:hAnsi="Century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737B"/>
    <w:rPr>
      <w:rFonts w:ascii="Century" w:eastAsia="MS Mincho" w:hAnsi="Century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C24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243D"/>
    <w:rPr>
      <w:rFonts w:ascii="Century" w:eastAsia="MS Mincho" w:hAnsi="Century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67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3"/>
    <w:pPr>
      <w:widowControl w:val="0"/>
      <w:jc w:val="both"/>
    </w:pPr>
    <w:rPr>
      <w:rFonts w:ascii="Century" w:eastAsia="MS Mincho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F1383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a5">
    <w:name w:val="header"/>
    <w:basedOn w:val="a"/>
    <w:link w:val="Char"/>
    <w:uiPriority w:val="99"/>
    <w:unhideWhenUsed/>
    <w:rsid w:val="0032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737B"/>
    <w:rPr>
      <w:rFonts w:ascii="Century" w:eastAsia="MS Mincho" w:hAnsi="Century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737B"/>
    <w:rPr>
      <w:rFonts w:ascii="Century" w:eastAsia="MS Mincho" w:hAnsi="Century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C24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243D"/>
    <w:rPr>
      <w:rFonts w:ascii="Century" w:eastAsia="MS Mincho" w:hAnsi="Century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6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711kawa@is.icc.u-tokai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2437</Words>
  <Characters>13895</Characters>
  <Application>Microsoft Office Word</Application>
  <DocSecurity>0</DocSecurity>
  <Lines>115</Lines>
  <Paragraphs>32</Paragraphs>
  <ScaleCrop>false</ScaleCrop>
  <Company>東海大学医学部消化器内科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義明</dc:creator>
  <cp:lastModifiedBy>LS Ma</cp:lastModifiedBy>
  <cp:revision>2</cp:revision>
  <dcterms:created xsi:type="dcterms:W3CDTF">2014-06-14T01:35:00Z</dcterms:created>
  <dcterms:modified xsi:type="dcterms:W3CDTF">2014-06-14T01:35:00Z</dcterms:modified>
</cp:coreProperties>
</file>