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66535</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Retrospective Study</w:t>
      </w:r>
    </w:p>
    <w:p>
      <w:pPr>
        <w:spacing w:line="360" w:lineRule="auto"/>
        <w:jc w:val="both"/>
        <w:rPr>
          <w:rFonts w:ascii="Book Antiqua" w:hAnsi="Book Antiqua"/>
        </w:rPr>
      </w:pPr>
      <w:r>
        <w:rPr>
          <w:rFonts w:ascii="Book Antiqua" w:hAnsi="Book Antiqua" w:eastAsia="Book Antiqua" w:cs="Book Antiqua"/>
          <w:b/>
          <w:bCs/>
          <w:color w:val="000000"/>
        </w:rPr>
        <w:t>Effect of calcium supplementation on severe hypocalcemia in patients with secondary hyperparathyroidism after total parathyroidectomy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Liu J </w:t>
      </w:r>
      <w:r>
        <w:rPr>
          <w:rFonts w:ascii="Book Antiqua" w:hAnsi="Book Antiqua" w:eastAsia="Book Antiqua" w:cs="Book Antiqua"/>
          <w:i/>
          <w:iCs/>
          <w:color w:val="000000"/>
        </w:rPr>
        <w:t>et al</w:t>
      </w:r>
      <w:r>
        <w:rPr>
          <w:rFonts w:ascii="Book Antiqua" w:hAnsi="Book Antiqua" w:eastAsia="Book Antiqua" w:cs="Book Antiqua"/>
          <w:color w:val="000000"/>
        </w:rPr>
        <w:t>. Calcium supplementation in SHPT after TPTX</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Jun Liu, Xue-Feng Fan, Meng Yang, Lin-Ping Huang, Ling Zhang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Jun Liu, Meng Yang, Lin-Ping Huang, </w:t>
      </w:r>
      <w:r>
        <w:rPr>
          <w:rFonts w:ascii="Book Antiqua" w:hAnsi="Book Antiqua" w:eastAsia="Book Antiqua" w:cs="Book Antiqua"/>
          <w:color w:val="000000"/>
        </w:rPr>
        <w:t>Department of General Surgery, China-Japan Friendship Hospital, Beijing 100029,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Xue-Feng Fan, </w:t>
      </w:r>
      <w:r>
        <w:rPr>
          <w:rFonts w:ascii="Book Antiqua" w:hAnsi="Book Antiqua" w:eastAsia="Book Antiqua" w:cs="Book Antiqua"/>
          <w:color w:val="000000"/>
        </w:rPr>
        <w:t>Department of General Surgery, Shougang General Hospital, Shougang 553000, Guizhou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Ling Zhang, </w:t>
      </w:r>
      <w:r>
        <w:rPr>
          <w:rFonts w:ascii="Book Antiqua" w:hAnsi="Book Antiqua" w:eastAsia="Book Antiqua" w:cs="Book Antiqua"/>
          <w:color w:val="000000"/>
        </w:rPr>
        <w:t>Department of Nephrology, China-Japan Friendship Hospital, Beijing 100029,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Liu J, Yang M, and Fan XF carried out the studies, collected data, and drafted the manuscript; Liu J and Yang M performed the statistical analysis and critically reviewed the manuscript for important intellectual content; Huang LP and Zhang L participated in the acquisition, analysis, or interpretation of data and drafted the manuscript; and all authors read and approved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Supported by </w:t>
      </w:r>
      <w:r>
        <w:rPr>
          <w:rFonts w:ascii="Book Antiqua" w:hAnsi="Book Antiqua" w:eastAsia="Book Antiqua" w:cs="Book Antiqua"/>
          <w:color w:val="000000"/>
        </w:rPr>
        <w:t>the Subject of Beijing Science and Technology Plan, No. Z191100006619014.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Meng Yang, MD, Doctor, </w:t>
      </w:r>
      <w:r>
        <w:rPr>
          <w:rFonts w:ascii="Book Antiqua" w:hAnsi="Book Antiqua" w:eastAsia="Book Antiqua" w:cs="Book Antiqua"/>
          <w:color w:val="000000"/>
        </w:rPr>
        <w:t>Department of General Surgery, China-Japan Friendship Hospital, N</w:t>
      </w:r>
      <w:r>
        <w:rPr>
          <w:rFonts w:ascii="Book Antiqua" w:hAnsi="Book Antiqua" w:eastAsia="宋体" w:cs="Book Antiqua"/>
          <w:color w:val="000000"/>
          <w:lang w:eastAsia="zh-CN"/>
        </w:rPr>
        <w:t xml:space="preserve">o. </w:t>
      </w:r>
      <w:r>
        <w:rPr>
          <w:rFonts w:ascii="Book Antiqua" w:hAnsi="Book Antiqua" w:eastAsia="Book Antiqua" w:cs="Book Antiqua"/>
          <w:color w:val="000000"/>
        </w:rPr>
        <w:t>2 East</w:t>
      </w:r>
      <w:r>
        <w:rPr>
          <w:rFonts w:ascii="Book Antiqua" w:hAnsi="Book Antiqua" w:eastAsia="宋体" w:cs="Book Antiqua"/>
          <w:color w:val="000000"/>
          <w:lang w:eastAsia="zh-CN"/>
        </w:rPr>
        <w:t xml:space="preserve"> </w:t>
      </w:r>
      <w:r>
        <w:rPr>
          <w:rFonts w:ascii="Book Antiqua" w:hAnsi="Book Antiqua" w:eastAsia="Book Antiqua" w:cs="Book Antiqua"/>
          <w:color w:val="000000"/>
        </w:rPr>
        <w:t>Yinghuayuan Street, Chaoyang District, Beijing 100029, China. hlpsurg406@sina.com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March 31,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October 28, 2021</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April 9,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b w:val="0"/>
          <w:bCs w:val="0"/>
          <w:color w:val="000000"/>
        </w:rPr>
        <w:t>May 6, 2022</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Severe hypocalcemia (SH) is a dreaded complication of total parathyroidectomy (TPTX) without auto-transplantation.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To compare conventional and preventive calcium supplementation (CS) regimens in terms of SH occurrence after TPTX.</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This retrospective study included patients who underwent TPTX between January 2015 and May 2018 at the China-Japan Friendship Hospital. From January 2015 to May 2016, conventional CS was performed in patients who underwent TPTX, with calcium amounts adjusted according to postoperative serum calcium levels. From October 2016 to May 2018, preventive CS was performed according to preoperative alkaline phosphatase (ALP) levels. The patients were defined as low-risk (ALP &lt; 500 U/L) and high-risk (ALP &gt; 500 U/L) for SH. All preoperative blood samples were collected in the fasting state on the day before surgery. Postoperative blood samples were obtained at 6-7 AM from the first postoperative day.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A total of 271 patients were included. These patients were 47.7 ± 11.1 years old, and 57.6% were male. Their mean body mass index (BMI) was 22.9 ± 3.8 kg/m</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There were no significant differences in sex, age, BMI, preoperative ALP, serum calcium, serum phosphorus, calcium-phosphorus ratio, and </w:t>
      </w:r>
      <w:bookmarkStart w:id="0" w:name="_Hlk96934431"/>
      <w:r>
        <w:rPr>
          <w:rFonts w:ascii="Book Antiqua" w:hAnsi="Book Antiqua" w:eastAsia="Book Antiqua" w:cs="Book Antiqua"/>
          <w:color w:val="000000"/>
        </w:rPr>
        <w:t>intact parathyroid hormone</w:t>
      </w:r>
      <w:bookmarkEnd w:id="0"/>
      <w:r>
        <w:rPr>
          <w:rFonts w:ascii="Book Antiqua" w:hAnsi="Book Antiqua" w:eastAsia="Book Antiqua" w:cs="Book Antiqua"/>
          <w:color w:val="000000"/>
        </w:rPr>
        <w:t xml:space="preserve"> (iPTH) between the two CS groups. Compared with conventional CS, preventive CS led to lower occurrence rates of hypocalcemia within 48 h (46.0% </w:t>
      </w:r>
      <w:r>
        <w:rPr>
          <w:rFonts w:ascii="Book Antiqua" w:hAnsi="Book Antiqua" w:eastAsia="Book Antiqua" w:cs="Book Antiqua"/>
          <w:i/>
          <w:iCs/>
          <w:color w:val="000000"/>
        </w:rPr>
        <w:t>vs</w:t>
      </w:r>
      <w:r>
        <w:rPr>
          <w:rFonts w:ascii="Book Antiqua" w:hAnsi="Book Antiqua" w:eastAsia="Book Antiqua" w:cs="Book Antiqua"/>
          <w:color w:val="000000"/>
        </w:rPr>
        <w:t xml:space="preserve"> 74.5%,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and SH (31.7% </w:t>
      </w:r>
      <w:r>
        <w:rPr>
          <w:rFonts w:ascii="Book Antiqua" w:hAnsi="Book Antiqua" w:eastAsia="Book Antiqua" w:cs="Book Antiqua"/>
          <w:i/>
          <w:iCs/>
          <w:color w:val="000000"/>
        </w:rPr>
        <w:t>vs</w:t>
      </w:r>
      <w:r>
        <w:rPr>
          <w:rFonts w:ascii="Book Antiqua" w:hAnsi="Book Antiqua" w:eastAsia="Book Antiqua" w:cs="Book Antiqua"/>
          <w:color w:val="000000"/>
        </w:rPr>
        <w:t xml:space="preserve"> 64.1%,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Multivariable analysis showed that preoperative iPTH levels [odds ratio (OR) = 1.001, 95% </w:t>
      </w:r>
      <w:r>
        <w:rPr>
          <w:rFonts w:ascii="Book Antiqua" w:hAnsi="Book Antiqua" w:eastAsiaTheme="majorEastAsia"/>
        </w:rPr>
        <w:t>confidence interval</w:t>
      </w:r>
      <w:r>
        <w:rPr>
          <w:rFonts w:ascii="Book Antiqua" w:hAnsi="Book Antiqua" w:eastAsia="Book Antiqua" w:cs="Book Antiqua"/>
          <w:color w:val="000000"/>
        </w:rPr>
        <w:t xml:space="preserve"> (CI): 1.000-1.001, </w:t>
      </w:r>
      <w:r>
        <w:rPr>
          <w:rFonts w:ascii="Book Antiqua" w:hAnsi="Book Antiqua" w:eastAsia="Book Antiqua" w:cs="Book Antiqua"/>
          <w:i/>
          <w:iCs/>
          <w:color w:val="000000"/>
        </w:rPr>
        <w:t>P</w:t>
      </w:r>
      <w:r>
        <w:rPr>
          <w:rFonts w:ascii="Book Antiqua" w:hAnsi="Book Antiqua" w:eastAsia="Book Antiqua" w:cs="Book Antiqua"/>
          <w:color w:val="000000"/>
        </w:rPr>
        <w:t xml:space="preserve"> = 0.009), preoperative ALP amounts (OR = 1.002, 95%CI: 1.001-1.003, </w:t>
      </w:r>
      <w:r>
        <w:rPr>
          <w:rFonts w:ascii="Book Antiqua" w:hAnsi="Book Antiqua" w:eastAsia="Book Antiqua" w:cs="Book Antiqua"/>
          <w:i/>
          <w:iCs/>
          <w:color w:val="000000"/>
        </w:rPr>
        <w:t>P</w:t>
      </w:r>
      <w:r>
        <w:rPr>
          <w:rFonts w:ascii="Book Antiqua" w:hAnsi="Book Antiqua" w:eastAsia="Book Antiqua" w:cs="Book Antiqua"/>
          <w:color w:val="000000"/>
        </w:rPr>
        <w:t xml:space="preserve"> = 0.002), preoperative serum phosphorus levels (OR = 8.729, 95%CI: 1.518-50.216, </w:t>
      </w:r>
      <w:r>
        <w:rPr>
          <w:rFonts w:ascii="Book Antiqua" w:hAnsi="Book Antiqua" w:eastAsia="Book Antiqua" w:cs="Book Antiqua"/>
          <w:i/>
          <w:iCs/>
          <w:color w:val="000000"/>
        </w:rPr>
        <w:t>P</w:t>
      </w:r>
      <w:r>
        <w:rPr>
          <w:rFonts w:ascii="Book Antiqua" w:hAnsi="Book Antiqua" w:eastAsia="Book Antiqua" w:cs="Book Antiqua"/>
          <w:color w:val="000000"/>
        </w:rPr>
        <w:t xml:space="preserve"> = 0.015) and preventive CS (OR = 0.132, 95%CI: 0.067-0.261,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were independently associated with SH. In patients with preoperative ALP ≥ 500 U/L, only preventive CS (OR = 0.147, 95%CI: 0.038-0.562. </w:t>
      </w:r>
      <w:r>
        <w:rPr>
          <w:rFonts w:ascii="Book Antiqua" w:hAnsi="Book Antiqua" w:eastAsia="Book Antiqua" w:cs="Book Antiqua"/>
          <w:i/>
          <w:iCs/>
          <w:color w:val="000000"/>
        </w:rPr>
        <w:t>P</w:t>
      </w:r>
      <w:r>
        <w:rPr>
          <w:rFonts w:ascii="Book Antiqua" w:hAnsi="Book Antiqua" w:eastAsia="Book Antiqua" w:cs="Book Antiqua"/>
          <w:color w:val="000000"/>
        </w:rPr>
        <w:t xml:space="preserve"> = 0.005) was independently associated with SH.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This study suggests that preventive CS could reduce the occurrence of SH, indicating its critical value for hypocalcemia after TPTX.</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End-stage renal disease; Secondary hyperparathyroidism; Parathyroidectomy; Hypocalcemia; Calcium supplementation</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Liu J, Fan XF, Yang M, Huang LP, Zhang L. Effect of calcium supplementation on severe hypocalcemia in patients with secondary hyperparathyroidism after total parathyroidectomy.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10(13): </w:t>
      </w:r>
      <w:r>
        <w:rPr>
          <w:rFonts w:hint="default" w:ascii="Book Antiqua" w:hAnsi="Book Antiqua" w:eastAsia="Book Antiqua" w:cs="Book Antiqua"/>
          <w:i w:val="0"/>
          <w:iCs w:val="0"/>
          <w:color w:val="000000"/>
          <w:kern w:val="0"/>
          <w:sz w:val="24"/>
          <w:szCs w:val="24"/>
          <w:u w:val="none"/>
          <w:lang w:val="en-US" w:eastAsia="zh-CN" w:bidi="ar"/>
        </w:rPr>
        <w:t>4033-4041</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https://www.wjgnet.com/2307-8960/full/v10/i13/</w:t>
      </w:r>
      <w:r>
        <w:rPr>
          <w:rFonts w:hint="default" w:ascii="Book Antiqua" w:hAnsi="Book Antiqua" w:eastAsia="Book Antiqua" w:cs="Book Antiqua"/>
          <w:i w:val="0"/>
          <w:iCs w:val="0"/>
          <w:color w:val="000000"/>
          <w:kern w:val="0"/>
          <w:sz w:val="24"/>
          <w:szCs w:val="24"/>
          <w:u w:val="none"/>
          <w:lang w:val="en-US" w:eastAsia="zh-CN" w:bidi="ar"/>
        </w:rPr>
        <w:t>4033</w:t>
      </w:r>
      <w:r>
        <w:rPr>
          <w:rFonts w:hint="eastAsia" w:ascii="Book Antiqua" w:hAnsi="Book Antiqua" w:eastAsia="Book Antiqua" w:cs="Book Antiqua"/>
          <w:color w:val="000000"/>
        </w:rPr>
        <w:t>.htm</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https://dx.doi.org/10.12998/wjcc.v10.i13.</w:t>
      </w:r>
      <w:r>
        <w:rPr>
          <w:rFonts w:hint="default" w:ascii="Book Antiqua" w:hAnsi="Book Antiqua" w:eastAsia="Book Antiqua" w:cs="Book Antiqua"/>
          <w:i w:val="0"/>
          <w:iCs w:val="0"/>
          <w:color w:val="000000"/>
          <w:kern w:val="0"/>
          <w:sz w:val="24"/>
          <w:szCs w:val="24"/>
          <w:u w:val="none"/>
          <w:lang w:val="en-US" w:eastAsia="zh-CN" w:bidi="ar"/>
        </w:rPr>
        <w:t>4033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Compared with conventional calcium supplementation (CS), preventive CS led to lower occurrence rates of hypocalcemia within 48 h and severe hypocalcemia (SH). Multivariable analysis showed that preoperative intact parathyroid hormone levels, preoperative alkaline phosphatase (ALP) amounts, preoperative serum phosphorus levels, and preventive CS were independently associated with SH. In patients with preoperative ALP </w:t>
      </w:r>
      <w:r>
        <w:rPr>
          <w:rFonts w:ascii="Book Antiqua" w:hAnsi="Book Antiqua" w:eastAsia="Book Antiqua" w:cs="Book Antiqua"/>
          <w:color w:val="000000"/>
          <w:u w:color="000000"/>
        </w:rPr>
        <w:t>&gt;</w:t>
      </w:r>
      <w:r>
        <w:rPr>
          <w:rFonts w:ascii="Book Antiqua" w:hAnsi="Book Antiqua" w:eastAsia="Book Antiqua" w:cs="Book Antiqua"/>
          <w:color w:val="000000"/>
        </w:rPr>
        <w:t xml:space="preserve"> 500 U/L, only preventive CS was independently associated with SH.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Secondary hyperparathyroidism (SHPT), a common complication of end-stage renal disease (ESRD), is characterized by the progressive hyperplasia of parathyroid glands and increased secretion of parathyroid hormones</w:t>
      </w:r>
      <w:r>
        <w:rPr>
          <w:rFonts w:ascii="Book Antiqua" w:hAnsi="Book Antiqua" w:eastAsia="Book Antiqua" w:cs="Book Antiqua"/>
          <w:color w:val="000000"/>
          <w:vertAlign w:val="superscript"/>
        </w:rPr>
        <w:t>[1,2]</w:t>
      </w:r>
      <w:r>
        <w:rPr>
          <w:rFonts w:ascii="Book Antiqua" w:hAnsi="Book Antiqua" w:eastAsia="Book Antiqua" w:cs="Book Antiqua"/>
          <w:color w:val="000000"/>
        </w:rPr>
        <w:t>. After 3-10 and 20 years of hemodialysis, respectively, 20% and 40% of patients require parathyroidectomy (PTX)</w:t>
      </w:r>
      <w:r>
        <w:rPr>
          <w:rFonts w:ascii="Book Antiqua" w:hAnsi="Book Antiqua" w:eastAsia="Book Antiqua" w:cs="Book Antiqua"/>
          <w:color w:val="000000"/>
          <w:vertAlign w:val="superscript"/>
        </w:rPr>
        <w:t>[3]</w:t>
      </w:r>
      <w:r>
        <w:rPr>
          <w:rFonts w:ascii="Book Antiqua" w:hAnsi="Book Antiqua" w:eastAsia="Book Antiqua" w:cs="Book Antiqua"/>
          <w:color w:val="000000"/>
        </w:rPr>
        <w:t>. At present, subtotal and total PTX plus auto-transplantation are the standard procedures for the treatment of SHPT. In the context of dialysis, SHPT may recur; in this case, total PTX (TPTX) without auto-transplantation is an effective therapeutic option</w:t>
      </w:r>
      <w:r>
        <w:rPr>
          <w:rFonts w:ascii="Book Antiqua" w:hAnsi="Book Antiqua" w:eastAsia="Book Antiqua" w:cs="Book Antiqua"/>
          <w:color w:val="000000"/>
          <w:vertAlign w:val="superscript"/>
        </w:rPr>
        <w:t>[3]</w:t>
      </w:r>
      <w:r>
        <w:rPr>
          <w:rFonts w:ascii="Book Antiqua" w:hAnsi="Book Antiqua" w:eastAsia="Book Antiqua" w:cs="Book Antiqua"/>
          <w:color w:val="000000"/>
        </w:rPr>
        <w:t>. However, postoperative hypocalcemia limits its clinical application</w:t>
      </w:r>
      <w:r>
        <w:rPr>
          <w:rFonts w:ascii="Book Antiqua" w:hAnsi="Book Antiqua" w:eastAsia="Book Antiqua" w:cs="Book Antiqua"/>
          <w:color w:val="000000"/>
          <w:vertAlign w:val="superscript"/>
        </w:rPr>
        <w:t>[4,5]</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Despite monitoring serum calcium levels and adjusting the amounts of supplemented calcium and vitamin D, the incidence of hypocalcemia after TPTX remains high, </w:t>
      </w:r>
      <w:r>
        <w:rPr>
          <w:rFonts w:ascii="Book Antiqua" w:hAnsi="Book Antiqua" w:eastAsia="Book Antiqua" w:cs="Book Antiqua"/>
          <w:i/>
          <w:iCs/>
          <w:color w:val="000000"/>
        </w:rPr>
        <w:t>i.e.,</w:t>
      </w:r>
      <w:r>
        <w:rPr>
          <w:rFonts w:ascii="Book Antiqua" w:hAnsi="Book Antiqua" w:eastAsia="Book Antiqua" w:cs="Book Antiqua"/>
          <w:color w:val="000000"/>
        </w:rPr>
        <w:t xml:space="preserve"> 72%-97%</w:t>
      </w:r>
      <w:r>
        <w:rPr>
          <w:rFonts w:ascii="Book Antiqua" w:hAnsi="Book Antiqua" w:eastAsia="Book Antiqua" w:cs="Book Antiqua"/>
          <w:color w:val="000000"/>
          <w:vertAlign w:val="superscript"/>
        </w:rPr>
        <w:t>[6]</w:t>
      </w:r>
      <w:r>
        <w:rPr>
          <w:rFonts w:ascii="Book Antiqua" w:hAnsi="Book Antiqua" w:eastAsia="Book Antiqua" w:cs="Book Antiqua"/>
          <w:color w:val="000000"/>
        </w:rPr>
        <w:t>. Hypocalcemia occurs due to the abrupt withdrawal of parathyroid hormones, which results in a sharp increase in bone remineralization (hungry bone syndrome), depleting calcium from the circulation</w:t>
      </w:r>
      <w:r>
        <w:rPr>
          <w:rFonts w:ascii="Book Antiqua" w:hAnsi="Book Antiqua" w:eastAsia="Book Antiqua" w:cs="Book Antiqua"/>
          <w:color w:val="000000"/>
          <w:vertAlign w:val="superscript"/>
        </w:rPr>
        <w:t>[7-9]</w:t>
      </w:r>
      <w:r>
        <w:rPr>
          <w:rFonts w:ascii="Book Antiqua" w:hAnsi="Book Antiqua" w:eastAsia="Book Antiqua" w:cs="Book Antiqua"/>
          <w:color w:val="000000"/>
        </w:rPr>
        <w:t>. The ensuing severe hypocalcemia (SH) is a critical condition that may result in convulsions, arrhythmias, and even sudden death. Therefore, the possible complications of hypocalcemia limit the clinical application of TPTX. Studies have examined the prognostic factors of hypocalcemia after PTX</w:t>
      </w:r>
      <w:r>
        <w:rPr>
          <w:rFonts w:ascii="Book Antiqua" w:hAnsi="Book Antiqua" w:eastAsia="Book Antiqua" w:cs="Book Antiqua"/>
          <w:color w:val="000000"/>
          <w:vertAlign w:val="superscript"/>
        </w:rPr>
        <w:t>[10-13]</w:t>
      </w:r>
      <w:r>
        <w:rPr>
          <w:rFonts w:ascii="Book Antiqua" w:hAnsi="Book Antiqua" w:eastAsia="Book Antiqua" w:cs="Book Antiqua"/>
          <w:color w:val="000000"/>
        </w:rPr>
        <w:t xml:space="preserve"> but reported conflicting data due to different methods.</w:t>
      </w:r>
    </w:p>
    <w:p>
      <w:pPr>
        <w:spacing w:line="360" w:lineRule="auto"/>
        <w:ind w:firstLine="240" w:firstLineChars="100"/>
        <w:jc w:val="both"/>
        <w:rPr>
          <w:rFonts w:ascii="Book Antiqua" w:hAnsi="Book Antiqua"/>
        </w:rPr>
      </w:pPr>
      <w:r>
        <w:rPr>
          <w:rFonts w:ascii="Book Antiqua" w:hAnsi="Book Antiqua" w:eastAsia="Book Antiqua" w:cs="Book Antiqua"/>
          <w:color w:val="000000"/>
        </w:rPr>
        <w:t>Maintaining adequate calcium levels after TPTX is required to avoid hypocalcemia complications and hungry bone syndrome</w:t>
      </w:r>
      <w:r>
        <w:rPr>
          <w:rFonts w:ascii="Book Antiqua" w:hAnsi="Book Antiqua" w:eastAsia="Book Antiqua" w:cs="Book Antiqua"/>
          <w:color w:val="000000"/>
          <w:vertAlign w:val="superscript"/>
        </w:rPr>
        <w:t>[14]</w:t>
      </w:r>
      <w:r>
        <w:rPr>
          <w:rFonts w:ascii="Book Antiqua" w:hAnsi="Book Antiqua" w:eastAsia="Book Antiqua" w:cs="Book Antiqua"/>
          <w:color w:val="000000"/>
        </w:rPr>
        <w:t xml:space="preserve">. Viaene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showed that high preoperative parathyroid hormone levels and low calcium amounts are predictive of SH after TPTX</w:t>
      </w:r>
      <w:r>
        <w:rPr>
          <w:rFonts w:ascii="Book Antiqua" w:hAnsi="Book Antiqua" w:eastAsia="Book Antiqua" w:cs="Book Antiqua"/>
          <w:color w:val="000000"/>
          <w:vertAlign w:val="superscript"/>
        </w:rPr>
        <w:t>[15]</w:t>
      </w:r>
      <w:r>
        <w:rPr>
          <w:rFonts w:ascii="Book Antiqua" w:hAnsi="Book Antiqua" w:eastAsia="Book Antiqua" w:cs="Book Antiqua"/>
          <w:color w:val="000000"/>
        </w:rPr>
        <w:t>. Previous studies have used alkaline phosphatase (ALP) levels to predict the level of calcium supplementation (CS), with apparent success in improving patient outcomes</w:t>
      </w:r>
      <w:r>
        <w:rPr>
          <w:rFonts w:ascii="Book Antiqua" w:hAnsi="Book Antiqua" w:eastAsia="Book Antiqua" w:cs="Book Antiqua"/>
          <w:color w:val="000000"/>
          <w:vertAlign w:val="superscript"/>
        </w:rPr>
        <w:t>[16,17]</w:t>
      </w:r>
      <w:r>
        <w:rPr>
          <w:rFonts w:ascii="Book Antiqua" w:hAnsi="Book Antiqua" w:eastAsia="Book Antiqua" w:cs="Book Antiqua"/>
          <w:color w:val="000000"/>
        </w:rPr>
        <w:t>. Nevertheless, efficient tools for reducing or preventing SH after TPTX have not been reported.</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Therefore, this study aimed to identify risk factors for SH and compare conventional and preventive CS regimens for their effects on SH occurrence after TPTX. We found that preventive CS reduces the occurrence of SH, indicating its critical value for hypocalcemia after TPTX.</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b/>
          <w:bCs/>
          <w:i/>
          <w:iCs/>
          <w:color w:val="000000"/>
        </w:rPr>
        <w:t>Study design and patients</w:t>
      </w:r>
    </w:p>
    <w:p>
      <w:pPr>
        <w:spacing w:line="360" w:lineRule="auto"/>
        <w:jc w:val="both"/>
        <w:rPr>
          <w:rFonts w:ascii="Book Antiqua" w:hAnsi="Book Antiqua"/>
        </w:rPr>
      </w:pPr>
      <w:r>
        <w:rPr>
          <w:rFonts w:ascii="Book Antiqua" w:hAnsi="Book Antiqua" w:eastAsia="Book Antiqua" w:cs="Book Antiqua"/>
          <w:color w:val="000000"/>
        </w:rPr>
        <w:t xml:space="preserve">This work was carried out in accordance with the Declaration of Helsinki (2000) by the World Medical Association. The current retrospective study was approved by the institutional review board of China-Japan Friendship Hospital (2019-SDZL-12). The requirement for written informed consent was waived due to the retrospective nature of this study. The records of patients who underwent TPTX between January 2015 and May 2018 were reviewed. </w:t>
      </w:r>
      <w:r>
        <w:rPr>
          <w:rFonts w:ascii="Book Antiqua" w:hAnsi="Book Antiqua" w:eastAsia="Book Antiqua" w:cs="Book Antiqua"/>
          <w:color w:val="000000"/>
          <w:u w:color="000000"/>
        </w:rPr>
        <w:t>The i</w:t>
      </w:r>
      <w:r>
        <w:rPr>
          <w:rFonts w:ascii="Book Antiqua" w:hAnsi="Book Antiqua" w:eastAsia="Book Antiqua" w:cs="Book Antiqua"/>
          <w:color w:val="000000"/>
        </w:rPr>
        <w:t>nclusion criteria were: (1) Age &gt; 18 years</w:t>
      </w:r>
      <w:r>
        <w:rPr>
          <w:rFonts w:ascii="Book Antiqua" w:hAnsi="Book Antiqua" w:eastAsia="Book Antiqua" w:cs="Book Antiqua"/>
          <w:color w:val="000000"/>
          <w:u w:color="000000"/>
        </w:rPr>
        <w:t>;</w:t>
      </w:r>
      <w:r>
        <w:rPr>
          <w:rFonts w:ascii="Book Antiqua" w:hAnsi="Book Antiqua" w:eastAsia="Book Antiqua" w:cs="Book Antiqua"/>
          <w:color w:val="000000"/>
        </w:rPr>
        <w:t xml:space="preserve"> (2) ESRD complicated with SHPT</w:t>
      </w:r>
      <w:r>
        <w:rPr>
          <w:rFonts w:ascii="Book Antiqua" w:hAnsi="Book Antiqua" w:eastAsia="Book Antiqua" w:cs="Book Antiqua"/>
          <w:color w:val="000000"/>
          <w:u w:color="000000"/>
        </w:rPr>
        <w:t>;</w:t>
      </w:r>
      <w:r>
        <w:rPr>
          <w:rFonts w:ascii="Book Antiqua" w:hAnsi="Book Antiqua" w:eastAsia="Book Antiqua" w:cs="Book Antiqua"/>
          <w:color w:val="000000"/>
        </w:rPr>
        <w:t xml:space="preserve"> and (3) TPTX administration. </w:t>
      </w:r>
      <w:r>
        <w:rPr>
          <w:rFonts w:ascii="Book Antiqua" w:hAnsi="Book Antiqua" w:eastAsia="Book Antiqua" w:cs="Book Antiqua"/>
          <w:color w:val="000000"/>
          <w:u w:color="000000"/>
        </w:rPr>
        <w:t>The e</w:t>
      </w:r>
      <w:r>
        <w:rPr>
          <w:rFonts w:ascii="Book Antiqua" w:hAnsi="Book Antiqua" w:eastAsia="Book Antiqua" w:cs="Book Antiqua"/>
          <w:color w:val="000000"/>
        </w:rPr>
        <w:t>xclusion criteria were: (1) Severe complications before surgery; or (2) Incomplete medical records.</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diagnosis of SHPT was based on hypocalcemia or normocalcemia with elevated parathyroid hormone levels in patients with chronic kidney disease, vitamin D deficiency, or inadequate calcium intake or absorption</w:t>
      </w:r>
      <w:r>
        <w:rPr>
          <w:rFonts w:ascii="Book Antiqua" w:hAnsi="Book Antiqua" w:eastAsia="Book Antiqua" w:cs="Book Antiqua"/>
          <w:color w:val="000000"/>
          <w:vertAlign w:val="superscript"/>
        </w:rPr>
        <w:t>[18,19]</w:t>
      </w:r>
      <w:r>
        <w:rPr>
          <w:rFonts w:ascii="Book Antiqua" w:hAnsi="Book Antiqua" w:eastAsia="Book Antiqua" w:cs="Book Antiqua"/>
          <w:color w:val="000000"/>
        </w:rPr>
        <w:t>. Hypocalcemia and SH were defined as total calcium corrected for albumin &lt; 2 mmol/L and &lt; 1.875 mmol/L, respectively.</w:t>
      </w:r>
    </w:p>
    <w:p>
      <w:pPr>
        <w:spacing w:line="360" w:lineRule="auto"/>
        <w:jc w:val="both"/>
        <w:rPr>
          <w:rFonts w:ascii="Book Antiqua" w:hAnsi="Book Antiqua" w:eastAsia="Book Antiqua" w:cs="Book Antiqua"/>
          <w:b/>
          <w:bCs/>
          <w:i/>
          <w:iCs/>
          <w:color w:val="000000"/>
        </w:rPr>
      </w:pPr>
    </w:p>
    <w:p>
      <w:pPr>
        <w:spacing w:line="360" w:lineRule="auto"/>
        <w:jc w:val="both"/>
        <w:rPr>
          <w:rFonts w:ascii="Book Antiqua" w:hAnsi="Book Antiqua"/>
        </w:rPr>
      </w:pPr>
      <w:r>
        <w:rPr>
          <w:rFonts w:ascii="Book Antiqua" w:hAnsi="Book Antiqua" w:eastAsia="Book Antiqua" w:cs="Book Antiqua"/>
          <w:b/>
          <w:bCs/>
          <w:i/>
          <w:iCs/>
          <w:color w:val="000000"/>
        </w:rPr>
        <w:t>TPTX</w:t>
      </w:r>
    </w:p>
    <w:p>
      <w:pPr>
        <w:spacing w:line="360" w:lineRule="auto"/>
        <w:jc w:val="both"/>
        <w:rPr>
          <w:rFonts w:ascii="Book Antiqua" w:hAnsi="Book Antiqua"/>
        </w:rPr>
      </w:pPr>
      <w:r>
        <w:rPr>
          <w:rFonts w:ascii="Book Antiqua" w:hAnsi="Book Antiqua" w:eastAsia="Book Antiqua" w:cs="Book Antiqua"/>
          <w:color w:val="000000"/>
        </w:rPr>
        <w:t>Indications for TPTX in patients with ESRD complicated with SHPT were: (1) Intact parathyroid hormone (iPTH) amounts exceeding 800 pg/mL before surgery</w:t>
      </w:r>
      <w:r>
        <w:rPr>
          <w:rFonts w:ascii="Book Antiqua" w:hAnsi="Book Antiqua" w:eastAsia="Book Antiqua" w:cs="Book Antiqua"/>
          <w:color w:val="000000"/>
          <w:u w:color="000000"/>
        </w:rPr>
        <w:t>;</w:t>
      </w:r>
      <w:r>
        <w:rPr>
          <w:rFonts w:ascii="Book Antiqua" w:hAnsi="Book Antiqua" w:eastAsia="Book Antiqua" w:cs="Book Antiqua"/>
          <w:color w:val="000000"/>
        </w:rPr>
        <w:t xml:space="preserve"> (2) Uncontrollable hypercalcemia with hyperphosphatemia or refractory PTH accompanied by clinical symptoms such as bone pain and itchiness</w:t>
      </w:r>
      <w:r>
        <w:rPr>
          <w:rFonts w:ascii="Book Antiqua" w:hAnsi="Book Antiqua" w:eastAsia="Book Antiqua" w:cs="Book Antiqua"/>
          <w:color w:val="000000"/>
          <w:u w:color="000000"/>
        </w:rPr>
        <w:t>;</w:t>
      </w:r>
      <w:r>
        <w:rPr>
          <w:rFonts w:ascii="Book Antiqua" w:hAnsi="Book Antiqua" w:eastAsia="Book Antiqua" w:cs="Book Antiqua"/>
          <w:color w:val="000000"/>
        </w:rPr>
        <w:t xml:space="preserve"> (3) Previous resistance to active vitamin D</w:t>
      </w:r>
      <w:r>
        <w:rPr>
          <w:rFonts w:ascii="Book Antiqua" w:hAnsi="Book Antiqua" w:eastAsia="Book Antiqua" w:cs="Book Antiqua"/>
          <w:color w:val="000000"/>
          <w:u w:color="000000"/>
        </w:rPr>
        <w:t>;</w:t>
      </w:r>
      <w:r>
        <w:rPr>
          <w:rFonts w:ascii="Book Antiqua" w:hAnsi="Book Antiqua" w:eastAsia="Book Antiqua" w:cs="Book Antiqua"/>
          <w:color w:val="000000"/>
        </w:rPr>
        <w:t xml:space="preserve"> and (4) Doppler ultrasound showing more than one parathyroid gland enlarged by over 1 cm, and abundant blood flow</w:t>
      </w:r>
      <w:r>
        <w:rPr>
          <w:rFonts w:ascii="Book Antiqua" w:hAnsi="Book Antiqua" w:eastAsia="Book Antiqua" w:cs="Book Antiqua"/>
          <w:color w:val="000000"/>
          <w:vertAlign w:val="superscript"/>
        </w:rPr>
        <w:t>[10]</w:t>
      </w:r>
      <w:r>
        <w:rPr>
          <w:rFonts w:ascii="Book Antiqua" w:hAnsi="Book Antiqua" w:eastAsia="Book Antiqua" w:cs="Book Antiqua"/>
          <w:color w:val="000000"/>
        </w:rPr>
        <w:t>. Surgeries were performed by surgeons with &gt; 10 years of experience. Under general anesthesia, the back of the cervical thyroid was explored to identify all four parathyroid glands, which were completely removed. The thymus was not routinely explored or removed. If less than four parathyroid glands were found, the thymus was explored, and the suspected parathyroid glands were removed.</w:t>
      </w:r>
    </w:p>
    <w:p>
      <w:pPr>
        <w:spacing w:line="360" w:lineRule="auto"/>
        <w:jc w:val="both"/>
        <w:rPr>
          <w:rFonts w:ascii="Book Antiqua" w:hAnsi="Book Antiqua" w:eastAsia="Book Antiqua" w:cs="Book Antiqua"/>
          <w:b/>
          <w:bCs/>
          <w:i/>
          <w:iCs/>
          <w:color w:val="000000"/>
        </w:rPr>
      </w:pPr>
    </w:p>
    <w:p>
      <w:pPr>
        <w:spacing w:line="360" w:lineRule="auto"/>
        <w:jc w:val="both"/>
        <w:rPr>
          <w:rFonts w:ascii="Book Antiqua" w:hAnsi="Book Antiqua"/>
        </w:rPr>
      </w:pPr>
      <w:r>
        <w:rPr>
          <w:rFonts w:ascii="Book Antiqua" w:hAnsi="Book Antiqua" w:eastAsia="Book Antiqua" w:cs="Book Antiqua"/>
          <w:b/>
          <w:bCs/>
          <w:i/>
          <w:iCs/>
          <w:color w:val="000000"/>
        </w:rPr>
        <w:t>The CS protocol</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Between January 2015 and May 2016, conventional CS was performed in patients who underwent TPTX. The amounts of supplemented calcium were adjusted according to postoperative serum calcium levels. The CS protocol in our hospital changed after October 2016 due to a significant number of patients developing hypocalcemia after surgery. From October 2016 to May 2018, preventive CS was performed in patients with ESRD complicated by SPTH after TPTX. According to preoperative ALP levels, the patients were defined as low-risk (ALP &lt; 500 U/L) and high-risk (ALP &gt; 500 U/L) for SH. Low-risk cases received supplementation with 50 mL of 10% calcium gluconate daily, and the level of CS was adjusted according to daily serum calcium amounts. In high-risk patients, supplementation with 100 mL of 10% calcium gluconate was performed daily, with the level of CS also adjusted according to daily serum calcium amounts. In both the low- and high-risk groups, CS was started on the day of surgery.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Data collection</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All preoperative blood samples were collected in the fasting state on the day before surgery. Postoperative blood samples were obtained at 6-7 AM from the first postoperative day (within 48 h after TPTX) to monitor </w:t>
      </w:r>
      <w:r>
        <w:rPr>
          <w:rFonts w:ascii="Book Antiqua" w:hAnsi="Book Antiqua" w:eastAsia="Book Antiqua" w:cs="Book Antiqua"/>
          <w:color w:val="000000"/>
          <w:u w:color="000000"/>
        </w:rPr>
        <w:t>daily blood calcium</w:t>
      </w:r>
      <w:r>
        <w:rPr>
          <w:rFonts w:ascii="Book Antiqua" w:hAnsi="Book Antiqua" w:eastAsia="Book Antiqua" w:cs="Book Antiqua"/>
          <w:color w:val="000000"/>
        </w:rPr>
        <w:t xml:space="preserve">. Postoperative CS was administered at around 8 AM daily. Age, sex, </w:t>
      </w:r>
      <w:bookmarkStart w:id="1" w:name="_Hlk96934141"/>
      <w:r>
        <w:rPr>
          <w:rFonts w:ascii="Book Antiqua" w:hAnsi="Book Antiqua" w:eastAsia="Book Antiqua" w:cs="Book Antiqua"/>
          <w:color w:val="000000"/>
        </w:rPr>
        <w:t>body mass index</w:t>
      </w:r>
      <w:bookmarkEnd w:id="1"/>
      <w:r>
        <w:rPr>
          <w:rFonts w:ascii="Book Antiqua" w:hAnsi="Book Antiqua" w:eastAsia="Book Antiqua" w:cs="Book Antiqua"/>
          <w:color w:val="000000"/>
        </w:rPr>
        <w:t xml:space="preserve"> (BMI), preoperative serum calcium amounts, serum phosphorus levels, calcium-phosphorus ratio, ALP amounts, and iPTH levels were recorded.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Statistical methods</w:t>
      </w:r>
    </w:p>
    <w:p>
      <w:pPr>
        <w:spacing w:line="360" w:lineRule="auto"/>
        <w:jc w:val="both"/>
        <w:rPr>
          <w:rFonts w:ascii="Book Antiqua" w:hAnsi="Book Antiqua"/>
        </w:rPr>
      </w:pPr>
      <w:r>
        <w:rPr>
          <w:rFonts w:ascii="Book Antiqua" w:hAnsi="Book Antiqua" w:eastAsia="Book Antiqua" w:cs="Book Antiqua"/>
          <w:color w:val="000000"/>
        </w:rPr>
        <w:t xml:space="preserve">Statistical analysis was performed with SPSS 21.0 (IBM, Armonk, New York, United States). Continuous data are presented as mean ± SD and analyzed </w:t>
      </w:r>
      <w:r>
        <w:rPr>
          <w:rFonts w:ascii="Book Antiqua" w:hAnsi="Book Antiqua" w:eastAsia="Book Antiqua" w:cs="Book Antiqua"/>
          <w:color w:val="000000"/>
          <w:u w:color="000000"/>
        </w:rPr>
        <w:t>using</w:t>
      </w:r>
      <w:r>
        <w:rPr>
          <w:rFonts w:ascii="Book Antiqua" w:hAnsi="Book Antiqua" w:eastAsia="Book Antiqua" w:cs="Book Antiqua"/>
          <w:color w:val="000000"/>
        </w:rPr>
        <w:t xml:space="preserve"> the Student’s </w:t>
      </w:r>
      <w:r>
        <w:rPr>
          <w:rFonts w:ascii="Book Antiqua" w:hAnsi="Book Antiqua" w:eastAsia="Book Antiqua" w:cs="Book Antiqua"/>
          <w:i/>
          <w:iCs/>
          <w:color w:val="000000"/>
        </w:rPr>
        <w:t>t</w:t>
      </w:r>
      <w:r>
        <w:rPr>
          <w:rFonts w:ascii="Book Antiqua" w:hAnsi="Book Antiqua" w:eastAsia="Book Antiqua" w:cs="Book Antiqua"/>
          <w:color w:val="000000"/>
        </w:rPr>
        <w:t>-test. Categorical data are presented as number</w:t>
      </w:r>
      <w:r>
        <w:rPr>
          <w:rFonts w:ascii="Book Antiqua" w:hAnsi="Book Antiqua" w:eastAsia="Book Antiqua" w:cs="Book Antiqua"/>
          <w:color w:val="000000"/>
          <w:u w:color="000000"/>
        </w:rPr>
        <w:t>s</w:t>
      </w:r>
      <w:r>
        <w:rPr>
          <w:rFonts w:ascii="Book Antiqua" w:hAnsi="Book Antiqua" w:eastAsia="Book Antiqua" w:cs="Book Antiqua"/>
          <w:color w:val="000000"/>
        </w:rPr>
        <w:t xml:space="preserve"> and percentage</w:t>
      </w:r>
      <w:r>
        <w:rPr>
          <w:rFonts w:ascii="Book Antiqua" w:hAnsi="Book Antiqua" w:eastAsia="Book Antiqua" w:cs="Book Antiqua"/>
          <w:color w:val="000000"/>
          <w:u w:color="000000"/>
        </w:rPr>
        <w:t>s</w:t>
      </w:r>
      <w:r>
        <w:rPr>
          <w:rFonts w:ascii="Book Antiqua" w:hAnsi="Book Antiqua" w:eastAsia="Book Antiqua" w:cs="Book Antiqua"/>
          <w:color w:val="000000"/>
        </w:rPr>
        <w:t xml:space="preserve"> and analyzed </w:t>
      </w:r>
      <w:r>
        <w:rPr>
          <w:rFonts w:ascii="Book Antiqua" w:hAnsi="Book Antiqua" w:eastAsia="Book Antiqua" w:cs="Book Antiqua"/>
          <w:color w:val="000000"/>
          <w:u w:color="000000"/>
        </w:rPr>
        <w:t>using</w:t>
      </w:r>
      <w:r>
        <w:rPr>
          <w:rFonts w:ascii="Book Antiqua" w:hAnsi="Book Antiqua" w:eastAsia="Book Antiqua" w:cs="Book Antiqua"/>
          <w:color w:val="000000"/>
          <w:u w:val="single" w:color="000000"/>
        </w:rPr>
        <w:t xml:space="preserve"> </w:t>
      </w:r>
      <w:r>
        <w:rPr>
          <w:rFonts w:ascii="Book Antiqua" w:hAnsi="Book Antiqua" w:eastAsia="Book Antiqua" w:cs="Book Antiqua"/>
          <w:color w:val="000000"/>
        </w:rPr>
        <w:t xml:space="preserve">the chi-square test. Factors with </w:t>
      </w:r>
      <w:r>
        <w:rPr>
          <w:rFonts w:ascii="Book Antiqua" w:hAnsi="Book Antiqua" w:eastAsia="Book Antiqua" w:cs="Book Antiqua"/>
          <w:i/>
          <w:iCs/>
          <w:color w:val="000000"/>
        </w:rPr>
        <w:t>P</w:t>
      </w:r>
      <w:r>
        <w:rPr>
          <w:rFonts w:ascii="Book Antiqua" w:hAnsi="Book Antiqua" w:eastAsia="Book Antiqua" w:cs="Book Antiqua"/>
          <w:color w:val="000000"/>
        </w:rPr>
        <w:t xml:space="preserve"> &lt; 0.10 in univariable analysis were included in multivariable logistic regression analysis to determine risk factors for SH.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was considered statistically significant.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b/>
          <w:bCs/>
          <w:i/>
          <w:iCs/>
          <w:color w:val="000000"/>
        </w:rPr>
        <w:t>Patient characteristics</w:t>
      </w:r>
    </w:p>
    <w:p>
      <w:pPr>
        <w:spacing w:line="360" w:lineRule="auto"/>
        <w:jc w:val="both"/>
        <w:rPr>
          <w:rFonts w:ascii="Book Antiqua" w:hAnsi="Book Antiqua"/>
        </w:rPr>
      </w:pPr>
      <w:r>
        <w:rPr>
          <w:rFonts w:ascii="Book Antiqua" w:hAnsi="Book Antiqua" w:eastAsia="Book Antiqua" w:cs="Book Antiqua"/>
          <w:color w:val="000000"/>
        </w:rPr>
        <w:t>A total of 271 patients administered TPTX with confirmed SHPT were included in this study. These patients were 47.7 ± 11.1 years old, and 57.6% were male. Their mean BMI was 22.9 ± 3.8 kg/m</w:t>
      </w:r>
      <w:r>
        <w:rPr>
          <w:rFonts w:ascii="Book Antiqua" w:hAnsi="Book Antiqua" w:eastAsia="Book Antiqua" w:cs="Book Antiqua"/>
          <w:color w:val="000000"/>
          <w:vertAlign w:val="superscript"/>
        </w:rPr>
        <w:t>2</w:t>
      </w:r>
      <w:r>
        <w:rPr>
          <w:rFonts w:ascii="Book Antiqua" w:hAnsi="Book Antiqua" w:eastAsia="Book Antiqua" w:cs="Book Antiqua"/>
          <w:color w:val="000000"/>
        </w:rPr>
        <w:t>. There were no significant differences in sex, age, BMI, preoperative ALP, serum calcium, serum phosphorus, calcium-phosphorus ratio, and iPTH between the two CS groups (Table 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Postoperative characteristics of the patients</w:t>
      </w:r>
    </w:p>
    <w:p>
      <w:pPr>
        <w:spacing w:line="360" w:lineRule="auto"/>
        <w:jc w:val="both"/>
        <w:rPr>
          <w:rFonts w:ascii="Book Antiqua" w:hAnsi="Book Antiqua"/>
        </w:rPr>
      </w:pPr>
      <w:r>
        <w:rPr>
          <w:rFonts w:ascii="Book Antiqua" w:hAnsi="Book Antiqua" w:eastAsia="Book Antiqua" w:cs="Book Antiqua"/>
          <w:color w:val="000000"/>
        </w:rPr>
        <w:t xml:space="preserve">In all patients, the hypocalcemia occurrence rate within 48 h after surgery was 61.3% (166/271), and serum calcium levels were lower than normal (&lt; 2 mmol/L). Postoperative serum calcium levels within 48 h were higher in the preventive CS group compared with the conventional CS group (2.02 ± 0.32 </w:t>
      </w:r>
      <w:r>
        <w:rPr>
          <w:rFonts w:ascii="Book Antiqua" w:hAnsi="Book Antiqua" w:eastAsia="Book Antiqua" w:cs="Book Antiqua"/>
          <w:i/>
          <w:iCs/>
          <w:color w:val="000000"/>
        </w:rPr>
        <w:t>vs</w:t>
      </w:r>
      <w:r>
        <w:rPr>
          <w:rFonts w:ascii="Book Antiqua" w:hAnsi="Book Antiqua" w:eastAsia="Book Antiqua" w:cs="Book Antiqua"/>
          <w:color w:val="000000"/>
        </w:rPr>
        <w:t xml:space="preserve"> 1.81 ± 0.32 mmol/L,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In addition, the postoperative occurrence rates of hypocalcemia (46.0% </w:t>
      </w:r>
      <w:r>
        <w:rPr>
          <w:rFonts w:ascii="Book Antiqua" w:hAnsi="Book Antiqua" w:eastAsia="Book Antiqua" w:cs="Book Antiqua"/>
          <w:i/>
          <w:iCs/>
          <w:color w:val="000000"/>
        </w:rPr>
        <w:t>vs</w:t>
      </w:r>
      <w:r>
        <w:rPr>
          <w:rFonts w:ascii="Book Antiqua" w:hAnsi="Book Antiqua" w:eastAsia="Book Antiqua" w:cs="Book Antiqua"/>
          <w:color w:val="000000"/>
        </w:rPr>
        <w:t xml:space="preserve"> 74.5%,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SH (31.7% </w:t>
      </w:r>
      <w:r>
        <w:rPr>
          <w:rFonts w:ascii="Book Antiqua" w:hAnsi="Book Antiqua" w:eastAsia="Book Antiqua" w:cs="Book Antiqua"/>
          <w:i/>
          <w:iCs/>
          <w:color w:val="000000"/>
        </w:rPr>
        <w:t>vs</w:t>
      </w:r>
      <w:r>
        <w:rPr>
          <w:rFonts w:ascii="Book Antiqua" w:hAnsi="Book Antiqua" w:eastAsia="Book Antiqua" w:cs="Book Antiqua"/>
          <w:color w:val="000000"/>
        </w:rPr>
        <w:t xml:space="preserve"> 64.1%,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and critical hypocalcemia (4.0% </w:t>
      </w:r>
      <w:r>
        <w:rPr>
          <w:rFonts w:ascii="Book Antiqua" w:hAnsi="Book Antiqua" w:eastAsia="Book Antiqua" w:cs="Book Antiqua"/>
          <w:i/>
          <w:iCs/>
          <w:color w:val="000000"/>
        </w:rPr>
        <w:t>vs</w:t>
      </w:r>
      <w:r>
        <w:rPr>
          <w:rFonts w:ascii="Book Antiqua" w:hAnsi="Book Antiqua" w:eastAsia="Book Antiqua" w:cs="Book Antiqua"/>
          <w:color w:val="000000"/>
        </w:rPr>
        <w:t xml:space="preserve"> 14.5%, </w:t>
      </w:r>
      <w:r>
        <w:rPr>
          <w:rFonts w:ascii="Book Antiqua" w:hAnsi="Book Antiqua" w:eastAsia="Book Antiqua" w:cs="Book Antiqua"/>
          <w:i/>
          <w:iCs/>
          <w:color w:val="000000"/>
        </w:rPr>
        <w:t>P</w:t>
      </w:r>
      <w:r>
        <w:rPr>
          <w:rFonts w:ascii="Book Antiqua" w:hAnsi="Book Antiqua" w:eastAsia="Book Antiqua" w:cs="Book Antiqua"/>
          <w:color w:val="000000"/>
        </w:rPr>
        <w:t xml:space="preserve"> = 0.003) were lower in the preventive CS group (Table 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Risk factors for SH</w:t>
      </w:r>
    </w:p>
    <w:p>
      <w:pPr>
        <w:spacing w:line="360" w:lineRule="auto"/>
        <w:jc w:val="both"/>
        <w:rPr>
          <w:rFonts w:ascii="Book Antiqua" w:hAnsi="Book Antiqua"/>
        </w:rPr>
      </w:pPr>
      <w:r>
        <w:rPr>
          <w:rFonts w:ascii="Book Antiqua" w:hAnsi="Book Antiqua" w:eastAsia="Book Antiqua" w:cs="Book Antiqua"/>
          <w:color w:val="000000"/>
        </w:rPr>
        <w:t xml:space="preserve">Variables with </w:t>
      </w:r>
      <w:r>
        <w:rPr>
          <w:rFonts w:ascii="Book Antiqua" w:hAnsi="Book Antiqua" w:eastAsia="Book Antiqua" w:cs="Book Antiqua"/>
          <w:i/>
          <w:iCs/>
          <w:color w:val="000000"/>
        </w:rPr>
        <w:t>P</w:t>
      </w:r>
      <w:r>
        <w:rPr>
          <w:rFonts w:ascii="Book Antiqua" w:hAnsi="Book Antiqua" w:eastAsia="Book Antiqua" w:cs="Book Antiqua"/>
          <w:color w:val="000000"/>
        </w:rPr>
        <w:t xml:space="preserve"> &lt; 0.1 in univariate analysis (Table 3) were included in multivariate logistic regression analysis to determine the risk factors for SH (Table 4). The results showed that preoperative iPTH levels [odds ratio (OR) = 1.001, 95%</w:t>
      </w:r>
      <w:r>
        <w:rPr>
          <w:rFonts w:ascii="Book Antiqua" w:hAnsi="Book Antiqua" w:eastAsiaTheme="majorEastAsia"/>
        </w:rPr>
        <w:t xml:space="preserve"> confidence interval</w:t>
      </w:r>
      <w:r>
        <w:rPr>
          <w:rFonts w:ascii="Book Antiqua" w:hAnsi="Book Antiqua" w:eastAsia="Book Antiqua" w:cs="Book Antiqua"/>
          <w:color w:val="000000"/>
        </w:rPr>
        <w:t xml:space="preserve"> (CI): 1.000-1.001, </w:t>
      </w:r>
      <w:r>
        <w:rPr>
          <w:rFonts w:ascii="Book Antiqua" w:hAnsi="Book Antiqua" w:eastAsia="Book Antiqua" w:cs="Book Antiqua"/>
          <w:i/>
          <w:iCs/>
          <w:color w:val="000000"/>
        </w:rPr>
        <w:t>P</w:t>
      </w:r>
      <w:r>
        <w:rPr>
          <w:rFonts w:ascii="Book Antiqua" w:hAnsi="Book Antiqua" w:eastAsia="Book Antiqua" w:cs="Book Antiqua"/>
          <w:color w:val="000000"/>
        </w:rPr>
        <w:t xml:space="preserve"> = 0.009), preoperative ALP amounts (OR = 1.002, 95%CI: 1.001-1.003, </w:t>
      </w:r>
      <w:r>
        <w:rPr>
          <w:rFonts w:ascii="Book Antiqua" w:hAnsi="Book Antiqua" w:eastAsia="Book Antiqua" w:cs="Book Antiqua"/>
          <w:i/>
          <w:iCs/>
          <w:color w:val="000000"/>
        </w:rPr>
        <w:t>P</w:t>
      </w:r>
      <w:r>
        <w:rPr>
          <w:rFonts w:ascii="Book Antiqua" w:hAnsi="Book Antiqua" w:eastAsia="Book Antiqua" w:cs="Book Antiqua"/>
          <w:color w:val="000000"/>
        </w:rPr>
        <w:t xml:space="preserve"> = 0.002), preoperative serum phosphorus levels (OR = 8.729, 95%CI: 1.518-50.216, </w:t>
      </w:r>
      <w:r>
        <w:rPr>
          <w:rFonts w:ascii="Book Antiqua" w:hAnsi="Book Antiqua" w:eastAsia="Book Antiqua" w:cs="Book Antiqua"/>
          <w:i/>
          <w:iCs/>
          <w:color w:val="000000"/>
        </w:rPr>
        <w:t>P</w:t>
      </w:r>
      <w:r>
        <w:rPr>
          <w:rFonts w:ascii="Book Antiqua" w:hAnsi="Book Antiqua" w:eastAsia="Book Antiqua" w:cs="Book Antiqua"/>
          <w:color w:val="000000"/>
        </w:rPr>
        <w:t xml:space="preserve"> = 0.015) and the preventive CS regimen (OR = 0.132, 95%CI: 0.067-0.261,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were independently associated with SH.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Characteristics of the patients with preoperative ALP ≥ 500 U/L</w:t>
      </w:r>
    </w:p>
    <w:p>
      <w:pPr>
        <w:spacing w:line="360" w:lineRule="auto"/>
        <w:jc w:val="both"/>
        <w:rPr>
          <w:rFonts w:ascii="Book Antiqua" w:hAnsi="Book Antiqua"/>
        </w:rPr>
      </w:pPr>
      <w:r>
        <w:rPr>
          <w:rFonts w:ascii="Book Antiqua" w:hAnsi="Book Antiqua" w:eastAsia="Book Antiqua" w:cs="Book Antiqua"/>
          <w:color w:val="000000"/>
        </w:rPr>
        <w:t xml:space="preserve">In patients with ALP </w:t>
      </w:r>
      <w:r>
        <w:rPr>
          <w:rFonts w:ascii="Book Antiqua" w:hAnsi="Book Antiqua" w:eastAsia="Book Antiqua" w:cs="Book Antiqua"/>
          <w:color w:val="000000"/>
          <w:u w:color="000000"/>
        </w:rPr>
        <w:t>&gt;</w:t>
      </w:r>
      <w:r>
        <w:rPr>
          <w:rFonts w:ascii="Book Antiqua" w:hAnsi="Book Antiqua" w:eastAsia="Book Antiqua" w:cs="Book Antiqua"/>
          <w:color w:val="000000"/>
        </w:rPr>
        <w:t xml:space="preserve"> 500 U/L, the occurrence rate of hypocalcemia within 48 h after surgery was 93.5% (72/77), and serum calcium levels were lower than control values (Table 5). Compared with the conventional CS group, the preventive CS group displayed higher postoperative serum calcium levels within 48 h (1.76 ± 0.22 </w:t>
      </w:r>
      <w:r>
        <w:rPr>
          <w:rFonts w:ascii="Book Antiqua" w:hAnsi="Book Antiqua" w:eastAsia="Book Antiqua" w:cs="Book Antiqua"/>
          <w:i/>
          <w:iCs/>
          <w:color w:val="000000"/>
        </w:rPr>
        <w:t>vs</w:t>
      </w:r>
      <w:r>
        <w:rPr>
          <w:rFonts w:ascii="Book Antiqua" w:hAnsi="Book Antiqua" w:eastAsia="Book Antiqua" w:cs="Book Antiqua"/>
          <w:color w:val="000000"/>
        </w:rPr>
        <w:t xml:space="preserve"> 1.55 ± 0.17 mmol/L,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and lower occurrence rates of postoperative SH (62.9% </w:t>
      </w:r>
      <w:r>
        <w:rPr>
          <w:rFonts w:ascii="Book Antiqua" w:hAnsi="Book Antiqua" w:eastAsia="Book Antiqua" w:cs="Book Antiqua"/>
          <w:i/>
          <w:iCs/>
          <w:color w:val="000000"/>
        </w:rPr>
        <w:t>vs</w:t>
      </w:r>
      <w:r>
        <w:rPr>
          <w:rFonts w:ascii="Book Antiqua" w:hAnsi="Book Antiqua" w:eastAsia="Book Antiqua" w:cs="Book Antiqua"/>
          <w:color w:val="000000"/>
        </w:rPr>
        <w:t xml:space="preserve"> 90.5%, </w:t>
      </w:r>
      <w:r>
        <w:rPr>
          <w:rFonts w:ascii="Book Antiqua" w:hAnsi="Book Antiqua" w:eastAsia="Book Antiqua" w:cs="Book Antiqua"/>
          <w:i/>
          <w:iCs/>
          <w:color w:val="000000"/>
        </w:rPr>
        <w:t>P</w:t>
      </w:r>
      <w:r>
        <w:rPr>
          <w:rFonts w:ascii="Book Antiqua" w:hAnsi="Book Antiqua" w:eastAsia="Book Antiqua" w:cs="Book Antiqua"/>
          <w:color w:val="000000"/>
        </w:rPr>
        <w:t xml:space="preserve"> = 0.005) and critical hypocalcemia (8.6% </w:t>
      </w:r>
      <w:r>
        <w:rPr>
          <w:rFonts w:ascii="Book Antiqua" w:hAnsi="Book Antiqua" w:eastAsia="Book Antiqua" w:cs="Book Antiqua"/>
          <w:i/>
          <w:iCs/>
          <w:color w:val="000000"/>
        </w:rPr>
        <w:t>vs</w:t>
      </w:r>
      <w:r>
        <w:rPr>
          <w:rFonts w:ascii="Book Antiqua" w:hAnsi="Book Antiqua" w:eastAsia="Book Antiqua" w:cs="Book Antiqua"/>
          <w:color w:val="000000"/>
        </w:rPr>
        <w:t xml:space="preserve"> 33.3%, </w:t>
      </w:r>
      <w:r>
        <w:rPr>
          <w:rFonts w:ascii="Book Antiqua" w:hAnsi="Book Antiqua" w:eastAsia="Book Antiqua" w:cs="Book Antiqua"/>
          <w:i/>
          <w:iCs/>
          <w:color w:val="000000"/>
        </w:rPr>
        <w:t>P</w:t>
      </w:r>
      <w:r>
        <w:rPr>
          <w:rFonts w:ascii="Book Antiqua" w:hAnsi="Book Antiqua" w:eastAsia="Book Antiqua" w:cs="Book Antiqua"/>
          <w:color w:val="000000"/>
        </w:rPr>
        <w:t xml:space="preserve"> = 0.012).</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Logistic regression analysis was performed to determine the risk factors for SH in patients with preoperative ALP levels </w:t>
      </w:r>
      <w:r>
        <w:rPr>
          <w:rFonts w:ascii="Book Antiqua" w:hAnsi="Book Antiqua" w:eastAsia="Book Antiqua" w:cs="Book Antiqua"/>
          <w:color w:val="000000"/>
          <w:u w:color="000000"/>
        </w:rPr>
        <w:t>&gt;</w:t>
      </w:r>
      <w:r>
        <w:rPr>
          <w:rFonts w:ascii="Book Antiqua" w:hAnsi="Book Antiqua" w:eastAsia="Book Antiqua" w:cs="Book Antiqua"/>
          <w:color w:val="000000"/>
        </w:rPr>
        <w:t xml:space="preserve"> 500 U/L (Table 6). As shown in Table 6, only the preventive CS regimen (OR = 0.147, 95%CI: 0.038-0.562, </w:t>
      </w:r>
      <w:r>
        <w:rPr>
          <w:rFonts w:ascii="Book Antiqua" w:hAnsi="Book Antiqua" w:eastAsia="Book Antiqua" w:cs="Book Antiqua"/>
          <w:i/>
          <w:iCs/>
          <w:color w:val="000000"/>
        </w:rPr>
        <w:t>P</w:t>
      </w:r>
      <w:r>
        <w:rPr>
          <w:rFonts w:ascii="Book Antiqua" w:hAnsi="Book Antiqua" w:eastAsia="Book Antiqua" w:cs="Book Antiqua"/>
          <w:color w:val="000000"/>
        </w:rPr>
        <w:t xml:space="preserve"> = 0.005) was independently associated with SH.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SH is a dreaded complication of TPTX</w:t>
      </w:r>
      <w:r>
        <w:rPr>
          <w:rFonts w:ascii="Book Antiqua" w:hAnsi="Book Antiqua" w:eastAsia="Book Antiqua" w:cs="Book Antiqua"/>
          <w:color w:val="000000"/>
          <w:vertAlign w:val="superscript"/>
        </w:rPr>
        <w:t>[14]</w:t>
      </w:r>
      <w:r>
        <w:rPr>
          <w:rFonts w:ascii="Book Antiqua" w:hAnsi="Book Antiqua" w:eastAsia="Book Antiqua" w:cs="Book Antiqua"/>
          <w:color w:val="000000"/>
        </w:rPr>
        <w:t>, and tools for its prevention are scarce</w:t>
      </w:r>
      <w:r>
        <w:rPr>
          <w:rFonts w:ascii="Book Antiqua" w:hAnsi="Book Antiqua" w:eastAsia="Book Antiqua" w:cs="Book Antiqua"/>
          <w:color w:val="000000"/>
          <w:vertAlign w:val="superscript"/>
        </w:rPr>
        <w:t>[15-17]</w:t>
      </w:r>
      <w:r>
        <w:rPr>
          <w:rFonts w:ascii="Book Antiqua" w:hAnsi="Book Antiqua" w:eastAsia="Book Antiqua" w:cs="Book Antiqua"/>
          <w:color w:val="000000"/>
        </w:rPr>
        <w:t>. This study aimed to identify risk factors for SH and to compare conventional and preventive CS regimens in terms of SH occurrence after TPTX. The results suggested that preventive CS could reduce the occurrence of SH, indicating its critical value for hypocalcemia after TPTX.</w:t>
      </w:r>
    </w:p>
    <w:p>
      <w:pPr>
        <w:spacing w:line="360" w:lineRule="auto"/>
        <w:ind w:firstLine="240" w:firstLineChars="100"/>
        <w:jc w:val="both"/>
        <w:rPr>
          <w:rFonts w:ascii="Book Antiqua" w:hAnsi="Book Antiqua"/>
        </w:rPr>
      </w:pPr>
      <w:r>
        <w:rPr>
          <w:rFonts w:ascii="Book Antiqua" w:hAnsi="Book Antiqua" w:eastAsia="Book Antiqua" w:cs="Book Antiqua"/>
          <w:color w:val="000000"/>
        </w:rPr>
        <w:t>TPTX is an effective method for treating SHPT, but postoperative hypocalcemia occurs in 20%-85% of the treated patients</w:t>
      </w:r>
      <w:r>
        <w:rPr>
          <w:rFonts w:ascii="Book Antiqua" w:hAnsi="Book Antiqua" w:eastAsia="Book Antiqua" w:cs="Book Antiqua"/>
          <w:color w:val="000000"/>
          <w:vertAlign w:val="superscript"/>
        </w:rPr>
        <w:t>[11,20-22]</w:t>
      </w:r>
      <w:r>
        <w:rPr>
          <w:rFonts w:ascii="Book Antiqua" w:hAnsi="Book Antiqua" w:eastAsia="Book Antiqua" w:cs="Book Antiqua"/>
          <w:color w:val="000000"/>
        </w:rPr>
        <w:t>, which limits its clinical application. SH may lead to laryngeal stridor, spasms, arrhythmias, congestive heart failure, and tetany, which could be life-threatening in severe cases. In this study, the occurrence rate of hypocalcemia in patients administered conventional CS was 74.5% (108/145) within 48 h after surgery; in addition, the occurrence rates of SH and critical hypocalcemia were 64.1% (93/145) and 14.5% (21/145), respectively. These findings indicated that SH occurrence after surgery is very high with conventional CS.</w:t>
      </w:r>
    </w:p>
    <w:p>
      <w:pPr>
        <w:spacing w:line="360" w:lineRule="auto"/>
        <w:ind w:firstLine="240" w:firstLineChars="100"/>
        <w:jc w:val="both"/>
        <w:rPr>
          <w:rFonts w:ascii="Book Antiqua" w:hAnsi="Book Antiqua"/>
        </w:rPr>
      </w:pPr>
      <w:r>
        <w:rPr>
          <w:rFonts w:ascii="Book Antiqua" w:hAnsi="Book Antiqua" w:eastAsia="Book Antiqua" w:cs="Book Antiqua"/>
          <w:color w:val="000000"/>
        </w:rPr>
        <w:t>Studies have reported the prognostic factors of hypocalcemia after PTX</w:t>
      </w:r>
      <w:r>
        <w:rPr>
          <w:rFonts w:ascii="Book Antiqua" w:hAnsi="Book Antiqua" w:eastAsia="Book Antiqua" w:cs="Book Antiqua"/>
          <w:color w:val="000000"/>
          <w:vertAlign w:val="superscript"/>
        </w:rPr>
        <w:t>[10-13]</w:t>
      </w:r>
      <w:r>
        <w:rPr>
          <w:rFonts w:ascii="Book Antiqua" w:hAnsi="Book Antiqua" w:eastAsia="Book Antiqua" w:cs="Book Antiqua"/>
          <w:color w:val="000000"/>
        </w:rPr>
        <w:t>, but surgical methods were different among these studies, which yielded conflicting findings. In addition, the effect of age on postoperative serum calcium amounts remains controversial</w:t>
      </w:r>
      <w:r>
        <w:rPr>
          <w:rFonts w:ascii="Book Antiqua" w:hAnsi="Book Antiqua" w:eastAsia="Book Antiqua" w:cs="Book Antiqua"/>
          <w:color w:val="000000"/>
          <w:vertAlign w:val="superscript"/>
        </w:rPr>
        <w:t>[10-13]</w:t>
      </w:r>
      <w:r>
        <w:rPr>
          <w:rFonts w:ascii="Book Antiqua" w:hAnsi="Book Antiqua" w:eastAsia="Book Antiqua" w:cs="Book Antiqua"/>
          <w:color w:val="000000"/>
        </w:rPr>
        <w:t>. Furthermore, studies reported that older patients with SHPT are more likely to develop postoperative hypocalcemia</w:t>
      </w:r>
      <w:r>
        <w:rPr>
          <w:rFonts w:ascii="Book Antiqua" w:hAnsi="Book Antiqua" w:eastAsia="Book Antiqua" w:cs="Book Antiqua"/>
          <w:color w:val="000000"/>
          <w:vertAlign w:val="superscript"/>
        </w:rPr>
        <w:t>[23,24]</w:t>
      </w:r>
      <w:r>
        <w:rPr>
          <w:rFonts w:ascii="Book Antiqua" w:hAnsi="Book Antiqua" w:eastAsia="Book Antiqua" w:cs="Book Antiqua"/>
          <w:color w:val="000000"/>
        </w:rPr>
        <w:t>. The reason might be that such patients are prone to vitamin D deficiency and inadequate nutrition intake</w:t>
      </w:r>
      <w:r>
        <w:rPr>
          <w:rFonts w:ascii="Book Antiqua" w:hAnsi="Book Antiqua" w:eastAsia="Book Antiqua" w:cs="Book Antiqua"/>
          <w:color w:val="000000"/>
          <w:vertAlign w:val="superscript"/>
        </w:rPr>
        <w:t>[23,25,26]</w:t>
      </w:r>
      <w:r>
        <w:rPr>
          <w:rFonts w:ascii="Book Antiqua" w:hAnsi="Book Antiqua" w:eastAsia="Book Antiqua" w:cs="Book Antiqua"/>
          <w:color w:val="000000"/>
        </w:rPr>
        <w:t>. Other studies suggested that younger age is a risk factor for postoperative hypocalcemia</w:t>
      </w:r>
      <w:r>
        <w:rPr>
          <w:rFonts w:ascii="Book Antiqua" w:hAnsi="Book Antiqua" w:eastAsia="Book Antiqua" w:cs="Book Antiqua"/>
          <w:color w:val="000000"/>
          <w:vertAlign w:val="superscript"/>
        </w:rPr>
        <w:t>[11,14,20,24]</w:t>
      </w:r>
      <w:r>
        <w:rPr>
          <w:rFonts w:ascii="Book Antiqua" w:hAnsi="Book Antiqua" w:eastAsia="Book Antiqua" w:cs="Book Antiqua"/>
          <w:color w:val="000000"/>
        </w:rPr>
        <w:t>. Few reports considered the male gender as a risk factor for hypocalcemia after TPTX</w:t>
      </w:r>
      <w:r>
        <w:rPr>
          <w:rFonts w:ascii="Book Antiqua" w:hAnsi="Book Antiqua" w:eastAsia="Book Antiqua" w:cs="Book Antiqua"/>
          <w:color w:val="000000"/>
          <w:vertAlign w:val="superscript"/>
        </w:rPr>
        <w:t>[11]</w:t>
      </w:r>
      <w:r>
        <w:rPr>
          <w:rFonts w:ascii="Book Antiqua" w:hAnsi="Book Antiqua" w:eastAsia="Book Antiqua" w:cs="Book Antiqua"/>
          <w:color w:val="000000"/>
        </w:rPr>
        <w:t>. Investigations revealed preoperative PTH levels to be an independent risk factor for SH; under excessive PTH stimulation, despite a significant negative balance, bone formation and bone resorption are increased</w:t>
      </w:r>
      <w:r>
        <w:rPr>
          <w:rFonts w:ascii="Book Antiqua" w:hAnsi="Book Antiqua" w:eastAsia="Book Antiqua" w:cs="Book Antiqua"/>
          <w:color w:val="000000"/>
          <w:vertAlign w:val="superscript"/>
        </w:rPr>
        <w:t>[11,15]</w:t>
      </w:r>
      <w:r>
        <w:rPr>
          <w:rFonts w:ascii="Book Antiqua" w:hAnsi="Book Antiqua" w:eastAsia="Book Antiqua" w:cs="Book Antiqua"/>
          <w:color w:val="000000"/>
        </w:rPr>
        <w:t>. Postoperatively, due to the rapid decline in PTH levels, reduced bone resorption and increased bone formation also occur rapidly, and hypocalcemia occurrence is consistent with such changes. ALP encompasses a group of isoenzymes that are mainly present in the liver and bones. High serum levels of ALP are characteristic of bone disease with enhanced osteogenic activity. In SHPT patients, both osteogenic and bone resorption activities are significantly increased</w:t>
      </w:r>
      <w:r>
        <w:rPr>
          <w:rFonts w:ascii="Book Antiqua" w:hAnsi="Book Antiqua" w:eastAsia="Book Antiqua" w:cs="Book Antiqua"/>
          <w:color w:val="000000"/>
          <w:vertAlign w:val="superscript"/>
        </w:rPr>
        <w:t>[23,27]</w:t>
      </w:r>
      <w:r>
        <w:rPr>
          <w:rFonts w:ascii="Book Antiqua" w:hAnsi="Book Antiqua" w:eastAsia="Book Antiqua" w:cs="Book Antiqua"/>
          <w:color w:val="000000"/>
        </w:rPr>
        <w:t>. After PTX, osteoclast activity is significantly reduced, while osteoblast activity remains unchanged for a short time after surgery</w:t>
      </w:r>
      <w:r>
        <w:rPr>
          <w:rFonts w:ascii="Book Antiqua" w:hAnsi="Book Antiqua" w:eastAsia="Book Antiqua" w:cs="Book Antiqua"/>
          <w:color w:val="000000"/>
          <w:vertAlign w:val="superscript"/>
        </w:rPr>
        <w:t>[28,29]</w:t>
      </w:r>
      <w:r>
        <w:rPr>
          <w:rFonts w:ascii="Book Antiqua" w:hAnsi="Book Antiqua" w:eastAsia="Book Antiqua" w:cs="Book Antiqua"/>
          <w:color w:val="000000"/>
        </w:rPr>
        <w:t>. The relative balance of bone metabolism is thus altered, inducing hypocalcemia. Therefore, high preoperative ALP levels may be an independent risk factor for SH after PTX</w:t>
      </w:r>
      <w:r>
        <w:rPr>
          <w:rFonts w:ascii="Book Antiqua" w:hAnsi="Book Antiqua" w:eastAsia="Book Antiqua" w:cs="Book Antiqua"/>
          <w:color w:val="000000"/>
          <w:vertAlign w:val="superscript"/>
        </w:rPr>
        <w:t>[11,30]</w:t>
      </w:r>
      <w:r>
        <w:rPr>
          <w:rFonts w:ascii="Book Antiqua" w:hAnsi="Book Antiqua" w:eastAsia="Book Antiqua" w:cs="Book Antiqua"/>
          <w:color w:val="000000"/>
        </w:rPr>
        <w:t>. Nevertheless, these findings remain controversial in different reports</w:t>
      </w:r>
      <w:r>
        <w:rPr>
          <w:rFonts w:ascii="Book Antiqua" w:hAnsi="Book Antiqua" w:eastAsia="Book Antiqua" w:cs="Book Antiqua"/>
          <w:color w:val="000000"/>
          <w:vertAlign w:val="superscript"/>
        </w:rPr>
        <w:t>[11,13]</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Few studies have examined the prognostic factors of hypocalcemia after PTX. As shown above, following univariable analysis, age, preoperative iPTH amounts, ALP levels, serum phosphorus concentration, calcium phosphate product, and preventive CS were significantly associated with SH after surgery; however, only preoperative iPTH levels, preoperative ALP amount, preoperative serum phosphorus levels, and preventive CS independently predicted postoperative SH in multivariable analysis.</w:t>
      </w:r>
    </w:p>
    <w:p>
      <w:pPr>
        <w:spacing w:line="360" w:lineRule="auto"/>
        <w:ind w:firstLine="240" w:firstLineChars="100"/>
        <w:jc w:val="both"/>
        <w:rPr>
          <w:rFonts w:ascii="Book Antiqua" w:hAnsi="Book Antiqua"/>
        </w:rPr>
      </w:pPr>
      <w:r>
        <w:rPr>
          <w:rFonts w:ascii="Book Antiqua" w:hAnsi="Book Antiqua" w:eastAsia="Book Antiqua" w:cs="Book Antiqua"/>
          <w:color w:val="000000"/>
        </w:rPr>
        <w:t>In this study, after preventive CS, the occurrence rates of postoperative hypocalcemia, SH, and critical hypocalcemia were all significantly decreased. The occurrence of SH was reduced from 64.1% to 31.7%, and that of critical hypocalcemia from 14.5% to 4.0%, with no life-threatening hypocalcemia. Based on the present findings, selective enforcement of preventive CS in patients with ALP ≥ 500 could significantly reduce the occurrence rates of SH and critical hypocalcemia, easing the control of hypocalcemia after TPTX as a simple and feasible tool. In high-risk patients with ALP ≥ 500 U/L, the incidence rates of postoperative hypocalcemia were 97.6% and 88.6% in the conventional and preventive CS groups, respectively, indicating a slight but not statistically significant decrease. Nevertheless, the occurrence rates of SH and critical hypocalcemia were significantly decreased by the preventive CS regimen, from 90.5% and 33.3% to 62.9% and 8.6%, respectively. Although selective enforcement of preventive CS significantly improved the calcium status of patients at high risk of hypocalcemia, the incidence of life-threatening critical hypocalcemia remained as high as 8.6%, and further investigation is warranted to develop tools to reduce this rate. In addition, applying CS or selecting subtotal PTX or TPTX combined with auto-transplantation should be studied. However, although TPTX with auto-transplantation is a more rational therapy than TPTX, some patients decline auto-transplantation mostly because of high cost. Therefore, tools should be developed to prevent hypocalcemia in such individuals.</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This study had some limitations. First, this was not a randomized trial, with differences in indications and periods for the two CS regimens. In addition, the study period was relatively short, and the sample size was small. Furthermore, as a single-center study in China, the results may not be suitable for other dialysis patients, as most patients in our center had end-stage disease with severe symptoms and delayed surgical opportunities. Furthermore, postoperative iPTH levels were not assessed in this study, although they are more important than preoperative iPTH amounts, showing an association with SH</w:t>
      </w:r>
      <w:r>
        <w:rPr>
          <w:rFonts w:ascii="Book Antiqua" w:hAnsi="Book Antiqua" w:eastAsia="Book Antiqua" w:cs="Book Antiqua"/>
          <w:color w:val="000000"/>
          <w:vertAlign w:val="superscript"/>
        </w:rPr>
        <w:t>[31]</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In conclusion, these findings suggest that preventive CS significantly reduces the occurrence rates of SH and critical hypocalcemia after TPTX for SHPT.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Total parathyroidectomy (TPTX) without auto-transplantation is an effective therapeutic option for treating secondary hyperparathyroidism. However, postoperative hypocalcemia limits its clinical application.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Identify risk factors for severe hypocalcemia (SH) after TPTX, and find efficient tools for reducing or preventing SH.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To identify risk factors for SH after TPTX and compare conventional and preventive calcium supplementation (CS) regimens for their effects on SH occurrence after TPTX.</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 xml:space="preserve">From January 2015 to May 2016, conventional CS was performed in patients who underwent TPTX, with calcium amounts adjusted according to postoperative serum calcium levels. From October 2016 to May 2018, preventive CS was performed according to preoperative alkaline phosphatase (ALP) levels. Continuous data are presented as mean ± SD and analyzed by the Student’s </w:t>
      </w:r>
      <w:r>
        <w:rPr>
          <w:rFonts w:ascii="Book Antiqua" w:hAnsi="Book Antiqua" w:eastAsia="Book Antiqua" w:cs="Book Antiqua"/>
          <w:i/>
          <w:iCs/>
          <w:color w:val="000000"/>
        </w:rPr>
        <w:t>t</w:t>
      </w:r>
      <w:r>
        <w:rPr>
          <w:rFonts w:ascii="Book Antiqua" w:hAnsi="Book Antiqua" w:eastAsia="Book Antiqua" w:cs="Book Antiqua"/>
          <w:color w:val="000000"/>
        </w:rPr>
        <w:t xml:space="preserve">-test. Categorical data are presented as numbers and percentages and analyzed using the chi-square test. Factors with </w:t>
      </w:r>
      <w:r>
        <w:rPr>
          <w:rFonts w:ascii="Book Antiqua" w:hAnsi="Book Antiqua" w:eastAsia="Book Antiqua" w:cs="Book Antiqua"/>
          <w:i/>
          <w:iCs/>
          <w:color w:val="000000"/>
        </w:rPr>
        <w:t>P</w:t>
      </w:r>
      <w:r>
        <w:rPr>
          <w:rFonts w:ascii="Book Antiqua" w:hAnsi="Book Antiqua" w:eastAsia="Book Antiqua" w:cs="Book Antiqua"/>
          <w:color w:val="000000"/>
        </w:rPr>
        <w:t xml:space="preserve"> &lt; 0.10 in univariable analysis were included in multivariable logistic regression analysis to determine the risk factors for SH.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 xml:space="preserve">A total of 271 patients were included. Compared with conventional CS, preventive CS led to lower occurrence rates of hypocalcemia within 48 h (46.0% </w:t>
      </w:r>
      <w:r>
        <w:rPr>
          <w:rFonts w:ascii="Book Antiqua" w:hAnsi="Book Antiqua" w:eastAsia="Book Antiqua" w:cs="Book Antiqua"/>
          <w:i/>
          <w:iCs/>
          <w:color w:val="000000"/>
        </w:rPr>
        <w:t>vs</w:t>
      </w:r>
      <w:r>
        <w:rPr>
          <w:rFonts w:ascii="Book Antiqua" w:hAnsi="Book Antiqua" w:eastAsia="Book Antiqua" w:cs="Book Antiqua"/>
          <w:color w:val="000000"/>
        </w:rPr>
        <w:t xml:space="preserve"> 74.5%,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and SH (31.7% </w:t>
      </w:r>
      <w:r>
        <w:rPr>
          <w:rFonts w:ascii="Book Antiqua" w:hAnsi="Book Antiqua" w:eastAsia="Book Antiqua" w:cs="Book Antiqua"/>
          <w:i/>
          <w:iCs/>
          <w:color w:val="000000"/>
        </w:rPr>
        <w:t>vs</w:t>
      </w:r>
      <w:r>
        <w:rPr>
          <w:rFonts w:ascii="Book Antiqua" w:hAnsi="Book Antiqua" w:eastAsia="Book Antiqua" w:cs="Book Antiqua"/>
          <w:color w:val="000000"/>
        </w:rPr>
        <w:t xml:space="preserve"> 64.1%,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Multivariable analysis showed that preoperative iPTH levels [odds ratio (OR) = 1.001, 95%</w:t>
      </w:r>
      <w:r>
        <w:rPr>
          <w:rFonts w:ascii="Book Antiqua" w:hAnsi="Book Antiqua" w:eastAsiaTheme="majorEastAsia"/>
        </w:rPr>
        <w:t xml:space="preserve"> confidence interval</w:t>
      </w:r>
      <w:r>
        <w:rPr>
          <w:rFonts w:ascii="Book Antiqua" w:hAnsi="Book Antiqua" w:eastAsia="Book Antiqua" w:cs="Book Antiqua"/>
          <w:color w:val="000000"/>
        </w:rPr>
        <w:t xml:space="preserve"> (CI): 1.000-1.001, </w:t>
      </w:r>
      <w:r>
        <w:rPr>
          <w:rFonts w:ascii="Book Antiqua" w:hAnsi="Book Antiqua" w:eastAsia="Book Antiqua" w:cs="Book Antiqua"/>
          <w:i/>
          <w:iCs/>
          <w:color w:val="000000"/>
        </w:rPr>
        <w:t>P</w:t>
      </w:r>
      <w:r>
        <w:rPr>
          <w:rFonts w:ascii="Book Antiqua" w:hAnsi="Book Antiqua" w:eastAsia="Book Antiqua" w:cs="Book Antiqua"/>
          <w:color w:val="000000"/>
        </w:rPr>
        <w:t xml:space="preserve"> = 0.009), preoperative ALP amounts (OR = 1.002, 95%CI: 1.001-1.003, </w:t>
      </w:r>
      <w:r>
        <w:rPr>
          <w:rFonts w:ascii="Book Antiqua" w:hAnsi="Book Antiqua" w:eastAsia="Book Antiqua" w:cs="Book Antiqua"/>
          <w:i/>
          <w:iCs/>
          <w:color w:val="000000"/>
        </w:rPr>
        <w:t>P</w:t>
      </w:r>
      <w:r>
        <w:rPr>
          <w:rFonts w:ascii="Book Antiqua" w:hAnsi="Book Antiqua" w:eastAsia="Book Antiqua" w:cs="Book Antiqua"/>
          <w:color w:val="000000"/>
        </w:rPr>
        <w:t xml:space="preserve"> = 0.002), preoperative serum phosphorus levels (OR = 8.729, 95%CI: 1.518-50.216, </w:t>
      </w:r>
      <w:r>
        <w:rPr>
          <w:rFonts w:ascii="Book Antiqua" w:hAnsi="Book Antiqua" w:eastAsia="Book Antiqua" w:cs="Book Antiqua"/>
          <w:i/>
          <w:iCs/>
          <w:color w:val="000000"/>
        </w:rPr>
        <w:t>P</w:t>
      </w:r>
      <w:r>
        <w:rPr>
          <w:rFonts w:ascii="Book Antiqua" w:hAnsi="Book Antiqua" w:eastAsia="Book Antiqua" w:cs="Book Antiqua"/>
          <w:color w:val="000000"/>
        </w:rPr>
        <w:t xml:space="preserve"> = 0.015) and preventive CS (OR = 0.132, 95%CI: 0.067-0.261,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were independently associated with SH. In patients with preoperative ALP ≥ 500 U/L, only preventive CS (OR = 0.147, 95%CI: 0.038-0.562 </w:t>
      </w:r>
      <w:r>
        <w:rPr>
          <w:rFonts w:ascii="Book Antiqua" w:hAnsi="Book Antiqua" w:eastAsia="Book Antiqua" w:cs="Book Antiqua"/>
          <w:i/>
          <w:iCs/>
          <w:color w:val="000000"/>
        </w:rPr>
        <w:t>P</w:t>
      </w:r>
      <w:r>
        <w:rPr>
          <w:rFonts w:ascii="Book Antiqua" w:hAnsi="Book Antiqua" w:eastAsia="Book Antiqua" w:cs="Book Antiqua"/>
          <w:color w:val="000000"/>
        </w:rPr>
        <w:t xml:space="preserve"> = 0.005) was independently associated with SH.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Preventive CS is an efficient tool for reducing the occurrence of SH after TPTX.</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Preventive CS could reduce the occurrence of SH after TPTX, which might contribute to the clinical application of TPTX.</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spacing w:line="360" w:lineRule="auto"/>
        <w:jc w:val="both"/>
        <w:rPr>
          <w:rFonts w:ascii="Book Antiqua" w:hAnsi="Book Antiqua"/>
        </w:rPr>
      </w:pPr>
      <w:r>
        <w:rPr>
          <w:rFonts w:ascii="Book Antiqua" w:hAnsi="Book Antiqua" w:eastAsia="Book Antiqua" w:cs="Book Antiqua"/>
          <w:color w:val="000000"/>
        </w:rPr>
        <w:t>The authors acknowledge the help of all their coworkers who contributed to this project.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Cunningham J</w:t>
      </w:r>
      <w:r>
        <w:rPr>
          <w:rFonts w:ascii="Book Antiqua" w:hAnsi="Book Antiqua"/>
        </w:rPr>
        <w:t xml:space="preserve">, Locatelli F, Rodriguez M. Secondary hyperparathyroidism: pathogenesis, disease progression, and therapeutic options. </w:t>
      </w:r>
      <w:r>
        <w:rPr>
          <w:rFonts w:ascii="Book Antiqua" w:hAnsi="Book Antiqua"/>
          <w:i/>
          <w:iCs/>
        </w:rPr>
        <w:t>Clin J Am Soc Nephrol</w:t>
      </w:r>
      <w:r>
        <w:rPr>
          <w:rFonts w:ascii="Book Antiqua" w:hAnsi="Book Antiqua"/>
        </w:rPr>
        <w:t xml:space="preserve"> 2011; </w:t>
      </w:r>
      <w:r>
        <w:rPr>
          <w:rFonts w:ascii="Book Antiqua" w:hAnsi="Book Antiqua"/>
          <w:b/>
          <w:bCs/>
        </w:rPr>
        <w:t>6</w:t>
      </w:r>
      <w:r>
        <w:rPr>
          <w:rFonts w:ascii="Book Antiqua" w:hAnsi="Book Antiqua"/>
        </w:rPr>
        <w:t>: 913-921 [PMID: 21454719 DOI: 10.2215/CJN.06040710]</w:t>
      </w:r>
    </w:p>
    <w:p>
      <w:pPr>
        <w:spacing w:line="360" w:lineRule="auto"/>
        <w:jc w:val="both"/>
        <w:rPr>
          <w:rFonts w:ascii="Book Antiqua" w:hAnsi="Book Antiqua"/>
        </w:rPr>
      </w:pPr>
      <w:r>
        <w:rPr>
          <w:rFonts w:ascii="Book Antiqua" w:hAnsi="Book Antiqua"/>
        </w:rPr>
        <w:t xml:space="preserve">2 </w:t>
      </w:r>
      <w:r>
        <w:rPr>
          <w:rFonts w:ascii="Book Antiqua" w:hAnsi="Book Antiqua"/>
          <w:b/>
          <w:bCs/>
        </w:rPr>
        <w:t>Ketteler M</w:t>
      </w:r>
      <w:r>
        <w:rPr>
          <w:rFonts w:ascii="Book Antiqua" w:hAnsi="Book Antiqua"/>
        </w:rPr>
        <w:t xml:space="preserve">, Martin KJ, Cozzolino M, Goldsmith D, Sharma A, Khan S, Dumas E, Amdahl M, Marx S, Audhya P. Paricalcitol versus cinacalcet plus low-dose vitamin D for the treatment of secondary hyperparathyroidism in patients receiving haemodialysis: study design and baseline characteristics of the IMPACT SHPT study. </w:t>
      </w:r>
      <w:r>
        <w:rPr>
          <w:rFonts w:ascii="Book Antiqua" w:hAnsi="Book Antiqua"/>
          <w:i/>
          <w:iCs/>
        </w:rPr>
        <w:t>Nephrol Dial Transplant</w:t>
      </w:r>
      <w:r>
        <w:rPr>
          <w:rFonts w:ascii="Book Antiqua" w:hAnsi="Book Antiqua"/>
        </w:rPr>
        <w:t xml:space="preserve"> 2012; </w:t>
      </w:r>
      <w:r>
        <w:rPr>
          <w:rFonts w:ascii="Book Antiqua" w:hAnsi="Book Antiqua"/>
          <w:b/>
          <w:bCs/>
        </w:rPr>
        <w:t>27</w:t>
      </w:r>
      <w:r>
        <w:rPr>
          <w:rFonts w:ascii="Book Antiqua" w:hAnsi="Book Antiqua"/>
        </w:rPr>
        <w:t>: 1942-1949 [PMID: 21931122 DOI: 10.1093/ndt/gfr531]</w:t>
      </w:r>
    </w:p>
    <w:p>
      <w:pPr>
        <w:spacing w:line="360" w:lineRule="auto"/>
        <w:jc w:val="both"/>
        <w:rPr>
          <w:rFonts w:ascii="Book Antiqua" w:hAnsi="Book Antiqua"/>
        </w:rPr>
      </w:pPr>
      <w:r>
        <w:rPr>
          <w:rFonts w:ascii="Book Antiqua" w:hAnsi="Book Antiqua"/>
        </w:rPr>
        <w:t xml:space="preserve">3 </w:t>
      </w:r>
      <w:r>
        <w:rPr>
          <w:rFonts w:ascii="Book Antiqua" w:hAnsi="Book Antiqua"/>
          <w:b/>
          <w:bCs/>
        </w:rPr>
        <w:t>Yuen NK</w:t>
      </w:r>
      <w:r>
        <w:rPr>
          <w:rFonts w:ascii="Book Antiqua" w:hAnsi="Book Antiqua"/>
        </w:rPr>
        <w:t xml:space="preserve">, Ananthakrishnan S, Campbell MJ. Hyperparathyroidism of Renal Disease. </w:t>
      </w:r>
      <w:r>
        <w:rPr>
          <w:rFonts w:ascii="Book Antiqua" w:hAnsi="Book Antiqua"/>
          <w:i/>
          <w:iCs/>
        </w:rPr>
        <w:t>Perm J</w:t>
      </w:r>
      <w:r>
        <w:rPr>
          <w:rFonts w:ascii="Book Antiqua" w:hAnsi="Book Antiqua"/>
        </w:rPr>
        <w:t xml:space="preserve"> 2016; </w:t>
      </w:r>
      <w:r>
        <w:rPr>
          <w:rFonts w:ascii="Book Antiqua" w:hAnsi="Book Antiqua"/>
          <w:b/>
          <w:bCs/>
        </w:rPr>
        <w:t>20</w:t>
      </w:r>
      <w:r>
        <w:rPr>
          <w:rFonts w:ascii="Book Antiqua" w:hAnsi="Book Antiqua"/>
        </w:rPr>
        <w:t>: 15-127 [PMID: 27479950 DOI: 10.7812/TPP/15-127]</w:t>
      </w:r>
    </w:p>
    <w:p>
      <w:pPr>
        <w:spacing w:line="360" w:lineRule="auto"/>
        <w:jc w:val="both"/>
        <w:rPr>
          <w:rFonts w:ascii="Book Antiqua" w:hAnsi="Book Antiqua"/>
        </w:rPr>
      </w:pPr>
      <w:r>
        <w:rPr>
          <w:rFonts w:ascii="Book Antiqua" w:hAnsi="Book Antiqua"/>
        </w:rPr>
        <w:t xml:space="preserve">4 </w:t>
      </w:r>
      <w:r>
        <w:rPr>
          <w:rFonts w:ascii="Book Antiqua" w:hAnsi="Book Antiqua"/>
          <w:b/>
          <w:bCs/>
        </w:rPr>
        <w:t>Ho LY</w:t>
      </w:r>
      <w:r>
        <w:rPr>
          <w:rFonts w:ascii="Book Antiqua" w:hAnsi="Book Antiqua"/>
        </w:rPr>
        <w:t xml:space="preserve">, Wong PN, Sin HK, Wong YY, Lo KC, Chan SF, Lo MW, Lo KY, Mak SK, Wong AK. Risk factors and clinical course of hungry bone syndrome after total parathyroidectomy in dialysis patients with secondary hyperparathyroidism. </w:t>
      </w:r>
      <w:r>
        <w:rPr>
          <w:rFonts w:ascii="Book Antiqua" w:hAnsi="Book Antiqua"/>
          <w:i/>
          <w:iCs/>
        </w:rPr>
        <w:t>BMC Nephrol</w:t>
      </w:r>
      <w:r>
        <w:rPr>
          <w:rFonts w:ascii="Book Antiqua" w:hAnsi="Book Antiqua"/>
        </w:rPr>
        <w:t xml:space="preserve"> 2017; </w:t>
      </w:r>
      <w:r>
        <w:rPr>
          <w:rFonts w:ascii="Book Antiqua" w:hAnsi="Book Antiqua"/>
          <w:b/>
          <w:bCs/>
        </w:rPr>
        <w:t>18</w:t>
      </w:r>
      <w:r>
        <w:rPr>
          <w:rFonts w:ascii="Book Antiqua" w:hAnsi="Book Antiqua"/>
        </w:rPr>
        <w:t>: 12 [PMID: 28073343 DOI: 10.1186/s12882-016-0421-5]</w:t>
      </w:r>
    </w:p>
    <w:p>
      <w:pPr>
        <w:spacing w:line="360" w:lineRule="auto"/>
        <w:jc w:val="both"/>
        <w:rPr>
          <w:rFonts w:ascii="Book Antiqua" w:hAnsi="Book Antiqua"/>
        </w:rPr>
      </w:pPr>
      <w:r>
        <w:rPr>
          <w:rFonts w:ascii="Book Antiqua" w:hAnsi="Book Antiqua"/>
        </w:rPr>
        <w:t xml:space="preserve">5 </w:t>
      </w:r>
      <w:r>
        <w:rPr>
          <w:rFonts w:ascii="Book Antiqua" w:hAnsi="Book Antiqua"/>
          <w:b/>
          <w:bCs/>
        </w:rPr>
        <w:t>Moldovan D</w:t>
      </w:r>
      <w:r>
        <w:rPr>
          <w:rFonts w:ascii="Book Antiqua" w:hAnsi="Book Antiqua"/>
        </w:rPr>
        <w:t xml:space="preserve">, Racasan S, Kacso IM, Rusu C, Potra A, Bondor C, Patiu IM, Gherman-Căprioară M. Survival after parathyroidectomy in chronic hemodialysis patients with severe secondary hyperparathyroidism. </w:t>
      </w:r>
      <w:r>
        <w:rPr>
          <w:rFonts w:ascii="Book Antiqua" w:hAnsi="Book Antiqua"/>
          <w:i/>
          <w:iCs/>
        </w:rPr>
        <w:t>Int Urol Nephrol</w:t>
      </w:r>
      <w:r>
        <w:rPr>
          <w:rFonts w:ascii="Book Antiqua" w:hAnsi="Book Antiqua"/>
        </w:rPr>
        <w:t xml:space="preserve"> 2015; </w:t>
      </w:r>
      <w:r>
        <w:rPr>
          <w:rFonts w:ascii="Book Antiqua" w:hAnsi="Book Antiqua"/>
          <w:b/>
          <w:bCs/>
        </w:rPr>
        <w:t>47</w:t>
      </w:r>
      <w:r>
        <w:rPr>
          <w:rFonts w:ascii="Book Antiqua" w:hAnsi="Book Antiqua"/>
        </w:rPr>
        <w:t>: 1871-1877 [PMID: 26377492 DOI: 10.1007/s11255-015-1106-x]</w:t>
      </w:r>
    </w:p>
    <w:p>
      <w:pPr>
        <w:spacing w:line="360" w:lineRule="auto"/>
        <w:jc w:val="both"/>
        <w:rPr>
          <w:rFonts w:ascii="Book Antiqua" w:hAnsi="Book Antiqua"/>
        </w:rPr>
      </w:pPr>
      <w:r>
        <w:rPr>
          <w:rFonts w:ascii="Book Antiqua" w:hAnsi="Book Antiqua"/>
        </w:rPr>
        <w:t xml:space="preserve">6 </w:t>
      </w:r>
      <w:r>
        <w:rPr>
          <w:rFonts w:ascii="Book Antiqua" w:hAnsi="Book Antiqua"/>
          <w:b/>
          <w:bCs/>
        </w:rPr>
        <w:t>Tsai WC</w:t>
      </w:r>
      <w:r>
        <w:rPr>
          <w:rFonts w:ascii="Book Antiqua" w:hAnsi="Book Antiqua"/>
        </w:rPr>
        <w:t xml:space="preserve">, Peng YS, Chiu YL, Wu HY, Pai MF, Hsu SP, Yang JY, Tung KT, Chen HY. Risk factors for severe hypocalcemia after parathyroidectomy in prevalent dialysis patients with secondary hyperparathyroidism. </w:t>
      </w:r>
      <w:r>
        <w:rPr>
          <w:rFonts w:ascii="Book Antiqua" w:hAnsi="Book Antiqua"/>
          <w:i/>
          <w:iCs/>
        </w:rPr>
        <w:t>Int Urol Nephrol</w:t>
      </w:r>
      <w:r>
        <w:rPr>
          <w:rFonts w:ascii="Book Antiqua" w:hAnsi="Book Antiqua"/>
        </w:rPr>
        <w:t xml:space="preserve"> 2015; </w:t>
      </w:r>
      <w:r>
        <w:rPr>
          <w:rFonts w:ascii="Book Antiqua" w:hAnsi="Book Antiqua"/>
          <w:b/>
          <w:bCs/>
        </w:rPr>
        <w:t>47</w:t>
      </w:r>
      <w:r>
        <w:rPr>
          <w:rFonts w:ascii="Book Antiqua" w:hAnsi="Book Antiqua"/>
        </w:rPr>
        <w:t>: 1203-1207 [PMID: 26025063 DOI: 10.1007/s11255-015-1016-y]</w:t>
      </w:r>
    </w:p>
    <w:p>
      <w:pPr>
        <w:spacing w:line="360" w:lineRule="auto"/>
        <w:jc w:val="both"/>
        <w:rPr>
          <w:rFonts w:ascii="Book Antiqua" w:hAnsi="Book Antiqua"/>
        </w:rPr>
      </w:pPr>
      <w:r>
        <w:rPr>
          <w:rFonts w:ascii="Book Antiqua" w:hAnsi="Book Antiqua"/>
        </w:rPr>
        <w:t xml:space="preserve">7 </w:t>
      </w:r>
      <w:r>
        <w:rPr>
          <w:rFonts w:ascii="Book Antiqua" w:hAnsi="Book Antiqua"/>
          <w:b/>
          <w:bCs/>
        </w:rPr>
        <w:t>Tominaga Y</w:t>
      </w:r>
      <w:r>
        <w:rPr>
          <w:rFonts w:ascii="Book Antiqua" w:hAnsi="Book Antiqua"/>
        </w:rPr>
        <w:t xml:space="preserve">, Uchida K, Haba T, Katayama A, Sato T, Hibi Y, Numano M, Tanaka Y, Inagaki H, Watanabe I, Hachisuka T, Takagi H. More than 1,000 cases of total parathyroidectomy with forearm autograft for renal hyperparathyroidism. </w:t>
      </w:r>
      <w:r>
        <w:rPr>
          <w:rFonts w:ascii="Book Antiqua" w:hAnsi="Book Antiqua"/>
          <w:i/>
          <w:iCs/>
        </w:rPr>
        <w:t>Am J Kidney Dis</w:t>
      </w:r>
      <w:r>
        <w:rPr>
          <w:rFonts w:ascii="Book Antiqua" w:hAnsi="Book Antiqua"/>
        </w:rPr>
        <w:t xml:space="preserve"> 2001; </w:t>
      </w:r>
      <w:r>
        <w:rPr>
          <w:rFonts w:ascii="Book Antiqua" w:hAnsi="Book Antiqua"/>
          <w:b/>
          <w:bCs/>
        </w:rPr>
        <w:t>38</w:t>
      </w:r>
      <w:r>
        <w:rPr>
          <w:rFonts w:ascii="Book Antiqua" w:hAnsi="Book Antiqua"/>
        </w:rPr>
        <w:t>: S168-S171 [PMID: 11576947 DOI: 10.1053/ajkd.2001.27432]</w:t>
      </w:r>
    </w:p>
    <w:p>
      <w:pPr>
        <w:spacing w:line="360" w:lineRule="auto"/>
        <w:jc w:val="both"/>
        <w:rPr>
          <w:rFonts w:ascii="Book Antiqua" w:hAnsi="Book Antiqua"/>
        </w:rPr>
      </w:pPr>
      <w:r>
        <w:rPr>
          <w:rFonts w:ascii="Book Antiqua" w:hAnsi="Book Antiqua"/>
        </w:rPr>
        <w:t xml:space="preserve">8 </w:t>
      </w:r>
      <w:r>
        <w:rPr>
          <w:rFonts w:ascii="Book Antiqua" w:hAnsi="Book Antiqua"/>
          <w:b/>
          <w:bCs/>
        </w:rPr>
        <w:t>Tominaga Y</w:t>
      </w:r>
      <w:r>
        <w:rPr>
          <w:rFonts w:ascii="Book Antiqua" w:hAnsi="Book Antiqua"/>
        </w:rPr>
        <w:t xml:space="preserve">, Numano M, Tanaka Y, Uchida K, Takagi H. Surgical treatment of renal hyperparathyroidism. </w:t>
      </w:r>
      <w:r>
        <w:rPr>
          <w:rFonts w:ascii="Book Antiqua" w:hAnsi="Book Antiqua"/>
          <w:i/>
          <w:iCs/>
        </w:rPr>
        <w:t>Semin Surg Oncol</w:t>
      </w:r>
      <w:r>
        <w:rPr>
          <w:rFonts w:ascii="Book Antiqua" w:hAnsi="Book Antiqua"/>
        </w:rPr>
        <w:t xml:space="preserve"> 1997; </w:t>
      </w:r>
      <w:r>
        <w:rPr>
          <w:rFonts w:ascii="Book Antiqua" w:hAnsi="Book Antiqua"/>
          <w:b/>
          <w:bCs/>
        </w:rPr>
        <w:t>13</w:t>
      </w:r>
      <w:r>
        <w:rPr>
          <w:rFonts w:ascii="Book Antiqua" w:hAnsi="Book Antiqua"/>
        </w:rPr>
        <w:t>: 87-96 [PMID: 9088064 DOI: 10.1002/(sici)1098-2388(199703/04)13:2&lt;87::aid-ssu4&gt;3.0.co;2-y]</w:t>
      </w:r>
    </w:p>
    <w:p>
      <w:pPr>
        <w:spacing w:line="360" w:lineRule="auto"/>
        <w:jc w:val="both"/>
        <w:rPr>
          <w:rFonts w:ascii="Book Antiqua" w:hAnsi="Book Antiqua"/>
        </w:rPr>
      </w:pPr>
      <w:r>
        <w:rPr>
          <w:rFonts w:ascii="Book Antiqua" w:hAnsi="Book Antiqua"/>
        </w:rPr>
        <w:t xml:space="preserve">9 </w:t>
      </w:r>
      <w:r>
        <w:rPr>
          <w:rFonts w:ascii="Book Antiqua" w:hAnsi="Book Antiqua"/>
          <w:b/>
          <w:bCs/>
        </w:rPr>
        <w:t>Park JH</w:t>
      </w:r>
      <w:r>
        <w:rPr>
          <w:rFonts w:ascii="Book Antiqua" w:hAnsi="Book Antiqua"/>
        </w:rPr>
        <w:t xml:space="preserve">, Kang SW, Jeong JJ, Nam KH, Chang HS, Chung WY, Park CS. Surgical treatment of tertiary hyperparathyroidism after renal transplantation: a 31-year experience in a single institution. </w:t>
      </w:r>
      <w:r>
        <w:rPr>
          <w:rFonts w:ascii="Book Antiqua" w:hAnsi="Book Antiqua"/>
          <w:i/>
          <w:iCs/>
        </w:rPr>
        <w:t>Endocr J</w:t>
      </w:r>
      <w:r>
        <w:rPr>
          <w:rFonts w:ascii="Book Antiqua" w:hAnsi="Book Antiqua"/>
        </w:rPr>
        <w:t xml:space="preserve"> 2011; </w:t>
      </w:r>
      <w:r>
        <w:rPr>
          <w:rFonts w:ascii="Book Antiqua" w:hAnsi="Book Antiqua"/>
          <w:b/>
          <w:bCs/>
        </w:rPr>
        <w:t>58</w:t>
      </w:r>
      <w:r>
        <w:rPr>
          <w:rFonts w:ascii="Book Antiqua" w:hAnsi="Book Antiqua"/>
        </w:rPr>
        <w:t>: 827-833 [PMID: 21804261 DOI: 10.1507/endocrj.ej11-0053]</w:t>
      </w:r>
    </w:p>
    <w:p>
      <w:pPr>
        <w:spacing w:line="360" w:lineRule="auto"/>
        <w:jc w:val="both"/>
        <w:rPr>
          <w:rFonts w:ascii="Book Antiqua" w:hAnsi="Book Antiqua"/>
        </w:rPr>
      </w:pPr>
      <w:r>
        <w:rPr>
          <w:rFonts w:ascii="Book Antiqua" w:hAnsi="Book Antiqua"/>
        </w:rPr>
        <w:t xml:space="preserve">10 </w:t>
      </w:r>
      <w:r>
        <w:rPr>
          <w:rFonts w:ascii="Book Antiqua" w:hAnsi="Book Antiqua"/>
          <w:b/>
          <w:bCs/>
        </w:rPr>
        <w:t>Sun X</w:t>
      </w:r>
      <w:r>
        <w:rPr>
          <w:rFonts w:ascii="Book Antiqua" w:hAnsi="Book Antiqua"/>
        </w:rPr>
        <w:t xml:space="preserve">, Zhang X, Lu Y, Zhang L, Yang M. Risk factors for severe hypocalcemia after parathyroidectomy in dialysis patients with secondary hyperparathyroidism. </w:t>
      </w:r>
      <w:r>
        <w:rPr>
          <w:rFonts w:ascii="Book Antiqua" w:hAnsi="Book Antiqua"/>
          <w:i/>
          <w:iCs/>
        </w:rPr>
        <w:t>Sci Rep</w:t>
      </w:r>
      <w:r>
        <w:rPr>
          <w:rFonts w:ascii="Book Antiqua" w:hAnsi="Book Antiqua"/>
        </w:rPr>
        <w:t xml:space="preserve"> 2018; </w:t>
      </w:r>
      <w:r>
        <w:rPr>
          <w:rFonts w:ascii="Book Antiqua" w:hAnsi="Book Antiqua"/>
          <w:b/>
          <w:bCs/>
        </w:rPr>
        <w:t>8</w:t>
      </w:r>
      <w:r>
        <w:rPr>
          <w:rFonts w:ascii="Book Antiqua" w:hAnsi="Book Antiqua"/>
        </w:rPr>
        <w:t>: 7743 [PMID: 29773914 DOI: 10.1038/s41598-018-26142-9]</w:t>
      </w:r>
    </w:p>
    <w:p>
      <w:pPr>
        <w:spacing w:line="360" w:lineRule="auto"/>
        <w:jc w:val="both"/>
        <w:rPr>
          <w:rFonts w:ascii="Book Antiqua" w:hAnsi="Book Antiqua"/>
        </w:rPr>
      </w:pPr>
      <w:r>
        <w:rPr>
          <w:rFonts w:ascii="Book Antiqua" w:hAnsi="Book Antiqua"/>
        </w:rPr>
        <w:t xml:space="preserve">11 </w:t>
      </w:r>
      <w:r>
        <w:rPr>
          <w:rFonts w:ascii="Book Antiqua" w:hAnsi="Book Antiqua"/>
          <w:b/>
          <w:bCs/>
        </w:rPr>
        <w:t>Yang M</w:t>
      </w:r>
      <w:r>
        <w:rPr>
          <w:rFonts w:ascii="Book Antiqua" w:hAnsi="Book Antiqua"/>
        </w:rPr>
        <w:t xml:space="preserve">, Zhang L, Huang L, Sun X, Ji H, Lu Y. Factors predictive of critical value of hypocalcemia after total parathyroidectomy without autotransplantation in patients with secondary hyperparathyroidism. </w:t>
      </w:r>
      <w:r>
        <w:rPr>
          <w:rFonts w:ascii="Book Antiqua" w:hAnsi="Book Antiqua"/>
          <w:i/>
          <w:iCs/>
        </w:rPr>
        <w:t>Ren Fail</w:t>
      </w:r>
      <w:r>
        <w:rPr>
          <w:rFonts w:ascii="Book Antiqua" w:hAnsi="Book Antiqua"/>
        </w:rPr>
        <w:t xml:space="preserve"> 2016; </w:t>
      </w:r>
      <w:r>
        <w:rPr>
          <w:rFonts w:ascii="Book Antiqua" w:hAnsi="Book Antiqua"/>
          <w:b/>
          <w:bCs/>
        </w:rPr>
        <w:t>38</w:t>
      </w:r>
      <w:r>
        <w:rPr>
          <w:rFonts w:ascii="Book Antiqua" w:hAnsi="Book Antiqua"/>
        </w:rPr>
        <w:t>: 1224-1227 [PMID: 27359159 DOI: 10.1080/0886022X.2016.1202731]</w:t>
      </w:r>
    </w:p>
    <w:p>
      <w:pPr>
        <w:spacing w:line="360" w:lineRule="auto"/>
        <w:jc w:val="both"/>
        <w:rPr>
          <w:rFonts w:ascii="Book Antiqua" w:hAnsi="Book Antiqua"/>
        </w:rPr>
      </w:pPr>
      <w:r>
        <w:rPr>
          <w:rFonts w:ascii="Book Antiqua" w:hAnsi="Book Antiqua"/>
        </w:rPr>
        <w:t xml:space="preserve">12 </w:t>
      </w:r>
      <w:r>
        <w:rPr>
          <w:rFonts w:ascii="Book Antiqua" w:hAnsi="Book Antiqua"/>
          <w:b/>
          <w:bCs/>
        </w:rPr>
        <w:t>Strickland PL</w:t>
      </w:r>
      <w:r>
        <w:rPr>
          <w:rFonts w:ascii="Book Antiqua" w:hAnsi="Book Antiqua"/>
        </w:rPr>
        <w:t xml:space="preserve">, Recabaren J. Are preoperative serum calcium, parathyroid hormone, and adenoma weight predictive of postoperative hypocalcemia? </w:t>
      </w:r>
      <w:r>
        <w:rPr>
          <w:rFonts w:ascii="Book Antiqua" w:hAnsi="Book Antiqua"/>
          <w:i/>
          <w:iCs/>
        </w:rPr>
        <w:t>Am Surg</w:t>
      </w:r>
      <w:r>
        <w:rPr>
          <w:rFonts w:ascii="Book Antiqua" w:hAnsi="Book Antiqua"/>
        </w:rPr>
        <w:t xml:space="preserve"> 2002; </w:t>
      </w:r>
      <w:r>
        <w:rPr>
          <w:rFonts w:ascii="Book Antiqua" w:hAnsi="Book Antiqua"/>
          <w:b/>
          <w:bCs/>
        </w:rPr>
        <w:t>68</w:t>
      </w:r>
      <w:r>
        <w:rPr>
          <w:rFonts w:ascii="Book Antiqua" w:hAnsi="Book Antiqua"/>
        </w:rPr>
        <w:t>: 1080-1082 [PMID: 12516813]</w:t>
      </w:r>
    </w:p>
    <w:p>
      <w:pPr>
        <w:spacing w:line="360" w:lineRule="auto"/>
        <w:jc w:val="both"/>
        <w:rPr>
          <w:rFonts w:ascii="Book Antiqua" w:hAnsi="Book Antiqua"/>
        </w:rPr>
      </w:pPr>
      <w:r>
        <w:rPr>
          <w:rFonts w:ascii="Book Antiqua" w:hAnsi="Book Antiqua"/>
        </w:rPr>
        <w:t xml:space="preserve">13 </w:t>
      </w:r>
      <w:r>
        <w:rPr>
          <w:rFonts w:ascii="Book Antiqua" w:hAnsi="Book Antiqua"/>
          <w:b/>
          <w:bCs/>
        </w:rPr>
        <w:t>Torer N</w:t>
      </w:r>
      <w:r>
        <w:rPr>
          <w:rFonts w:ascii="Book Antiqua" w:hAnsi="Book Antiqua"/>
        </w:rPr>
        <w:t xml:space="preserve">, Torun D, Torer N, Micozkadioglu H, Noyan T, Ozdemir FN, Haberal M. Predictors of early postoperative hypocalcemia in hemodialysis patients with secondary hyperparathyroidism. </w:t>
      </w:r>
      <w:r>
        <w:rPr>
          <w:rFonts w:ascii="Book Antiqua" w:hAnsi="Book Antiqua"/>
          <w:i/>
          <w:iCs/>
        </w:rPr>
        <w:t>Transplant Proc</w:t>
      </w:r>
      <w:r>
        <w:rPr>
          <w:rFonts w:ascii="Book Antiqua" w:hAnsi="Book Antiqua"/>
        </w:rPr>
        <w:t xml:space="preserve"> 2009; </w:t>
      </w:r>
      <w:r>
        <w:rPr>
          <w:rFonts w:ascii="Book Antiqua" w:hAnsi="Book Antiqua"/>
          <w:b/>
          <w:bCs/>
        </w:rPr>
        <w:t>41</w:t>
      </w:r>
      <w:r>
        <w:rPr>
          <w:rFonts w:ascii="Book Antiqua" w:hAnsi="Book Antiqua"/>
        </w:rPr>
        <w:t>: 3642-3646 [PMID: 19917359 DOI: 10.1016/j.transproceed.2009.06.207]</w:t>
      </w:r>
    </w:p>
    <w:p>
      <w:pPr>
        <w:spacing w:line="360" w:lineRule="auto"/>
        <w:jc w:val="both"/>
        <w:rPr>
          <w:rFonts w:ascii="Book Antiqua" w:hAnsi="Book Antiqua"/>
        </w:rPr>
      </w:pPr>
      <w:r>
        <w:rPr>
          <w:rFonts w:ascii="Book Antiqua" w:hAnsi="Book Antiqua"/>
        </w:rPr>
        <w:t xml:space="preserve">14 </w:t>
      </w:r>
      <w:r>
        <w:rPr>
          <w:rFonts w:ascii="Book Antiqua" w:hAnsi="Book Antiqua"/>
          <w:b/>
          <w:bCs/>
        </w:rPr>
        <w:t>Goldfarb M</w:t>
      </w:r>
      <w:r>
        <w:rPr>
          <w:rFonts w:ascii="Book Antiqua" w:hAnsi="Book Antiqua"/>
        </w:rPr>
        <w:t xml:space="preserve">, Gondek SS, Lim SM, Farra JC, Nose V, Lew JI. Postoperative hungry bone syndrome in patients with secondary hyperparathyroidism of renal origin. </w:t>
      </w:r>
      <w:r>
        <w:rPr>
          <w:rFonts w:ascii="Book Antiqua" w:hAnsi="Book Antiqua"/>
          <w:i/>
          <w:iCs/>
        </w:rPr>
        <w:t>World J Surg</w:t>
      </w:r>
      <w:r>
        <w:rPr>
          <w:rFonts w:ascii="Book Antiqua" w:hAnsi="Book Antiqua"/>
        </w:rPr>
        <w:t xml:space="preserve"> 2012; </w:t>
      </w:r>
      <w:r>
        <w:rPr>
          <w:rFonts w:ascii="Book Antiqua" w:hAnsi="Book Antiqua"/>
          <w:b/>
          <w:bCs/>
        </w:rPr>
        <w:t>36</w:t>
      </w:r>
      <w:r>
        <w:rPr>
          <w:rFonts w:ascii="Book Antiqua" w:hAnsi="Book Antiqua"/>
        </w:rPr>
        <w:t>: 1314-1319 [PMID: 22399154 DOI: 10.1007/s00268-012-1560-x]</w:t>
      </w:r>
    </w:p>
    <w:p>
      <w:pPr>
        <w:spacing w:line="360" w:lineRule="auto"/>
        <w:jc w:val="both"/>
        <w:rPr>
          <w:rFonts w:ascii="Book Antiqua" w:hAnsi="Book Antiqua"/>
        </w:rPr>
      </w:pPr>
      <w:r>
        <w:rPr>
          <w:rFonts w:ascii="Book Antiqua" w:hAnsi="Book Antiqua"/>
        </w:rPr>
        <w:t xml:space="preserve">15 </w:t>
      </w:r>
      <w:r>
        <w:rPr>
          <w:rFonts w:ascii="Book Antiqua" w:hAnsi="Book Antiqua"/>
          <w:b/>
          <w:bCs/>
        </w:rPr>
        <w:t>Viaene L</w:t>
      </w:r>
      <w:r>
        <w:rPr>
          <w:rFonts w:ascii="Book Antiqua" w:hAnsi="Book Antiqua"/>
        </w:rPr>
        <w:t xml:space="preserve">, Evenepoel P, Bammens B, Claes K, Kuypers D, Vanrenterghem Y. Calcium requirements after parathyroidectomy in patients with refractory secondary hyperparathyroidism. </w:t>
      </w:r>
      <w:r>
        <w:rPr>
          <w:rFonts w:ascii="Book Antiqua" w:hAnsi="Book Antiqua"/>
          <w:i/>
          <w:iCs/>
        </w:rPr>
        <w:t>Nephron Clin Pract</w:t>
      </w:r>
      <w:r>
        <w:rPr>
          <w:rFonts w:ascii="Book Antiqua" w:hAnsi="Book Antiqua"/>
        </w:rPr>
        <w:t xml:space="preserve"> 2008; </w:t>
      </w:r>
      <w:r>
        <w:rPr>
          <w:rFonts w:ascii="Book Antiqua" w:hAnsi="Book Antiqua"/>
          <w:b/>
          <w:bCs/>
        </w:rPr>
        <w:t>110</w:t>
      </w:r>
      <w:r>
        <w:rPr>
          <w:rFonts w:ascii="Book Antiqua" w:hAnsi="Book Antiqua"/>
        </w:rPr>
        <w:t>: c80-c85 [PMID: 18758187 DOI: 10.1159/000151722]</w:t>
      </w:r>
    </w:p>
    <w:p>
      <w:pPr>
        <w:spacing w:line="360" w:lineRule="auto"/>
        <w:jc w:val="both"/>
        <w:rPr>
          <w:rFonts w:ascii="Book Antiqua" w:hAnsi="Book Antiqua"/>
        </w:rPr>
      </w:pPr>
      <w:r>
        <w:rPr>
          <w:rFonts w:ascii="Book Antiqua" w:hAnsi="Book Antiqua"/>
        </w:rPr>
        <w:t xml:space="preserve">16 </w:t>
      </w:r>
      <w:r>
        <w:rPr>
          <w:rFonts w:ascii="Book Antiqua" w:hAnsi="Book Antiqua"/>
          <w:b/>
          <w:bCs/>
        </w:rPr>
        <w:t>Kang BH</w:t>
      </w:r>
      <w:r>
        <w:rPr>
          <w:rFonts w:ascii="Book Antiqua" w:hAnsi="Book Antiqua"/>
        </w:rPr>
        <w:t xml:space="preserve">, Hwang SY, Kim JY, Hong YA, Jung MY, Lee EA, Lee JE, Lee JB, Ko GJ, Pyo HJ, Kwon YJ. Predicting postoperative total calcium requirements after parathyroidectomy in secondary hyperparathyroidism. </w:t>
      </w:r>
      <w:r>
        <w:rPr>
          <w:rFonts w:ascii="Book Antiqua" w:hAnsi="Book Antiqua"/>
          <w:i/>
          <w:iCs/>
        </w:rPr>
        <w:t>Korean J Intern Med</w:t>
      </w:r>
      <w:r>
        <w:rPr>
          <w:rFonts w:ascii="Book Antiqua" w:hAnsi="Book Antiqua"/>
        </w:rPr>
        <w:t xml:space="preserve"> 2015; </w:t>
      </w:r>
      <w:r>
        <w:rPr>
          <w:rFonts w:ascii="Book Antiqua" w:hAnsi="Book Antiqua"/>
          <w:b/>
          <w:bCs/>
        </w:rPr>
        <w:t>30</w:t>
      </w:r>
      <w:r>
        <w:rPr>
          <w:rFonts w:ascii="Book Antiqua" w:hAnsi="Book Antiqua"/>
        </w:rPr>
        <w:t>: 856-864 [PMID: 26552461 DOI: 10.3904/kjim.2015.30.6.856]</w:t>
      </w:r>
    </w:p>
    <w:p>
      <w:pPr>
        <w:spacing w:line="360" w:lineRule="auto"/>
        <w:jc w:val="both"/>
        <w:rPr>
          <w:rFonts w:ascii="Book Antiqua" w:hAnsi="Book Antiqua"/>
        </w:rPr>
      </w:pPr>
      <w:r>
        <w:rPr>
          <w:rFonts w:ascii="Book Antiqua" w:hAnsi="Book Antiqua"/>
        </w:rPr>
        <w:t xml:space="preserve">17 </w:t>
      </w:r>
      <w:r>
        <w:rPr>
          <w:rFonts w:ascii="Book Antiqua" w:hAnsi="Book Antiqua"/>
          <w:b/>
          <w:bCs/>
        </w:rPr>
        <w:t>Goh BL</w:t>
      </w:r>
      <w:r>
        <w:rPr>
          <w:rFonts w:ascii="Book Antiqua" w:hAnsi="Book Antiqua"/>
        </w:rPr>
        <w:t xml:space="preserve">, Yudisthra MG, Hisham AN. Alkaline phosphatase predicts calcium requirements after total parathyroidectomy in patients receiving dialysis. </w:t>
      </w:r>
      <w:r>
        <w:rPr>
          <w:rFonts w:ascii="Book Antiqua" w:hAnsi="Book Antiqua"/>
          <w:i/>
          <w:iCs/>
        </w:rPr>
        <w:t>Br J Surg</w:t>
      </w:r>
      <w:r>
        <w:rPr>
          <w:rFonts w:ascii="Book Antiqua" w:hAnsi="Book Antiqua"/>
        </w:rPr>
        <w:t xml:space="preserve"> 2010; </w:t>
      </w:r>
      <w:r>
        <w:rPr>
          <w:rFonts w:ascii="Book Antiqua" w:hAnsi="Book Antiqua"/>
          <w:b/>
          <w:bCs/>
        </w:rPr>
        <w:t>97</w:t>
      </w:r>
      <w:r>
        <w:rPr>
          <w:rFonts w:ascii="Book Antiqua" w:hAnsi="Book Antiqua"/>
        </w:rPr>
        <w:t>: 185-188 [PMID: 20035536 DOI: 10.1002/bjs.6818]</w:t>
      </w:r>
    </w:p>
    <w:p>
      <w:pPr>
        <w:spacing w:line="360" w:lineRule="auto"/>
        <w:jc w:val="both"/>
        <w:rPr>
          <w:rFonts w:ascii="Book Antiqua" w:hAnsi="Book Antiqua"/>
        </w:rPr>
      </w:pPr>
      <w:r>
        <w:rPr>
          <w:rFonts w:ascii="Book Antiqua" w:hAnsi="Book Antiqua"/>
        </w:rPr>
        <w:t xml:space="preserve">18 </w:t>
      </w:r>
      <w:r>
        <w:rPr>
          <w:rFonts w:ascii="Book Antiqua" w:hAnsi="Book Antiqua"/>
          <w:b/>
          <w:bCs/>
        </w:rPr>
        <w:t>Fraser WD</w:t>
      </w:r>
      <w:r>
        <w:rPr>
          <w:rFonts w:ascii="Book Antiqua" w:hAnsi="Book Antiqua"/>
        </w:rPr>
        <w:t xml:space="preserve">. Hyperparathyroidism. </w:t>
      </w:r>
      <w:r>
        <w:rPr>
          <w:rFonts w:ascii="Book Antiqua" w:hAnsi="Book Antiqua"/>
          <w:i/>
          <w:iCs/>
        </w:rPr>
        <w:t>Lancet</w:t>
      </w:r>
      <w:r>
        <w:rPr>
          <w:rFonts w:ascii="Book Antiqua" w:hAnsi="Book Antiqua"/>
        </w:rPr>
        <w:t xml:space="preserve"> 2009; </w:t>
      </w:r>
      <w:r>
        <w:rPr>
          <w:rFonts w:ascii="Book Antiqua" w:hAnsi="Book Antiqua"/>
          <w:b/>
          <w:bCs/>
        </w:rPr>
        <w:t>374</w:t>
      </w:r>
      <w:r>
        <w:rPr>
          <w:rFonts w:ascii="Book Antiqua" w:hAnsi="Book Antiqua"/>
        </w:rPr>
        <w:t>: 145-158 [PMID: 19595349 DOI: 10.1016/S0140-6736(09)60507-9]</w:t>
      </w:r>
    </w:p>
    <w:p>
      <w:pPr>
        <w:spacing w:line="360" w:lineRule="auto"/>
        <w:jc w:val="both"/>
        <w:rPr>
          <w:rFonts w:ascii="Book Antiqua" w:hAnsi="Book Antiqua"/>
        </w:rPr>
      </w:pPr>
      <w:r>
        <w:rPr>
          <w:rFonts w:ascii="Book Antiqua" w:hAnsi="Book Antiqua"/>
        </w:rPr>
        <w:t xml:space="preserve">19 Erratum: Kidney Disease: Improving Global Outcomes (KDIGO) CKD-MBD Update Work Group. KDIGO 2017 Clinical Practice Guideline Update for the Diagnosis, Evaluation, Prevention, and Treatment of Chronic Kidney Disease-Mineral and Bone Disorder (CKD-MBD). </w:t>
      </w:r>
      <w:r>
        <w:rPr>
          <w:rFonts w:ascii="Book Antiqua" w:hAnsi="Book Antiqua"/>
          <w:i/>
          <w:iCs/>
        </w:rPr>
        <w:t>Kidney Int Suppl</w:t>
      </w:r>
      <w:r>
        <w:rPr>
          <w:rFonts w:ascii="Book Antiqua" w:hAnsi="Book Antiqua"/>
        </w:rPr>
        <w:t xml:space="preserve">. 2017; 7: 1-59. </w:t>
      </w:r>
      <w:r>
        <w:rPr>
          <w:rFonts w:ascii="Book Antiqua" w:hAnsi="Book Antiqua"/>
          <w:i/>
          <w:iCs/>
        </w:rPr>
        <w:t>Kidney Int Suppl (2011)</w:t>
      </w:r>
      <w:r>
        <w:rPr>
          <w:rFonts w:ascii="Book Antiqua" w:hAnsi="Book Antiqua"/>
        </w:rPr>
        <w:t xml:space="preserve"> 2017; </w:t>
      </w:r>
      <w:r>
        <w:rPr>
          <w:rFonts w:ascii="Book Antiqua" w:hAnsi="Book Antiqua"/>
          <w:b/>
          <w:bCs/>
        </w:rPr>
        <w:t>7</w:t>
      </w:r>
      <w:r>
        <w:rPr>
          <w:rFonts w:ascii="Book Antiqua" w:hAnsi="Book Antiqua"/>
        </w:rPr>
        <w:t>: e1 [PMID: 30681074 DOI: 10.1016/j.kisu.2017.10.001]</w:t>
      </w:r>
    </w:p>
    <w:p>
      <w:pPr>
        <w:spacing w:line="360" w:lineRule="auto"/>
        <w:jc w:val="both"/>
        <w:rPr>
          <w:rFonts w:ascii="Book Antiqua" w:hAnsi="Book Antiqua"/>
        </w:rPr>
      </w:pPr>
      <w:r>
        <w:rPr>
          <w:rFonts w:ascii="Book Antiqua" w:hAnsi="Book Antiqua"/>
        </w:rPr>
        <w:t xml:space="preserve">20 </w:t>
      </w:r>
      <w:r>
        <w:rPr>
          <w:rFonts w:ascii="Book Antiqua" w:hAnsi="Book Antiqua"/>
          <w:b/>
          <w:bCs/>
        </w:rPr>
        <w:t>Mittendorf EA</w:t>
      </w:r>
      <w:r>
        <w:rPr>
          <w:rFonts w:ascii="Book Antiqua" w:hAnsi="Book Antiqua"/>
        </w:rPr>
        <w:t xml:space="preserve">, Merlino JI, McHenry CR. Post-parathyroidectomy hypocalcemia: incidence, risk factors, and management. </w:t>
      </w:r>
      <w:r>
        <w:rPr>
          <w:rFonts w:ascii="Book Antiqua" w:hAnsi="Book Antiqua"/>
          <w:i/>
          <w:iCs/>
        </w:rPr>
        <w:t>Am Surg</w:t>
      </w:r>
      <w:r>
        <w:rPr>
          <w:rFonts w:ascii="Book Antiqua" w:hAnsi="Book Antiqua"/>
        </w:rPr>
        <w:t xml:space="preserve"> 2004; </w:t>
      </w:r>
      <w:r>
        <w:rPr>
          <w:rFonts w:ascii="Book Antiqua" w:hAnsi="Book Antiqua"/>
          <w:b/>
          <w:bCs/>
        </w:rPr>
        <w:t>70</w:t>
      </w:r>
      <w:r>
        <w:rPr>
          <w:rFonts w:ascii="Book Antiqua" w:hAnsi="Book Antiqua"/>
        </w:rPr>
        <w:t>: 114-9; discussion 119-20 [PMID: 15011912]</w:t>
      </w:r>
    </w:p>
    <w:p>
      <w:pPr>
        <w:spacing w:line="360" w:lineRule="auto"/>
        <w:jc w:val="both"/>
        <w:rPr>
          <w:rFonts w:ascii="Book Antiqua" w:hAnsi="Book Antiqua"/>
        </w:rPr>
      </w:pPr>
      <w:r>
        <w:rPr>
          <w:rFonts w:ascii="Book Antiqua" w:hAnsi="Book Antiqua"/>
        </w:rPr>
        <w:t xml:space="preserve">21 </w:t>
      </w:r>
      <w:r>
        <w:rPr>
          <w:rFonts w:ascii="Book Antiqua" w:hAnsi="Book Antiqua"/>
          <w:b/>
          <w:bCs/>
        </w:rPr>
        <w:t>Stewart ZA</w:t>
      </w:r>
      <w:r>
        <w:rPr>
          <w:rFonts w:ascii="Book Antiqua" w:hAnsi="Book Antiqua"/>
        </w:rPr>
        <w:t xml:space="preserve">, Blackford A, Somervell H, Friedman K, Garrett-Mayer E, Dackiw AP, Zeiger MA. 25-hydroxyvitamin D deficiency is a risk factor for symptoms of postoperative hypocalcemia and secondary hyperparathyroidism after minimally invasive parathyroidectomy. </w:t>
      </w:r>
      <w:r>
        <w:rPr>
          <w:rFonts w:ascii="Book Antiqua" w:hAnsi="Book Antiqua"/>
          <w:i/>
          <w:iCs/>
        </w:rPr>
        <w:t>Surgery</w:t>
      </w:r>
      <w:r>
        <w:rPr>
          <w:rFonts w:ascii="Book Antiqua" w:hAnsi="Book Antiqua"/>
        </w:rPr>
        <w:t xml:space="preserve"> 2005; </w:t>
      </w:r>
      <w:r>
        <w:rPr>
          <w:rFonts w:ascii="Book Antiqua" w:hAnsi="Book Antiqua"/>
          <w:b/>
          <w:bCs/>
        </w:rPr>
        <w:t>138</w:t>
      </w:r>
      <w:r>
        <w:rPr>
          <w:rFonts w:ascii="Book Antiqua" w:hAnsi="Book Antiqua"/>
        </w:rPr>
        <w:t>: 1018-25; discussion 1025-6 [PMID: 16360386 DOI: 10.1016/j.surg.2005.09.018]</w:t>
      </w:r>
    </w:p>
    <w:p>
      <w:pPr>
        <w:spacing w:line="360" w:lineRule="auto"/>
        <w:jc w:val="both"/>
        <w:rPr>
          <w:rFonts w:ascii="Book Antiqua" w:hAnsi="Book Antiqua"/>
        </w:rPr>
      </w:pPr>
      <w:r>
        <w:rPr>
          <w:rFonts w:ascii="Book Antiqua" w:hAnsi="Book Antiqua"/>
        </w:rPr>
        <w:t xml:space="preserve">22 </w:t>
      </w:r>
      <w:r>
        <w:rPr>
          <w:rFonts w:ascii="Book Antiqua" w:hAnsi="Book Antiqua"/>
          <w:b/>
          <w:bCs/>
        </w:rPr>
        <w:t>Li JG</w:t>
      </w:r>
      <w:r>
        <w:rPr>
          <w:rFonts w:ascii="Book Antiqua" w:hAnsi="Book Antiqua"/>
        </w:rPr>
        <w:t xml:space="preserve">, Xiao ZS, Hu XJ, Li Y, Zhang X, Zhang SZ, Shan AQ. Total parathyroidectomy with forearm auto-transplantation improves the quality of life and reduces the recurrence of secondary hyperparathyroidism in chronic kidney disease patients. </w:t>
      </w:r>
      <w:r>
        <w:rPr>
          <w:rFonts w:ascii="Book Antiqua" w:hAnsi="Book Antiqua"/>
          <w:i/>
          <w:iCs/>
        </w:rPr>
        <w:t>Medicine (Baltimore)</w:t>
      </w:r>
      <w:r>
        <w:rPr>
          <w:rFonts w:ascii="Book Antiqua" w:hAnsi="Book Antiqua"/>
        </w:rPr>
        <w:t xml:space="preserve"> 2017; </w:t>
      </w:r>
      <w:r>
        <w:rPr>
          <w:rFonts w:ascii="Book Antiqua" w:hAnsi="Book Antiqua"/>
          <w:b/>
          <w:bCs/>
        </w:rPr>
        <w:t>96</w:t>
      </w:r>
      <w:r>
        <w:rPr>
          <w:rFonts w:ascii="Book Antiqua" w:hAnsi="Book Antiqua"/>
        </w:rPr>
        <w:t>: e9050 [PMID: 29245308 DOI: 10.1097/MD.0000000000009050]</w:t>
      </w:r>
    </w:p>
    <w:p>
      <w:pPr>
        <w:spacing w:line="360" w:lineRule="auto"/>
        <w:jc w:val="both"/>
        <w:rPr>
          <w:rFonts w:ascii="Book Antiqua" w:hAnsi="Book Antiqua"/>
        </w:rPr>
      </w:pPr>
      <w:r>
        <w:rPr>
          <w:rFonts w:ascii="Book Antiqua" w:hAnsi="Book Antiqua"/>
        </w:rPr>
        <w:t xml:space="preserve">23 </w:t>
      </w:r>
      <w:r>
        <w:rPr>
          <w:rFonts w:ascii="Book Antiqua" w:hAnsi="Book Antiqua"/>
          <w:b/>
          <w:bCs/>
        </w:rPr>
        <w:t>Brasier AR</w:t>
      </w:r>
      <w:r>
        <w:rPr>
          <w:rFonts w:ascii="Book Antiqua" w:hAnsi="Book Antiqua"/>
        </w:rPr>
        <w:t xml:space="preserve">, Nussbaum SR. Hungry bone syndrome: clinical and biochemical predictors of its occurrence after parathyroid surgery. </w:t>
      </w:r>
      <w:r>
        <w:rPr>
          <w:rFonts w:ascii="Book Antiqua" w:hAnsi="Book Antiqua"/>
          <w:i/>
          <w:iCs/>
        </w:rPr>
        <w:t>Am J Med</w:t>
      </w:r>
      <w:r>
        <w:rPr>
          <w:rFonts w:ascii="Book Antiqua" w:hAnsi="Book Antiqua"/>
        </w:rPr>
        <w:t xml:space="preserve"> 1988; </w:t>
      </w:r>
      <w:r>
        <w:rPr>
          <w:rFonts w:ascii="Book Antiqua" w:hAnsi="Book Antiqua"/>
          <w:b/>
          <w:bCs/>
        </w:rPr>
        <w:t>84</w:t>
      </w:r>
      <w:r>
        <w:rPr>
          <w:rFonts w:ascii="Book Antiqua" w:hAnsi="Book Antiqua"/>
        </w:rPr>
        <w:t>: 654-660 [PMID: 3400660 DOI: 10.1016/0002-9343(88)90100-3]</w:t>
      </w:r>
    </w:p>
    <w:p>
      <w:pPr>
        <w:spacing w:line="360" w:lineRule="auto"/>
        <w:jc w:val="both"/>
        <w:rPr>
          <w:rFonts w:ascii="Book Antiqua" w:hAnsi="Book Antiqua"/>
        </w:rPr>
      </w:pPr>
      <w:r>
        <w:rPr>
          <w:rFonts w:ascii="Book Antiqua" w:hAnsi="Book Antiqua"/>
        </w:rPr>
        <w:t xml:space="preserve">24 </w:t>
      </w:r>
      <w:r>
        <w:rPr>
          <w:rFonts w:ascii="Book Antiqua" w:hAnsi="Book Antiqua"/>
          <w:b/>
          <w:bCs/>
        </w:rPr>
        <w:t>Erbil Y</w:t>
      </w:r>
      <w:r>
        <w:rPr>
          <w:rFonts w:ascii="Book Antiqua" w:hAnsi="Book Antiqua"/>
        </w:rPr>
        <w:t xml:space="preserve">, Barbaros U, Temel B, Turkoglu U, Işsever H, Bozbora A, Ozarmağan S, Tezelman S. The impact of age, vitamin D(3) level, and incidental parathyroidectomy on postoperative hypocalcemia after total or near total thyroidectomy. </w:t>
      </w:r>
      <w:r>
        <w:rPr>
          <w:rFonts w:ascii="Book Antiqua" w:hAnsi="Book Antiqua"/>
          <w:i/>
          <w:iCs/>
        </w:rPr>
        <w:t>Am J Surg</w:t>
      </w:r>
      <w:r>
        <w:rPr>
          <w:rFonts w:ascii="Book Antiqua" w:hAnsi="Book Antiqua"/>
        </w:rPr>
        <w:t xml:space="preserve"> 2009; </w:t>
      </w:r>
      <w:r>
        <w:rPr>
          <w:rFonts w:ascii="Book Antiqua" w:hAnsi="Book Antiqua"/>
          <w:b/>
          <w:bCs/>
        </w:rPr>
        <w:t>197</w:t>
      </w:r>
      <w:r>
        <w:rPr>
          <w:rFonts w:ascii="Book Antiqua" w:hAnsi="Book Antiqua"/>
        </w:rPr>
        <w:t>: 439-446 [PMID: 19324110 DOI: 10.1016/j.amjsurg.2008.01.032]</w:t>
      </w:r>
    </w:p>
    <w:p>
      <w:pPr>
        <w:spacing w:line="360" w:lineRule="auto"/>
        <w:jc w:val="both"/>
        <w:rPr>
          <w:rFonts w:ascii="Book Antiqua" w:hAnsi="Book Antiqua"/>
        </w:rPr>
      </w:pPr>
      <w:r>
        <w:rPr>
          <w:rFonts w:ascii="Book Antiqua" w:hAnsi="Book Antiqua"/>
        </w:rPr>
        <w:t xml:space="preserve">25 </w:t>
      </w:r>
      <w:r>
        <w:rPr>
          <w:rFonts w:ascii="Book Antiqua" w:hAnsi="Book Antiqua"/>
          <w:b/>
          <w:bCs/>
        </w:rPr>
        <w:t>Farese S</w:t>
      </w:r>
      <w:r>
        <w:rPr>
          <w:rFonts w:ascii="Book Antiqua" w:hAnsi="Book Antiqua"/>
        </w:rPr>
        <w:t xml:space="preserve">. [The hungry bone syndrome--an update]. </w:t>
      </w:r>
      <w:r>
        <w:rPr>
          <w:rFonts w:ascii="Book Antiqua" w:hAnsi="Book Antiqua"/>
          <w:i/>
          <w:iCs/>
        </w:rPr>
        <w:t>Ther Umsch</w:t>
      </w:r>
      <w:r>
        <w:rPr>
          <w:rFonts w:ascii="Book Antiqua" w:hAnsi="Book Antiqua"/>
        </w:rPr>
        <w:t xml:space="preserve"> 2007; </w:t>
      </w:r>
      <w:r>
        <w:rPr>
          <w:rFonts w:ascii="Book Antiqua" w:hAnsi="Book Antiqua"/>
          <w:b/>
          <w:bCs/>
        </w:rPr>
        <w:t>64</w:t>
      </w:r>
      <w:r>
        <w:rPr>
          <w:rFonts w:ascii="Book Antiqua" w:hAnsi="Book Antiqua"/>
        </w:rPr>
        <w:t>: 277-280 [PMID: 17685087 DOI: 10.1024/0040-5930.64.5.277]</w:t>
      </w:r>
    </w:p>
    <w:p>
      <w:pPr>
        <w:spacing w:line="360" w:lineRule="auto"/>
        <w:jc w:val="both"/>
        <w:rPr>
          <w:rFonts w:ascii="Book Antiqua" w:hAnsi="Book Antiqua"/>
        </w:rPr>
      </w:pPr>
      <w:r>
        <w:rPr>
          <w:rFonts w:ascii="Book Antiqua" w:hAnsi="Book Antiqua"/>
        </w:rPr>
        <w:t xml:space="preserve">26 </w:t>
      </w:r>
      <w:r>
        <w:rPr>
          <w:rFonts w:ascii="Book Antiqua" w:hAnsi="Book Antiqua"/>
          <w:b/>
          <w:bCs/>
        </w:rPr>
        <w:t>Erbil Y</w:t>
      </w:r>
      <w:r>
        <w:rPr>
          <w:rFonts w:ascii="Book Antiqua" w:hAnsi="Book Antiqua"/>
        </w:rPr>
        <w:t xml:space="preserve">, Bozbora A, Ozbey N, Issever H, Aral F, Ozarmagan S, Tezelman S. Predictive value of age and serum parathormone and vitamin d3 levels for postoperative hypocalcemia after total thyroidectomy for nontoxic multinodular goiter. </w:t>
      </w:r>
      <w:r>
        <w:rPr>
          <w:rFonts w:ascii="Book Antiqua" w:hAnsi="Book Antiqua"/>
          <w:i/>
          <w:iCs/>
        </w:rPr>
        <w:t>Arch Surg</w:t>
      </w:r>
      <w:r>
        <w:rPr>
          <w:rFonts w:ascii="Book Antiqua" w:hAnsi="Book Antiqua"/>
        </w:rPr>
        <w:t xml:space="preserve"> 2007; </w:t>
      </w:r>
      <w:r>
        <w:rPr>
          <w:rFonts w:ascii="Book Antiqua" w:hAnsi="Book Antiqua"/>
          <w:b/>
          <w:bCs/>
        </w:rPr>
        <w:t>142</w:t>
      </w:r>
      <w:r>
        <w:rPr>
          <w:rFonts w:ascii="Book Antiqua" w:hAnsi="Book Antiqua"/>
        </w:rPr>
        <w:t>: 1182-1187 [PMID: 18086985 DOI: 10.1001/archsurg.142.12.1182]</w:t>
      </w:r>
    </w:p>
    <w:p>
      <w:pPr>
        <w:spacing w:line="360" w:lineRule="auto"/>
        <w:jc w:val="both"/>
        <w:rPr>
          <w:rFonts w:ascii="Book Antiqua" w:hAnsi="Book Antiqua"/>
        </w:rPr>
      </w:pPr>
      <w:r>
        <w:rPr>
          <w:rFonts w:ascii="Book Antiqua" w:hAnsi="Book Antiqua"/>
        </w:rPr>
        <w:t xml:space="preserve">27 </w:t>
      </w:r>
      <w:r>
        <w:rPr>
          <w:rFonts w:ascii="Book Antiqua" w:hAnsi="Book Antiqua"/>
          <w:b/>
          <w:bCs/>
        </w:rPr>
        <w:t>National Kidney Foundation</w:t>
      </w:r>
      <w:r>
        <w:rPr>
          <w:rFonts w:ascii="Book Antiqua" w:hAnsi="Book Antiqua"/>
        </w:rPr>
        <w:t xml:space="preserve">. K/DOQI clinical practice guidelines for bone metabolism and disease in chronic kidney disease. </w:t>
      </w:r>
      <w:r>
        <w:rPr>
          <w:rFonts w:ascii="Book Antiqua" w:hAnsi="Book Antiqua"/>
          <w:i/>
          <w:iCs/>
        </w:rPr>
        <w:t>Am J Kidney Dis</w:t>
      </w:r>
      <w:r>
        <w:rPr>
          <w:rFonts w:ascii="Book Antiqua" w:hAnsi="Book Antiqua"/>
        </w:rPr>
        <w:t xml:space="preserve"> 2003; </w:t>
      </w:r>
      <w:r>
        <w:rPr>
          <w:rFonts w:ascii="Book Antiqua" w:hAnsi="Book Antiqua"/>
          <w:b/>
          <w:bCs/>
        </w:rPr>
        <w:t>42</w:t>
      </w:r>
      <w:r>
        <w:rPr>
          <w:rFonts w:ascii="Book Antiqua" w:hAnsi="Book Antiqua"/>
        </w:rPr>
        <w:t>: S1-201 [PMID: 14520607]</w:t>
      </w:r>
    </w:p>
    <w:p>
      <w:pPr>
        <w:spacing w:line="360" w:lineRule="auto"/>
        <w:jc w:val="both"/>
        <w:rPr>
          <w:rFonts w:ascii="Book Antiqua" w:hAnsi="Book Antiqua"/>
        </w:rPr>
      </w:pPr>
      <w:r>
        <w:rPr>
          <w:rFonts w:ascii="Book Antiqua" w:hAnsi="Book Antiqua"/>
        </w:rPr>
        <w:t xml:space="preserve">28 </w:t>
      </w:r>
      <w:r>
        <w:rPr>
          <w:rFonts w:ascii="Book Antiqua" w:hAnsi="Book Antiqua"/>
          <w:b/>
          <w:bCs/>
        </w:rPr>
        <w:t>Guo CY</w:t>
      </w:r>
      <w:r>
        <w:rPr>
          <w:rFonts w:ascii="Book Antiqua" w:hAnsi="Book Antiqua"/>
        </w:rPr>
        <w:t xml:space="preserve">, Holland PA, Jackson BF, Hannon RA, Rogers A, Harrison BJ, Eastell R. Immediate changes in biochemical markers of bone turnover and circulating interleukin-6 after parathyroidectomy for primary hyperparathyroidism. </w:t>
      </w:r>
      <w:r>
        <w:rPr>
          <w:rFonts w:ascii="Book Antiqua" w:hAnsi="Book Antiqua"/>
          <w:i/>
          <w:iCs/>
        </w:rPr>
        <w:t>Eur J Endocrinol</w:t>
      </w:r>
      <w:r>
        <w:rPr>
          <w:rFonts w:ascii="Book Antiqua" w:hAnsi="Book Antiqua"/>
        </w:rPr>
        <w:t xml:space="preserve"> 2000; </w:t>
      </w:r>
      <w:r>
        <w:rPr>
          <w:rFonts w:ascii="Book Antiqua" w:hAnsi="Book Antiqua"/>
          <w:b/>
          <w:bCs/>
        </w:rPr>
        <w:t>142</w:t>
      </w:r>
      <w:r>
        <w:rPr>
          <w:rFonts w:ascii="Book Antiqua" w:hAnsi="Book Antiqua"/>
        </w:rPr>
        <w:t>: 451-459 [PMID: 10802521 DOI: 10.1530/eje.0.1420451]</w:t>
      </w:r>
    </w:p>
    <w:p>
      <w:pPr>
        <w:spacing w:line="360" w:lineRule="auto"/>
        <w:jc w:val="both"/>
        <w:rPr>
          <w:rFonts w:ascii="Book Antiqua" w:hAnsi="Book Antiqua"/>
        </w:rPr>
      </w:pPr>
      <w:r>
        <w:rPr>
          <w:rFonts w:ascii="Book Antiqua" w:hAnsi="Book Antiqua"/>
        </w:rPr>
        <w:t xml:space="preserve">29 </w:t>
      </w:r>
      <w:r>
        <w:rPr>
          <w:rFonts w:ascii="Book Antiqua" w:hAnsi="Book Antiqua"/>
          <w:b/>
          <w:bCs/>
        </w:rPr>
        <w:t>Sun L</w:t>
      </w:r>
      <w:r>
        <w:rPr>
          <w:rFonts w:ascii="Book Antiqua" w:hAnsi="Book Antiqua"/>
        </w:rPr>
        <w:t xml:space="preserve">, He X, Liu T. Preoperative serum alkaline phosphatase: a predictive factor for early hypocalcaemia following parathyroidectomy of primary hyperparathyroidism. </w:t>
      </w:r>
      <w:r>
        <w:rPr>
          <w:rFonts w:ascii="Book Antiqua" w:hAnsi="Book Antiqua"/>
          <w:i/>
          <w:iCs/>
        </w:rPr>
        <w:t>Chin Med J (Engl)</w:t>
      </w:r>
      <w:r>
        <w:rPr>
          <w:rFonts w:ascii="Book Antiqua" w:hAnsi="Book Antiqua"/>
        </w:rPr>
        <w:t xml:space="preserve"> 2014; </w:t>
      </w:r>
      <w:r>
        <w:rPr>
          <w:rFonts w:ascii="Book Antiqua" w:hAnsi="Book Antiqua"/>
          <w:b/>
          <w:bCs/>
        </w:rPr>
        <w:t>127</w:t>
      </w:r>
      <w:r>
        <w:rPr>
          <w:rFonts w:ascii="Book Antiqua" w:hAnsi="Book Antiqua"/>
        </w:rPr>
        <w:t>: 3259-3264 [PMID: 25266524]</w:t>
      </w:r>
    </w:p>
    <w:p>
      <w:pPr>
        <w:spacing w:line="360" w:lineRule="auto"/>
        <w:jc w:val="both"/>
        <w:rPr>
          <w:rFonts w:ascii="Book Antiqua" w:hAnsi="Book Antiqua"/>
        </w:rPr>
      </w:pPr>
      <w:r>
        <w:rPr>
          <w:rFonts w:ascii="Book Antiqua" w:hAnsi="Book Antiqua"/>
        </w:rPr>
        <w:t xml:space="preserve">30 </w:t>
      </w:r>
      <w:r>
        <w:rPr>
          <w:rFonts w:ascii="Book Antiqua" w:hAnsi="Book Antiqua"/>
          <w:b/>
          <w:bCs/>
        </w:rPr>
        <w:t>Cheng SP</w:t>
      </w:r>
      <w:r>
        <w:rPr>
          <w:rFonts w:ascii="Book Antiqua" w:hAnsi="Book Antiqua"/>
        </w:rPr>
        <w:t xml:space="preserve">, Liu CL, Chen HH, Lee JJ, Liu TP, Yang TL. Prolonged hospital stay after parathyroidectomy for secondary hyperparathyroidism. </w:t>
      </w:r>
      <w:r>
        <w:rPr>
          <w:rFonts w:ascii="Book Antiqua" w:hAnsi="Book Antiqua"/>
          <w:i/>
          <w:iCs/>
        </w:rPr>
        <w:t>World J Surg</w:t>
      </w:r>
      <w:r>
        <w:rPr>
          <w:rFonts w:ascii="Book Antiqua" w:hAnsi="Book Antiqua"/>
        </w:rPr>
        <w:t xml:space="preserve"> 2009; </w:t>
      </w:r>
      <w:r>
        <w:rPr>
          <w:rFonts w:ascii="Book Antiqua" w:hAnsi="Book Antiqua"/>
          <w:b/>
          <w:bCs/>
        </w:rPr>
        <w:t>33</w:t>
      </w:r>
      <w:r>
        <w:rPr>
          <w:rFonts w:ascii="Book Antiqua" w:hAnsi="Book Antiqua"/>
        </w:rPr>
        <w:t>: 72-79 [PMID: 18953601 DOI: 10.1007/s00268-008-9787-2]</w:t>
      </w:r>
    </w:p>
    <w:p>
      <w:pPr>
        <w:spacing w:line="360" w:lineRule="auto"/>
        <w:jc w:val="both"/>
        <w:rPr>
          <w:rFonts w:ascii="Book Antiqua" w:hAnsi="Book Antiqua"/>
        </w:rPr>
      </w:pPr>
      <w:r>
        <w:rPr>
          <w:rFonts w:ascii="Book Antiqua" w:hAnsi="Book Antiqua"/>
        </w:rPr>
        <w:t xml:space="preserve">31 </w:t>
      </w:r>
      <w:r>
        <w:rPr>
          <w:rFonts w:ascii="Book Antiqua" w:hAnsi="Book Antiqua"/>
          <w:b/>
          <w:bCs/>
        </w:rPr>
        <w:t>Cannizzaro MA</w:t>
      </w:r>
      <w:r>
        <w:rPr>
          <w:rFonts w:ascii="Book Antiqua" w:hAnsi="Book Antiqua"/>
        </w:rPr>
        <w:t xml:space="preserve">, Okatyeva V, Lo Bianco S, Caruso V, Buffone A. Hypocalcemia after thyroidectomy: iPTH levels and iPTH decline are predictive? Retrospective cohort study. </w:t>
      </w:r>
      <w:r>
        <w:rPr>
          <w:rFonts w:ascii="Book Antiqua" w:hAnsi="Book Antiqua"/>
          <w:i/>
          <w:iCs/>
        </w:rPr>
        <w:t>Ann Med Surg (Lond)</w:t>
      </w:r>
      <w:r>
        <w:rPr>
          <w:rFonts w:ascii="Book Antiqua" w:hAnsi="Book Antiqua"/>
        </w:rPr>
        <w:t xml:space="preserve"> 2018; </w:t>
      </w:r>
      <w:r>
        <w:rPr>
          <w:rFonts w:ascii="Book Antiqua" w:hAnsi="Book Antiqua"/>
          <w:b/>
          <w:bCs/>
        </w:rPr>
        <w:t>30</w:t>
      </w:r>
      <w:r>
        <w:rPr>
          <w:rFonts w:ascii="Book Antiqua" w:hAnsi="Book Antiqua"/>
        </w:rPr>
        <w:t>: 42-45 [PMID: 29946457 DOI: 10.1016/j.amsu.2018.04.032]</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This work was carried out in accordance with the Declaration of Helsinki (2000) by the World Medical Association. The current retrospective study was approved by the institutional review board of China-Japan Friendship Hospital (2019-SDZL-12).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 xml:space="preserve">Patients were not required to give informed consent to the study because the analysis used anonymous clinical data that were obtained after each patient agreed to treatment by written consent.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We have no financial relationships to disclose.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No additional data are available.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March 31,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October 16,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April 9,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bookmarkStart w:id="2" w:name="OLE_LINK1739"/>
      <w:bookmarkStart w:id="3" w:name="OLE_LINK1740"/>
      <w:bookmarkStart w:id="4" w:name="OLE_LINK2005"/>
      <w:bookmarkStart w:id="5" w:name="OLE_LINK1762"/>
      <w:bookmarkStart w:id="6" w:name="OLE_LINK1890"/>
      <w:bookmarkStart w:id="7" w:name="OLE_LINK1973"/>
      <w:bookmarkStart w:id="8" w:name="OLE_LINK1988"/>
      <w:bookmarkStart w:id="9" w:name="OLE_LINK1741"/>
      <w:bookmarkStart w:id="10" w:name="OLE_LINK293"/>
      <w:r>
        <w:rPr>
          <w:rFonts w:ascii="Book Antiqua" w:hAnsi="Book Antiqua" w:eastAsia="微软雅黑" w:cs="宋体"/>
        </w:rPr>
        <w:t>Medicine, research and experimental</w:t>
      </w:r>
      <w:bookmarkEnd w:id="2"/>
      <w:bookmarkEnd w:id="3"/>
      <w:bookmarkEnd w:id="4"/>
      <w:bookmarkEnd w:id="5"/>
      <w:bookmarkEnd w:id="6"/>
      <w:bookmarkEnd w:id="7"/>
      <w:bookmarkEnd w:id="8"/>
      <w:bookmarkEnd w:id="9"/>
      <w:bookmarkEnd w:id="10"/>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Casella C, Italy</w:t>
      </w:r>
      <w:r>
        <w:rPr>
          <w:rFonts w:ascii="Book Antiqua" w:hAnsi="Book Antiqua" w:eastAsia="Book Antiqua" w:cs="Book Antiqua"/>
          <w:b/>
          <w:color w:val="000000"/>
        </w:rPr>
        <w:t xml:space="preserve"> S-Editor: </w:t>
      </w:r>
      <w:r>
        <w:rPr>
          <w:rFonts w:ascii="Book Antiqua" w:hAnsi="Book Antiqua" w:eastAsia="Book Antiqua" w:cs="Book Antiqua"/>
          <w:color w:val="000000"/>
        </w:rPr>
        <w:t>Wang JJ</w:t>
      </w:r>
      <w:r>
        <w:rPr>
          <w:rFonts w:ascii="Book Antiqua" w:hAnsi="Book Antiqua" w:eastAsia="Book Antiqua" w:cs="Book Antiqua"/>
          <w:b/>
          <w:color w:val="000000"/>
        </w:rPr>
        <w:t xml:space="preserve"> L-Editor: </w:t>
      </w:r>
      <w:r>
        <w:rPr>
          <w:rFonts w:ascii="Book Antiqua" w:hAnsi="Book Antiqua" w:eastAsia="Book Antiqua" w:cs="Book Antiqua"/>
          <w:color w:val="000000"/>
        </w:rPr>
        <w:t>Webster JR</w:t>
      </w:r>
      <w:r>
        <w:rPr>
          <w:rFonts w:ascii="Book Antiqua" w:hAnsi="Book Antiqua" w:eastAsia="Book Antiqua" w:cs="Book Antiqua"/>
          <w:b/>
          <w:color w:val="000000"/>
        </w:rPr>
        <w:t xml:space="preserve"> P-Editor: </w:t>
      </w:r>
      <w:r>
        <w:rPr>
          <w:rFonts w:ascii="Book Antiqua" w:hAnsi="Book Antiqua" w:eastAsia="Book Antiqua" w:cs="Book Antiqua"/>
          <w:color w:val="000000"/>
        </w:rPr>
        <w:t>Wang JJ</w:t>
      </w:r>
    </w:p>
    <w:p>
      <w:pPr>
        <w:autoSpaceDE w:val="0"/>
        <w:autoSpaceDN w:val="0"/>
        <w:adjustRightInd w:val="0"/>
        <w:spacing w:line="360" w:lineRule="auto"/>
        <w:jc w:val="both"/>
        <w:rPr>
          <w:rFonts w:ascii="Book Antiqua" w:hAnsi="Book Antiqua" w:eastAsiaTheme="majorEastAsia"/>
          <w:b/>
        </w:rPr>
      </w:pPr>
      <w:r>
        <w:rPr>
          <w:rFonts w:ascii="Book Antiqua" w:hAnsi="Book Antiqua" w:eastAsia="Book Antiqua" w:cs="Book Antiqua"/>
          <w:b/>
          <w:color w:val="000000"/>
        </w:rPr>
        <w:br w:type="page"/>
      </w:r>
      <w:r>
        <w:rPr>
          <w:rFonts w:ascii="Book Antiqua" w:hAnsi="Book Antiqua" w:eastAsiaTheme="majorEastAsia"/>
          <w:b/>
        </w:rPr>
        <w:t>Table 1</w:t>
      </w:r>
      <w:r>
        <w:rPr>
          <w:rFonts w:ascii="Book Antiqua" w:hAnsi="Book Antiqua" w:eastAsiaTheme="majorEastAsia"/>
        </w:rPr>
        <w:t xml:space="preserve"> </w:t>
      </w:r>
      <w:r>
        <w:rPr>
          <w:rFonts w:ascii="Book Antiqua" w:hAnsi="Book Antiqua" w:eastAsiaTheme="majorEastAsia"/>
          <w:b/>
        </w:rPr>
        <w:t>Patient characteristics</w:t>
      </w:r>
    </w:p>
    <w:tbl>
      <w:tblPr>
        <w:tblStyle w:val="7"/>
        <w:tblW w:w="10179" w:type="dxa"/>
        <w:jc w:val="center"/>
        <w:tblLayout w:type="fixed"/>
        <w:tblCellMar>
          <w:top w:w="0" w:type="dxa"/>
          <w:left w:w="108" w:type="dxa"/>
          <w:bottom w:w="0" w:type="dxa"/>
          <w:right w:w="108" w:type="dxa"/>
        </w:tblCellMar>
      </w:tblPr>
      <w:tblGrid>
        <w:gridCol w:w="2637"/>
        <w:gridCol w:w="2143"/>
        <w:gridCol w:w="2143"/>
        <w:gridCol w:w="2143"/>
        <w:gridCol w:w="1113"/>
      </w:tblGrid>
      <w:tr>
        <w:tblPrEx>
          <w:tblCellMar>
            <w:top w:w="0" w:type="dxa"/>
            <w:left w:w="108" w:type="dxa"/>
            <w:bottom w:w="0" w:type="dxa"/>
            <w:right w:w="108" w:type="dxa"/>
          </w:tblCellMar>
        </w:tblPrEx>
        <w:trPr>
          <w:trHeight w:val="627" w:hRule="atLeast"/>
          <w:jc w:val="center"/>
        </w:trPr>
        <w:tc>
          <w:tcPr>
            <w:tcW w:w="2637" w:type="dxa"/>
            <w:tcBorders>
              <w:top w:val="single" w:color="auto" w:sz="4" w:space="0"/>
              <w:bottom w:val="single" w:color="auto" w:sz="4" w:space="0"/>
            </w:tcBorders>
          </w:tcPr>
          <w:p>
            <w:pPr>
              <w:autoSpaceDE w:val="0"/>
              <w:autoSpaceDN w:val="0"/>
              <w:adjustRightInd w:val="0"/>
              <w:spacing w:line="360" w:lineRule="auto"/>
              <w:jc w:val="both"/>
              <w:rPr>
                <w:rFonts w:ascii="Book Antiqua" w:hAnsi="Book Antiqua" w:eastAsiaTheme="majorEastAsia"/>
                <w:b/>
                <w:bCs/>
              </w:rPr>
            </w:pPr>
          </w:p>
        </w:tc>
        <w:tc>
          <w:tcPr>
            <w:tcW w:w="2143" w:type="dxa"/>
            <w:tcBorders>
              <w:top w:val="single" w:color="auto" w:sz="4" w:space="0"/>
              <w:bottom w:val="single" w:color="auto" w:sz="4" w:space="0"/>
            </w:tcBorders>
          </w:tcPr>
          <w:p>
            <w:pPr>
              <w:autoSpaceDE w:val="0"/>
              <w:autoSpaceDN w:val="0"/>
              <w:adjustRightInd w:val="0"/>
              <w:spacing w:line="360" w:lineRule="auto"/>
              <w:jc w:val="both"/>
              <w:rPr>
                <w:rFonts w:ascii="Book Antiqua" w:hAnsi="Book Antiqua" w:eastAsiaTheme="majorEastAsia"/>
                <w:b/>
                <w:bCs/>
              </w:rPr>
            </w:pPr>
            <w:r>
              <w:rPr>
                <w:rFonts w:ascii="Book Antiqua" w:hAnsi="Book Antiqua" w:eastAsiaTheme="majorEastAsia"/>
                <w:b/>
                <w:bCs/>
              </w:rPr>
              <w:t>All patients (</w:t>
            </w:r>
            <w:r>
              <w:rPr>
                <w:rFonts w:ascii="Book Antiqua" w:hAnsi="Book Antiqua" w:eastAsiaTheme="majorEastAsia"/>
                <w:b/>
                <w:bCs/>
                <w:i/>
                <w:iCs/>
              </w:rPr>
              <w:t>n</w:t>
            </w:r>
            <w:r>
              <w:rPr>
                <w:rFonts w:ascii="Book Antiqua" w:hAnsi="Book Antiqua" w:eastAsiaTheme="majorEastAsia"/>
                <w:b/>
                <w:bCs/>
              </w:rPr>
              <w:t xml:space="preserve"> = 271)</w:t>
            </w:r>
          </w:p>
        </w:tc>
        <w:tc>
          <w:tcPr>
            <w:tcW w:w="2143" w:type="dxa"/>
            <w:tcBorders>
              <w:top w:val="single" w:color="auto" w:sz="4" w:space="0"/>
              <w:bottom w:val="single" w:color="auto" w:sz="4" w:space="0"/>
            </w:tcBorders>
          </w:tcPr>
          <w:p>
            <w:pPr>
              <w:autoSpaceDE w:val="0"/>
              <w:autoSpaceDN w:val="0"/>
              <w:adjustRightInd w:val="0"/>
              <w:spacing w:line="360" w:lineRule="auto"/>
              <w:jc w:val="both"/>
              <w:rPr>
                <w:rFonts w:ascii="Book Antiqua" w:hAnsi="Book Antiqua" w:eastAsiaTheme="majorEastAsia"/>
                <w:b/>
                <w:bCs/>
              </w:rPr>
            </w:pPr>
            <w:r>
              <w:rPr>
                <w:rFonts w:ascii="Book Antiqua" w:hAnsi="Book Antiqua" w:eastAsiaTheme="majorEastAsia"/>
                <w:b/>
                <w:bCs/>
              </w:rPr>
              <w:t>Conventional CS group (</w:t>
            </w:r>
            <w:r>
              <w:rPr>
                <w:rFonts w:ascii="Book Antiqua" w:hAnsi="Book Antiqua" w:eastAsiaTheme="majorEastAsia"/>
                <w:b/>
                <w:bCs/>
                <w:i/>
                <w:iCs/>
              </w:rPr>
              <w:t>n</w:t>
            </w:r>
            <w:r>
              <w:rPr>
                <w:rFonts w:ascii="Book Antiqua" w:hAnsi="Book Antiqua" w:eastAsiaTheme="majorEastAsia"/>
                <w:b/>
                <w:bCs/>
              </w:rPr>
              <w:t xml:space="preserve"> = 145)</w:t>
            </w:r>
          </w:p>
        </w:tc>
        <w:tc>
          <w:tcPr>
            <w:tcW w:w="2143" w:type="dxa"/>
            <w:tcBorders>
              <w:top w:val="single" w:color="auto" w:sz="4" w:space="0"/>
              <w:bottom w:val="single" w:color="auto" w:sz="4" w:space="0"/>
            </w:tcBorders>
          </w:tcPr>
          <w:p>
            <w:pPr>
              <w:autoSpaceDE w:val="0"/>
              <w:autoSpaceDN w:val="0"/>
              <w:adjustRightInd w:val="0"/>
              <w:spacing w:line="360" w:lineRule="auto"/>
              <w:jc w:val="both"/>
              <w:rPr>
                <w:rFonts w:ascii="Book Antiqua" w:hAnsi="Book Antiqua" w:eastAsiaTheme="majorEastAsia"/>
                <w:b/>
                <w:bCs/>
              </w:rPr>
            </w:pPr>
            <w:r>
              <w:rPr>
                <w:rFonts w:ascii="Book Antiqua" w:hAnsi="Book Antiqua" w:eastAsiaTheme="majorEastAsia"/>
                <w:b/>
                <w:bCs/>
              </w:rPr>
              <w:t>Preventive CS group (</w:t>
            </w:r>
            <w:r>
              <w:rPr>
                <w:rFonts w:ascii="Book Antiqua" w:hAnsi="Book Antiqua" w:eastAsiaTheme="majorEastAsia"/>
                <w:b/>
                <w:bCs/>
                <w:i/>
                <w:iCs/>
              </w:rPr>
              <w:t>n</w:t>
            </w:r>
            <w:r>
              <w:rPr>
                <w:rFonts w:ascii="Book Antiqua" w:hAnsi="Book Antiqua" w:eastAsiaTheme="majorEastAsia"/>
                <w:b/>
                <w:bCs/>
              </w:rPr>
              <w:t xml:space="preserve"> = 126)</w:t>
            </w:r>
          </w:p>
        </w:tc>
        <w:tc>
          <w:tcPr>
            <w:tcW w:w="1113" w:type="dxa"/>
            <w:tcBorders>
              <w:top w:val="single" w:color="auto" w:sz="4" w:space="0"/>
              <w:bottom w:val="single" w:color="auto" w:sz="4" w:space="0"/>
            </w:tcBorders>
          </w:tcPr>
          <w:p>
            <w:pPr>
              <w:autoSpaceDE w:val="0"/>
              <w:autoSpaceDN w:val="0"/>
              <w:adjustRightInd w:val="0"/>
              <w:spacing w:line="360" w:lineRule="auto"/>
              <w:jc w:val="both"/>
              <w:rPr>
                <w:rFonts w:ascii="Book Antiqua" w:hAnsi="Book Antiqua" w:eastAsiaTheme="majorEastAsia"/>
                <w:b/>
                <w:bCs/>
              </w:rPr>
            </w:pPr>
            <w:r>
              <w:rPr>
                <w:rFonts w:ascii="Book Antiqua" w:hAnsi="Book Antiqua" w:eastAsiaTheme="majorEastAsia"/>
                <w:b/>
                <w:bCs/>
                <w:i/>
                <w:iCs/>
              </w:rPr>
              <w:t>P</w:t>
            </w:r>
            <w:r>
              <w:rPr>
                <w:rFonts w:ascii="Book Antiqua" w:hAnsi="Book Antiqua" w:eastAsiaTheme="majorEastAsia"/>
                <w:b/>
                <w:bCs/>
              </w:rPr>
              <w:t xml:space="preserve"> value</w:t>
            </w:r>
          </w:p>
        </w:tc>
      </w:tr>
      <w:tr>
        <w:tblPrEx>
          <w:tblCellMar>
            <w:top w:w="0" w:type="dxa"/>
            <w:left w:w="108" w:type="dxa"/>
            <w:bottom w:w="0" w:type="dxa"/>
            <w:right w:w="108" w:type="dxa"/>
          </w:tblCellMar>
        </w:tblPrEx>
        <w:trPr>
          <w:trHeight w:val="209" w:hRule="atLeast"/>
          <w:jc w:val="center"/>
        </w:trPr>
        <w:tc>
          <w:tcPr>
            <w:tcW w:w="2637" w:type="dxa"/>
            <w:tcBorders>
              <w:top w:val="single" w:color="auto" w:sz="4" w:space="0"/>
            </w:tcBorders>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Male (</w:t>
            </w:r>
            <w:r>
              <w:rPr>
                <w:rFonts w:ascii="Book Antiqua" w:hAnsi="Book Antiqua" w:eastAsiaTheme="majorEastAsia"/>
                <w:i/>
                <w:iCs/>
              </w:rPr>
              <w:t>n</w:t>
            </w:r>
            <w:r>
              <w:rPr>
                <w:rFonts w:ascii="Book Antiqua" w:hAnsi="Book Antiqua" w:eastAsiaTheme="majorEastAsia"/>
              </w:rPr>
              <w:t>)</w:t>
            </w:r>
          </w:p>
        </w:tc>
        <w:tc>
          <w:tcPr>
            <w:tcW w:w="2143" w:type="dxa"/>
            <w:tcBorders>
              <w:top w:val="single" w:color="auto" w:sz="4" w:space="0"/>
            </w:tcBorders>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156 (57.6%)</w:t>
            </w:r>
          </w:p>
        </w:tc>
        <w:tc>
          <w:tcPr>
            <w:tcW w:w="2143" w:type="dxa"/>
            <w:tcBorders>
              <w:top w:val="single" w:color="auto" w:sz="4" w:space="0"/>
            </w:tcBorders>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95 (65.5%)</w:t>
            </w:r>
          </w:p>
        </w:tc>
        <w:tc>
          <w:tcPr>
            <w:tcW w:w="2143" w:type="dxa"/>
            <w:tcBorders>
              <w:top w:val="single" w:color="auto" w:sz="4" w:space="0"/>
            </w:tcBorders>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61 (48.4%)</w:t>
            </w:r>
          </w:p>
        </w:tc>
        <w:tc>
          <w:tcPr>
            <w:tcW w:w="1113" w:type="dxa"/>
            <w:tcBorders>
              <w:top w:val="single" w:color="auto" w:sz="4" w:space="0"/>
            </w:tcBorders>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0.489</w:t>
            </w:r>
          </w:p>
        </w:tc>
      </w:tr>
      <w:tr>
        <w:tblPrEx>
          <w:tblCellMar>
            <w:top w:w="0" w:type="dxa"/>
            <w:left w:w="108" w:type="dxa"/>
            <w:bottom w:w="0" w:type="dxa"/>
            <w:right w:w="108" w:type="dxa"/>
          </w:tblCellMar>
        </w:tblPrEx>
        <w:trPr>
          <w:trHeight w:val="209" w:hRule="atLeast"/>
          <w:jc w:val="center"/>
        </w:trPr>
        <w:tc>
          <w:tcPr>
            <w:tcW w:w="2637" w:type="dxa"/>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Age (yr)</w:t>
            </w:r>
          </w:p>
        </w:tc>
        <w:tc>
          <w:tcPr>
            <w:tcW w:w="2143" w:type="dxa"/>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47.7 ± 11.1</w:t>
            </w:r>
          </w:p>
        </w:tc>
        <w:tc>
          <w:tcPr>
            <w:tcW w:w="2143" w:type="dxa"/>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47.4 ± 11.4</w:t>
            </w:r>
          </w:p>
        </w:tc>
        <w:tc>
          <w:tcPr>
            <w:tcW w:w="2143" w:type="dxa"/>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48.1 ± 10.7</w:t>
            </w:r>
          </w:p>
        </w:tc>
        <w:tc>
          <w:tcPr>
            <w:tcW w:w="1113" w:type="dxa"/>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0.577</w:t>
            </w:r>
          </w:p>
        </w:tc>
      </w:tr>
      <w:tr>
        <w:tblPrEx>
          <w:tblCellMar>
            <w:top w:w="0" w:type="dxa"/>
            <w:left w:w="108" w:type="dxa"/>
            <w:bottom w:w="0" w:type="dxa"/>
            <w:right w:w="108" w:type="dxa"/>
          </w:tblCellMar>
        </w:tblPrEx>
        <w:trPr>
          <w:trHeight w:val="209" w:hRule="atLeast"/>
          <w:jc w:val="center"/>
        </w:trPr>
        <w:tc>
          <w:tcPr>
            <w:tcW w:w="2637" w:type="dxa"/>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BMI (kg/m</w:t>
            </w:r>
            <w:r>
              <w:rPr>
                <w:rFonts w:ascii="Book Antiqua" w:hAnsi="Book Antiqua" w:eastAsiaTheme="majorEastAsia"/>
                <w:vertAlign w:val="superscript"/>
              </w:rPr>
              <w:t>2</w:t>
            </w:r>
            <w:r>
              <w:rPr>
                <w:rFonts w:ascii="Book Antiqua" w:hAnsi="Book Antiqua" w:eastAsiaTheme="majorEastAsia"/>
              </w:rPr>
              <w:t>)</w:t>
            </w:r>
          </w:p>
        </w:tc>
        <w:tc>
          <w:tcPr>
            <w:tcW w:w="2143" w:type="dxa"/>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22.9 ± 3.8</w:t>
            </w:r>
          </w:p>
        </w:tc>
        <w:tc>
          <w:tcPr>
            <w:tcW w:w="2143" w:type="dxa"/>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23.2 ± 4.0</w:t>
            </w:r>
          </w:p>
        </w:tc>
        <w:tc>
          <w:tcPr>
            <w:tcW w:w="2143" w:type="dxa"/>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22.7 ± 3.7</w:t>
            </w:r>
          </w:p>
        </w:tc>
        <w:tc>
          <w:tcPr>
            <w:tcW w:w="1113" w:type="dxa"/>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0.407</w:t>
            </w:r>
          </w:p>
        </w:tc>
      </w:tr>
      <w:tr>
        <w:tblPrEx>
          <w:tblCellMar>
            <w:top w:w="0" w:type="dxa"/>
            <w:left w:w="108" w:type="dxa"/>
            <w:bottom w:w="0" w:type="dxa"/>
            <w:right w:w="108" w:type="dxa"/>
          </w:tblCellMar>
        </w:tblPrEx>
        <w:trPr>
          <w:trHeight w:val="418" w:hRule="atLeast"/>
          <w:jc w:val="center"/>
        </w:trPr>
        <w:tc>
          <w:tcPr>
            <w:tcW w:w="2637" w:type="dxa"/>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Preoperative iPTH levels (pg/mL)</w:t>
            </w:r>
          </w:p>
        </w:tc>
        <w:tc>
          <w:tcPr>
            <w:tcW w:w="2143" w:type="dxa"/>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1838.61 ± 933.60</w:t>
            </w:r>
          </w:p>
        </w:tc>
        <w:tc>
          <w:tcPr>
            <w:tcW w:w="2143" w:type="dxa"/>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1773.38 ± 934.49</w:t>
            </w:r>
          </w:p>
        </w:tc>
        <w:tc>
          <w:tcPr>
            <w:tcW w:w="2143" w:type="dxa"/>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1932.33 ± 928.01</w:t>
            </w:r>
          </w:p>
        </w:tc>
        <w:tc>
          <w:tcPr>
            <w:tcW w:w="1113" w:type="dxa"/>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0.143</w:t>
            </w:r>
          </w:p>
        </w:tc>
      </w:tr>
      <w:tr>
        <w:tblPrEx>
          <w:tblCellMar>
            <w:top w:w="0" w:type="dxa"/>
            <w:left w:w="108" w:type="dxa"/>
            <w:bottom w:w="0" w:type="dxa"/>
            <w:right w:w="108" w:type="dxa"/>
          </w:tblCellMar>
        </w:tblPrEx>
        <w:trPr>
          <w:trHeight w:val="837" w:hRule="atLeast"/>
          <w:jc w:val="center"/>
        </w:trPr>
        <w:tc>
          <w:tcPr>
            <w:tcW w:w="2637" w:type="dxa"/>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Preoperative serum calcium amounts (mmol/L)</w:t>
            </w:r>
          </w:p>
        </w:tc>
        <w:tc>
          <w:tcPr>
            <w:tcW w:w="2143" w:type="dxa"/>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2.58 ± 0.24</w:t>
            </w:r>
          </w:p>
        </w:tc>
        <w:tc>
          <w:tcPr>
            <w:tcW w:w="2143" w:type="dxa"/>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2.60 ± 0.25</w:t>
            </w:r>
          </w:p>
        </w:tc>
        <w:tc>
          <w:tcPr>
            <w:tcW w:w="2143" w:type="dxa"/>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2.55 ± 0.22</w:t>
            </w:r>
          </w:p>
        </w:tc>
        <w:tc>
          <w:tcPr>
            <w:tcW w:w="1113" w:type="dxa"/>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0.075</w:t>
            </w:r>
          </w:p>
        </w:tc>
      </w:tr>
      <w:tr>
        <w:tblPrEx>
          <w:tblCellMar>
            <w:top w:w="0" w:type="dxa"/>
            <w:left w:w="108" w:type="dxa"/>
            <w:bottom w:w="0" w:type="dxa"/>
            <w:right w:w="108" w:type="dxa"/>
          </w:tblCellMar>
        </w:tblPrEx>
        <w:trPr>
          <w:trHeight w:val="627" w:hRule="atLeast"/>
          <w:jc w:val="center"/>
        </w:trPr>
        <w:tc>
          <w:tcPr>
            <w:tcW w:w="2637" w:type="dxa"/>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Preoperative serum phosphorus levels (mmol/L)</w:t>
            </w:r>
          </w:p>
        </w:tc>
        <w:tc>
          <w:tcPr>
            <w:tcW w:w="2143" w:type="dxa"/>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2.24 ± 0.57</w:t>
            </w:r>
          </w:p>
        </w:tc>
        <w:tc>
          <w:tcPr>
            <w:tcW w:w="2143" w:type="dxa"/>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2.24 ± 0.60</w:t>
            </w:r>
          </w:p>
        </w:tc>
        <w:tc>
          <w:tcPr>
            <w:tcW w:w="2143" w:type="dxa"/>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2.22 ± 0.53</w:t>
            </w:r>
          </w:p>
        </w:tc>
        <w:tc>
          <w:tcPr>
            <w:tcW w:w="1113" w:type="dxa"/>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0.775</w:t>
            </w:r>
          </w:p>
        </w:tc>
      </w:tr>
      <w:tr>
        <w:tblPrEx>
          <w:tblCellMar>
            <w:top w:w="0" w:type="dxa"/>
            <w:left w:w="108" w:type="dxa"/>
            <w:bottom w:w="0" w:type="dxa"/>
            <w:right w:w="108" w:type="dxa"/>
          </w:tblCellMar>
        </w:tblPrEx>
        <w:trPr>
          <w:trHeight w:val="627" w:hRule="atLeast"/>
          <w:jc w:val="center"/>
        </w:trPr>
        <w:tc>
          <w:tcPr>
            <w:tcW w:w="2637" w:type="dxa"/>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Preoperative calcium-phosphorus ratio</w:t>
            </w:r>
          </w:p>
        </w:tc>
        <w:tc>
          <w:tcPr>
            <w:tcW w:w="2143" w:type="dxa"/>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5.75 ± 1.52</w:t>
            </w:r>
          </w:p>
        </w:tc>
        <w:tc>
          <w:tcPr>
            <w:tcW w:w="2143" w:type="dxa"/>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5.81 ± 1.58</w:t>
            </w:r>
          </w:p>
        </w:tc>
        <w:tc>
          <w:tcPr>
            <w:tcW w:w="2143" w:type="dxa"/>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5.67 ± 1.45</w:t>
            </w:r>
          </w:p>
        </w:tc>
        <w:tc>
          <w:tcPr>
            <w:tcW w:w="1113" w:type="dxa"/>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0.444</w:t>
            </w:r>
          </w:p>
        </w:tc>
      </w:tr>
      <w:tr>
        <w:tblPrEx>
          <w:tblCellMar>
            <w:top w:w="0" w:type="dxa"/>
            <w:left w:w="108" w:type="dxa"/>
            <w:bottom w:w="0" w:type="dxa"/>
            <w:right w:w="108" w:type="dxa"/>
          </w:tblCellMar>
        </w:tblPrEx>
        <w:trPr>
          <w:trHeight w:val="412" w:hRule="atLeast"/>
          <w:jc w:val="center"/>
        </w:trPr>
        <w:tc>
          <w:tcPr>
            <w:tcW w:w="2637" w:type="dxa"/>
            <w:tcBorders>
              <w:bottom w:val="single" w:color="auto" w:sz="4" w:space="0"/>
            </w:tcBorders>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Preoperative ALP amounts (U/L)</w:t>
            </w:r>
          </w:p>
        </w:tc>
        <w:tc>
          <w:tcPr>
            <w:tcW w:w="2143" w:type="dxa"/>
            <w:tcBorders>
              <w:bottom w:val="single" w:color="auto" w:sz="4" w:space="0"/>
            </w:tcBorders>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412.22 ± 415.14</w:t>
            </w:r>
          </w:p>
        </w:tc>
        <w:tc>
          <w:tcPr>
            <w:tcW w:w="2143" w:type="dxa"/>
            <w:tcBorders>
              <w:bottom w:val="single" w:color="auto" w:sz="4" w:space="0"/>
            </w:tcBorders>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409.18 ± 399.46</w:t>
            </w:r>
          </w:p>
        </w:tc>
        <w:tc>
          <w:tcPr>
            <w:tcW w:w="2143" w:type="dxa"/>
            <w:tcBorders>
              <w:bottom w:val="single" w:color="auto" w:sz="4" w:space="0"/>
            </w:tcBorders>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416.58 ± 438.28</w:t>
            </w:r>
          </w:p>
        </w:tc>
        <w:tc>
          <w:tcPr>
            <w:tcW w:w="1113" w:type="dxa"/>
            <w:tcBorders>
              <w:bottom w:val="single" w:color="auto" w:sz="4" w:space="0"/>
            </w:tcBorders>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0.878</w:t>
            </w:r>
          </w:p>
        </w:tc>
      </w:tr>
    </w:tbl>
    <w:p>
      <w:pPr>
        <w:autoSpaceDE w:val="0"/>
        <w:autoSpaceDN w:val="0"/>
        <w:adjustRightInd w:val="0"/>
        <w:snapToGrid w:val="0"/>
        <w:spacing w:line="360" w:lineRule="auto"/>
        <w:jc w:val="both"/>
        <w:rPr>
          <w:rFonts w:ascii="Book Antiqua" w:hAnsi="Book Antiqua" w:eastAsiaTheme="majorEastAsia"/>
        </w:rPr>
      </w:pPr>
      <w:r>
        <w:rPr>
          <w:rFonts w:ascii="Book Antiqua" w:hAnsi="Book Antiqua" w:eastAsiaTheme="majorEastAsia"/>
        </w:rPr>
        <w:t>CS: Calcium supplementation; BMI: Body mass index; iPTH: Intact parathyroid hormone; ALP: Alkaline phosphatase.</w:t>
      </w:r>
    </w:p>
    <w:p>
      <w:pPr>
        <w:spacing w:line="360" w:lineRule="auto"/>
        <w:jc w:val="both"/>
        <w:rPr>
          <w:rFonts w:ascii="Book Antiqua" w:hAnsi="Book Antiqua" w:eastAsiaTheme="majorEastAsia"/>
          <w:b/>
        </w:rPr>
      </w:pPr>
      <w:r>
        <w:rPr>
          <w:rFonts w:ascii="Book Antiqua" w:hAnsi="Book Antiqua" w:eastAsiaTheme="majorEastAsia"/>
          <w:b/>
        </w:rPr>
        <w:br w:type="page"/>
      </w:r>
      <w:r>
        <w:rPr>
          <w:rFonts w:ascii="Book Antiqua" w:hAnsi="Book Antiqua" w:eastAsiaTheme="majorEastAsia"/>
          <w:b/>
        </w:rPr>
        <w:t>Table 2</w:t>
      </w:r>
      <w:r>
        <w:rPr>
          <w:rFonts w:ascii="Book Antiqua" w:hAnsi="Book Antiqua" w:eastAsiaTheme="majorEastAsia"/>
        </w:rPr>
        <w:t xml:space="preserve"> </w:t>
      </w:r>
      <w:r>
        <w:rPr>
          <w:rFonts w:ascii="Book Antiqua" w:hAnsi="Book Antiqua" w:eastAsiaTheme="majorEastAsia"/>
          <w:b/>
        </w:rPr>
        <w:t>Postoperative characteristics</w:t>
      </w:r>
    </w:p>
    <w:tbl>
      <w:tblPr>
        <w:tblStyle w:val="7"/>
        <w:tblW w:w="8913" w:type="dxa"/>
        <w:tblInd w:w="0" w:type="dxa"/>
        <w:tblLayout w:type="fixed"/>
        <w:tblCellMar>
          <w:top w:w="0" w:type="dxa"/>
          <w:left w:w="108" w:type="dxa"/>
          <w:bottom w:w="0" w:type="dxa"/>
          <w:right w:w="108" w:type="dxa"/>
        </w:tblCellMar>
      </w:tblPr>
      <w:tblGrid>
        <w:gridCol w:w="3085"/>
        <w:gridCol w:w="1417"/>
        <w:gridCol w:w="1701"/>
        <w:gridCol w:w="1418"/>
        <w:gridCol w:w="1292"/>
      </w:tblGrid>
      <w:tr>
        <w:tblPrEx>
          <w:tblCellMar>
            <w:top w:w="0" w:type="dxa"/>
            <w:left w:w="108" w:type="dxa"/>
            <w:bottom w:w="0" w:type="dxa"/>
            <w:right w:w="108" w:type="dxa"/>
          </w:tblCellMar>
        </w:tblPrEx>
        <w:tc>
          <w:tcPr>
            <w:tcW w:w="3085" w:type="dxa"/>
            <w:tcBorders>
              <w:top w:val="single" w:color="auto" w:sz="4" w:space="0"/>
              <w:bottom w:val="single" w:color="auto" w:sz="4" w:space="0"/>
            </w:tcBorders>
          </w:tcPr>
          <w:p>
            <w:pPr>
              <w:autoSpaceDE w:val="0"/>
              <w:autoSpaceDN w:val="0"/>
              <w:adjustRightInd w:val="0"/>
              <w:spacing w:line="360" w:lineRule="auto"/>
              <w:jc w:val="both"/>
              <w:rPr>
                <w:rFonts w:ascii="Book Antiqua" w:hAnsi="Book Antiqua" w:eastAsiaTheme="majorEastAsia"/>
                <w:b/>
                <w:bCs/>
              </w:rPr>
            </w:pPr>
            <w:r>
              <w:rPr>
                <w:rFonts w:ascii="Book Antiqua" w:hAnsi="Book Antiqua" w:eastAsiaTheme="majorEastAsia"/>
                <w:b/>
                <w:bCs/>
              </w:rPr>
              <w:t>Variable</w:t>
            </w:r>
          </w:p>
        </w:tc>
        <w:tc>
          <w:tcPr>
            <w:tcW w:w="1417" w:type="dxa"/>
            <w:tcBorders>
              <w:top w:val="single" w:color="auto" w:sz="4" w:space="0"/>
              <w:bottom w:val="single" w:color="auto" w:sz="4" w:space="0"/>
            </w:tcBorders>
          </w:tcPr>
          <w:p>
            <w:pPr>
              <w:autoSpaceDE w:val="0"/>
              <w:autoSpaceDN w:val="0"/>
              <w:adjustRightInd w:val="0"/>
              <w:spacing w:line="360" w:lineRule="auto"/>
              <w:jc w:val="both"/>
              <w:rPr>
                <w:rFonts w:ascii="Book Antiqua" w:hAnsi="Book Antiqua" w:eastAsiaTheme="majorEastAsia"/>
                <w:b/>
                <w:bCs/>
              </w:rPr>
            </w:pPr>
            <w:r>
              <w:rPr>
                <w:rFonts w:ascii="Book Antiqua" w:hAnsi="Book Antiqua" w:eastAsiaTheme="majorEastAsia"/>
                <w:b/>
                <w:bCs/>
              </w:rPr>
              <w:t>All patients (</w:t>
            </w:r>
            <w:r>
              <w:rPr>
                <w:rFonts w:ascii="Book Antiqua" w:hAnsi="Book Antiqua" w:eastAsiaTheme="majorEastAsia"/>
                <w:b/>
                <w:bCs/>
                <w:i/>
                <w:iCs/>
              </w:rPr>
              <w:t>n</w:t>
            </w:r>
            <w:r>
              <w:rPr>
                <w:rFonts w:ascii="Book Antiqua" w:hAnsi="Book Antiqua" w:eastAsiaTheme="majorEastAsia"/>
                <w:b/>
                <w:bCs/>
              </w:rPr>
              <w:t xml:space="preserve"> = 271)</w:t>
            </w:r>
          </w:p>
        </w:tc>
        <w:tc>
          <w:tcPr>
            <w:tcW w:w="1701" w:type="dxa"/>
            <w:tcBorders>
              <w:top w:val="single" w:color="auto" w:sz="4" w:space="0"/>
              <w:bottom w:val="single" w:color="auto" w:sz="4" w:space="0"/>
            </w:tcBorders>
          </w:tcPr>
          <w:p>
            <w:pPr>
              <w:autoSpaceDE w:val="0"/>
              <w:autoSpaceDN w:val="0"/>
              <w:adjustRightInd w:val="0"/>
              <w:spacing w:line="360" w:lineRule="auto"/>
              <w:jc w:val="both"/>
              <w:rPr>
                <w:rFonts w:ascii="Book Antiqua" w:hAnsi="Book Antiqua" w:eastAsiaTheme="majorEastAsia"/>
                <w:b/>
                <w:bCs/>
              </w:rPr>
            </w:pPr>
            <w:r>
              <w:rPr>
                <w:rFonts w:ascii="Book Antiqua" w:hAnsi="Book Antiqua" w:eastAsiaTheme="majorEastAsia"/>
                <w:b/>
                <w:bCs/>
              </w:rPr>
              <w:t>Conventional CS group (</w:t>
            </w:r>
            <w:r>
              <w:rPr>
                <w:rFonts w:ascii="Book Antiqua" w:hAnsi="Book Antiqua" w:eastAsiaTheme="majorEastAsia"/>
                <w:b/>
                <w:bCs/>
                <w:i/>
                <w:iCs/>
              </w:rPr>
              <w:t>n</w:t>
            </w:r>
            <w:r>
              <w:rPr>
                <w:rFonts w:ascii="Book Antiqua" w:hAnsi="Book Antiqua" w:eastAsiaTheme="majorEastAsia"/>
                <w:b/>
                <w:bCs/>
              </w:rPr>
              <w:t xml:space="preserve"> = 145)</w:t>
            </w:r>
          </w:p>
        </w:tc>
        <w:tc>
          <w:tcPr>
            <w:tcW w:w="1418" w:type="dxa"/>
            <w:tcBorders>
              <w:top w:val="single" w:color="auto" w:sz="4" w:space="0"/>
              <w:bottom w:val="single" w:color="auto" w:sz="4" w:space="0"/>
            </w:tcBorders>
          </w:tcPr>
          <w:p>
            <w:pPr>
              <w:autoSpaceDE w:val="0"/>
              <w:autoSpaceDN w:val="0"/>
              <w:adjustRightInd w:val="0"/>
              <w:spacing w:line="360" w:lineRule="auto"/>
              <w:jc w:val="both"/>
              <w:rPr>
                <w:rFonts w:ascii="Book Antiqua" w:hAnsi="Book Antiqua" w:eastAsiaTheme="majorEastAsia"/>
                <w:b/>
                <w:bCs/>
              </w:rPr>
            </w:pPr>
            <w:r>
              <w:rPr>
                <w:rFonts w:ascii="Book Antiqua" w:hAnsi="Book Antiqua" w:eastAsiaTheme="majorEastAsia"/>
                <w:b/>
                <w:bCs/>
              </w:rPr>
              <w:t>Preventive CS group (</w:t>
            </w:r>
            <w:r>
              <w:rPr>
                <w:rFonts w:ascii="Book Antiqua" w:hAnsi="Book Antiqua" w:eastAsiaTheme="majorEastAsia"/>
                <w:b/>
                <w:bCs/>
                <w:i/>
                <w:iCs/>
              </w:rPr>
              <w:t>n</w:t>
            </w:r>
            <w:r>
              <w:rPr>
                <w:rFonts w:ascii="Book Antiqua" w:hAnsi="Book Antiqua" w:eastAsiaTheme="majorEastAsia"/>
                <w:b/>
                <w:bCs/>
              </w:rPr>
              <w:t xml:space="preserve"> = 126)</w:t>
            </w:r>
          </w:p>
        </w:tc>
        <w:tc>
          <w:tcPr>
            <w:tcW w:w="1292" w:type="dxa"/>
            <w:tcBorders>
              <w:top w:val="single" w:color="auto" w:sz="4" w:space="0"/>
              <w:bottom w:val="single" w:color="auto" w:sz="4" w:space="0"/>
            </w:tcBorders>
          </w:tcPr>
          <w:p>
            <w:pPr>
              <w:autoSpaceDE w:val="0"/>
              <w:autoSpaceDN w:val="0"/>
              <w:adjustRightInd w:val="0"/>
              <w:spacing w:line="360" w:lineRule="auto"/>
              <w:jc w:val="both"/>
              <w:rPr>
                <w:rFonts w:ascii="Book Antiqua" w:hAnsi="Book Antiqua" w:eastAsiaTheme="majorEastAsia"/>
                <w:b/>
                <w:bCs/>
              </w:rPr>
            </w:pPr>
            <w:r>
              <w:rPr>
                <w:rFonts w:ascii="Book Antiqua" w:hAnsi="Book Antiqua" w:eastAsiaTheme="majorEastAsia"/>
                <w:b/>
                <w:bCs/>
                <w:i/>
                <w:iCs/>
              </w:rPr>
              <w:t>P</w:t>
            </w:r>
            <w:r>
              <w:rPr>
                <w:rFonts w:ascii="Book Antiqua" w:hAnsi="Book Antiqua" w:eastAsiaTheme="majorEastAsia"/>
                <w:b/>
                <w:bCs/>
              </w:rPr>
              <w:t xml:space="preserve"> value</w:t>
            </w:r>
          </w:p>
        </w:tc>
      </w:tr>
      <w:tr>
        <w:tblPrEx>
          <w:tblCellMar>
            <w:top w:w="0" w:type="dxa"/>
            <w:left w:w="108" w:type="dxa"/>
            <w:bottom w:w="0" w:type="dxa"/>
            <w:right w:w="108" w:type="dxa"/>
          </w:tblCellMar>
        </w:tblPrEx>
        <w:tc>
          <w:tcPr>
            <w:tcW w:w="3085" w:type="dxa"/>
            <w:tcBorders>
              <w:top w:val="single" w:color="auto" w:sz="4" w:space="0"/>
            </w:tcBorders>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Postoperative serum calcium levels (mmol/L)</w:t>
            </w:r>
          </w:p>
        </w:tc>
        <w:tc>
          <w:tcPr>
            <w:tcW w:w="1417" w:type="dxa"/>
            <w:tcBorders>
              <w:top w:val="single" w:color="auto" w:sz="4" w:space="0"/>
            </w:tcBorders>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1.91 ± 0.34</w:t>
            </w:r>
          </w:p>
        </w:tc>
        <w:tc>
          <w:tcPr>
            <w:tcW w:w="1701" w:type="dxa"/>
            <w:tcBorders>
              <w:top w:val="single" w:color="auto" w:sz="4" w:space="0"/>
            </w:tcBorders>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1.81 ± 0.32</w:t>
            </w:r>
          </w:p>
        </w:tc>
        <w:tc>
          <w:tcPr>
            <w:tcW w:w="1418" w:type="dxa"/>
            <w:tcBorders>
              <w:top w:val="single" w:color="auto" w:sz="4" w:space="0"/>
            </w:tcBorders>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2.02 ± 0.32</w:t>
            </w:r>
          </w:p>
        </w:tc>
        <w:tc>
          <w:tcPr>
            <w:tcW w:w="1292" w:type="dxa"/>
            <w:tcBorders>
              <w:top w:val="single" w:color="auto" w:sz="4" w:space="0"/>
            </w:tcBorders>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&lt; 0.001</w:t>
            </w:r>
          </w:p>
        </w:tc>
      </w:tr>
      <w:tr>
        <w:tblPrEx>
          <w:tblCellMar>
            <w:top w:w="0" w:type="dxa"/>
            <w:left w:w="108" w:type="dxa"/>
            <w:bottom w:w="0" w:type="dxa"/>
            <w:right w:w="108" w:type="dxa"/>
          </w:tblCellMar>
        </w:tblPrEx>
        <w:tc>
          <w:tcPr>
            <w:tcW w:w="3085" w:type="dxa"/>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Patients with postoperative hypocalcemia (</w:t>
            </w:r>
            <w:r>
              <w:rPr>
                <w:rFonts w:ascii="Book Antiqua" w:hAnsi="Book Antiqua" w:eastAsiaTheme="majorEastAsia"/>
                <w:i/>
                <w:iCs/>
              </w:rPr>
              <w:t>n</w:t>
            </w:r>
            <w:r>
              <w:rPr>
                <w:rFonts w:ascii="Book Antiqua" w:hAnsi="Book Antiqua" w:eastAsiaTheme="majorEastAsia"/>
              </w:rPr>
              <w:t>, %)</w:t>
            </w:r>
          </w:p>
        </w:tc>
        <w:tc>
          <w:tcPr>
            <w:tcW w:w="1417" w:type="dxa"/>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166 (61.3)</w:t>
            </w:r>
          </w:p>
        </w:tc>
        <w:tc>
          <w:tcPr>
            <w:tcW w:w="1701" w:type="dxa"/>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108 (74.5)</w:t>
            </w:r>
          </w:p>
        </w:tc>
        <w:tc>
          <w:tcPr>
            <w:tcW w:w="1418" w:type="dxa"/>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58 (46.0)</w:t>
            </w:r>
          </w:p>
        </w:tc>
        <w:tc>
          <w:tcPr>
            <w:tcW w:w="1292" w:type="dxa"/>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&lt; 0.001</w:t>
            </w:r>
          </w:p>
        </w:tc>
      </w:tr>
      <w:tr>
        <w:tblPrEx>
          <w:tblCellMar>
            <w:top w:w="0" w:type="dxa"/>
            <w:left w:w="108" w:type="dxa"/>
            <w:bottom w:w="0" w:type="dxa"/>
            <w:right w:w="108" w:type="dxa"/>
          </w:tblCellMar>
        </w:tblPrEx>
        <w:tc>
          <w:tcPr>
            <w:tcW w:w="3085" w:type="dxa"/>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Patients with postoperative SH (</w:t>
            </w:r>
            <w:r>
              <w:rPr>
                <w:rFonts w:ascii="Book Antiqua" w:hAnsi="Book Antiqua" w:eastAsiaTheme="majorEastAsia"/>
                <w:i/>
                <w:iCs/>
              </w:rPr>
              <w:t>n</w:t>
            </w:r>
            <w:r>
              <w:rPr>
                <w:rFonts w:ascii="Book Antiqua" w:hAnsi="Book Antiqua" w:eastAsiaTheme="majorEastAsia"/>
              </w:rPr>
              <w:t>, %)</w:t>
            </w:r>
          </w:p>
        </w:tc>
        <w:tc>
          <w:tcPr>
            <w:tcW w:w="1417" w:type="dxa"/>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133 (49.1)</w:t>
            </w:r>
          </w:p>
        </w:tc>
        <w:tc>
          <w:tcPr>
            <w:tcW w:w="1701" w:type="dxa"/>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93 (64.1)</w:t>
            </w:r>
          </w:p>
        </w:tc>
        <w:tc>
          <w:tcPr>
            <w:tcW w:w="1418" w:type="dxa"/>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40 (31.7)</w:t>
            </w:r>
          </w:p>
        </w:tc>
        <w:tc>
          <w:tcPr>
            <w:tcW w:w="1292" w:type="dxa"/>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&lt; 0.001</w:t>
            </w:r>
          </w:p>
        </w:tc>
      </w:tr>
      <w:tr>
        <w:tblPrEx>
          <w:tblCellMar>
            <w:top w:w="0" w:type="dxa"/>
            <w:left w:w="108" w:type="dxa"/>
            <w:bottom w:w="0" w:type="dxa"/>
            <w:right w:w="108" w:type="dxa"/>
          </w:tblCellMar>
        </w:tblPrEx>
        <w:tc>
          <w:tcPr>
            <w:tcW w:w="3085" w:type="dxa"/>
            <w:tcBorders>
              <w:bottom w:val="single" w:color="auto" w:sz="4" w:space="0"/>
            </w:tcBorders>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Patients with postoperative critical hypocalcemia (</w:t>
            </w:r>
            <w:r>
              <w:rPr>
                <w:rFonts w:ascii="Book Antiqua" w:hAnsi="Book Antiqua" w:eastAsiaTheme="majorEastAsia"/>
                <w:i/>
                <w:iCs/>
              </w:rPr>
              <w:t>n</w:t>
            </w:r>
            <w:r>
              <w:rPr>
                <w:rFonts w:ascii="Book Antiqua" w:hAnsi="Book Antiqua" w:eastAsiaTheme="majorEastAsia"/>
              </w:rPr>
              <w:t>, %)</w:t>
            </w:r>
          </w:p>
        </w:tc>
        <w:tc>
          <w:tcPr>
            <w:tcW w:w="1417" w:type="dxa"/>
            <w:tcBorders>
              <w:bottom w:val="single" w:color="auto" w:sz="4" w:space="0"/>
            </w:tcBorders>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26 (9.6)</w:t>
            </w:r>
          </w:p>
        </w:tc>
        <w:tc>
          <w:tcPr>
            <w:tcW w:w="1701" w:type="dxa"/>
            <w:tcBorders>
              <w:bottom w:val="single" w:color="auto" w:sz="4" w:space="0"/>
            </w:tcBorders>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21 (14.5)</w:t>
            </w:r>
          </w:p>
        </w:tc>
        <w:tc>
          <w:tcPr>
            <w:tcW w:w="1418" w:type="dxa"/>
            <w:tcBorders>
              <w:bottom w:val="single" w:color="auto" w:sz="4" w:space="0"/>
            </w:tcBorders>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5 (4.)</w:t>
            </w:r>
          </w:p>
        </w:tc>
        <w:tc>
          <w:tcPr>
            <w:tcW w:w="1292" w:type="dxa"/>
            <w:tcBorders>
              <w:bottom w:val="single" w:color="auto" w:sz="4" w:space="0"/>
            </w:tcBorders>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0.003</w:t>
            </w:r>
          </w:p>
        </w:tc>
      </w:tr>
    </w:tbl>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CS: Calcium supplementation; SH: S</w:t>
      </w:r>
      <w:bookmarkStart w:id="11" w:name="_Hlk96932755"/>
      <w:r>
        <w:rPr>
          <w:rFonts w:ascii="Book Antiqua" w:hAnsi="Book Antiqua" w:eastAsiaTheme="majorEastAsia"/>
        </w:rPr>
        <w:t>evere hypocalcemia</w:t>
      </w:r>
      <w:bookmarkEnd w:id="11"/>
      <w:r>
        <w:rPr>
          <w:rFonts w:ascii="Book Antiqua" w:hAnsi="Book Antiqua" w:eastAsiaTheme="majorEastAsia"/>
        </w:rPr>
        <w:t>.</w:t>
      </w:r>
    </w:p>
    <w:p>
      <w:pPr>
        <w:spacing w:line="360" w:lineRule="auto"/>
        <w:jc w:val="both"/>
        <w:rPr>
          <w:rFonts w:ascii="Book Antiqua" w:hAnsi="Book Antiqua" w:eastAsiaTheme="majorEastAsia"/>
        </w:rPr>
      </w:pPr>
      <w:r>
        <w:rPr>
          <w:rFonts w:ascii="Book Antiqua" w:hAnsi="Book Antiqua" w:eastAsiaTheme="majorEastAsia"/>
        </w:rPr>
        <w:br w:type="page"/>
      </w:r>
      <w:r>
        <w:rPr>
          <w:rFonts w:ascii="Book Antiqua" w:hAnsi="Book Antiqua"/>
          <w:b/>
        </w:rPr>
        <w:t xml:space="preserve">Table 3 </w:t>
      </w:r>
      <w:r>
        <w:rPr>
          <w:rFonts w:ascii="Book Antiqua" w:hAnsi="Book Antiqua"/>
          <w:b/>
          <w:bCs/>
        </w:rPr>
        <w:t>Univariable analysis of factors associated with severe hypocalcemia in all patients</w:t>
      </w:r>
    </w:p>
    <w:tbl>
      <w:tblPr>
        <w:tblStyle w:val="7"/>
        <w:tblW w:w="8279" w:type="dxa"/>
        <w:tblInd w:w="0" w:type="dxa"/>
        <w:tblLayout w:type="fixed"/>
        <w:tblCellMar>
          <w:top w:w="0" w:type="dxa"/>
          <w:left w:w="108" w:type="dxa"/>
          <w:bottom w:w="0" w:type="dxa"/>
          <w:right w:w="108" w:type="dxa"/>
        </w:tblCellMar>
      </w:tblPr>
      <w:tblGrid>
        <w:gridCol w:w="4536"/>
        <w:gridCol w:w="1560"/>
        <w:gridCol w:w="1134"/>
        <w:gridCol w:w="1049"/>
      </w:tblGrid>
      <w:tr>
        <w:tblPrEx>
          <w:tblCellMar>
            <w:top w:w="0" w:type="dxa"/>
            <w:left w:w="108" w:type="dxa"/>
            <w:bottom w:w="0" w:type="dxa"/>
            <w:right w:w="108" w:type="dxa"/>
          </w:tblCellMar>
        </w:tblPrEx>
        <w:trPr>
          <w:trHeight w:val="329" w:hRule="atLeast"/>
        </w:trPr>
        <w:tc>
          <w:tcPr>
            <w:tcW w:w="4536" w:type="dxa"/>
            <w:vMerge w:val="restart"/>
            <w:tcBorders>
              <w:top w:val="single" w:color="auto" w:sz="4" w:space="0"/>
            </w:tcBorders>
          </w:tcPr>
          <w:p>
            <w:pPr>
              <w:spacing w:line="360" w:lineRule="auto"/>
              <w:jc w:val="both"/>
              <w:rPr>
                <w:rFonts w:ascii="Book Antiqua" w:hAnsi="Book Antiqua" w:eastAsia="宋体"/>
                <w:b/>
                <w:bCs/>
                <w:color w:val="000000"/>
              </w:rPr>
            </w:pPr>
          </w:p>
        </w:tc>
        <w:tc>
          <w:tcPr>
            <w:tcW w:w="3743" w:type="dxa"/>
            <w:gridSpan w:val="3"/>
            <w:tcBorders>
              <w:top w:val="single" w:color="auto" w:sz="4" w:space="0"/>
              <w:bottom w:val="single" w:color="auto" w:sz="4" w:space="0"/>
            </w:tcBorders>
          </w:tcPr>
          <w:p>
            <w:pPr>
              <w:spacing w:line="360" w:lineRule="auto"/>
              <w:jc w:val="both"/>
              <w:rPr>
                <w:rFonts w:ascii="Book Antiqua" w:hAnsi="Book Antiqua" w:eastAsia="等线"/>
                <w:b/>
                <w:bCs/>
                <w:color w:val="000000"/>
              </w:rPr>
            </w:pPr>
            <w:r>
              <w:rPr>
                <w:rFonts w:ascii="Book Antiqua" w:hAnsi="Book Antiqua" w:eastAsia="等线"/>
                <w:b/>
                <w:bCs/>
                <w:color w:val="000000"/>
              </w:rPr>
              <w:t>Univariate</w:t>
            </w:r>
          </w:p>
        </w:tc>
      </w:tr>
      <w:tr>
        <w:tblPrEx>
          <w:tblCellMar>
            <w:top w:w="0" w:type="dxa"/>
            <w:left w:w="108" w:type="dxa"/>
            <w:bottom w:w="0" w:type="dxa"/>
            <w:right w:w="108" w:type="dxa"/>
          </w:tblCellMar>
        </w:tblPrEx>
        <w:trPr>
          <w:trHeight w:val="329" w:hRule="atLeast"/>
        </w:trPr>
        <w:tc>
          <w:tcPr>
            <w:tcW w:w="4536" w:type="dxa"/>
            <w:vMerge w:val="continue"/>
            <w:tcBorders>
              <w:bottom w:val="single" w:color="auto" w:sz="4" w:space="0"/>
            </w:tcBorders>
          </w:tcPr>
          <w:p>
            <w:pPr>
              <w:spacing w:line="360" w:lineRule="auto"/>
              <w:jc w:val="both"/>
              <w:rPr>
                <w:rFonts w:ascii="Book Antiqua" w:hAnsi="Book Antiqua" w:eastAsia="宋体"/>
                <w:b/>
                <w:bCs/>
                <w:color w:val="000000"/>
              </w:rPr>
            </w:pPr>
          </w:p>
        </w:tc>
        <w:tc>
          <w:tcPr>
            <w:tcW w:w="1560" w:type="dxa"/>
            <w:tcBorders>
              <w:top w:val="single" w:color="auto" w:sz="4" w:space="0"/>
              <w:bottom w:val="single" w:color="auto" w:sz="4" w:space="0"/>
            </w:tcBorders>
          </w:tcPr>
          <w:p>
            <w:pPr>
              <w:spacing w:line="360" w:lineRule="auto"/>
              <w:jc w:val="both"/>
              <w:rPr>
                <w:rFonts w:ascii="Book Antiqua" w:hAnsi="Book Antiqua" w:eastAsia="等线"/>
                <w:b/>
                <w:bCs/>
                <w:i/>
                <w:iCs/>
                <w:color w:val="000000"/>
              </w:rPr>
            </w:pPr>
            <w:r>
              <w:rPr>
                <w:rFonts w:ascii="Book Antiqua" w:hAnsi="Book Antiqua" w:eastAsia="等线"/>
                <w:b/>
                <w:bCs/>
                <w:i/>
                <w:iCs/>
                <w:color w:val="000000"/>
              </w:rPr>
              <w:t>t</w:t>
            </w:r>
          </w:p>
        </w:tc>
        <w:tc>
          <w:tcPr>
            <w:tcW w:w="1134" w:type="dxa"/>
            <w:tcBorders>
              <w:top w:val="single" w:color="auto" w:sz="4" w:space="0"/>
              <w:bottom w:val="single" w:color="auto" w:sz="4" w:space="0"/>
            </w:tcBorders>
          </w:tcPr>
          <w:p>
            <w:pPr>
              <w:spacing w:line="360" w:lineRule="auto"/>
              <w:jc w:val="both"/>
              <w:rPr>
                <w:rFonts w:ascii="Book Antiqua" w:hAnsi="Book Antiqua" w:eastAsia="等线"/>
                <w:b/>
                <w:bCs/>
                <w:i/>
                <w:iCs/>
                <w:color w:val="000000"/>
              </w:rPr>
            </w:pPr>
            <w:r>
              <w:rPr>
                <w:rFonts w:ascii="Book Antiqua" w:hAnsi="Book Antiqua" w:eastAsia="等线"/>
                <w:b/>
                <w:bCs/>
                <w:i/>
                <w:iCs/>
                <w:color w:val="000000"/>
              </w:rPr>
              <w:t>χ</w:t>
            </w:r>
            <w:r>
              <w:rPr>
                <w:rFonts w:ascii="Book Antiqua" w:hAnsi="Book Antiqua" w:eastAsia="等线"/>
                <w:b/>
                <w:bCs/>
                <w:i/>
                <w:iCs/>
                <w:color w:val="000000"/>
                <w:vertAlign w:val="superscript"/>
              </w:rPr>
              <w:t>2</w:t>
            </w:r>
          </w:p>
        </w:tc>
        <w:tc>
          <w:tcPr>
            <w:tcW w:w="1049" w:type="dxa"/>
            <w:tcBorders>
              <w:top w:val="single" w:color="auto" w:sz="4" w:space="0"/>
              <w:bottom w:val="single" w:color="auto" w:sz="4" w:space="0"/>
            </w:tcBorders>
          </w:tcPr>
          <w:p>
            <w:pPr>
              <w:spacing w:line="360" w:lineRule="auto"/>
              <w:jc w:val="both"/>
              <w:rPr>
                <w:rFonts w:ascii="Book Antiqua" w:hAnsi="Book Antiqua" w:eastAsia="等线"/>
                <w:b/>
                <w:bCs/>
                <w:iCs/>
                <w:color w:val="000000"/>
              </w:rPr>
            </w:pPr>
            <w:r>
              <w:rPr>
                <w:rFonts w:ascii="Book Antiqua" w:hAnsi="Book Antiqua" w:eastAsia="等线"/>
                <w:b/>
                <w:bCs/>
                <w:i/>
                <w:color w:val="000000"/>
              </w:rPr>
              <w:t>P</w:t>
            </w:r>
            <w:r>
              <w:rPr>
                <w:rFonts w:ascii="Book Antiqua" w:hAnsi="Book Antiqua" w:eastAsia="等线"/>
                <w:b/>
                <w:bCs/>
                <w:iCs/>
                <w:color w:val="000000"/>
              </w:rPr>
              <w:t xml:space="preserve"> value</w:t>
            </w:r>
          </w:p>
        </w:tc>
      </w:tr>
      <w:tr>
        <w:tblPrEx>
          <w:tblCellMar>
            <w:top w:w="0" w:type="dxa"/>
            <w:left w:w="108" w:type="dxa"/>
            <w:bottom w:w="0" w:type="dxa"/>
            <w:right w:w="108" w:type="dxa"/>
          </w:tblCellMar>
        </w:tblPrEx>
        <w:trPr>
          <w:trHeight w:val="329" w:hRule="atLeast"/>
        </w:trPr>
        <w:tc>
          <w:tcPr>
            <w:tcW w:w="4536" w:type="dxa"/>
            <w:tcBorders>
              <w:top w:val="single" w:color="auto" w:sz="4" w:space="0"/>
            </w:tcBorders>
          </w:tcPr>
          <w:p>
            <w:pPr>
              <w:spacing w:line="360" w:lineRule="auto"/>
              <w:jc w:val="both"/>
              <w:rPr>
                <w:rFonts w:ascii="Book Antiqua" w:hAnsi="Book Antiqua" w:eastAsia="等线"/>
                <w:color w:val="000000"/>
              </w:rPr>
            </w:pPr>
            <w:r>
              <w:rPr>
                <w:rFonts w:ascii="Book Antiqua" w:hAnsi="Book Antiqua" w:eastAsia="等线"/>
                <w:color w:val="000000"/>
              </w:rPr>
              <w:t>Sex</w:t>
            </w:r>
          </w:p>
        </w:tc>
        <w:tc>
          <w:tcPr>
            <w:tcW w:w="1560" w:type="dxa"/>
            <w:tcBorders>
              <w:top w:val="single" w:color="auto" w:sz="4" w:space="0"/>
            </w:tcBorders>
          </w:tcPr>
          <w:p>
            <w:pPr>
              <w:spacing w:line="360" w:lineRule="auto"/>
              <w:jc w:val="both"/>
              <w:rPr>
                <w:rFonts w:ascii="Book Antiqua" w:hAnsi="Book Antiqua" w:eastAsia="等线"/>
                <w:color w:val="000000"/>
              </w:rPr>
            </w:pPr>
            <w:r>
              <w:rPr>
                <w:rFonts w:ascii="Book Antiqua" w:hAnsi="Book Antiqua" w:eastAsia="等线"/>
                <w:color w:val="000000"/>
              </w:rPr>
              <w:t>-</w:t>
            </w:r>
          </w:p>
        </w:tc>
        <w:tc>
          <w:tcPr>
            <w:tcW w:w="1134" w:type="dxa"/>
            <w:tcBorders>
              <w:top w:val="single" w:color="auto" w:sz="4" w:space="0"/>
            </w:tcBorders>
          </w:tcPr>
          <w:p>
            <w:pPr>
              <w:spacing w:line="360" w:lineRule="auto"/>
              <w:jc w:val="both"/>
              <w:rPr>
                <w:rFonts w:ascii="Book Antiqua" w:hAnsi="Book Antiqua" w:eastAsia="等线"/>
                <w:color w:val="000000"/>
              </w:rPr>
            </w:pPr>
            <w:r>
              <w:rPr>
                <w:rFonts w:ascii="Book Antiqua" w:hAnsi="Book Antiqua" w:eastAsia="等线"/>
                <w:color w:val="000000"/>
              </w:rPr>
              <w:t>3.079</w:t>
            </w:r>
          </w:p>
        </w:tc>
        <w:tc>
          <w:tcPr>
            <w:tcW w:w="1049" w:type="dxa"/>
            <w:tcBorders>
              <w:top w:val="single" w:color="auto" w:sz="4" w:space="0"/>
            </w:tcBorders>
          </w:tcPr>
          <w:p>
            <w:pPr>
              <w:spacing w:line="360" w:lineRule="auto"/>
              <w:jc w:val="both"/>
              <w:rPr>
                <w:rFonts w:ascii="Book Antiqua" w:hAnsi="Book Antiqua" w:eastAsia="等线"/>
                <w:color w:val="000000"/>
              </w:rPr>
            </w:pPr>
            <w:r>
              <w:rPr>
                <w:rFonts w:ascii="Book Antiqua" w:hAnsi="Book Antiqua" w:eastAsia="等线"/>
                <w:color w:val="000000"/>
              </w:rPr>
              <w:t>0.079</w:t>
            </w:r>
          </w:p>
        </w:tc>
      </w:tr>
      <w:tr>
        <w:tblPrEx>
          <w:tblCellMar>
            <w:top w:w="0" w:type="dxa"/>
            <w:left w:w="108" w:type="dxa"/>
            <w:bottom w:w="0" w:type="dxa"/>
            <w:right w:w="108" w:type="dxa"/>
          </w:tblCellMar>
        </w:tblPrEx>
        <w:trPr>
          <w:trHeight w:val="329" w:hRule="atLeast"/>
        </w:trPr>
        <w:tc>
          <w:tcPr>
            <w:tcW w:w="4536" w:type="dxa"/>
          </w:tcPr>
          <w:p>
            <w:pPr>
              <w:spacing w:line="360" w:lineRule="auto"/>
              <w:jc w:val="both"/>
              <w:rPr>
                <w:rFonts w:ascii="Book Antiqua" w:hAnsi="Book Antiqua" w:eastAsia="等线"/>
                <w:color w:val="000000"/>
              </w:rPr>
            </w:pPr>
            <w:r>
              <w:rPr>
                <w:rFonts w:ascii="Book Antiqua" w:hAnsi="Book Antiqua" w:eastAsia="等线"/>
                <w:color w:val="000000"/>
              </w:rPr>
              <w:t>Age</w:t>
            </w:r>
          </w:p>
        </w:tc>
        <w:tc>
          <w:tcPr>
            <w:tcW w:w="1560" w:type="dxa"/>
          </w:tcPr>
          <w:p>
            <w:pPr>
              <w:spacing w:line="360" w:lineRule="auto"/>
              <w:jc w:val="both"/>
              <w:rPr>
                <w:rFonts w:ascii="Book Antiqua" w:hAnsi="Book Antiqua" w:eastAsia="等线"/>
                <w:color w:val="000000"/>
              </w:rPr>
            </w:pPr>
            <w:r>
              <w:rPr>
                <w:rFonts w:ascii="Book Antiqua" w:hAnsi="Book Antiqua" w:eastAsia="等线"/>
                <w:color w:val="000000"/>
              </w:rPr>
              <w:t>3.533</w:t>
            </w:r>
          </w:p>
        </w:tc>
        <w:tc>
          <w:tcPr>
            <w:tcW w:w="1134" w:type="dxa"/>
          </w:tcPr>
          <w:p>
            <w:pPr>
              <w:spacing w:line="360" w:lineRule="auto"/>
              <w:jc w:val="both"/>
              <w:rPr>
                <w:rFonts w:ascii="Book Antiqua" w:hAnsi="Book Antiqua" w:eastAsia="等线"/>
                <w:color w:val="000000"/>
              </w:rPr>
            </w:pPr>
            <w:r>
              <w:rPr>
                <w:rFonts w:ascii="Book Antiqua" w:hAnsi="Book Antiqua" w:eastAsia="等线"/>
                <w:color w:val="000000"/>
              </w:rPr>
              <w:t>-</w:t>
            </w:r>
          </w:p>
        </w:tc>
        <w:tc>
          <w:tcPr>
            <w:tcW w:w="1049" w:type="dxa"/>
          </w:tcPr>
          <w:p>
            <w:pPr>
              <w:spacing w:line="360" w:lineRule="auto"/>
              <w:jc w:val="both"/>
              <w:rPr>
                <w:rFonts w:ascii="Book Antiqua" w:hAnsi="Book Antiqua" w:eastAsia="等线"/>
                <w:color w:val="000000"/>
              </w:rPr>
            </w:pPr>
            <w:r>
              <w:rPr>
                <w:rFonts w:ascii="Book Antiqua" w:hAnsi="Book Antiqua" w:eastAsia="等线"/>
                <w:color w:val="000000"/>
              </w:rPr>
              <w:t>&lt; 0.001</w:t>
            </w:r>
          </w:p>
        </w:tc>
      </w:tr>
      <w:tr>
        <w:tblPrEx>
          <w:tblCellMar>
            <w:top w:w="0" w:type="dxa"/>
            <w:left w:w="108" w:type="dxa"/>
            <w:bottom w:w="0" w:type="dxa"/>
            <w:right w:w="108" w:type="dxa"/>
          </w:tblCellMar>
        </w:tblPrEx>
        <w:trPr>
          <w:trHeight w:val="329" w:hRule="atLeast"/>
        </w:trPr>
        <w:tc>
          <w:tcPr>
            <w:tcW w:w="4536" w:type="dxa"/>
          </w:tcPr>
          <w:p>
            <w:pPr>
              <w:spacing w:line="360" w:lineRule="auto"/>
              <w:jc w:val="both"/>
              <w:rPr>
                <w:rFonts w:ascii="Book Antiqua" w:hAnsi="Book Antiqua" w:eastAsia="等线"/>
                <w:color w:val="000000"/>
              </w:rPr>
            </w:pPr>
            <w:r>
              <w:rPr>
                <w:rFonts w:ascii="Book Antiqua" w:hAnsi="Book Antiqua" w:eastAsia="等线"/>
                <w:color w:val="000000"/>
              </w:rPr>
              <w:t>BMI</w:t>
            </w:r>
          </w:p>
        </w:tc>
        <w:tc>
          <w:tcPr>
            <w:tcW w:w="1560" w:type="dxa"/>
          </w:tcPr>
          <w:p>
            <w:pPr>
              <w:spacing w:line="360" w:lineRule="auto"/>
              <w:jc w:val="both"/>
              <w:rPr>
                <w:rFonts w:ascii="Book Antiqua" w:hAnsi="Book Antiqua" w:eastAsia="等线"/>
                <w:color w:val="000000"/>
              </w:rPr>
            </w:pPr>
            <w:r>
              <w:rPr>
                <w:rFonts w:ascii="Book Antiqua" w:hAnsi="Book Antiqua" w:eastAsia="等线"/>
                <w:color w:val="000000"/>
              </w:rPr>
              <w:t>0.181</w:t>
            </w:r>
          </w:p>
        </w:tc>
        <w:tc>
          <w:tcPr>
            <w:tcW w:w="1134" w:type="dxa"/>
          </w:tcPr>
          <w:p>
            <w:pPr>
              <w:spacing w:line="360" w:lineRule="auto"/>
              <w:jc w:val="both"/>
              <w:rPr>
                <w:rFonts w:ascii="Book Antiqua" w:hAnsi="Book Antiqua" w:eastAsia="等线"/>
                <w:color w:val="000000"/>
              </w:rPr>
            </w:pPr>
            <w:r>
              <w:rPr>
                <w:rFonts w:ascii="Book Antiqua" w:hAnsi="Book Antiqua" w:eastAsia="等线"/>
                <w:color w:val="000000"/>
              </w:rPr>
              <w:t>-</w:t>
            </w:r>
          </w:p>
        </w:tc>
        <w:tc>
          <w:tcPr>
            <w:tcW w:w="1049" w:type="dxa"/>
          </w:tcPr>
          <w:p>
            <w:pPr>
              <w:spacing w:line="360" w:lineRule="auto"/>
              <w:jc w:val="both"/>
              <w:rPr>
                <w:rFonts w:ascii="Book Antiqua" w:hAnsi="Book Antiqua" w:eastAsia="等线"/>
                <w:color w:val="000000"/>
              </w:rPr>
            </w:pPr>
            <w:r>
              <w:rPr>
                <w:rFonts w:ascii="Book Antiqua" w:hAnsi="Book Antiqua" w:eastAsia="等线"/>
                <w:color w:val="000000"/>
              </w:rPr>
              <w:t>0.856</w:t>
            </w:r>
          </w:p>
        </w:tc>
      </w:tr>
      <w:tr>
        <w:tblPrEx>
          <w:tblCellMar>
            <w:top w:w="0" w:type="dxa"/>
            <w:left w:w="108" w:type="dxa"/>
            <w:bottom w:w="0" w:type="dxa"/>
            <w:right w:w="108" w:type="dxa"/>
          </w:tblCellMar>
        </w:tblPrEx>
        <w:trPr>
          <w:trHeight w:val="329" w:hRule="atLeast"/>
        </w:trPr>
        <w:tc>
          <w:tcPr>
            <w:tcW w:w="4536" w:type="dxa"/>
          </w:tcPr>
          <w:p>
            <w:pPr>
              <w:spacing w:line="360" w:lineRule="auto"/>
              <w:jc w:val="both"/>
              <w:rPr>
                <w:rFonts w:ascii="Book Antiqua" w:hAnsi="Book Antiqua" w:eastAsia="等线"/>
                <w:color w:val="000000"/>
              </w:rPr>
            </w:pPr>
            <w:r>
              <w:rPr>
                <w:rFonts w:ascii="Book Antiqua" w:hAnsi="Book Antiqua" w:eastAsia="等线"/>
                <w:color w:val="000000"/>
              </w:rPr>
              <w:t>Preoperative iPTH levels</w:t>
            </w:r>
          </w:p>
        </w:tc>
        <w:tc>
          <w:tcPr>
            <w:tcW w:w="1560" w:type="dxa"/>
          </w:tcPr>
          <w:p>
            <w:pPr>
              <w:spacing w:line="360" w:lineRule="auto"/>
              <w:jc w:val="both"/>
              <w:rPr>
                <w:rFonts w:ascii="Book Antiqua" w:hAnsi="Book Antiqua" w:eastAsia="等线"/>
                <w:color w:val="000000"/>
              </w:rPr>
            </w:pPr>
            <w:r>
              <w:rPr>
                <w:rFonts w:ascii="Book Antiqua" w:hAnsi="Book Antiqua" w:eastAsia="等线"/>
                <w:color w:val="000000"/>
              </w:rPr>
              <w:t>-7.260</w:t>
            </w:r>
          </w:p>
        </w:tc>
        <w:tc>
          <w:tcPr>
            <w:tcW w:w="1134" w:type="dxa"/>
          </w:tcPr>
          <w:p>
            <w:pPr>
              <w:spacing w:line="360" w:lineRule="auto"/>
              <w:jc w:val="both"/>
              <w:rPr>
                <w:rFonts w:ascii="Book Antiqua" w:hAnsi="Book Antiqua" w:eastAsia="等线"/>
                <w:color w:val="000000"/>
              </w:rPr>
            </w:pPr>
            <w:r>
              <w:rPr>
                <w:rFonts w:ascii="Book Antiqua" w:hAnsi="Book Antiqua" w:eastAsia="等线"/>
                <w:color w:val="000000"/>
              </w:rPr>
              <w:t>-</w:t>
            </w:r>
          </w:p>
        </w:tc>
        <w:tc>
          <w:tcPr>
            <w:tcW w:w="1049" w:type="dxa"/>
          </w:tcPr>
          <w:p>
            <w:pPr>
              <w:spacing w:line="360" w:lineRule="auto"/>
              <w:jc w:val="both"/>
              <w:rPr>
                <w:rFonts w:ascii="Book Antiqua" w:hAnsi="Book Antiqua" w:eastAsia="等线"/>
                <w:color w:val="000000"/>
              </w:rPr>
            </w:pPr>
            <w:r>
              <w:rPr>
                <w:rFonts w:ascii="Book Antiqua" w:hAnsi="Book Antiqua" w:eastAsia="等线"/>
                <w:color w:val="000000"/>
              </w:rPr>
              <w:t>&lt; 0.001</w:t>
            </w:r>
          </w:p>
        </w:tc>
      </w:tr>
      <w:tr>
        <w:tblPrEx>
          <w:tblCellMar>
            <w:top w:w="0" w:type="dxa"/>
            <w:left w:w="108" w:type="dxa"/>
            <w:bottom w:w="0" w:type="dxa"/>
            <w:right w:w="108" w:type="dxa"/>
          </w:tblCellMar>
        </w:tblPrEx>
        <w:trPr>
          <w:trHeight w:val="329" w:hRule="atLeast"/>
        </w:trPr>
        <w:tc>
          <w:tcPr>
            <w:tcW w:w="4536" w:type="dxa"/>
          </w:tcPr>
          <w:p>
            <w:pPr>
              <w:spacing w:line="360" w:lineRule="auto"/>
              <w:jc w:val="both"/>
              <w:rPr>
                <w:rFonts w:ascii="Book Antiqua" w:hAnsi="Book Antiqua" w:eastAsia="等线"/>
                <w:color w:val="000000"/>
              </w:rPr>
            </w:pPr>
            <w:r>
              <w:rPr>
                <w:rFonts w:ascii="Book Antiqua" w:hAnsi="Book Antiqua" w:eastAsia="等线"/>
                <w:color w:val="000000"/>
              </w:rPr>
              <w:t>Preoperative ALP amounts</w:t>
            </w:r>
          </w:p>
        </w:tc>
        <w:tc>
          <w:tcPr>
            <w:tcW w:w="1560" w:type="dxa"/>
          </w:tcPr>
          <w:p>
            <w:pPr>
              <w:spacing w:line="360" w:lineRule="auto"/>
              <w:jc w:val="both"/>
              <w:rPr>
                <w:rFonts w:ascii="Book Antiqua" w:hAnsi="Book Antiqua" w:eastAsia="等线"/>
                <w:color w:val="000000"/>
              </w:rPr>
            </w:pPr>
            <w:r>
              <w:rPr>
                <w:rFonts w:ascii="Book Antiqua" w:hAnsi="Book Antiqua" w:eastAsia="等线"/>
                <w:color w:val="000000"/>
              </w:rPr>
              <w:t>-6.800</w:t>
            </w:r>
          </w:p>
        </w:tc>
        <w:tc>
          <w:tcPr>
            <w:tcW w:w="1134" w:type="dxa"/>
          </w:tcPr>
          <w:p>
            <w:pPr>
              <w:spacing w:line="360" w:lineRule="auto"/>
              <w:jc w:val="both"/>
              <w:rPr>
                <w:rFonts w:ascii="Book Antiqua" w:hAnsi="Book Antiqua" w:eastAsia="等线"/>
                <w:color w:val="000000"/>
              </w:rPr>
            </w:pPr>
            <w:r>
              <w:rPr>
                <w:rFonts w:ascii="Book Antiqua" w:hAnsi="Book Antiqua" w:eastAsia="等线"/>
                <w:color w:val="000000"/>
              </w:rPr>
              <w:t>-</w:t>
            </w:r>
          </w:p>
        </w:tc>
        <w:tc>
          <w:tcPr>
            <w:tcW w:w="1049" w:type="dxa"/>
          </w:tcPr>
          <w:p>
            <w:pPr>
              <w:spacing w:line="360" w:lineRule="auto"/>
              <w:jc w:val="both"/>
              <w:rPr>
                <w:rFonts w:ascii="Book Antiqua" w:hAnsi="Book Antiqua" w:eastAsia="等线"/>
                <w:color w:val="000000"/>
              </w:rPr>
            </w:pPr>
            <w:r>
              <w:rPr>
                <w:rFonts w:ascii="Book Antiqua" w:hAnsi="Book Antiqua" w:eastAsia="等线"/>
                <w:color w:val="000000"/>
              </w:rPr>
              <w:t>&lt; 0.001</w:t>
            </w:r>
          </w:p>
        </w:tc>
      </w:tr>
      <w:tr>
        <w:tblPrEx>
          <w:tblCellMar>
            <w:top w:w="0" w:type="dxa"/>
            <w:left w:w="108" w:type="dxa"/>
            <w:bottom w:w="0" w:type="dxa"/>
            <w:right w:w="108" w:type="dxa"/>
          </w:tblCellMar>
        </w:tblPrEx>
        <w:trPr>
          <w:trHeight w:val="351" w:hRule="atLeast"/>
        </w:trPr>
        <w:tc>
          <w:tcPr>
            <w:tcW w:w="4536" w:type="dxa"/>
          </w:tcPr>
          <w:p>
            <w:pPr>
              <w:spacing w:line="360" w:lineRule="auto"/>
              <w:jc w:val="both"/>
              <w:rPr>
                <w:rFonts w:ascii="Book Antiqua" w:hAnsi="Book Antiqua" w:eastAsia="等线"/>
                <w:color w:val="000000"/>
              </w:rPr>
            </w:pPr>
            <w:r>
              <w:rPr>
                <w:rFonts w:ascii="Book Antiqua" w:hAnsi="Book Antiqua" w:eastAsia="等线"/>
                <w:color w:val="000000"/>
              </w:rPr>
              <w:t>Preoperative serum calcium amounts</w:t>
            </w:r>
          </w:p>
        </w:tc>
        <w:tc>
          <w:tcPr>
            <w:tcW w:w="1560" w:type="dxa"/>
          </w:tcPr>
          <w:p>
            <w:pPr>
              <w:spacing w:line="360" w:lineRule="auto"/>
              <w:jc w:val="both"/>
              <w:rPr>
                <w:rFonts w:ascii="Book Antiqua" w:hAnsi="Book Antiqua" w:eastAsia="等线"/>
                <w:color w:val="000000"/>
              </w:rPr>
            </w:pPr>
            <w:r>
              <w:rPr>
                <w:rFonts w:ascii="Book Antiqua" w:hAnsi="Book Antiqua" w:eastAsia="等线"/>
                <w:color w:val="000000"/>
              </w:rPr>
              <w:t>1.520</w:t>
            </w:r>
          </w:p>
        </w:tc>
        <w:tc>
          <w:tcPr>
            <w:tcW w:w="1134" w:type="dxa"/>
          </w:tcPr>
          <w:p>
            <w:pPr>
              <w:spacing w:line="360" w:lineRule="auto"/>
              <w:jc w:val="both"/>
              <w:rPr>
                <w:rFonts w:ascii="Book Antiqua" w:hAnsi="Book Antiqua" w:eastAsia="等线"/>
                <w:color w:val="000000"/>
              </w:rPr>
            </w:pPr>
            <w:r>
              <w:rPr>
                <w:rFonts w:ascii="Book Antiqua" w:hAnsi="Book Antiqua" w:eastAsia="等线"/>
                <w:color w:val="000000"/>
              </w:rPr>
              <w:t>-</w:t>
            </w:r>
          </w:p>
        </w:tc>
        <w:tc>
          <w:tcPr>
            <w:tcW w:w="1049" w:type="dxa"/>
          </w:tcPr>
          <w:p>
            <w:pPr>
              <w:spacing w:line="360" w:lineRule="auto"/>
              <w:jc w:val="both"/>
              <w:rPr>
                <w:rFonts w:ascii="Book Antiqua" w:hAnsi="Book Antiqua" w:eastAsia="等线"/>
                <w:color w:val="000000"/>
              </w:rPr>
            </w:pPr>
            <w:r>
              <w:rPr>
                <w:rFonts w:ascii="Book Antiqua" w:hAnsi="Book Antiqua" w:eastAsia="等线"/>
                <w:color w:val="000000"/>
              </w:rPr>
              <w:t>0.130</w:t>
            </w:r>
          </w:p>
        </w:tc>
      </w:tr>
      <w:tr>
        <w:tblPrEx>
          <w:tblCellMar>
            <w:top w:w="0" w:type="dxa"/>
            <w:left w:w="108" w:type="dxa"/>
            <w:bottom w:w="0" w:type="dxa"/>
            <w:right w:w="108" w:type="dxa"/>
          </w:tblCellMar>
        </w:tblPrEx>
        <w:trPr>
          <w:trHeight w:val="428" w:hRule="atLeast"/>
        </w:trPr>
        <w:tc>
          <w:tcPr>
            <w:tcW w:w="4536" w:type="dxa"/>
          </w:tcPr>
          <w:p>
            <w:pPr>
              <w:spacing w:line="360" w:lineRule="auto"/>
              <w:jc w:val="both"/>
              <w:rPr>
                <w:rFonts w:ascii="Book Antiqua" w:hAnsi="Book Antiqua" w:eastAsia="等线"/>
                <w:color w:val="000000"/>
              </w:rPr>
            </w:pPr>
            <w:r>
              <w:rPr>
                <w:rFonts w:ascii="Book Antiqua" w:hAnsi="Book Antiqua" w:eastAsia="等线"/>
                <w:color w:val="000000"/>
              </w:rPr>
              <w:t>Preoperative serum phosphorus levels</w:t>
            </w:r>
          </w:p>
        </w:tc>
        <w:tc>
          <w:tcPr>
            <w:tcW w:w="1560" w:type="dxa"/>
          </w:tcPr>
          <w:p>
            <w:pPr>
              <w:spacing w:line="360" w:lineRule="auto"/>
              <w:jc w:val="both"/>
              <w:rPr>
                <w:rFonts w:ascii="Book Antiqua" w:hAnsi="Book Antiqua" w:eastAsia="等线"/>
                <w:color w:val="000000"/>
              </w:rPr>
            </w:pPr>
            <w:r>
              <w:rPr>
                <w:rFonts w:ascii="Book Antiqua" w:hAnsi="Book Antiqua" w:eastAsia="等线"/>
                <w:color w:val="000000"/>
              </w:rPr>
              <w:t>-2.872</w:t>
            </w:r>
          </w:p>
        </w:tc>
        <w:tc>
          <w:tcPr>
            <w:tcW w:w="1134" w:type="dxa"/>
          </w:tcPr>
          <w:p>
            <w:pPr>
              <w:spacing w:line="360" w:lineRule="auto"/>
              <w:jc w:val="both"/>
              <w:rPr>
                <w:rFonts w:ascii="Book Antiqua" w:hAnsi="Book Antiqua" w:eastAsia="等线"/>
                <w:color w:val="000000"/>
              </w:rPr>
            </w:pPr>
            <w:r>
              <w:rPr>
                <w:rFonts w:ascii="Book Antiqua" w:hAnsi="Book Antiqua" w:eastAsia="等线"/>
                <w:color w:val="000000"/>
              </w:rPr>
              <w:t>-</w:t>
            </w:r>
          </w:p>
        </w:tc>
        <w:tc>
          <w:tcPr>
            <w:tcW w:w="1049" w:type="dxa"/>
          </w:tcPr>
          <w:p>
            <w:pPr>
              <w:spacing w:line="360" w:lineRule="auto"/>
              <w:jc w:val="both"/>
              <w:rPr>
                <w:rFonts w:ascii="Book Antiqua" w:hAnsi="Book Antiqua" w:eastAsia="等线"/>
                <w:color w:val="000000"/>
              </w:rPr>
            </w:pPr>
            <w:r>
              <w:rPr>
                <w:rFonts w:ascii="Book Antiqua" w:hAnsi="Book Antiqua" w:eastAsia="等线"/>
                <w:color w:val="000000"/>
              </w:rPr>
              <w:t>0.004</w:t>
            </w:r>
          </w:p>
        </w:tc>
      </w:tr>
      <w:tr>
        <w:tblPrEx>
          <w:tblCellMar>
            <w:top w:w="0" w:type="dxa"/>
            <w:left w:w="108" w:type="dxa"/>
            <w:bottom w:w="0" w:type="dxa"/>
            <w:right w:w="108" w:type="dxa"/>
          </w:tblCellMar>
        </w:tblPrEx>
        <w:trPr>
          <w:trHeight w:val="481" w:hRule="atLeast"/>
        </w:trPr>
        <w:tc>
          <w:tcPr>
            <w:tcW w:w="4536" w:type="dxa"/>
          </w:tcPr>
          <w:p>
            <w:pPr>
              <w:spacing w:line="360" w:lineRule="auto"/>
              <w:jc w:val="both"/>
              <w:rPr>
                <w:rFonts w:ascii="Book Antiqua" w:hAnsi="Book Antiqua" w:eastAsia="等线"/>
                <w:color w:val="000000"/>
              </w:rPr>
            </w:pPr>
            <w:r>
              <w:rPr>
                <w:rFonts w:ascii="Book Antiqua" w:hAnsi="Book Antiqua" w:eastAsia="等线"/>
                <w:color w:val="000000"/>
              </w:rPr>
              <w:t>Preoperative calcium-phosphorus ratio</w:t>
            </w:r>
          </w:p>
        </w:tc>
        <w:tc>
          <w:tcPr>
            <w:tcW w:w="1560" w:type="dxa"/>
          </w:tcPr>
          <w:p>
            <w:pPr>
              <w:spacing w:line="360" w:lineRule="auto"/>
              <w:jc w:val="both"/>
              <w:rPr>
                <w:rFonts w:ascii="Book Antiqua" w:hAnsi="Book Antiqua" w:eastAsia="等线"/>
                <w:color w:val="000000"/>
              </w:rPr>
            </w:pPr>
            <w:r>
              <w:rPr>
                <w:rFonts w:ascii="Book Antiqua" w:hAnsi="Book Antiqua" w:eastAsia="等线"/>
                <w:color w:val="000000"/>
              </w:rPr>
              <w:t>-2.163</w:t>
            </w:r>
          </w:p>
        </w:tc>
        <w:tc>
          <w:tcPr>
            <w:tcW w:w="1134" w:type="dxa"/>
          </w:tcPr>
          <w:p>
            <w:pPr>
              <w:spacing w:line="360" w:lineRule="auto"/>
              <w:jc w:val="both"/>
              <w:rPr>
                <w:rFonts w:ascii="Book Antiqua" w:hAnsi="Book Antiqua" w:eastAsia="等线"/>
                <w:color w:val="000000"/>
              </w:rPr>
            </w:pPr>
            <w:r>
              <w:rPr>
                <w:rFonts w:ascii="Book Antiqua" w:hAnsi="Book Antiqua" w:eastAsia="等线"/>
                <w:color w:val="000000"/>
              </w:rPr>
              <w:t>-</w:t>
            </w:r>
          </w:p>
        </w:tc>
        <w:tc>
          <w:tcPr>
            <w:tcW w:w="1049" w:type="dxa"/>
          </w:tcPr>
          <w:p>
            <w:pPr>
              <w:spacing w:line="360" w:lineRule="auto"/>
              <w:jc w:val="both"/>
              <w:rPr>
                <w:rFonts w:ascii="Book Antiqua" w:hAnsi="Book Antiqua" w:eastAsia="等线"/>
                <w:color w:val="000000"/>
              </w:rPr>
            </w:pPr>
            <w:r>
              <w:rPr>
                <w:rFonts w:ascii="Book Antiqua" w:hAnsi="Book Antiqua" w:eastAsia="等线"/>
                <w:color w:val="000000"/>
              </w:rPr>
              <w:t>0.031</w:t>
            </w:r>
          </w:p>
        </w:tc>
      </w:tr>
      <w:tr>
        <w:tblPrEx>
          <w:tblCellMar>
            <w:top w:w="0" w:type="dxa"/>
            <w:left w:w="108" w:type="dxa"/>
            <w:bottom w:w="0" w:type="dxa"/>
            <w:right w:w="108" w:type="dxa"/>
          </w:tblCellMar>
        </w:tblPrEx>
        <w:trPr>
          <w:trHeight w:val="329" w:hRule="atLeast"/>
        </w:trPr>
        <w:tc>
          <w:tcPr>
            <w:tcW w:w="4536" w:type="dxa"/>
            <w:tcBorders>
              <w:bottom w:val="single" w:color="auto" w:sz="4" w:space="0"/>
            </w:tcBorders>
          </w:tcPr>
          <w:p>
            <w:pPr>
              <w:spacing w:line="360" w:lineRule="auto"/>
              <w:jc w:val="both"/>
              <w:rPr>
                <w:rFonts w:ascii="Book Antiqua" w:hAnsi="Book Antiqua" w:eastAsia="等线"/>
                <w:color w:val="000000"/>
              </w:rPr>
            </w:pPr>
            <w:r>
              <w:rPr>
                <w:rFonts w:ascii="Book Antiqua" w:hAnsi="Book Antiqua" w:eastAsia="等线"/>
                <w:color w:val="000000"/>
              </w:rPr>
              <w:t>CS regimen</w:t>
            </w:r>
          </w:p>
        </w:tc>
        <w:tc>
          <w:tcPr>
            <w:tcW w:w="1560" w:type="dxa"/>
            <w:tcBorders>
              <w:bottom w:val="single" w:color="auto" w:sz="4" w:space="0"/>
            </w:tcBorders>
          </w:tcPr>
          <w:p>
            <w:pPr>
              <w:spacing w:line="360" w:lineRule="auto"/>
              <w:jc w:val="both"/>
              <w:rPr>
                <w:rFonts w:ascii="Book Antiqua" w:hAnsi="Book Antiqua" w:eastAsia="等线"/>
                <w:color w:val="000000"/>
              </w:rPr>
            </w:pPr>
            <w:r>
              <w:rPr>
                <w:rFonts w:ascii="Book Antiqua" w:hAnsi="Book Antiqua" w:eastAsia="等线"/>
                <w:color w:val="000000"/>
              </w:rPr>
              <w:t>-</w:t>
            </w:r>
          </w:p>
        </w:tc>
        <w:tc>
          <w:tcPr>
            <w:tcW w:w="1134" w:type="dxa"/>
            <w:tcBorders>
              <w:bottom w:val="single" w:color="auto" w:sz="4" w:space="0"/>
            </w:tcBorders>
          </w:tcPr>
          <w:p>
            <w:pPr>
              <w:spacing w:line="360" w:lineRule="auto"/>
              <w:jc w:val="both"/>
              <w:rPr>
                <w:rFonts w:ascii="Book Antiqua" w:hAnsi="Book Antiqua" w:eastAsia="等线"/>
                <w:color w:val="000000"/>
              </w:rPr>
            </w:pPr>
            <w:r>
              <w:rPr>
                <w:rFonts w:ascii="Book Antiqua" w:hAnsi="Book Antiqua" w:eastAsia="等线"/>
                <w:color w:val="000000"/>
              </w:rPr>
              <w:t>28.304</w:t>
            </w:r>
          </w:p>
        </w:tc>
        <w:tc>
          <w:tcPr>
            <w:tcW w:w="1049" w:type="dxa"/>
            <w:tcBorders>
              <w:bottom w:val="single" w:color="auto" w:sz="4" w:space="0"/>
            </w:tcBorders>
          </w:tcPr>
          <w:p>
            <w:pPr>
              <w:spacing w:line="360" w:lineRule="auto"/>
              <w:jc w:val="both"/>
              <w:rPr>
                <w:rFonts w:ascii="Book Antiqua" w:hAnsi="Book Antiqua" w:eastAsia="等线"/>
                <w:color w:val="000000"/>
              </w:rPr>
            </w:pPr>
            <w:r>
              <w:rPr>
                <w:rFonts w:ascii="Book Antiqua" w:hAnsi="Book Antiqua" w:eastAsia="等线"/>
                <w:color w:val="000000"/>
              </w:rPr>
              <w:t>&lt; 0.001</w:t>
            </w:r>
          </w:p>
        </w:tc>
      </w:tr>
    </w:tbl>
    <w:p>
      <w:pPr>
        <w:pStyle w:val="10"/>
        <w:spacing w:line="360" w:lineRule="auto"/>
        <w:rPr>
          <w:rFonts w:ascii="Book Antiqua" w:hAnsi="Book Antiqua" w:cs="Times New Roman"/>
          <w:b/>
          <w:sz w:val="24"/>
          <w:szCs w:val="24"/>
        </w:rPr>
      </w:pPr>
      <w:r>
        <w:rPr>
          <w:rFonts w:ascii="Book Antiqua" w:hAnsi="Book Antiqua" w:eastAsia="等线" w:cs="Times New Roman"/>
          <w:color w:val="000000"/>
          <w:kern w:val="0"/>
          <w:sz w:val="24"/>
          <w:szCs w:val="24"/>
        </w:rPr>
        <w:t>BMI: Body mass index; iPTH: Intact parathyroid hormone; ALP: Alkaline phosphatase; CS: Calcium supplementation.</w:t>
      </w:r>
    </w:p>
    <w:p>
      <w:pPr>
        <w:spacing w:line="360" w:lineRule="auto"/>
        <w:jc w:val="both"/>
        <w:rPr>
          <w:rFonts w:ascii="Book Antiqua" w:hAnsi="Book Antiqua"/>
          <w:b/>
        </w:rPr>
      </w:pPr>
      <w:r>
        <w:rPr>
          <w:rFonts w:ascii="Book Antiqua" w:hAnsi="Book Antiqua"/>
          <w:b/>
        </w:rPr>
        <w:br w:type="page"/>
      </w:r>
      <w:r>
        <w:rPr>
          <w:rFonts w:ascii="Book Antiqua" w:hAnsi="Book Antiqua"/>
          <w:b/>
        </w:rPr>
        <w:t xml:space="preserve">Table 4 Multivariable analysis of risk factors for </w:t>
      </w:r>
      <w:r>
        <w:rPr>
          <w:rFonts w:ascii="Book Antiqua" w:hAnsi="Book Antiqua"/>
          <w:b/>
          <w:bCs/>
        </w:rPr>
        <w:t>severe hypocalcemia</w:t>
      </w:r>
      <w:r>
        <w:rPr>
          <w:rFonts w:ascii="Book Antiqua" w:hAnsi="Book Antiqua"/>
          <w:b/>
        </w:rPr>
        <w:t xml:space="preserve"> in all patients</w:t>
      </w:r>
    </w:p>
    <w:tbl>
      <w:tblPr>
        <w:tblStyle w:val="7"/>
        <w:tblW w:w="8755" w:type="dxa"/>
        <w:tblInd w:w="0" w:type="dxa"/>
        <w:tblLayout w:type="fixed"/>
        <w:tblCellMar>
          <w:top w:w="0" w:type="dxa"/>
          <w:left w:w="108" w:type="dxa"/>
          <w:bottom w:w="0" w:type="dxa"/>
          <w:right w:w="108" w:type="dxa"/>
        </w:tblCellMar>
      </w:tblPr>
      <w:tblGrid>
        <w:gridCol w:w="4253"/>
        <w:gridCol w:w="1417"/>
        <w:gridCol w:w="1701"/>
        <w:gridCol w:w="1384"/>
      </w:tblGrid>
      <w:tr>
        <w:tblPrEx>
          <w:tblCellMar>
            <w:top w:w="0" w:type="dxa"/>
            <w:left w:w="108" w:type="dxa"/>
            <w:bottom w:w="0" w:type="dxa"/>
            <w:right w:w="108" w:type="dxa"/>
          </w:tblCellMar>
        </w:tblPrEx>
        <w:trPr>
          <w:trHeight w:val="437" w:hRule="atLeast"/>
        </w:trPr>
        <w:tc>
          <w:tcPr>
            <w:tcW w:w="4253" w:type="dxa"/>
            <w:vMerge w:val="restart"/>
            <w:tcBorders>
              <w:top w:val="single" w:color="auto" w:sz="4" w:space="0"/>
            </w:tcBorders>
          </w:tcPr>
          <w:p>
            <w:pPr>
              <w:spacing w:line="360" w:lineRule="auto"/>
              <w:jc w:val="both"/>
              <w:rPr>
                <w:rFonts w:ascii="Book Antiqua" w:hAnsi="Book Antiqua" w:eastAsia="宋体"/>
                <w:b/>
                <w:bCs/>
              </w:rPr>
            </w:pPr>
          </w:p>
        </w:tc>
        <w:tc>
          <w:tcPr>
            <w:tcW w:w="4502" w:type="dxa"/>
            <w:gridSpan w:val="3"/>
            <w:tcBorders>
              <w:top w:val="single" w:color="auto" w:sz="4" w:space="0"/>
              <w:bottom w:val="single" w:color="auto" w:sz="4" w:space="0"/>
            </w:tcBorders>
          </w:tcPr>
          <w:p>
            <w:pPr>
              <w:spacing w:line="360" w:lineRule="auto"/>
              <w:jc w:val="both"/>
              <w:rPr>
                <w:rFonts w:ascii="Book Antiqua" w:hAnsi="Book Antiqua" w:eastAsia="宋体"/>
                <w:b/>
                <w:bCs/>
              </w:rPr>
            </w:pPr>
            <w:r>
              <w:rPr>
                <w:rFonts w:ascii="Book Antiqua" w:hAnsi="Book Antiqua" w:eastAsia="宋体"/>
                <w:b/>
                <w:bCs/>
              </w:rPr>
              <w:t>Multivariate</w:t>
            </w:r>
          </w:p>
        </w:tc>
      </w:tr>
      <w:tr>
        <w:tblPrEx>
          <w:tblCellMar>
            <w:top w:w="0" w:type="dxa"/>
            <w:left w:w="108" w:type="dxa"/>
            <w:bottom w:w="0" w:type="dxa"/>
            <w:right w:w="108" w:type="dxa"/>
          </w:tblCellMar>
        </w:tblPrEx>
        <w:trPr>
          <w:trHeight w:val="445" w:hRule="atLeast"/>
        </w:trPr>
        <w:tc>
          <w:tcPr>
            <w:tcW w:w="4253" w:type="dxa"/>
            <w:vMerge w:val="continue"/>
            <w:tcBorders>
              <w:bottom w:val="single" w:color="auto" w:sz="4" w:space="0"/>
            </w:tcBorders>
          </w:tcPr>
          <w:p>
            <w:pPr>
              <w:spacing w:line="360" w:lineRule="auto"/>
              <w:jc w:val="both"/>
              <w:rPr>
                <w:rFonts w:ascii="Book Antiqua" w:hAnsi="Book Antiqua" w:eastAsia="宋体"/>
                <w:b/>
                <w:bCs/>
              </w:rPr>
            </w:pPr>
          </w:p>
        </w:tc>
        <w:tc>
          <w:tcPr>
            <w:tcW w:w="1417" w:type="dxa"/>
            <w:tcBorders>
              <w:top w:val="single" w:color="auto" w:sz="4" w:space="0"/>
              <w:bottom w:val="single" w:color="auto" w:sz="4" w:space="0"/>
            </w:tcBorders>
          </w:tcPr>
          <w:p>
            <w:pPr>
              <w:spacing w:line="360" w:lineRule="auto"/>
              <w:jc w:val="both"/>
              <w:rPr>
                <w:rFonts w:ascii="Book Antiqua" w:hAnsi="Book Antiqua" w:eastAsia="宋体"/>
                <w:b/>
                <w:bCs/>
              </w:rPr>
            </w:pPr>
            <w:r>
              <w:rPr>
                <w:rFonts w:ascii="Book Antiqua" w:hAnsi="Book Antiqua" w:eastAsia="宋体"/>
                <w:b/>
                <w:bCs/>
              </w:rPr>
              <w:t>OR</w:t>
            </w:r>
          </w:p>
        </w:tc>
        <w:tc>
          <w:tcPr>
            <w:tcW w:w="1701" w:type="dxa"/>
            <w:tcBorders>
              <w:top w:val="single" w:color="auto" w:sz="4" w:space="0"/>
              <w:bottom w:val="single" w:color="auto" w:sz="4" w:space="0"/>
            </w:tcBorders>
          </w:tcPr>
          <w:p>
            <w:pPr>
              <w:spacing w:line="360" w:lineRule="auto"/>
              <w:jc w:val="both"/>
              <w:rPr>
                <w:rFonts w:ascii="Book Antiqua" w:hAnsi="Book Antiqua" w:eastAsia="宋体"/>
                <w:b/>
                <w:bCs/>
              </w:rPr>
            </w:pPr>
            <w:r>
              <w:rPr>
                <w:rFonts w:ascii="Book Antiqua" w:hAnsi="Book Antiqua" w:eastAsia="宋体"/>
                <w:b/>
                <w:bCs/>
              </w:rPr>
              <w:t>95%CI</w:t>
            </w:r>
          </w:p>
        </w:tc>
        <w:tc>
          <w:tcPr>
            <w:tcW w:w="1384" w:type="dxa"/>
            <w:tcBorders>
              <w:top w:val="single" w:color="auto" w:sz="4" w:space="0"/>
              <w:bottom w:val="single" w:color="auto" w:sz="4" w:space="0"/>
            </w:tcBorders>
          </w:tcPr>
          <w:p>
            <w:pPr>
              <w:spacing w:line="360" w:lineRule="auto"/>
              <w:jc w:val="both"/>
              <w:rPr>
                <w:rFonts w:ascii="Book Antiqua" w:hAnsi="Book Antiqua" w:eastAsia="宋体"/>
                <w:b/>
                <w:bCs/>
                <w:iCs/>
              </w:rPr>
            </w:pPr>
            <w:r>
              <w:rPr>
                <w:rFonts w:ascii="Book Antiqua" w:hAnsi="Book Antiqua" w:eastAsia="宋体"/>
                <w:b/>
                <w:bCs/>
                <w:i/>
              </w:rPr>
              <w:t>P</w:t>
            </w:r>
            <w:r>
              <w:rPr>
                <w:rFonts w:ascii="Book Antiqua" w:hAnsi="Book Antiqua" w:eastAsia="宋体"/>
                <w:b/>
                <w:bCs/>
                <w:iCs/>
              </w:rPr>
              <w:t xml:space="preserve"> value</w:t>
            </w:r>
          </w:p>
        </w:tc>
      </w:tr>
      <w:tr>
        <w:tblPrEx>
          <w:tblCellMar>
            <w:top w:w="0" w:type="dxa"/>
            <w:left w:w="108" w:type="dxa"/>
            <w:bottom w:w="0" w:type="dxa"/>
            <w:right w:w="108" w:type="dxa"/>
          </w:tblCellMar>
        </w:tblPrEx>
        <w:trPr>
          <w:trHeight w:val="392" w:hRule="atLeast"/>
        </w:trPr>
        <w:tc>
          <w:tcPr>
            <w:tcW w:w="4253" w:type="dxa"/>
            <w:tcBorders>
              <w:top w:val="single" w:color="auto" w:sz="4" w:space="0"/>
            </w:tcBorders>
          </w:tcPr>
          <w:p>
            <w:pPr>
              <w:spacing w:line="360" w:lineRule="auto"/>
              <w:jc w:val="both"/>
              <w:rPr>
                <w:rFonts w:ascii="Book Antiqua" w:hAnsi="Book Antiqua" w:eastAsia="宋体"/>
              </w:rPr>
            </w:pPr>
            <w:r>
              <w:rPr>
                <w:rFonts w:ascii="Book Antiqua" w:hAnsi="Book Antiqua" w:eastAsia="宋体"/>
              </w:rPr>
              <w:t>Sex</w:t>
            </w:r>
          </w:p>
        </w:tc>
        <w:tc>
          <w:tcPr>
            <w:tcW w:w="1417" w:type="dxa"/>
            <w:tcBorders>
              <w:top w:val="single" w:color="auto" w:sz="4" w:space="0"/>
            </w:tcBorders>
          </w:tcPr>
          <w:p>
            <w:pPr>
              <w:spacing w:line="360" w:lineRule="auto"/>
              <w:jc w:val="both"/>
              <w:rPr>
                <w:rFonts w:ascii="Book Antiqua" w:hAnsi="Book Antiqua" w:eastAsia="宋体"/>
              </w:rPr>
            </w:pPr>
          </w:p>
        </w:tc>
        <w:tc>
          <w:tcPr>
            <w:tcW w:w="1701" w:type="dxa"/>
            <w:tcBorders>
              <w:top w:val="single" w:color="auto" w:sz="4" w:space="0"/>
            </w:tcBorders>
          </w:tcPr>
          <w:p>
            <w:pPr>
              <w:spacing w:line="360" w:lineRule="auto"/>
              <w:jc w:val="both"/>
              <w:rPr>
                <w:rFonts w:ascii="Book Antiqua" w:hAnsi="Book Antiqua" w:eastAsia="Times New Roman"/>
              </w:rPr>
            </w:pPr>
          </w:p>
        </w:tc>
        <w:tc>
          <w:tcPr>
            <w:tcW w:w="1384" w:type="dxa"/>
            <w:tcBorders>
              <w:top w:val="single" w:color="auto" w:sz="4" w:space="0"/>
            </w:tcBorders>
          </w:tcPr>
          <w:p>
            <w:pPr>
              <w:spacing w:line="360" w:lineRule="auto"/>
              <w:jc w:val="both"/>
              <w:rPr>
                <w:rFonts w:ascii="Book Antiqua" w:hAnsi="Book Antiqua"/>
              </w:rPr>
            </w:pPr>
            <w:r>
              <w:rPr>
                <w:rFonts w:ascii="Book Antiqua" w:hAnsi="Book Antiqua"/>
              </w:rPr>
              <w:t>0.447</w:t>
            </w:r>
          </w:p>
        </w:tc>
      </w:tr>
      <w:tr>
        <w:tblPrEx>
          <w:tblCellMar>
            <w:top w:w="0" w:type="dxa"/>
            <w:left w:w="108" w:type="dxa"/>
            <w:bottom w:w="0" w:type="dxa"/>
            <w:right w:w="108" w:type="dxa"/>
          </w:tblCellMar>
        </w:tblPrEx>
        <w:trPr>
          <w:trHeight w:val="467" w:hRule="atLeast"/>
        </w:trPr>
        <w:tc>
          <w:tcPr>
            <w:tcW w:w="4253" w:type="dxa"/>
          </w:tcPr>
          <w:p>
            <w:pPr>
              <w:spacing w:line="360" w:lineRule="auto"/>
              <w:jc w:val="both"/>
              <w:rPr>
                <w:rFonts w:ascii="Book Antiqua" w:hAnsi="Book Antiqua" w:eastAsia="宋体"/>
              </w:rPr>
            </w:pPr>
            <w:r>
              <w:rPr>
                <w:rFonts w:ascii="Book Antiqua" w:hAnsi="Book Antiqua" w:eastAsia="宋体"/>
              </w:rPr>
              <w:t>Female</w:t>
            </w:r>
          </w:p>
        </w:tc>
        <w:tc>
          <w:tcPr>
            <w:tcW w:w="1417" w:type="dxa"/>
          </w:tcPr>
          <w:p>
            <w:pPr>
              <w:spacing w:line="360" w:lineRule="auto"/>
              <w:jc w:val="both"/>
              <w:rPr>
                <w:rFonts w:ascii="Book Antiqua" w:hAnsi="Book Antiqua" w:eastAsia="宋体"/>
              </w:rPr>
            </w:pPr>
            <w:r>
              <w:rPr>
                <w:rFonts w:ascii="Book Antiqua" w:hAnsi="Book Antiqua" w:eastAsia="宋体"/>
              </w:rPr>
              <w:t>Ref</w:t>
            </w:r>
          </w:p>
        </w:tc>
        <w:tc>
          <w:tcPr>
            <w:tcW w:w="1701" w:type="dxa"/>
          </w:tcPr>
          <w:p>
            <w:pPr>
              <w:spacing w:line="360" w:lineRule="auto"/>
              <w:jc w:val="both"/>
              <w:rPr>
                <w:rFonts w:ascii="Book Antiqua" w:hAnsi="Book Antiqua" w:eastAsia="Times New Roman"/>
              </w:rPr>
            </w:pPr>
          </w:p>
        </w:tc>
        <w:tc>
          <w:tcPr>
            <w:tcW w:w="1384" w:type="dxa"/>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422" w:hRule="atLeast"/>
        </w:trPr>
        <w:tc>
          <w:tcPr>
            <w:tcW w:w="4253" w:type="dxa"/>
          </w:tcPr>
          <w:p>
            <w:pPr>
              <w:spacing w:line="360" w:lineRule="auto"/>
              <w:jc w:val="both"/>
              <w:rPr>
                <w:rFonts w:ascii="Book Antiqua" w:hAnsi="Book Antiqua" w:eastAsia="宋体"/>
              </w:rPr>
            </w:pPr>
            <w:r>
              <w:rPr>
                <w:rFonts w:ascii="Book Antiqua" w:hAnsi="Book Antiqua" w:eastAsia="宋体"/>
              </w:rPr>
              <w:t>Male</w:t>
            </w:r>
          </w:p>
        </w:tc>
        <w:tc>
          <w:tcPr>
            <w:tcW w:w="1417" w:type="dxa"/>
          </w:tcPr>
          <w:p>
            <w:pPr>
              <w:spacing w:line="360" w:lineRule="auto"/>
              <w:jc w:val="both"/>
              <w:rPr>
                <w:rFonts w:ascii="Book Antiqua" w:hAnsi="Book Antiqua" w:eastAsia="宋体"/>
              </w:rPr>
            </w:pPr>
            <w:r>
              <w:rPr>
                <w:rFonts w:ascii="Book Antiqua" w:hAnsi="Book Antiqua" w:eastAsia="宋体"/>
              </w:rPr>
              <w:t>1.275</w:t>
            </w:r>
          </w:p>
        </w:tc>
        <w:tc>
          <w:tcPr>
            <w:tcW w:w="1701" w:type="dxa"/>
          </w:tcPr>
          <w:p>
            <w:pPr>
              <w:spacing w:line="360" w:lineRule="auto"/>
              <w:jc w:val="both"/>
              <w:rPr>
                <w:rFonts w:ascii="Book Antiqua" w:hAnsi="Book Antiqua"/>
              </w:rPr>
            </w:pPr>
            <w:r>
              <w:rPr>
                <w:rFonts w:ascii="Book Antiqua" w:hAnsi="Book Antiqua"/>
              </w:rPr>
              <w:t>0.682-2.381</w:t>
            </w:r>
          </w:p>
        </w:tc>
        <w:tc>
          <w:tcPr>
            <w:tcW w:w="1384" w:type="dxa"/>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467" w:hRule="atLeast"/>
        </w:trPr>
        <w:tc>
          <w:tcPr>
            <w:tcW w:w="4253" w:type="dxa"/>
          </w:tcPr>
          <w:p>
            <w:pPr>
              <w:spacing w:line="360" w:lineRule="auto"/>
              <w:jc w:val="both"/>
              <w:rPr>
                <w:rFonts w:ascii="Book Antiqua" w:hAnsi="Book Antiqua" w:eastAsia="宋体"/>
              </w:rPr>
            </w:pPr>
            <w:r>
              <w:rPr>
                <w:rFonts w:ascii="Book Antiqua" w:hAnsi="Book Antiqua" w:eastAsia="宋体"/>
              </w:rPr>
              <w:t>Age</w:t>
            </w:r>
          </w:p>
        </w:tc>
        <w:tc>
          <w:tcPr>
            <w:tcW w:w="1417" w:type="dxa"/>
          </w:tcPr>
          <w:p>
            <w:pPr>
              <w:spacing w:line="360" w:lineRule="auto"/>
              <w:jc w:val="both"/>
              <w:rPr>
                <w:rFonts w:ascii="Book Antiqua" w:hAnsi="Book Antiqua" w:eastAsia="宋体"/>
              </w:rPr>
            </w:pPr>
            <w:r>
              <w:rPr>
                <w:rFonts w:ascii="Book Antiqua" w:hAnsi="Book Antiqua" w:eastAsia="宋体"/>
              </w:rPr>
              <w:t>0.994</w:t>
            </w:r>
          </w:p>
        </w:tc>
        <w:tc>
          <w:tcPr>
            <w:tcW w:w="1701" w:type="dxa"/>
          </w:tcPr>
          <w:p>
            <w:pPr>
              <w:spacing w:line="360" w:lineRule="auto"/>
              <w:jc w:val="both"/>
              <w:rPr>
                <w:rFonts w:ascii="Book Antiqua" w:hAnsi="Book Antiqua"/>
              </w:rPr>
            </w:pPr>
            <w:r>
              <w:rPr>
                <w:rFonts w:ascii="Book Antiqua" w:hAnsi="Book Antiqua"/>
              </w:rPr>
              <w:t>0.963-1.025</w:t>
            </w:r>
          </w:p>
        </w:tc>
        <w:tc>
          <w:tcPr>
            <w:tcW w:w="1384" w:type="dxa"/>
          </w:tcPr>
          <w:p>
            <w:pPr>
              <w:spacing w:line="360" w:lineRule="auto"/>
              <w:jc w:val="both"/>
              <w:rPr>
                <w:rFonts w:ascii="Book Antiqua" w:hAnsi="Book Antiqua"/>
              </w:rPr>
            </w:pPr>
            <w:r>
              <w:rPr>
                <w:rFonts w:ascii="Book Antiqua" w:hAnsi="Book Antiqua"/>
              </w:rPr>
              <w:t>0.684</w:t>
            </w:r>
          </w:p>
        </w:tc>
      </w:tr>
      <w:tr>
        <w:tblPrEx>
          <w:tblCellMar>
            <w:top w:w="0" w:type="dxa"/>
            <w:left w:w="108" w:type="dxa"/>
            <w:bottom w:w="0" w:type="dxa"/>
            <w:right w:w="108" w:type="dxa"/>
          </w:tblCellMar>
        </w:tblPrEx>
        <w:trPr>
          <w:trHeight w:val="316" w:hRule="atLeast"/>
        </w:trPr>
        <w:tc>
          <w:tcPr>
            <w:tcW w:w="4253" w:type="dxa"/>
          </w:tcPr>
          <w:p>
            <w:pPr>
              <w:spacing w:line="360" w:lineRule="auto"/>
              <w:jc w:val="both"/>
              <w:rPr>
                <w:rFonts w:ascii="Book Antiqua" w:hAnsi="Book Antiqua" w:eastAsia="宋体"/>
              </w:rPr>
            </w:pPr>
            <w:r>
              <w:rPr>
                <w:rFonts w:ascii="Book Antiqua" w:hAnsi="Book Antiqua" w:eastAsia="宋体"/>
              </w:rPr>
              <w:t>Preoperative iPTH levels</w:t>
            </w:r>
          </w:p>
        </w:tc>
        <w:tc>
          <w:tcPr>
            <w:tcW w:w="1417" w:type="dxa"/>
          </w:tcPr>
          <w:p>
            <w:pPr>
              <w:spacing w:line="360" w:lineRule="auto"/>
              <w:jc w:val="both"/>
              <w:rPr>
                <w:rFonts w:ascii="Book Antiqua" w:hAnsi="Book Antiqua" w:eastAsia="宋体"/>
              </w:rPr>
            </w:pPr>
            <w:r>
              <w:rPr>
                <w:rFonts w:ascii="Book Antiqua" w:hAnsi="Book Antiqua" w:eastAsia="宋体"/>
              </w:rPr>
              <w:t>1.001</w:t>
            </w:r>
          </w:p>
        </w:tc>
        <w:tc>
          <w:tcPr>
            <w:tcW w:w="1701" w:type="dxa"/>
          </w:tcPr>
          <w:p>
            <w:pPr>
              <w:spacing w:line="360" w:lineRule="auto"/>
              <w:jc w:val="both"/>
              <w:rPr>
                <w:rFonts w:ascii="Book Antiqua" w:hAnsi="Book Antiqua"/>
              </w:rPr>
            </w:pPr>
            <w:r>
              <w:rPr>
                <w:rFonts w:ascii="Book Antiqua" w:hAnsi="Book Antiqua"/>
              </w:rPr>
              <w:t>1.000-1.001</w:t>
            </w:r>
          </w:p>
        </w:tc>
        <w:tc>
          <w:tcPr>
            <w:tcW w:w="1384" w:type="dxa"/>
          </w:tcPr>
          <w:p>
            <w:pPr>
              <w:spacing w:line="360" w:lineRule="auto"/>
              <w:jc w:val="both"/>
              <w:rPr>
                <w:rFonts w:ascii="Book Antiqua" w:hAnsi="Book Antiqua"/>
              </w:rPr>
            </w:pPr>
            <w:r>
              <w:rPr>
                <w:rFonts w:ascii="Book Antiqua" w:hAnsi="Book Antiqua"/>
              </w:rPr>
              <w:t>0.009</w:t>
            </w:r>
          </w:p>
        </w:tc>
      </w:tr>
      <w:tr>
        <w:tblPrEx>
          <w:tblCellMar>
            <w:top w:w="0" w:type="dxa"/>
            <w:left w:w="108" w:type="dxa"/>
            <w:bottom w:w="0" w:type="dxa"/>
            <w:right w:w="108" w:type="dxa"/>
          </w:tblCellMar>
        </w:tblPrEx>
        <w:trPr>
          <w:trHeight w:val="633" w:hRule="atLeast"/>
        </w:trPr>
        <w:tc>
          <w:tcPr>
            <w:tcW w:w="4253" w:type="dxa"/>
          </w:tcPr>
          <w:p>
            <w:pPr>
              <w:spacing w:line="360" w:lineRule="auto"/>
              <w:jc w:val="both"/>
              <w:rPr>
                <w:rFonts w:ascii="Book Antiqua" w:hAnsi="Book Antiqua" w:eastAsia="宋体"/>
              </w:rPr>
            </w:pPr>
            <w:r>
              <w:rPr>
                <w:rFonts w:ascii="Book Antiqua" w:hAnsi="Book Antiqua" w:eastAsia="宋体"/>
              </w:rPr>
              <w:t>Preoperative ALP amounts</w:t>
            </w:r>
          </w:p>
        </w:tc>
        <w:tc>
          <w:tcPr>
            <w:tcW w:w="1417" w:type="dxa"/>
          </w:tcPr>
          <w:p>
            <w:pPr>
              <w:spacing w:line="360" w:lineRule="auto"/>
              <w:jc w:val="both"/>
              <w:rPr>
                <w:rFonts w:ascii="Book Antiqua" w:hAnsi="Book Antiqua" w:eastAsia="宋体"/>
              </w:rPr>
            </w:pPr>
            <w:r>
              <w:rPr>
                <w:rFonts w:ascii="Book Antiqua" w:hAnsi="Book Antiqua" w:eastAsia="宋体"/>
              </w:rPr>
              <w:t>1.002</w:t>
            </w:r>
          </w:p>
        </w:tc>
        <w:tc>
          <w:tcPr>
            <w:tcW w:w="1701" w:type="dxa"/>
          </w:tcPr>
          <w:p>
            <w:pPr>
              <w:spacing w:line="360" w:lineRule="auto"/>
              <w:jc w:val="both"/>
              <w:rPr>
                <w:rFonts w:ascii="Book Antiqua" w:hAnsi="Book Antiqua"/>
              </w:rPr>
            </w:pPr>
            <w:r>
              <w:rPr>
                <w:rFonts w:ascii="Book Antiqua" w:hAnsi="Book Antiqua"/>
              </w:rPr>
              <w:t>1.001-1.003</w:t>
            </w:r>
          </w:p>
        </w:tc>
        <w:tc>
          <w:tcPr>
            <w:tcW w:w="1384" w:type="dxa"/>
          </w:tcPr>
          <w:p>
            <w:pPr>
              <w:spacing w:line="360" w:lineRule="auto"/>
              <w:jc w:val="both"/>
              <w:rPr>
                <w:rFonts w:ascii="Book Antiqua" w:hAnsi="Book Antiqua"/>
              </w:rPr>
            </w:pPr>
            <w:r>
              <w:rPr>
                <w:rFonts w:ascii="Book Antiqua" w:hAnsi="Book Antiqua"/>
              </w:rPr>
              <w:t>0.002</w:t>
            </w:r>
          </w:p>
        </w:tc>
      </w:tr>
      <w:tr>
        <w:tblPrEx>
          <w:tblCellMar>
            <w:top w:w="0" w:type="dxa"/>
            <w:left w:w="108" w:type="dxa"/>
            <w:bottom w:w="0" w:type="dxa"/>
            <w:right w:w="108" w:type="dxa"/>
          </w:tblCellMar>
        </w:tblPrEx>
        <w:trPr>
          <w:trHeight w:val="563" w:hRule="atLeast"/>
        </w:trPr>
        <w:tc>
          <w:tcPr>
            <w:tcW w:w="4253" w:type="dxa"/>
          </w:tcPr>
          <w:p>
            <w:pPr>
              <w:spacing w:line="360" w:lineRule="auto"/>
              <w:jc w:val="both"/>
              <w:rPr>
                <w:rFonts w:ascii="Book Antiqua" w:hAnsi="Book Antiqua" w:eastAsia="宋体"/>
              </w:rPr>
            </w:pPr>
            <w:r>
              <w:rPr>
                <w:rFonts w:ascii="Book Antiqua" w:hAnsi="Book Antiqua" w:eastAsia="宋体"/>
              </w:rPr>
              <w:t>Preoperative serum phosphorus concentration</w:t>
            </w:r>
          </w:p>
        </w:tc>
        <w:tc>
          <w:tcPr>
            <w:tcW w:w="1417" w:type="dxa"/>
          </w:tcPr>
          <w:p>
            <w:pPr>
              <w:spacing w:line="360" w:lineRule="auto"/>
              <w:jc w:val="both"/>
              <w:rPr>
                <w:rFonts w:ascii="Book Antiqua" w:hAnsi="Book Antiqua" w:eastAsia="宋体"/>
              </w:rPr>
            </w:pPr>
            <w:r>
              <w:rPr>
                <w:rFonts w:ascii="Book Antiqua" w:hAnsi="Book Antiqua" w:eastAsia="宋体"/>
              </w:rPr>
              <w:t>8.729</w:t>
            </w:r>
          </w:p>
        </w:tc>
        <w:tc>
          <w:tcPr>
            <w:tcW w:w="1701" w:type="dxa"/>
          </w:tcPr>
          <w:p>
            <w:pPr>
              <w:spacing w:line="360" w:lineRule="auto"/>
              <w:jc w:val="both"/>
              <w:rPr>
                <w:rFonts w:ascii="Book Antiqua" w:hAnsi="Book Antiqua"/>
              </w:rPr>
            </w:pPr>
            <w:r>
              <w:rPr>
                <w:rFonts w:ascii="Book Antiqua" w:hAnsi="Book Antiqua"/>
              </w:rPr>
              <w:t>1.518-50.216</w:t>
            </w:r>
          </w:p>
        </w:tc>
        <w:tc>
          <w:tcPr>
            <w:tcW w:w="1384" w:type="dxa"/>
          </w:tcPr>
          <w:p>
            <w:pPr>
              <w:spacing w:line="360" w:lineRule="auto"/>
              <w:jc w:val="both"/>
              <w:rPr>
                <w:rFonts w:ascii="Book Antiqua" w:hAnsi="Book Antiqua"/>
              </w:rPr>
            </w:pPr>
            <w:r>
              <w:rPr>
                <w:rFonts w:ascii="Book Antiqua" w:hAnsi="Book Antiqua"/>
              </w:rPr>
              <w:t>0.015</w:t>
            </w:r>
          </w:p>
        </w:tc>
      </w:tr>
      <w:tr>
        <w:tblPrEx>
          <w:tblCellMar>
            <w:top w:w="0" w:type="dxa"/>
            <w:left w:w="108" w:type="dxa"/>
            <w:bottom w:w="0" w:type="dxa"/>
            <w:right w:w="108" w:type="dxa"/>
          </w:tblCellMar>
        </w:tblPrEx>
        <w:trPr>
          <w:trHeight w:val="754" w:hRule="atLeast"/>
        </w:trPr>
        <w:tc>
          <w:tcPr>
            <w:tcW w:w="4253" w:type="dxa"/>
          </w:tcPr>
          <w:p>
            <w:pPr>
              <w:spacing w:line="360" w:lineRule="auto"/>
              <w:jc w:val="both"/>
              <w:rPr>
                <w:rFonts w:ascii="Book Antiqua" w:hAnsi="Book Antiqua" w:eastAsia="宋体"/>
              </w:rPr>
            </w:pPr>
            <w:r>
              <w:rPr>
                <w:rFonts w:ascii="Book Antiqua" w:hAnsi="Book Antiqua" w:eastAsia="宋体"/>
              </w:rPr>
              <w:t>Preoperative calcium-phosphorus ratio</w:t>
            </w:r>
          </w:p>
        </w:tc>
        <w:tc>
          <w:tcPr>
            <w:tcW w:w="1417" w:type="dxa"/>
          </w:tcPr>
          <w:p>
            <w:pPr>
              <w:spacing w:line="360" w:lineRule="auto"/>
              <w:jc w:val="both"/>
              <w:rPr>
                <w:rFonts w:ascii="Book Antiqua" w:hAnsi="Book Antiqua" w:eastAsia="宋体"/>
              </w:rPr>
            </w:pPr>
            <w:r>
              <w:rPr>
                <w:rFonts w:ascii="Book Antiqua" w:hAnsi="Book Antiqua" w:eastAsia="宋体"/>
              </w:rPr>
              <w:t>0.577</w:t>
            </w:r>
          </w:p>
        </w:tc>
        <w:tc>
          <w:tcPr>
            <w:tcW w:w="1701" w:type="dxa"/>
          </w:tcPr>
          <w:p>
            <w:pPr>
              <w:spacing w:line="360" w:lineRule="auto"/>
              <w:jc w:val="both"/>
              <w:rPr>
                <w:rFonts w:ascii="Book Antiqua" w:hAnsi="Book Antiqua"/>
              </w:rPr>
            </w:pPr>
            <w:r>
              <w:rPr>
                <w:rFonts w:ascii="Book Antiqua" w:hAnsi="Book Antiqua"/>
              </w:rPr>
              <w:t>0.306-1.087</w:t>
            </w:r>
          </w:p>
        </w:tc>
        <w:tc>
          <w:tcPr>
            <w:tcW w:w="1384" w:type="dxa"/>
          </w:tcPr>
          <w:p>
            <w:pPr>
              <w:spacing w:line="360" w:lineRule="auto"/>
              <w:jc w:val="both"/>
              <w:rPr>
                <w:rFonts w:ascii="Book Antiqua" w:hAnsi="Book Antiqua"/>
              </w:rPr>
            </w:pPr>
            <w:r>
              <w:rPr>
                <w:rFonts w:ascii="Book Antiqua" w:hAnsi="Book Antiqua"/>
              </w:rPr>
              <w:t>0.089</w:t>
            </w:r>
          </w:p>
        </w:tc>
      </w:tr>
      <w:tr>
        <w:tblPrEx>
          <w:tblCellMar>
            <w:top w:w="0" w:type="dxa"/>
            <w:left w:w="108" w:type="dxa"/>
            <w:bottom w:w="0" w:type="dxa"/>
            <w:right w:w="108" w:type="dxa"/>
          </w:tblCellMar>
        </w:tblPrEx>
        <w:trPr>
          <w:trHeight w:val="467" w:hRule="atLeast"/>
        </w:trPr>
        <w:tc>
          <w:tcPr>
            <w:tcW w:w="4253" w:type="dxa"/>
          </w:tcPr>
          <w:p>
            <w:pPr>
              <w:spacing w:line="360" w:lineRule="auto"/>
              <w:jc w:val="both"/>
              <w:rPr>
                <w:rFonts w:ascii="Book Antiqua" w:hAnsi="Book Antiqua" w:eastAsia="宋体"/>
              </w:rPr>
            </w:pPr>
            <w:r>
              <w:rPr>
                <w:rFonts w:ascii="Book Antiqua" w:hAnsi="Book Antiqua" w:eastAsia="宋体"/>
              </w:rPr>
              <w:t>CS regimen</w:t>
            </w:r>
          </w:p>
        </w:tc>
        <w:tc>
          <w:tcPr>
            <w:tcW w:w="1417" w:type="dxa"/>
          </w:tcPr>
          <w:p>
            <w:pPr>
              <w:spacing w:line="360" w:lineRule="auto"/>
              <w:jc w:val="both"/>
              <w:rPr>
                <w:rFonts w:ascii="Book Antiqua" w:hAnsi="Book Antiqua" w:eastAsia="宋体"/>
              </w:rPr>
            </w:pPr>
          </w:p>
        </w:tc>
        <w:tc>
          <w:tcPr>
            <w:tcW w:w="1701" w:type="dxa"/>
          </w:tcPr>
          <w:p>
            <w:pPr>
              <w:spacing w:line="360" w:lineRule="auto"/>
              <w:jc w:val="both"/>
              <w:rPr>
                <w:rFonts w:ascii="Book Antiqua" w:hAnsi="Book Antiqua" w:eastAsia="Times New Roman"/>
              </w:rPr>
            </w:pPr>
          </w:p>
        </w:tc>
        <w:tc>
          <w:tcPr>
            <w:tcW w:w="1384" w:type="dxa"/>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497" w:hRule="atLeast"/>
        </w:trPr>
        <w:tc>
          <w:tcPr>
            <w:tcW w:w="4253" w:type="dxa"/>
          </w:tcPr>
          <w:p>
            <w:pPr>
              <w:spacing w:line="360" w:lineRule="auto"/>
              <w:jc w:val="both"/>
              <w:rPr>
                <w:rFonts w:ascii="Book Antiqua" w:hAnsi="Book Antiqua" w:eastAsia="宋体"/>
              </w:rPr>
            </w:pPr>
            <w:r>
              <w:rPr>
                <w:rFonts w:ascii="Book Antiqua" w:hAnsi="Book Antiqua" w:eastAsia="宋体"/>
              </w:rPr>
              <w:t>Conventional CS</w:t>
            </w:r>
          </w:p>
        </w:tc>
        <w:tc>
          <w:tcPr>
            <w:tcW w:w="1417" w:type="dxa"/>
          </w:tcPr>
          <w:p>
            <w:pPr>
              <w:spacing w:line="360" w:lineRule="auto"/>
              <w:jc w:val="both"/>
              <w:rPr>
                <w:rFonts w:ascii="Book Antiqua" w:hAnsi="Book Antiqua" w:eastAsia="宋体"/>
              </w:rPr>
            </w:pPr>
            <w:r>
              <w:rPr>
                <w:rFonts w:ascii="Book Antiqua" w:hAnsi="Book Antiqua" w:eastAsia="宋体"/>
              </w:rPr>
              <w:t>Ref</w:t>
            </w:r>
          </w:p>
        </w:tc>
        <w:tc>
          <w:tcPr>
            <w:tcW w:w="1701" w:type="dxa"/>
          </w:tcPr>
          <w:p>
            <w:pPr>
              <w:spacing w:line="360" w:lineRule="auto"/>
              <w:jc w:val="both"/>
              <w:rPr>
                <w:rFonts w:ascii="Book Antiqua" w:hAnsi="Book Antiqua" w:eastAsia="Times New Roman"/>
              </w:rPr>
            </w:pPr>
          </w:p>
        </w:tc>
        <w:tc>
          <w:tcPr>
            <w:tcW w:w="1384" w:type="dxa"/>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543" w:hRule="atLeast"/>
        </w:trPr>
        <w:tc>
          <w:tcPr>
            <w:tcW w:w="4253" w:type="dxa"/>
            <w:tcBorders>
              <w:bottom w:val="single" w:color="auto" w:sz="4" w:space="0"/>
            </w:tcBorders>
          </w:tcPr>
          <w:p>
            <w:pPr>
              <w:spacing w:line="360" w:lineRule="auto"/>
              <w:jc w:val="both"/>
              <w:rPr>
                <w:rFonts w:ascii="Book Antiqua" w:hAnsi="Book Antiqua" w:eastAsia="宋体"/>
              </w:rPr>
            </w:pPr>
            <w:r>
              <w:rPr>
                <w:rFonts w:ascii="Book Antiqua" w:hAnsi="Book Antiqua" w:eastAsia="宋体"/>
              </w:rPr>
              <w:t>Preventive CS</w:t>
            </w:r>
          </w:p>
        </w:tc>
        <w:tc>
          <w:tcPr>
            <w:tcW w:w="1417" w:type="dxa"/>
            <w:tcBorders>
              <w:bottom w:val="single" w:color="auto" w:sz="4" w:space="0"/>
            </w:tcBorders>
          </w:tcPr>
          <w:p>
            <w:pPr>
              <w:spacing w:line="360" w:lineRule="auto"/>
              <w:jc w:val="both"/>
              <w:rPr>
                <w:rFonts w:ascii="Book Antiqua" w:hAnsi="Book Antiqua" w:eastAsia="宋体"/>
              </w:rPr>
            </w:pPr>
            <w:r>
              <w:rPr>
                <w:rFonts w:ascii="Book Antiqua" w:hAnsi="Book Antiqua" w:eastAsia="宋体"/>
              </w:rPr>
              <w:t>0.132</w:t>
            </w:r>
          </w:p>
        </w:tc>
        <w:tc>
          <w:tcPr>
            <w:tcW w:w="1701" w:type="dxa"/>
            <w:tcBorders>
              <w:bottom w:val="single" w:color="auto" w:sz="4" w:space="0"/>
            </w:tcBorders>
          </w:tcPr>
          <w:p>
            <w:pPr>
              <w:spacing w:line="360" w:lineRule="auto"/>
              <w:jc w:val="both"/>
              <w:rPr>
                <w:rFonts w:ascii="Book Antiqua" w:hAnsi="Book Antiqua" w:eastAsia="宋体"/>
              </w:rPr>
            </w:pPr>
            <w:r>
              <w:rPr>
                <w:rFonts w:ascii="Book Antiqua" w:hAnsi="Book Antiqua" w:eastAsia="宋体"/>
              </w:rPr>
              <w:t>0.067-0.261</w:t>
            </w:r>
          </w:p>
        </w:tc>
        <w:tc>
          <w:tcPr>
            <w:tcW w:w="1384" w:type="dxa"/>
            <w:tcBorders>
              <w:bottom w:val="single" w:color="auto" w:sz="4" w:space="0"/>
            </w:tcBorders>
          </w:tcPr>
          <w:p>
            <w:pPr>
              <w:spacing w:line="360" w:lineRule="auto"/>
              <w:jc w:val="both"/>
              <w:rPr>
                <w:rFonts w:ascii="Book Antiqua" w:hAnsi="Book Antiqua" w:eastAsia="宋体"/>
              </w:rPr>
            </w:pPr>
            <w:r>
              <w:rPr>
                <w:rFonts w:ascii="Book Antiqua" w:hAnsi="Book Antiqua" w:eastAsia="宋体"/>
              </w:rPr>
              <w:t>&lt; 0.001</w:t>
            </w:r>
          </w:p>
        </w:tc>
      </w:tr>
    </w:tbl>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 xml:space="preserve">OR: Odds ratio; CI: Confidence interval; iPTH: Intact parathyroid hormone; ALP: </w:t>
      </w:r>
      <w:bookmarkStart w:id="12" w:name="_Hlk96933032"/>
      <w:r>
        <w:rPr>
          <w:rFonts w:ascii="Book Antiqua" w:hAnsi="Book Antiqua" w:eastAsiaTheme="majorEastAsia"/>
        </w:rPr>
        <w:t>Alkaline phosphatase</w:t>
      </w:r>
      <w:bookmarkEnd w:id="12"/>
      <w:r>
        <w:rPr>
          <w:rFonts w:ascii="Book Antiqua" w:hAnsi="Book Antiqua" w:eastAsiaTheme="majorEastAsia"/>
        </w:rPr>
        <w:t xml:space="preserve">; CS: Calcium supplementation; Ref: </w:t>
      </w:r>
      <w:r>
        <w:rPr>
          <w:rFonts w:ascii="Book Antiqua" w:hAnsi="Book Antiqua" w:eastAsiaTheme="majorEastAsia"/>
          <w:lang w:eastAsia="zh-CN"/>
        </w:rPr>
        <w:t>R</w:t>
      </w:r>
      <w:r>
        <w:rPr>
          <w:rFonts w:hint="eastAsia" w:ascii="Book Antiqua" w:hAnsi="Book Antiqua" w:eastAsiaTheme="majorEastAsia"/>
          <w:lang w:eastAsia="zh-CN"/>
        </w:rPr>
        <w:t>eference</w:t>
      </w:r>
      <w:r>
        <w:rPr>
          <w:rFonts w:ascii="Book Antiqua" w:hAnsi="Book Antiqua" w:eastAsiaTheme="majorEastAsia"/>
        </w:rPr>
        <w:t>.</w:t>
      </w:r>
    </w:p>
    <w:p>
      <w:pPr>
        <w:spacing w:line="360" w:lineRule="auto"/>
        <w:jc w:val="both"/>
        <w:rPr>
          <w:rFonts w:ascii="Book Antiqua" w:hAnsi="Book Antiqua" w:eastAsiaTheme="majorEastAsia"/>
        </w:rPr>
      </w:pPr>
      <w:r>
        <w:rPr>
          <w:rFonts w:ascii="Book Antiqua" w:hAnsi="Book Antiqua" w:eastAsiaTheme="majorEastAsia"/>
        </w:rPr>
        <w:br w:type="page"/>
      </w:r>
      <w:r>
        <w:rPr>
          <w:rFonts w:ascii="Book Antiqua" w:hAnsi="Book Antiqua" w:eastAsiaTheme="majorEastAsia"/>
          <w:b/>
        </w:rPr>
        <w:t>Table 5</w:t>
      </w:r>
      <w:r>
        <w:rPr>
          <w:rFonts w:ascii="Book Antiqua" w:hAnsi="Book Antiqua" w:eastAsiaTheme="majorEastAsia"/>
        </w:rPr>
        <w:t xml:space="preserve"> </w:t>
      </w:r>
      <w:r>
        <w:rPr>
          <w:rFonts w:ascii="Book Antiqua" w:hAnsi="Book Antiqua" w:eastAsiaTheme="majorEastAsia"/>
          <w:b/>
        </w:rPr>
        <w:t xml:space="preserve">Hypocalcemia in patients with alkaline phosphatase </w:t>
      </w:r>
      <w:r>
        <w:rPr>
          <w:rFonts w:ascii="Book Antiqua" w:hAnsi="Book Antiqua" w:eastAsia="黑体"/>
          <w:b/>
        </w:rPr>
        <w:t xml:space="preserve">≥ </w:t>
      </w:r>
      <w:r>
        <w:rPr>
          <w:rFonts w:ascii="Book Antiqua" w:hAnsi="Book Antiqua" w:eastAsiaTheme="majorEastAsia"/>
          <w:b/>
        </w:rPr>
        <w:t>500 U/L</w:t>
      </w:r>
    </w:p>
    <w:tbl>
      <w:tblPr>
        <w:tblStyle w:val="7"/>
        <w:tblW w:w="8522" w:type="dxa"/>
        <w:tblInd w:w="0" w:type="dxa"/>
        <w:tblLayout w:type="fixed"/>
        <w:tblCellMar>
          <w:top w:w="0" w:type="dxa"/>
          <w:left w:w="108" w:type="dxa"/>
          <w:bottom w:w="0" w:type="dxa"/>
          <w:right w:w="108" w:type="dxa"/>
        </w:tblCellMar>
      </w:tblPr>
      <w:tblGrid>
        <w:gridCol w:w="3261"/>
        <w:gridCol w:w="1417"/>
        <w:gridCol w:w="1418"/>
        <w:gridCol w:w="1417"/>
        <w:gridCol w:w="1009"/>
      </w:tblGrid>
      <w:tr>
        <w:tblPrEx>
          <w:tblCellMar>
            <w:top w:w="0" w:type="dxa"/>
            <w:left w:w="108" w:type="dxa"/>
            <w:bottom w:w="0" w:type="dxa"/>
            <w:right w:w="108" w:type="dxa"/>
          </w:tblCellMar>
        </w:tblPrEx>
        <w:tc>
          <w:tcPr>
            <w:tcW w:w="3261" w:type="dxa"/>
            <w:tcBorders>
              <w:top w:val="single" w:color="auto" w:sz="4" w:space="0"/>
              <w:bottom w:val="single" w:color="auto" w:sz="4" w:space="0"/>
            </w:tcBorders>
          </w:tcPr>
          <w:p>
            <w:pPr>
              <w:autoSpaceDE w:val="0"/>
              <w:autoSpaceDN w:val="0"/>
              <w:adjustRightInd w:val="0"/>
              <w:spacing w:line="360" w:lineRule="auto"/>
              <w:jc w:val="both"/>
              <w:rPr>
                <w:rFonts w:ascii="Book Antiqua" w:hAnsi="Book Antiqua" w:eastAsiaTheme="majorEastAsia"/>
                <w:b/>
                <w:bCs/>
              </w:rPr>
            </w:pPr>
            <w:r>
              <w:rPr>
                <w:rFonts w:ascii="Book Antiqua" w:hAnsi="Book Antiqua" w:eastAsiaTheme="majorEastAsia"/>
                <w:b/>
                <w:bCs/>
              </w:rPr>
              <w:t>Variable</w:t>
            </w:r>
          </w:p>
        </w:tc>
        <w:tc>
          <w:tcPr>
            <w:tcW w:w="1417" w:type="dxa"/>
            <w:tcBorders>
              <w:top w:val="single" w:color="auto" w:sz="4" w:space="0"/>
              <w:bottom w:val="single" w:color="auto" w:sz="4" w:space="0"/>
            </w:tcBorders>
          </w:tcPr>
          <w:p>
            <w:pPr>
              <w:autoSpaceDE w:val="0"/>
              <w:autoSpaceDN w:val="0"/>
              <w:adjustRightInd w:val="0"/>
              <w:spacing w:line="360" w:lineRule="auto"/>
              <w:jc w:val="both"/>
              <w:rPr>
                <w:rFonts w:ascii="Book Antiqua" w:hAnsi="Book Antiqua" w:eastAsiaTheme="majorEastAsia"/>
                <w:b/>
                <w:bCs/>
              </w:rPr>
            </w:pPr>
            <w:r>
              <w:rPr>
                <w:rFonts w:ascii="Book Antiqua" w:hAnsi="Book Antiqua" w:eastAsiaTheme="majorEastAsia"/>
                <w:b/>
                <w:bCs/>
              </w:rPr>
              <w:t>All patients (</w:t>
            </w:r>
            <w:r>
              <w:rPr>
                <w:rFonts w:ascii="Book Antiqua" w:hAnsi="Book Antiqua" w:eastAsiaTheme="majorEastAsia"/>
                <w:b/>
                <w:bCs/>
                <w:i/>
                <w:iCs/>
              </w:rPr>
              <w:t>n</w:t>
            </w:r>
            <w:r>
              <w:rPr>
                <w:rFonts w:ascii="Book Antiqua" w:hAnsi="Book Antiqua" w:eastAsiaTheme="majorEastAsia"/>
                <w:b/>
                <w:bCs/>
              </w:rPr>
              <w:t xml:space="preserve"> = 77)</w:t>
            </w:r>
          </w:p>
        </w:tc>
        <w:tc>
          <w:tcPr>
            <w:tcW w:w="1418" w:type="dxa"/>
            <w:tcBorders>
              <w:top w:val="single" w:color="auto" w:sz="4" w:space="0"/>
              <w:bottom w:val="single" w:color="auto" w:sz="4" w:space="0"/>
            </w:tcBorders>
          </w:tcPr>
          <w:p>
            <w:pPr>
              <w:autoSpaceDE w:val="0"/>
              <w:autoSpaceDN w:val="0"/>
              <w:adjustRightInd w:val="0"/>
              <w:spacing w:line="360" w:lineRule="auto"/>
              <w:jc w:val="both"/>
              <w:rPr>
                <w:rFonts w:ascii="Book Antiqua" w:hAnsi="Book Antiqua" w:eastAsiaTheme="majorEastAsia"/>
                <w:b/>
                <w:bCs/>
              </w:rPr>
            </w:pPr>
            <w:r>
              <w:rPr>
                <w:rFonts w:ascii="Book Antiqua" w:hAnsi="Book Antiqua" w:eastAsiaTheme="majorEastAsia"/>
                <w:b/>
                <w:bCs/>
              </w:rPr>
              <w:t>Conventional CS group (</w:t>
            </w:r>
            <w:r>
              <w:rPr>
                <w:rFonts w:ascii="Book Antiqua" w:hAnsi="Book Antiqua" w:eastAsiaTheme="majorEastAsia"/>
                <w:b/>
                <w:bCs/>
                <w:i/>
                <w:iCs/>
              </w:rPr>
              <w:t>n</w:t>
            </w:r>
            <w:r>
              <w:rPr>
                <w:rFonts w:ascii="Book Antiqua" w:hAnsi="Book Antiqua" w:eastAsiaTheme="majorEastAsia"/>
                <w:b/>
                <w:bCs/>
              </w:rPr>
              <w:t xml:space="preserve"> = 42)</w:t>
            </w:r>
          </w:p>
        </w:tc>
        <w:tc>
          <w:tcPr>
            <w:tcW w:w="1417" w:type="dxa"/>
            <w:tcBorders>
              <w:top w:val="single" w:color="auto" w:sz="4" w:space="0"/>
              <w:bottom w:val="single" w:color="auto" w:sz="4" w:space="0"/>
            </w:tcBorders>
          </w:tcPr>
          <w:p>
            <w:pPr>
              <w:autoSpaceDE w:val="0"/>
              <w:autoSpaceDN w:val="0"/>
              <w:adjustRightInd w:val="0"/>
              <w:spacing w:line="360" w:lineRule="auto"/>
              <w:jc w:val="both"/>
              <w:rPr>
                <w:rFonts w:ascii="Book Antiqua" w:hAnsi="Book Antiqua" w:eastAsiaTheme="majorEastAsia"/>
                <w:b/>
                <w:bCs/>
              </w:rPr>
            </w:pPr>
            <w:r>
              <w:rPr>
                <w:rFonts w:ascii="Book Antiqua" w:hAnsi="Book Antiqua" w:eastAsiaTheme="majorEastAsia"/>
                <w:b/>
                <w:bCs/>
              </w:rPr>
              <w:t>Preventive CS group (</w:t>
            </w:r>
            <w:r>
              <w:rPr>
                <w:rFonts w:ascii="Book Antiqua" w:hAnsi="Book Antiqua" w:eastAsiaTheme="majorEastAsia"/>
                <w:b/>
                <w:bCs/>
                <w:i/>
                <w:iCs/>
              </w:rPr>
              <w:t>n</w:t>
            </w:r>
            <w:r>
              <w:rPr>
                <w:rFonts w:ascii="Book Antiqua" w:hAnsi="Book Antiqua" w:eastAsiaTheme="majorEastAsia"/>
                <w:b/>
                <w:bCs/>
              </w:rPr>
              <w:t xml:space="preserve"> = 35)</w:t>
            </w:r>
          </w:p>
        </w:tc>
        <w:tc>
          <w:tcPr>
            <w:tcW w:w="1009" w:type="dxa"/>
            <w:tcBorders>
              <w:top w:val="single" w:color="auto" w:sz="4" w:space="0"/>
              <w:bottom w:val="single" w:color="auto" w:sz="4" w:space="0"/>
            </w:tcBorders>
          </w:tcPr>
          <w:p>
            <w:pPr>
              <w:autoSpaceDE w:val="0"/>
              <w:autoSpaceDN w:val="0"/>
              <w:adjustRightInd w:val="0"/>
              <w:spacing w:line="360" w:lineRule="auto"/>
              <w:jc w:val="both"/>
              <w:rPr>
                <w:rFonts w:ascii="Book Antiqua" w:hAnsi="Book Antiqua" w:eastAsiaTheme="majorEastAsia"/>
                <w:b/>
                <w:bCs/>
              </w:rPr>
            </w:pPr>
            <w:r>
              <w:rPr>
                <w:rFonts w:ascii="Book Antiqua" w:hAnsi="Book Antiqua" w:eastAsiaTheme="majorEastAsia"/>
                <w:b/>
                <w:bCs/>
                <w:i/>
                <w:iCs/>
              </w:rPr>
              <w:t>P</w:t>
            </w:r>
            <w:r>
              <w:rPr>
                <w:rFonts w:ascii="Book Antiqua" w:hAnsi="Book Antiqua" w:eastAsiaTheme="majorEastAsia"/>
                <w:b/>
                <w:bCs/>
              </w:rPr>
              <w:t xml:space="preserve"> value</w:t>
            </w:r>
          </w:p>
        </w:tc>
      </w:tr>
      <w:tr>
        <w:tblPrEx>
          <w:tblCellMar>
            <w:top w:w="0" w:type="dxa"/>
            <w:left w:w="108" w:type="dxa"/>
            <w:bottom w:w="0" w:type="dxa"/>
            <w:right w:w="108" w:type="dxa"/>
          </w:tblCellMar>
        </w:tblPrEx>
        <w:tc>
          <w:tcPr>
            <w:tcW w:w="3261" w:type="dxa"/>
            <w:tcBorders>
              <w:top w:val="single" w:color="auto" w:sz="4" w:space="0"/>
            </w:tcBorders>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Postoperative serum calcium levels (mmol/L)</w:t>
            </w:r>
          </w:p>
        </w:tc>
        <w:tc>
          <w:tcPr>
            <w:tcW w:w="1417" w:type="dxa"/>
            <w:tcBorders>
              <w:top w:val="single" w:color="auto" w:sz="4" w:space="0"/>
            </w:tcBorders>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1.65 ± 0.22</w:t>
            </w:r>
          </w:p>
        </w:tc>
        <w:tc>
          <w:tcPr>
            <w:tcW w:w="1418" w:type="dxa"/>
            <w:tcBorders>
              <w:top w:val="single" w:color="auto" w:sz="4" w:space="0"/>
            </w:tcBorders>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1.55 ± 0.17</w:t>
            </w:r>
          </w:p>
        </w:tc>
        <w:tc>
          <w:tcPr>
            <w:tcW w:w="1417" w:type="dxa"/>
            <w:tcBorders>
              <w:top w:val="single" w:color="auto" w:sz="4" w:space="0"/>
            </w:tcBorders>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1.76 ± 0.22</w:t>
            </w:r>
          </w:p>
        </w:tc>
        <w:tc>
          <w:tcPr>
            <w:tcW w:w="1009" w:type="dxa"/>
            <w:tcBorders>
              <w:top w:val="single" w:color="auto" w:sz="4" w:space="0"/>
            </w:tcBorders>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&lt; 0.001</w:t>
            </w:r>
          </w:p>
        </w:tc>
      </w:tr>
      <w:tr>
        <w:tblPrEx>
          <w:tblCellMar>
            <w:top w:w="0" w:type="dxa"/>
            <w:left w:w="108" w:type="dxa"/>
            <w:bottom w:w="0" w:type="dxa"/>
            <w:right w:w="108" w:type="dxa"/>
          </w:tblCellMar>
        </w:tblPrEx>
        <w:tc>
          <w:tcPr>
            <w:tcW w:w="3261" w:type="dxa"/>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Patients with postoperative hypocalcemia (</w:t>
            </w:r>
            <w:r>
              <w:rPr>
                <w:rFonts w:ascii="Book Antiqua" w:hAnsi="Book Antiqua" w:eastAsiaTheme="majorEastAsia"/>
                <w:i/>
                <w:iCs/>
              </w:rPr>
              <w:t>n</w:t>
            </w:r>
            <w:r>
              <w:rPr>
                <w:rFonts w:ascii="Book Antiqua" w:hAnsi="Book Antiqua" w:eastAsiaTheme="majorEastAsia"/>
              </w:rPr>
              <w:t>, %)</w:t>
            </w:r>
          </w:p>
        </w:tc>
        <w:tc>
          <w:tcPr>
            <w:tcW w:w="1417" w:type="dxa"/>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72 (93.5)</w:t>
            </w:r>
          </w:p>
        </w:tc>
        <w:tc>
          <w:tcPr>
            <w:tcW w:w="1418" w:type="dxa"/>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41 (97.6)</w:t>
            </w:r>
          </w:p>
        </w:tc>
        <w:tc>
          <w:tcPr>
            <w:tcW w:w="1417" w:type="dxa"/>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31 (88.6)</w:t>
            </w:r>
          </w:p>
        </w:tc>
        <w:tc>
          <w:tcPr>
            <w:tcW w:w="1009" w:type="dxa"/>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0.171</w:t>
            </w:r>
          </w:p>
        </w:tc>
      </w:tr>
      <w:tr>
        <w:tblPrEx>
          <w:tblCellMar>
            <w:top w:w="0" w:type="dxa"/>
            <w:left w:w="108" w:type="dxa"/>
            <w:bottom w:w="0" w:type="dxa"/>
            <w:right w:w="108" w:type="dxa"/>
          </w:tblCellMar>
        </w:tblPrEx>
        <w:tc>
          <w:tcPr>
            <w:tcW w:w="3261" w:type="dxa"/>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Patients with postoperative SH (</w:t>
            </w:r>
            <w:r>
              <w:rPr>
                <w:rFonts w:ascii="Book Antiqua" w:hAnsi="Book Antiqua" w:eastAsiaTheme="majorEastAsia"/>
                <w:i/>
                <w:iCs/>
              </w:rPr>
              <w:t>n</w:t>
            </w:r>
            <w:r>
              <w:rPr>
                <w:rFonts w:ascii="Book Antiqua" w:hAnsi="Book Antiqua" w:eastAsiaTheme="majorEastAsia"/>
              </w:rPr>
              <w:t>, %)</w:t>
            </w:r>
          </w:p>
        </w:tc>
        <w:tc>
          <w:tcPr>
            <w:tcW w:w="1417" w:type="dxa"/>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60 (77.9)</w:t>
            </w:r>
          </w:p>
        </w:tc>
        <w:tc>
          <w:tcPr>
            <w:tcW w:w="1418" w:type="dxa"/>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38 (90.5)</w:t>
            </w:r>
          </w:p>
        </w:tc>
        <w:tc>
          <w:tcPr>
            <w:tcW w:w="1417" w:type="dxa"/>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22 (62.9)</w:t>
            </w:r>
          </w:p>
        </w:tc>
        <w:tc>
          <w:tcPr>
            <w:tcW w:w="1009" w:type="dxa"/>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0.005</w:t>
            </w:r>
          </w:p>
        </w:tc>
      </w:tr>
      <w:tr>
        <w:tblPrEx>
          <w:tblCellMar>
            <w:top w:w="0" w:type="dxa"/>
            <w:left w:w="108" w:type="dxa"/>
            <w:bottom w:w="0" w:type="dxa"/>
            <w:right w:w="108" w:type="dxa"/>
          </w:tblCellMar>
        </w:tblPrEx>
        <w:tc>
          <w:tcPr>
            <w:tcW w:w="3261" w:type="dxa"/>
            <w:tcBorders>
              <w:bottom w:val="single" w:color="auto" w:sz="4" w:space="0"/>
            </w:tcBorders>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Patients with postoperative critical hypocalcemia (</w:t>
            </w:r>
            <w:r>
              <w:rPr>
                <w:rFonts w:ascii="Book Antiqua" w:hAnsi="Book Antiqua" w:eastAsiaTheme="majorEastAsia"/>
                <w:i/>
                <w:iCs/>
              </w:rPr>
              <w:t>n</w:t>
            </w:r>
            <w:r>
              <w:rPr>
                <w:rFonts w:ascii="Book Antiqua" w:hAnsi="Book Antiqua" w:eastAsiaTheme="majorEastAsia"/>
              </w:rPr>
              <w:t>, %)</w:t>
            </w:r>
          </w:p>
        </w:tc>
        <w:tc>
          <w:tcPr>
            <w:tcW w:w="1417" w:type="dxa"/>
            <w:tcBorders>
              <w:bottom w:val="single" w:color="auto" w:sz="4" w:space="0"/>
            </w:tcBorders>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17 (22.1)</w:t>
            </w:r>
          </w:p>
        </w:tc>
        <w:tc>
          <w:tcPr>
            <w:tcW w:w="1418" w:type="dxa"/>
            <w:tcBorders>
              <w:bottom w:val="single" w:color="auto" w:sz="4" w:space="0"/>
            </w:tcBorders>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14 (33.3)</w:t>
            </w:r>
          </w:p>
        </w:tc>
        <w:tc>
          <w:tcPr>
            <w:tcW w:w="1417" w:type="dxa"/>
            <w:tcBorders>
              <w:bottom w:val="single" w:color="auto" w:sz="4" w:space="0"/>
            </w:tcBorders>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3 (8.6)</w:t>
            </w:r>
          </w:p>
        </w:tc>
        <w:tc>
          <w:tcPr>
            <w:tcW w:w="1009" w:type="dxa"/>
            <w:tcBorders>
              <w:bottom w:val="single" w:color="auto" w:sz="4" w:space="0"/>
            </w:tcBorders>
          </w:tcPr>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0.012</w:t>
            </w:r>
          </w:p>
        </w:tc>
      </w:tr>
    </w:tbl>
    <w:p>
      <w:pPr>
        <w:autoSpaceDE w:val="0"/>
        <w:autoSpaceDN w:val="0"/>
        <w:adjustRightInd w:val="0"/>
        <w:spacing w:line="360" w:lineRule="auto"/>
        <w:jc w:val="both"/>
        <w:rPr>
          <w:rFonts w:ascii="Book Antiqua" w:hAnsi="Book Antiqua" w:eastAsiaTheme="majorEastAsia"/>
        </w:rPr>
      </w:pPr>
      <w:r>
        <w:rPr>
          <w:rFonts w:ascii="Book Antiqua" w:hAnsi="Book Antiqua" w:eastAsiaTheme="majorEastAsia"/>
        </w:rPr>
        <w:t>CS: Calcium supplementation; SH: S</w:t>
      </w:r>
      <w:bookmarkStart w:id="13" w:name="_Hlk96933137"/>
      <w:r>
        <w:rPr>
          <w:rFonts w:ascii="Book Antiqua" w:hAnsi="Book Antiqua" w:eastAsiaTheme="majorEastAsia"/>
        </w:rPr>
        <w:t>evere hypocalcemia</w:t>
      </w:r>
      <w:bookmarkEnd w:id="13"/>
      <w:r>
        <w:rPr>
          <w:rFonts w:ascii="Book Antiqua" w:hAnsi="Book Antiqua" w:eastAsiaTheme="majorEastAsia"/>
        </w:rPr>
        <w:t>.</w:t>
      </w:r>
    </w:p>
    <w:p>
      <w:pPr>
        <w:spacing w:line="360" w:lineRule="auto"/>
        <w:jc w:val="both"/>
        <w:rPr>
          <w:rFonts w:ascii="Book Antiqua" w:hAnsi="Book Antiqua" w:eastAsiaTheme="majorEastAsia"/>
          <w:b/>
        </w:rPr>
      </w:pPr>
      <w:r>
        <w:rPr>
          <w:rFonts w:ascii="Book Antiqua" w:hAnsi="Book Antiqua" w:eastAsiaTheme="majorEastAsia"/>
          <w:b/>
        </w:rPr>
        <w:br w:type="page"/>
      </w:r>
      <w:r>
        <w:rPr>
          <w:rFonts w:ascii="Book Antiqua" w:hAnsi="Book Antiqua" w:eastAsiaTheme="majorEastAsia"/>
          <w:b/>
        </w:rPr>
        <w:t>Table 6</w:t>
      </w:r>
      <w:r>
        <w:rPr>
          <w:rFonts w:ascii="Book Antiqua" w:hAnsi="Book Antiqua" w:eastAsiaTheme="majorEastAsia"/>
        </w:rPr>
        <w:t xml:space="preserve"> </w:t>
      </w:r>
      <w:r>
        <w:rPr>
          <w:rFonts w:ascii="Book Antiqua" w:hAnsi="Book Antiqua"/>
          <w:b/>
        </w:rPr>
        <w:t xml:space="preserve">Multivariate analysis of risk factors for severe hypocalcemia in patients with preoperative </w:t>
      </w:r>
      <w:r>
        <w:rPr>
          <w:rFonts w:ascii="Book Antiqua" w:hAnsi="Book Antiqua" w:eastAsiaTheme="majorEastAsia"/>
          <w:b/>
        </w:rPr>
        <w:t>alkaline phosphatase</w:t>
      </w:r>
      <w:r>
        <w:rPr>
          <w:rFonts w:ascii="Book Antiqua" w:hAnsi="Book Antiqua"/>
          <w:b/>
        </w:rPr>
        <w:t xml:space="preserve"> &gt; 500 U/L</w:t>
      </w:r>
    </w:p>
    <w:tbl>
      <w:tblPr>
        <w:tblStyle w:val="7"/>
        <w:tblW w:w="9464" w:type="dxa"/>
        <w:tblInd w:w="0" w:type="dxa"/>
        <w:tblLayout w:type="fixed"/>
        <w:tblCellMar>
          <w:top w:w="0" w:type="dxa"/>
          <w:left w:w="108" w:type="dxa"/>
          <w:bottom w:w="0" w:type="dxa"/>
          <w:right w:w="108" w:type="dxa"/>
        </w:tblCellMar>
      </w:tblPr>
      <w:tblGrid>
        <w:gridCol w:w="4397"/>
        <w:gridCol w:w="1790"/>
        <w:gridCol w:w="2116"/>
        <w:gridCol w:w="1161"/>
      </w:tblGrid>
      <w:tr>
        <w:tblPrEx>
          <w:tblCellMar>
            <w:top w:w="0" w:type="dxa"/>
            <w:left w:w="108" w:type="dxa"/>
            <w:bottom w:w="0" w:type="dxa"/>
            <w:right w:w="108" w:type="dxa"/>
          </w:tblCellMar>
        </w:tblPrEx>
        <w:trPr>
          <w:trHeight w:val="333" w:hRule="atLeast"/>
        </w:trPr>
        <w:tc>
          <w:tcPr>
            <w:tcW w:w="4397" w:type="dxa"/>
            <w:vMerge w:val="restart"/>
            <w:tcBorders>
              <w:top w:val="single" w:color="auto" w:sz="4" w:space="0"/>
            </w:tcBorders>
          </w:tcPr>
          <w:p>
            <w:pPr>
              <w:spacing w:line="360" w:lineRule="auto"/>
              <w:jc w:val="both"/>
              <w:rPr>
                <w:rFonts w:ascii="Book Antiqua" w:hAnsi="Book Antiqua" w:eastAsia="宋体"/>
                <w:b/>
                <w:bCs/>
              </w:rPr>
            </w:pPr>
          </w:p>
        </w:tc>
        <w:tc>
          <w:tcPr>
            <w:tcW w:w="5067" w:type="dxa"/>
            <w:gridSpan w:val="3"/>
            <w:tcBorders>
              <w:top w:val="single" w:color="auto" w:sz="4" w:space="0"/>
              <w:bottom w:val="single" w:color="auto" w:sz="4" w:space="0"/>
            </w:tcBorders>
          </w:tcPr>
          <w:p>
            <w:pPr>
              <w:spacing w:line="360" w:lineRule="auto"/>
              <w:jc w:val="both"/>
              <w:rPr>
                <w:rFonts w:ascii="Book Antiqua" w:hAnsi="Book Antiqua" w:eastAsia="宋体"/>
                <w:b/>
                <w:bCs/>
              </w:rPr>
            </w:pPr>
            <w:r>
              <w:rPr>
                <w:rFonts w:ascii="Book Antiqua" w:hAnsi="Book Antiqua" w:eastAsia="宋体"/>
                <w:b/>
                <w:bCs/>
              </w:rPr>
              <w:t>Multivariate</w:t>
            </w:r>
          </w:p>
        </w:tc>
      </w:tr>
      <w:tr>
        <w:tblPrEx>
          <w:tblCellMar>
            <w:top w:w="0" w:type="dxa"/>
            <w:left w:w="108" w:type="dxa"/>
            <w:bottom w:w="0" w:type="dxa"/>
            <w:right w:w="108" w:type="dxa"/>
          </w:tblCellMar>
        </w:tblPrEx>
        <w:trPr>
          <w:trHeight w:val="459" w:hRule="atLeast"/>
        </w:trPr>
        <w:tc>
          <w:tcPr>
            <w:tcW w:w="4397" w:type="dxa"/>
            <w:vMerge w:val="continue"/>
            <w:tcBorders>
              <w:bottom w:val="single" w:color="auto" w:sz="4" w:space="0"/>
            </w:tcBorders>
          </w:tcPr>
          <w:p>
            <w:pPr>
              <w:spacing w:line="360" w:lineRule="auto"/>
              <w:jc w:val="both"/>
              <w:rPr>
                <w:rFonts w:ascii="Book Antiqua" w:hAnsi="Book Antiqua" w:eastAsia="宋体"/>
                <w:b/>
                <w:bCs/>
              </w:rPr>
            </w:pPr>
          </w:p>
        </w:tc>
        <w:tc>
          <w:tcPr>
            <w:tcW w:w="1790" w:type="dxa"/>
            <w:tcBorders>
              <w:top w:val="single" w:color="auto" w:sz="4" w:space="0"/>
              <w:bottom w:val="single" w:color="auto" w:sz="4" w:space="0"/>
            </w:tcBorders>
          </w:tcPr>
          <w:p>
            <w:pPr>
              <w:spacing w:line="360" w:lineRule="auto"/>
              <w:jc w:val="both"/>
              <w:rPr>
                <w:rFonts w:ascii="Book Antiqua" w:hAnsi="Book Antiqua" w:eastAsia="宋体"/>
                <w:b/>
                <w:bCs/>
              </w:rPr>
            </w:pPr>
            <w:r>
              <w:rPr>
                <w:rFonts w:ascii="Book Antiqua" w:hAnsi="Book Antiqua" w:eastAsia="宋体"/>
                <w:b/>
                <w:bCs/>
              </w:rPr>
              <w:t>OR</w:t>
            </w:r>
          </w:p>
        </w:tc>
        <w:tc>
          <w:tcPr>
            <w:tcW w:w="2116" w:type="dxa"/>
            <w:tcBorders>
              <w:top w:val="single" w:color="auto" w:sz="4" w:space="0"/>
              <w:bottom w:val="single" w:color="auto" w:sz="4" w:space="0"/>
            </w:tcBorders>
          </w:tcPr>
          <w:p>
            <w:pPr>
              <w:spacing w:line="360" w:lineRule="auto"/>
              <w:jc w:val="both"/>
              <w:rPr>
                <w:rFonts w:ascii="Book Antiqua" w:hAnsi="Book Antiqua" w:eastAsia="宋体"/>
                <w:b/>
                <w:bCs/>
              </w:rPr>
            </w:pPr>
            <w:r>
              <w:rPr>
                <w:rFonts w:ascii="Book Antiqua" w:hAnsi="Book Antiqua" w:eastAsia="宋体"/>
                <w:b/>
                <w:bCs/>
              </w:rPr>
              <w:t>95%CI</w:t>
            </w:r>
          </w:p>
        </w:tc>
        <w:tc>
          <w:tcPr>
            <w:tcW w:w="1160" w:type="dxa"/>
            <w:tcBorders>
              <w:top w:val="single" w:color="auto" w:sz="4" w:space="0"/>
              <w:bottom w:val="single" w:color="auto" w:sz="4" w:space="0"/>
            </w:tcBorders>
          </w:tcPr>
          <w:p>
            <w:pPr>
              <w:spacing w:line="360" w:lineRule="auto"/>
              <w:jc w:val="both"/>
              <w:rPr>
                <w:rFonts w:ascii="Book Antiqua" w:hAnsi="Book Antiqua" w:eastAsia="宋体"/>
                <w:b/>
                <w:bCs/>
                <w:iCs/>
              </w:rPr>
            </w:pPr>
            <w:r>
              <w:rPr>
                <w:rFonts w:ascii="Book Antiqua" w:hAnsi="Book Antiqua" w:eastAsia="宋体"/>
                <w:b/>
                <w:bCs/>
                <w:i/>
              </w:rPr>
              <w:t>P</w:t>
            </w:r>
            <w:r>
              <w:rPr>
                <w:rFonts w:ascii="Book Antiqua" w:hAnsi="Book Antiqua" w:eastAsia="宋体"/>
                <w:b/>
                <w:bCs/>
                <w:iCs/>
              </w:rPr>
              <w:t xml:space="preserve"> value</w:t>
            </w:r>
          </w:p>
        </w:tc>
      </w:tr>
      <w:tr>
        <w:tblPrEx>
          <w:tblCellMar>
            <w:top w:w="0" w:type="dxa"/>
            <w:left w:w="108" w:type="dxa"/>
            <w:bottom w:w="0" w:type="dxa"/>
            <w:right w:w="108" w:type="dxa"/>
          </w:tblCellMar>
        </w:tblPrEx>
        <w:trPr>
          <w:trHeight w:val="298" w:hRule="atLeast"/>
        </w:trPr>
        <w:tc>
          <w:tcPr>
            <w:tcW w:w="4397" w:type="dxa"/>
            <w:tcBorders>
              <w:top w:val="single" w:color="auto" w:sz="4" w:space="0"/>
            </w:tcBorders>
          </w:tcPr>
          <w:p>
            <w:pPr>
              <w:spacing w:line="360" w:lineRule="auto"/>
              <w:jc w:val="both"/>
              <w:rPr>
                <w:rFonts w:ascii="Book Antiqua" w:hAnsi="Book Antiqua" w:eastAsia="宋体"/>
              </w:rPr>
            </w:pPr>
            <w:r>
              <w:rPr>
                <w:rFonts w:ascii="Book Antiqua" w:hAnsi="Book Antiqua" w:eastAsia="宋体"/>
              </w:rPr>
              <w:t>Sex</w:t>
            </w:r>
          </w:p>
        </w:tc>
        <w:tc>
          <w:tcPr>
            <w:tcW w:w="1790" w:type="dxa"/>
            <w:tcBorders>
              <w:top w:val="single" w:color="auto" w:sz="4" w:space="0"/>
            </w:tcBorders>
          </w:tcPr>
          <w:p>
            <w:pPr>
              <w:spacing w:line="360" w:lineRule="auto"/>
              <w:jc w:val="both"/>
              <w:rPr>
                <w:rFonts w:ascii="Book Antiqua" w:hAnsi="Book Antiqua" w:eastAsia="宋体"/>
              </w:rPr>
            </w:pPr>
          </w:p>
        </w:tc>
        <w:tc>
          <w:tcPr>
            <w:tcW w:w="2116" w:type="dxa"/>
            <w:tcBorders>
              <w:top w:val="single" w:color="auto" w:sz="4" w:space="0"/>
            </w:tcBorders>
          </w:tcPr>
          <w:p>
            <w:pPr>
              <w:spacing w:line="360" w:lineRule="auto"/>
              <w:jc w:val="both"/>
              <w:rPr>
                <w:rFonts w:ascii="Book Antiqua" w:hAnsi="Book Antiqua" w:eastAsia="宋体"/>
              </w:rPr>
            </w:pPr>
          </w:p>
        </w:tc>
        <w:tc>
          <w:tcPr>
            <w:tcW w:w="1160" w:type="dxa"/>
            <w:tcBorders>
              <w:top w:val="single" w:color="auto" w:sz="4" w:space="0"/>
            </w:tcBorders>
          </w:tcPr>
          <w:p>
            <w:pPr>
              <w:spacing w:line="360" w:lineRule="auto"/>
              <w:jc w:val="both"/>
              <w:rPr>
                <w:rFonts w:ascii="Book Antiqua" w:hAnsi="Book Antiqua" w:eastAsia="宋体"/>
              </w:rPr>
            </w:pPr>
            <w:r>
              <w:rPr>
                <w:rFonts w:ascii="Book Antiqua" w:hAnsi="Book Antiqua" w:eastAsia="宋体"/>
              </w:rPr>
              <w:t>0.142</w:t>
            </w:r>
          </w:p>
        </w:tc>
      </w:tr>
      <w:tr>
        <w:tblPrEx>
          <w:tblCellMar>
            <w:top w:w="0" w:type="dxa"/>
            <w:left w:w="108" w:type="dxa"/>
            <w:bottom w:w="0" w:type="dxa"/>
            <w:right w:w="108" w:type="dxa"/>
          </w:tblCellMar>
        </w:tblPrEx>
        <w:trPr>
          <w:trHeight w:val="356" w:hRule="atLeast"/>
        </w:trPr>
        <w:tc>
          <w:tcPr>
            <w:tcW w:w="4397" w:type="dxa"/>
          </w:tcPr>
          <w:p>
            <w:pPr>
              <w:spacing w:line="360" w:lineRule="auto"/>
              <w:jc w:val="both"/>
              <w:rPr>
                <w:rFonts w:ascii="Book Antiqua" w:hAnsi="Book Antiqua" w:eastAsia="宋体"/>
              </w:rPr>
            </w:pPr>
            <w:r>
              <w:rPr>
                <w:rFonts w:ascii="Book Antiqua" w:hAnsi="Book Antiqua" w:eastAsia="宋体"/>
              </w:rPr>
              <w:t>Female</w:t>
            </w:r>
          </w:p>
        </w:tc>
        <w:tc>
          <w:tcPr>
            <w:tcW w:w="1790" w:type="dxa"/>
          </w:tcPr>
          <w:p>
            <w:pPr>
              <w:spacing w:line="360" w:lineRule="auto"/>
              <w:jc w:val="both"/>
              <w:rPr>
                <w:rFonts w:ascii="Book Antiqua" w:hAnsi="Book Antiqua" w:eastAsia="宋体"/>
              </w:rPr>
            </w:pPr>
            <w:r>
              <w:rPr>
                <w:rFonts w:ascii="Book Antiqua" w:hAnsi="Book Antiqua" w:eastAsia="宋体"/>
              </w:rPr>
              <w:t>Ref</w:t>
            </w:r>
          </w:p>
        </w:tc>
        <w:tc>
          <w:tcPr>
            <w:tcW w:w="2116" w:type="dxa"/>
          </w:tcPr>
          <w:p>
            <w:pPr>
              <w:spacing w:line="360" w:lineRule="auto"/>
              <w:jc w:val="both"/>
              <w:rPr>
                <w:rFonts w:ascii="Book Antiqua" w:hAnsi="Book Antiqua" w:eastAsia="宋体"/>
              </w:rPr>
            </w:pPr>
          </w:p>
        </w:tc>
        <w:tc>
          <w:tcPr>
            <w:tcW w:w="1160" w:type="dxa"/>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21" w:hRule="atLeast"/>
        </w:trPr>
        <w:tc>
          <w:tcPr>
            <w:tcW w:w="4397" w:type="dxa"/>
          </w:tcPr>
          <w:p>
            <w:pPr>
              <w:spacing w:line="360" w:lineRule="auto"/>
              <w:jc w:val="both"/>
              <w:rPr>
                <w:rFonts w:ascii="Book Antiqua" w:hAnsi="Book Antiqua" w:eastAsia="宋体"/>
              </w:rPr>
            </w:pPr>
            <w:r>
              <w:rPr>
                <w:rFonts w:ascii="Book Antiqua" w:hAnsi="Book Antiqua" w:eastAsia="宋体"/>
              </w:rPr>
              <w:t>Male</w:t>
            </w:r>
          </w:p>
        </w:tc>
        <w:tc>
          <w:tcPr>
            <w:tcW w:w="1790" w:type="dxa"/>
          </w:tcPr>
          <w:p>
            <w:pPr>
              <w:spacing w:line="360" w:lineRule="auto"/>
              <w:jc w:val="both"/>
              <w:rPr>
                <w:rFonts w:ascii="Book Antiqua" w:hAnsi="Book Antiqua" w:eastAsia="宋体"/>
              </w:rPr>
            </w:pPr>
            <w:r>
              <w:rPr>
                <w:rFonts w:ascii="Book Antiqua" w:hAnsi="Book Antiqua" w:eastAsia="宋体"/>
              </w:rPr>
              <w:t>2.610</w:t>
            </w:r>
          </w:p>
        </w:tc>
        <w:tc>
          <w:tcPr>
            <w:tcW w:w="2116" w:type="dxa"/>
          </w:tcPr>
          <w:p>
            <w:pPr>
              <w:spacing w:line="360" w:lineRule="auto"/>
              <w:jc w:val="both"/>
              <w:rPr>
                <w:rFonts w:ascii="Book Antiqua" w:hAnsi="Book Antiqua" w:eastAsia="宋体"/>
              </w:rPr>
            </w:pPr>
            <w:r>
              <w:rPr>
                <w:rFonts w:ascii="Book Antiqua" w:hAnsi="Book Antiqua" w:eastAsia="宋体"/>
              </w:rPr>
              <w:t>0.726-9.380</w:t>
            </w:r>
          </w:p>
        </w:tc>
        <w:tc>
          <w:tcPr>
            <w:tcW w:w="1160" w:type="dxa"/>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56" w:hRule="atLeast"/>
        </w:trPr>
        <w:tc>
          <w:tcPr>
            <w:tcW w:w="4397" w:type="dxa"/>
          </w:tcPr>
          <w:p>
            <w:pPr>
              <w:spacing w:line="360" w:lineRule="auto"/>
              <w:jc w:val="both"/>
              <w:rPr>
                <w:rFonts w:ascii="Book Antiqua" w:hAnsi="Book Antiqua" w:eastAsia="宋体"/>
              </w:rPr>
            </w:pPr>
            <w:r>
              <w:rPr>
                <w:rFonts w:ascii="Book Antiqua" w:hAnsi="Book Antiqua" w:eastAsia="宋体"/>
              </w:rPr>
              <w:t>Age</w:t>
            </w:r>
          </w:p>
        </w:tc>
        <w:tc>
          <w:tcPr>
            <w:tcW w:w="1790" w:type="dxa"/>
          </w:tcPr>
          <w:p>
            <w:pPr>
              <w:spacing w:line="360" w:lineRule="auto"/>
              <w:jc w:val="both"/>
              <w:rPr>
                <w:rFonts w:ascii="Book Antiqua" w:hAnsi="Book Antiqua" w:eastAsia="宋体"/>
              </w:rPr>
            </w:pPr>
            <w:r>
              <w:rPr>
                <w:rFonts w:ascii="Book Antiqua" w:hAnsi="Book Antiqua" w:eastAsia="宋体"/>
              </w:rPr>
              <w:t>0.993</w:t>
            </w:r>
          </w:p>
        </w:tc>
        <w:tc>
          <w:tcPr>
            <w:tcW w:w="2116" w:type="dxa"/>
          </w:tcPr>
          <w:p>
            <w:pPr>
              <w:spacing w:line="360" w:lineRule="auto"/>
              <w:jc w:val="both"/>
              <w:rPr>
                <w:rFonts w:ascii="Book Antiqua" w:hAnsi="Book Antiqua" w:eastAsia="宋体"/>
              </w:rPr>
            </w:pPr>
            <w:r>
              <w:rPr>
                <w:rFonts w:ascii="Book Antiqua" w:hAnsi="Book Antiqua" w:eastAsia="宋体"/>
              </w:rPr>
              <w:t>0.938-1.050</w:t>
            </w:r>
          </w:p>
        </w:tc>
        <w:tc>
          <w:tcPr>
            <w:tcW w:w="1160" w:type="dxa"/>
          </w:tcPr>
          <w:p>
            <w:pPr>
              <w:spacing w:line="360" w:lineRule="auto"/>
              <w:jc w:val="both"/>
              <w:rPr>
                <w:rFonts w:ascii="Book Antiqua" w:hAnsi="Book Antiqua" w:eastAsia="宋体"/>
              </w:rPr>
            </w:pPr>
            <w:r>
              <w:rPr>
                <w:rFonts w:ascii="Book Antiqua" w:hAnsi="Book Antiqua" w:eastAsia="宋体"/>
              </w:rPr>
              <w:t>0.795</w:t>
            </w:r>
          </w:p>
        </w:tc>
      </w:tr>
      <w:tr>
        <w:tblPrEx>
          <w:tblCellMar>
            <w:top w:w="0" w:type="dxa"/>
            <w:left w:w="108" w:type="dxa"/>
            <w:bottom w:w="0" w:type="dxa"/>
            <w:right w:w="108" w:type="dxa"/>
          </w:tblCellMar>
        </w:tblPrEx>
        <w:trPr>
          <w:trHeight w:val="344" w:hRule="atLeast"/>
        </w:trPr>
        <w:tc>
          <w:tcPr>
            <w:tcW w:w="4397" w:type="dxa"/>
          </w:tcPr>
          <w:p>
            <w:pPr>
              <w:spacing w:line="360" w:lineRule="auto"/>
              <w:jc w:val="both"/>
              <w:rPr>
                <w:rFonts w:ascii="Book Antiqua" w:hAnsi="Book Antiqua" w:eastAsia="宋体"/>
              </w:rPr>
            </w:pPr>
            <w:r>
              <w:rPr>
                <w:rFonts w:ascii="Book Antiqua" w:hAnsi="Book Antiqua" w:eastAsia="宋体"/>
              </w:rPr>
              <w:t>Preoperative iPTH levels</w:t>
            </w:r>
          </w:p>
        </w:tc>
        <w:tc>
          <w:tcPr>
            <w:tcW w:w="1790" w:type="dxa"/>
          </w:tcPr>
          <w:p>
            <w:pPr>
              <w:spacing w:line="360" w:lineRule="auto"/>
              <w:jc w:val="both"/>
              <w:rPr>
                <w:rFonts w:ascii="Book Antiqua" w:hAnsi="Book Antiqua" w:eastAsia="宋体"/>
              </w:rPr>
            </w:pPr>
            <w:r>
              <w:rPr>
                <w:rFonts w:ascii="Book Antiqua" w:hAnsi="Book Antiqua" w:eastAsia="宋体"/>
              </w:rPr>
              <w:t>1</w:t>
            </w:r>
          </w:p>
        </w:tc>
        <w:tc>
          <w:tcPr>
            <w:tcW w:w="2116" w:type="dxa"/>
          </w:tcPr>
          <w:p>
            <w:pPr>
              <w:spacing w:line="360" w:lineRule="auto"/>
              <w:jc w:val="both"/>
              <w:rPr>
                <w:rFonts w:ascii="Book Antiqua" w:hAnsi="Book Antiqua" w:eastAsia="宋体"/>
              </w:rPr>
            </w:pPr>
            <w:r>
              <w:rPr>
                <w:rFonts w:ascii="Book Antiqua" w:hAnsi="Book Antiqua" w:eastAsia="宋体"/>
              </w:rPr>
              <w:t>0.999-1.001</w:t>
            </w:r>
          </w:p>
        </w:tc>
        <w:tc>
          <w:tcPr>
            <w:tcW w:w="1160" w:type="dxa"/>
          </w:tcPr>
          <w:p>
            <w:pPr>
              <w:spacing w:line="360" w:lineRule="auto"/>
              <w:jc w:val="both"/>
              <w:rPr>
                <w:rFonts w:ascii="Book Antiqua" w:hAnsi="Book Antiqua" w:eastAsia="宋体"/>
              </w:rPr>
            </w:pPr>
            <w:r>
              <w:rPr>
                <w:rFonts w:ascii="Book Antiqua" w:hAnsi="Book Antiqua" w:eastAsia="宋体"/>
              </w:rPr>
              <w:t>0.965</w:t>
            </w:r>
          </w:p>
        </w:tc>
      </w:tr>
      <w:tr>
        <w:tblPrEx>
          <w:tblCellMar>
            <w:top w:w="0" w:type="dxa"/>
            <w:left w:w="108" w:type="dxa"/>
            <w:bottom w:w="0" w:type="dxa"/>
            <w:right w:w="108" w:type="dxa"/>
          </w:tblCellMar>
        </w:tblPrEx>
        <w:trPr>
          <w:trHeight w:val="321" w:hRule="atLeast"/>
        </w:trPr>
        <w:tc>
          <w:tcPr>
            <w:tcW w:w="4397" w:type="dxa"/>
          </w:tcPr>
          <w:p>
            <w:pPr>
              <w:spacing w:line="360" w:lineRule="auto"/>
              <w:jc w:val="both"/>
              <w:rPr>
                <w:rFonts w:ascii="Book Antiqua" w:hAnsi="Book Antiqua" w:eastAsia="宋体"/>
              </w:rPr>
            </w:pPr>
            <w:r>
              <w:rPr>
                <w:rFonts w:ascii="Book Antiqua" w:hAnsi="Book Antiqua" w:eastAsia="宋体"/>
              </w:rPr>
              <w:t>Preoperative ALP amounts</w:t>
            </w:r>
          </w:p>
        </w:tc>
        <w:tc>
          <w:tcPr>
            <w:tcW w:w="1790" w:type="dxa"/>
          </w:tcPr>
          <w:p>
            <w:pPr>
              <w:spacing w:line="360" w:lineRule="auto"/>
              <w:jc w:val="both"/>
              <w:rPr>
                <w:rFonts w:ascii="Book Antiqua" w:hAnsi="Book Antiqua" w:eastAsia="宋体"/>
              </w:rPr>
            </w:pPr>
            <w:r>
              <w:rPr>
                <w:rFonts w:ascii="Book Antiqua" w:hAnsi="Book Antiqua" w:eastAsia="宋体"/>
              </w:rPr>
              <w:t>1.001</w:t>
            </w:r>
          </w:p>
        </w:tc>
        <w:tc>
          <w:tcPr>
            <w:tcW w:w="2116" w:type="dxa"/>
          </w:tcPr>
          <w:p>
            <w:pPr>
              <w:spacing w:line="360" w:lineRule="auto"/>
              <w:jc w:val="both"/>
              <w:rPr>
                <w:rFonts w:ascii="Book Antiqua" w:hAnsi="Book Antiqua" w:eastAsia="宋体"/>
              </w:rPr>
            </w:pPr>
            <w:r>
              <w:rPr>
                <w:rFonts w:ascii="Book Antiqua" w:hAnsi="Book Antiqua" w:eastAsia="宋体"/>
              </w:rPr>
              <w:t>0.999-1.003</w:t>
            </w:r>
          </w:p>
        </w:tc>
        <w:tc>
          <w:tcPr>
            <w:tcW w:w="1160" w:type="dxa"/>
          </w:tcPr>
          <w:p>
            <w:pPr>
              <w:spacing w:line="360" w:lineRule="auto"/>
              <w:jc w:val="both"/>
              <w:rPr>
                <w:rFonts w:ascii="Book Antiqua" w:hAnsi="Book Antiqua" w:eastAsia="宋体"/>
              </w:rPr>
            </w:pPr>
            <w:r>
              <w:rPr>
                <w:rFonts w:ascii="Book Antiqua" w:hAnsi="Book Antiqua" w:eastAsia="宋体"/>
              </w:rPr>
              <w:t>0.202</w:t>
            </w:r>
          </w:p>
        </w:tc>
      </w:tr>
      <w:tr>
        <w:tblPrEx>
          <w:tblCellMar>
            <w:top w:w="0" w:type="dxa"/>
            <w:left w:w="108" w:type="dxa"/>
            <w:bottom w:w="0" w:type="dxa"/>
            <w:right w:w="108" w:type="dxa"/>
          </w:tblCellMar>
        </w:tblPrEx>
        <w:trPr>
          <w:trHeight w:val="540" w:hRule="atLeast"/>
        </w:trPr>
        <w:tc>
          <w:tcPr>
            <w:tcW w:w="4397" w:type="dxa"/>
          </w:tcPr>
          <w:p>
            <w:pPr>
              <w:spacing w:line="360" w:lineRule="auto"/>
              <w:jc w:val="both"/>
              <w:rPr>
                <w:rFonts w:ascii="Book Antiqua" w:hAnsi="Book Antiqua" w:eastAsia="宋体"/>
              </w:rPr>
            </w:pPr>
            <w:r>
              <w:rPr>
                <w:rFonts w:ascii="Book Antiqua" w:hAnsi="Book Antiqua" w:eastAsia="宋体"/>
              </w:rPr>
              <w:t>Preoperative serum phosphorus concentration</w:t>
            </w:r>
          </w:p>
        </w:tc>
        <w:tc>
          <w:tcPr>
            <w:tcW w:w="1790" w:type="dxa"/>
          </w:tcPr>
          <w:p>
            <w:pPr>
              <w:spacing w:line="360" w:lineRule="auto"/>
              <w:jc w:val="both"/>
              <w:rPr>
                <w:rFonts w:ascii="Book Antiqua" w:hAnsi="Book Antiqua" w:eastAsia="宋体"/>
              </w:rPr>
            </w:pPr>
            <w:r>
              <w:rPr>
                <w:rFonts w:ascii="Book Antiqua" w:hAnsi="Book Antiqua" w:eastAsia="宋体"/>
              </w:rPr>
              <w:t>3.851</w:t>
            </w:r>
          </w:p>
        </w:tc>
        <w:tc>
          <w:tcPr>
            <w:tcW w:w="2116" w:type="dxa"/>
          </w:tcPr>
          <w:p>
            <w:pPr>
              <w:spacing w:line="360" w:lineRule="auto"/>
              <w:jc w:val="both"/>
              <w:rPr>
                <w:rFonts w:ascii="Book Antiqua" w:hAnsi="Book Antiqua" w:eastAsia="宋体"/>
              </w:rPr>
            </w:pPr>
            <w:r>
              <w:rPr>
                <w:rFonts w:ascii="Book Antiqua" w:hAnsi="Book Antiqua" w:eastAsia="宋体"/>
              </w:rPr>
              <w:t>0.094-157.237</w:t>
            </w:r>
          </w:p>
        </w:tc>
        <w:tc>
          <w:tcPr>
            <w:tcW w:w="1160" w:type="dxa"/>
          </w:tcPr>
          <w:p>
            <w:pPr>
              <w:spacing w:line="360" w:lineRule="auto"/>
              <w:jc w:val="both"/>
              <w:rPr>
                <w:rFonts w:ascii="Book Antiqua" w:hAnsi="Book Antiqua" w:eastAsia="宋体"/>
              </w:rPr>
            </w:pPr>
            <w:r>
              <w:rPr>
                <w:rFonts w:ascii="Book Antiqua" w:hAnsi="Book Antiqua" w:eastAsia="宋体"/>
              </w:rPr>
              <w:t>0.877</w:t>
            </w:r>
          </w:p>
        </w:tc>
      </w:tr>
      <w:tr>
        <w:tblPrEx>
          <w:tblCellMar>
            <w:top w:w="0" w:type="dxa"/>
            <w:left w:w="108" w:type="dxa"/>
            <w:bottom w:w="0" w:type="dxa"/>
            <w:right w:w="108" w:type="dxa"/>
          </w:tblCellMar>
        </w:tblPrEx>
        <w:trPr>
          <w:trHeight w:val="551" w:hRule="atLeast"/>
        </w:trPr>
        <w:tc>
          <w:tcPr>
            <w:tcW w:w="4397" w:type="dxa"/>
          </w:tcPr>
          <w:p>
            <w:pPr>
              <w:spacing w:line="360" w:lineRule="auto"/>
              <w:jc w:val="both"/>
              <w:rPr>
                <w:rFonts w:ascii="Book Antiqua" w:hAnsi="Book Antiqua" w:eastAsia="宋体"/>
              </w:rPr>
            </w:pPr>
            <w:r>
              <w:rPr>
                <w:rFonts w:ascii="Book Antiqua" w:hAnsi="Book Antiqua" w:eastAsia="宋体"/>
              </w:rPr>
              <w:t>Preoperative calcium-phosphorus ratio</w:t>
            </w:r>
          </w:p>
        </w:tc>
        <w:tc>
          <w:tcPr>
            <w:tcW w:w="1790" w:type="dxa"/>
          </w:tcPr>
          <w:p>
            <w:pPr>
              <w:spacing w:line="360" w:lineRule="auto"/>
              <w:jc w:val="both"/>
              <w:rPr>
                <w:rFonts w:ascii="Book Antiqua" w:hAnsi="Book Antiqua" w:eastAsia="宋体"/>
              </w:rPr>
            </w:pPr>
            <w:r>
              <w:rPr>
                <w:rFonts w:ascii="Book Antiqua" w:hAnsi="Book Antiqua" w:eastAsia="宋体"/>
              </w:rPr>
              <w:t>0.848</w:t>
            </w:r>
          </w:p>
        </w:tc>
        <w:tc>
          <w:tcPr>
            <w:tcW w:w="2116" w:type="dxa"/>
          </w:tcPr>
          <w:p>
            <w:pPr>
              <w:spacing w:line="360" w:lineRule="auto"/>
              <w:jc w:val="both"/>
              <w:rPr>
                <w:rFonts w:ascii="Book Antiqua" w:hAnsi="Book Antiqua" w:eastAsia="宋体"/>
              </w:rPr>
            </w:pPr>
            <w:r>
              <w:rPr>
                <w:rFonts w:ascii="Book Antiqua" w:hAnsi="Book Antiqua" w:eastAsia="宋体"/>
              </w:rPr>
              <w:t>0.227-3.168</w:t>
            </w:r>
          </w:p>
        </w:tc>
        <w:tc>
          <w:tcPr>
            <w:tcW w:w="1160" w:type="dxa"/>
          </w:tcPr>
          <w:p>
            <w:pPr>
              <w:spacing w:line="360" w:lineRule="auto"/>
              <w:jc w:val="both"/>
              <w:rPr>
                <w:rFonts w:ascii="Book Antiqua" w:hAnsi="Book Antiqua" w:eastAsia="宋体"/>
              </w:rPr>
            </w:pPr>
            <w:r>
              <w:rPr>
                <w:rFonts w:ascii="Book Antiqua" w:hAnsi="Book Antiqua" w:eastAsia="宋体"/>
              </w:rPr>
              <w:t>0.973</w:t>
            </w:r>
          </w:p>
        </w:tc>
      </w:tr>
      <w:tr>
        <w:tblPrEx>
          <w:tblCellMar>
            <w:top w:w="0" w:type="dxa"/>
            <w:left w:w="108" w:type="dxa"/>
            <w:bottom w:w="0" w:type="dxa"/>
            <w:right w:w="108" w:type="dxa"/>
          </w:tblCellMar>
        </w:tblPrEx>
        <w:trPr>
          <w:trHeight w:val="356" w:hRule="atLeast"/>
        </w:trPr>
        <w:tc>
          <w:tcPr>
            <w:tcW w:w="4397" w:type="dxa"/>
          </w:tcPr>
          <w:p>
            <w:pPr>
              <w:spacing w:line="360" w:lineRule="auto"/>
              <w:jc w:val="both"/>
              <w:rPr>
                <w:rFonts w:ascii="Book Antiqua" w:hAnsi="Book Antiqua" w:eastAsia="宋体"/>
              </w:rPr>
            </w:pPr>
            <w:r>
              <w:rPr>
                <w:rFonts w:ascii="Book Antiqua" w:hAnsi="Book Antiqua" w:eastAsia="宋体"/>
              </w:rPr>
              <w:t>CS regimen</w:t>
            </w:r>
          </w:p>
        </w:tc>
        <w:tc>
          <w:tcPr>
            <w:tcW w:w="1790" w:type="dxa"/>
          </w:tcPr>
          <w:p>
            <w:pPr>
              <w:spacing w:line="360" w:lineRule="auto"/>
              <w:jc w:val="both"/>
              <w:rPr>
                <w:rFonts w:ascii="Book Antiqua" w:hAnsi="Book Antiqua" w:eastAsia="宋体"/>
              </w:rPr>
            </w:pPr>
          </w:p>
        </w:tc>
        <w:tc>
          <w:tcPr>
            <w:tcW w:w="2116" w:type="dxa"/>
          </w:tcPr>
          <w:p>
            <w:pPr>
              <w:spacing w:line="360" w:lineRule="auto"/>
              <w:jc w:val="both"/>
              <w:rPr>
                <w:rFonts w:ascii="Book Antiqua" w:hAnsi="Book Antiqua" w:eastAsia="Times New Roman"/>
              </w:rPr>
            </w:pPr>
          </w:p>
        </w:tc>
        <w:tc>
          <w:tcPr>
            <w:tcW w:w="1160" w:type="dxa"/>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344" w:hRule="atLeast"/>
        </w:trPr>
        <w:tc>
          <w:tcPr>
            <w:tcW w:w="4397" w:type="dxa"/>
          </w:tcPr>
          <w:p>
            <w:pPr>
              <w:spacing w:line="360" w:lineRule="auto"/>
              <w:jc w:val="both"/>
              <w:rPr>
                <w:rFonts w:ascii="Book Antiqua" w:hAnsi="Book Antiqua" w:eastAsia="宋体"/>
              </w:rPr>
            </w:pPr>
            <w:r>
              <w:rPr>
                <w:rFonts w:ascii="Book Antiqua" w:hAnsi="Book Antiqua" w:eastAsia="宋体"/>
              </w:rPr>
              <w:t>Conventional CS</w:t>
            </w:r>
          </w:p>
        </w:tc>
        <w:tc>
          <w:tcPr>
            <w:tcW w:w="1790" w:type="dxa"/>
          </w:tcPr>
          <w:p>
            <w:pPr>
              <w:spacing w:line="360" w:lineRule="auto"/>
              <w:jc w:val="both"/>
              <w:rPr>
                <w:rFonts w:ascii="Book Antiqua" w:hAnsi="Book Antiqua" w:eastAsia="宋体"/>
              </w:rPr>
            </w:pPr>
            <w:r>
              <w:rPr>
                <w:rFonts w:ascii="Book Antiqua" w:hAnsi="Book Antiqua" w:eastAsia="宋体"/>
              </w:rPr>
              <w:t>Ref</w:t>
            </w:r>
          </w:p>
        </w:tc>
        <w:tc>
          <w:tcPr>
            <w:tcW w:w="2116" w:type="dxa"/>
          </w:tcPr>
          <w:p>
            <w:pPr>
              <w:spacing w:line="360" w:lineRule="auto"/>
              <w:jc w:val="both"/>
              <w:rPr>
                <w:rFonts w:ascii="Book Antiqua" w:hAnsi="Book Antiqua" w:eastAsia="宋体"/>
              </w:rPr>
            </w:pPr>
          </w:p>
        </w:tc>
        <w:tc>
          <w:tcPr>
            <w:tcW w:w="1160" w:type="dxa"/>
          </w:tcPr>
          <w:p>
            <w:pPr>
              <w:spacing w:line="360" w:lineRule="auto"/>
              <w:jc w:val="both"/>
              <w:rPr>
                <w:rFonts w:ascii="Book Antiqua" w:hAnsi="Book Antiqua" w:eastAsia="Times New Roman"/>
              </w:rPr>
            </w:pPr>
          </w:p>
        </w:tc>
      </w:tr>
      <w:tr>
        <w:tblPrEx>
          <w:tblCellMar>
            <w:top w:w="0" w:type="dxa"/>
            <w:left w:w="108" w:type="dxa"/>
            <w:bottom w:w="0" w:type="dxa"/>
            <w:right w:w="108" w:type="dxa"/>
          </w:tblCellMar>
        </w:tblPrEx>
        <w:trPr>
          <w:trHeight w:val="413" w:hRule="atLeast"/>
        </w:trPr>
        <w:tc>
          <w:tcPr>
            <w:tcW w:w="4397" w:type="dxa"/>
            <w:tcBorders>
              <w:bottom w:val="single" w:color="auto" w:sz="4" w:space="0"/>
            </w:tcBorders>
          </w:tcPr>
          <w:p>
            <w:pPr>
              <w:spacing w:line="360" w:lineRule="auto"/>
              <w:jc w:val="both"/>
              <w:rPr>
                <w:rFonts w:ascii="Book Antiqua" w:hAnsi="Book Antiqua" w:eastAsia="宋体"/>
              </w:rPr>
            </w:pPr>
            <w:r>
              <w:rPr>
                <w:rFonts w:ascii="Book Antiqua" w:hAnsi="Book Antiqua" w:eastAsia="宋体"/>
              </w:rPr>
              <w:t>Preventive CS</w:t>
            </w:r>
          </w:p>
        </w:tc>
        <w:tc>
          <w:tcPr>
            <w:tcW w:w="1790" w:type="dxa"/>
            <w:tcBorders>
              <w:bottom w:val="single" w:color="auto" w:sz="4" w:space="0"/>
            </w:tcBorders>
          </w:tcPr>
          <w:p>
            <w:pPr>
              <w:spacing w:line="360" w:lineRule="auto"/>
              <w:jc w:val="both"/>
              <w:rPr>
                <w:rFonts w:ascii="Book Antiqua" w:hAnsi="Book Antiqua" w:eastAsia="宋体"/>
              </w:rPr>
            </w:pPr>
            <w:r>
              <w:rPr>
                <w:rFonts w:ascii="Book Antiqua" w:hAnsi="Book Antiqua" w:eastAsia="宋体"/>
              </w:rPr>
              <w:t>0.147</w:t>
            </w:r>
          </w:p>
        </w:tc>
        <w:tc>
          <w:tcPr>
            <w:tcW w:w="2116" w:type="dxa"/>
            <w:tcBorders>
              <w:bottom w:val="single" w:color="auto" w:sz="4" w:space="0"/>
            </w:tcBorders>
          </w:tcPr>
          <w:p>
            <w:pPr>
              <w:spacing w:line="360" w:lineRule="auto"/>
              <w:jc w:val="both"/>
              <w:rPr>
                <w:rFonts w:ascii="Book Antiqua" w:hAnsi="Book Antiqua" w:eastAsia="宋体"/>
              </w:rPr>
            </w:pPr>
            <w:r>
              <w:rPr>
                <w:rFonts w:ascii="Book Antiqua" w:hAnsi="Book Antiqua" w:eastAsia="宋体"/>
              </w:rPr>
              <w:t>0.038-0.562</w:t>
            </w:r>
          </w:p>
        </w:tc>
        <w:tc>
          <w:tcPr>
            <w:tcW w:w="1160" w:type="dxa"/>
            <w:tcBorders>
              <w:bottom w:val="single" w:color="auto" w:sz="4" w:space="0"/>
            </w:tcBorders>
          </w:tcPr>
          <w:p>
            <w:pPr>
              <w:spacing w:line="360" w:lineRule="auto"/>
              <w:jc w:val="both"/>
              <w:rPr>
                <w:rFonts w:ascii="Book Antiqua" w:hAnsi="Book Antiqua" w:eastAsia="宋体"/>
              </w:rPr>
            </w:pPr>
            <w:r>
              <w:rPr>
                <w:rFonts w:ascii="Book Antiqua" w:hAnsi="Book Antiqua" w:eastAsia="宋体"/>
              </w:rPr>
              <w:t>0.005</w:t>
            </w:r>
          </w:p>
        </w:tc>
      </w:tr>
    </w:tbl>
    <w:p>
      <w:pPr>
        <w:autoSpaceDE w:val="0"/>
        <w:autoSpaceDN w:val="0"/>
        <w:adjustRightInd w:val="0"/>
        <w:spacing w:line="360" w:lineRule="auto"/>
        <w:jc w:val="both"/>
        <w:rPr>
          <w:rFonts w:ascii="Book Antiqua" w:hAnsi="Book Antiqua" w:eastAsiaTheme="majorEastAsia"/>
        </w:rPr>
        <w:sectPr>
          <w:pgSz w:w="12240" w:h="15840"/>
          <w:pgMar w:top="1440" w:right="1440" w:bottom="1440" w:left="1440" w:header="720" w:footer="720" w:gutter="0"/>
          <w:cols w:space="720" w:num="1"/>
          <w:docGrid w:linePitch="360" w:charSpace="0"/>
        </w:sectPr>
      </w:pPr>
      <w:r>
        <w:rPr>
          <w:rFonts w:ascii="Book Antiqua" w:hAnsi="Book Antiqua" w:eastAsiaTheme="majorEastAsia"/>
        </w:rPr>
        <w:t xml:space="preserve">OR: Odds ratio; CI: Confidence interval; iPTH: Intact parathyroid hormone; ALP: Alkaline phosphatase; CS: Calcium supplementation; Ref: </w:t>
      </w:r>
      <w:r>
        <w:rPr>
          <w:rFonts w:ascii="Book Antiqua" w:hAnsi="Book Antiqua" w:eastAsiaTheme="majorEastAsia"/>
          <w:lang w:eastAsia="zh-CN"/>
        </w:rPr>
        <w:t>R</w:t>
      </w:r>
      <w:r>
        <w:rPr>
          <w:rFonts w:hint="eastAsia" w:ascii="Book Antiqua" w:hAnsi="Book Antiqua" w:eastAsiaTheme="majorEastAsia"/>
          <w:lang w:eastAsia="zh-CN"/>
        </w:rPr>
        <w:t>eference</w:t>
      </w:r>
      <w:r>
        <w:rPr>
          <w:rFonts w:ascii="Book Antiqua" w:hAnsi="Book Antiqua" w:eastAsiaTheme="majorEastAsia"/>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autoSpaceDE w:val="0"/>
        <w:autoSpaceDN w:val="0"/>
        <w:adjustRightInd w:val="0"/>
        <w:spacing w:line="360" w:lineRule="auto"/>
        <w:jc w:val="both"/>
        <w:rPr>
          <w:rFonts w:ascii="Book Antiqua" w:hAnsi="Book Antiqua" w:eastAsiaTheme="majorEastAsia"/>
        </w:rPr>
      </w:pPr>
      <w:bookmarkStart w:id="14" w:name="_GoBack"/>
      <w:bookmarkEnd w:id="1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color w:val="000000" w:themeColor="text1"/>
        <w:sz w:val="24"/>
        <w:szCs w:val="24"/>
        <w14:textFill>
          <w14:solidFill>
            <w14:schemeClr w14:val="tx1"/>
          </w14:solidFill>
        </w14:textFill>
      </w:rPr>
    </w:pPr>
    <w:r>
      <w:rPr>
        <w:color w:val="4F81BD" w:themeColor="accent1"/>
        <w:lang w:val="zh-CN" w:eastAsia="zh-CN"/>
        <w14:textFill>
          <w14:solidFill>
            <w14:schemeClr w14:val="accent1"/>
          </w14:solidFill>
        </w14:textFill>
      </w:rPr>
      <w:t xml:space="preserve">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PAGE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1</w:t>
    </w:r>
    <w:r>
      <w:rPr>
        <w:rFonts w:ascii="Book Antiqua" w:hAnsi="Book Antiqua"/>
        <w:color w:val="000000" w:themeColor="text1"/>
        <w:sz w:val="24"/>
        <w:szCs w:val="24"/>
        <w14:textFill>
          <w14:solidFill>
            <w14:schemeClr w14:val="tx1"/>
          </w14:solidFill>
        </w14:textFill>
      </w:rPr>
      <w:fldChar w:fldCharType="end"/>
    </w:r>
    <w:r>
      <w:rPr>
        <w:rFonts w:ascii="Book Antiqua" w:hAnsi="Book Antiqua"/>
        <w:color w:val="000000" w:themeColor="text1"/>
        <w:sz w:val="24"/>
        <w:szCs w:val="24"/>
        <w:lang w:val="zh-CN" w:eastAsia="zh-CN"/>
        <w14:textFill>
          <w14:solidFill>
            <w14:schemeClr w14:val="tx1"/>
          </w14:solidFill>
        </w14:textFill>
      </w:rPr>
      <w:t xml:space="preserve"> /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NUMPAGES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24</w:t>
    </w:r>
    <w:r>
      <w:rPr>
        <w:rFonts w:ascii="Book Antiqua" w:hAnsi="Book Antiqua"/>
        <w:color w:val="000000" w:themeColor="text1"/>
        <w:sz w:val="24"/>
        <w:szCs w:val="24"/>
        <w14:textFill>
          <w14:solidFill>
            <w14:schemeClr w14:val="tx1"/>
          </w14:solidFill>
        </w14:textFill>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1AC5"/>
    <w:rsid w:val="00052481"/>
    <w:rsid w:val="000C007C"/>
    <w:rsid w:val="00142025"/>
    <w:rsid w:val="001715D7"/>
    <w:rsid w:val="00176B7C"/>
    <w:rsid w:val="00267ED0"/>
    <w:rsid w:val="00287FF0"/>
    <w:rsid w:val="00293456"/>
    <w:rsid w:val="002A5E3C"/>
    <w:rsid w:val="003D4A15"/>
    <w:rsid w:val="003F3BA6"/>
    <w:rsid w:val="00444A45"/>
    <w:rsid w:val="004905E5"/>
    <w:rsid w:val="004A041A"/>
    <w:rsid w:val="004A1663"/>
    <w:rsid w:val="004D7E2D"/>
    <w:rsid w:val="00526AA9"/>
    <w:rsid w:val="005C2113"/>
    <w:rsid w:val="00684638"/>
    <w:rsid w:val="007539FA"/>
    <w:rsid w:val="00781919"/>
    <w:rsid w:val="00800C53"/>
    <w:rsid w:val="008025A0"/>
    <w:rsid w:val="008D2F1A"/>
    <w:rsid w:val="00936E12"/>
    <w:rsid w:val="009C4369"/>
    <w:rsid w:val="00A502C9"/>
    <w:rsid w:val="00A77B3E"/>
    <w:rsid w:val="00AC5C46"/>
    <w:rsid w:val="00B0317A"/>
    <w:rsid w:val="00BD1F9E"/>
    <w:rsid w:val="00BD3E12"/>
    <w:rsid w:val="00BE5E3B"/>
    <w:rsid w:val="00C35AE3"/>
    <w:rsid w:val="00CA2A55"/>
    <w:rsid w:val="00CD749D"/>
    <w:rsid w:val="00D13796"/>
    <w:rsid w:val="00D61C0C"/>
    <w:rsid w:val="00D926C0"/>
    <w:rsid w:val="00E169B1"/>
    <w:rsid w:val="00E9645B"/>
    <w:rsid w:val="00ED72B1"/>
    <w:rsid w:val="00F2694D"/>
    <w:rsid w:val="00FF4C18"/>
    <w:rsid w:val="1F5F57BC"/>
    <w:rsid w:val="7A5D30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qFormat/>
    <w:uiPriority w:val="0"/>
    <w:pPr>
      <w:widowControl w:val="0"/>
    </w:pPr>
    <w:rPr>
      <w:rFonts w:asciiTheme="minorHAnsi" w:hAnsiTheme="minorHAnsi" w:cstheme="minorBidi"/>
      <w:kern w:val="2"/>
      <w:sz w:val="21"/>
      <w:szCs w:val="22"/>
      <w:lang w:eastAsia="zh-CN"/>
    </w:rPr>
  </w:style>
  <w:style w:type="paragraph" w:styleId="3">
    <w:name w:val="Balloon Text"/>
    <w:basedOn w:val="1"/>
    <w:link w:val="16"/>
    <w:qFormat/>
    <w:uiPriority w:val="0"/>
    <w:rPr>
      <w:rFonts w:ascii="Tahoma" w:hAnsi="Tahoma" w:cs="Tahoma"/>
      <w:sz w:val="16"/>
      <w:szCs w:val="16"/>
    </w:rPr>
  </w:style>
  <w:style w:type="paragraph" w:styleId="4">
    <w:name w:val="footer"/>
    <w:basedOn w:val="1"/>
    <w:link w:val="13"/>
    <w:unhideWhenUsed/>
    <w:qFormat/>
    <w:uiPriority w:val="99"/>
    <w:pPr>
      <w:tabs>
        <w:tab w:val="center" w:pos="4153"/>
        <w:tab w:val="right" w:pos="8306"/>
      </w:tabs>
      <w:snapToGrid w:val="0"/>
    </w:pPr>
    <w:rPr>
      <w:sz w:val="18"/>
      <w:szCs w:val="18"/>
    </w:rPr>
  </w:style>
  <w:style w:type="paragraph" w:styleId="5">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0"/>
    <w:pPr>
      <w:widowControl/>
    </w:pPr>
    <w:rPr>
      <w:rFonts w:ascii="Times New Roman" w:hAnsi="Times New Roman" w:cs="Times New Roman"/>
      <w:b/>
      <w:bCs/>
      <w:kern w:val="0"/>
      <w:sz w:val="24"/>
      <w:szCs w:val="24"/>
      <w:lang w:eastAsia="en-US"/>
    </w:rPr>
  </w:style>
  <w:style w:type="character" w:styleId="9">
    <w:name w:val="annotation reference"/>
    <w:basedOn w:val="8"/>
    <w:qFormat/>
    <w:uiPriority w:val="0"/>
    <w:rPr>
      <w:sz w:val="21"/>
      <w:szCs w:val="21"/>
    </w:rPr>
  </w:style>
  <w:style w:type="paragraph" w:customStyle="1" w:styleId="10">
    <w:name w:val="EndNote Bibliography"/>
    <w:basedOn w:val="1"/>
    <w:qFormat/>
    <w:uiPriority w:val="0"/>
    <w:pPr>
      <w:widowControl w:val="0"/>
      <w:jc w:val="both"/>
    </w:pPr>
    <w:rPr>
      <w:rFonts w:ascii="Calibri" w:hAnsi="Calibri" w:cs="Calibri"/>
      <w:kern w:val="2"/>
      <w:sz w:val="20"/>
      <w:szCs w:val="22"/>
      <w:lang w:eastAsia="zh-CN"/>
    </w:rPr>
  </w:style>
  <w:style w:type="character" w:customStyle="1" w:styleId="11">
    <w:name w:val="批注文字 字符"/>
    <w:basedOn w:val="8"/>
    <w:link w:val="2"/>
    <w:qFormat/>
    <w:uiPriority w:val="0"/>
    <w:rPr>
      <w:rFonts w:asciiTheme="minorHAnsi" w:hAnsiTheme="minorHAnsi" w:cstheme="minorBidi"/>
      <w:kern w:val="2"/>
      <w:sz w:val="21"/>
      <w:szCs w:val="22"/>
      <w:lang w:eastAsia="zh-CN"/>
    </w:rPr>
  </w:style>
  <w:style w:type="character" w:customStyle="1" w:styleId="12">
    <w:name w:val="页眉 字符"/>
    <w:basedOn w:val="8"/>
    <w:link w:val="5"/>
    <w:qFormat/>
    <w:uiPriority w:val="0"/>
    <w:rPr>
      <w:sz w:val="18"/>
      <w:szCs w:val="18"/>
    </w:rPr>
  </w:style>
  <w:style w:type="character" w:customStyle="1" w:styleId="13">
    <w:name w:val="页脚 字符"/>
    <w:basedOn w:val="8"/>
    <w:link w:val="4"/>
    <w:qFormat/>
    <w:uiPriority w:val="99"/>
    <w:rPr>
      <w:sz w:val="18"/>
      <w:szCs w:val="18"/>
    </w:rPr>
  </w:style>
  <w:style w:type="character" w:customStyle="1" w:styleId="14">
    <w:name w:val="批注主题 字符"/>
    <w:basedOn w:val="11"/>
    <w:link w:val="6"/>
    <w:semiHidden/>
    <w:qFormat/>
    <w:uiPriority w:val="0"/>
    <w:rPr>
      <w:rFonts w:asciiTheme="minorHAnsi" w:hAnsiTheme="minorHAnsi" w:cstheme="minorBidi"/>
      <w:b/>
      <w:bCs/>
      <w:kern w:val="2"/>
      <w:sz w:val="24"/>
      <w:szCs w:val="24"/>
      <w:lang w:eastAsia="zh-CN"/>
    </w:rPr>
  </w:style>
  <w:style w:type="paragraph" w:customStyle="1" w:styleId="15">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6">
    <w:name w:val="批注框文本 字符"/>
    <w:basedOn w:val="8"/>
    <w:link w:val="3"/>
    <w:qFormat/>
    <w:uiPriority w:val="0"/>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C8054-C6F3-4EE8-9098-BAE66E3BF744}">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24</Pages>
  <Words>5160</Words>
  <Characters>29412</Characters>
  <Lines>245</Lines>
  <Paragraphs>69</Paragraphs>
  <TotalTime>0</TotalTime>
  <ScaleCrop>false</ScaleCrop>
  <LinksUpToDate>false</LinksUpToDate>
  <CharactersWithSpaces>34503</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2022-04-08T21:56:00Z</dcterms:created>
  <dc:creator>zzzppt</dc:creator>
  <cp:lastModifiedBy>晓晨</cp:lastModifiedBy>
  <dcterms:modified xsi:type="dcterms:W3CDTF">2022-04-22T03:20:33Z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49DA3EEA41FF4F918C6A40BA020035D9</vt:lpwstr>
  </property>
</Properties>
</file>