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3CE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D16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DAB4EF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74674</w:t>
      </w:r>
    </w:p>
    <w:p w14:paraId="200267C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175305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7121CC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b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A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3CE7DF6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735B93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Shi-Yuan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hAnsi="Book Antiqua" w:cs="Book Antiqua"/>
          <w:iCs/>
          <w:color w:val="000000"/>
          <w:lang w:eastAsia="zh-CN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iagnose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</w:p>
    <w:p w14:paraId="328CDD5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114ECC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Shi-Yuan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</w:p>
    <w:p w14:paraId="7ACCB71A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A9969B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Shi-Yuan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Ning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518110,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A796255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DBE09F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SY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J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J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E91B7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734CBF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Ning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No.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187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Guanlan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518110,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jiening919@gmail.com</w:t>
      </w:r>
    </w:p>
    <w:p w14:paraId="2F80D63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A7950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40D60EC" w14:textId="77777777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February</w:t>
      </w:r>
      <w:r w:rsidR="00ED16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24,</w:t>
      </w:r>
      <w:r w:rsidR="00ED162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504C11E1" w14:textId="788FE7D6" w:rsidR="00E57301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D1628" w:rsidRPr="00FB14D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3F0B" w:rsidRPr="00FB14D6">
        <w:rPr>
          <w:rFonts w:ascii="Book Antiqua" w:eastAsia="Book Antiqua" w:hAnsi="Book Antiqua" w:cs="Book Antiqua"/>
          <w:bCs/>
          <w:color w:val="000000"/>
        </w:rPr>
        <w:t>April 4, 2022</w:t>
      </w:r>
    </w:p>
    <w:p w14:paraId="1156BDE8" w14:textId="47B20A9F" w:rsidR="00E57301" w:rsidRPr="001B29CF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B14D6" w:rsidRPr="00FB14D6">
        <w:rPr>
          <w:rFonts w:ascii="Book Antiqua, serif" w:hAnsi="Book Antiqua, serif"/>
        </w:rPr>
        <w:t xml:space="preserve"> </w:t>
      </w:r>
      <w:r w:rsidR="00FB14D6">
        <w:rPr>
          <w:rFonts w:ascii="Book Antiqua, serif" w:hAnsi="Book Antiqua, serif"/>
        </w:rPr>
        <w:t>June 16, 2022</w:t>
      </w:r>
    </w:p>
    <w:p w14:paraId="580FC2A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FABDF3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F9EB9DD" w14:textId="7E147C2C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salt-losing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tubulopathy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thiazide-sensitive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Na-</w:t>
      </w:r>
      <w:proofErr w:type="spellStart"/>
      <w:r>
        <w:rPr>
          <w:rFonts w:ascii="Book Antiqua" w:eastAsia="Book Antiqua" w:hAnsi="Book Antiqua" w:cs="Book Antiqua"/>
          <w:color w:val="000000"/>
        </w:rPr>
        <w:t>Cl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cotransporter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774D23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553471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46DBD53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(1.66-2.83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(1.51-2.46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/d),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(7.47-7.54),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ng</w:t>
      </w:r>
      <w:proofErr w:type="spellEnd"/>
      <w:r>
        <w:rPr>
          <w:rFonts w:ascii="Book Antiqua" w:eastAsia="Book Antiqua" w:hAnsi="Book Antiqua" w:cs="Book Antiqua"/>
          <w:color w:val="000000"/>
        </w:rPr>
        <w:t>/mL/h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330.64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756.82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SLCI2A3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</w:p>
    <w:p w14:paraId="7A8F62D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D0A7D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4C441D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781FBC29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4825AEA" w14:textId="77777777" w:rsidR="00E57301" w:rsidRPr="001E570D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1E570D">
        <w:rPr>
          <w:rFonts w:ascii="Book Antiqua" w:hAnsi="Book Antiqua" w:cs="Book Antiqua" w:hint="eastAsia"/>
          <w:color w:val="000000"/>
          <w:lang w:eastAsia="zh-CN"/>
        </w:rPr>
        <w:t>; Case report</w:t>
      </w:r>
    </w:p>
    <w:p w14:paraId="47E6C41C" w14:textId="77777777" w:rsidR="00E57301" w:rsidRDefault="00E5730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5FC179" w14:textId="77777777" w:rsidR="00AB6BB6" w:rsidRDefault="00AB6BB6" w:rsidP="00AB6BB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44E60FD" w14:textId="77777777" w:rsidR="001B29CF" w:rsidRPr="00AB6BB6" w:rsidRDefault="001B29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C8A73A" w14:textId="5BBF5569" w:rsidR="00FB14D6" w:rsidRPr="00AB7E18" w:rsidRDefault="002C228B" w:rsidP="00FB14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Citation: </w:t>
      </w:r>
      <w:r w:rsidR="0060413C"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SY,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413C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N.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413C"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syndrome: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hAnsi="Book Antiqua" w:cs="Book Antiqua"/>
          <w:color w:val="000000"/>
          <w:lang w:eastAsia="zh-CN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report.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0413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60413C">
        <w:rPr>
          <w:rFonts w:ascii="Book Antiqua" w:eastAsia="Book Antiqua" w:hAnsi="Book Antiqua" w:cs="Book Antiqua"/>
          <w:color w:val="000000"/>
        </w:rPr>
        <w:t>2022</w:t>
      </w:r>
      <w:bookmarkStart w:id="0" w:name="_Hlk103159537"/>
      <w:bookmarkStart w:id="1" w:name="_Hlk103160362"/>
      <w:r w:rsidR="00FB14D6" w:rsidRPr="001A2510">
        <w:rPr>
          <w:rFonts w:ascii="Book Antiqua" w:eastAsia="Book Antiqua" w:hAnsi="Book Antiqua" w:cs="Book Antiqua"/>
          <w:color w:val="000000"/>
        </w:rPr>
        <w:t>; 10(1</w:t>
      </w:r>
      <w:r w:rsidR="00FB14D6">
        <w:rPr>
          <w:rFonts w:ascii="Book Antiqua" w:eastAsia="Book Antiqua" w:hAnsi="Book Antiqua" w:cs="Book Antiqua"/>
          <w:color w:val="000000"/>
        </w:rPr>
        <w:t>7</w:t>
      </w:r>
      <w:r w:rsidR="001B29CF">
        <w:rPr>
          <w:rFonts w:ascii="Book Antiqua" w:eastAsia="Book Antiqua" w:hAnsi="Book Antiqua" w:cs="Book Antiqua"/>
          <w:color w:val="000000"/>
        </w:rPr>
        <w:t xml:space="preserve">): </w:t>
      </w:r>
      <w:r w:rsidR="00AB7E18">
        <w:rPr>
          <w:rFonts w:ascii="Book Antiqua" w:hAnsi="Book Antiqua" w:cs="Book Antiqua" w:hint="eastAsia"/>
          <w:color w:val="000000"/>
          <w:lang w:eastAsia="zh-CN"/>
        </w:rPr>
        <w:t>5893</w:t>
      </w:r>
      <w:r w:rsidR="001B29CF">
        <w:rPr>
          <w:rFonts w:ascii="Book Antiqua" w:eastAsia="Book Antiqua" w:hAnsi="Book Antiqua" w:cs="Book Antiqua"/>
          <w:color w:val="000000"/>
        </w:rPr>
        <w:t>-</w:t>
      </w:r>
      <w:r w:rsidR="00AB7E18">
        <w:rPr>
          <w:rFonts w:ascii="Book Antiqua" w:hAnsi="Book Antiqua" w:cs="Book Antiqua" w:hint="eastAsia"/>
          <w:color w:val="000000"/>
          <w:lang w:eastAsia="zh-CN"/>
        </w:rPr>
        <w:t>5898</w:t>
      </w:r>
    </w:p>
    <w:p w14:paraId="65F6121E" w14:textId="6FCCB996" w:rsidR="001B29CF" w:rsidRDefault="00FB14D6" w:rsidP="00FB14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E5C5B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1B29C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1B29CF" w:rsidRPr="001B29CF">
        <w:rPr>
          <w:rFonts w:ascii="Book Antiqua" w:eastAsia="Book Antiqua" w:hAnsi="Book Antiqua" w:cs="Book Antiqua"/>
          <w:color w:val="000000"/>
        </w:rPr>
        <w:t>https://www.wjgnet.com/2307-8960/full/v10/i17/</w:t>
      </w:r>
      <w:r w:rsidR="00AB7E18">
        <w:rPr>
          <w:rFonts w:ascii="Book Antiqua" w:hAnsi="Book Antiqua" w:cs="Book Antiqua" w:hint="eastAsia"/>
          <w:color w:val="000000"/>
          <w:lang w:eastAsia="zh-CN"/>
        </w:rPr>
        <w:t>5893</w:t>
      </w:r>
      <w:r w:rsidR="001B29CF" w:rsidRPr="001B29CF">
        <w:rPr>
          <w:rFonts w:ascii="Book Antiqua" w:eastAsia="Book Antiqua" w:hAnsi="Book Antiqua" w:cs="Book Antiqua"/>
          <w:color w:val="000000"/>
        </w:rPr>
        <w:t>.htm</w:t>
      </w:r>
    </w:p>
    <w:p w14:paraId="17C4389C" w14:textId="2A42A7CF" w:rsidR="00FB14D6" w:rsidRPr="00AB7E18" w:rsidRDefault="00FB14D6" w:rsidP="00FB14D6">
      <w:pPr>
        <w:spacing w:line="360" w:lineRule="auto"/>
        <w:jc w:val="both"/>
        <w:rPr>
          <w:rFonts w:ascii="Book Antiqua" w:hAnsi="Book Antiqua"/>
          <w:lang w:eastAsia="zh-CN"/>
        </w:rPr>
      </w:pPr>
      <w:r w:rsidRPr="00AE5C5B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1B29C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A2510">
        <w:rPr>
          <w:rFonts w:ascii="Book Antiqua" w:eastAsia="Book Antiqua" w:hAnsi="Book Antiqua" w:cs="Book Antiqua"/>
          <w:color w:val="000000"/>
        </w:rPr>
        <w:t>https://dx.doi.org/10.12998/wjcc.v10.i1</w:t>
      </w:r>
      <w:r>
        <w:rPr>
          <w:rFonts w:ascii="Book Antiqua" w:eastAsia="Book Antiqua" w:hAnsi="Book Antiqua" w:cs="Book Antiqua"/>
          <w:color w:val="000000"/>
        </w:rPr>
        <w:t>7</w:t>
      </w:r>
      <w:r w:rsidRPr="001A2510">
        <w:rPr>
          <w:rFonts w:ascii="Book Antiqua" w:eastAsia="Book Antiqua" w:hAnsi="Book Antiqua" w:cs="Book Antiqua"/>
          <w:color w:val="000000"/>
        </w:rPr>
        <w:t>.</w:t>
      </w:r>
      <w:bookmarkEnd w:id="0"/>
      <w:r w:rsidR="00AB7E18">
        <w:rPr>
          <w:rFonts w:ascii="Book Antiqua" w:hAnsi="Book Antiqua" w:cs="Book Antiqua" w:hint="eastAsia"/>
          <w:color w:val="000000"/>
          <w:lang w:eastAsia="zh-CN"/>
        </w:rPr>
        <w:t>5893</w:t>
      </w:r>
    </w:p>
    <w:bookmarkEnd w:id="1"/>
    <w:p w14:paraId="06BC86D6" w14:textId="5DBC78A9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98D682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70F800A8" w14:textId="77777777" w:rsidR="001B29CF" w:rsidRDefault="001B29C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2DE11B2" w14:textId="45308200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59B1D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renin-angiotensin-aldosterone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(RAAS),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salt-losing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1/40000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Europeans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10.3/10000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Longhua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Shenzhen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7808F06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9FAA09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EEEA0B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3991FC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24-year-old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relapse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34648988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FFCEC6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50584D4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1.66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reexamined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2.22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hypokalemia.</w:t>
      </w:r>
    </w:p>
    <w:p w14:paraId="6FC5A44F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C3D6F1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BDBEA6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2EBD10F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41BF5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56F32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laxatives.</w:t>
      </w:r>
    </w:p>
    <w:p w14:paraId="79BB0AF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7A1745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7F9CF5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Physical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</w:rPr>
        <w:t>℃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116/53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bpm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</w:p>
    <w:p w14:paraId="3594990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0C023A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6254DD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Laboratory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wasting,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1.66–2.83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102.43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(1.51-2.46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/d),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(7.47-7.54).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hyperreninemic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hyperaldosteronism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ng</w:t>
      </w:r>
      <w:proofErr w:type="spellEnd"/>
      <w:r>
        <w:rPr>
          <w:rFonts w:ascii="Book Antiqua" w:eastAsia="Book Antiqua" w:hAnsi="Book Antiqua" w:cs="Book Antiqua"/>
          <w:color w:val="000000"/>
        </w:rPr>
        <w:t>/mL/h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330.64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756.82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and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6026CD3F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4B9CDBED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Imaging</w:t>
      </w:r>
      <w:r w:rsidR="00ED162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BADFE7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Computed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3D082699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BD8F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F3FABBD" w14:textId="77777777" w:rsidR="00E57301" w:rsidRDefault="006041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renin-angiotensin-aldosterone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GS.</w:t>
      </w:r>
    </w:p>
    <w:p w14:paraId="18AC2B22" w14:textId="77777777" w:rsidR="00E57301" w:rsidRDefault="00E573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FFF770B" w14:textId="77777777" w:rsidR="00E57301" w:rsidRPr="00ED1628" w:rsidRDefault="0060413C">
      <w:pPr>
        <w:spacing w:line="360" w:lineRule="auto"/>
        <w:jc w:val="both"/>
      </w:pPr>
      <w:r w:rsidRP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</w:p>
    <w:p w14:paraId="2686A39C" w14:textId="77777777" w:rsidR="00E57301" w:rsidRPr="00ED1628" w:rsidRDefault="0060413C">
      <w:pPr>
        <w:spacing w:line="360" w:lineRule="auto"/>
        <w:jc w:val="both"/>
      </w:pP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Guangzhou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1628">
        <w:rPr>
          <w:rFonts w:ascii="Book Antiqua" w:eastAsia="Book Antiqua" w:hAnsi="Book Antiqua" w:cs="Book Antiqua"/>
          <w:color w:val="000000"/>
        </w:rPr>
        <w:t>KingMed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Center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Laboratory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patient,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including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DNA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extracted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samples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possible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identified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comparing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reference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sequence.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Two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pathogenic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(Table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3)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detected: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rs768527231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missense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C.248G&gt;A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(p.Asg83Gln),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dbSNP147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D1628">
        <w:rPr>
          <w:rFonts w:ascii="Book Antiqua" w:eastAsia="Book Antiqua" w:hAnsi="Book Antiqua" w:cs="Book Antiqua"/>
          <w:color w:val="000000"/>
        </w:rPr>
        <w:t>database,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Exon21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nonsense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C.2532G&gt;A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(p.Trp844*),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confirming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GS</w:t>
      </w:r>
      <w:r w:rsidR="00ED1628" w:rsidRP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(Figure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Pr="00ED1628">
        <w:rPr>
          <w:rFonts w:ascii="Book Antiqua" w:eastAsia="Book Antiqua" w:hAnsi="Book Antiqua" w:cs="Book Antiqua"/>
          <w:color w:val="000000"/>
        </w:rPr>
        <w:t>1)</w:t>
      </w:r>
      <w:r w:rsidR="00ED1628" w:rsidRPr="00ED1628">
        <w:rPr>
          <w:rFonts w:ascii="Book Antiqua" w:eastAsia="Book Antiqua" w:hAnsi="Book Antiqua" w:cs="Book Antiqua"/>
          <w:color w:val="000000"/>
        </w:rPr>
        <w:t>.</w:t>
      </w:r>
    </w:p>
    <w:p w14:paraId="163F5D82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17F302C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0BEF2E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</w:p>
    <w:p w14:paraId="187A2506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0EB102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D162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4D6774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alleviated.</w:t>
      </w:r>
    </w:p>
    <w:p w14:paraId="62AA24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34528FD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E64C38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ignored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</w:p>
    <w:p w14:paraId="5AAE1A7C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etiopathogenesis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deficient.</w:t>
      </w:r>
    </w:p>
    <w:p w14:paraId="643AFE55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(3.5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/L)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mineralocorticoid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Cushing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17-α/11-β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Liddle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aldosteronism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hypochloremia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hypocalciuria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rs768527231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C.248G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(p.agsg83gln),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dbSNP147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Exon21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C.2532g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(p.TP844*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63BE350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cotransporter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(NCCT)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loss-of-function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SLCI2A3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tubules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8C4524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Reduced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salinization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alkalosis.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Na+/</w:t>
      </w:r>
      <w:proofErr w:type="spellStart"/>
      <w:r>
        <w:rPr>
          <w:rFonts w:ascii="Book Antiqua" w:eastAsia="Book Antiqua" w:hAnsi="Book Antiqua" w:cs="Book Antiqua"/>
          <w:color w:val="000000"/>
        </w:rPr>
        <w:t>Cl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Cl-superactivation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CA2+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4517B8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reabsorption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Mg2+/Na+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cation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(TRPM6)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brush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magnesium-transporter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magnesium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7,8,10]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hypomagnesemia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parathyroid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hormone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ABDD0B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aldosterone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potassium-sparing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amiloride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eplerenone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</w:p>
    <w:p w14:paraId="074BA865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consensus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1,9]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7C87E369" w14:textId="77777777" w:rsidR="00E57301" w:rsidRDefault="0060413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chloride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Riveira</w:t>
      </w:r>
      <w:proofErr w:type="spellEnd"/>
      <w:r>
        <w:rPr>
          <w:rFonts w:ascii="Book Antiqua" w:eastAsia="Book Antiqua" w:hAnsi="Book Antiqua" w:cs="Book Antiqua"/>
          <w:color w:val="000000"/>
        </w:rPr>
        <w:t>-Munoz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nature/position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p w14:paraId="042C203E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BDDAFF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B518A2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287EE0A2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267C825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1A1152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Knoers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NV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148-154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16580616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10.1053/j.ackd.2006.01.014]</w:t>
      </w:r>
    </w:p>
    <w:p w14:paraId="6BB45E7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Melander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Orho-Melander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Bengtsson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Lindblad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Râstam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Groop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Hulthén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Genetic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thiazide-sensitive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NaCl-cotransporter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389-394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10988270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10.1161/01.HYP.36.3.389]</w:t>
      </w:r>
    </w:p>
    <w:p w14:paraId="0197EB86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Tago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Kokubo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Inamoto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Naraba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Tomoike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Iwai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327-331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15198479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10.1291/hypres.27.327]</w:t>
      </w:r>
    </w:p>
    <w:p w14:paraId="3C33187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Kurtz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Bartter's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1396-1410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9767561</w:t>
      </w:r>
      <w:r w:rsidR="00ED1628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DOI:10.1046/j.1523-1755.1998.00124.x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F3E948E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lastRenderedPageBreak/>
        <w:t>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Shiang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Phenotype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2500-2507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15687331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10.1210/jc.2004-1905]</w:t>
      </w:r>
    </w:p>
    <w:p w14:paraId="6ED5CC2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Yang</w:t>
      </w:r>
      <w:proofErr w:type="gram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c2039delG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hypocalcemia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30558554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10.1186/s12882-018-1163-3]</w:t>
      </w:r>
    </w:p>
    <w:p w14:paraId="1B06A3D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7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Pantanetti</w:t>
      </w:r>
      <w:proofErr w:type="spellEnd"/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Arnaldi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Balercia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Mantero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Giacchetti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hypomagnesaemia-induced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hypocalcaemia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Gitelman's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413-418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11940055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10.1046/j.1365-2265.2002.01223.x]</w:t>
      </w:r>
    </w:p>
    <w:p w14:paraId="68C8C360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/>
          <w:color w:val="000000"/>
          <w:lang w:eastAsia="zh-CN"/>
        </w:rPr>
        <w:t>8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Blanchard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Bockenhauer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Bolignano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Cosyns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Devuyst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Ellison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Karet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Frankl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Knoers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Konrad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Vargas-</w:t>
      </w:r>
      <w:proofErr w:type="spellStart"/>
      <w:r>
        <w:rPr>
          <w:rFonts w:ascii="Book Antiqua" w:eastAsia="Book Antiqua" w:hAnsi="Book Antiqua" w:cs="Book Antiqua"/>
          <w:color w:val="000000"/>
        </w:rPr>
        <w:t>Poussou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(KDIGO)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24-33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28003083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10.1016/j.kint.2016.09.046]</w:t>
      </w:r>
    </w:p>
    <w:p w14:paraId="78FC2A44" w14:textId="77777777" w:rsidR="00E57301" w:rsidRDefault="0060413C">
      <w:pPr>
        <w:spacing w:line="360" w:lineRule="auto"/>
        <w:jc w:val="both"/>
        <w:rPr>
          <w:rStyle w:val="a9"/>
          <w:rFonts w:ascii="Book Antiqua" w:hAnsi="Book Antiqua"/>
          <w:sz w:val="24"/>
          <w:szCs w:val="24"/>
          <w:lang w:eastAsia="zh-CN"/>
        </w:rPr>
      </w:pP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9</w:t>
      </w:r>
      <w:r w:rsidR="00ED1628">
        <w:rPr>
          <w:rStyle w:val="a9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proofErr w:type="spellStart"/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Gitelman</w:t>
      </w:r>
      <w:proofErr w:type="spellEnd"/>
      <w:r w:rsidR="00ED1628"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proofErr w:type="gramStart"/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Syndrome</w:t>
      </w:r>
      <w:proofErr w:type="gramEnd"/>
      <w:r w:rsidR="00ED1628"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Collaborative</w:t>
      </w:r>
      <w:r w:rsidR="00ED1628"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Study</w:t>
      </w:r>
      <w:r w:rsidR="00ED1628"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Group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.</w:t>
      </w:r>
      <w:r w:rsidR="00ED1628">
        <w:rPr>
          <w:rStyle w:val="a9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proofErr w:type="gramStart"/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Expert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consensus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for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the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diagnosis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and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treatment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of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patients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with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proofErr w:type="spellStart"/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Gitelman</w:t>
      </w:r>
      <w:proofErr w:type="spellEnd"/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syndrome.</w:t>
      </w:r>
      <w:proofErr w:type="gramEnd"/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>Chin</w:t>
      </w:r>
      <w:r w:rsidR="00ED1628"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>J</w:t>
      </w:r>
      <w:r w:rsidR="00ED1628"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>Intern</w:t>
      </w:r>
      <w:r w:rsidR="00ED1628"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i/>
          <w:sz w:val="24"/>
          <w:szCs w:val="24"/>
          <w:lang w:eastAsia="zh-CN"/>
        </w:rPr>
        <w:t>Med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2017;</w:t>
      </w:r>
      <w:r w:rsidR="00ED1628">
        <w:rPr>
          <w:rStyle w:val="a9"/>
          <w:rFonts w:ascii="Book Antiqua" w:hAnsi="Book Antiqua" w:cs="book Antique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b/>
          <w:sz w:val="24"/>
          <w:szCs w:val="24"/>
          <w:lang w:eastAsia="zh-CN"/>
        </w:rPr>
        <w:t>56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:</w:t>
      </w:r>
      <w:r w:rsidR="00ED1628">
        <w:rPr>
          <w:rStyle w:val="a9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712-716</w:t>
      </w:r>
      <w:r w:rsidR="00ED1628">
        <w:rPr>
          <w:rStyle w:val="a9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[DOI:</w:t>
      </w:r>
      <w:r w:rsidR="00ED1628">
        <w:rPr>
          <w:rStyle w:val="a9"/>
          <w:rFonts w:ascii="Book Antiqua" w:hAnsi="Book Antiqua" w:cs="book Antique" w:hint="eastAsia"/>
          <w:sz w:val="24"/>
          <w:szCs w:val="24"/>
          <w:lang w:eastAsia="zh-CN"/>
        </w:rPr>
        <w:t xml:space="preserve"> </w:t>
      </w:r>
      <w:r>
        <w:rPr>
          <w:rStyle w:val="a9"/>
          <w:rFonts w:ascii="Book Antiqua" w:hAnsi="Book Antiqua" w:cs="book Antique"/>
          <w:sz w:val="24"/>
          <w:szCs w:val="24"/>
          <w:lang w:eastAsia="zh-CN"/>
        </w:rPr>
        <w:t>10.3760/cma.j.issn.0578-1426.2017.09.021]</w:t>
      </w:r>
    </w:p>
    <w:p w14:paraId="7CEE5E3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宋体" w:hAnsi="Book Antiqua" w:cs="Book Antiqua"/>
          <w:color w:val="000000"/>
          <w:lang w:eastAsia="zh-CN"/>
        </w:rPr>
        <w:t>0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357-366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24776766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10.1159/000360773]</w:t>
      </w:r>
    </w:p>
    <w:p w14:paraId="5FA1A3B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Riveira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-Munoz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Godefroid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Hoenderop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Bindels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Dahan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Devuyst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SLC12A3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Gitelman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ED16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1271-1283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17329572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DOI:10.1681/asn.2006101095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1FDBBB2F" w14:textId="753E28E3" w:rsidR="001B29CF" w:rsidRDefault="001B29CF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189C6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99753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43324F77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7C1F609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</w:p>
    <w:p w14:paraId="5AC8A0CC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5DCD9157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24DB1A4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A49DCB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D16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465DF1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058EE7A8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659CA4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DB30DF8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92BB1B1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4CC1E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B74BED" w14:textId="3ADE3F45" w:rsidR="00E57301" w:rsidRPr="001B29CF" w:rsidRDefault="0060413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B14D6" w:rsidRPr="00FB14D6">
        <w:rPr>
          <w:rFonts w:ascii="Book Antiqua" w:eastAsia="Book Antiqua" w:hAnsi="Book Antiqua" w:cs="Book Antiqua"/>
          <w:bCs/>
          <w:color w:val="000000"/>
        </w:rPr>
        <w:t xml:space="preserve"> April 4, 2022</w:t>
      </w:r>
    </w:p>
    <w:p w14:paraId="0DE8A5DB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312F857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</w:p>
    <w:p w14:paraId="07202E4E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89D146A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251B8C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39E993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6686DCF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F4952B9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F769B5" w14:textId="77777777" w:rsidR="00E57301" w:rsidRDefault="006041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9F312D" w14:textId="77777777" w:rsidR="00E57301" w:rsidRDefault="00E57301">
      <w:pPr>
        <w:spacing w:line="360" w:lineRule="auto"/>
        <w:jc w:val="both"/>
        <w:rPr>
          <w:rFonts w:ascii="Book Antiqua" w:hAnsi="Book Antiqua"/>
        </w:rPr>
      </w:pPr>
    </w:p>
    <w:p w14:paraId="662E5EE4" w14:textId="77777777" w:rsidR="00E57301" w:rsidRDefault="0060413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Lambrecht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1E570D" w:rsidRPr="001E570D">
        <w:rPr>
          <w:rFonts w:ascii="Book Antiqua" w:eastAsia="Book Antiqua" w:hAnsi="Book Antiqua" w:cs="Book Antiqua"/>
          <w:color w:val="000000"/>
        </w:rPr>
        <w:t>United States</w:t>
      </w:r>
      <w:r w:rsidR="001E570D">
        <w:rPr>
          <w:rFonts w:ascii="Book Antiqua" w:hAnsi="Book Antiqua" w:cs="Book Antiqua" w:hint="eastAsia"/>
          <w:color w:val="000000"/>
          <w:lang w:eastAsia="zh-CN"/>
        </w:rPr>
        <w:t>;</w:t>
      </w:r>
      <w:r w:rsidR="001E570D" w:rsidRPr="001E57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Mittal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 w:rsidR="001E570D" w:rsidRPr="001E570D">
        <w:rPr>
          <w:rFonts w:ascii="Book Antiqua" w:eastAsia="Book Antiqua" w:hAnsi="Book Antiqua" w:cs="Book Antiqua"/>
          <w:color w:val="000000"/>
        </w:rPr>
        <w:t>India</w:t>
      </w:r>
      <w:r w:rsidR="001E570D">
        <w:rPr>
          <w:rFonts w:ascii="Book Antiqua" w:hAnsi="Book Antiqua" w:cs="Book Antiqua" w:hint="eastAsia"/>
          <w:color w:val="000000"/>
          <w:lang w:eastAsia="zh-CN"/>
        </w:rPr>
        <w:t>;</w:t>
      </w:r>
      <w:r w:rsidR="001E570D" w:rsidRPr="001E57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Thongon</w:t>
      </w:r>
      <w:proofErr w:type="spellEnd"/>
      <w:r w:rsidR="00ED16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1E570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1E570D" w:rsidRPr="001E570D">
        <w:rPr>
          <w:rFonts w:ascii="Book Antiqua" w:hAnsi="Book Antiqua" w:cs="Book Antiqua"/>
          <w:color w:val="000000"/>
          <w:lang w:eastAsia="zh-CN"/>
        </w:rPr>
        <w:t>Thailand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LL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D16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D162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LL</w:t>
      </w:r>
    </w:p>
    <w:p w14:paraId="25A86482" w14:textId="77777777" w:rsidR="00AC1A22" w:rsidRDefault="0060413C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AC1A22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C1A22">
        <w:rPr>
          <w:rFonts w:ascii="Book Antiqua" w:hAnsi="Book Antiqua" w:cs="Book Antiqua" w:hint="eastAsia"/>
          <w:b/>
          <w:color w:val="000000"/>
          <w:lang w:eastAsia="zh-CN"/>
        </w:rPr>
        <w:t xml:space="preserve"> Legends</w:t>
      </w:r>
    </w:p>
    <w:p w14:paraId="48248FE4" w14:textId="77777777" w:rsidR="00AC1A22" w:rsidRDefault="00E20A57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D6453BA" wp14:editId="4D8EC8BD">
            <wp:extent cx="5943600" cy="3173432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674\pdf\7467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EE4D" w14:textId="77777777" w:rsidR="00AC1A22" w:rsidRDefault="00AC1A22">
      <w:pPr>
        <w:spacing w:line="360" w:lineRule="auto"/>
        <w:jc w:val="both"/>
        <w:textAlignment w:val="baseline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Figure 1 </w:t>
      </w:r>
      <w:r w:rsidRPr="00AC1A22">
        <w:rPr>
          <w:rFonts w:ascii="Book Antiqua" w:hAnsi="Book Antiqua" w:cs="Book Antiqua"/>
          <w:b/>
          <w:color w:val="000000"/>
          <w:lang w:eastAsia="zh-CN"/>
        </w:rPr>
        <w:t>Exon sequencing of pathogenic genes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  <w:bookmarkStart w:id="2" w:name="_GoBack"/>
      <w:bookmarkEnd w:id="2"/>
    </w:p>
    <w:p w14:paraId="47B2DCF5" w14:textId="77777777" w:rsidR="00E57301" w:rsidRDefault="00AC1A22">
      <w:pPr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60413C"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1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Laboratory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 w:rsidR="0060413C">
        <w:rPr>
          <w:rFonts w:ascii="Book Antiqua" w:eastAsia="宋体" w:hAnsi="Book Antiqua" w:cs="Antiqua"/>
          <w:b/>
          <w:kern w:val="2"/>
          <w:lang w:eastAsia="zh-CN"/>
        </w:rPr>
        <w:t>examinations</w:t>
      </w:r>
    </w:p>
    <w:tbl>
      <w:tblPr>
        <w:tblStyle w:val="1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370"/>
        <w:gridCol w:w="2886"/>
      </w:tblGrid>
      <w:tr w:rsidR="00E57301" w14:paraId="575E2702" w14:textId="77777777">
        <w:tc>
          <w:tcPr>
            <w:tcW w:w="3266" w:type="dxa"/>
            <w:tcBorders>
              <w:bottom w:val="single" w:sz="4" w:space="0" w:color="auto"/>
            </w:tcBorders>
          </w:tcPr>
          <w:p w14:paraId="33D38CCE" w14:textId="77777777" w:rsidR="00E57301" w:rsidRDefault="00E57301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55CD809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Value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or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range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7CB252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Normal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range</w:t>
            </w:r>
          </w:p>
        </w:tc>
      </w:tr>
      <w:tr w:rsidR="00E57301" w14:paraId="55DAF3BF" w14:textId="77777777">
        <w:tc>
          <w:tcPr>
            <w:tcW w:w="3266" w:type="dxa"/>
            <w:tcBorders>
              <w:top w:val="single" w:sz="4" w:space="0" w:color="auto"/>
            </w:tcBorders>
          </w:tcPr>
          <w:p w14:paraId="520B54A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pH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17BAD40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8.5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75659A3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5.0-8.4</w:t>
            </w:r>
          </w:p>
        </w:tc>
      </w:tr>
      <w:tr w:rsidR="00E57301" w14:paraId="1D589F6E" w14:textId="77777777">
        <w:tc>
          <w:tcPr>
            <w:tcW w:w="3266" w:type="dxa"/>
          </w:tcPr>
          <w:p w14:paraId="4BC5BB4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specific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gravity</w:t>
            </w:r>
          </w:p>
        </w:tc>
        <w:tc>
          <w:tcPr>
            <w:tcW w:w="2370" w:type="dxa"/>
          </w:tcPr>
          <w:p w14:paraId="7BAE8B4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1.01</w:t>
            </w:r>
          </w:p>
        </w:tc>
        <w:tc>
          <w:tcPr>
            <w:tcW w:w="2886" w:type="dxa"/>
          </w:tcPr>
          <w:p w14:paraId="7221FFA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1.021-1.03</w:t>
            </w:r>
          </w:p>
        </w:tc>
      </w:tr>
      <w:tr w:rsidR="00E57301" w14:paraId="2E632A8E" w14:textId="77777777">
        <w:tc>
          <w:tcPr>
            <w:tcW w:w="3266" w:type="dxa"/>
          </w:tcPr>
          <w:p w14:paraId="6BE8EDA4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protein</w:t>
            </w:r>
          </w:p>
        </w:tc>
        <w:tc>
          <w:tcPr>
            <w:tcW w:w="2370" w:type="dxa"/>
          </w:tcPr>
          <w:p w14:paraId="61F18CA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Negative</w:t>
            </w:r>
          </w:p>
        </w:tc>
        <w:tc>
          <w:tcPr>
            <w:tcW w:w="2886" w:type="dxa"/>
          </w:tcPr>
          <w:p w14:paraId="0AAD1DF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Negative</w:t>
            </w:r>
          </w:p>
        </w:tc>
      </w:tr>
      <w:tr w:rsidR="00E57301" w14:paraId="0BBDEB68" w14:textId="77777777">
        <w:tc>
          <w:tcPr>
            <w:tcW w:w="3266" w:type="dxa"/>
          </w:tcPr>
          <w:p w14:paraId="2D64484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BUN,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7B368D15" w14:textId="4E7F9938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4.62</w:t>
            </w:r>
          </w:p>
        </w:tc>
        <w:tc>
          <w:tcPr>
            <w:tcW w:w="2886" w:type="dxa"/>
          </w:tcPr>
          <w:p w14:paraId="76CF5A08" w14:textId="68137BC1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3.1-8</w:t>
            </w:r>
          </w:p>
        </w:tc>
      </w:tr>
      <w:tr w:rsidR="00E57301" w14:paraId="1F1D99D5" w14:textId="77777777">
        <w:tc>
          <w:tcPr>
            <w:tcW w:w="3266" w:type="dxa"/>
          </w:tcPr>
          <w:p w14:paraId="0FFCAA0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CR,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6B14BA8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76.3</w:t>
            </w:r>
          </w:p>
        </w:tc>
        <w:tc>
          <w:tcPr>
            <w:tcW w:w="2886" w:type="dxa"/>
          </w:tcPr>
          <w:p w14:paraId="15455013" w14:textId="11F11085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57-97</w:t>
            </w:r>
          </w:p>
        </w:tc>
      </w:tr>
      <w:tr w:rsidR="00E57301" w14:paraId="64AF6657" w14:textId="77777777">
        <w:tc>
          <w:tcPr>
            <w:tcW w:w="3266" w:type="dxa"/>
          </w:tcPr>
          <w:p w14:paraId="4DA34B4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pH</w:t>
            </w:r>
          </w:p>
        </w:tc>
        <w:tc>
          <w:tcPr>
            <w:tcW w:w="2370" w:type="dxa"/>
          </w:tcPr>
          <w:p w14:paraId="0C8CE1C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7.47-7.54</w:t>
            </w:r>
          </w:p>
        </w:tc>
        <w:tc>
          <w:tcPr>
            <w:tcW w:w="2886" w:type="dxa"/>
          </w:tcPr>
          <w:p w14:paraId="13BD6A9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7.35-7.45</w:t>
            </w:r>
          </w:p>
        </w:tc>
      </w:tr>
      <w:tr w:rsidR="00E57301" w14:paraId="5BFE7073" w14:textId="77777777">
        <w:tc>
          <w:tcPr>
            <w:tcW w:w="3266" w:type="dxa"/>
          </w:tcPr>
          <w:p w14:paraId="37F613F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HCO</w:t>
            </w:r>
            <w:r>
              <w:rPr>
                <w:rFonts w:ascii="Book Antiqua" w:eastAsia="宋体" w:hAnsi="Book Antiqua" w:cs="Antiqua"/>
                <w:kern w:val="2"/>
                <w:vertAlign w:val="subscript"/>
                <w:lang w:eastAsia="zh-CN"/>
              </w:rPr>
              <w:t>3</w:t>
            </w:r>
            <w:r>
              <w:rPr>
                <w:rFonts w:ascii="Book Antiqua" w:eastAsia="宋体" w:hAnsi="Book Antiqua" w:cs="Antiqua"/>
                <w:kern w:val="2"/>
                <w:vertAlign w:val="superscript"/>
                <w:lang w:eastAsia="zh-CN"/>
              </w:rPr>
              <w:t>-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/>
                <w:kern w:val="2"/>
                <w:vertAlign w:val="subscript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76699877" w14:textId="1025C7B9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24.1-27.7</w:t>
            </w:r>
          </w:p>
        </w:tc>
        <w:tc>
          <w:tcPr>
            <w:tcW w:w="2886" w:type="dxa"/>
          </w:tcPr>
          <w:p w14:paraId="4C0AF8FA" w14:textId="3668496E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22-26</w:t>
            </w:r>
          </w:p>
        </w:tc>
      </w:tr>
      <w:tr w:rsidR="00E57301" w14:paraId="0A1B3E0D" w14:textId="77777777">
        <w:tc>
          <w:tcPr>
            <w:tcW w:w="3266" w:type="dxa"/>
          </w:tcPr>
          <w:p w14:paraId="4B2CDF9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magnesium,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138B8332" w14:textId="146BB789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0.4</w:t>
            </w:r>
          </w:p>
        </w:tc>
        <w:tc>
          <w:tcPr>
            <w:tcW w:w="2886" w:type="dxa"/>
          </w:tcPr>
          <w:p w14:paraId="6A34E3FD" w14:textId="59D5E344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0.7-1.0</w:t>
            </w:r>
          </w:p>
        </w:tc>
      </w:tr>
      <w:tr w:rsidR="00E57301" w14:paraId="30D789AF" w14:textId="77777777">
        <w:tc>
          <w:tcPr>
            <w:tcW w:w="3266" w:type="dxa"/>
          </w:tcPr>
          <w:p w14:paraId="522823B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potassium,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68EFA0D0" w14:textId="036CC682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1.66-2.83</w:t>
            </w:r>
          </w:p>
        </w:tc>
        <w:tc>
          <w:tcPr>
            <w:tcW w:w="2886" w:type="dxa"/>
          </w:tcPr>
          <w:p w14:paraId="4BF92A4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3.5-5.3</w:t>
            </w:r>
          </w:p>
        </w:tc>
      </w:tr>
      <w:tr w:rsidR="00E57301" w14:paraId="1F743648" w14:textId="77777777">
        <w:tc>
          <w:tcPr>
            <w:tcW w:w="3266" w:type="dxa"/>
          </w:tcPr>
          <w:p w14:paraId="57C9D8A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3" w:name="OLE_LINK16"/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bookmarkEnd w:id="3"/>
            <w:r>
              <w:rPr>
                <w:rFonts w:ascii="Book Antiqua" w:eastAsia="宋体" w:hAnsi="Book Antiqua" w:cs="Antiqua"/>
                <w:kern w:val="2"/>
                <w:lang w:eastAsia="zh-CN"/>
              </w:rPr>
              <w:t>sodium,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7588CBCA" w14:textId="7F08247E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132.6-139.3</w:t>
            </w:r>
          </w:p>
        </w:tc>
        <w:tc>
          <w:tcPr>
            <w:tcW w:w="2886" w:type="dxa"/>
          </w:tcPr>
          <w:p w14:paraId="1BFEF7C6" w14:textId="7D7C8D8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137-147</w:t>
            </w:r>
          </w:p>
        </w:tc>
      </w:tr>
      <w:tr w:rsidR="00E57301" w14:paraId="6776AADE" w14:textId="77777777">
        <w:tc>
          <w:tcPr>
            <w:tcW w:w="3266" w:type="dxa"/>
          </w:tcPr>
          <w:p w14:paraId="4853295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calcium,</w:t>
            </w:r>
            <w:bookmarkStart w:id="4" w:name="OLE_LINK38"/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bookmarkEnd w:id="4"/>
          </w:p>
        </w:tc>
        <w:tc>
          <w:tcPr>
            <w:tcW w:w="2370" w:type="dxa"/>
          </w:tcPr>
          <w:p w14:paraId="3965EFDC" w14:textId="766CE99C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2.21-2.36</w:t>
            </w:r>
          </w:p>
        </w:tc>
        <w:tc>
          <w:tcPr>
            <w:tcW w:w="2886" w:type="dxa"/>
          </w:tcPr>
          <w:p w14:paraId="16AF8B10" w14:textId="2E4E6E7A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2.11-2.52</w:t>
            </w:r>
          </w:p>
        </w:tc>
      </w:tr>
      <w:tr w:rsidR="00E57301" w14:paraId="597D0C9F" w14:textId="77777777">
        <w:tc>
          <w:tcPr>
            <w:tcW w:w="3266" w:type="dxa"/>
          </w:tcPr>
          <w:p w14:paraId="4E86007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Serum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phosphorus,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</w:p>
        </w:tc>
        <w:tc>
          <w:tcPr>
            <w:tcW w:w="2370" w:type="dxa"/>
          </w:tcPr>
          <w:p w14:paraId="05CD55D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0.69</w:t>
            </w:r>
          </w:p>
        </w:tc>
        <w:tc>
          <w:tcPr>
            <w:tcW w:w="2886" w:type="dxa"/>
          </w:tcPr>
          <w:p w14:paraId="3163B75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0.85-1.51</w:t>
            </w:r>
          </w:p>
        </w:tc>
      </w:tr>
      <w:tr w:rsidR="00E57301" w14:paraId="11D798D4" w14:textId="77777777">
        <w:tc>
          <w:tcPr>
            <w:tcW w:w="3266" w:type="dxa"/>
          </w:tcPr>
          <w:p w14:paraId="2D5A1A5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potassium,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/d</w:t>
            </w:r>
          </w:p>
        </w:tc>
        <w:tc>
          <w:tcPr>
            <w:tcW w:w="2370" w:type="dxa"/>
          </w:tcPr>
          <w:p w14:paraId="74B02DC6" w14:textId="171F0048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102.43-120.08</w:t>
            </w:r>
          </w:p>
        </w:tc>
        <w:tc>
          <w:tcPr>
            <w:tcW w:w="2886" w:type="dxa"/>
          </w:tcPr>
          <w:p w14:paraId="25D9066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25-100</w:t>
            </w:r>
          </w:p>
        </w:tc>
      </w:tr>
      <w:tr w:rsidR="00E57301" w14:paraId="34F11EE4" w14:textId="77777777">
        <w:tc>
          <w:tcPr>
            <w:tcW w:w="3266" w:type="dxa"/>
          </w:tcPr>
          <w:p w14:paraId="170EB6B7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Urinary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calcium,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mmol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/d</w:t>
            </w:r>
          </w:p>
        </w:tc>
        <w:tc>
          <w:tcPr>
            <w:tcW w:w="2370" w:type="dxa"/>
          </w:tcPr>
          <w:p w14:paraId="2A8438B6" w14:textId="4B4AFED5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1.51-2.46</w:t>
            </w:r>
          </w:p>
        </w:tc>
        <w:tc>
          <w:tcPr>
            <w:tcW w:w="2886" w:type="dxa"/>
          </w:tcPr>
          <w:p w14:paraId="2D807AB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130-260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</w:p>
        </w:tc>
      </w:tr>
      <w:tr w:rsidR="00E57301" w14:paraId="09B09A5D" w14:textId="77777777">
        <w:tc>
          <w:tcPr>
            <w:tcW w:w="3266" w:type="dxa"/>
          </w:tcPr>
          <w:p w14:paraId="213AEB3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5" w:name="OLE_LINK13"/>
            <w:r>
              <w:rPr>
                <w:rFonts w:ascii="Book Antiqua" w:eastAsia="宋体" w:hAnsi="Book Antiqua" w:cs="Antiqua"/>
                <w:kern w:val="2"/>
                <w:lang w:eastAsia="zh-CN"/>
              </w:rPr>
              <w:t>Glycosylated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hemoglobin</w:t>
            </w:r>
            <w:bookmarkEnd w:id="5"/>
            <w:r>
              <w:rPr>
                <w:rFonts w:ascii="Book Antiqua" w:eastAsia="宋体" w:hAnsi="Book Antiqua" w:cs="Antiqua" w:hint="eastAsi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 w:hint="eastAsia"/>
                <w:kern w:val="2"/>
                <w:lang w:eastAsia="zh-CN"/>
              </w:rPr>
              <w:t>%</w:t>
            </w:r>
          </w:p>
        </w:tc>
        <w:tc>
          <w:tcPr>
            <w:tcW w:w="2370" w:type="dxa"/>
          </w:tcPr>
          <w:p w14:paraId="6C5D92E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5.5</w:t>
            </w:r>
          </w:p>
        </w:tc>
        <w:tc>
          <w:tcPr>
            <w:tcW w:w="2886" w:type="dxa"/>
          </w:tcPr>
          <w:p w14:paraId="5CD8F15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4-6</w:t>
            </w:r>
          </w:p>
        </w:tc>
      </w:tr>
      <w:tr w:rsidR="00E57301" w14:paraId="081DECE6" w14:textId="77777777">
        <w:tc>
          <w:tcPr>
            <w:tcW w:w="3266" w:type="dxa"/>
          </w:tcPr>
          <w:p w14:paraId="571E94E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Parathyroid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hormone,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pg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/mL</w:t>
            </w:r>
          </w:p>
        </w:tc>
        <w:tc>
          <w:tcPr>
            <w:tcW w:w="2370" w:type="dxa"/>
          </w:tcPr>
          <w:p w14:paraId="4B429DA8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8.67</w:t>
            </w:r>
          </w:p>
        </w:tc>
        <w:tc>
          <w:tcPr>
            <w:tcW w:w="2886" w:type="dxa"/>
          </w:tcPr>
          <w:p w14:paraId="55A7240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14.5-87.1</w:t>
            </w:r>
          </w:p>
        </w:tc>
      </w:tr>
      <w:tr w:rsidR="00E57301" w14:paraId="54B69828" w14:textId="77777777">
        <w:tc>
          <w:tcPr>
            <w:tcW w:w="3266" w:type="dxa"/>
          </w:tcPr>
          <w:p w14:paraId="7F15EA8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Cor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nmol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a.m.)</w:t>
            </w:r>
          </w:p>
        </w:tc>
        <w:tc>
          <w:tcPr>
            <w:tcW w:w="2370" w:type="dxa"/>
          </w:tcPr>
          <w:p w14:paraId="06D40981" w14:textId="1B5A87E6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287.17</w:t>
            </w:r>
          </w:p>
        </w:tc>
        <w:tc>
          <w:tcPr>
            <w:tcW w:w="2886" w:type="dxa"/>
          </w:tcPr>
          <w:p w14:paraId="0F7D4B18" w14:textId="24ED15C1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6-10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133-537</w:t>
            </w:r>
          </w:p>
        </w:tc>
      </w:tr>
      <w:tr w:rsidR="00E57301" w14:paraId="65545B2B" w14:textId="77777777">
        <w:tc>
          <w:tcPr>
            <w:tcW w:w="3266" w:type="dxa"/>
          </w:tcPr>
          <w:p w14:paraId="7BF8187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Cor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nmol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p.m.)</w:t>
            </w:r>
          </w:p>
        </w:tc>
        <w:tc>
          <w:tcPr>
            <w:tcW w:w="2370" w:type="dxa"/>
          </w:tcPr>
          <w:p w14:paraId="77CF5037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151.73</w:t>
            </w:r>
          </w:p>
        </w:tc>
        <w:tc>
          <w:tcPr>
            <w:tcW w:w="2886" w:type="dxa"/>
          </w:tcPr>
          <w:p w14:paraId="674536C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4-8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68.2-327</w:t>
            </w:r>
          </w:p>
        </w:tc>
      </w:tr>
      <w:tr w:rsidR="00E57301" w14:paraId="3AE406F2" w14:textId="77777777">
        <w:tc>
          <w:tcPr>
            <w:tcW w:w="3266" w:type="dxa"/>
          </w:tcPr>
          <w:p w14:paraId="703A74C2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ACTH,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a.m.)</w:t>
            </w:r>
          </w:p>
        </w:tc>
        <w:tc>
          <w:tcPr>
            <w:tcW w:w="2370" w:type="dxa"/>
          </w:tcPr>
          <w:p w14:paraId="0D9E252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12.94</w:t>
            </w:r>
          </w:p>
        </w:tc>
        <w:tc>
          <w:tcPr>
            <w:tcW w:w="2886" w:type="dxa"/>
          </w:tcPr>
          <w:p w14:paraId="0703E139" w14:textId="09B10CF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2-14</w:t>
            </w:r>
          </w:p>
        </w:tc>
      </w:tr>
      <w:tr w:rsidR="00E57301" w14:paraId="64885E00" w14:textId="77777777">
        <w:tc>
          <w:tcPr>
            <w:tcW w:w="3266" w:type="dxa"/>
          </w:tcPr>
          <w:p w14:paraId="58EB577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ACTH,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pmol</w:t>
            </w:r>
            <w:proofErr w:type="spellEnd"/>
            <w:r>
              <w:rPr>
                <w:rFonts w:ascii="Book Antiqua" w:eastAsia="宋体" w:hAnsi="Book Antiqua" w:cs="Antiqua"/>
                <w:kern w:val="2"/>
                <w:lang w:eastAsia="zh-CN"/>
              </w:rPr>
              <w:t>/L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p.m.)</w:t>
            </w:r>
          </w:p>
        </w:tc>
        <w:tc>
          <w:tcPr>
            <w:tcW w:w="2370" w:type="dxa"/>
          </w:tcPr>
          <w:p w14:paraId="5786689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3.5</w:t>
            </w:r>
          </w:p>
        </w:tc>
        <w:tc>
          <w:tcPr>
            <w:tcW w:w="2886" w:type="dxa"/>
          </w:tcPr>
          <w:p w14:paraId="5A680B5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8</w:t>
            </w:r>
            <w:r w:rsidR="00ED1628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a.m.,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p.m.: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2-14</w:t>
            </w:r>
          </w:p>
        </w:tc>
      </w:tr>
    </w:tbl>
    <w:p w14:paraId="5E8B0BD3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hAnsi="Book Antiqua" w:cs="Antiqua"/>
          <w:kern w:val="21"/>
          <w:lang w:eastAsia="zh-CN" w:bidi="ar"/>
        </w:rPr>
      </w:pPr>
      <w:r>
        <w:rPr>
          <w:rFonts w:ascii="Book Antiqua" w:eastAsia="E-BZ-PK748200" w:hAnsi="Book Antiqua" w:cs="Antiqua"/>
          <w:kern w:val="21"/>
          <w:lang w:eastAsia="zh-CN" w:bidi="ar"/>
        </w:rPr>
        <w:t>BUN</w:t>
      </w:r>
      <w:r>
        <w:rPr>
          <w:rFonts w:ascii="Book Antiqua" w:hAnsi="Book Antiqua" w:cs="Antiqua" w:hint="eastAsia"/>
          <w:kern w:val="21"/>
          <w:lang w:eastAsia="zh-CN" w:bidi="ar"/>
        </w:rPr>
        <w:t>:</w:t>
      </w:r>
      <w:r w:rsidR="00ED1628">
        <w:rPr>
          <w:rFonts w:ascii="Book Antiqua" w:hAnsi="Book Antiqua" w:cs="Antiqua" w:hint="eastAsi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Blood</w:t>
      </w:r>
      <w:r w:rsidR="00ED1628">
        <w:rPr>
          <w:rFonts w:ascii="Book Antiqua" w:hAnsi="Book Antiqua" w:cs="Antiqu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urea</w:t>
      </w:r>
      <w:r w:rsidR="00ED1628">
        <w:rPr>
          <w:rFonts w:ascii="Book Antiqua" w:hAnsi="Book Antiqua" w:cs="Antiqua"/>
          <w:kern w:val="21"/>
          <w:lang w:eastAsia="zh-CN" w:bidi="ar"/>
        </w:rPr>
        <w:t xml:space="preserve"> </w:t>
      </w:r>
      <w:r>
        <w:rPr>
          <w:rFonts w:ascii="Book Antiqua" w:hAnsi="Book Antiqua" w:cs="Antiqua"/>
          <w:kern w:val="21"/>
          <w:lang w:eastAsia="zh-CN" w:bidi="ar"/>
        </w:rPr>
        <w:t>nitrogen</w:t>
      </w:r>
      <w:r>
        <w:rPr>
          <w:rFonts w:ascii="Book Antiqua" w:hAnsi="Book Antiqua" w:cs="Antiqua" w:hint="eastAsia"/>
          <w:kern w:val="21"/>
          <w:lang w:eastAsia="zh-CN" w:bidi="ar"/>
        </w:rPr>
        <w:t>;</w:t>
      </w:r>
      <w:r w:rsidR="00ED1628">
        <w:rPr>
          <w:rFonts w:ascii="Book Antiqua" w:hAnsi="Book Antiqua" w:cs="Antiqua" w:hint="eastAsia"/>
          <w:kern w:val="21"/>
          <w:lang w:eastAsia="zh-CN" w:bidi="ar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CR</w:t>
      </w:r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 w:hint="eastAsia"/>
          <w:kern w:val="2"/>
          <w:lang w:eastAsia="zh-CN"/>
        </w:rPr>
        <w:t>C</w:t>
      </w:r>
      <w:r>
        <w:rPr>
          <w:rFonts w:ascii="Book Antiqua" w:eastAsia="宋体" w:hAnsi="Book Antiqua" w:cs="Antiqua"/>
          <w:kern w:val="2"/>
          <w:lang w:eastAsia="zh-CN"/>
        </w:rPr>
        <w:t>omplete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response</w:t>
      </w:r>
      <w:r>
        <w:rPr>
          <w:rFonts w:ascii="Book Antiqua" w:eastAsia="宋体" w:hAnsi="Book Antiqua" w:cs="Antiqua" w:hint="eastAsia"/>
          <w:kern w:val="2"/>
          <w:lang w:eastAsia="zh-CN"/>
        </w:rPr>
        <w:t>;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proofErr w:type="spellStart"/>
      <w:r>
        <w:rPr>
          <w:rFonts w:ascii="Book Antiqua" w:eastAsia="宋体" w:hAnsi="Book Antiqua" w:cs="Antiqua"/>
          <w:kern w:val="2"/>
          <w:lang w:eastAsia="zh-CN"/>
        </w:rPr>
        <w:t>Cor</w:t>
      </w:r>
      <w:proofErr w:type="spellEnd"/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 w:hint="eastAsia"/>
          <w:kern w:val="2"/>
          <w:lang w:eastAsia="zh-CN"/>
        </w:rPr>
        <w:t>C</w:t>
      </w:r>
      <w:r>
        <w:rPr>
          <w:rFonts w:ascii="Book Antiqua" w:eastAsia="宋体" w:hAnsi="Book Antiqua" w:cs="Antiqua"/>
          <w:kern w:val="2"/>
          <w:lang w:eastAsia="zh-CN"/>
        </w:rPr>
        <w:t>ortisone</w:t>
      </w:r>
      <w:r>
        <w:rPr>
          <w:rFonts w:ascii="Book Antiqua" w:eastAsia="宋体" w:hAnsi="Book Antiqua" w:cs="Antiqua" w:hint="eastAsia"/>
          <w:kern w:val="2"/>
          <w:lang w:eastAsia="zh-CN"/>
        </w:rPr>
        <w:t>;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ACTH</w:t>
      </w:r>
      <w:r>
        <w:rPr>
          <w:rFonts w:ascii="Book Antiqua" w:eastAsia="宋体" w:hAnsi="Book Antiqua" w:cs="Antiqua" w:hint="eastAsia"/>
          <w:kern w:val="2"/>
          <w:lang w:eastAsia="zh-CN"/>
        </w:rPr>
        <w:t>:</w:t>
      </w:r>
      <w:r w:rsidR="00ED1628">
        <w:rPr>
          <w:rFonts w:ascii="Book Antiqua" w:eastAsia="宋体" w:hAnsi="Book Antiqua" w:cs="Antiqua" w:hint="eastAsia"/>
          <w:kern w:val="2"/>
          <w:lang w:eastAsia="zh-CN"/>
        </w:rPr>
        <w:t xml:space="preserve"> </w:t>
      </w:r>
      <w:proofErr w:type="spellStart"/>
      <w:r>
        <w:rPr>
          <w:rFonts w:ascii="Book Antiqua" w:eastAsia="宋体" w:hAnsi="Book Antiqua" w:cs="Antiqua" w:hint="eastAsia"/>
          <w:kern w:val="2"/>
          <w:lang w:eastAsia="zh-CN"/>
        </w:rPr>
        <w:t>A</w:t>
      </w:r>
      <w:r>
        <w:rPr>
          <w:rFonts w:ascii="Book Antiqua" w:eastAsia="宋体" w:hAnsi="Book Antiqua" w:cs="Antiqua"/>
          <w:kern w:val="2"/>
          <w:lang w:eastAsia="zh-CN"/>
        </w:rPr>
        <w:t>dreno</w:t>
      </w:r>
      <w:proofErr w:type="spellEnd"/>
      <w:r>
        <w:rPr>
          <w:rFonts w:ascii="Book Antiqua" w:eastAsia="宋体" w:hAnsi="Book Antiqua" w:cs="Antiqua"/>
          <w:kern w:val="2"/>
          <w:lang w:eastAsia="zh-CN"/>
        </w:rPr>
        <w:t>-</w:t>
      </w:r>
      <w:proofErr w:type="spellStart"/>
      <w:r>
        <w:rPr>
          <w:rFonts w:ascii="Book Antiqua" w:eastAsia="宋体" w:hAnsi="Book Antiqua" w:cs="Antiqua"/>
          <w:kern w:val="2"/>
          <w:lang w:eastAsia="zh-CN"/>
        </w:rPr>
        <w:t>cortico</w:t>
      </w:r>
      <w:proofErr w:type="spellEnd"/>
      <w:r>
        <w:rPr>
          <w:rFonts w:ascii="Book Antiqua" w:eastAsia="宋体" w:hAnsi="Book Antiqua" w:cs="Antiqua"/>
          <w:kern w:val="2"/>
          <w:lang w:eastAsia="zh-CN"/>
        </w:rPr>
        <w:t>-tropic-hormone</w:t>
      </w:r>
      <w:r>
        <w:rPr>
          <w:rFonts w:ascii="Book Antiqua" w:eastAsia="宋体" w:hAnsi="Book Antiqua" w:cs="Antiqua" w:hint="eastAsia"/>
          <w:kern w:val="2"/>
          <w:lang w:eastAsia="zh-CN"/>
        </w:rPr>
        <w:t>.</w:t>
      </w:r>
    </w:p>
    <w:p w14:paraId="17519817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eastAsia="E-BZ-PK748200" w:hAnsi="Book Antiqua" w:cs="Antiqua"/>
          <w:kern w:val="21"/>
          <w:lang w:eastAsia="zh-CN" w:bidi="ar"/>
        </w:rPr>
        <w:br w:type="page"/>
      </w:r>
      <w:r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2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Results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of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postural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stimulation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test</w:t>
      </w:r>
    </w:p>
    <w:tbl>
      <w:tblPr>
        <w:tblStyle w:val="1"/>
        <w:tblW w:w="9322" w:type="dxa"/>
        <w:tblBorders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925"/>
        <w:gridCol w:w="2524"/>
        <w:gridCol w:w="2016"/>
      </w:tblGrid>
      <w:tr w:rsidR="00E57301" w14:paraId="02EFCD1C" w14:textId="77777777" w:rsidTr="001B29CF">
        <w:tc>
          <w:tcPr>
            <w:tcW w:w="1857" w:type="dxa"/>
            <w:tcBorders>
              <w:bottom w:val="single" w:sz="4" w:space="0" w:color="auto"/>
              <w:tl2br w:val="nil"/>
              <w:tr2bl w:val="nil"/>
            </w:tcBorders>
          </w:tcPr>
          <w:p w14:paraId="3044563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Position</w:t>
            </w:r>
          </w:p>
        </w:tc>
        <w:tc>
          <w:tcPr>
            <w:tcW w:w="2925" w:type="dxa"/>
            <w:tcBorders>
              <w:bottom w:val="single" w:sz="4" w:space="0" w:color="auto"/>
              <w:tl2br w:val="nil"/>
              <w:tr2bl w:val="nil"/>
            </w:tcBorders>
          </w:tcPr>
          <w:p w14:paraId="48AB533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Aldosterone/(</w:t>
            </w:r>
            <w:proofErr w:type="spellStart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pg</w:t>
            </w:r>
            <w:proofErr w:type="spellEnd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/mL)</w:t>
            </w:r>
          </w:p>
        </w:tc>
        <w:tc>
          <w:tcPr>
            <w:tcW w:w="2524" w:type="dxa"/>
            <w:tcBorders>
              <w:bottom w:val="single" w:sz="4" w:space="0" w:color="auto"/>
              <w:tl2br w:val="nil"/>
              <w:tr2bl w:val="nil"/>
            </w:tcBorders>
          </w:tcPr>
          <w:p w14:paraId="6FA5494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Renin/(</w:t>
            </w:r>
            <w:proofErr w:type="spellStart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ng</w:t>
            </w:r>
            <w:proofErr w:type="spellEnd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/mL/h)</w:t>
            </w:r>
          </w:p>
        </w:tc>
        <w:tc>
          <w:tcPr>
            <w:tcW w:w="2016" w:type="dxa"/>
            <w:tcBorders>
              <w:bottom w:val="single" w:sz="4" w:space="0" w:color="auto"/>
              <w:tl2br w:val="nil"/>
              <w:tr2bl w:val="nil"/>
            </w:tcBorders>
          </w:tcPr>
          <w:p w14:paraId="32F88414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ARR</w:t>
            </w:r>
          </w:p>
        </w:tc>
      </w:tr>
      <w:tr w:rsidR="00E57301" w14:paraId="31C7A76F" w14:textId="77777777" w:rsidTr="001B29CF">
        <w:tc>
          <w:tcPr>
            <w:tcW w:w="1857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</w:tcPr>
          <w:p w14:paraId="449C567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Clinostatism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3CAE861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330.64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(40.0-310.0)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0E5A6C22" w14:textId="2A8E1438" w:rsidR="00E57301" w:rsidRDefault="0060413C" w:rsidP="001B29CF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6.4</w:t>
            </w:r>
            <w:r w:rsidR="001B29CF">
              <w:rPr>
                <w:rFonts w:ascii="Book Antiqua" w:eastAsia="宋体" w:hAnsi="Book Antiqua" w:cs="Antiqua" w:hint="eastAsia"/>
                <w:kern w:val="2"/>
                <w:lang w:eastAsia="zh-CN"/>
              </w:rPr>
              <w:t xml:space="preserve"> (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0.15-2.33</w:t>
            </w:r>
            <w:r w:rsidR="001B29CF">
              <w:rPr>
                <w:rFonts w:ascii="Book Antiqua" w:eastAsia="宋体" w:hAnsi="Book Antiqua" w:cs="Antiqua" w:hint="eastAsia"/>
                <w:kern w:val="2"/>
                <w:lang w:eastAsia="zh-CN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</w:tcPr>
          <w:p w14:paraId="3DF3170A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5.36</w:t>
            </w:r>
            <w:bookmarkStart w:id="6" w:name="OLE_LINK4"/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(0-30)</w:t>
            </w:r>
            <w:bookmarkEnd w:id="6"/>
          </w:p>
        </w:tc>
      </w:tr>
      <w:tr w:rsidR="00E57301" w14:paraId="49892B0C" w14:textId="77777777" w:rsidTr="001B29CF">
        <w:tc>
          <w:tcPr>
            <w:tcW w:w="1857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</w:tcPr>
          <w:p w14:paraId="536F2E2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kern w:val="2"/>
                <w:lang w:eastAsia="zh-CN"/>
              </w:rPr>
              <w:t>Orthostatism</w:t>
            </w:r>
            <w:proofErr w:type="spellEnd"/>
          </w:p>
        </w:tc>
        <w:tc>
          <w:tcPr>
            <w:tcW w:w="2925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14:paraId="6B499BE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756.82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(10.0-160.0)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14:paraId="01EEC6B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16.45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(1.31-3.95)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14:paraId="4048F26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4.6</w:t>
            </w:r>
            <w:r w:rsidR="00ED1628">
              <w:rPr>
                <w:rFonts w:ascii="Book Antiqua" w:eastAsia="宋体" w:hAnsi="Book Antiqua" w:cs="Antiqua"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(0-30)</w:t>
            </w:r>
          </w:p>
        </w:tc>
      </w:tr>
    </w:tbl>
    <w:p w14:paraId="2E4547F9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kern w:val="2"/>
          <w:lang w:eastAsia="zh-CN"/>
        </w:rPr>
      </w:pPr>
      <w:r>
        <w:rPr>
          <w:rFonts w:ascii="Book Antiqua" w:eastAsia="宋体" w:hAnsi="Book Antiqua" w:cs="Antiqua"/>
          <w:kern w:val="2"/>
          <w:lang w:eastAsia="zh-CN"/>
        </w:rPr>
        <w:t>ARR: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Aldosterone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renin</w:t>
      </w:r>
      <w:r w:rsidR="00ED1628">
        <w:rPr>
          <w:rFonts w:ascii="Book Antiqua" w:eastAsia="宋体" w:hAnsi="Book Antiqua" w:cs="Antiqua"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kern w:val="2"/>
          <w:lang w:eastAsia="zh-CN"/>
        </w:rPr>
        <w:t>ratio.</w:t>
      </w:r>
    </w:p>
    <w:p w14:paraId="32E6E26A" w14:textId="77777777" w:rsidR="00E57301" w:rsidRDefault="0060413C">
      <w:pPr>
        <w:widowControl w:val="0"/>
        <w:spacing w:line="360" w:lineRule="auto"/>
        <w:jc w:val="both"/>
        <w:textAlignment w:val="baseline"/>
        <w:rPr>
          <w:rFonts w:ascii="Book Antiqua" w:eastAsia="宋体" w:hAnsi="Book Antiqua" w:cs="Antiqua"/>
          <w:b/>
          <w:kern w:val="2"/>
          <w:lang w:eastAsia="zh-CN"/>
        </w:rPr>
      </w:pPr>
      <w:r>
        <w:rPr>
          <w:rFonts w:ascii="Book Antiqua" w:eastAsia="宋体" w:hAnsi="Book Antiqua" w:cs="Antiqua"/>
          <w:kern w:val="2"/>
          <w:lang w:eastAsia="zh-CN"/>
        </w:rPr>
        <w:br w:type="page"/>
      </w:r>
      <w:r>
        <w:rPr>
          <w:rFonts w:ascii="Book Antiqua" w:eastAsia="宋体" w:hAnsi="Book Antiqua" w:cs="Antiqua"/>
          <w:b/>
          <w:kern w:val="2"/>
          <w:lang w:eastAsia="zh-CN"/>
        </w:rPr>
        <w:lastRenderedPageBreak/>
        <w:t>Table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3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Genetic</w:t>
      </w:r>
      <w:r w:rsidR="00ED1628">
        <w:rPr>
          <w:rFonts w:ascii="Book Antiqua" w:eastAsia="宋体" w:hAnsi="Book Antiqua" w:cs="Antiqua"/>
          <w:b/>
          <w:kern w:val="2"/>
          <w:lang w:eastAsia="zh-CN"/>
        </w:rPr>
        <w:t xml:space="preserve"> </w:t>
      </w:r>
      <w:r>
        <w:rPr>
          <w:rFonts w:ascii="Book Antiqua" w:eastAsia="宋体" w:hAnsi="Book Antiqua" w:cs="Antiqua"/>
          <w:b/>
          <w:kern w:val="2"/>
          <w:lang w:eastAsia="zh-CN"/>
        </w:rPr>
        <w:t>testing</w:t>
      </w:r>
    </w:p>
    <w:tbl>
      <w:tblPr>
        <w:tblStyle w:val="1"/>
        <w:tblW w:w="9814" w:type="dxa"/>
        <w:tblInd w:w="-6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93"/>
        <w:gridCol w:w="1315"/>
        <w:gridCol w:w="826"/>
        <w:gridCol w:w="1076"/>
        <w:gridCol w:w="1275"/>
        <w:gridCol w:w="1190"/>
        <w:gridCol w:w="1860"/>
      </w:tblGrid>
      <w:tr w:rsidR="00E57301" w14:paraId="4D6FF2FB" w14:textId="77777777" w:rsidTr="001B29CF">
        <w:tc>
          <w:tcPr>
            <w:tcW w:w="1279" w:type="dxa"/>
            <w:tcBorders>
              <w:bottom w:val="single" w:sz="4" w:space="0" w:color="auto"/>
            </w:tcBorders>
          </w:tcPr>
          <w:p w14:paraId="5E88D6D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Gene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A80519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Zone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2D872FD" w14:textId="27AA76DF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Reference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sequence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4C024C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Location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A4EFFF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proofErr w:type="spellStart"/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cDNA</w:t>
            </w:r>
            <w:proofErr w:type="spellEnd"/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level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BD95B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Protein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level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B268805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Status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03CF42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b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Classification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of</w:t>
            </w:r>
            <w:r w:rsidR="00ED1628">
              <w:rPr>
                <w:rFonts w:ascii="Book Antiqua" w:eastAsia="宋体" w:hAnsi="Book Antiqua" w:cs="Antiqua"/>
                <w:b/>
                <w:kern w:val="2"/>
                <w:lang w:eastAsia="zh-CN"/>
              </w:rPr>
              <w:t xml:space="preserve"> </w:t>
            </w:r>
            <w:r>
              <w:rPr>
                <w:rFonts w:ascii="Book Antiqua" w:eastAsia="宋体" w:hAnsi="Book Antiqua" w:cs="Antiqua"/>
                <w:b/>
                <w:kern w:val="2"/>
                <w:lang w:eastAsia="zh-CN"/>
              </w:rPr>
              <w:t>variation</w:t>
            </w:r>
          </w:p>
        </w:tc>
      </w:tr>
      <w:tr w:rsidR="00E57301" w14:paraId="156B9BAE" w14:textId="77777777" w:rsidTr="001B29CF">
        <w:tc>
          <w:tcPr>
            <w:tcW w:w="1279" w:type="dxa"/>
            <w:tcBorders>
              <w:top w:val="single" w:sz="4" w:space="0" w:color="auto"/>
            </w:tcBorders>
          </w:tcPr>
          <w:p w14:paraId="5AC96D7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SLC12A3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791F61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16q13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4DB5D26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NM_000339.2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5356D27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Exon1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44D475B8" w14:textId="77777777" w:rsidR="00E57301" w:rsidRDefault="0060413C" w:rsidP="002C41A5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c.248G&gt;A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B4FBEC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p.</w:t>
            </w: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Arg83G1n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B314BAD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bookmarkStart w:id="7" w:name="OLE_LINK14"/>
            <w:r>
              <w:rPr>
                <w:rFonts w:ascii="Book Antiqua" w:eastAsia="宋体" w:hAnsi="Book Antiqua" w:cs="Antiqua"/>
                <w:kern w:val="2"/>
                <w:lang w:eastAsia="zh-CN"/>
              </w:rPr>
              <w:t>Heterozygosis</w:t>
            </w:r>
            <w:bookmarkEnd w:id="7"/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7A471E8A" w14:textId="04AF1B0E" w:rsidR="00E57301" w:rsidRDefault="00440D58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 w:rsidRPr="00440D58">
              <w:rPr>
                <w:rFonts w:ascii="Book Antiqua" w:eastAsia="宋体" w:hAnsi="Book Antiqua" w:cs="Antiqua"/>
                <w:kern w:val="2"/>
                <w:lang w:eastAsia="zh-CN"/>
              </w:rPr>
              <w:t>Suspicious pathologically</w:t>
            </w:r>
          </w:p>
        </w:tc>
      </w:tr>
      <w:tr w:rsidR="00E57301" w14:paraId="1C6BFF35" w14:textId="77777777" w:rsidTr="001B29CF">
        <w:tc>
          <w:tcPr>
            <w:tcW w:w="1279" w:type="dxa"/>
          </w:tcPr>
          <w:p w14:paraId="5C402C5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SLC12A3</w:t>
            </w:r>
          </w:p>
        </w:tc>
        <w:tc>
          <w:tcPr>
            <w:tcW w:w="993" w:type="dxa"/>
          </w:tcPr>
          <w:p w14:paraId="24F0EB8E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16q13</w:t>
            </w:r>
          </w:p>
        </w:tc>
        <w:tc>
          <w:tcPr>
            <w:tcW w:w="1315" w:type="dxa"/>
          </w:tcPr>
          <w:p w14:paraId="49896F0B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NM_000339.2</w:t>
            </w:r>
          </w:p>
        </w:tc>
        <w:tc>
          <w:tcPr>
            <w:tcW w:w="826" w:type="dxa"/>
          </w:tcPr>
          <w:p w14:paraId="3875C546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Exon21</w:t>
            </w:r>
          </w:p>
        </w:tc>
        <w:tc>
          <w:tcPr>
            <w:tcW w:w="1076" w:type="dxa"/>
          </w:tcPr>
          <w:p w14:paraId="191DE4D3" w14:textId="77777777" w:rsidR="00E57301" w:rsidRDefault="0060413C" w:rsidP="002C41A5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c.2532G&gt;A</w:t>
            </w:r>
          </w:p>
        </w:tc>
        <w:tc>
          <w:tcPr>
            <w:tcW w:w="1275" w:type="dxa"/>
          </w:tcPr>
          <w:p w14:paraId="2AE036B0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p.</w:t>
            </w:r>
            <w:r>
              <w:rPr>
                <w:rFonts w:ascii="Book Antiqua" w:eastAsia="宋体" w:hAnsi="Book Antiqua" w:cs="Antiqua"/>
                <w:i/>
                <w:iCs/>
                <w:kern w:val="2"/>
                <w:lang w:eastAsia="zh-CN"/>
              </w:rPr>
              <w:t>Trp844</w:t>
            </w:r>
            <w:r>
              <w:rPr>
                <w:rFonts w:ascii="Book Antiqua" w:eastAsia="宋体" w:hAnsi="Book Antiqua" w:cs="Antiqua"/>
                <w:kern w:val="2"/>
                <w:lang w:eastAsia="zh-CN"/>
              </w:rPr>
              <w:t>*</w:t>
            </w:r>
          </w:p>
        </w:tc>
        <w:tc>
          <w:tcPr>
            <w:tcW w:w="1190" w:type="dxa"/>
          </w:tcPr>
          <w:p w14:paraId="769ED513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Heterozygosis</w:t>
            </w:r>
          </w:p>
        </w:tc>
        <w:tc>
          <w:tcPr>
            <w:tcW w:w="1860" w:type="dxa"/>
          </w:tcPr>
          <w:p w14:paraId="4661439F" w14:textId="77777777" w:rsidR="00E57301" w:rsidRDefault="0060413C">
            <w:pPr>
              <w:spacing w:line="360" w:lineRule="auto"/>
              <w:textAlignment w:val="baseline"/>
              <w:rPr>
                <w:rFonts w:ascii="Book Antiqua" w:eastAsia="宋体" w:hAnsi="Book Antiqua" w:cs="Antiqua"/>
                <w:kern w:val="2"/>
                <w:lang w:eastAsia="zh-CN"/>
              </w:rPr>
            </w:pPr>
            <w:r>
              <w:rPr>
                <w:rFonts w:ascii="Book Antiqua" w:eastAsia="宋体" w:hAnsi="Book Antiqua" w:cs="Antiqua"/>
                <w:kern w:val="2"/>
                <w:lang w:eastAsia="zh-CN"/>
              </w:rPr>
              <w:t>Pathological</w:t>
            </w:r>
          </w:p>
        </w:tc>
      </w:tr>
    </w:tbl>
    <w:p w14:paraId="796A7759" w14:textId="77777777" w:rsidR="001B29CF" w:rsidRDefault="001B29CF">
      <w:pPr>
        <w:rPr>
          <w:rFonts w:ascii="Book Antiqua" w:eastAsia="宋体" w:hAnsi="Book Antiqua" w:cs="Antiqua"/>
          <w:kern w:val="2"/>
          <w:lang w:eastAsia="zh-CN"/>
        </w:rPr>
      </w:pPr>
      <w:r>
        <w:rPr>
          <w:rFonts w:ascii="Book Antiqua" w:eastAsia="宋体" w:hAnsi="Book Antiqua" w:cs="Antiqua"/>
          <w:kern w:val="2"/>
          <w:lang w:eastAsia="zh-CN"/>
        </w:rPr>
        <w:br w:type="page"/>
      </w:r>
    </w:p>
    <w:p w14:paraId="1DDD9360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586B8824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3052A4BF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6D86FACA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6E501B8E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123E0050" w14:textId="14642A0A" w:rsidR="00D579E0" w:rsidRDefault="00D579E0" w:rsidP="00D579E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6D5F20" wp14:editId="7033F5A8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BBED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379C5C26" w14:textId="77777777" w:rsidR="00D579E0" w:rsidRDefault="00D579E0" w:rsidP="00D579E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487EA9C" w14:textId="77777777" w:rsidR="00D579E0" w:rsidRDefault="00D579E0" w:rsidP="00D579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D401D1D" w14:textId="77777777" w:rsidR="00D579E0" w:rsidRDefault="00D579E0" w:rsidP="00D579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FA9D573" w14:textId="77777777" w:rsidR="00D579E0" w:rsidRDefault="00D579E0" w:rsidP="00D579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6E769E" w14:textId="77777777" w:rsidR="00D579E0" w:rsidRDefault="00D579E0" w:rsidP="00D579E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5C95D12" w14:textId="77777777" w:rsidR="00D579E0" w:rsidRDefault="00D579E0" w:rsidP="00D579E0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0454ED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163AFCB0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6FFCB7B0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4D1FCD47" w14:textId="38C59F62" w:rsidR="00D579E0" w:rsidRDefault="00D579E0" w:rsidP="00D579E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AE71355" wp14:editId="39818484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FDAD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6B9AAA5D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2786ADCB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74C60FE5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6D5CCB82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1BF83C14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1D259CDD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46FF9CB5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572B9E19" w14:textId="77777777" w:rsidR="00D579E0" w:rsidRDefault="00D579E0" w:rsidP="00D579E0">
      <w:pPr>
        <w:jc w:val="center"/>
        <w:rPr>
          <w:rFonts w:ascii="Book Antiqua" w:hAnsi="Book Antiqua"/>
        </w:rPr>
      </w:pPr>
    </w:p>
    <w:p w14:paraId="3F5D16D3" w14:textId="77777777" w:rsidR="00D579E0" w:rsidRDefault="00D579E0" w:rsidP="00D579E0">
      <w:pPr>
        <w:jc w:val="right"/>
        <w:rPr>
          <w:rFonts w:ascii="Book Antiqua" w:hAnsi="Book Antiqua"/>
          <w:color w:val="000000" w:themeColor="text1"/>
        </w:rPr>
      </w:pPr>
    </w:p>
    <w:p w14:paraId="71416C26" w14:textId="77777777" w:rsidR="00D579E0" w:rsidRDefault="00D579E0" w:rsidP="00D579E0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D5A0149" w14:textId="77777777" w:rsidR="00E57301" w:rsidRDefault="00E57301" w:rsidP="001B29CF">
      <w:pPr>
        <w:widowControl w:val="0"/>
        <w:spacing w:line="360" w:lineRule="auto"/>
        <w:jc w:val="both"/>
        <w:textAlignment w:val="baseline"/>
        <w:rPr>
          <w:rFonts w:ascii="Book Antiqua" w:hAnsi="Book Antiqua"/>
          <w:lang w:eastAsia="zh-CN"/>
        </w:rPr>
      </w:pPr>
    </w:p>
    <w:sectPr w:rsidR="00E573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65CCE" w14:textId="77777777" w:rsidR="00290C66" w:rsidRDefault="00290C66">
      <w:r>
        <w:separator/>
      </w:r>
    </w:p>
  </w:endnote>
  <w:endnote w:type="continuationSeparator" w:id="0">
    <w:p w14:paraId="3D2F4AC3" w14:textId="77777777" w:rsidR="00290C66" w:rsidRDefault="002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book Antique">
    <w:altName w:val="Times New Roman"/>
    <w:charset w:val="00"/>
    <w:family w:val="roman"/>
    <w:pitch w:val="default"/>
  </w:font>
  <w:font w:name="Antiqua">
    <w:altName w:val="Segoe Print"/>
    <w:charset w:val="00"/>
    <w:family w:val="auto"/>
    <w:pitch w:val="default"/>
  </w:font>
  <w:font w:name="E-BZ-PK748200">
    <w:altName w:val="Segoe Print"/>
    <w:charset w:val="00"/>
    <w:family w:val="auto"/>
    <w:pitch w:val="default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5163" w14:textId="77777777" w:rsidR="00E57301" w:rsidRDefault="0060413C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8093C">
      <w:rPr>
        <w:rFonts w:ascii="Book Antiqua" w:hAnsi="Book Antiqua"/>
        <w:noProof/>
        <w:sz w:val="24"/>
        <w:szCs w:val="24"/>
      </w:rPr>
      <w:t>17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8093C">
      <w:rPr>
        <w:rFonts w:ascii="Book Antiqua" w:hAnsi="Book Antiqua"/>
        <w:noProof/>
        <w:sz w:val="24"/>
        <w:szCs w:val="24"/>
      </w:rPr>
      <w:t>17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85485" w14:textId="77777777" w:rsidR="00290C66" w:rsidRDefault="00290C66">
      <w:r>
        <w:separator/>
      </w:r>
    </w:p>
  </w:footnote>
  <w:footnote w:type="continuationSeparator" w:id="0">
    <w:p w14:paraId="0F427DCB" w14:textId="77777777" w:rsidR="00290C66" w:rsidRDefault="0029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384"/>
    <w:rsid w:val="00077402"/>
    <w:rsid w:val="00093F0B"/>
    <w:rsid w:val="000D3698"/>
    <w:rsid w:val="001240F9"/>
    <w:rsid w:val="00184034"/>
    <w:rsid w:val="001B29CF"/>
    <w:rsid w:val="001D357E"/>
    <w:rsid w:val="001E570D"/>
    <w:rsid w:val="002169AF"/>
    <w:rsid w:val="00290C66"/>
    <w:rsid w:val="002C228B"/>
    <w:rsid w:val="002C41A5"/>
    <w:rsid w:val="00386222"/>
    <w:rsid w:val="003B5D86"/>
    <w:rsid w:val="003F4C5D"/>
    <w:rsid w:val="00440D58"/>
    <w:rsid w:val="005377C6"/>
    <w:rsid w:val="005F265A"/>
    <w:rsid w:val="0060413C"/>
    <w:rsid w:val="00655992"/>
    <w:rsid w:val="006565EB"/>
    <w:rsid w:val="0083510F"/>
    <w:rsid w:val="008D6978"/>
    <w:rsid w:val="00964764"/>
    <w:rsid w:val="0097124C"/>
    <w:rsid w:val="009B5241"/>
    <w:rsid w:val="00A02AC8"/>
    <w:rsid w:val="00A27CC3"/>
    <w:rsid w:val="00A62432"/>
    <w:rsid w:val="00A77B3E"/>
    <w:rsid w:val="00A97AE6"/>
    <w:rsid w:val="00AB6BB6"/>
    <w:rsid w:val="00AB7E18"/>
    <w:rsid w:val="00AC1A22"/>
    <w:rsid w:val="00BB7A9F"/>
    <w:rsid w:val="00C251F8"/>
    <w:rsid w:val="00CA2A55"/>
    <w:rsid w:val="00D11D68"/>
    <w:rsid w:val="00D36BE0"/>
    <w:rsid w:val="00D579E0"/>
    <w:rsid w:val="00E05A7B"/>
    <w:rsid w:val="00E20A57"/>
    <w:rsid w:val="00E33196"/>
    <w:rsid w:val="00E331B1"/>
    <w:rsid w:val="00E40568"/>
    <w:rsid w:val="00E57301"/>
    <w:rsid w:val="00E8093C"/>
    <w:rsid w:val="00EA016A"/>
    <w:rsid w:val="00ED1628"/>
    <w:rsid w:val="00F00661"/>
    <w:rsid w:val="00F266BA"/>
    <w:rsid w:val="00F43B84"/>
    <w:rsid w:val="00FB14D6"/>
    <w:rsid w:val="00FE226F"/>
    <w:rsid w:val="00FF6F84"/>
    <w:rsid w:val="43A96504"/>
    <w:rsid w:val="79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4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15">
    <w:name w:val="15"/>
    <w:basedOn w:val="a0"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sz w:val="24"/>
      <w:szCs w:val="24"/>
    </w:rPr>
  </w:style>
  <w:style w:type="character" w:customStyle="1" w:styleId="Char3">
    <w:name w:val="批注主题 Char"/>
    <w:basedOn w:val="Char"/>
    <w:link w:val="a7"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4">
    <w:name w:val="纯文本 Char"/>
    <w:link w:val="PlainText1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customStyle="1" w:styleId="10">
    <w:name w:val="修订1"/>
    <w:hidden/>
    <w:uiPriority w:val="99"/>
    <w:unhideWhenUsed/>
    <w:rPr>
      <w:sz w:val="24"/>
      <w:szCs w:val="24"/>
      <w:lang w:eastAsia="en-US"/>
    </w:rPr>
  </w:style>
  <w:style w:type="paragraph" w:styleId="aa">
    <w:name w:val="Revision"/>
    <w:hidden/>
    <w:uiPriority w:val="99"/>
    <w:unhideWhenUsed/>
    <w:rsid w:val="00BB7A9F"/>
    <w:rPr>
      <w:sz w:val="24"/>
      <w:szCs w:val="24"/>
      <w:lang w:eastAsia="en-US"/>
    </w:rPr>
  </w:style>
  <w:style w:type="character" w:styleId="ab">
    <w:name w:val="Hyperlink"/>
    <w:basedOn w:val="a0"/>
    <w:unhideWhenUsed/>
    <w:rsid w:val="001B2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15">
    <w:name w:val="15"/>
    <w:basedOn w:val="a0"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sz w:val="24"/>
      <w:szCs w:val="24"/>
    </w:rPr>
  </w:style>
  <w:style w:type="character" w:customStyle="1" w:styleId="Char3">
    <w:name w:val="批注主题 Char"/>
    <w:basedOn w:val="Char"/>
    <w:link w:val="a7"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4">
    <w:name w:val="纯文本 Char"/>
    <w:link w:val="PlainText1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customStyle="1" w:styleId="10">
    <w:name w:val="修订1"/>
    <w:hidden/>
    <w:uiPriority w:val="99"/>
    <w:unhideWhenUsed/>
    <w:rPr>
      <w:sz w:val="24"/>
      <w:szCs w:val="24"/>
      <w:lang w:eastAsia="en-US"/>
    </w:rPr>
  </w:style>
  <w:style w:type="paragraph" w:styleId="aa">
    <w:name w:val="Revision"/>
    <w:hidden/>
    <w:uiPriority w:val="99"/>
    <w:unhideWhenUsed/>
    <w:rsid w:val="00BB7A9F"/>
    <w:rPr>
      <w:sz w:val="24"/>
      <w:szCs w:val="24"/>
      <w:lang w:eastAsia="en-US"/>
    </w:rPr>
  </w:style>
  <w:style w:type="character" w:styleId="ab">
    <w:name w:val="Hyperlink"/>
    <w:basedOn w:val="a0"/>
    <w:unhideWhenUsed/>
    <w:rsid w:val="001B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2858</Words>
  <Characters>16293</Characters>
  <Application>Microsoft Office Word</Application>
  <DocSecurity>0</DocSecurity>
  <Lines>135</Lines>
  <Paragraphs>38</Paragraphs>
  <ScaleCrop>false</ScaleCrop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Joysive</dc:creator>
  <cp:lastModifiedBy>HP</cp:lastModifiedBy>
  <cp:revision>13</cp:revision>
  <dcterms:created xsi:type="dcterms:W3CDTF">2022-04-03T21:42:00Z</dcterms:created>
  <dcterms:modified xsi:type="dcterms:W3CDTF">2022-06-08T06:51:00Z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FE678391B75E40E4BF40BEB13F896DE5</vt:lpwstr>
  </property>
</Properties>
</file>