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74134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Transplanted kidney loss during </w:t>
      </w:r>
      <w:r>
        <w:rPr>
          <w:rFonts w:ascii="Book Antiqua" w:hAnsi="Book Antiqua" w:eastAsia="Book Antiqua" w:cs="Book Antiqua"/>
          <w:b/>
          <w:color w:val="000000"/>
        </w:rPr>
        <w:t>colorectal cancer</w:t>
      </w:r>
      <w:r>
        <w:rPr>
          <w:rFonts w:ascii="Book Antiqua" w:hAnsi="Book Antiqua" w:eastAsia="Book Antiqua" w:cs="Book Antiqua"/>
          <w:b/>
          <w:bCs/>
          <w:color w:val="000000"/>
        </w:rPr>
        <w:t xml:space="preserve"> chemotherapy: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Pośpiech</w:t>
      </w:r>
      <w:r>
        <w:rPr>
          <w:rFonts w:ascii="Book Antiqua" w:hAnsi="Book Antiqua" w:eastAsia="Book Antiqua" w:cs="Book Antiqua"/>
          <w:bCs/>
          <w:color w:val="000000"/>
        </w:rPr>
        <w:t xml:space="preserve"> </w:t>
      </w:r>
      <w:r>
        <w:rPr>
          <w:rFonts w:hint="eastAsia" w:ascii="Book Antiqua" w:hAnsi="Book Antiqua" w:cs="Book Antiqua"/>
          <w:bCs/>
          <w:color w:val="000000"/>
          <w:lang w:eastAsia="zh-CN"/>
        </w:rPr>
        <w:t xml:space="preserve">M </w:t>
      </w:r>
      <w:r>
        <w:rPr>
          <w:rFonts w:hint="eastAsia" w:ascii="Book Antiqua" w:hAnsi="Book Antiqua" w:cs="Book Antiqua"/>
          <w:bCs/>
          <w:i/>
          <w:color w:val="000000"/>
          <w:lang w:eastAsia="zh-CN"/>
        </w:rPr>
        <w:t>et al</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Transplanted kidney loss</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during</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CRC chemotherapy</w:t>
      </w:r>
    </w:p>
    <w:p>
      <w:pPr>
        <w:spacing w:line="360" w:lineRule="auto"/>
        <w:jc w:val="both"/>
        <w:rPr>
          <w:rFonts w:ascii="Book Antiqua" w:hAnsi="Book Antiqua"/>
        </w:rPr>
      </w:pPr>
    </w:p>
    <w:p>
      <w:pPr>
        <w:spacing w:line="360" w:lineRule="auto"/>
        <w:jc w:val="both"/>
        <w:rPr>
          <w:rFonts w:ascii="Book Antiqua" w:hAnsi="Book Antiqua"/>
          <w:lang w:val="pl-PL"/>
        </w:rPr>
      </w:pPr>
      <w:r>
        <w:rPr>
          <w:rFonts w:ascii="Book Antiqua" w:hAnsi="Book Antiqua" w:eastAsia="Book Antiqua" w:cs="Book Antiqua"/>
          <w:color w:val="000000"/>
          <w:lang w:val="pl-PL"/>
        </w:rPr>
        <w:t>Marta Pośpiech, Aureliusz Kolonko, Teresa Nieszporek, Sylwia Kozak, Anna Kozaczka, Henryk Karkoszka, Mateusz Winder, Jerzy Chudek</w:t>
      </w:r>
    </w:p>
    <w:p>
      <w:pPr>
        <w:spacing w:line="360" w:lineRule="auto"/>
        <w:jc w:val="both"/>
        <w:rPr>
          <w:rFonts w:ascii="Book Antiqua" w:hAnsi="Book Antiqua"/>
          <w:lang w:val="pl-PL"/>
        </w:rPr>
      </w:pPr>
    </w:p>
    <w:p>
      <w:pPr>
        <w:spacing w:line="360" w:lineRule="auto"/>
        <w:jc w:val="both"/>
        <w:rPr>
          <w:rFonts w:ascii="Book Antiqua" w:hAnsi="Book Antiqua"/>
        </w:rPr>
      </w:pPr>
      <w:r>
        <w:rPr>
          <w:rFonts w:ascii="Book Antiqua" w:hAnsi="Book Antiqua" w:eastAsia="Book Antiqua" w:cs="Book Antiqua"/>
          <w:b/>
          <w:bCs/>
          <w:color w:val="000000"/>
        </w:rPr>
        <w:t xml:space="preserve">Marta Pośpiech, Sylwia Kozak, Jerzy Chudek, </w:t>
      </w:r>
      <w:r>
        <w:rPr>
          <w:rFonts w:ascii="Book Antiqua" w:hAnsi="Book Antiqua" w:eastAsia="Book Antiqua" w:cs="Book Antiqua"/>
          <w:color w:val="000000"/>
        </w:rPr>
        <w:t>Department of Internal Diseases and Oncological Chemotherapy, Medical University of Silesia in Katowice, Katowice 40-027, Poland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Aureliusz Kolonko, Henryk Karkoszka, </w:t>
      </w:r>
      <w:r>
        <w:rPr>
          <w:rFonts w:ascii="Book Antiqua" w:hAnsi="Book Antiqua" w:eastAsia="Book Antiqua" w:cs="Book Antiqua"/>
          <w:color w:val="000000"/>
        </w:rPr>
        <w:t>Department of Nephrology, Transplantation and Internal Medicine, Medical University of Silesia in Katowice, Katowice 40-027, Poland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Teresa Nieszporek, </w:t>
      </w:r>
      <w:r>
        <w:rPr>
          <w:rFonts w:ascii="Book Antiqua" w:hAnsi="Book Antiqua" w:eastAsia="Book Antiqua" w:cs="Book Antiqua"/>
          <w:color w:val="000000"/>
        </w:rPr>
        <w:t>Department of Nephrology, Transplantation and Internal Medicine, Mielecki Clinical Hospital of the Medical University of Silesia, Katowice 40-027, Poland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Anna Kozaczka, </w:t>
      </w:r>
      <w:r>
        <w:rPr>
          <w:rFonts w:ascii="Book Antiqua" w:hAnsi="Book Antiqua" w:eastAsia="Book Antiqua" w:cs="Book Antiqua"/>
          <w:color w:val="000000"/>
        </w:rPr>
        <w:t>Department of Internal Diseases and Oncological Chemotherapy, Mielecki Clinical Hospital, Katowice 40-027, Poland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Mateusz Winder, </w:t>
      </w:r>
      <w:r>
        <w:rPr>
          <w:rFonts w:ascii="Book Antiqua" w:hAnsi="Book Antiqua" w:eastAsia="Book Antiqua" w:cs="Book Antiqua"/>
          <w:color w:val="000000"/>
        </w:rPr>
        <w:t>Department of Radiology and Nuclear Medicine, Medical University of Silesia in Katowice, Katowice 40-752, Poland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Kozaczka A, Chudek J and Nieszporek T collected the clinical data; Pośpiech M and Kozak S designed the case report, reviewed the literature and drafted the manuscript; Karkoszka H performed and interpreted the kidney histology; Winder M prepared and interpreted the imaging; Chudek J and Kolonko A critically reviewed the manuscript; All authors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Sylwia Kozak, </w:t>
      </w:r>
      <w:r>
        <w:rPr>
          <w:rFonts w:ascii="Book Antiqua" w:hAnsi="Book Antiqua" w:eastAsia="Book Antiqua" w:cs="Book Antiqua"/>
          <w:color w:val="000000"/>
        </w:rPr>
        <w:t>Department of Internal Diseases and Oncological Chemotherapy, Medical University of Silesia in Katowice, Reymonta 8, Katowice 40-027, Poland. sylwiakozak@icloud.com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14,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March 2,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bookmarkStart w:id="0" w:name="_Hlk103092246"/>
      <w:r>
        <w:rPr>
          <w:rFonts w:ascii="Book Antiqua" w:hAnsi="Book Antiqua" w:eastAsia="Book Antiqua" w:cs="Book Antiqua"/>
          <w:color w:val="000000"/>
        </w:rPr>
        <w:t>April 22, 2022</w:t>
      </w:r>
      <w:bookmarkEnd w:id="0"/>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June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b/>
          <w:bCs/>
          <w:i/>
          <w:iCs/>
        </w:rPr>
      </w:pPr>
      <w:r>
        <w:rPr>
          <w:rFonts w:ascii="Book Antiqua" w:hAnsi="Book Antiqua" w:eastAsia="Book Antiqua" w:cs="Book Antiqua"/>
          <w:b/>
          <w:bCs/>
          <w:i/>
          <w:iCs/>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The overall risk of </w:t>
      </w:r>
      <w:r>
        <w:rPr>
          <w:rFonts w:ascii="Book Antiqua" w:hAnsi="Book Antiqua" w:eastAsia="Book Antiqua" w:cs="Book Antiqua"/>
          <w:i/>
          <w:iCs/>
          <w:color w:val="000000"/>
        </w:rPr>
        <w:t>de novo</w:t>
      </w:r>
      <w:r>
        <w:rPr>
          <w:rFonts w:ascii="Book Antiqua" w:hAnsi="Book Antiqua" w:eastAsia="Book Antiqua" w:cs="Book Antiqua"/>
          <w:color w:val="000000"/>
        </w:rPr>
        <w:t xml:space="preserve"> malignancies in kidney transplant recipients (KTRs) is higher than that in the general population. It is associated with long-lasting exposure to immunosuppressive agents and impaired oncological vigilance due to chronic kidney disease. </w:t>
      </w:r>
      <w:r>
        <w:rPr>
          <w:rFonts w:hint="eastAsia" w:ascii="Book Antiqua" w:hAnsi="Book Antiqua" w:cs="Book Antiqua"/>
          <w:color w:val="000000"/>
          <w:lang w:eastAsia="zh-CN"/>
        </w:rPr>
        <w:t>C</w:t>
      </w:r>
      <w:r>
        <w:rPr>
          <w:rFonts w:ascii="Book Antiqua" w:hAnsi="Book Antiqua" w:eastAsia="Book Antiqua" w:cs="Book Antiqua"/>
          <w:color w:val="000000"/>
        </w:rPr>
        <w:t>olorectal cancer (CRC), frequently diagnosed in an advanced stage, is one of the most common malignancies in this cohort and is associated with poor prognosis. Still, because of the scarcity of data concerning adjuvant chemotherapy in this group, there are no clear guidelines for the specific management of the CRCs in KTRs. We present a patient who lost her transplanted kidney shortly after initiation of adjuvant chemotherapy for colon cancer.</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36-year-old woman with a medical history of kidney transplantation (2005) because of end-stage kidney disease, secondary to chronic glomerular nephritis, and long-term immunosuppression was diagnosed with locally advanced pT</w:t>
      </w:r>
      <w:r>
        <w:rPr>
          <w:rFonts w:ascii="Book Antiqua" w:hAnsi="Book Antiqua" w:eastAsia="Book Antiqua" w:cs="Book Antiqua"/>
          <w:color w:val="000000"/>
          <w:vertAlign w:val="subscript"/>
        </w:rPr>
        <w:t>4A</w:t>
      </w:r>
      <w:r>
        <w:rPr>
          <w:rFonts w:ascii="Book Antiqua" w:hAnsi="Book Antiqua" w:eastAsia="Book Antiqua" w:cs="Book Antiqua"/>
          <w:color w:val="000000"/>
        </w:rPr>
        <w:t>N</w:t>
      </w:r>
      <w:r>
        <w:rPr>
          <w:rFonts w:ascii="Book Antiqua" w:hAnsi="Book Antiqua" w:eastAsia="Book Antiqua" w:cs="Book Antiqua"/>
          <w:color w:val="000000"/>
          <w:vertAlign w:val="subscript"/>
        </w:rPr>
        <w:t>1B</w:t>
      </w:r>
      <w:r>
        <w:rPr>
          <w:rFonts w:ascii="Book Antiqua" w:hAnsi="Book Antiqua" w:eastAsia="Book Antiqua" w:cs="Book Antiqua"/>
          <w:color w:val="000000"/>
        </w:rPr>
        <w:t>M</w:t>
      </w:r>
      <w:r>
        <w:rPr>
          <w:rFonts w:ascii="Book Antiqua" w:hAnsi="Book Antiqua" w:eastAsia="Book Antiqua" w:cs="Book Antiqua"/>
          <w:color w:val="000000"/>
          <w:vertAlign w:val="subscript"/>
        </w:rPr>
        <w:t>0</w:t>
      </w:r>
      <w:r>
        <w:rPr>
          <w:rFonts w:ascii="Book Antiqua" w:hAnsi="Book Antiqua" w:eastAsia="Book Antiqua" w:cs="Book Antiqua"/>
          <w:color w:val="000000"/>
        </w:rPr>
        <w:t xml:space="preserve"> (clinical stage III) colon adenocarcinoma G2. After right hemicolectomy, the patient was qualified to receive adjuvant chemotherapy that consisted of oxaliplatin, leucovorin and 5-fluorouracil (FOLFOX-4). The deterioration of kidney graft function after two cycles caused chemotherapy cessation and initiation of hemodialysis therapy after a few months. Shortly after that, the patient started palliative chemotherapy because of cancer recurrence with intraperitoneal spread.</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CONCLUSION</w:t>
      </w:r>
    </w:p>
    <w:p>
      <w:pPr>
        <w:spacing w:line="360" w:lineRule="auto"/>
        <w:jc w:val="both"/>
        <w:rPr>
          <w:sz w:val="22"/>
          <w:szCs w:val="22"/>
        </w:rPr>
      </w:pPr>
      <w:r>
        <w:rPr>
          <w:rFonts w:ascii="Book Antiqua" w:hAnsi="Book Antiqua"/>
        </w:rPr>
        <w:t>Initiation of adjuvant chemotherapy for colon cancer increases the risk of rapid kidney graft loss driven also by under-immunosuppression.</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hint="eastAsia" w:ascii="Book Antiqua" w:hAnsi="Book Antiqua" w:cs="Book Antiqua"/>
          <w:color w:val="000000"/>
          <w:lang w:eastAsia="zh-CN"/>
        </w:rPr>
        <w:t>K</w:t>
      </w:r>
      <w:r>
        <w:rPr>
          <w:rFonts w:ascii="Book Antiqua" w:hAnsi="Book Antiqua" w:eastAsia="Book Antiqua" w:cs="Book Antiqua"/>
          <w:color w:val="000000"/>
        </w:rPr>
        <w:t>idney transplantation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C</w:t>
      </w:r>
      <w:r>
        <w:rPr>
          <w:rFonts w:ascii="Book Antiqua" w:hAnsi="Book Antiqua" w:eastAsia="Book Antiqua" w:cs="Book Antiqua"/>
          <w:color w:val="000000"/>
        </w:rPr>
        <w:t>olorectal cancer</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djuvant chemotherapy</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G</w:t>
      </w:r>
      <w:r>
        <w:rPr>
          <w:rFonts w:ascii="Book Antiqua" w:hAnsi="Book Antiqua" w:eastAsia="Book Antiqua" w:cs="Book Antiqua"/>
          <w:color w:val="000000"/>
        </w:rPr>
        <w:t>raft loss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C</w:t>
      </w:r>
      <w:r>
        <w:rPr>
          <w:rFonts w:ascii="Book Antiqua" w:hAnsi="Book Antiqua" w:eastAsia="Book Antiqua" w:cs="Book Antiqua"/>
          <w:color w:val="000000"/>
        </w:rPr>
        <w:t>omplications;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default" w:ascii="Book Antiqua" w:hAnsi="Book Antiqua" w:eastAsia="Book Antiqua" w:cs="Book Antiqua"/>
          <w:i w:val="0"/>
          <w:iCs w:val="0"/>
          <w:color w:val="000000"/>
          <w:kern w:val="0"/>
          <w:sz w:val="24"/>
          <w:szCs w:val="24"/>
          <w:u w:val="none"/>
          <w:lang w:val="en-US" w:eastAsia="zh-CN" w:bidi="ar"/>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Pośpiech M, Kolonko A, Nieszporek T, Kozak S, Kozaczka A, Karkoszka H, Winder M, Chudek J. Transplanted kidney loss during colorectal cancer chemotherapy: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10(16): </w:t>
      </w:r>
      <w:r>
        <w:rPr>
          <w:rFonts w:hint="default" w:ascii="Book Antiqua" w:hAnsi="Book Antiqua" w:eastAsia="Book Antiqua" w:cs="Book Antiqua"/>
          <w:i w:val="0"/>
          <w:iCs w:val="0"/>
          <w:color w:val="000000"/>
          <w:kern w:val="0"/>
          <w:sz w:val="24"/>
          <w:szCs w:val="24"/>
          <w:u w:val="none"/>
          <w:lang w:val="en-US" w:eastAsia="zh-CN" w:bidi="ar"/>
        </w:rPr>
        <w:t>6647-6655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6647</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6647</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The occurrence of colorectal cancer (CRC) in kidney transplant recipients is higher than that in the general population. Advanced stage CRC is usually associated with poor outcome. Adjuvant chemotherapy may accelerate the graft loss after kidney transplant.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Colorectal cancer (CRC) is one of the most common malignancies both in the general population</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and in kidney transplant recipients (KTRs)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2,3</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The risk of CRC development is reported to be higher in transplant patients because of long-lasting exposure to immunosuppressive agents</w:t>
      </w:r>
      <w:r>
        <w:rPr>
          <w:rFonts w:hint="eastAsia" w:ascii="Book Antiqua" w:hAnsi="Book Antiqua" w:cs="Book Antiqua"/>
          <w:color w:val="000000"/>
          <w:vertAlign w:val="superscript"/>
          <w:lang w:eastAsia="zh-CN"/>
        </w:rPr>
        <w:t>[4]</w:t>
      </w:r>
      <w:r>
        <w:rPr>
          <w:rFonts w:ascii="Book Antiqua" w:hAnsi="Book Antiqua" w:eastAsia="Book Antiqua" w:cs="Book Antiqua"/>
          <w:color w:val="000000"/>
        </w:rPr>
        <w:t>. Although the patient survival rate for the KTR population with advanced CRC (stage III/IV) at the time of diagnosis is worse, mainly due to higher rates of recurrence, there was no significant difference in a 5-year patient survival in early cancer</w:t>
      </w:r>
      <w:r>
        <w:rPr>
          <w:rFonts w:hint="eastAsia" w:ascii="Book Antiqua" w:hAnsi="Book Antiqua" w:cs="Book Antiqua"/>
          <w:color w:val="000000"/>
          <w:vertAlign w:val="superscript"/>
          <w:lang w:eastAsia="zh-CN"/>
        </w:rPr>
        <w:t>[5]</w:t>
      </w:r>
      <w:r>
        <w:rPr>
          <w:rFonts w:ascii="Book Antiqua" w:hAnsi="Book Antiqua" w:eastAsia="Book Antiqua" w:cs="Book Antiqua"/>
          <w:color w:val="000000"/>
        </w:rPr>
        <w:t>. CRC in KTRs displays atypical characteristics in terms of tumor location, polyp size, and occurrence. The rate of ascending colon cancer is higher, whereas the rate of rectal cancer is lower in the transplant group</w:t>
      </w:r>
      <w:r>
        <w:rPr>
          <w:rFonts w:hint="eastAsia" w:ascii="Book Antiqua" w:hAnsi="Book Antiqua" w:cs="Book Antiqua"/>
          <w:color w:val="000000"/>
          <w:vertAlign w:val="superscript"/>
          <w:lang w:eastAsia="zh-CN"/>
        </w:rPr>
        <w:t>[5,6]</w:t>
      </w:r>
      <w:r>
        <w:rPr>
          <w:rFonts w:ascii="Book Antiqua" w:hAnsi="Book Antiqua" w:eastAsia="Book Antiqua" w:cs="Book Antiqua"/>
          <w:color w:val="000000"/>
        </w:rPr>
        <w:t>. Also, the number and size of polyps observed in preoperative colonoscopy are greater than in control patients. One of the possible causes of the poorer survival of KTRs with advanced cancer may be insufficient CRC treatment,</w:t>
      </w:r>
      <w:r>
        <w:rPr>
          <w:rFonts w:ascii="Book Antiqua" w:hAnsi="Book Antiqua" w:eastAsia="Book Antiqua" w:cs="Book Antiqua"/>
          <w:i/>
          <w:color w:val="000000"/>
        </w:rPr>
        <w:t xml:space="preserve"> i.e.</w:t>
      </w:r>
      <w:r>
        <w:rPr>
          <w:rFonts w:ascii="Book Antiqua" w:hAnsi="Book Antiqua" w:eastAsia="Book Antiqua" w:cs="Book Antiqua"/>
          <w:color w:val="000000"/>
        </w:rPr>
        <w:t>, tendency to less frequent use of adjuvant chemotherapy</w:t>
      </w:r>
      <w:r>
        <w:rPr>
          <w:rFonts w:hint="eastAsia" w:ascii="Book Antiqua" w:hAnsi="Book Antiqua" w:cs="Book Antiqua"/>
          <w:color w:val="000000"/>
          <w:lang w:eastAsia="zh-CN"/>
        </w:rPr>
        <w:t xml:space="preserve"> </w:t>
      </w:r>
      <w:r>
        <w:rPr>
          <w:rFonts w:hint="eastAsia" w:ascii="Book Antiqua" w:hAnsi="Book Antiqua" w:cs="Book Antiqua"/>
          <w:color w:val="000000"/>
          <w:vertAlign w:val="superscript"/>
          <w:lang w:eastAsia="zh-CN"/>
        </w:rPr>
        <w:t>[5</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6]</w:t>
      </w:r>
      <w:r>
        <w:rPr>
          <w:rFonts w:ascii="Book Antiqua" w:hAnsi="Book Antiqua" w:eastAsia="Book Antiqua" w:cs="Book Antiqua"/>
          <w:color w:val="000000"/>
        </w:rPr>
        <w:t xml:space="preserve"> because of concerns associated with incompatibility with immunosuppression regimen and the risk of deterioration of kidney graft function. The above-mentioned obstacles preclude the formulation of clear guidelines for the management of CRC in KTRs.</w:t>
      </w:r>
    </w:p>
    <w:p>
      <w:pPr>
        <w:spacing w:line="360" w:lineRule="auto"/>
        <w:ind w:firstLine="240" w:firstLineChars="100"/>
        <w:jc w:val="both"/>
        <w:rPr>
          <w:rFonts w:ascii="Book Antiqua" w:hAnsi="Book Antiqua"/>
        </w:rPr>
      </w:pPr>
      <w:r>
        <w:rPr>
          <w:rFonts w:ascii="Book Antiqua" w:hAnsi="Book Antiqua" w:eastAsia="Book Antiqua" w:cs="Book Antiqua"/>
          <w:color w:val="000000"/>
        </w:rPr>
        <w:t>Here, we present a patient with advanced colon cancer diagnosed 16 years after a successful kidney transplantation, presenting with an irreversible deterioration of kidney graft function shortly after the initiation of adjuvant CTH, to discuss the possible causes of kidney graft loss.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36-year-old woman with a medical history of kidney transplantation in 2005, after recent right hemicolectomy due to locally advanced pT</w:t>
      </w:r>
      <w:r>
        <w:rPr>
          <w:rFonts w:ascii="Book Antiqua" w:hAnsi="Book Antiqua" w:eastAsia="Book Antiqua" w:cs="Book Antiqua"/>
          <w:color w:val="000000"/>
          <w:vertAlign w:val="subscript"/>
        </w:rPr>
        <w:t>4A</w:t>
      </w:r>
      <w:r>
        <w:rPr>
          <w:rFonts w:ascii="Book Antiqua" w:hAnsi="Book Antiqua" w:eastAsia="Book Antiqua" w:cs="Book Antiqua"/>
          <w:color w:val="000000"/>
        </w:rPr>
        <w:t>N</w:t>
      </w:r>
      <w:r>
        <w:rPr>
          <w:rFonts w:ascii="Book Antiqua" w:hAnsi="Book Antiqua" w:eastAsia="Book Antiqua" w:cs="Book Antiqua"/>
          <w:color w:val="000000"/>
          <w:vertAlign w:val="subscript"/>
        </w:rPr>
        <w:t>1B</w:t>
      </w:r>
      <w:r>
        <w:rPr>
          <w:rFonts w:ascii="Book Antiqua" w:hAnsi="Book Antiqua" w:eastAsia="Book Antiqua" w:cs="Book Antiqua"/>
          <w:color w:val="000000"/>
        </w:rPr>
        <w:t>M</w:t>
      </w:r>
      <w:r>
        <w:rPr>
          <w:rFonts w:ascii="Book Antiqua" w:hAnsi="Book Antiqua" w:eastAsia="Book Antiqua" w:cs="Book Antiqua"/>
          <w:color w:val="000000"/>
          <w:vertAlign w:val="subscript"/>
        </w:rPr>
        <w:t>0</w:t>
      </w:r>
      <w:r>
        <w:rPr>
          <w:rFonts w:ascii="Book Antiqua" w:hAnsi="Book Antiqua" w:eastAsia="Book Antiqua" w:cs="Book Antiqua"/>
          <w:color w:val="000000"/>
        </w:rPr>
        <w:t xml:space="preserve"> (clinical stage III) colon adenocarcinoma (G2), was qualified (in March 2021) to adjuvant chemotherapy regimen based on oxaliplatin, leucovorin and 5-fluorouracil (FOLFOX-4). At that time, the kidney graft function was satisfactory; however, the slow increase in serum creatinine up to 1.4 mg/dL was observed during the few preceding months. The blood tests showed anemia (hemoglobin, 8.4 g/dL), C-reactive protein 11.2 mg/L, CA-125 18.7 U/mL, and CEA 0.95 ng/mL. After two FOLFOX-4 cycles, substantial deterioration of kidney graft function was observed, resulting in the discontinuation of chemotherapy and return to hemodialysis.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In October 2020 (16 years post-transplant), the patient started to report recurrent mild abdominal pain without concomitant hematochezia, diarrhea, change in bowel motility, or weight loss. At the same time, a slight increase in serum creatinine from 1.0 to 1.4 mg/dL [estimated glomerular filtration rate (eGFR) 45 mL/min/1.73</w:t>
      </w:r>
      <w:r>
        <w:rPr>
          <w:rFonts w:hint="eastAsia" w:ascii="Book Antiqua" w:hAnsi="Book Antiqua" w:cs="Book Antiqua"/>
          <w:color w:val="000000"/>
          <w:lang w:eastAsia="zh-CN"/>
        </w:rPr>
        <w:t xml:space="preserve"> </w:t>
      </w:r>
      <w:r>
        <w:rPr>
          <w:rFonts w:ascii="Book Antiqua" w:hAnsi="Book Antiqua" w:eastAsia="Book Antiqua" w:cs="Book Antiqua"/>
          <w:color w:val="000000"/>
        </w:rPr>
        <w:t>m</w:t>
      </w:r>
      <w:r>
        <w:rPr>
          <w:rFonts w:ascii="Book Antiqua" w:hAnsi="Book Antiqua" w:eastAsia="Book Antiqua" w:cs="Book Antiqua"/>
          <w:color w:val="000000"/>
          <w:vertAlign w:val="superscript"/>
        </w:rPr>
        <w:t>2</w:t>
      </w:r>
      <w:r>
        <w:rPr>
          <w:rFonts w:ascii="Book Antiqua" w:hAnsi="Book Antiqua" w:eastAsia="Book Antiqua" w:cs="Book Antiqua"/>
          <w:color w:val="000000"/>
        </w:rPr>
        <w:t>], with no proteinuria, was detected. In January 2021, the patient was admitted to a surgery department with clinical suspicion of herniation of the terminal ileum into the cecum. During surgery, a large cecal tumor was found (7 cm</w:t>
      </w:r>
      <w:r>
        <w:rPr>
          <w:rFonts w:hint="eastAsia" w:ascii="Book Antiqua" w:hAnsi="Book Antiqua" w:cs="Book Antiqua"/>
          <w:color w:val="000000"/>
          <w:lang w:eastAsia="zh-CN"/>
        </w:rPr>
        <w:t xml:space="preserve"> </w:t>
      </w:r>
      <w:r>
        <w:rPr>
          <w:rFonts w:ascii="Book Antiqua" w:hAnsi="Book Antiqua" w:eastAsia="Book Antiqua" w:cs="Book Antiqua"/>
          <w:color w:val="000000"/>
        </w:rPr>
        <w:t>× 5.5 cm × 5 cm), and a right hemicolectomy with terminal ileum–transverse colon graft was performed. Histological diagnosis was adenocarcinoma G2 invading the peritoneum and blood vessels, with metastases to two of 24 resected mesenteric lymph nodes (pT</w:t>
      </w:r>
      <w:r>
        <w:rPr>
          <w:rFonts w:ascii="Book Antiqua" w:hAnsi="Book Antiqua" w:eastAsia="Book Antiqua" w:cs="Book Antiqua"/>
          <w:color w:val="000000"/>
          <w:vertAlign w:val="subscript"/>
        </w:rPr>
        <w:t>4A</w:t>
      </w:r>
      <w:r>
        <w:rPr>
          <w:rFonts w:ascii="Book Antiqua" w:hAnsi="Book Antiqua" w:eastAsia="Book Antiqua" w:cs="Book Antiqua"/>
          <w:color w:val="000000"/>
        </w:rPr>
        <w:t>N</w:t>
      </w:r>
      <w:r>
        <w:rPr>
          <w:rFonts w:ascii="Book Antiqua" w:hAnsi="Book Antiqua" w:eastAsia="Book Antiqua" w:cs="Book Antiqua"/>
          <w:color w:val="000000"/>
          <w:vertAlign w:val="subscript"/>
        </w:rPr>
        <w:t>1B</w:t>
      </w:r>
      <w:r>
        <w:rPr>
          <w:rFonts w:ascii="Book Antiqua" w:hAnsi="Book Antiqua" w:eastAsia="Book Antiqua" w:cs="Book Antiqua"/>
          <w:color w:val="000000"/>
        </w:rPr>
        <w:t>) – corresponding to clinical stage III. A multidisciplinary team qualified the patient to adjuvant chemotherapy (FOLFOX-4), which was suspended due to abdominal wall abscess after the previous surgery. On March 17, 2021 (7 wk since hemicolectomy), the first FOLFOX-4 cycle was administered and the second was on April 1, 2021. However, the subsequent chemotherapy cycles were cancelled due to progressive kidney graft insufficiency. There was no deterioration of blood pressure control during CTH.</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Meanwhile, immunosuppression was modified by conversion from mycophenolate mofetil 250 mg BID to everolimus 0.75 mg BID (Figure 1). Notably, during the subsequent 2 mo, the blood trough levels of everolimus were low (1.0–1.4 ng/mL). Finally, the drug was discontinued because of its poor gastric tolerance. In addition, the tacrolimus level started to fluctuate (with a nadir of 2.5 ng/mL), and </w:t>
      </w:r>
      <w:r>
        <w:rPr>
          <w:rFonts w:ascii="Book Antiqua" w:hAnsi="Book Antiqua" w:eastAsia="Book Antiqua" w:cs="Book Antiqua"/>
          <w:i/>
          <w:iCs/>
          <w:color w:val="000000"/>
        </w:rPr>
        <w:t>de novo</w:t>
      </w:r>
      <w:r>
        <w:rPr>
          <w:rFonts w:ascii="Book Antiqua" w:hAnsi="Book Antiqua" w:eastAsia="Book Antiqua" w:cs="Book Antiqua"/>
          <w:color w:val="000000"/>
        </w:rPr>
        <w:t xml:space="preserve"> proteinuria was noticed up to 4.2 g/24 h. Lately, tacrolimus once daily was switched to twice daily formulation to achieve adequate blood trough levels. Serum creatinine level increased up to 3.4 mg/dL.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was diagnosed with chronic glomerular nephritis at the age of 10 years. It was confirmed by kidney biopsy, and glucocorticoids and cyclophosphamide were initiated. In 2001, hepatitis C virus infection was diagnosed, and the patient underwent a successful 12-mo interferon-γ treatment. Hypertension was diagnosed at the age of 18 years in the course of chronic kidney disease. The patient developed end-stage kidney disease and started hemodialysis at the age of 19 years (2004). After 8 mo of dialysis therapy, the patient underwent kidney transplantation (2005) with basiliximab induction. The kidney graft function on an immunosuppressive regimen consisting of tacrolimus, mycophenolate mofetil and steroids was excellent, with serum creatinine of 1 mg/dL for many years. The immunosuppression schedule was modified between 4 and 8 years post-transplant by converting mycophenolate to azathioprine due to planned pregnancy. She passed two pregnancies, giving birth during 5 and 8 years</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post-transplant. During the whole observation, there were no episodes of acute kidney rejection or proteinuria. The blood trough levels of tacrolimus and mycophenolate mofetil were stable, at 6–7 ng/mL and 2.7 ng/mL, respectively.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Family history was unremarkable.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revealed no abnormalities except surgical scars.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Because of the increase of serum creatinine up to 3.4 mg/dL, a kidney graft biopsy was performed on June 1, 2021. Histological examination revealed overlapping features of active chronic rejection and focal segmental glomerulosclerosis. Overall, interstitial fibrosis and tubular atrophy covered &gt; 50% of the interstitial area (Figure 2). Donor-specific antigens were not present, whereas a moderate Epstein–Barr viremia (7485 copies/mL) was detected. Other virological results (</w:t>
      </w:r>
      <w:r>
        <w:rPr>
          <w:rFonts w:hint="eastAsia" w:ascii="Book Antiqua" w:hAnsi="Book Antiqua" w:eastAsia="Book Antiqua" w:cs="Book Antiqua"/>
          <w:color w:val="000000"/>
        </w:rPr>
        <w:t>h</w:t>
      </w:r>
      <w:r>
        <w:rPr>
          <w:rFonts w:ascii="Book Antiqua" w:hAnsi="Book Antiqua" w:eastAsia="Book Antiqua" w:cs="Book Antiqua"/>
          <w:color w:val="000000"/>
        </w:rPr>
        <w:t xml:space="preserve">epatitis B </w:t>
      </w:r>
      <w:r>
        <w:rPr>
          <w:rFonts w:hint="eastAsia" w:ascii="Book Antiqua" w:hAnsi="Book Antiqua" w:eastAsia="Book Antiqua" w:cs="Book Antiqua"/>
          <w:color w:val="000000"/>
        </w:rPr>
        <w:t>v</w:t>
      </w:r>
      <w:r>
        <w:rPr>
          <w:rFonts w:ascii="Book Antiqua" w:hAnsi="Book Antiqua" w:eastAsia="Book Antiqua" w:cs="Book Antiqua"/>
          <w:color w:val="000000"/>
        </w:rPr>
        <w:t xml:space="preserve">irus, </w:t>
      </w:r>
      <w:r>
        <w:rPr>
          <w:rFonts w:hint="eastAsia" w:ascii="Book Antiqua" w:hAnsi="Book Antiqua" w:eastAsia="Book Antiqua" w:cs="Book Antiqua"/>
          <w:color w:val="000000"/>
        </w:rPr>
        <w:t>h</w:t>
      </w:r>
      <w:r>
        <w:rPr>
          <w:rFonts w:ascii="Book Antiqua" w:hAnsi="Book Antiqua" w:eastAsia="Book Antiqua" w:cs="Book Antiqua"/>
          <w:color w:val="000000"/>
        </w:rPr>
        <w:t xml:space="preserve">epatitis </w:t>
      </w:r>
      <w:r>
        <w:rPr>
          <w:rFonts w:hint="eastAsia" w:ascii="Book Antiqua" w:hAnsi="Book Antiqua" w:cs="Book Antiqua"/>
          <w:color w:val="000000"/>
          <w:lang w:eastAsia="zh-CN"/>
        </w:rPr>
        <w:t>C</w:t>
      </w:r>
      <w:r>
        <w:rPr>
          <w:rFonts w:ascii="Book Antiqua" w:hAnsi="Book Antiqua" w:eastAsia="Book Antiqua" w:cs="Book Antiqua"/>
          <w:color w:val="000000"/>
        </w:rPr>
        <w:t xml:space="preserve"> </w:t>
      </w:r>
      <w:r>
        <w:rPr>
          <w:rFonts w:hint="eastAsia" w:ascii="Book Antiqua" w:hAnsi="Book Antiqua" w:eastAsia="Book Antiqua" w:cs="Book Antiqua"/>
          <w:color w:val="000000"/>
        </w:rPr>
        <w:t>v</w:t>
      </w:r>
      <w:r>
        <w:rPr>
          <w:rFonts w:ascii="Book Antiqua" w:hAnsi="Book Antiqua" w:eastAsia="Book Antiqua" w:cs="Book Antiqua"/>
          <w:color w:val="000000"/>
        </w:rPr>
        <w:t>irus and cytomegalovirus) were negative at that time.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Computed tomography (CT) with contrast media administration was performed twice, during the oncological work-up, in June and September 2021. The second examination visualized intraperitoneal spread of colon adenocarcinoma, confirmed by </w:t>
      </w:r>
      <w:r>
        <w:rPr>
          <w:rFonts w:hint="eastAsia" w:ascii="Book Antiqua" w:hAnsi="Book Antiqua" w:cs="Calibri"/>
          <w:color w:val="000000"/>
          <w:lang w:eastAsia="zh-CN"/>
        </w:rPr>
        <w:t>p</w:t>
      </w:r>
      <w:r>
        <w:rPr>
          <w:rFonts w:ascii="Book Antiqua" w:hAnsi="Book Antiqua" w:eastAsia="Times New Roman" w:cs="Calibri"/>
          <w:color w:val="000000"/>
          <w:lang w:eastAsia="pl-PL"/>
        </w:rPr>
        <w:t>ositron emission tomography</w:t>
      </w:r>
      <w:r>
        <w:rPr>
          <w:rFonts w:ascii="Book Antiqua" w:hAnsi="Book Antiqua" w:eastAsia="Book Antiqua" w:cs="Book Antiqua"/>
          <w:color w:val="000000"/>
        </w:rPr>
        <w:t>/CT (Figure 3), and corresponding with recent patient complaints about abdominal pain.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Active chronic rejection of transplanted kidney with features of recurrent glomerulonephritis and further intraperitoneal spread of colon cancer was also diagnosed.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Hemodialysis therapy was initiated after creating an arteriovenous shunt when serum creatinine level exceeded 6 mg/dL. Before initiation of palliative chemotherapy, </w:t>
      </w:r>
      <w:r>
        <w:rPr>
          <w:rFonts w:ascii="Book Antiqua" w:hAnsi="Book Antiqua" w:eastAsia="Book Antiqua" w:cs="Book Antiqua"/>
          <w:i/>
          <w:iCs/>
          <w:color w:val="000000"/>
        </w:rPr>
        <w:t>KRAS</w:t>
      </w:r>
      <w:r>
        <w:rPr>
          <w:rFonts w:ascii="Book Antiqua" w:hAnsi="Book Antiqua" w:eastAsia="Book Antiqua" w:cs="Book Antiqua"/>
          <w:color w:val="000000"/>
        </w:rPr>
        <w:t xml:space="preserve">, </w:t>
      </w:r>
      <w:r>
        <w:rPr>
          <w:rFonts w:ascii="Book Antiqua" w:hAnsi="Book Antiqua" w:eastAsia="Book Antiqua" w:cs="Book Antiqua"/>
          <w:i/>
          <w:iCs/>
          <w:color w:val="000000"/>
        </w:rPr>
        <w:t>NRAS</w:t>
      </w:r>
      <w:r>
        <w:rPr>
          <w:rFonts w:ascii="Book Antiqua" w:hAnsi="Book Antiqua" w:eastAsia="Book Antiqua" w:cs="Book Antiqua"/>
          <w:color w:val="000000"/>
        </w:rPr>
        <w:t xml:space="preserve"> and </w:t>
      </w:r>
      <w:r>
        <w:rPr>
          <w:rFonts w:ascii="Book Antiqua" w:hAnsi="Book Antiqua" w:eastAsia="Book Antiqua" w:cs="Book Antiqua"/>
          <w:i/>
          <w:iCs/>
          <w:color w:val="000000"/>
        </w:rPr>
        <w:t>BRAF</w:t>
      </w:r>
      <w:r>
        <w:rPr>
          <w:rFonts w:ascii="Book Antiqua" w:hAnsi="Book Antiqua" w:eastAsia="Book Antiqua" w:cs="Book Antiqua"/>
          <w:color w:val="000000"/>
        </w:rPr>
        <w:t xml:space="preserve"> genotyping was performed. The analysis revealed mutation in codon 12 of the second exon (35 G&gt;T) of </w:t>
      </w:r>
      <w:r>
        <w:rPr>
          <w:rFonts w:ascii="Book Antiqua" w:hAnsi="Book Antiqua" w:eastAsia="Book Antiqua" w:cs="Book Antiqua"/>
          <w:i/>
          <w:iCs/>
          <w:color w:val="000000"/>
        </w:rPr>
        <w:t>KRAS</w:t>
      </w:r>
      <w:r>
        <w:rPr>
          <w:rFonts w:ascii="Book Antiqua" w:hAnsi="Book Antiqua" w:eastAsia="Book Antiqua" w:cs="Book Antiqua"/>
          <w:color w:val="000000"/>
        </w:rPr>
        <w:t>, denoting resistance to anti-epidermal growth factor receptor therapy. FOLFOX-4 regimen was chosen as the first-line palliative chemotherapy due to early discontinuation of this regimen in the adjuvant setting, frequent intestinal toxicity of irinotecan in hemodialysis patients, and restriction in the reimbursement of bevacizumab in patients with chronic kidney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remains under the care of an oncologist and nephrologist, continuing hemodialysis and palliative chemotherapy. The timeline of the information presented in this case report is shown in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Cancer is the second most common cause of mortality and morbidity in KTRs after cardiovascular disease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7</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This increased cancer risk in the KTR population is driven mainly by </w:t>
      </w:r>
      <w:r>
        <w:rPr>
          <w:rFonts w:ascii="Book Antiqua" w:hAnsi="Book Antiqua" w:eastAsia="Book Antiqua" w:cs="Book Antiqua"/>
          <w:i/>
          <w:iCs/>
          <w:color w:val="000000"/>
        </w:rPr>
        <w:t>de novo</w:t>
      </w:r>
      <w:r>
        <w:rPr>
          <w:rFonts w:ascii="Book Antiqua" w:hAnsi="Book Antiqua" w:eastAsia="Book Antiqua" w:cs="Book Antiqua"/>
          <w:color w:val="000000"/>
        </w:rPr>
        <w:t xml:space="preserve"> cancers, with CRC being the third most common cause of cancer death after non-Hodgkin’s lymphoma and lung cancer</w:t>
      </w:r>
      <w:r>
        <w:rPr>
          <w:rFonts w:hint="eastAsia" w:ascii="Book Antiqua" w:hAnsi="Book Antiqua" w:cs="Book Antiqua"/>
          <w:color w:val="000000"/>
          <w:vertAlign w:val="superscript"/>
          <w:lang w:eastAsia="zh-CN"/>
        </w:rPr>
        <w:t>[8]</w:t>
      </w:r>
      <w:r>
        <w:rPr>
          <w:rFonts w:ascii="Book Antiqua" w:hAnsi="Book Antiqua" w:eastAsia="Book Antiqua" w:cs="Book Antiqua"/>
          <w:color w:val="000000"/>
        </w:rPr>
        <w:t>. CRC in KTRs is reported to have a worse 5-year survival rate than in the general population</w:t>
      </w:r>
      <w:r>
        <w:rPr>
          <w:rFonts w:hint="eastAsia" w:ascii="Book Antiqua" w:hAnsi="Book Antiqua" w:cs="Book Antiqua"/>
          <w:color w:val="000000"/>
          <w:vertAlign w:val="superscript"/>
          <w:lang w:eastAsia="zh-CN"/>
        </w:rPr>
        <w:t>[9,10]</w:t>
      </w:r>
      <w:r>
        <w:rPr>
          <w:rFonts w:ascii="Book Antiqua" w:hAnsi="Book Antiqua" w:eastAsia="Book Antiqua" w:cs="Book Antiqua"/>
          <w:color w:val="000000"/>
        </w:rPr>
        <w:t>, and develops more often at a younger age</w:t>
      </w:r>
      <w:r>
        <w:rPr>
          <w:rFonts w:hint="eastAsia" w:ascii="Book Antiqua" w:hAnsi="Book Antiqua" w:cs="Book Antiqua"/>
          <w:color w:val="000000"/>
          <w:vertAlign w:val="superscript"/>
          <w:lang w:eastAsia="zh-CN"/>
        </w:rPr>
        <w:t>[9-11]</w:t>
      </w:r>
      <w:r>
        <w:rPr>
          <w:rFonts w:ascii="Book Antiqua" w:hAnsi="Book Antiqua" w:eastAsia="Book Antiqua" w:cs="Book Antiqua"/>
          <w:color w:val="000000"/>
        </w:rPr>
        <w:t>. Even so, our patient was diagnosed with an advanced CRC at the age of 36 years. However, an analysis of Australia and New Zealand Dialysis and Transplant Registry Data revealed that cancer rates in KTRs are similar to those in nontransplanted subjects 20–30 years older</w:t>
      </w:r>
      <w:r>
        <w:rPr>
          <w:rFonts w:hint="eastAsia" w:ascii="Book Antiqua" w:hAnsi="Book Antiqua" w:cs="Book Antiqua"/>
          <w:color w:val="000000"/>
          <w:vertAlign w:val="superscript"/>
          <w:lang w:eastAsia="zh-CN"/>
        </w:rPr>
        <w:t>[12]</w:t>
      </w:r>
      <w:r>
        <w:rPr>
          <w:rFonts w:ascii="Book Antiqua" w:hAnsi="Book Antiqua" w:eastAsia="Book Antiqua" w:cs="Book Antiqua"/>
          <w:color w:val="000000"/>
        </w:rPr>
        <w:t>. Still, it is noteworthy that there were some additional risk factors for such an early development of cancer in the given patient, except for the post-transplant immunosuppression. Firstly, the primary kidney disease was glomerulonephritis treated with steroids and cyclophosphamide, whereas the pretransplant immunosuppressive treatment was shown to increase the cancer risk</w:t>
      </w:r>
      <w:r>
        <w:rPr>
          <w:rFonts w:hint="eastAsia" w:ascii="Book Antiqua" w:hAnsi="Book Antiqua" w:cs="Book Antiqua"/>
          <w:color w:val="000000"/>
          <w:vertAlign w:val="superscript"/>
          <w:lang w:eastAsia="zh-CN"/>
        </w:rPr>
        <w:t>[12,13]</w:t>
      </w:r>
      <w:r>
        <w:rPr>
          <w:rFonts w:ascii="Book Antiqua" w:hAnsi="Book Antiqua" w:eastAsia="Book Antiqua" w:cs="Book Antiqua"/>
          <w:color w:val="000000"/>
        </w:rPr>
        <w:t>. Secondly, the use of azathioprine could be an independent risk factor for advanced colorectal neoplasia in KTRs</w:t>
      </w:r>
      <w:r>
        <w:rPr>
          <w:rFonts w:hint="eastAsia" w:ascii="Book Antiqua" w:hAnsi="Book Antiqua" w:cs="Book Antiqua"/>
          <w:color w:val="000000"/>
          <w:vertAlign w:val="superscript"/>
          <w:lang w:eastAsia="zh-CN"/>
        </w:rPr>
        <w:t>[14]</w:t>
      </w:r>
      <w:r>
        <w:rPr>
          <w:rFonts w:ascii="Book Antiqua" w:hAnsi="Book Antiqua" w:eastAsia="Book Antiqua" w:cs="Book Antiqua"/>
          <w:color w:val="000000"/>
        </w:rPr>
        <w:t>. The patient has received this medication for 5 years because of the planned conception. Thirdly, unlike the virus-related malignancies such as Kaposi’s sarcoma and cervical cancer, CRC used to develop late in the post-transplant observation</w:t>
      </w:r>
      <w:r>
        <w:rPr>
          <w:rFonts w:hint="eastAsia" w:ascii="Book Antiqua" w:hAnsi="Book Antiqua" w:cs="Book Antiqua"/>
          <w:color w:val="000000"/>
          <w:vertAlign w:val="superscript"/>
          <w:lang w:eastAsia="zh-CN"/>
        </w:rPr>
        <w:t>[3]</w:t>
      </w:r>
      <w:r>
        <w:rPr>
          <w:rFonts w:ascii="Book Antiqua" w:hAnsi="Book Antiqua" w:eastAsia="Book Antiqua" w:cs="Book Antiqua"/>
          <w:color w:val="000000"/>
        </w:rPr>
        <w:t>, as in our case.</w:t>
      </w:r>
    </w:p>
    <w:p>
      <w:pPr>
        <w:spacing w:line="360" w:lineRule="auto"/>
        <w:ind w:firstLine="240" w:firstLineChars="100"/>
        <w:jc w:val="both"/>
        <w:rPr>
          <w:rFonts w:ascii="Book Antiqua" w:hAnsi="Book Antiqua"/>
        </w:rPr>
      </w:pPr>
      <w:r>
        <w:rPr>
          <w:rFonts w:ascii="Book Antiqua" w:hAnsi="Book Antiqua" w:eastAsia="Book Antiqua" w:cs="Book Antiqua"/>
          <w:color w:val="000000"/>
        </w:rPr>
        <w:t>Nevertheless, when considering the undisputed tendency to the CRC development in younger KTRs in comparison to the general population, modified screening strategies were suggested in this specific cohort, including increased colonoscopy frequency</w:t>
      </w:r>
      <w:r>
        <w:rPr>
          <w:rFonts w:hint="eastAsia" w:ascii="Book Antiqua" w:hAnsi="Book Antiqua" w:cs="Book Antiqua"/>
          <w:color w:val="000000"/>
          <w:vertAlign w:val="superscript"/>
          <w:lang w:eastAsia="zh-CN"/>
        </w:rPr>
        <w:t>[9]</w:t>
      </w:r>
      <w:r>
        <w:rPr>
          <w:rFonts w:ascii="Book Antiqua" w:hAnsi="Book Antiqua" w:eastAsia="Book Antiqua" w:cs="Book Antiqua"/>
          <w:color w:val="000000"/>
        </w:rPr>
        <w:t xml:space="preserve"> and early initial post-transplant colonoscopy within 2 years</w:t>
      </w:r>
      <w:r>
        <w:rPr>
          <w:rFonts w:hint="eastAsia" w:ascii="Book Antiqua" w:hAnsi="Book Antiqua" w:cs="Book Antiqua"/>
          <w:color w:val="000000"/>
          <w:vertAlign w:val="superscript"/>
          <w:lang w:eastAsia="zh-CN"/>
        </w:rPr>
        <w:t>[10]</w:t>
      </w:r>
      <w:r>
        <w:rPr>
          <w:rFonts w:ascii="Book Antiqua" w:hAnsi="Book Antiqua" w:eastAsia="Book Antiqua" w:cs="Book Antiqua"/>
          <w:color w:val="000000"/>
        </w:rPr>
        <w:t>. To date, KDIGO (Kidney Disease: Improving Global Outcomes) Guidelines suggested that screening for CRC should be performed as recommended for the general population</w:t>
      </w:r>
      <w:r>
        <w:rPr>
          <w:rFonts w:hint="eastAsia" w:ascii="Book Antiqua" w:hAnsi="Book Antiqua" w:cs="Book Antiqua"/>
          <w:color w:val="000000"/>
          <w:vertAlign w:val="superscript"/>
          <w:lang w:eastAsia="zh-CN"/>
        </w:rPr>
        <w:t>[15]</w:t>
      </w:r>
      <w:r>
        <w:rPr>
          <w:rFonts w:ascii="Book Antiqua" w:hAnsi="Book Antiqua" w:eastAsia="Book Antiqua" w:cs="Book Antiqua"/>
          <w:color w:val="000000"/>
        </w:rPr>
        <w:t>. A cost–benefit ratio is another issue, as it was shown that eight colonoscopies were needed to identify one case of advanced neoplasia in KTRs cohort older than 50 years</w:t>
      </w:r>
      <w:r>
        <w:rPr>
          <w:rFonts w:hint="eastAsia" w:ascii="Book Antiqua" w:hAnsi="Book Antiqua" w:cs="Book Antiqua"/>
          <w:color w:val="000000"/>
          <w:vertAlign w:val="superscript"/>
          <w:lang w:eastAsia="zh-CN"/>
        </w:rPr>
        <w:t>[16]</w:t>
      </w:r>
      <w:r>
        <w:rPr>
          <w:rFonts w:ascii="Book Antiqua" w:hAnsi="Book Antiqua" w:eastAsia="Book Antiqua" w:cs="Book Antiqua"/>
          <w:color w:val="000000"/>
        </w:rPr>
        <w:t>. Although some authors suggested that screening colonoscopy in KTRs should be expanded to include recipients younger than 50 years</w:t>
      </w:r>
      <w:r>
        <w:rPr>
          <w:rFonts w:hint="eastAsia" w:ascii="Book Antiqua" w:hAnsi="Book Antiqua" w:cs="Book Antiqua"/>
          <w:color w:val="000000"/>
          <w:vertAlign w:val="superscript"/>
          <w:lang w:eastAsia="zh-CN"/>
        </w:rPr>
        <w:t>[11]</w:t>
      </w:r>
      <w:r>
        <w:rPr>
          <w:rFonts w:ascii="Book Antiqua" w:hAnsi="Book Antiqua" w:eastAsia="Book Antiqua" w:cs="Book Antiqua"/>
          <w:color w:val="000000"/>
        </w:rPr>
        <w:t xml:space="preserve"> or even between the age of 35 and 50 years</w:t>
      </w:r>
      <w:r>
        <w:rPr>
          <w:rFonts w:hint="eastAsia" w:ascii="Book Antiqua" w:hAnsi="Book Antiqua" w:cs="Book Antiqua"/>
          <w:color w:val="000000"/>
          <w:vertAlign w:val="superscript"/>
          <w:lang w:eastAsia="zh-CN"/>
        </w:rPr>
        <w:t>[17]</w:t>
      </w:r>
      <w:r>
        <w:rPr>
          <w:rFonts w:ascii="Book Antiqua" w:hAnsi="Book Antiqua" w:eastAsia="Book Antiqua" w:cs="Book Antiqua"/>
          <w:color w:val="000000"/>
        </w:rPr>
        <w:t>, such a policy would be cost-ineffective, in contrast to a screening program with fecal hemoglobin testing</w:t>
      </w:r>
      <w:r>
        <w:rPr>
          <w:rFonts w:hint="eastAsia" w:ascii="Book Antiqua" w:hAnsi="Book Antiqua" w:cs="Book Antiqua"/>
          <w:color w:val="000000"/>
          <w:vertAlign w:val="superscript"/>
          <w:lang w:eastAsia="zh-CN"/>
        </w:rPr>
        <w:t>[17]</w:t>
      </w:r>
      <w:r>
        <w:rPr>
          <w:rFonts w:ascii="Book Antiqua" w:hAnsi="Book Antiqua" w:eastAsia="Book Antiqua" w:cs="Book Antiqua"/>
          <w:color w:val="000000"/>
        </w:rPr>
        <w:t>. However, the latter measure is characterized by poor sensitivity but reasonable specificity. Besides, a fecal hemoglobin concentration can be used to stratify probability for the detection of advanced colorectal neoplasia in individuals with positive fecal immunochemical test</w:t>
      </w:r>
      <w:r>
        <w:rPr>
          <w:rFonts w:hint="eastAsia" w:ascii="Book Antiqua" w:hAnsi="Book Antiqua" w:cs="Book Antiqua"/>
          <w:color w:val="000000"/>
          <w:vertAlign w:val="superscript"/>
          <w:lang w:eastAsia="zh-CN"/>
        </w:rPr>
        <w:t>[18]</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KTRs diagnosed with cancer, treatment includes conventional approaches based on surgery, radiotherapy, and chemotherapy</w:t>
      </w:r>
      <w:r>
        <w:rPr>
          <w:rFonts w:hint="eastAsia" w:ascii="Book Antiqua" w:hAnsi="Book Antiqua" w:cs="Book Antiqua"/>
          <w:color w:val="000000"/>
          <w:vertAlign w:val="superscript"/>
          <w:lang w:eastAsia="zh-CN"/>
        </w:rPr>
        <w:t>[7]</w:t>
      </w:r>
      <w:r>
        <w:rPr>
          <w:rFonts w:ascii="Book Antiqua" w:hAnsi="Book Antiqua" w:eastAsia="Book Antiqua" w:cs="Book Antiqua"/>
          <w:color w:val="000000"/>
        </w:rPr>
        <w:t>. Such a complex treatment, often complicated by adverse reactions, is effective, even in advanced CRC cases</w:t>
      </w:r>
      <w:r>
        <w:rPr>
          <w:rFonts w:hint="eastAsia" w:ascii="Book Antiqua" w:hAnsi="Book Antiqua" w:cs="Book Antiqua"/>
          <w:color w:val="000000"/>
          <w:vertAlign w:val="superscript"/>
          <w:lang w:eastAsia="zh-CN"/>
        </w:rPr>
        <w:t>[19]</w:t>
      </w:r>
      <w:r>
        <w:rPr>
          <w:rFonts w:ascii="Book Antiqua" w:hAnsi="Book Antiqua" w:eastAsia="Book Antiqua" w:cs="Book Antiqua"/>
          <w:color w:val="000000"/>
        </w:rPr>
        <w:t>. Although the administration of adjuvant chemotherapy is a current standard of care in stage III colon cancer, the complication risk of such therapy is strongly recommended to be assessed, especially among patients with pre-existing kidney dysfunction</w:t>
      </w:r>
      <w:r>
        <w:rPr>
          <w:rFonts w:hint="eastAsia" w:ascii="Book Antiqua" w:hAnsi="Book Antiqua" w:cs="Book Antiqua"/>
          <w:color w:val="000000"/>
          <w:vertAlign w:val="superscript"/>
          <w:lang w:eastAsia="zh-CN"/>
        </w:rPr>
        <w:t>[1]</w:t>
      </w:r>
      <w:r>
        <w:rPr>
          <w:rFonts w:ascii="Book Antiqua" w:hAnsi="Book Antiqua" w:eastAsia="Book Antiqua" w:cs="Book Antiqua"/>
          <w:color w:val="000000"/>
        </w:rPr>
        <w:t>. The data concerning adjuvant and palliative chemotherapy and their outcomes in KTRs are limited (Table 2). Some advanced stage transplant patients did not receive adequate chemotherapy because of the concern of drug–drug interactions with the immunosuppressive regimen</w:t>
      </w:r>
      <w:r>
        <w:rPr>
          <w:rFonts w:hint="eastAsia" w:ascii="Book Antiqua" w:hAnsi="Book Antiqua" w:cs="Book Antiqua"/>
          <w:color w:val="000000"/>
          <w:vertAlign w:val="superscript"/>
          <w:lang w:eastAsia="zh-CN"/>
        </w:rPr>
        <w:t>[20]</w:t>
      </w:r>
      <w:r>
        <w:rPr>
          <w:rFonts w:ascii="Book Antiqua" w:hAnsi="Book Antiqua" w:eastAsia="Book Antiqua" w:cs="Book Antiqua"/>
          <w:color w:val="000000"/>
        </w:rPr>
        <w:t xml:space="preserve">. Despite that oxaliplatin and 5-fluorouracil are partly excreted in urine, the renal toxicity potential of anti-CRC drugs is low, except for </w:t>
      </w:r>
      <w:r>
        <w:rPr>
          <w:rFonts w:ascii="Book Antiqua" w:hAnsi="Book Antiqua" w:eastAsia="Book Antiqua" w:cs="Book Antiqua"/>
          <w:i/>
          <w:iCs/>
          <w:color w:val="000000"/>
        </w:rPr>
        <w:t>de novo</w:t>
      </w:r>
      <w:r>
        <w:rPr>
          <w:rFonts w:ascii="Book Antiqua" w:hAnsi="Book Antiqua" w:eastAsia="Book Antiqua" w:cs="Book Antiqua"/>
          <w:color w:val="000000"/>
        </w:rPr>
        <w:t xml:space="preserve"> proteinuria and arterial thromboembolic events observed during bevacizumab therapy</w:t>
      </w:r>
      <w:r>
        <w:rPr>
          <w:rFonts w:hint="eastAsia" w:ascii="Book Antiqua" w:hAnsi="Book Antiqua" w:cs="Book Antiqua"/>
          <w:color w:val="000000"/>
          <w:vertAlign w:val="superscript"/>
          <w:lang w:eastAsia="zh-CN"/>
        </w:rPr>
        <w:t>[20]</w:t>
      </w:r>
      <w:r>
        <w:rPr>
          <w:rFonts w:ascii="Book Antiqua" w:hAnsi="Book Antiqua" w:eastAsia="Book Antiqua" w:cs="Book Antiqua"/>
          <w:color w:val="000000"/>
        </w:rPr>
        <w:t>. Nevertheless, oxaliplatin-based chemotherapy is neither nephrotoxic</w:t>
      </w:r>
      <w:r>
        <w:rPr>
          <w:rFonts w:hint="eastAsia" w:ascii="Book Antiqua" w:hAnsi="Book Antiqua" w:cs="Book Antiqua"/>
          <w:color w:val="000000"/>
          <w:vertAlign w:val="superscript"/>
          <w:lang w:eastAsia="zh-CN"/>
        </w:rPr>
        <w:t>[21]</w:t>
      </w:r>
      <w:r>
        <w:rPr>
          <w:rFonts w:ascii="Book Antiqua" w:hAnsi="Book Antiqua" w:eastAsia="Book Antiqua" w:cs="Book Antiqua"/>
          <w:color w:val="000000"/>
        </w:rPr>
        <w:t xml:space="preserve"> nor interferes with blood levels of immunosuppressants</w:t>
      </w:r>
      <w:r>
        <w:rPr>
          <w:rFonts w:hint="eastAsia" w:ascii="Book Antiqua" w:hAnsi="Book Antiqua" w:cs="Book Antiqua"/>
          <w:color w:val="000000"/>
          <w:vertAlign w:val="superscript"/>
          <w:lang w:eastAsia="zh-CN"/>
        </w:rPr>
        <w:t>[20]</w:t>
      </w:r>
      <w:r>
        <w:rPr>
          <w:rFonts w:ascii="Book Antiqua" w:hAnsi="Book Antiqua" w:eastAsia="Book Antiqua" w:cs="Book Antiqua"/>
          <w:color w:val="000000"/>
        </w:rPr>
        <w:t>. However, it has been reported that repeated cycles of oxaliplatin in patients with prior renal impairment may cause deterioration of kidney function</w:t>
      </w:r>
      <w:r>
        <w:rPr>
          <w:rFonts w:hint="eastAsia" w:ascii="Book Antiqua" w:hAnsi="Book Antiqua" w:cs="Book Antiqua"/>
          <w:color w:val="000000"/>
          <w:vertAlign w:val="superscript"/>
          <w:lang w:eastAsia="zh-CN"/>
        </w:rPr>
        <w:t>[22]</w:t>
      </w:r>
      <w:r>
        <w:rPr>
          <w:rFonts w:ascii="Book Antiqua" w:hAnsi="Book Antiqua" w:eastAsia="Book Antiqua" w:cs="Book Antiqua"/>
          <w:color w:val="000000"/>
        </w:rPr>
        <w:t>. In our case, the kidney graft function before FOLFOX-4 initiation was already impaired (eGFR 45 mL/min/1.73</w:t>
      </w:r>
      <w:r>
        <w:rPr>
          <w:rFonts w:hint="eastAsia" w:ascii="Book Antiqua" w:hAnsi="Book Antiqua" w:cs="Book Antiqua"/>
          <w:color w:val="000000"/>
          <w:lang w:eastAsia="zh-CN"/>
        </w:rPr>
        <w:t xml:space="preserve"> </w:t>
      </w:r>
      <w:r>
        <w:rPr>
          <w:rFonts w:ascii="Book Antiqua" w:hAnsi="Book Antiqua" w:eastAsia="Book Antiqua" w:cs="Book Antiqua"/>
          <w:color w:val="000000"/>
        </w:rPr>
        <w:t>m</w:t>
      </w:r>
      <w:r>
        <w:rPr>
          <w:rFonts w:ascii="Book Antiqua" w:hAnsi="Book Antiqua" w:eastAsia="Book Antiqua" w:cs="Book Antiqua"/>
          <w:color w:val="000000"/>
          <w:vertAlign w:val="superscript"/>
        </w:rPr>
        <w:t>2</w:t>
      </w:r>
      <w:r>
        <w:rPr>
          <w:rFonts w:ascii="Book Antiqua" w:hAnsi="Book Antiqua" w:eastAsia="Book Antiqua" w:cs="Book Antiqua"/>
          <w:color w:val="000000"/>
        </w:rPr>
        <w:t>), but it rapidly deteriorated during the first 2 mo of therapy. However, it might have been caused by active chronic rejection coexisting with recurrent glomerulonephritis, which probably started earlier, as indicated by the previously slowly increasing serum creatinine concentration. Moreover, both processes mentioned above might be accelerated by decreasing net immunosuppression strength caused by modification of the immunosuppressive regimen and impaired drug absorption after hemicolectomy. Nevertheless, although reducing immunosuppression treatment with or without conversion to mammalian target of rapamycin inhibitor is suggested in KDIGO guidelines</w:t>
      </w:r>
      <w:r>
        <w:rPr>
          <w:rFonts w:hint="eastAsia" w:ascii="Book Antiqua" w:hAnsi="Book Antiqua" w:cs="Book Antiqua"/>
          <w:color w:val="000000"/>
          <w:vertAlign w:val="superscript"/>
          <w:lang w:eastAsia="zh-CN"/>
        </w:rPr>
        <w:t>[15]</w:t>
      </w:r>
      <w:r>
        <w:rPr>
          <w:rFonts w:ascii="Book Antiqua" w:hAnsi="Book Antiqua" w:eastAsia="Book Antiqua" w:cs="Book Antiqua"/>
          <w:color w:val="000000"/>
        </w:rPr>
        <w:t xml:space="preserve"> and the literature</w:t>
      </w:r>
      <w:r>
        <w:rPr>
          <w:rFonts w:hint="eastAsia" w:ascii="Book Antiqua" w:hAnsi="Book Antiqua" w:cs="Book Antiqua"/>
          <w:color w:val="000000"/>
          <w:vertAlign w:val="superscript"/>
          <w:lang w:eastAsia="zh-CN"/>
        </w:rPr>
        <w:t>[7,23]</w:t>
      </w:r>
      <w:r>
        <w:rPr>
          <w:rFonts w:ascii="Book Antiqua" w:hAnsi="Book Antiqua" w:eastAsia="Book Antiqua" w:cs="Book Antiqua"/>
          <w:color w:val="000000"/>
        </w:rPr>
        <w:t>, the risk of graft rejection and loss is not to be disregarded.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lang w:eastAsia="zh-CN"/>
        </w:rPr>
      </w:pPr>
      <w:r>
        <w:rPr>
          <w:rFonts w:ascii="Book Antiqua" w:hAnsi="Book Antiqua" w:eastAsia="Book Antiqua" w:cs="Book Antiqua"/>
          <w:color w:val="000000"/>
        </w:rPr>
        <w:t>Several risk factors, including long-lasting immunosuppression, may contribute to CRC development in KTRs at a younger age. We acknowledge the risk of rapid kidney graft loss, which occurred during the initiation of adjuvant chemotherapy for colon cancer, but it may rather be a consequence of under</w:t>
      </w:r>
      <w:r>
        <w:rPr>
          <w:rFonts w:ascii="Book Antiqua" w:hAnsi="Book Antiqua" w:cs="Book Antiqua"/>
          <w:color w:val="000000"/>
          <w:lang w:eastAsia="zh-CN"/>
        </w:rPr>
        <w:t>-</w:t>
      </w:r>
      <w:r>
        <w:rPr>
          <w:rFonts w:ascii="Book Antiqua" w:hAnsi="Book Antiqua" w:eastAsia="Book Antiqua" w:cs="Book Antiqua"/>
          <w:color w:val="000000"/>
        </w:rPr>
        <w:t>immunosuppression due to both impaired drug absorption and treatment changes driven by the cancer diagnosis. Hence, any modification of immunosuppressive regimen in newly diagnosed cancer patients should be carefully considered to balance the potential risks and benefits, bearing in mind the kidney graft function.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Argilés G</w:t>
      </w:r>
      <w:r>
        <w:rPr>
          <w:rFonts w:ascii="Book Antiqua" w:hAnsi="Book Antiqua" w:eastAsia="Book Antiqua" w:cs="Book Antiqua"/>
          <w:color w:val="000000"/>
        </w:rPr>
        <w:t xml:space="preserve">, Tabernero J, Labianca R, Hochhauser D, Salazar R, Iveson T, Laurent-Puig P, Quirke P, Yoshino T, Taieb J, Martinelli E, Arnold D; ESMO Guidelines Committee. Electronic address: clinicalguidelines@esmo.org. Localised colon cancer: ESMO Clinical Practice Guidelines for diagnosis, treatment and follow-up. </w:t>
      </w:r>
      <w:r>
        <w:rPr>
          <w:rFonts w:ascii="Book Antiqua" w:hAnsi="Book Antiqua" w:eastAsia="Book Antiqua" w:cs="Book Antiqua"/>
          <w:i/>
          <w:iCs/>
          <w:color w:val="000000"/>
        </w:rPr>
        <w:t>Ann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31</w:t>
      </w:r>
      <w:r>
        <w:rPr>
          <w:rFonts w:ascii="Book Antiqua" w:hAnsi="Book Antiqua" w:eastAsia="Book Antiqua" w:cs="Book Antiqua"/>
          <w:color w:val="000000"/>
        </w:rPr>
        <w:t>: 1291-1305 [PMID: 32702383 DOI: 10.1016/j.annonc.2020.06.022]</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Pendón-Ruiz de Mier V</w:t>
      </w:r>
      <w:r>
        <w:rPr>
          <w:rFonts w:ascii="Book Antiqua" w:hAnsi="Book Antiqua" w:eastAsia="Book Antiqua" w:cs="Book Antiqua"/>
          <w:color w:val="000000"/>
        </w:rPr>
        <w:t xml:space="preserve">, Navarro Cabello MD, Martínez Vaquera S, Lopez-Andreu M, Aguera Morales ML, Rodriguez-Benot A, Aljama Garcia P. Incidence and Long-Term Prognosis of Cancer After Kidney Transplantation. </w:t>
      </w:r>
      <w:r>
        <w:rPr>
          <w:rFonts w:ascii="Book Antiqua" w:hAnsi="Book Antiqua" w:eastAsia="Book Antiqua" w:cs="Book Antiqua"/>
          <w:i/>
          <w:iCs/>
          <w:color w:val="000000"/>
        </w:rPr>
        <w:t>Transplant Proc</w:t>
      </w:r>
      <w:r>
        <w:rPr>
          <w:rFonts w:ascii="Book Antiqua" w:hAnsi="Book Antiqua" w:eastAsia="Book Antiqua" w:cs="Book Antiqua"/>
          <w:color w:val="000000"/>
        </w:rPr>
        <w:t xml:space="preserve"> 2015; </w:t>
      </w:r>
      <w:r>
        <w:rPr>
          <w:rFonts w:ascii="Book Antiqua" w:hAnsi="Book Antiqua" w:eastAsia="Book Antiqua" w:cs="Book Antiqua"/>
          <w:b/>
          <w:bCs/>
          <w:color w:val="000000"/>
        </w:rPr>
        <w:t>47</w:t>
      </w:r>
      <w:r>
        <w:rPr>
          <w:rFonts w:ascii="Book Antiqua" w:hAnsi="Book Antiqua" w:eastAsia="Book Antiqua" w:cs="Book Antiqua"/>
          <w:color w:val="000000"/>
        </w:rPr>
        <w:t>: 2618-2621 [PMID: 26680052 DOI: 10.1016/j.transproceed.2015.08.043]</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Ju MK</w:t>
      </w:r>
      <w:r>
        <w:rPr>
          <w:rFonts w:ascii="Book Antiqua" w:hAnsi="Book Antiqua" w:eastAsia="Book Antiqua" w:cs="Book Antiqua"/>
          <w:color w:val="000000"/>
        </w:rPr>
        <w:t xml:space="preserve">, Joo DJ, Kim SJ, Huh KH, Kim MS, Jeon KO, Kim HJ, Kim SI, Kim YS. Chronologically different incidences of post-transplant malignancies in renal transplant recipients: single center experience. </w:t>
      </w:r>
      <w:r>
        <w:rPr>
          <w:rFonts w:ascii="Book Antiqua" w:hAnsi="Book Antiqua" w:eastAsia="Book Antiqua" w:cs="Book Antiqua"/>
          <w:i/>
          <w:iCs/>
          <w:color w:val="000000"/>
        </w:rPr>
        <w:t>Transpl Int</w:t>
      </w:r>
      <w:r>
        <w:rPr>
          <w:rFonts w:ascii="Book Antiqua" w:hAnsi="Book Antiqua" w:eastAsia="Book Antiqua" w:cs="Book Antiqua"/>
          <w:color w:val="000000"/>
        </w:rPr>
        <w:t xml:space="preserve"> 2009; </w:t>
      </w:r>
      <w:r>
        <w:rPr>
          <w:rFonts w:ascii="Book Antiqua" w:hAnsi="Book Antiqua" w:eastAsia="Book Antiqua" w:cs="Book Antiqua"/>
          <w:b/>
          <w:bCs/>
          <w:color w:val="000000"/>
        </w:rPr>
        <w:t>22</w:t>
      </w:r>
      <w:r>
        <w:rPr>
          <w:rFonts w:ascii="Book Antiqua" w:hAnsi="Book Antiqua" w:eastAsia="Book Antiqua" w:cs="Book Antiqua"/>
          <w:color w:val="000000"/>
        </w:rPr>
        <w:t>: 644-653 [PMID: 19220824 DOI: 10.1111/j.1432-2277.2009.00846.x]</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Andrés A</w:t>
      </w:r>
      <w:r>
        <w:rPr>
          <w:rFonts w:ascii="Book Antiqua" w:hAnsi="Book Antiqua" w:eastAsia="Book Antiqua" w:cs="Book Antiqua"/>
          <w:color w:val="000000"/>
        </w:rPr>
        <w:t xml:space="preserve">. Cancer incidence after immunosuppressive treatment following kidney transplantation. </w:t>
      </w:r>
      <w:r>
        <w:rPr>
          <w:rFonts w:ascii="Book Antiqua" w:hAnsi="Book Antiqua" w:eastAsia="Book Antiqua" w:cs="Book Antiqua"/>
          <w:i/>
          <w:iCs/>
          <w:color w:val="000000"/>
        </w:rPr>
        <w:t>Crit Rev Oncol Hematol</w:t>
      </w:r>
      <w:r>
        <w:rPr>
          <w:rFonts w:ascii="Book Antiqua" w:hAnsi="Book Antiqua" w:eastAsia="Book Antiqua" w:cs="Book Antiqua"/>
          <w:color w:val="000000"/>
        </w:rPr>
        <w:t xml:space="preserve"> 2005; </w:t>
      </w:r>
      <w:r>
        <w:rPr>
          <w:rFonts w:ascii="Book Antiqua" w:hAnsi="Book Antiqua" w:eastAsia="Book Antiqua" w:cs="Book Antiqua"/>
          <w:b/>
          <w:bCs/>
          <w:color w:val="000000"/>
        </w:rPr>
        <w:t>56</w:t>
      </w:r>
      <w:r>
        <w:rPr>
          <w:rFonts w:ascii="Book Antiqua" w:hAnsi="Book Antiqua" w:eastAsia="Book Antiqua" w:cs="Book Antiqua"/>
          <w:color w:val="000000"/>
        </w:rPr>
        <w:t>: 71-85 [PMID: 15978827 DOI: 10.1016/j.critrevonc.2004.11.010]</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Kim JY</w:t>
      </w:r>
      <w:r>
        <w:rPr>
          <w:rFonts w:ascii="Book Antiqua" w:hAnsi="Book Antiqua" w:eastAsia="Book Antiqua" w:cs="Book Antiqua"/>
          <w:color w:val="000000"/>
        </w:rPr>
        <w:t xml:space="preserve">, Ju MK, Kim MS, Kim NK, Sohn SK, Kim SI, Kim YS. Clinical characteristics and treatment outcomes of colorectal cancer in renal transplant recipients in Korea. </w:t>
      </w:r>
      <w:r>
        <w:rPr>
          <w:rFonts w:ascii="Book Antiqua" w:hAnsi="Book Antiqua" w:eastAsia="Book Antiqua" w:cs="Book Antiqua"/>
          <w:i/>
          <w:iCs/>
          <w:color w:val="000000"/>
        </w:rPr>
        <w:t>Yonsei Med J</w:t>
      </w:r>
      <w:r>
        <w:rPr>
          <w:rFonts w:ascii="Book Antiqua" w:hAnsi="Book Antiqua" w:eastAsia="Book Antiqua" w:cs="Book Antiqua"/>
          <w:color w:val="000000"/>
        </w:rPr>
        <w:t xml:space="preserve"> 2011; </w:t>
      </w:r>
      <w:r>
        <w:rPr>
          <w:rFonts w:ascii="Book Antiqua" w:hAnsi="Book Antiqua" w:eastAsia="Book Antiqua" w:cs="Book Antiqua"/>
          <w:b/>
          <w:bCs/>
          <w:color w:val="000000"/>
        </w:rPr>
        <w:t>52</w:t>
      </w:r>
      <w:r>
        <w:rPr>
          <w:rFonts w:ascii="Book Antiqua" w:hAnsi="Book Antiqua" w:eastAsia="Book Antiqua" w:cs="Book Antiqua"/>
          <w:color w:val="000000"/>
        </w:rPr>
        <w:t>: 454-462 [PMID: 21488188 DOI: 10.3349/ymj.2011.52.3.454]</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Merchea A</w:t>
      </w:r>
      <w:r>
        <w:rPr>
          <w:rFonts w:ascii="Book Antiqua" w:hAnsi="Book Antiqua" w:eastAsia="Book Antiqua" w:cs="Book Antiqua"/>
          <w:color w:val="000000"/>
        </w:rPr>
        <w:t xml:space="preserve">, Abdelsattar ZM, Taner T, Dean PG, Colibaseanu DT, Larson DW, Dozois EJ. Outcomes of colorectal cancer arising in solid organ transplant recipients. </w:t>
      </w:r>
      <w:r>
        <w:rPr>
          <w:rFonts w:ascii="Book Antiqua" w:hAnsi="Book Antiqua" w:eastAsia="Book Antiqua" w:cs="Book Antiqua"/>
          <w:i/>
          <w:iCs/>
          <w:color w:val="000000"/>
        </w:rPr>
        <w:t>J Gastrointest Surg</w:t>
      </w:r>
      <w:r>
        <w:rPr>
          <w:rFonts w:ascii="Book Antiqua" w:hAnsi="Book Antiqua" w:eastAsia="Book Antiqua" w:cs="Book Antiqua"/>
          <w:color w:val="000000"/>
        </w:rPr>
        <w:t xml:space="preserve"> 2014; </w:t>
      </w:r>
      <w:r>
        <w:rPr>
          <w:rFonts w:ascii="Book Antiqua" w:hAnsi="Book Antiqua" w:eastAsia="Book Antiqua" w:cs="Book Antiqua"/>
          <w:b/>
          <w:bCs/>
          <w:color w:val="000000"/>
        </w:rPr>
        <w:t>18</w:t>
      </w:r>
      <w:r>
        <w:rPr>
          <w:rFonts w:ascii="Book Antiqua" w:hAnsi="Book Antiqua" w:eastAsia="Book Antiqua" w:cs="Book Antiqua"/>
          <w:color w:val="000000"/>
        </w:rPr>
        <w:t>: 599-604 [PMID: 24254836 DOI: 10.1007/s11605-013-2402-3]</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Au E</w:t>
      </w:r>
      <w:r>
        <w:rPr>
          <w:rFonts w:ascii="Book Antiqua" w:hAnsi="Book Antiqua" w:eastAsia="Book Antiqua" w:cs="Book Antiqua"/>
          <w:color w:val="000000"/>
        </w:rPr>
        <w:t xml:space="preserve">, Wong G, Chapman JR. Cancer in kidney transplant recipients. </w:t>
      </w:r>
      <w:r>
        <w:rPr>
          <w:rFonts w:ascii="Book Antiqua" w:hAnsi="Book Antiqua" w:eastAsia="Book Antiqua" w:cs="Book Antiqua"/>
          <w:i/>
          <w:iCs/>
          <w:color w:val="000000"/>
        </w:rPr>
        <w:t>Nat Rev Nephrol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14</w:t>
      </w:r>
      <w:r>
        <w:rPr>
          <w:rFonts w:ascii="Book Antiqua" w:hAnsi="Book Antiqua" w:eastAsia="Book Antiqua" w:cs="Book Antiqua"/>
          <w:color w:val="000000"/>
        </w:rPr>
        <w:t>: 508-520 [PMID: 29802400 DOI: 10.1038/s41581-018-0022-6]</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Au EH</w:t>
      </w:r>
      <w:r>
        <w:rPr>
          <w:rFonts w:ascii="Book Antiqua" w:hAnsi="Book Antiqua" w:eastAsia="Book Antiqua" w:cs="Book Antiqua"/>
          <w:color w:val="000000"/>
        </w:rPr>
        <w:t xml:space="preserve">, Chapman JR, Craig JC, Lim WH, Teixeira-Pinto A, Ullah S, McDonald S, Wong G. Overall and Site-Specific Cancer Mortality in Patients on Dialysis and after Kidney Transplant. </w:t>
      </w:r>
      <w:r>
        <w:rPr>
          <w:rFonts w:ascii="Book Antiqua" w:hAnsi="Book Antiqua" w:eastAsia="Book Antiqua" w:cs="Book Antiqua"/>
          <w:i/>
          <w:iCs/>
          <w:color w:val="000000"/>
        </w:rPr>
        <w:t>J Am Soc Nephrol</w:t>
      </w:r>
      <w:r>
        <w:rPr>
          <w:rFonts w:ascii="Book Antiqua" w:hAnsi="Book Antiqua" w:eastAsia="Book Antiqua" w:cs="Book Antiqua"/>
          <w:color w:val="000000"/>
        </w:rPr>
        <w:t xml:space="preserve"> 2019 [PMID: 30765426 DOI: 10.1681/ASN.2018090906]</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Papaconstantinou HT</w:t>
      </w:r>
      <w:r>
        <w:rPr>
          <w:rFonts w:ascii="Book Antiqua" w:hAnsi="Book Antiqua" w:eastAsia="Book Antiqua" w:cs="Book Antiqua"/>
          <w:color w:val="000000"/>
        </w:rPr>
        <w:t xml:space="preserve">, Sklow B, Hanaway MJ, Gross TG, Beebe TM, Trofe J, Alloway RR, Woodle ES, Buell JF. Characteristics and survival patterns of solid organ transplant patients developing de novo colon and rectal cancer. </w:t>
      </w:r>
      <w:r>
        <w:rPr>
          <w:rFonts w:ascii="Book Antiqua" w:hAnsi="Book Antiqua" w:eastAsia="Book Antiqua" w:cs="Book Antiqua"/>
          <w:i/>
          <w:iCs/>
          <w:color w:val="000000"/>
        </w:rPr>
        <w:t>Dis Colon Rectum</w:t>
      </w:r>
      <w:r>
        <w:rPr>
          <w:rFonts w:ascii="Book Antiqua" w:hAnsi="Book Antiqua" w:eastAsia="Book Antiqua" w:cs="Book Antiqua"/>
          <w:color w:val="000000"/>
        </w:rPr>
        <w:t xml:space="preserve"> 2004; </w:t>
      </w:r>
      <w:r>
        <w:rPr>
          <w:rFonts w:ascii="Book Antiqua" w:hAnsi="Book Antiqua" w:eastAsia="Book Antiqua" w:cs="Book Antiqua"/>
          <w:b/>
          <w:bCs/>
          <w:color w:val="000000"/>
        </w:rPr>
        <w:t>47</w:t>
      </w:r>
      <w:r>
        <w:rPr>
          <w:rFonts w:ascii="Book Antiqua" w:hAnsi="Book Antiqua" w:eastAsia="Book Antiqua" w:cs="Book Antiqua"/>
          <w:color w:val="000000"/>
        </w:rPr>
        <w:t>: 1898-1903 [PMID: 15622583 DOI: 10.1007/s10350-004-0674-0]</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Johnson EE</w:t>
      </w:r>
      <w:r>
        <w:rPr>
          <w:rFonts w:ascii="Book Antiqua" w:hAnsi="Book Antiqua" w:eastAsia="Book Antiqua" w:cs="Book Antiqua"/>
          <w:color w:val="000000"/>
        </w:rPr>
        <w:t xml:space="preserve">, Leverson GE, Pirsch JD, Heise CP. A 30-year analysis of colorectal adenocarcinoma in transplant recipients and proposal for altered screening. </w:t>
      </w:r>
      <w:r>
        <w:rPr>
          <w:rFonts w:ascii="Book Antiqua" w:hAnsi="Book Antiqua" w:eastAsia="Book Antiqua" w:cs="Book Antiqua"/>
          <w:i/>
          <w:iCs/>
          <w:color w:val="000000"/>
        </w:rPr>
        <w:t>J Gastrointest Surg</w:t>
      </w:r>
      <w:r>
        <w:rPr>
          <w:rFonts w:ascii="Book Antiqua" w:hAnsi="Book Antiqua" w:eastAsia="Book Antiqua" w:cs="Book Antiqua"/>
          <w:color w:val="000000"/>
        </w:rPr>
        <w:t xml:space="preserve"> 2007; </w:t>
      </w:r>
      <w:r>
        <w:rPr>
          <w:rFonts w:ascii="Book Antiqua" w:hAnsi="Book Antiqua" w:eastAsia="Book Antiqua" w:cs="Book Antiqua"/>
          <w:b/>
          <w:bCs/>
          <w:color w:val="000000"/>
        </w:rPr>
        <w:t>11</w:t>
      </w:r>
      <w:r>
        <w:rPr>
          <w:rFonts w:ascii="Book Antiqua" w:hAnsi="Book Antiqua" w:eastAsia="Book Antiqua" w:cs="Book Antiqua"/>
          <w:color w:val="000000"/>
        </w:rPr>
        <w:t>: 272-279 [PMID: 17458597 DOI: 10.1007/s11605-007-0084-4]</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Privitera F</w:t>
      </w:r>
      <w:r>
        <w:rPr>
          <w:rFonts w:ascii="Book Antiqua" w:hAnsi="Book Antiqua" w:eastAsia="Book Antiqua" w:cs="Book Antiqua"/>
          <w:color w:val="000000"/>
        </w:rPr>
        <w:t xml:space="preserve">, Gioco R, Civit AI, Corona D, Cremona S, Puzzo L, Costa S, Trama G, Mauceri F, Cardella A, Sangiorgio G, Nania R, Veroux P, Veroux M. Colorectal Cancer after Kidney Transplantation: A Screening Colonoscopy Case-Control Study. </w:t>
      </w:r>
      <w:r>
        <w:rPr>
          <w:rFonts w:ascii="Book Antiqua" w:hAnsi="Book Antiqua" w:eastAsia="Book Antiqua" w:cs="Book Antiqua"/>
          <w:i/>
          <w:iCs/>
          <w:color w:val="000000"/>
        </w:rPr>
        <w:t>Biomedicines</w:t>
      </w:r>
      <w:r>
        <w:rPr>
          <w:rFonts w:ascii="Book Antiqua" w:hAnsi="Book Antiqua" w:eastAsia="Book Antiqua" w:cs="Book Antiqua"/>
          <w:color w:val="000000"/>
        </w:rPr>
        <w:t xml:space="preserve"> 2021;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34440142 DOI: 10.3390/biomedicines9080937]</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Webster AC</w:t>
      </w:r>
      <w:r>
        <w:rPr>
          <w:rFonts w:ascii="Book Antiqua" w:hAnsi="Book Antiqua" w:eastAsia="Book Antiqua" w:cs="Book Antiqua"/>
          <w:color w:val="000000"/>
        </w:rPr>
        <w:t xml:space="preserve">, Craig JC, Simpson JM, Jones MP, Chapman JR. Identifying high risk groups and quantifying absolute risk of cancer after kidney transplantation: a cohort study of 15,183 recipients.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2007; </w:t>
      </w:r>
      <w:r>
        <w:rPr>
          <w:rFonts w:ascii="Book Antiqua" w:hAnsi="Book Antiqua" w:eastAsia="Book Antiqua" w:cs="Book Antiqua"/>
          <w:b/>
          <w:bCs/>
          <w:color w:val="000000"/>
        </w:rPr>
        <w:t>7</w:t>
      </w:r>
      <w:r>
        <w:rPr>
          <w:rFonts w:ascii="Book Antiqua" w:hAnsi="Book Antiqua" w:eastAsia="Book Antiqua" w:cs="Book Antiqua"/>
          <w:color w:val="000000"/>
        </w:rPr>
        <w:t>: 2140-2151 [PMID: 17640312 DOI: 10.1111/j.1600-6143.2007.01908.x]</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Hibberd AD</w:t>
      </w:r>
      <w:r>
        <w:rPr>
          <w:rFonts w:ascii="Book Antiqua" w:hAnsi="Book Antiqua" w:eastAsia="Book Antiqua" w:cs="Book Antiqua"/>
          <w:color w:val="000000"/>
        </w:rPr>
        <w:t xml:space="preserve">, Trevillian PR, Wlodarczyk JH, Kemp DG, Stein AM, Gillies AH, Heer MK, Sheil AG. Effect of immunosuppression for primary renal disease on the risk of cancer in subsequent renal transplantation: a population-based retrospective cohort study.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2013; </w:t>
      </w:r>
      <w:r>
        <w:rPr>
          <w:rFonts w:ascii="Book Antiqua" w:hAnsi="Book Antiqua" w:eastAsia="Book Antiqua" w:cs="Book Antiqua"/>
          <w:b/>
          <w:bCs/>
          <w:color w:val="000000"/>
        </w:rPr>
        <w:t>95</w:t>
      </w:r>
      <w:r>
        <w:rPr>
          <w:rFonts w:ascii="Book Antiqua" w:hAnsi="Book Antiqua" w:eastAsia="Book Antiqua" w:cs="Book Antiqua"/>
          <w:color w:val="000000"/>
        </w:rPr>
        <w:t>: 122-127 [PMID: 23238532 DOI: 10.1097/TP.0b013e3182782f59]</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Au EH</w:t>
      </w:r>
      <w:r>
        <w:rPr>
          <w:rFonts w:ascii="Book Antiqua" w:hAnsi="Book Antiqua" w:eastAsia="Book Antiqua" w:cs="Book Antiqua"/>
          <w:color w:val="000000"/>
        </w:rPr>
        <w:t xml:space="preserve">, Wong G, Howard K, Chapman JR, Castells A, Roger SD, Bourke MJ, Macaskill P, Turner R, Lim WH, Lok CE, Diekmann F, Cross N, Sen S, Allen RD, Chadban SJ, Pollock CA, Tong A, Teixeira-Pinto A, Yang JY, Kieu A, James L, Craig JC. Factors Associated With Advanced Colorectal Neoplasia in Patients With CKD. </w:t>
      </w:r>
      <w:r>
        <w:rPr>
          <w:rFonts w:ascii="Book Antiqua" w:hAnsi="Book Antiqua" w:eastAsia="Book Antiqua" w:cs="Book Antiqua"/>
          <w:i/>
          <w:iCs/>
          <w:color w:val="000000"/>
        </w:rPr>
        <w:t>Am J Kidney Dis</w:t>
      </w:r>
      <w:r>
        <w:rPr>
          <w:rFonts w:ascii="Book Antiqua" w:hAnsi="Book Antiqua" w:eastAsia="Book Antiqua" w:cs="Book Antiqua"/>
          <w:color w:val="000000"/>
        </w:rPr>
        <w:t xml:space="preserve"> 2022; </w:t>
      </w:r>
      <w:r>
        <w:rPr>
          <w:rFonts w:ascii="Book Antiqua" w:hAnsi="Book Antiqua" w:eastAsia="Book Antiqua" w:cs="Book Antiqua"/>
          <w:b/>
          <w:bCs/>
          <w:color w:val="000000"/>
        </w:rPr>
        <w:t>79</w:t>
      </w:r>
      <w:r>
        <w:rPr>
          <w:rFonts w:ascii="Book Antiqua" w:hAnsi="Book Antiqua" w:eastAsia="Book Antiqua" w:cs="Book Antiqua"/>
          <w:color w:val="000000"/>
        </w:rPr>
        <w:t>: 549-560 [PMID: 34461168 DOI: 10.1053/j.ajkd.2021.07.011]</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Kidney Disease: Improving Global Outcomes (KDIGO) Transplant Work Group</w:t>
      </w:r>
      <w:r>
        <w:rPr>
          <w:rFonts w:ascii="Book Antiqua" w:hAnsi="Book Antiqua" w:eastAsia="Book Antiqua" w:cs="Book Antiqua"/>
          <w:color w:val="000000"/>
        </w:rPr>
        <w:t xml:space="preserve">. KDIGO clinical practice guideline for the care of kidney transplant recipients.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2009; </w:t>
      </w:r>
      <w:r>
        <w:rPr>
          <w:rFonts w:ascii="Book Antiqua" w:hAnsi="Book Antiqua" w:eastAsia="Book Antiqua" w:cs="Book Antiqua"/>
          <w:b/>
          <w:bCs/>
          <w:color w:val="000000"/>
        </w:rPr>
        <w:t>9 Suppl 3</w:t>
      </w:r>
      <w:r>
        <w:rPr>
          <w:rFonts w:ascii="Book Antiqua" w:hAnsi="Book Antiqua" w:eastAsia="Book Antiqua" w:cs="Book Antiqua"/>
          <w:color w:val="000000"/>
        </w:rPr>
        <w:t>: S1-155 [PMID: 19845597 DOI: 10.1111/j.1600-6143.2009.02834.x]</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Collins MG</w:t>
      </w:r>
      <w:r>
        <w:rPr>
          <w:rFonts w:ascii="Book Antiqua" w:hAnsi="Book Antiqua" w:eastAsia="Book Antiqua" w:cs="Book Antiqua"/>
          <w:color w:val="000000"/>
        </w:rPr>
        <w:t xml:space="preserve">, Teo E, Cole SR, Chan CY, McDonald SP, Russ GR, Young GP, Bampton PA, Coates PT. Screening for colorectal cancer and advanced colorectal neoplasia in kidney transplant recipients: cross sectional prevalence and diagnostic accuracy study of faecal immunochemical testing for haemoglobin and colonoscopy. </w:t>
      </w:r>
      <w:r>
        <w:rPr>
          <w:rFonts w:ascii="Book Antiqua" w:hAnsi="Book Antiqua" w:eastAsia="Book Antiqua" w:cs="Book Antiqua"/>
          <w:i/>
          <w:iCs/>
          <w:color w:val="000000"/>
        </w:rPr>
        <w:t>BMJ</w:t>
      </w:r>
      <w:r>
        <w:rPr>
          <w:rFonts w:ascii="Book Antiqua" w:hAnsi="Book Antiqua" w:eastAsia="Book Antiqua" w:cs="Book Antiqua"/>
          <w:color w:val="000000"/>
        </w:rPr>
        <w:t xml:space="preserve"> 2012; </w:t>
      </w:r>
      <w:r>
        <w:rPr>
          <w:rFonts w:ascii="Book Antiqua" w:hAnsi="Book Antiqua" w:eastAsia="Book Antiqua" w:cs="Book Antiqua"/>
          <w:b/>
          <w:bCs/>
          <w:color w:val="000000"/>
        </w:rPr>
        <w:t>345</w:t>
      </w:r>
      <w:r>
        <w:rPr>
          <w:rFonts w:ascii="Book Antiqua" w:hAnsi="Book Antiqua" w:eastAsia="Book Antiqua" w:cs="Book Antiqua"/>
          <w:color w:val="000000"/>
        </w:rPr>
        <w:t>: e4657 [PMID: 22833618 DOI: 10.1136/bmj.e4657]</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Wong G</w:t>
      </w:r>
      <w:r>
        <w:rPr>
          <w:rFonts w:ascii="Book Antiqua" w:hAnsi="Book Antiqua" w:eastAsia="Book Antiqua" w:cs="Book Antiqua"/>
          <w:color w:val="000000"/>
        </w:rPr>
        <w:t xml:space="preserve">, Howard K, Craig JC, Chapman JR. Cost-effectiveness of colorectal cancer screening in renal transplant recipients.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2008; </w:t>
      </w:r>
      <w:r>
        <w:rPr>
          <w:rFonts w:ascii="Book Antiqua" w:hAnsi="Book Antiqua" w:eastAsia="Book Antiqua" w:cs="Book Antiqua"/>
          <w:b/>
          <w:bCs/>
          <w:color w:val="000000"/>
        </w:rPr>
        <w:t>85</w:t>
      </w:r>
      <w:r>
        <w:rPr>
          <w:rFonts w:ascii="Book Antiqua" w:hAnsi="Book Antiqua" w:eastAsia="Book Antiqua" w:cs="Book Antiqua"/>
          <w:color w:val="000000"/>
        </w:rPr>
        <w:t>: 532-541 [PMID: 18347531 DOI: 10.1097/TP.0b013e3181639d35]</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Auge JM</w:t>
      </w:r>
      <w:r>
        <w:rPr>
          <w:rFonts w:ascii="Book Antiqua" w:hAnsi="Book Antiqua" w:eastAsia="Book Antiqua" w:cs="Book Antiqua"/>
          <w:color w:val="000000"/>
        </w:rPr>
        <w:t xml:space="preserve">, Pellise M, Escudero JM, Hernandez C, Andreu M, Grau J, Buron A, López-Cerón M, Bessa X, Serradesanferm A, Piracés M, Macià F, Guayta R, Filella X, Molina R, Jimenez W, Castells A; PROCOLON Group. Risk stratification for advanced colorectal neoplasia according to fecal hemoglobin concentration in a colorectal cancer screening program.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2014; </w:t>
      </w:r>
      <w:r>
        <w:rPr>
          <w:rFonts w:ascii="Book Antiqua" w:hAnsi="Book Antiqua" w:eastAsia="Book Antiqua" w:cs="Book Antiqua"/>
          <w:b/>
          <w:bCs/>
          <w:color w:val="000000"/>
        </w:rPr>
        <w:t>147</w:t>
      </w:r>
      <w:r>
        <w:rPr>
          <w:rFonts w:ascii="Book Antiqua" w:hAnsi="Book Antiqua" w:eastAsia="Book Antiqua" w:cs="Book Antiqua"/>
          <w:color w:val="000000"/>
        </w:rPr>
        <w:t>: 628-636.e1 [PMID: 24937264 DOI: 10.1053/j.gastro.2014.06.008]</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Bellyei S</w:t>
      </w:r>
      <w:r>
        <w:rPr>
          <w:rFonts w:ascii="Book Antiqua" w:hAnsi="Book Antiqua" w:eastAsia="Book Antiqua" w:cs="Book Antiqua"/>
          <w:color w:val="000000"/>
        </w:rPr>
        <w:t xml:space="preserve">, Boronkai Á, Pozsgai E, Fodor D, Mangel L. Effective chemotherapy and targeted therapy supplemented with stereotactic radiotherapy of a patient with metastatic colon cancer following renal transplantation: a case report. </w:t>
      </w:r>
      <w:r>
        <w:rPr>
          <w:rFonts w:ascii="Book Antiqua" w:hAnsi="Book Antiqua" w:eastAsia="Book Antiqua" w:cs="Book Antiqua"/>
          <w:i/>
          <w:iCs/>
          <w:color w:val="000000"/>
        </w:rPr>
        <w:t>J Med Case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15</w:t>
      </w:r>
      <w:r>
        <w:rPr>
          <w:rFonts w:ascii="Book Antiqua" w:hAnsi="Book Antiqua" w:eastAsia="Book Antiqua" w:cs="Book Antiqua"/>
          <w:color w:val="000000"/>
        </w:rPr>
        <w:t>: 125 [PMID: 33741057 DOI: 10.1186/s13256-021-02702-y]</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Fang W</w:t>
      </w:r>
      <w:r>
        <w:rPr>
          <w:rFonts w:ascii="Book Antiqua" w:hAnsi="Book Antiqua" w:eastAsia="Book Antiqua" w:cs="Book Antiqua"/>
          <w:color w:val="000000"/>
        </w:rPr>
        <w:t xml:space="preserve">. Chemotherapy in patient with colon cancer after renal transplantation: A case report with literature review.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2018; </w:t>
      </w:r>
      <w:r>
        <w:rPr>
          <w:rFonts w:ascii="Book Antiqua" w:hAnsi="Book Antiqua" w:eastAsia="Book Antiqua" w:cs="Book Antiqua"/>
          <w:b/>
          <w:bCs/>
          <w:color w:val="000000"/>
        </w:rPr>
        <w:t>97</w:t>
      </w:r>
      <w:r>
        <w:rPr>
          <w:rFonts w:ascii="Book Antiqua" w:hAnsi="Book Antiqua" w:eastAsia="Book Antiqua" w:cs="Book Antiqua"/>
          <w:color w:val="000000"/>
        </w:rPr>
        <w:t>: e9678 [PMID: 29384845 DOI: 10.1097/MD.0000000000009678]</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Haller DG</w:t>
      </w:r>
      <w:r>
        <w:rPr>
          <w:rFonts w:ascii="Book Antiqua" w:hAnsi="Book Antiqua" w:eastAsia="Book Antiqua" w:cs="Book Antiqua"/>
          <w:color w:val="000000"/>
        </w:rPr>
        <w:t xml:space="preserve">. Safety of oxaliplatin in the treatment of colorectal cancer. </w:t>
      </w:r>
      <w:r>
        <w:rPr>
          <w:rFonts w:ascii="Book Antiqua" w:hAnsi="Book Antiqua" w:eastAsia="Book Antiqua" w:cs="Book Antiqua"/>
          <w:i/>
          <w:iCs/>
          <w:color w:val="000000"/>
        </w:rPr>
        <w:t>Oncology (Williston Park)</w:t>
      </w:r>
      <w:r>
        <w:rPr>
          <w:rFonts w:ascii="Book Antiqua" w:hAnsi="Book Antiqua" w:eastAsia="Book Antiqua" w:cs="Book Antiqua"/>
          <w:color w:val="000000"/>
        </w:rPr>
        <w:t xml:space="preserve"> 2000; </w:t>
      </w:r>
      <w:r>
        <w:rPr>
          <w:rFonts w:ascii="Book Antiqua" w:hAnsi="Book Antiqua" w:eastAsia="Book Antiqua" w:cs="Book Antiqua"/>
          <w:b/>
          <w:bCs/>
          <w:color w:val="000000"/>
        </w:rPr>
        <w:t>14</w:t>
      </w:r>
      <w:r>
        <w:rPr>
          <w:rFonts w:ascii="Book Antiqua" w:hAnsi="Book Antiqua" w:eastAsia="Book Antiqua" w:cs="Book Antiqua"/>
          <w:color w:val="000000"/>
        </w:rPr>
        <w:t>: 15-20 [PMID: 11204657]</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22 </w:t>
      </w:r>
      <w:r>
        <w:rPr>
          <w:rFonts w:ascii="Book Antiqua" w:hAnsi="Book Antiqua" w:eastAsia="Book Antiqua" w:cs="Book Antiqua"/>
          <w:b/>
          <w:color w:val="000000"/>
        </w:rPr>
        <w:t>Kawazoe H</w:t>
      </w:r>
      <w:r>
        <w:rPr>
          <w:rFonts w:ascii="Book Antiqua" w:hAnsi="Book Antiqua" w:eastAsia="Book Antiqua" w:cs="Book Antiqua"/>
          <w:color w:val="000000"/>
        </w:rPr>
        <w:t xml:space="preserve">, Kawazoe H, Sugishita H, Watanabe S, Tanaka A, Morioka J, Suemaru K, Watanabe Y, Kawachi K, Araki H. [Nephrotoxicity induced by repeated cycles of oxaliplatin in a Japanese colorectal cancer patient with moderate renal impairment]. </w:t>
      </w:r>
      <w:r>
        <w:rPr>
          <w:rFonts w:ascii="Book Antiqua" w:hAnsi="Book Antiqua" w:eastAsia="Book Antiqua" w:cs="Book Antiqua"/>
          <w:i/>
          <w:color w:val="000000"/>
        </w:rPr>
        <w:t>Gan To Kagaku Ryoho</w:t>
      </w:r>
      <w:r>
        <w:rPr>
          <w:rFonts w:ascii="Book Antiqua" w:hAnsi="Book Antiqua" w:eastAsia="Book Antiqua" w:cs="Book Antiqua"/>
          <w:color w:val="000000"/>
        </w:rPr>
        <w:t xml:space="preserve"> 2010;</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37:</w:t>
      </w:r>
      <w:r>
        <w:rPr>
          <w:rFonts w:hint="eastAsia" w:ascii="Book Antiqua" w:hAnsi="Book Antiqua" w:cs="Book Antiqua"/>
          <w:color w:val="000000"/>
          <w:lang w:eastAsia="zh-CN"/>
        </w:rPr>
        <w:t xml:space="preserve"> </w:t>
      </w:r>
      <w:r>
        <w:rPr>
          <w:rFonts w:ascii="Book Antiqua" w:hAnsi="Book Antiqua" w:eastAsia="Book Antiqua" w:cs="Book Antiqua"/>
          <w:color w:val="000000"/>
        </w:rPr>
        <w:t>1153-</w:t>
      </w:r>
      <w:r>
        <w:rPr>
          <w:rFonts w:hint="eastAsia" w:ascii="Book Antiqua" w:hAnsi="Book Antiqua" w:cs="Book Antiqua"/>
          <w:color w:val="000000"/>
          <w:lang w:eastAsia="zh-CN"/>
        </w:rPr>
        <w:t>115</w:t>
      </w:r>
      <w:r>
        <w:rPr>
          <w:rFonts w:ascii="Book Antiqua" w:hAnsi="Book Antiqua" w:eastAsia="Book Antiqua" w:cs="Book Antiqua"/>
          <w:color w:val="000000"/>
        </w:rPr>
        <w:t>7</w:t>
      </w:r>
      <w:r>
        <w:rPr>
          <w:rFonts w:hint="eastAsia" w:ascii="Book Antiqua" w:hAnsi="Book Antiqua" w:cs="Book Antiqua"/>
          <w:color w:val="000000"/>
          <w:lang w:eastAsia="zh-CN"/>
        </w:rPr>
        <w:t xml:space="preserve"> [</w:t>
      </w:r>
      <w:r>
        <w:rPr>
          <w:rFonts w:ascii="Book Antiqua" w:hAnsi="Book Antiqua" w:eastAsia="Book Antiqua" w:cs="Book Antiqua"/>
          <w:color w:val="000000"/>
        </w:rPr>
        <w:t>PMID: 20567127</w:t>
      </w:r>
      <w:r>
        <w:rPr>
          <w:rFonts w:hint="eastAsia" w:ascii="Book Antiqua" w:hAnsi="Book Antiqua" w:cs="Book Antiqua"/>
          <w:color w:val="000000"/>
          <w:lang w:eastAsia="zh-CN"/>
        </w:rPr>
        <w:t>]</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Alberú J</w:t>
      </w:r>
      <w:r>
        <w:rPr>
          <w:rFonts w:ascii="Book Antiqua" w:hAnsi="Book Antiqua" w:eastAsia="Book Antiqua" w:cs="Book Antiqua"/>
          <w:color w:val="000000"/>
        </w:rPr>
        <w:t xml:space="preserve">. Clinical insights for cancer outcomes in renal transplant patients. </w:t>
      </w:r>
      <w:r>
        <w:rPr>
          <w:rFonts w:ascii="Book Antiqua" w:hAnsi="Book Antiqua" w:eastAsia="Book Antiqua" w:cs="Book Antiqua"/>
          <w:i/>
          <w:iCs/>
          <w:color w:val="000000"/>
        </w:rPr>
        <w:t>Transplant Proc</w:t>
      </w:r>
      <w:r>
        <w:rPr>
          <w:rFonts w:ascii="Book Antiqua" w:hAnsi="Book Antiqua" w:eastAsia="Book Antiqua" w:cs="Book Antiqua"/>
          <w:color w:val="000000"/>
        </w:rPr>
        <w:t xml:space="preserve"> 2010; </w:t>
      </w:r>
      <w:r>
        <w:rPr>
          <w:rFonts w:ascii="Book Antiqua" w:hAnsi="Book Antiqua" w:eastAsia="Book Antiqua" w:cs="Book Antiqua"/>
          <w:b/>
          <w:bCs/>
          <w:color w:val="000000"/>
        </w:rPr>
        <w:t>42</w:t>
      </w:r>
      <w:r>
        <w:rPr>
          <w:rFonts w:ascii="Book Antiqua" w:hAnsi="Book Antiqua" w:eastAsia="Book Antiqua" w:cs="Book Antiqua"/>
          <w:color w:val="000000"/>
        </w:rPr>
        <w:t>: S36-S40 [PMID: 21095450 DOI: 10.1016/j.transproceed.2010.07.006]</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Liu HY</w:t>
      </w:r>
      <w:r>
        <w:rPr>
          <w:rFonts w:ascii="Book Antiqua" w:hAnsi="Book Antiqua" w:eastAsia="Book Antiqua" w:cs="Book Antiqua"/>
          <w:color w:val="000000"/>
        </w:rPr>
        <w:t xml:space="preserve">, Liang XB, Li YP, Feng Y, Liu DB, Wang WD. Treatment of advanced rectal cancer after renal transplantation.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17</w:t>
      </w:r>
      <w:r>
        <w:rPr>
          <w:rFonts w:ascii="Book Antiqua" w:hAnsi="Book Antiqua" w:eastAsia="Book Antiqua" w:cs="Book Antiqua"/>
          <w:color w:val="000000"/>
        </w:rPr>
        <w:t>: 2058-2060 [PMID: 21528088 DOI: 10.3748/wjg.v17.i15.2058]</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Xia Z</w:t>
      </w:r>
      <w:r>
        <w:rPr>
          <w:rFonts w:ascii="Book Antiqua" w:hAnsi="Book Antiqua" w:eastAsia="Book Antiqua" w:cs="Book Antiqua"/>
          <w:color w:val="000000"/>
        </w:rPr>
        <w:t xml:space="preserve">, Chen W, Yao R, Lin G, Qiu H. Laparoscopic assisted low anterior resection for advanced rectal cancer in a kidney transplant recipient: A case report.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2016; </w:t>
      </w:r>
      <w:r>
        <w:rPr>
          <w:rFonts w:ascii="Book Antiqua" w:hAnsi="Book Antiqua" w:eastAsia="Book Antiqua" w:cs="Book Antiqua"/>
          <w:b/>
          <w:bCs/>
          <w:color w:val="000000"/>
        </w:rPr>
        <w:t>95</w:t>
      </w:r>
      <w:r>
        <w:rPr>
          <w:rFonts w:ascii="Book Antiqua" w:hAnsi="Book Antiqua" w:eastAsia="Book Antiqua" w:cs="Book Antiqua"/>
          <w:color w:val="000000"/>
        </w:rPr>
        <w:t>: e5198 [PMID: 27858861 DOI: 10.1097/MD.0000000000005198]</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Müsri FY</w:t>
      </w:r>
      <w:r>
        <w:rPr>
          <w:rFonts w:ascii="Book Antiqua" w:hAnsi="Book Antiqua" w:eastAsia="Book Antiqua" w:cs="Book Antiqua"/>
          <w:color w:val="000000"/>
        </w:rPr>
        <w:t xml:space="preserve">, Mutlu H, Eryılmaz MK, Salim DK, Coşkun HŞ. Experience of bevacizumab in a patient with colorectal cancer after renal transplantation. </w:t>
      </w:r>
      <w:r>
        <w:rPr>
          <w:rFonts w:ascii="Book Antiqua" w:hAnsi="Book Antiqua" w:eastAsia="Book Antiqua" w:cs="Book Antiqua"/>
          <w:i/>
          <w:iCs/>
          <w:color w:val="000000"/>
        </w:rPr>
        <w:t>J Cancer Res Ther</w:t>
      </w:r>
      <w:r>
        <w:rPr>
          <w:rFonts w:ascii="Book Antiqua" w:hAnsi="Book Antiqua" w:eastAsia="Book Antiqua" w:cs="Book Antiqua"/>
          <w:color w:val="000000"/>
        </w:rPr>
        <w:t xml:space="preserve"> 2015; </w:t>
      </w:r>
      <w:r>
        <w:rPr>
          <w:rFonts w:ascii="Book Antiqua" w:hAnsi="Book Antiqua" w:eastAsia="Book Antiqua" w:cs="Book Antiqua"/>
          <w:b/>
          <w:bCs/>
          <w:color w:val="000000"/>
        </w:rPr>
        <w:t>11</w:t>
      </w:r>
      <w:r>
        <w:rPr>
          <w:rFonts w:ascii="Book Antiqua" w:hAnsi="Book Antiqua" w:eastAsia="Book Antiqua" w:cs="Book Antiqua"/>
          <w:color w:val="000000"/>
        </w:rPr>
        <w:t>: 1018-1020 [PMID: 26881574 DOI: 10.4103/0973-1482.168996]</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no conflict of interest.</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14,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February 14,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April 22,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1" w:name="_Hlk71726650"/>
      <w:bookmarkStart w:id="2" w:name="OLE_LINK2066"/>
      <w:bookmarkStart w:id="3" w:name="OLE_LINK1953"/>
      <w:bookmarkStart w:id="4" w:name="OLE_LINK1952"/>
      <w:r>
        <w:rPr>
          <w:rFonts w:ascii="Book Antiqua" w:hAnsi="Book Antiqua" w:eastAsia="微软雅黑" w:cs="宋体"/>
        </w:rPr>
        <w:t>Medicine, research and experimenta</w:t>
      </w:r>
      <w:bookmarkEnd w:id="1"/>
      <w:r>
        <w:rPr>
          <w:rFonts w:ascii="Book Antiqua" w:hAnsi="Book Antiqua" w:eastAsia="微软雅黑" w:cs="宋体"/>
        </w:rPr>
        <w:t>l</w:t>
      </w:r>
      <w:bookmarkEnd w:id="2"/>
      <w:bookmarkEnd w:id="3"/>
      <w:bookmarkEnd w:id="4"/>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Poland</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Gadelkareem RA, Egypt; Kaewput W, Thailand; Kiuchi J, Japan; Singh N, United States</w:t>
      </w:r>
      <w:r>
        <w:rPr>
          <w:rFonts w:ascii="Book Antiqua" w:hAnsi="Book Antiqua" w:eastAsia="Book Antiqua" w:cs="Book Antiqua"/>
          <w:b/>
          <w:color w:val="000000"/>
        </w:rPr>
        <w:t xml:space="preserve"> S-Editor: </w:t>
      </w:r>
      <w:r>
        <w:rPr>
          <w:rFonts w:ascii="Book Antiqua" w:hAnsi="Book Antiqua" w:eastAsia="Book Antiqua" w:cs="Book Antiqua"/>
          <w:color w:val="000000"/>
        </w:rPr>
        <w:t>Fan JR</w:t>
      </w:r>
      <w:r>
        <w:rPr>
          <w:rFonts w:ascii="Book Antiqua" w:hAnsi="Book Antiqua" w:eastAsia="Book Antiqua" w:cs="Book Antiqua"/>
          <w:b/>
          <w:color w:val="000000"/>
        </w:rPr>
        <w:t xml:space="preserve"> L-Editor: </w:t>
      </w:r>
      <w:r>
        <w:rPr>
          <w:rFonts w:ascii="Book Antiqua" w:hAnsi="Book Antiqua" w:cs="Book Antiqua"/>
          <w:color w:val="000000"/>
          <w:lang w:eastAsia="zh-CN"/>
        </w:rPr>
        <w:t>Kerr C</w:t>
      </w:r>
      <w:r>
        <w:rPr>
          <w:rFonts w:ascii="Book Antiqua" w:hAnsi="Book Antiqua" w:cs="Book Antiqua"/>
          <w:b/>
          <w:color w:val="000000"/>
          <w:lang w:eastAsia="zh-CN"/>
        </w:rPr>
        <w:t xml:space="preserve"> </w:t>
      </w:r>
      <w:r>
        <w:rPr>
          <w:rFonts w:ascii="Book Antiqua" w:hAnsi="Book Antiqua" w:eastAsia="Book Antiqua" w:cs="Book Antiqua"/>
          <w:b/>
          <w:color w:val="000000"/>
        </w:rPr>
        <w:t>P-Editor:</w:t>
      </w:r>
      <w:r>
        <w:rPr>
          <w:rFonts w:ascii="Book Antiqua" w:hAnsi="Book Antiqua" w:eastAsia="Book Antiqua" w:cs="Book Antiqua"/>
          <w:color w:val="000000"/>
        </w:rPr>
        <w:t xml:space="preserve"> 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382895" cy="2587625"/>
            <wp:effectExtent l="0" t="0" r="12065" b="3175"/>
            <wp:docPr id="3" name="图片 3" descr="WJCC-10-664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6647-g001"/>
                    <pic:cNvPicPr>
                      <a:picLocks noChangeAspect="1"/>
                    </pic:cNvPicPr>
                  </pic:nvPicPr>
                  <pic:blipFill>
                    <a:blip r:embed="rId5"/>
                    <a:stretch>
                      <a:fillRect/>
                    </a:stretch>
                  </pic:blipFill>
                  <pic:spPr>
                    <a:xfrm>
                      <a:off x="0" y="0"/>
                      <a:ext cx="5382895" cy="258762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color w:val="000000"/>
        </w:rPr>
        <w:t>Figure 1 Changes in the immunosuppression therapy after hemicolectomy and diagnosis of colon cancer.</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5870575" cy="2371090"/>
            <wp:effectExtent l="0" t="0" r="12065" b="6350"/>
            <wp:docPr id="4" name="图片 4" descr="WJCC-10-664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647-g002"/>
                    <pic:cNvPicPr>
                      <a:picLocks noChangeAspect="1"/>
                    </pic:cNvPicPr>
                  </pic:nvPicPr>
                  <pic:blipFill>
                    <a:blip r:embed="rId6"/>
                    <a:stretch>
                      <a:fillRect/>
                    </a:stretch>
                  </pic:blipFill>
                  <pic:spPr>
                    <a:xfrm>
                      <a:off x="0" y="0"/>
                      <a:ext cx="5870575" cy="237109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 2 Pathological findings in transplanted kidney biopsy.</w:t>
      </w:r>
      <w:r>
        <w:rPr>
          <w:rFonts w:ascii="Book Antiqua" w:hAnsi="Book Antiqua" w:eastAsia="Book Antiqua" w:cs="Book Antiqua"/>
          <w:color w:val="000000"/>
        </w:rPr>
        <w:t xml:space="preserve"> </w:t>
      </w:r>
      <w:r>
        <w:rPr>
          <w:rFonts w:ascii="Book Antiqua" w:hAnsi="Book Antiqua" w:cs="Book Antiqua"/>
          <w:color w:val="000000"/>
          <w:lang w:eastAsia="zh-CN"/>
        </w:rPr>
        <w:t xml:space="preserve">A and B: </w:t>
      </w:r>
      <w:r>
        <w:rPr>
          <w:rFonts w:ascii="Book Antiqua" w:hAnsi="Book Antiqua" w:eastAsia="Book Antiqua" w:cs="Book Antiqua"/>
          <w:color w:val="000000"/>
        </w:rPr>
        <w:t>Glomerulus with segmental sclerosis</w:t>
      </w:r>
      <w:r>
        <w:rPr>
          <w:rFonts w:ascii="Book Antiqua" w:hAnsi="Book Antiqua" w:cs="Book Antiqua"/>
          <w:color w:val="000000"/>
          <w:lang w:eastAsia="zh-CN"/>
        </w:rPr>
        <w:t xml:space="preserve"> – </w:t>
      </w:r>
      <w:r>
        <w:rPr>
          <w:rFonts w:ascii="Book Antiqua" w:hAnsi="Book Antiqua" w:eastAsia="Book Antiqua" w:cs="Book Antiqua"/>
          <w:color w:val="000000"/>
        </w:rPr>
        <w:t>black arrow (A) – and reactive proliferation of podocytes around sclerosed segment</w:t>
      </w:r>
      <w:r>
        <w:rPr>
          <w:rFonts w:ascii="Book Antiqua" w:hAnsi="Book Antiqua" w:cs="Book Antiqua"/>
          <w:color w:val="000000"/>
          <w:lang w:eastAsia="zh-CN"/>
        </w:rPr>
        <w:t xml:space="preserve"> – </w:t>
      </w:r>
      <w:r>
        <w:rPr>
          <w:rFonts w:hint="eastAsia" w:ascii="Book Antiqua" w:hAnsi="Book Antiqua" w:cs="Book Antiqua"/>
          <w:color w:val="000000"/>
          <w:lang w:eastAsia="zh-CN"/>
        </w:rPr>
        <w:t>orange</w:t>
      </w:r>
      <w:r>
        <w:rPr>
          <w:rFonts w:ascii="Book Antiqua" w:hAnsi="Book Antiqua" w:eastAsia="Book Antiqua" w:cs="Book Antiqua"/>
          <w:color w:val="000000"/>
        </w:rPr>
        <w:t xml:space="preserve"> arrow (B)</w:t>
      </w:r>
      <w:r>
        <w:rPr>
          <w:rFonts w:ascii="Book Antiqua" w:hAnsi="Book Antiqua" w:cs="Book Antiqua"/>
          <w:color w:val="000000"/>
          <w:lang w:eastAsia="zh-CN"/>
        </w:rPr>
        <w:t>; C and D:</w:t>
      </w:r>
      <w:r>
        <w:rPr>
          <w:rFonts w:ascii="Book Antiqua" w:hAnsi="Book Antiqua" w:eastAsia="Book Antiqua" w:cs="Book Antiqua"/>
          <w:color w:val="000000"/>
        </w:rPr>
        <w:t xml:space="preserve"> Area of tubular atrophy</w:t>
      </w:r>
      <w:r>
        <w:rPr>
          <w:rFonts w:ascii="Book Antiqua" w:hAnsi="Book Antiqua" w:cs="Book Antiqua"/>
          <w:color w:val="000000"/>
          <w:lang w:eastAsia="zh-CN"/>
        </w:rPr>
        <w:t xml:space="preserve"> – </w:t>
      </w:r>
      <w:r>
        <w:rPr>
          <w:rFonts w:ascii="Book Antiqua" w:hAnsi="Book Antiqua" w:eastAsia="Book Antiqua" w:cs="Book Antiqua"/>
          <w:color w:val="000000"/>
        </w:rPr>
        <w:t>black arrow – and compensative tubular hypertrophy</w:t>
      </w:r>
      <w:r>
        <w:rPr>
          <w:rFonts w:ascii="Book Antiqua" w:hAnsi="Book Antiqua" w:cs="Book Antiqua"/>
          <w:color w:val="000000"/>
          <w:lang w:eastAsia="zh-CN"/>
        </w:rPr>
        <w:t xml:space="preserve"> – </w:t>
      </w:r>
      <w:r>
        <w:rPr>
          <w:rFonts w:ascii="Book Antiqua" w:hAnsi="Book Antiqua" w:eastAsia="Book Antiqua" w:cs="Book Antiqua"/>
          <w:color w:val="000000"/>
        </w:rPr>
        <w:t>asterisks (C), with areas of interstitial fibrosis with infiltration of mononuclear cells</w:t>
      </w:r>
      <w:r>
        <w:rPr>
          <w:rFonts w:ascii="Book Antiqua" w:hAnsi="Book Antiqua" w:cs="Book Antiqua"/>
          <w:color w:val="000000"/>
          <w:lang w:eastAsia="zh-CN"/>
        </w:rPr>
        <w:t xml:space="preserve"> – </w:t>
      </w:r>
      <w:r>
        <w:rPr>
          <w:rFonts w:hint="eastAsia" w:ascii="Book Antiqua" w:hAnsi="Book Antiqua" w:cs="Book Antiqua"/>
          <w:color w:val="000000"/>
          <w:lang w:eastAsia="zh-CN"/>
        </w:rPr>
        <w:t>orange</w:t>
      </w:r>
      <w:r>
        <w:rPr>
          <w:rFonts w:ascii="Book Antiqua" w:hAnsi="Book Antiqua" w:eastAsia="Book Antiqua" w:cs="Book Antiqua"/>
          <w:color w:val="000000"/>
        </w:rPr>
        <w:t xml:space="preserve"> arrows (D)</w:t>
      </w:r>
      <w:r>
        <w:rPr>
          <w:rFonts w:ascii="Book Antiqua" w:hAnsi="Book Antiqua" w:cs="Book Antiqua"/>
          <w:color w:val="000000"/>
          <w:lang w:eastAsia="zh-CN"/>
        </w:rPr>
        <w:t>; E–H:</w:t>
      </w:r>
      <w:r>
        <w:rPr>
          <w:rFonts w:ascii="Book Antiqua" w:hAnsi="Book Antiqua" w:eastAsia="Book Antiqua" w:cs="Book Antiqua"/>
          <w:color w:val="000000"/>
        </w:rPr>
        <w:t xml:space="preserve"> Immunohistochemistry showing focal interstitial infiltrates mainly composed of CD4-positive (E) and CD20-positive (G) cells, and diffuse interstitial infiltrates of CD8-positive (F) and CD68-positive (H) cells.</w:t>
      </w:r>
    </w:p>
    <w:p>
      <w:pPr>
        <w:spacing w:line="360" w:lineRule="auto"/>
        <w:jc w:val="both"/>
        <w:rPr>
          <w:rFonts w:ascii="Book Antiqua" w:hAnsi="Book Antiqua"/>
        </w:rPr>
      </w:pPr>
    </w:p>
    <w:p>
      <w:pPr>
        <w:spacing w:line="360" w:lineRule="auto"/>
        <w:jc w:val="both"/>
        <w:rPr>
          <w:rFonts w:hint="eastAsia" w:ascii="Book Antiqua" w:hAnsi="Book Antiqua" w:eastAsiaTheme="minorEastAsia"/>
          <w:lang w:eastAsia="zh-CN"/>
        </w:rPr>
      </w:pPr>
      <w:r>
        <w:rPr>
          <w:rFonts w:ascii="Book Antiqua" w:hAnsi="Book Antiqua"/>
        </w:rPr>
        <w:br w:type="page"/>
      </w:r>
      <w:bookmarkStart w:id="5" w:name="_GoBack"/>
      <w:r>
        <w:rPr>
          <w:rFonts w:hint="eastAsia" w:ascii="Book Antiqua" w:hAnsi="Book Antiqua" w:eastAsiaTheme="minorEastAsia"/>
          <w:lang w:eastAsia="zh-CN"/>
        </w:rPr>
        <w:drawing>
          <wp:inline distT="0" distB="0" distL="114300" distR="114300">
            <wp:extent cx="5803265" cy="2191385"/>
            <wp:effectExtent l="0" t="0" r="3175" b="3175"/>
            <wp:docPr id="5" name="图片 5" descr="WJCC-10-664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6647-g003"/>
                    <pic:cNvPicPr>
                      <a:picLocks noChangeAspect="1"/>
                    </pic:cNvPicPr>
                  </pic:nvPicPr>
                  <pic:blipFill>
                    <a:blip r:embed="rId7"/>
                    <a:stretch>
                      <a:fillRect/>
                    </a:stretch>
                  </pic:blipFill>
                  <pic:spPr>
                    <a:xfrm>
                      <a:off x="0" y="0"/>
                      <a:ext cx="5803265" cy="2191385"/>
                    </a:xfrm>
                    <a:prstGeom prst="rect">
                      <a:avLst/>
                    </a:prstGeom>
                  </pic:spPr>
                </pic:pic>
              </a:graphicData>
            </a:graphic>
          </wp:inline>
        </w:drawing>
      </w:r>
      <w:bookmarkEnd w:id="5"/>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3 Pathological intraperitoneal infiltration (arrows) measuring 83 mm</w:t>
      </w:r>
      <w:r>
        <w:rPr>
          <w:rFonts w:ascii="Book Antiqua" w:hAnsi="Book Antiqua" w:cs="Book Antiqua"/>
          <w:b/>
          <w:color w:val="000000"/>
          <w:lang w:eastAsia="zh-CN"/>
        </w:rPr>
        <w:t xml:space="preserve"> </w:t>
      </w:r>
      <w:r>
        <w:rPr>
          <w:rFonts w:ascii="Book Antiqua" w:hAnsi="Book Antiqua" w:eastAsia="Book Antiqua" w:cs="Book Antiqua"/>
          <w:b/>
          <w:color w:val="000000"/>
        </w:rPr>
        <w:t xml:space="preserve">× 46 mm × 52 mm, with a standardized maximum uptake of 8.5 </w:t>
      </w:r>
      <w:r>
        <w:rPr>
          <w:rFonts w:ascii="Book Antiqua" w:hAnsi="Book Antiqua" w:cs="Book Antiqua"/>
          <w:b/>
          <w:color w:val="000000"/>
          <w:lang w:eastAsia="zh-CN"/>
        </w:rPr>
        <w:t>l</w:t>
      </w:r>
      <w:r>
        <w:rPr>
          <w:rFonts w:ascii="Book Antiqua" w:hAnsi="Book Antiqua" w:eastAsia="Book Antiqua" w:cs="Book Antiqua"/>
          <w:b/>
          <w:color w:val="000000"/>
        </w:rPr>
        <w:t>ocated in the right epigastric region, shown in computed tomography (A) and positron emission tomography (B) examinations.</w:t>
      </w:r>
      <w:r>
        <w:rPr>
          <w:rFonts w:ascii="Book Antiqua" w:hAnsi="Book Antiqua" w:eastAsia="Book Antiqua" w:cs="Book Antiqua"/>
          <w:color w:val="000000"/>
        </w:rPr>
        <w:t xml:space="preserve"> </w:t>
      </w:r>
    </w:p>
    <w:p>
      <w:pPr>
        <w:spacing w:line="360" w:lineRule="auto"/>
        <w:jc w:val="both"/>
        <w:rPr>
          <w:rFonts w:ascii="Book Antiqua" w:hAnsi="Book Antiqua"/>
          <w:b/>
          <w:bCs/>
          <w:lang w:eastAsia="zh-CN"/>
        </w:rPr>
      </w:pPr>
      <w:r>
        <w:rPr>
          <w:rFonts w:ascii="Book Antiqua" w:hAnsi="Book Antiqua" w:cs="Book Antiqua"/>
          <w:color w:val="000000"/>
          <w:lang w:eastAsia="zh-CN"/>
        </w:rPr>
        <w:br w:type="page"/>
      </w:r>
      <w:r>
        <w:rPr>
          <w:rFonts w:ascii="Book Antiqua" w:hAnsi="Book Antiqua"/>
          <w:b/>
          <w:bCs/>
        </w:rPr>
        <w:t>T</w:t>
      </w:r>
      <w:r>
        <w:rPr>
          <w:rFonts w:ascii="Book Antiqua" w:hAnsi="Book Antiqua" w:eastAsia="等线"/>
          <w:b/>
          <w:bCs/>
          <w:lang w:eastAsia="zh-CN"/>
        </w:rPr>
        <w:t>able</w:t>
      </w:r>
      <w:r>
        <w:rPr>
          <w:rFonts w:ascii="Book Antiqua" w:hAnsi="Book Antiqua"/>
          <w:b/>
          <w:bCs/>
        </w:rPr>
        <w:t xml:space="preserve"> 1 Timeline of diagnostic procedures and treatment</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69"/>
        <w:gridCol w:w="620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Borders>
              <w:top w:val="single" w:color="auto" w:sz="4" w:space="0"/>
              <w:bottom w:val="single" w:color="auto" w:sz="4" w:space="0"/>
            </w:tcBorders>
          </w:tcPr>
          <w:p>
            <w:pPr>
              <w:spacing w:line="360" w:lineRule="auto"/>
              <w:jc w:val="both"/>
              <w:rPr>
                <w:rFonts w:ascii="Book Antiqua" w:hAnsi="Book Antiqua" w:eastAsia="Times New Roman" w:cs="Calibri"/>
                <w:b/>
                <w:color w:val="000000"/>
                <w:lang w:val="pl-PL" w:eastAsia="pl-PL"/>
              </w:rPr>
            </w:pPr>
            <w:r>
              <w:rPr>
                <w:rFonts w:ascii="Book Antiqua" w:hAnsi="Book Antiqua" w:eastAsia="Times New Roman" w:cs="Calibri"/>
                <w:b/>
                <w:color w:val="000000"/>
                <w:lang w:val="pl-PL" w:eastAsia="pl-PL"/>
              </w:rPr>
              <w:t>Date</w:t>
            </w:r>
          </w:p>
        </w:tc>
        <w:tc>
          <w:tcPr>
            <w:tcW w:w="3241" w:type="pct"/>
            <w:tcBorders>
              <w:top w:val="single" w:color="auto" w:sz="4" w:space="0"/>
              <w:bottom w:val="single" w:color="auto" w:sz="4" w:space="0"/>
            </w:tcBorders>
          </w:tcPr>
          <w:p>
            <w:pPr>
              <w:spacing w:line="360" w:lineRule="auto"/>
              <w:jc w:val="both"/>
              <w:rPr>
                <w:rFonts w:ascii="Book Antiqua" w:hAnsi="Book Antiqua" w:eastAsia="Times New Roman" w:cs="Calibri"/>
                <w:b/>
                <w:color w:val="000000"/>
                <w:lang w:val="pl-PL" w:eastAsia="pl-PL"/>
              </w:rPr>
            </w:pPr>
            <w:r>
              <w:rPr>
                <w:rFonts w:ascii="Book Antiqua" w:hAnsi="Book Antiqua" w:eastAsia="Times New Roman" w:cs="Calibri"/>
                <w:b/>
                <w:color w:val="000000"/>
                <w:lang w:val="pl-PL" w:eastAsia="pl-PL"/>
              </w:rPr>
              <w:t>Procedure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Borders>
              <w:top w:val="single" w:color="auto" w:sz="4" w:space="0"/>
            </w:tcBorders>
          </w:tcPr>
          <w:p>
            <w:pPr>
              <w:spacing w:line="360" w:lineRule="auto"/>
              <w:jc w:val="both"/>
              <w:rPr>
                <w:rFonts w:ascii="Book Antiqua" w:hAnsi="Book Antiqua" w:eastAsia="Times New Roman" w:cs="Calibri"/>
                <w:color w:val="000000"/>
                <w:lang w:val="pl-PL" w:eastAsia="pl-PL"/>
              </w:rPr>
            </w:pPr>
            <w:r>
              <w:rPr>
                <w:rFonts w:ascii="Book Antiqua" w:hAnsi="Book Antiqua" w:eastAsia="Times New Roman" w:cs="Calibri"/>
                <w:color w:val="000000"/>
                <w:lang w:val="pl-PL" w:eastAsia="pl-PL"/>
              </w:rPr>
              <w:t>1994</w:t>
            </w:r>
          </w:p>
        </w:tc>
        <w:tc>
          <w:tcPr>
            <w:tcW w:w="3241" w:type="pct"/>
            <w:tcBorders>
              <w:top w:val="single" w:color="auto" w:sz="4" w:space="0"/>
            </w:tcBorders>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 xml:space="preserve">Diagnosis of glomerular nephritis (kidney biopsy)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val="pl-PL" w:eastAsia="pl-PL"/>
              </w:rPr>
            </w:pPr>
            <w:r>
              <w:rPr>
                <w:rFonts w:ascii="Book Antiqua" w:hAnsi="Book Antiqua" w:eastAsia="Times New Roman" w:cs="Calibri"/>
                <w:color w:val="000000"/>
                <w:lang w:val="pl-PL" w:eastAsia="pl-PL"/>
              </w:rPr>
              <w:t>1994</w:t>
            </w:r>
          </w:p>
        </w:tc>
        <w:tc>
          <w:tcPr>
            <w:tcW w:w="3241" w:type="pct"/>
          </w:tcPr>
          <w:p>
            <w:pPr>
              <w:spacing w:line="360" w:lineRule="auto"/>
              <w:jc w:val="both"/>
              <w:rPr>
                <w:rFonts w:ascii="Book Antiqua" w:hAnsi="Book Antiqua" w:cs="Calibri"/>
                <w:color w:val="000000"/>
                <w:lang w:eastAsia="zh-CN"/>
              </w:rPr>
            </w:pPr>
            <w:r>
              <w:rPr>
                <w:rFonts w:ascii="Book Antiqua" w:hAnsi="Book Antiqua" w:eastAsia="Times New Roman" w:cs="Calibri"/>
                <w:color w:val="000000"/>
                <w:lang w:eastAsia="pl-PL"/>
              </w:rPr>
              <w:t>Therapy with glucocorticoids and cyclophosphamide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1759" w:type="pct"/>
          </w:tcPr>
          <w:p>
            <w:pPr>
              <w:spacing w:line="360" w:lineRule="auto"/>
              <w:jc w:val="both"/>
              <w:rPr>
                <w:rFonts w:ascii="Book Antiqua" w:hAnsi="Book Antiqua" w:eastAsia="Times New Roman" w:cs="Calibri"/>
                <w:color w:val="000000"/>
                <w:lang w:val="pl-PL" w:eastAsia="pl-PL"/>
              </w:rPr>
            </w:pPr>
            <w:r>
              <w:rPr>
                <w:rFonts w:ascii="Book Antiqua" w:hAnsi="Book Antiqua" w:eastAsia="Times New Roman" w:cs="Calibri"/>
                <w:color w:val="000000"/>
                <w:lang w:val="pl-PL" w:eastAsia="pl-PL"/>
              </w:rPr>
              <w:t>2004</w:t>
            </w:r>
          </w:p>
        </w:tc>
        <w:tc>
          <w:tcPr>
            <w:tcW w:w="3241"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Initiation of hemodialysis therapy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val="pl-PL" w:eastAsia="pl-PL"/>
              </w:rPr>
            </w:pPr>
            <w:r>
              <w:rPr>
                <w:rFonts w:ascii="Book Antiqua" w:hAnsi="Book Antiqua" w:eastAsia="Times New Roman" w:cs="Calibri"/>
                <w:color w:val="000000"/>
                <w:lang w:val="pl-PL" w:eastAsia="pl-PL"/>
              </w:rPr>
              <w:t>2005</w:t>
            </w:r>
          </w:p>
        </w:tc>
        <w:tc>
          <w:tcPr>
            <w:tcW w:w="3241"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Kidney transplantation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October 2020</w:t>
            </w:r>
          </w:p>
        </w:tc>
        <w:tc>
          <w:tcPr>
            <w:tcW w:w="3241"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Recurrent abdominal pain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January 26, 2021</w:t>
            </w:r>
          </w:p>
        </w:tc>
        <w:tc>
          <w:tcPr>
            <w:tcW w:w="3241"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val="en-GB" w:eastAsia="pl-PL"/>
              </w:rPr>
              <w:t>Right hemicolectomy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February 2021</w:t>
            </w:r>
          </w:p>
        </w:tc>
        <w:tc>
          <w:tcPr>
            <w:tcW w:w="3241" w:type="pct"/>
          </w:tcPr>
          <w:p>
            <w:pPr>
              <w:spacing w:line="360" w:lineRule="auto"/>
              <w:jc w:val="both"/>
              <w:rPr>
                <w:rFonts w:ascii="Book Antiqua" w:hAnsi="Book Antiqua" w:eastAsia="Times New Roman" w:cs="Calibri"/>
                <w:color w:val="000000"/>
                <w:lang w:val="en-GB" w:eastAsia="pl-PL"/>
              </w:rPr>
            </w:pPr>
            <w:r>
              <w:rPr>
                <w:rFonts w:ascii="Book Antiqua" w:hAnsi="Book Antiqua" w:eastAsia="Times New Roman" w:cs="Calibri"/>
                <w:color w:val="000000"/>
                <w:lang w:val="en-GB" w:eastAsia="pl-PL"/>
              </w:rPr>
              <w:t>Initiation of adjuvant chemotherapy (FOLFOX-4)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February 25, 2021</w:t>
            </w:r>
          </w:p>
        </w:tc>
        <w:tc>
          <w:tcPr>
            <w:tcW w:w="3241" w:type="pct"/>
          </w:tcPr>
          <w:p>
            <w:pPr>
              <w:spacing w:line="360" w:lineRule="auto"/>
              <w:jc w:val="both"/>
              <w:rPr>
                <w:rFonts w:ascii="Book Antiqua" w:hAnsi="Book Antiqua" w:eastAsia="Times New Roman" w:cs="Calibri"/>
                <w:color w:val="000000"/>
                <w:lang w:val="en-GB" w:eastAsia="pl-PL"/>
              </w:rPr>
            </w:pPr>
            <w:r>
              <w:rPr>
                <w:rFonts w:ascii="Book Antiqua" w:hAnsi="Book Antiqua" w:eastAsia="Times New Roman" w:cs="Calibri"/>
                <w:color w:val="000000"/>
                <w:lang w:val="en-GB" w:eastAsia="pl-PL"/>
              </w:rPr>
              <w:t>Abdominal laceration abscess surgery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March 17 to 19, 2021</w:t>
            </w:r>
          </w:p>
        </w:tc>
        <w:tc>
          <w:tcPr>
            <w:tcW w:w="3241" w:type="pct"/>
          </w:tcPr>
          <w:p>
            <w:pPr>
              <w:spacing w:line="360" w:lineRule="auto"/>
              <w:jc w:val="both"/>
              <w:rPr>
                <w:rFonts w:ascii="Book Antiqua" w:hAnsi="Book Antiqua" w:eastAsia="Times New Roman" w:cs="Calibri"/>
                <w:color w:val="000000"/>
                <w:lang w:val="en-GB" w:eastAsia="pl-PL"/>
              </w:rPr>
            </w:pPr>
            <w:r>
              <w:rPr>
                <w:rFonts w:ascii="Book Antiqua" w:hAnsi="Book Antiqua" w:eastAsia="Times New Roman" w:cs="Calibri"/>
                <w:color w:val="000000"/>
                <w:lang w:val="en-GB" w:eastAsia="pl-PL"/>
              </w:rPr>
              <w:t>1st FOLFOX-4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April 1, 2021</w:t>
            </w:r>
          </w:p>
        </w:tc>
        <w:tc>
          <w:tcPr>
            <w:tcW w:w="3241" w:type="pct"/>
          </w:tcPr>
          <w:p>
            <w:pPr>
              <w:spacing w:line="360" w:lineRule="auto"/>
              <w:jc w:val="both"/>
              <w:rPr>
                <w:rFonts w:ascii="Book Antiqua" w:hAnsi="Book Antiqua" w:eastAsia="Times New Roman" w:cs="Calibri"/>
                <w:color w:val="000000"/>
                <w:lang w:val="en-GB" w:eastAsia="pl-PL"/>
              </w:rPr>
            </w:pPr>
            <w:r>
              <w:rPr>
                <w:rFonts w:ascii="Book Antiqua" w:hAnsi="Book Antiqua" w:eastAsia="Times New Roman" w:cs="Calibri"/>
                <w:color w:val="000000"/>
                <w:lang w:val="en-GB" w:eastAsia="pl-PL"/>
              </w:rPr>
              <w:t>2nd FOLFOX-4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April 19, 2021</w:t>
            </w:r>
          </w:p>
        </w:tc>
        <w:tc>
          <w:tcPr>
            <w:tcW w:w="3241" w:type="pct"/>
          </w:tcPr>
          <w:p>
            <w:pPr>
              <w:spacing w:line="360" w:lineRule="auto"/>
              <w:jc w:val="both"/>
              <w:rPr>
                <w:rFonts w:ascii="Book Antiqua" w:hAnsi="Book Antiqua" w:eastAsia="Times New Roman" w:cs="Calibri"/>
                <w:color w:val="000000"/>
                <w:lang w:val="en-GB" w:eastAsia="pl-PL"/>
              </w:rPr>
            </w:pPr>
            <w:r>
              <w:rPr>
                <w:rFonts w:ascii="Book Antiqua" w:hAnsi="Book Antiqua" w:eastAsia="Times New Roman" w:cs="Calibri"/>
                <w:color w:val="000000"/>
                <w:lang w:val="en-GB" w:eastAsia="pl-PL"/>
              </w:rPr>
              <w:t>Postponement of chemotherapy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May 5, 2021</w:t>
            </w:r>
          </w:p>
        </w:tc>
        <w:tc>
          <w:tcPr>
            <w:tcW w:w="3241" w:type="pct"/>
          </w:tcPr>
          <w:p>
            <w:pPr>
              <w:spacing w:line="360" w:lineRule="auto"/>
              <w:jc w:val="both"/>
              <w:rPr>
                <w:rFonts w:ascii="Book Antiqua" w:hAnsi="Book Antiqua" w:eastAsia="Times New Roman" w:cs="Calibri"/>
                <w:color w:val="000000"/>
                <w:lang w:val="en-GB" w:eastAsia="pl-PL"/>
              </w:rPr>
            </w:pPr>
            <w:r>
              <w:rPr>
                <w:rFonts w:ascii="Book Antiqua" w:hAnsi="Book Antiqua" w:eastAsia="Times New Roman" w:cs="Calibri"/>
                <w:color w:val="000000"/>
                <w:lang w:val="en-GB" w:eastAsia="pl-PL"/>
              </w:rPr>
              <w:t>Postponement of chemotherapy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May 14, 2021</w:t>
            </w:r>
          </w:p>
        </w:tc>
        <w:tc>
          <w:tcPr>
            <w:tcW w:w="3241" w:type="pct"/>
          </w:tcPr>
          <w:p>
            <w:pPr>
              <w:spacing w:line="360" w:lineRule="auto"/>
              <w:jc w:val="both"/>
              <w:rPr>
                <w:rFonts w:ascii="Book Antiqua" w:hAnsi="Book Antiqua" w:eastAsia="Times New Roman" w:cs="Calibri"/>
                <w:color w:val="000000"/>
                <w:lang w:val="en-GB" w:eastAsia="pl-PL"/>
              </w:rPr>
            </w:pPr>
            <w:r>
              <w:rPr>
                <w:rFonts w:ascii="Book Antiqua" w:hAnsi="Book Antiqua" w:eastAsia="Times New Roman" w:cs="Calibri"/>
                <w:color w:val="000000"/>
                <w:lang w:val="en-GB" w:eastAsia="pl-PL"/>
              </w:rPr>
              <w:t>Adjuvant chemotherapy termination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June 1, 2021</w:t>
            </w:r>
          </w:p>
        </w:tc>
        <w:tc>
          <w:tcPr>
            <w:tcW w:w="3241" w:type="pct"/>
          </w:tcPr>
          <w:p>
            <w:pPr>
              <w:spacing w:line="360" w:lineRule="auto"/>
              <w:jc w:val="both"/>
              <w:rPr>
                <w:rFonts w:ascii="Book Antiqua" w:hAnsi="Book Antiqua" w:eastAsia="Times New Roman" w:cs="Calibri"/>
                <w:color w:val="000000"/>
                <w:lang w:val="en-GB" w:eastAsia="pl-PL"/>
              </w:rPr>
            </w:pPr>
            <w:r>
              <w:rPr>
                <w:rFonts w:ascii="Book Antiqua" w:hAnsi="Book Antiqua" w:eastAsia="Times New Roman" w:cs="Calibri"/>
                <w:color w:val="000000"/>
                <w:lang w:val="en-GB" w:eastAsia="pl-PL"/>
              </w:rPr>
              <w:t>Kidney graft biopsy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June 17, 2021</w:t>
            </w:r>
          </w:p>
        </w:tc>
        <w:tc>
          <w:tcPr>
            <w:tcW w:w="3241" w:type="pct"/>
          </w:tcPr>
          <w:p>
            <w:pPr>
              <w:spacing w:line="360" w:lineRule="auto"/>
              <w:jc w:val="both"/>
              <w:rPr>
                <w:rFonts w:ascii="Book Antiqua" w:hAnsi="Book Antiqua" w:eastAsia="Times New Roman" w:cs="Calibri"/>
                <w:color w:val="000000"/>
                <w:lang w:val="en-GB" w:eastAsia="pl-PL"/>
              </w:rPr>
            </w:pPr>
            <w:r>
              <w:rPr>
                <w:rFonts w:ascii="Book Antiqua" w:hAnsi="Book Antiqua" w:eastAsia="Times New Roman" w:cs="Calibri"/>
                <w:color w:val="000000"/>
                <w:lang w:eastAsia="pl-PL"/>
              </w:rPr>
              <w:t>First CT of the abdomen and pelvis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September 30, 2021</w:t>
            </w:r>
          </w:p>
        </w:tc>
        <w:tc>
          <w:tcPr>
            <w:tcW w:w="3241"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Second CT of the abdomen and pelvis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October 28, 2021</w:t>
            </w:r>
          </w:p>
        </w:tc>
        <w:tc>
          <w:tcPr>
            <w:tcW w:w="3241"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Surgical creation of an arteriovenous shunt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val="en-GB" w:eastAsia="pl-PL"/>
              </w:rPr>
              <w:t>October 29, 2021</w:t>
            </w:r>
          </w:p>
        </w:tc>
        <w:tc>
          <w:tcPr>
            <w:tcW w:w="3241"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val="pl-PL" w:eastAsia="pl-PL"/>
              </w:rPr>
              <w:t>PET-CT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val="en-GB" w:eastAsia="pl-PL"/>
              </w:rPr>
            </w:pPr>
            <w:r>
              <w:rPr>
                <w:rFonts w:ascii="Book Antiqua" w:hAnsi="Book Antiqua" w:eastAsia="Times New Roman" w:cs="Calibri"/>
                <w:color w:val="000000"/>
                <w:lang w:val="en-GB" w:eastAsia="pl-PL"/>
              </w:rPr>
              <w:t>December 8, 2021</w:t>
            </w:r>
          </w:p>
        </w:tc>
        <w:tc>
          <w:tcPr>
            <w:tcW w:w="3241"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Initiation of hemodialysis therapy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59" w:type="pct"/>
          </w:tcPr>
          <w:p>
            <w:pPr>
              <w:spacing w:line="360" w:lineRule="auto"/>
              <w:jc w:val="both"/>
              <w:rPr>
                <w:rFonts w:ascii="Book Antiqua" w:hAnsi="Book Antiqua" w:eastAsia="Times New Roman" w:cs="Calibri"/>
                <w:color w:val="000000"/>
                <w:lang w:val="en-GB" w:eastAsia="pl-PL"/>
              </w:rPr>
            </w:pPr>
            <w:r>
              <w:rPr>
                <w:rFonts w:ascii="Book Antiqua" w:hAnsi="Book Antiqua" w:eastAsia="Times New Roman" w:cs="Calibri"/>
                <w:color w:val="000000"/>
                <w:lang w:val="en-GB" w:eastAsia="pl-PL"/>
              </w:rPr>
              <w:t>December 21, 2021</w:t>
            </w:r>
          </w:p>
        </w:tc>
        <w:tc>
          <w:tcPr>
            <w:tcW w:w="3241" w:type="pct"/>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Initiation of palliative chemotherapy (FOLFOX-4)</w:t>
            </w:r>
          </w:p>
        </w:tc>
      </w:tr>
    </w:tbl>
    <w:p>
      <w:pPr>
        <w:spacing w:line="360" w:lineRule="auto"/>
        <w:jc w:val="both"/>
        <w:rPr>
          <w:rFonts w:ascii="Book Antiqua" w:hAnsi="Book Antiqua"/>
          <w:lang w:eastAsia="zh-CN"/>
        </w:rPr>
      </w:pPr>
      <w:r>
        <w:rPr>
          <w:rFonts w:ascii="Book Antiqua" w:hAnsi="Book Antiqua" w:eastAsia="Times New Roman" w:cs="Calibri"/>
          <w:color w:val="000000"/>
          <w:lang w:eastAsia="pl-PL"/>
        </w:rPr>
        <w:t>CT</w:t>
      </w:r>
      <w:r>
        <w:rPr>
          <w:rFonts w:ascii="Book Antiqua" w:hAnsi="Book Antiqua" w:cs="Calibri"/>
          <w:color w:val="000000"/>
          <w:lang w:eastAsia="zh-CN"/>
        </w:rPr>
        <w:t>:</w:t>
      </w:r>
      <w:r>
        <w:rPr>
          <w:rFonts w:ascii="Book Antiqua" w:hAnsi="Book Antiqua" w:eastAsia="Times New Roman" w:cs="Calibri"/>
          <w:color w:val="000000"/>
          <w:lang w:eastAsia="pl-PL"/>
        </w:rPr>
        <w:t xml:space="preserve"> </w:t>
      </w:r>
      <w:r>
        <w:rPr>
          <w:rFonts w:ascii="Book Antiqua" w:hAnsi="Book Antiqua" w:cs="Calibri"/>
          <w:color w:val="000000"/>
          <w:lang w:eastAsia="zh-CN"/>
        </w:rPr>
        <w:t>C</w:t>
      </w:r>
      <w:r>
        <w:rPr>
          <w:rFonts w:ascii="Book Antiqua" w:hAnsi="Book Antiqua" w:eastAsia="Times New Roman" w:cs="Calibri"/>
          <w:color w:val="000000"/>
          <w:lang w:eastAsia="pl-PL"/>
        </w:rPr>
        <w:t>omputed tomography; PET–CT</w:t>
      </w:r>
      <w:r>
        <w:rPr>
          <w:rFonts w:ascii="Book Antiqua" w:hAnsi="Book Antiqua" w:cs="Calibri"/>
          <w:color w:val="000000"/>
          <w:lang w:eastAsia="zh-CN"/>
        </w:rPr>
        <w:t>:</w:t>
      </w:r>
      <w:r>
        <w:rPr>
          <w:rFonts w:ascii="Book Antiqua" w:hAnsi="Book Antiqua" w:eastAsia="Times New Roman" w:cs="Calibri"/>
          <w:color w:val="000000"/>
          <w:lang w:eastAsia="pl-PL"/>
        </w:rPr>
        <w:t xml:space="preserve"> </w:t>
      </w:r>
      <w:r>
        <w:rPr>
          <w:rFonts w:ascii="Book Antiqua" w:hAnsi="Book Antiqua" w:cs="Calibri"/>
          <w:color w:val="000000"/>
          <w:lang w:eastAsia="zh-CN"/>
        </w:rPr>
        <w:t>P</w:t>
      </w:r>
      <w:r>
        <w:rPr>
          <w:rFonts w:ascii="Book Antiqua" w:hAnsi="Book Antiqua" w:eastAsia="Times New Roman" w:cs="Calibri"/>
          <w:color w:val="000000"/>
          <w:lang w:eastAsia="pl-PL"/>
        </w:rPr>
        <w:t>ositron emission tomography–computed tomography</w:t>
      </w:r>
      <w:r>
        <w:rPr>
          <w:rFonts w:ascii="Book Antiqua" w:hAnsi="Book Antiqua" w:cs="Calibri"/>
          <w:color w:val="000000"/>
          <w:lang w:eastAsia="zh-CN"/>
        </w:rPr>
        <w:t>.</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lang w:val="en-GB" w:eastAsia="zh-CN"/>
        </w:rPr>
      </w:pPr>
      <w:r>
        <w:rPr>
          <w:rFonts w:ascii="Book Antiqua" w:hAnsi="Book Antiqua"/>
          <w:b/>
          <w:lang w:val="en-GB"/>
        </w:rPr>
        <w:t>Table 2 Clinical characteristics of kidney transplant patients treated with adjuvant (</w:t>
      </w:r>
      <w:r>
        <w:rPr>
          <w:rFonts w:ascii="Book Antiqua" w:hAnsi="Book Antiqua"/>
          <w:b/>
          <w:i/>
          <w:lang w:val="en-GB" w:eastAsia="zh-CN"/>
        </w:rPr>
        <w:t>n</w:t>
      </w:r>
      <w:r>
        <w:rPr>
          <w:rFonts w:ascii="Book Antiqua" w:hAnsi="Book Antiqua"/>
          <w:b/>
          <w:lang w:val="en-GB" w:eastAsia="zh-CN"/>
        </w:rPr>
        <w:t xml:space="preserve"> </w:t>
      </w:r>
      <w:r>
        <w:rPr>
          <w:rFonts w:ascii="Book Antiqua" w:hAnsi="Book Antiqua"/>
          <w:b/>
          <w:lang w:val="en-GB"/>
        </w:rPr>
        <w:t>=</w:t>
      </w:r>
      <w:r>
        <w:rPr>
          <w:rFonts w:ascii="Book Antiqua" w:hAnsi="Book Antiqua"/>
          <w:b/>
          <w:lang w:val="en-GB" w:eastAsia="zh-CN"/>
        </w:rPr>
        <w:t xml:space="preserve"> </w:t>
      </w:r>
      <w:r>
        <w:rPr>
          <w:rFonts w:ascii="Book Antiqua" w:hAnsi="Book Antiqua"/>
          <w:b/>
          <w:lang w:val="en-GB"/>
        </w:rPr>
        <w:t>7) and palliative chemotherapy (</w:t>
      </w:r>
      <w:r>
        <w:rPr>
          <w:rFonts w:ascii="Book Antiqua" w:hAnsi="Book Antiqua"/>
          <w:b/>
          <w:i/>
          <w:lang w:val="en-GB" w:eastAsia="zh-CN"/>
        </w:rPr>
        <w:t>n</w:t>
      </w:r>
      <w:r>
        <w:rPr>
          <w:rFonts w:ascii="Book Antiqua" w:hAnsi="Book Antiqua"/>
          <w:b/>
          <w:lang w:val="en-GB"/>
        </w:rPr>
        <w:t xml:space="preserve"> =</w:t>
      </w:r>
      <w:r>
        <w:rPr>
          <w:rFonts w:ascii="Book Antiqua" w:hAnsi="Book Antiqua"/>
          <w:b/>
          <w:lang w:val="en-GB" w:eastAsia="zh-CN"/>
        </w:rPr>
        <w:t xml:space="preserve"> </w:t>
      </w:r>
      <w:r>
        <w:rPr>
          <w:rFonts w:ascii="Book Antiqua" w:hAnsi="Book Antiqua"/>
          <w:b/>
          <w:lang w:val="en-GB"/>
        </w:rPr>
        <w:t>5) for colorectal cancer</w:t>
      </w:r>
    </w:p>
    <w:tbl>
      <w:tblPr>
        <w:tblStyle w:val="7"/>
        <w:tblW w:w="5654" w:type="pct"/>
        <w:tblInd w:w="-639"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70" w:type="dxa"/>
          <w:bottom w:w="0" w:type="dxa"/>
          <w:right w:w="70" w:type="dxa"/>
        </w:tblCellMar>
      </w:tblPr>
      <w:tblGrid>
        <w:gridCol w:w="1419"/>
        <w:gridCol w:w="853"/>
        <w:gridCol w:w="709"/>
        <w:gridCol w:w="1277"/>
        <w:gridCol w:w="1985"/>
        <w:gridCol w:w="2018"/>
        <w:gridCol w:w="847"/>
        <w:gridCol w:w="960"/>
        <w:gridCol w:w="1582"/>
        <w:gridCol w:w="968"/>
        <w:gridCol w:w="999"/>
        <w:gridCol w:w="119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color w:val="000000"/>
                <w:lang w:eastAsia="pl-PL"/>
              </w:rPr>
            </w:pPr>
            <w:r>
              <w:rPr>
                <w:rFonts w:ascii="Book Antiqua" w:hAnsi="Book Antiqua" w:eastAsia="Times New Roman" w:cs="Calibri"/>
                <w:b/>
                <w:color w:val="000000"/>
                <w:lang w:eastAsia="pl-PL"/>
              </w:rPr>
              <w:t>Refs</w:t>
            </w:r>
          </w:p>
        </w:tc>
        <w:tc>
          <w:tcPr>
            <w:tcW w:w="288"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color w:val="000000"/>
                <w:lang w:eastAsia="pl-PL"/>
              </w:rPr>
            </w:pPr>
            <w:r>
              <w:rPr>
                <w:rFonts w:ascii="Book Antiqua" w:hAnsi="Book Antiqua" w:eastAsia="Times New Roman" w:cs="Calibri"/>
                <w:b/>
                <w:color w:val="000000"/>
                <w:lang w:eastAsia="pl-PL"/>
              </w:rPr>
              <w:t>Patients</w:t>
            </w:r>
          </w:p>
        </w:tc>
        <w:tc>
          <w:tcPr>
            <w:tcW w:w="239" w:type="pct"/>
            <w:tcBorders>
              <w:top w:val="single" w:color="auto" w:sz="4" w:space="0"/>
              <w:bottom w:val="single" w:color="auto" w:sz="4" w:space="0"/>
            </w:tcBorders>
            <w:shd w:val="clear" w:color="auto" w:fill="auto"/>
          </w:tcPr>
          <w:p>
            <w:pPr>
              <w:spacing w:line="360" w:lineRule="auto"/>
              <w:jc w:val="both"/>
              <w:rPr>
                <w:rFonts w:ascii="Book Antiqua" w:hAnsi="Book Antiqua" w:eastAsia="Times New Roman" w:cs="Calibri"/>
                <w:b/>
                <w:color w:val="000000"/>
                <w:lang w:eastAsia="pl-PL"/>
              </w:rPr>
            </w:pPr>
            <w:r>
              <w:rPr>
                <w:rFonts w:ascii="Book Antiqua" w:hAnsi="Book Antiqua" w:eastAsia="Times New Roman" w:cs="Calibri"/>
                <w:b/>
                <w:color w:val="000000"/>
                <w:lang w:eastAsia="pl-PL"/>
              </w:rPr>
              <w:t>Sex</w:t>
            </w:r>
          </w:p>
        </w:tc>
        <w:tc>
          <w:tcPr>
            <w:tcW w:w="431"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color w:val="000000"/>
                <w:lang w:eastAsia="pl-PL"/>
              </w:rPr>
            </w:pPr>
            <w:r>
              <w:rPr>
                <w:rFonts w:ascii="Book Antiqua" w:hAnsi="Book Antiqua" w:eastAsia="Times New Roman" w:cs="Calibri"/>
                <w:b/>
                <w:color w:val="000000"/>
                <w:lang w:eastAsia="pl-PL"/>
              </w:rPr>
              <w:t>Age at diagnosis, yr</w:t>
            </w:r>
          </w:p>
        </w:tc>
        <w:tc>
          <w:tcPr>
            <w:tcW w:w="670"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color w:val="000000"/>
                <w:lang w:eastAsia="pl-PL"/>
              </w:rPr>
            </w:pPr>
            <w:r>
              <w:rPr>
                <w:rFonts w:ascii="Book Antiqua" w:hAnsi="Book Antiqua" w:eastAsia="Times New Roman" w:cs="Calibri"/>
                <w:b/>
                <w:color w:val="000000"/>
                <w:lang w:eastAsia="pl-PL"/>
              </w:rPr>
              <w:t>Clinical stage</w:t>
            </w:r>
          </w:p>
        </w:tc>
        <w:tc>
          <w:tcPr>
            <w:tcW w:w="681"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color w:val="000000"/>
                <w:lang w:eastAsia="pl-PL"/>
              </w:rPr>
            </w:pPr>
            <w:r>
              <w:rPr>
                <w:rFonts w:ascii="Book Antiqua" w:hAnsi="Book Antiqua" w:eastAsia="Times New Roman" w:cs="Calibri"/>
                <w:b/>
                <w:color w:val="000000"/>
                <w:lang w:eastAsia="pl-PL"/>
              </w:rPr>
              <w:t>Chemotherapy</w:t>
            </w:r>
          </w:p>
        </w:tc>
        <w:tc>
          <w:tcPr>
            <w:tcW w:w="286"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color w:val="000000"/>
                <w:lang w:eastAsia="pl-PL"/>
              </w:rPr>
            </w:pPr>
            <w:r>
              <w:rPr>
                <w:rFonts w:ascii="Book Antiqua" w:hAnsi="Book Antiqua" w:eastAsia="Times New Roman" w:cs="Calibri"/>
                <w:b/>
                <w:color w:val="000000"/>
                <w:lang w:eastAsia="pl-PL"/>
              </w:rPr>
              <w:t>Cycles</w:t>
            </w:r>
          </w:p>
        </w:tc>
        <w:tc>
          <w:tcPr>
            <w:tcW w:w="324"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color w:val="000000"/>
                <w:lang w:eastAsia="pl-PL"/>
              </w:rPr>
            </w:pPr>
            <w:r>
              <w:rPr>
                <w:rFonts w:ascii="Book Antiqua" w:hAnsi="Book Antiqua" w:eastAsia="Times New Roman" w:cs="Calibri"/>
                <w:b/>
                <w:color w:val="000000"/>
                <w:lang w:eastAsia="pl-PL"/>
              </w:rPr>
              <w:t>Graft loss</w:t>
            </w:r>
          </w:p>
        </w:tc>
        <w:tc>
          <w:tcPr>
            <w:tcW w:w="534"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color w:val="000000"/>
                <w:lang w:eastAsia="pl-PL"/>
              </w:rPr>
            </w:pPr>
            <w:r>
              <w:rPr>
                <w:rFonts w:ascii="Book Antiqua" w:hAnsi="Book Antiqua" w:eastAsia="Times New Roman" w:cs="Calibri"/>
                <w:b/>
                <w:color w:val="000000"/>
                <w:lang w:eastAsia="pl-PL"/>
              </w:rPr>
              <w:t>ADR</w:t>
            </w:r>
          </w:p>
        </w:tc>
        <w:tc>
          <w:tcPr>
            <w:tcW w:w="327"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color w:val="000000"/>
                <w:lang w:eastAsia="pl-PL"/>
              </w:rPr>
            </w:pPr>
            <w:r>
              <w:rPr>
                <w:rFonts w:ascii="Book Antiqua" w:hAnsi="Book Antiqua" w:eastAsia="Times New Roman" w:cs="Calibri"/>
                <w:b/>
                <w:color w:val="000000"/>
                <w:lang w:eastAsia="pl-PL"/>
              </w:rPr>
              <w:t>Response</w:t>
            </w:r>
          </w:p>
        </w:tc>
        <w:tc>
          <w:tcPr>
            <w:tcW w:w="337"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color w:val="000000"/>
                <w:lang w:eastAsia="pl-PL"/>
              </w:rPr>
            </w:pPr>
            <w:r>
              <w:rPr>
                <w:rFonts w:ascii="Book Antiqua" w:hAnsi="Book Antiqua" w:eastAsia="Times New Roman" w:cs="Calibri"/>
                <w:b/>
                <w:color w:val="000000"/>
                <w:lang w:eastAsia="pl-PL"/>
              </w:rPr>
              <w:t>DFS/PFS (mo)</w:t>
            </w:r>
          </w:p>
        </w:tc>
        <w:tc>
          <w:tcPr>
            <w:tcW w:w="405" w:type="pct"/>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color w:val="000000"/>
                <w:lang w:eastAsia="pl-PL"/>
              </w:rPr>
            </w:pPr>
            <w:r>
              <w:rPr>
                <w:rFonts w:ascii="Book Antiqua" w:hAnsi="Book Antiqua" w:eastAsia="Times New Roman" w:cs="Calibri"/>
                <w:b/>
                <w:color w:val="000000"/>
                <w:lang w:eastAsia="pl-PL"/>
              </w:rPr>
              <w:t>OS (mo)</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vMerge w:val="restart"/>
            <w:tcBorders>
              <w:top w:val="single" w:color="auto" w:sz="4" w:space="0"/>
            </w:tcBorders>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 xml:space="preserve">Kim </w:t>
            </w:r>
            <w:r>
              <w:rPr>
                <w:rFonts w:ascii="Book Antiqua" w:hAnsi="Book Antiqua" w:eastAsia="Times New Roman" w:cs="Calibri"/>
                <w:i/>
                <w:color w:val="000000"/>
                <w:lang w:eastAsia="pl-PL"/>
              </w:rPr>
              <w:t>et al</w:t>
            </w:r>
            <w:r>
              <w:rPr>
                <w:rFonts w:ascii="Book Antiqua" w:hAnsi="Book Antiqua" w:eastAsia="Times New Roman" w:cs="Calibri"/>
                <w:color w:val="000000"/>
                <w:vertAlign w:val="superscript"/>
                <w:lang w:eastAsia="pl-PL"/>
              </w:rPr>
              <w:t>[5]</w:t>
            </w:r>
          </w:p>
        </w:tc>
        <w:tc>
          <w:tcPr>
            <w:tcW w:w="288" w:type="pct"/>
            <w:vMerge w:val="restart"/>
            <w:tcBorders>
              <w:top w:val="single" w:color="auto" w:sz="4" w:space="0"/>
            </w:tcBorders>
            <w:shd w:val="clear" w:color="auto" w:fill="auto"/>
            <w:noWrap/>
          </w:tcPr>
          <w:p>
            <w:pPr>
              <w:spacing w:line="360" w:lineRule="auto"/>
              <w:jc w:val="both"/>
              <w:rPr>
                <w:rFonts w:ascii="Book Antiqua" w:hAnsi="Book Antiqua" w:cs="Calibri"/>
                <w:color w:val="000000"/>
                <w:lang w:eastAsia="zh-CN"/>
              </w:rPr>
            </w:pPr>
            <w:r>
              <w:rPr>
                <w:rFonts w:ascii="Book Antiqua" w:hAnsi="Book Antiqua" w:eastAsia="Times New Roman" w:cs="Calibri"/>
                <w:color w:val="000000"/>
                <w:lang w:eastAsia="pl-PL"/>
              </w:rPr>
              <w:t>5 of 17</w:t>
            </w:r>
            <w:r>
              <w:rPr>
                <w:rFonts w:hint="eastAsia" w:ascii="Book Antiqua" w:hAnsi="Book Antiqua" w:cs="Calibri"/>
                <w:color w:val="000000"/>
                <w:vertAlign w:val="superscript"/>
                <w:lang w:eastAsia="zh-CN"/>
              </w:rPr>
              <w:t>1</w:t>
            </w:r>
          </w:p>
        </w:tc>
        <w:tc>
          <w:tcPr>
            <w:tcW w:w="239" w:type="pct"/>
            <w:vMerge w:val="restart"/>
            <w:tcBorders>
              <w:top w:val="single" w:color="auto" w:sz="4" w:space="0"/>
            </w:tcBorders>
            <w:shd w:val="clear" w:color="auto" w:fill="auto"/>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6</w:t>
            </w:r>
            <w:r>
              <w:rPr>
                <w:rFonts w:hint="eastAsia" w:ascii="Book Antiqua" w:hAnsi="Book Antiqua" w:cs="Calibri"/>
                <w:color w:val="000000"/>
                <w:lang w:eastAsia="zh-CN"/>
              </w:rPr>
              <w:t xml:space="preserve"> </w:t>
            </w:r>
            <w:r>
              <w:rPr>
                <w:rFonts w:ascii="Book Antiqua" w:hAnsi="Book Antiqua" w:eastAsia="Times New Roman" w:cs="Calibri"/>
                <w:color w:val="000000"/>
                <w:lang w:eastAsia="pl-PL"/>
              </w:rPr>
              <w:t>W, 11</w:t>
            </w:r>
            <w:r>
              <w:rPr>
                <w:rFonts w:hint="eastAsia" w:ascii="Book Antiqua" w:hAnsi="Book Antiqua" w:cs="Calibri"/>
                <w:color w:val="000000"/>
                <w:lang w:eastAsia="zh-CN"/>
              </w:rPr>
              <w:t xml:space="preserve"> </w:t>
            </w:r>
            <w:r>
              <w:rPr>
                <w:rFonts w:ascii="Book Antiqua" w:hAnsi="Book Antiqua" w:eastAsia="Times New Roman" w:cs="Calibri"/>
                <w:color w:val="000000"/>
                <w:lang w:eastAsia="pl-PL"/>
              </w:rPr>
              <w:t>M</w:t>
            </w:r>
          </w:p>
        </w:tc>
        <w:tc>
          <w:tcPr>
            <w:tcW w:w="431" w:type="pct"/>
            <w:vMerge w:val="restart"/>
            <w:tcBorders>
              <w:top w:val="single" w:color="auto" w:sz="4" w:space="0"/>
            </w:tcBorders>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54</w:t>
            </w:r>
            <w:r>
              <w:rPr>
                <w:rFonts w:hint="eastAsia" w:ascii="Book Antiqua" w:hAnsi="Book Antiqua" w:cs="Calibri"/>
                <w:color w:val="000000"/>
                <w:lang w:eastAsia="zh-CN"/>
              </w:rPr>
              <w:t xml:space="preserve"> </w:t>
            </w:r>
            <w:r>
              <w:rPr>
                <w:rFonts w:ascii="Book Antiqua" w:hAnsi="Book Antiqua" w:eastAsia="Times New Roman"/>
                <w:color w:val="000000"/>
                <w:lang w:eastAsia="pl-PL"/>
              </w:rPr>
              <w:t>±</w:t>
            </w:r>
            <w:r>
              <w:rPr>
                <w:rFonts w:hint="eastAsia" w:ascii="Book Antiqua" w:hAnsi="Book Antiqua"/>
                <w:color w:val="000000"/>
                <w:lang w:eastAsia="zh-CN"/>
              </w:rPr>
              <w:t xml:space="preserve"> </w:t>
            </w:r>
            <w:r>
              <w:rPr>
                <w:rFonts w:ascii="Book Antiqua" w:hAnsi="Book Antiqua" w:eastAsia="Times New Roman" w:cs="Calibri"/>
                <w:color w:val="000000"/>
                <w:lang w:eastAsia="pl-PL"/>
              </w:rPr>
              <w:t>7</w:t>
            </w:r>
          </w:p>
        </w:tc>
        <w:tc>
          <w:tcPr>
            <w:tcW w:w="670" w:type="pct"/>
            <w:tcBorders>
              <w:top w:val="single" w:color="auto" w:sz="4" w:space="0"/>
            </w:tcBorders>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Stage 0 (</w:t>
            </w:r>
            <w:r>
              <w:rPr>
                <w:rFonts w:hint="eastAsia" w:ascii="Book Antiqua" w:hAnsi="Book Antiqua" w:cs="Calibri"/>
                <w:i/>
                <w:color w:val="000000"/>
                <w:lang w:eastAsia="zh-CN"/>
              </w:rPr>
              <w:t>n</w:t>
            </w:r>
            <w:r>
              <w:rPr>
                <w:rFonts w:hint="eastAsia" w:ascii="Book Antiqua" w:hAnsi="Book Antiqua" w:cs="Calibri"/>
                <w:color w:val="000000"/>
                <w:lang w:eastAsia="zh-CN"/>
              </w:rPr>
              <w:t xml:space="preserve"> </w:t>
            </w:r>
            <w:r>
              <w:rPr>
                <w:rFonts w:ascii="Book Antiqua" w:hAnsi="Book Antiqua" w:eastAsia="Times New Roman" w:cs="Calibri"/>
                <w:color w:val="000000"/>
                <w:lang w:eastAsia="pl-PL"/>
              </w:rPr>
              <w:t>=</w:t>
            </w:r>
            <w:r>
              <w:rPr>
                <w:rFonts w:hint="eastAsia" w:ascii="Book Antiqua" w:hAnsi="Book Antiqua" w:cs="Calibri"/>
                <w:color w:val="000000"/>
                <w:lang w:eastAsia="zh-CN"/>
              </w:rPr>
              <w:t xml:space="preserve"> </w:t>
            </w:r>
            <w:r>
              <w:rPr>
                <w:rFonts w:ascii="Book Antiqua" w:hAnsi="Book Antiqua" w:eastAsia="Times New Roman" w:cs="Calibri"/>
                <w:color w:val="000000"/>
                <w:lang w:eastAsia="pl-PL"/>
              </w:rPr>
              <w:t xml:space="preserve">2) </w:t>
            </w:r>
          </w:p>
        </w:tc>
        <w:tc>
          <w:tcPr>
            <w:tcW w:w="681" w:type="pct"/>
            <w:tcBorders>
              <w:top w:val="single" w:color="auto" w:sz="4" w:space="0"/>
            </w:tcBorders>
            <w:shd w:val="clear" w:color="auto" w:fill="auto"/>
            <w:noWrap/>
          </w:tcPr>
          <w:p>
            <w:pPr>
              <w:spacing w:line="360" w:lineRule="auto"/>
              <w:jc w:val="both"/>
              <w:rPr>
                <w:rFonts w:ascii="Book Antiqua" w:hAnsi="Book Antiqua" w:eastAsia="Times New Roman" w:cs="Calibri"/>
                <w:color w:val="000000"/>
                <w:lang w:eastAsia="pl-PL"/>
              </w:rPr>
            </w:pPr>
          </w:p>
        </w:tc>
        <w:tc>
          <w:tcPr>
            <w:tcW w:w="286" w:type="pct"/>
            <w:tcBorders>
              <w:top w:val="single" w:color="auto" w:sz="4" w:space="0"/>
            </w:tcBorders>
            <w:shd w:val="clear" w:color="auto" w:fill="auto"/>
            <w:noWrap/>
          </w:tcPr>
          <w:p>
            <w:pPr>
              <w:spacing w:line="360" w:lineRule="auto"/>
              <w:jc w:val="both"/>
              <w:rPr>
                <w:rFonts w:ascii="Book Antiqua" w:hAnsi="Book Antiqua" w:cs="Calibri"/>
                <w:color w:val="000000"/>
                <w:lang w:eastAsia="zh-CN"/>
              </w:rPr>
            </w:pPr>
          </w:p>
        </w:tc>
        <w:tc>
          <w:tcPr>
            <w:tcW w:w="324" w:type="pct"/>
            <w:tcBorders>
              <w:top w:val="single" w:color="auto" w:sz="4" w:space="0"/>
            </w:tcBorders>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Yes</w:t>
            </w:r>
            <w:r>
              <w:rPr>
                <w:rFonts w:ascii="Book Antiqua" w:hAnsi="Book Antiqua" w:cs="Calibri"/>
                <w:color w:val="000000"/>
                <w:lang w:eastAsia="zh-CN"/>
              </w:rPr>
              <w:t xml:space="preserve">, </w:t>
            </w:r>
            <w:r>
              <w:rPr>
                <w:rFonts w:ascii="Book Antiqua" w:hAnsi="Book Antiqua" w:eastAsia="Times New Roman" w:cs="Calibri"/>
                <w:color w:val="000000"/>
                <w:lang w:eastAsia="pl-PL"/>
              </w:rPr>
              <w:t>2 (within 1 yr)</w:t>
            </w:r>
          </w:p>
        </w:tc>
        <w:tc>
          <w:tcPr>
            <w:tcW w:w="534" w:type="pct"/>
            <w:tcBorders>
              <w:top w:val="single" w:color="auto" w:sz="4" w:space="0"/>
            </w:tcBorders>
            <w:shd w:val="clear" w:color="auto" w:fill="auto"/>
            <w:noWrap/>
          </w:tcPr>
          <w:p>
            <w:pPr>
              <w:spacing w:line="360" w:lineRule="auto"/>
              <w:jc w:val="both"/>
              <w:rPr>
                <w:rFonts w:ascii="Book Antiqua" w:hAnsi="Book Antiqua" w:cs="Calibri"/>
                <w:color w:val="000000"/>
                <w:lang w:eastAsia="zh-CN"/>
              </w:rPr>
            </w:pPr>
          </w:p>
        </w:tc>
        <w:tc>
          <w:tcPr>
            <w:tcW w:w="327" w:type="pct"/>
            <w:tcBorders>
              <w:top w:val="single" w:color="auto" w:sz="4" w:space="0"/>
            </w:tcBorders>
            <w:shd w:val="clear" w:color="auto" w:fill="auto"/>
            <w:noWrap/>
          </w:tcPr>
          <w:p>
            <w:pPr>
              <w:spacing w:line="360" w:lineRule="auto"/>
              <w:jc w:val="both"/>
              <w:rPr>
                <w:rFonts w:ascii="Book Antiqua" w:hAnsi="Book Antiqua" w:cs="Calibri"/>
                <w:color w:val="000000"/>
                <w:lang w:eastAsia="zh-CN"/>
              </w:rPr>
            </w:pPr>
          </w:p>
        </w:tc>
        <w:tc>
          <w:tcPr>
            <w:tcW w:w="337" w:type="pct"/>
            <w:tcBorders>
              <w:top w:val="single" w:color="auto" w:sz="4" w:space="0"/>
            </w:tcBorders>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25.1</w:t>
            </w:r>
            <w:r>
              <w:rPr>
                <w:rFonts w:ascii="Book Antiqua" w:hAnsi="Book Antiqua" w:cs="Calibri"/>
                <w:color w:val="000000"/>
                <w:lang w:eastAsia="zh-CN"/>
              </w:rPr>
              <w:t xml:space="preserve"> </w:t>
            </w:r>
            <w:r>
              <w:rPr>
                <w:rFonts w:ascii="Book Antiqua" w:hAnsi="Book Antiqua" w:eastAsia="Times New Roman"/>
                <w:color w:val="000000"/>
                <w:lang w:eastAsia="pl-PL"/>
              </w:rPr>
              <w:t>±</w:t>
            </w:r>
            <w:r>
              <w:rPr>
                <w:rFonts w:ascii="Book Antiqua" w:hAnsi="Book Antiqua" w:cs="Calibri"/>
                <w:color w:val="000000"/>
                <w:lang w:eastAsia="zh-CN"/>
              </w:rPr>
              <w:t xml:space="preserve"> </w:t>
            </w:r>
            <w:r>
              <w:rPr>
                <w:rFonts w:ascii="Book Antiqua" w:hAnsi="Book Antiqua" w:eastAsia="Times New Roman" w:cs="Calibri"/>
                <w:color w:val="000000"/>
                <w:lang w:eastAsia="pl-PL"/>
              </w:rPr>
              <w:t>9.2</w:t>
            </w:r>
          </w:p>
        </w:tc>
        <w:tc>
          <w:tcPr>
            <w:tcW w:w="405" w:type="pct"/>
            <w:tcBorders>
              <w:top w:val="single" w:color="auto" w:sz="4" w:space="0"/>
            </w:tcBorders>
            <w:shd w:val="clear" w:color="auto" w:fill="auto"/>
            <w:noWrap/>
          </w:tcPr>
          <w:p>
            <w:pPr>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vMerge w:val="continue"/>
            <w:shd w:val="clear" w:color="auto" w:fill="auto"/>
            <w:noWrap/>
          </w:tcPr>
          <w:p>
            <w:pPr>
              <w:spacing w:line="360" w:lineRule="auto"/>
              <w:jc w:val="both"/>
              <w:rPr>
                <w:rFonts w:ascii="Book Antiqua" w:hAnsi="Book Antiqua" w:cs="Calibri"/>
                <w:color w:val="000000"/>
                <w:lang w:eastAsia="zh-CN"/>
              </w:rPr>
            </w:pPr>
          </w:p>
        </w:tc>
        <w:tc>
          <w:tcPr>
            <w:tcW w:w="288" w:type="pct"/>
            <w:vMerge w:val="continue"/>
            <w:shd w:val="clear" w:color="auto" w:fill="auto"/>
            <w:noWrap/>
          </w:tcPr>
          <w:p>
            <w:pPr>
              <w:spacing w:line="360" w:lineRule="auto"/>
              <w:jc w:val="both"/>
              <w:rPr>
                <w:rFonts w:ascii="Book Antiqua" w:hAnsi="Book Antiqua" w:cs="Calibri"/>
                <w:color w:val="000000"/>
                <w:lang w:eastAsia="zh-CN"/>
              </w:rPr>
            </w:pPr>
          </w:p>
        </w:tc>
        <w:tc>
          <w:tcPr>
            <w:tcW w:w="239" w:type="pct"/>
            <w:vMerge w:val="continue"/>
            <w:shd w:val="clear" w:color="auto" w:fill="auto"/>
          </w:tcPr>
          <w:p>
            <w:pPr>
              <w:spacing w:line="360" w:lineRule="auto"/>
              <w:jc w:val="both"/>
              <w:rPr>
                <w:rFonts w:ascii="Book Antiqua" w:hAnsi="Book Antiqua" w:cs="Calibri"/>
                <w:color w:val="000000"/>
                <w:lang w:eastAsia="zh-CN"/>
              </w:rPr>
            </w:pPr>
          </w:p>
        </w:tc>
        <w:tc>
          <w:tcPr>
            <w:tcW w:w="431" w:type="pct"/>
            <w:vMerge w:val="continue"/>
            <w:shd w:val="clear" w:color="auto" w:fill="auto"/>
            <w:noWrap/>
          </w:tcPr>
          <w:p>
            <w:pPr>
              <w:spacing w:line="360" w:lineRule="auto"/>
              <w:jc w:val="both"/>
              <w:rPr>
                <w:rFonts w:ascii="Book Antiqua" w:hAnsi="Book Antiqua" w:cs="Calibri"/>
                <w:color w:val="000000"/>
                <w:lang w:eastAsia="zh-CN"/>
              </w:rPr>
            </w:pPr>
          </w:p>
        </w:tc>
        <w:tc>
          <w:tcPr>
            <w:tcW w:w="670"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Stage I (</w:t>
            </w:r>
            <w:r>
              <w:rPr>
                <w:rFonts w:hint="eastAsia" w:ascii="Book Antiqua" w:hAnsi="Book Antiqua" w:cs="Calibri"/>
                <w:i/>
                <w:color w:val="000000"/>
                <w:lang w:eastAsia="zh-CN"/>
              </w:rPr>
              <w:t>n</w:t>
            </w:r>
            <w:r>
              <w:rPr>
                <w:rFonts w:ascii="Book Antiqua" w:hAnsi="Book Antiqua" w:eastAsia="Times New Roman" w:cs="Calibri"/>
                <w:color w:val="000000"/>
                <w:lang w:eastAsia="pl-PL"/>
              </w:rPr>
              <w:t xml:space="preserve"> =</w:t>
            </w:r>
            <w:r>
              <w:rPr>
                <w:rFonts w:hint="eastAsia" w:ascii="Book Antiqua" w:hAnsi="Book Antiqua" w:cs="Calibri"/>
                <w:color w:val="000000"/>
                <w:lang w:eastAsia="zh-CN"/>
              </w:rPr>
              <w:t xml:space="preserve"> </w:t>
            </w:r>
            <w:r>
              <w:rPr>
                <w:rFonts w:ascii="Book Antiqua" w:hAnsi="Book Antiqua" w:eastAsia="Times New Roman" w:cs="Calibri"/>
                <w:color w:val="000000"/>
                <w:lang w:eastAsia="pl-PL"/>
              </w:rPr>
              <w:t>5)</w:t>
            </w:r>
          </w:p>
        </w:tc>
        <w:tc>
          <w:tcPr>
            <w:tcW w:w="681" w:type="pct"/>
            <w:shd w:val="clear" w:color="auto" w:fill="auto"/>
            <w:noWrap/>
          </w:tcPr>
          <w:p>
            <w:pPr>
              <w:spacing w:line="360" w:lineRule="auto"/>
              <w:jc w:val="both"/>
              <w:rPr>
                <w:rFonts w:ascii="Book Antiqua" w:hAnsi="Book Antiqua" w:eastAsia="Times New Roman" w:cs="Calibri"/>
                <w:color w:val="000000"/>
                <w:lang w:eastAsia="pl-PL"/>
              </w:rPr>
            </w:pPr>
          </w:p>
        </w:tc>
        <w:tc>
          <w:tcPr>
            <w:tcW w:w="286" w:type="pct"/>
            <w:shd w:val="clear" w:color="auto" w:fill="auto"/>
            <w:noWrap/>
          </w:tcPr>
          <w:p>
            <w:pPr>
              <w:spacing w:line="360" w:lineRule="auto"/>
              <w:jc w:val="both"/>
              <w:rPr>
                <w:rFonts w:ascii="Book Antiqua" w:hAnsi="Book Antiqua" w:cs="Calibri"/>
                <w:color w:val="000000"/>
                <w:lang w:eastAsia="zh-CN"/>
              </w:rPr>
            </w:pPr>
          </w:p>
        </w:tc>
        <w:tc>
          <w:tcPr>
            <w:tcW w:w="324" w:type="pct"/>
            <w:shd w:val="clear" w:color="auto" w:fill="auto"/>
            <w:noWrap/>
          </w:tcPr>
          <w:p>
            <w:pPr>
              <w:spacing w:line="360" w:lineRule="auto"/>
              <w:jc w:val="both"/>
              <w:rPr>
                <w:rFonts w:ascii="Book Antiqua" w:hAnsi="Book Antiqua" w:cs="Calibri"/>
                <w:color w:val="000000"/>
                <w:lang w:eastAsia="zh-CN"/>
              </w:rPr>
            </w:pPr>
          </w:p>
        </w:tc>
        <w:tc>
          <w:tcPr>
            <w:tcW w:w="534" w:type="pct"/>
            <w:shd w:val="clear" w:color="auto" w:fill="auto"/>
            <w:noWrap/>
          </w:tcPr>
          <w:p>
            <w:pPr>
              <w:spacing w:line="360" w:lineRule="auto"/>
              <w:jc w:val="both"/>
              <w:rPr>
                <w:rFonts w:ascii="Book Antiqua" w:hAnsi="Book Antiqua" w:cs="Calibri"/>
                <w:color w:val="000000"/>
                <w:lang w:eastAsia="zh-CN"/>
              </w:rPr>
            </w:pPr>
          </w:p>
        </w:tc>
        <w:tc>
          <w:tcPr>
            <w:tcW w:w="327" w:type="pct"/>
            <w:shd w:val="clear" w:color="auto" w:fill="auto"/>
            <w:noWrap/>
          </w:tcPr>
          <w:p>
            <w:pPr>
              <w:spacing w:line="360" w:lineRule="auto"/>
              <w:jc w:val="both"/>
              <w:rPr>
                <w:rFonts w:ascii="Book Antiqua" w:hAnsi="Book Antiqua" w:cs="Calibri"/>
                <w:color w:val="000000"/>
                <w:lang w:eastAsia="zh-CN"/>
              </w:rPr>
            </w:pPr>
          </w:p>
        </w:tc>
        <w:tc>
          <w:tcPr>
            <w:tcW w:w="337" w:type="pct"/>
            <w:shd w:val="clear" w:color="auto" w:fill="auto"/>
            <w:noWrap/>
          </w:tcPr>
          <w:p>
            <w:pPr>
              <w:spacing w:line="360" w:lineRule="auto"/>
              <w:jc w:val="both"/>
              <w:rPr>
                <w:rFonts w:ascii="Book Antiqua" w:hAnsi="Book Antiqua" w:cs="Calibri"/>
                <w:color w:val="000000"/>
                <w:lang w:eastAsia="zh-CN"/>
              </w:rPr>
            </w:pPr>
          </w:p>
        </w:tc>
        <w:tc>
          <w:tcPr>
            <w:tcW w:w="405" w:type="pct"/>
            <w:shd w:val="clear" w:color="auto" w:fill="auto"/>
            <w:noWrap/>
          </w:tcPr>
          <w:p>
            <w:pPr>
              <w:spacing w:line="360" w:lineRule="auto"/>
              <w:jc w:val="both"/>
              <w:rPr>
                <w:rFonts w:ascii="Book Antiqua" w:hAnsi="Book Antiqua" w:cs="Calibri"/>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vMerge w:val="continue"/>
            <w:shd w:val="clear" w:color="auto" w:fill="auto"/>
            <w:noWrap/>
          </w:tcPr>
          <w:p>
            <w:pPr>
              <w:spacing w:line="360" w:lineRule="auto"/>
              <w:jc w:val="both"/>
              <w:rPr>
                <w:rFonts w:ascii="Book Antiqua" w:hAnsi="Book Antiqua" w:cs="Calibri"/>
                <w:color w:val="000000"/>
                <w:lang w:eastAsia="zh-CN"/>
              </w:rPr>
            </w:pPr>
          </w:p>
        </w:tc>
        <w:tc>
          <w:tcPr>
            <w:tcW w:w="288" w:type="pct"/>
            <w:vMerge w:val="continue"/>
            <w:shd w:val="clear" w:color="auto" w:fill="auto"/>
            <w:noWrap/>
          </w:tcPr>
          <w:p>
            <w:pPr>
              <w:spacing w:line="360" w:lineRule="auto"/>
              <w:jc w:val="both"/>
              <w:rPr>
                <w:rFonts w:ascii="Book Antiqua" w:hAnsi="Book Antiqua" w:cs="Calibri"/>
                <w:color w:val="000000"/>
                <w:lang w:eastAsia="zh-CN"/>
              </w:rPr>
            </w:pPr>
          </w:p>
        </w:tc>
        <w:tc>
          <w:tcPr>
            <w:tcW w:w="239" w:type="pct"/>
            <w:vMerge w:val="continue"/>
            <w:shd w:val="clear" w:color="auto" w:fill="auto"/>
          </w:tcPr>
          <w:p>
            <w:pPr>
              <w:spacing w:line="360" w:lineRule="auto"/>
              <w:jc w:val="both"/>
              <w:rPr>
                <w:rFonts w:ascii="Book Antiqua" w:hAnsi="Book Antiqua" w:cs="Calibri"/>
                <w:color w:val="000000"/>
                <w:lang w:eastAsia="zh-CN"/>
              </w:rPr>
            </w:pPr>
          </w:p>
        </w:tc>
        <w:tc>
          <w:tcPr>
            <w:tcW w:w="431" w:type="pct"/>
            <w:vMerge w:val="continue"/>
            <w:shd w:val="clear" w:color="auto" w:fill="auto"/>
            <w:noWrap/>
          </w:tcPr>
          <w:p>
            <w:pPr>
              <w:spacing w:line="360" w:lineRule="auto"/>
              <w:jc w:val="both"/>
              <w:rPr>
                <w:rFonts w:ascii="Book Antiqua" w:hAnsi="Book Antiqua" w:cs="Calibri"/>
                <w:color w:val="000000"/>
                <w:lang w:eastAsia="zh-CN"/>
              </w:rPr>
            </w:pPr>
          </w:p>
        </w:tc>
        <w:tc>
          <w:tcPr>
            <w:tcW w:w="670"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Stage II (</w:t>
            </w:r>
            <w:r>
              <w:rPr>
                <w:rFonts w:hint="eastAsia" w:ascii="Book Antiqua" w:hAnsi="Book Antiqua" w:cs="Calibri"/>
                <w:i/>
                <w:color w:val="000000"/>
                <w:lang w:eastAsia="zh-CN"/>
              </w:rPr>
              <w:t>n</w:t>
            </w:r>
            <w:r>
              <w:rPr>
                <w:rFonts w:ascii="Book Antiqua" w:hAnsi="Book Antiqua" w:eastAsia="Times New Roman" w:cs="Calibri"/>
                <w:color w:val="000000"/>
                <w:lang w:eastAsia="pl-PL"/>
              </w:rPr>
              <w:t xml:space="preserve"> =</w:t>
            </w:r>
            <w:r>
              <w:rPr>
                <w:rFonts w:hint="eastAsia" w:ascii="Book Antiqua" w:hAnsi="Book Antiqua" w:cs="Calibri"/>
                <w:color w:val="000000"/>
                <w:lang w:eastAsia="zh-CN"/>
              </w:rPr>
              <w:t xml:space="preserve"> </w:t>
            </w:r>
            <w:r>
              <w:rPr>
                <w:rFonts w:ascii="Book Antiqua" w:hAnsi="Book Antiqua" w:eastAsia="Times New Roman" w:cs="Calibri"/>
                <w:color w:val="000000"/>
                <w:lang w:eastAsia="pl-PL"/>
              </w:rPr>
              <w:t>3)</w:t>
            </w:r>
          </w:p>
        </w:tc>
        <w:tc>
          <w:tcPr>
            <w:tcW w:w="68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FU-LV (</w:t>
            </w:r>
            <w:r>
              <w:rPr>
                <w:rFonts w:hint="eastAsia" w:ascii="Book Antiqua" w:hAnsi="Book Antiqua" w:cs="Calibri"/>
                <w:i/>
                <w:color w:val="000000"/>
                <w:lang w:eastAsia="zh-CN"/>
              </w:rPr>
              <w:t>n</w:t>
            </w:r>
            <w:r>
              <w:rPr>
                <w:rFonts w:ascii="Book Antiqua" w:hAnsi="Book Antiqua" w:eastAsia="Times New Roman" w:cs="Calibri"/>
                <w:color w:val="000000"/>
                <w:lang w:eastAsia="pl-PL"/>
              </w:rPr>
              <w:t xml:space="preserve"> =</w:t>
            </w:r>
            <w:r>
              <w:rPr>
                <w:rFonts w:hint="eastAsia" w:ascii="Book Antiqua" w:hAnsi="Book Antiqua" w:cs="Calibri"/>
                <w:color w:val="000000"/>
                <w:lang w:eastAsia="zh-CN"/>
              </w:rPr>
              <w:t xml:space="preserve"> </w:t>
            </w:r>
            <w:r>
              <w:rPr>
                <w:rFonts w:ascii="Book Antiqua" w:hAnsi="Book Antiqua" w:eastAsia="Times New Roman" w:cs="Calibri"/>
                <w:color w:val="000000"/>
                <w:lang w:eastAsia="pl-PL"/>
              </w:rPr>
              <w:t>1)</w:t>
            </w:r>
          </w:p>
        </w:tc>
        <w:tc>
          <w:tcPr>
            <w:tcW w:w="286"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12</w:t>
            </w:r>
          </w:p>
        </w:tc>
        <w:tc>
          <w:tcPr>
            <w:tcW w:w="324" w:type="pct"/>
            <w:shd w:val="clear" w:color="auto" w:fill="auto"/>
            <w:noWrap/>
          </w:tcPr>
          <w:p>
            <w:pPr>
              <w:spacing w:line="360" w:lineRule="auto"/>
              <w:jc w:val="both"/>
              <w:rPr>
                <w:rFonts w:ascii="Book Antiqua" w:hAnsi="Book Antiqua" w:cs="Calibri"/>
                <w:color w:val="000000"/>
                <w:lang w:eastAsia="zh-CN"/>
              </w:rPr>
            </w:pP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NS</w:t>
            </w:r>
          </w:p>
        </w:tc>
        <w:tc>
          <w:tcPr>
            <w:tcW w:w="327" w:type="pct"/>
            <w:shd w:val="clear" w:color="auto" w:fill="auto"/>
            <w:noWrap/>
          </w:tcPr>
          <w:p>
            <w:pPr>
              <w:spacing w:line="360" w:lineRule="auto"/>
              <w:jc w:val="both"/>
              <w:rPr>
                <w:rFonts w:ascii="Book Antiqua" w:hAnsi="Book Antiqua" w:cs="Calibri"/>
                <w:color w:val="000000"/>
                <w:lang w:eastAsia="zh-CN"/>
              </w:rPr>
            </w:pPr>
          </w:p>
        </w:tc>
        <w:tc>
          <w:tcPr>
            <w:tcW w:w="337" w:type="pct"/>
            <w:shd w:val="clear" w:color="auto" w:fill="auto"/>
            <w:noWrap/>
          </w:tcPr>
          <w:p>
            <w:pPr>
              <w:spacing w:line="360" w:lineRule="auto"/>
              <w:jc w:val="both"/>
              <w:rPr>
                <w:rFonts w:ascii="Book Antiqua" w:hAnsi="Book Antiqua" w:cs="Calibri"/>
                <w:color w:val="000000"/>
                <w:lang w:eastAsia="zh-CN"/>
              </w:rPr>
            </w:pPr>
          </w:p>
        </w:tc>
        <w:tc>
          <w:tcPr>
            <w:tcW w:w="405"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vMerge w:val="continue"/>
            <w:shd w:val="clear" w:color="auto" w:fill="auto"/>
            <w:noWrap/>
          </w:tcPr>
          <w:p>
            <w:pPr>
              <w:spacing w:line="360" w:lineRule="auto"/>
              <w:jc w:val="both"/>
              <w:rPr>
                <w:rFonts w:ascii="Book Antiqua" w:hAnsi="Book Antiqua" w:cs="Calibri"/>
                <w:color w:val="000000"/>
                <w:lang w:eastAsia="zh-CN"/>
              </w:rPr>
            </w:pPr>
          </w:p>
        </w:tc>
        <w:tc>
          <w:tcPr>
            <w:tcW w:w="288" w:type="pct"/>
            <w:vMerge w:val="continue"/>
            <w:shd w:val="clear" w:color="auto" w:fill="auto"/>
            <w:noWrap/>
          </w:tcPr>
          <w:p>
            <w:pPr>
              <w:spacing w:line="360" w:lineRule="auto"/>
              <w:jc w:val="both"/>
              <w:rPr>
                <w:rFonts w:ascii="Book Antiqua" w:hAnsi="Book Antiqua" w:cs="Calibri"/>
                <w:color w:val="000000"/>
                <w:lang w:eastAsia="zh-CN"/>
              </w:rPr>
            </w:pPr>
          </w:p>
        </w:tc>
        <w:tc>
          <w:tcPr>
            <w:tcW w:w="239" w:type="pct"/>
            <w:vMerge w:val="continue"/>
            <w:shd w:val="clear" w:color="auto" w:fill="auto"/>
          </w:tcPr>
          <w:p>
            <w:pPr>
              <w:spacing w:line="360" w:lineRule="auto"/>
              <w:jc w:val="both"/>
              <w:rPr>
                <w:rFonts w:ascii="Book Antiqua" w:hAnsi="Book Antiqua" w:cs="Calibri"/>
                <w:color w:val="000000"/>
                <w:lang w:eastAsia="zh-CN"/>
              </w:rPr>
            </w:pPr>
          </w:p>
        </w:tc>
        <w:tc>
          <w:tcPr>
            <w:tcW w:w="431" w:type="pct"/>
            <w:vMerge w:val="continue"/>
            <w:shd w:val="clear" w:color="auto" w:fill="auto"/>
            <w:noWrap/>
          </w:tcPr>
          <w:p>
            <w:pPr>
              <w:spacing w:line="360" w:lineRule="auto"/>
              <w:jc w:val="both"/>
              <w:rPr>
                <w:rFonts w:ascii="Book Antiqua" w:hAnsi="Book Antiqua" w:cs="Calibri"/>
                <w:color w:val="000000"/>
                <w:lang w:eastAsia="zh-CN"/>
              </w:rPr>
            </w:pPr>
          </w:p>
        </w:tc>
        <w:tc>
          <w:tcPr>
            <w:tcW w:w="670"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Stage III (</w:t>
            </w:r>
            <w:r>
              <w:rPr>
                <w:rFonts w:hint="eastAsia" w:ascii="Book Antiqua" w:hAnsi="Book Antiqua" w:cs="Calibri"/>
                <w:i/>
                <w:color w:val="000000"/>
                <w:lang w:eastAsia="zh-CN"/>
              </w:rPr>
              <w:t>n</w:t>
            </w:r>
            <w:r>
              <w:rPr>
                <w:rFonts w:ascii="Book Antiqua" w:hAnsi="Book Antiqua" w:eastAsia="Times New Roman" w:cs="Calibri"/>
                <w:color w:val="000000"/>
                <w:lang w:eastAsia="pl-PL"/>
              </w:rPr>
              <w:t xml:space="preserve"> =</w:t>
            </w:r>
            <w:r>
              <w:rPr>
                <w:rFonts w:hint="eastAsia" w:ascii="Book Antiqua" w:hAnsi="Book Antiqua" w:cs="Calibri"/>
                <w:color w:val="000000"/>
                <w:lang w:eastAsia="zh-CN"/>
              </w:rPr>
              <w:t xml:space="preserve"> </w:t>
            </w:r>
            <w:r>
              <w:rPr>
                <w:rFonts w:ascii="Book Antiqua" w:hAnsi="Book Antiqua" w:eastAsia="Times New Roman" w:cs="Calibri"/>
                <w:color w:val="000000"/>
                <w:lang w:eastAsia="pl-PL"/>
              </w:rPr>
              <w:t>3)</w:t>
            </w:r>
          </w:p>
        </w:tc>
        <w:tc>
          <w:tcPr>
            <w:tcW w:w="68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Capecitabine (</w:t>
            </w:r>
            <w:r>
              <w:rPr>
                <w:rFonts w:hint="eastAsia" w:ascii="Book Antiqua" w:hAnsi="Book Antiqua" w:cs="Calibri"/>
                <w:i/>
                <w:color w:val="000000"/>
                <w:lang w:eastAsia="zh-CN"/>
              </w:rPr>
              <w:t>n</w:t>
            </w:r>
            <w:r>
              <w:rPr>
                <w:rFonts w:ascii="Book Antiqua" w:hAnsi="Book Antiqua" w:eastAsia="Times New Roman" w:cs="Calibri"/>
                <w:color w:val="000000"/>
                <w:lang w:eastAsia="pl-PL"/>
              </w:rPr>
              <w:t xml:space="preserve"> =</w:t>
            </w:r>
            <w:r>
              <w:rPr>
                <w:rFonts w:hint="eastAsia" w:ascii="Book Antiqua" w:hAnsi="Book Antiqua" w:cs="Calibri"/>
                <w:color w:val="000000"/>
                <w:lang w:eastAsia="zh-CN"/>
              </w:rPr>
              <w:t xml:space="preserve"> </w:t>
            </w:r>
            <w:r>
              <w:rPr>
                <w:rFonts w:ascii="Book Antiqua" w:hAnsi="Book Antiqua" w:eastAsia="Times New Roman" w:cs="Calibri"/>
                <w:color w:val="000000"/>
                <w:lang w:eastAsia="pl-PL"/>
              </w:rPr>
              <w:t>2)</w:t>
            </w:r>
          </w:p>
        </w:tc>
        <w:tc>
          <w:tcPr>
            <w:tcW w:w="286"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12</w:t>
            </w:r>
          </w:p>
        </w:tc>
        <w:tc>
          <w:tcPr>
            <w:tcW w:w="324" w:type="pct"/>
            <w:shd w:val="clear" w:color="auto" w:fill="auto"/>
            <w:noWrap/>
          </w:tcPr>
          <w:p>
            <w:pPr>
              <w:spacing w:line="360" w:lineRule="auto"/>
              <w:jc w:val="both"/>
              <w:rPr>
                <w:rFonts w:ascii="Book Antiqua" w:hAnsi="Book Antiqua" w:cs="Calibri"/>
                <w:color w:val="000000"/>
                <w:lang w:eastAsia="zh-CN"/>
              </w:rPr>
            </w:pP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NS</w:t>
            </w:r>
          </w:p>
        </w:tc>
        <w:tc>
          <w:tcPr>
            <w:tcW w:w="327" w:type="pct"/>
            <w:shd w:val="clear" w:color="auto" w:fill="auto"/>
            <w:noWrap/>
          </w:tcPr>
          <w:p>
            <w:pPr>
              <w:spacing w:line="360" w:lineRule="auto"/>
              <w:jc w:val="both"/>
              <w:rPr>
                <w:rFonts w:ascii="Book Antiqua" w:hAnsi="Book Antiqua" w:cs="Calibri"/>
                <w:color w:val="000000"/>
                <w:lang w:eastAsia="zh-CN"/>
              </w:rPr>
            </w:pPr>
          </w:p>
        </w:tc>
        <w:tc>
          <w:tcPr>
            <w:tcW w:w="337" w:type="pct"/>
            <w:shd w:val="clear" w:color="auto" w:fill="auto"/>
            <w:noWrap/>
          </w:tcPr>
          <w:p>
            <w:pPr>
              <w:spacing w:line="360" w:lineRule="auto"/>
              <w:jc w:val="both"/>
              <w:rPr>
                <w:rFonts w:ascii="Book Antiqua" w:hAnsi="Book Antiqua" w:cs="Calibri"/>
                <w:color w:val="000000"/>
                <w:lang w:eastAsia="zh-CN"/>
              </w:rPr>
            </w:pPr>
          </w:p>
        </w:tc>
        <w:tc>
          <w:tcPr>
            <w:tcW w:w="405"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vMerge w:val="continue"/>
            <w:shd w:val="clear" w:color="auto" w:fill="auto"/>
            <w:noWrap/>
          </w:tcPr>
          <w:p>
            <w:pPr>
              <w:spacing w:line="360" w:lineRule="auto"/>
              <w:jc w:val="both"/>
              <w:rPr>
                <w:rFonts w:ascii="Book Antiqua" w:hAnsi="Book Antiqua" w:cs="Calibri"/>
                <w:color w:val="000000"/>
                <w:lang w:eastAsia="zh-CN"/>
              </w:rPr>
            </w:pPr>
          </w:p>
        </w:tc>
        <w:tc>
          <w:tcPr>
            <w:tcW w:w="288" w:type="pct"/>
            <w:vMerge w:val="continue"/>
            <w:shd w:val="clear" w:color="auto" w:fill="auto"/>
            <w:noWrap/>
          </w:tcPr>
          <w:p>
            <w:pPr>
              <w:spacing w:line="360" w:lineRule="auto"/>
              <w:jc w:val="both"/>
              <w:rPr>
                <w:rFonts w:ascii="Book Antiqua" w:hAnsi="Book Antiqua" w:cs="Calibri"/>
                <w:color w:val="000000"/>
                <w:lang w:eastAsia="zh-CN"/>
              </w:rPr>
            </w:pPr>
          </w:p>
        </w:tc>
        <w:tc>
          <w:tcPr>
            <w:tcW w:w="239" w:type="pct"/>
            <w:vMerge w:val="continue"/>
            <w:shd w:val="clear" w:color="auto" w:fill="auto"/>
          </w:tcPr>
          <w:p>
            <w:pPr>
              <w:spacing w:line="360" w:lineRule="auto"/>
              <w:jc w:val="both"/>
              <w:rPr>
                <w:rFonts w:ascii="Book Antiqua" w:hAnsi="Book Antiqua" w:cs="Calibri"/>
                <w:color w:val="000000"/>
                <w:lang w:eastAsia="zh-CN"/>
              </w:rPr>
            </w:pPr>
          </w:p>
        </w:tc>
        <w:tc>
          <w:tcPr>
            <w:tcW w:w="431" w:type="pct"/>
            <w:vMerge w:val="continue"/>
            <w:shd w:val="clear" w:color="auto" w:fill="auto"/>
            <w:noWrap/>
          </w:tcPr>
          <w:p>
            <w:pPr>
              <w:spacing w:line="360" w:lineRule="auto"/>
              <w:jc w:val="both"/>
              <w:rPr>
                <w:rFonts w:ascii="Book Antiqua" w:hAnsi="Book Antiqua" w:cs="Calibri"/>
                <w:color w:val="000000"/>
                <w:lang w:eastAsia="zh-CN"/>
              </w:rPr>
            </w:pPr>
          </w:p>
        </w:tc>
        <w:tc>
          <w:tcPr>
            <w:tcW w:w="670"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Stage IV (</w:t>
            </w:r>
            <w:r>
              <w:rPr>
                <w:rFonts w:hint="eastAsia" w:ascii="Book Antiqua" w:hAnsi="Book Antiqua" w:cs="Calibri"/>
                <w:i/>
                <w:color w:val="000000"/>
                <w:lang w:eastAsia="zh-CN"/>
              </w:rPr>
              <w:t>n</w:t>
            </w:r>
            <w:r>
              <w:rPr>
                <w:rFonts w:ascii="Book Antiqua" w:hAnsi="Book Antiqua" w:eastAsia="Times New Roman" w:cs="Calibri"/>
                <w:color w:val="000000"/>
                <w:lang w:eastAsia="pl-PL"/>
              </w:rPr>
              <w:t xml:space="preserve"> =</w:t>
            </w:r>
            <w:r>
              <w:rPr>
                <w:rFonts w:hint="eastAsia" w:ascii="Book Antiqua" w:hAnsi="Book Antiqua" w:cs="Calibri"/>
                <w:color w:val="000000"/>
                <w:lang w:eastAsia="zh-CN"/>
              </w:rPr>
              <w:t xml:space="preserve"> </w:t>
            </w:r>
            <w:r>
              <w:rPr>
                <w:rFonts w:ascii="Book Antiqua" w:hAnsi="Book Antiqua" w:eastAsia="Times New Roman" w:cs="Calibri"/>
                <w:color w:val="000000"/>
                <w:lang w:eastAsia="pl-PL"/>
              </w:rPr>
              <w:t>4)</w:t>
            </w:r>
          </w:p>
        </w:tc>
        <w:tc>
          <w:tcPr>
            <w:tcW w:w="681" w:type="pct"/>
            <w:shd w:val="clear" w:color="auto" w:fill="auto"/>
            <w:noWrap/>
          </w:tcPr>
          <w:p>
            <w:pPr>
              <w:spacing w:line="360" w:lineRule="auto"/>
              <w:jc w:val="both"/>
              <w:rPr>
                <w:rFonts w:ascii="Book Antiqua" w:hAnsi="Book Antiqua" w:eastAsia="Times New Roman" w:cs="Calibri"/>
                <w:color w:val="000000"/>
                <w:lang w:val="de-DE" w:eastAsia="pl-PL"/>
              </w:rPr>
            </w:pPr>
            <w:r>
              <w:rPr>
                <w:rFonts w:ascii="Book Antiqua" w:hAnsi="Book Antiqua" w:eastAsia="Times New Roman" w:cs="Calibri"/>
                <w:color w:val="000000"/>
                <w:lang w:val="de-DE" w:eastAsia="pl-PL"/>
              </w:rPr>
              <w:t>Capecitabine (</w:t>
            </w:r>
            <w:r>
              <w:rPr>
                <w:rFonts w:hint="eastAsia" w:ascii="Book Antiqua" w:hAnsi="Book Antiqua" w:cs="Calibri"/>
                <w:i/>
                <w:color w:val="000000"/>
                <w:lang w:eastAsia="zh-CN"/>
              </w:rPr>
              <w:t>n</w:t>
            </w:r>
            <w:r>
              <w:rPr>
                <w:rFonts w:ascii="Book Antiqua" w:hAnsi="Book Antiqua" w:eastAsia="Times New Roman" w:cs="Calibri"/>
                <w:color w:val="000000"/>
                <w:lang w:val="de-DE" w:eastAsia="pl-PL"/>
              </w:rPr>
              <w:t xml:space="preserve"> =</w:t>
            </w:r>
            <w:r>
              <w:rPr>
                <w:rFonts w:hint="eastAsia" w:ascii="Book Antiqua" w:hAnsi="Book Antiqua" w:cs="Calibri"/>
                <w:color w:val="000000"/>
                <w:lang w:val="de-DE" w:eastAsia="zh-CN"/>
              </w:rPr>
              <w:t xml:space="preserve"> </w:t>
            </w:r>
            <w:r>
              <w:rPr>
                <w:rFonts w:ascii="Book Antiqua" w:hAnsi="Book Antiqua" w:eastAsia="Times New Roman" w:cs="Calibri"/>
                <w:color w:val="000000"/>
                <w:lang w:val="de-DE" w:eastAsia="pl-PL"/>
              </w:rPr>
              <w:t>1); FU-LV (</w:t>
            </w:r>
            <w:r>
              <w:rPr>
                <w:rFonts w:hint="eastAsia" w:ascii="Book Antiqua" w:hAnsi="Book Antiqua" w:cs="Calibri"/>
                <w:i/>
                <w:color w:val="000000"/>
                <w:lang w:eastAsia="zh-CN"/>
              </w:rPr>
              <w:t>n</w:t>
            </w:r>
            <w:r>
              <w:rPr>
                <w:rFonts w:ascii="Book Antiqua" w:hAnsi="Book Antiqua" w:eastAsia="Times New Roman" w:cs="Calibri"/>
                <w:color w:val="000000"/>
                <w:lang w:val="de-DE" w:eastAsia="pl-PL"/>
              </w:rPr>
              <w:t xml:space="preserve"> =</w:t>
            </w:r>
            <w:r>
              <w:rPr>
                <w:rFonts w:hint="eastAsia" w:ascii="Book Antiqua" w:hAnsi="Book Antiqua" w:cs="Calibri"/>
                <w:color w:val="000000"/>
                <w:lang w:val="de-DE" w:eastAsia="zh-CN"/>
              </w:rPr>
              <w:t xml:space="preserve"> </w:t>
            </w:r>
            <w:r>
              <w:rPr>
                <w:rFonts w:ascii="Book Antiqua" w:hAnsi="Book Antiqua" w:eastAsia="Times New Roman" w:cs="Calibri"/>
                <w:color w:val="000000"/>
                <w:lang w:val="de-DE" w:eastAsia="pl-PL"/>
              </w:rPr>
              <w:t>1)</w:t>
            </w:r>
          </w:p>
        </w:tc>
        <w:tc>
          <w:tcPr>
            <w:tcW w:w="286"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8</w:t>
            </w:r>
          </w:p>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12</w:t>
            </w:r>
          </w:p>
        </w:tc>
        <w:tc>
          <w:tcPr>
            <w:tcW w:w="32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 </w:t>
            </w: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NS</w:t>
            </w:r>
          </w:p>
        </w:tc>
        <w:tc>
          <w:tcPr>
            <w:tcW w:w="327" w:type="pct"/>
            <w:shd w:val="clear" w:color="auto" w:fill="auto"/>
            <w:noWrap/>
          </w:tcPr>
          <w:p>
            <w:pPr>
              <w:spacing w:line="360" w:lineRule="auto"/>
              <w:jc w:val="both"/>
              <w:rPr>
                <w:rFonts w:ascii="Book Antiqua" w:hAnsi="Book Antiqua" w:eastAsia="Times New Roman" w:cs="Calibri"/>
                <w:color w:val="000000"/>
                <w:lang w:eastAsia="pl-PL"/>
              </w:rPr>
            </w:pPr>
          </w:p>
        </w:tc>
        <w:tc>
          <w:tcPr>
            <w:tcW w:w="337" w:type="pct"/>
            <w:shd w:val="clear" w:color="auto" w:fill="auto"/>
            <w:noWrap/>
          </w:tcPr>
          <w:p>
            <w:pPr>
              <w:spacing w:line="360" w:lineRule="auto"/>
              <w:jc w:val="both"/>
              <w:rPr>
                <w:rFonts w:ascii="Book Antiqua" w:hAnsi="Book Antiqua" w:eastAsia="Times New Roman" w:cs="Calibri"/>
                <w:color w:val="000000"/>
                <w:lang w:eastAsia="pl-PL"/>
              </w:rPr>
            </w:pPr>
          </w:p>
        </w:tc>
        <w:tc>
          <w:tcPr>
            <w:tcW w:w="405"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Fang</w:t>
            </w:r>
            <w:r>
              <w:rPr>
                <w:rFonts w:ascii="Book Antiqua" w:hAnsi="Book Antiqua" w:eastAsia="Times New Roman" w:cs="Calibri"/>
                <w:color w:val="000000"/>
                <w:vertAlign w:val="superscript"/>
                <w:lang w:eastAsia="pl-PL"/>
              </w:rPr>
              <w:t>[20]</w:t>
            </w:r>
          </w:p>
        </w:tc>
        <w:tc>
          <w:tcPr>
            <w:tcW w:w="288"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1</w:t>
            </w:r>
          </w:p>
        </w:tc>
        <w:tc>
          <w:tcPr>
            <w:tcW w:w="239" w:type="pct"/>
            <w:shd w:val="clear" w:color="auto" w:fill="auto"/>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M</w:t>
            </w:r>
          </w:p>
        </w:tc>
        <w:tc>
          <w:tcPr>
            <w:tcW w:w="43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36</w:t>
            </w:r>
          </w:p>
        </w:tc>
        <w:tc>
          <w:tcPr>
            <w:tcW w:w="670"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Stage II</w:t>
            </w:r>
            <w:r>
              <w:rPr>
                <w:rFonts w:hint="eastAsia" w:ascii="Book Antiqua" w:hAnsi="Book Antiqua" w:cs="Calibri"/>
                <w:color w:val="000000"/>
                <w:lang w:eastAsia="zh-CN"/>
              </w:rPr>
              <w:t xml:space="preserve"> </w:t>
            </w:r>
            <w:r>
              <w:rPr>
                <w:rFonts w:ascii="Book Antiqua" w:hAnsi="Book Antiqua" w:eastAsia="Times New Roman" w:cs="Calibri"/>
                <w:color w:val="000000"/>
                <w:lang w:eastAsia="pl-PL"/>
              </w:rPr>
              <w:t>(pT3N0M0)</w:t>
            </w:r>
          </w:p>
        </w:tc>
        <w:tc>
          <w:tcPr>
            <w:tcW w:w="68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FOLFOX</w:t>
            </w:r>
          </w:p>
        </w:tc>
        <w:tc>
          <w:tcPr>
            <w:tcW w:w="286"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3</w:t>
            </w:r>
          </w:p>
        </w:tc>
        <w:tc>
          <w:tcPr>
            <w:tcW w:w="32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No</w:t>
            </w: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NS</w:t>
            </w:r>
          </w:p>
        </w:tc>
        <w:tc>
          <w:tcPr>
            <w:tcW w:w="32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PD</w:t>
            </w:r>
          </w:p>
        </w:tc>
        <w:tc>
          <w:tcPr>
            <w:tcW w:w="33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0</w:t>
            </w:r>
          </w:p>
        </w:tc>
        <w:tc>
          <w:tcPr>
            <w:tcW w:w="405"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 xml:space="preserve">NA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vMerge w:val="restart"/>
            <w:shd w:val="clear" w:color="auto" w:fill="auto"/>
            <w:noWrap/>
          </w:tcPr>
          <w:p>
            <w:pPr>
              <w:spacing w:line="360" w:lineRule="auto"/>
              <w:jc w:val="both"/>
              <w:rPr>
                <w:rFonts w:ascii="Book Antiqua" w:hAnsi="Book Antiqua" w:cs="Calibri"/>
                <w:color w:val="000000"/>
                <w:lang w:eastAsia="zh-CN"/>
              </w:rPr>
            </w:pPr>
            <w:r>
              <w:rPr>
                <w:rFonts w:ascii="Book Antiqua" w:hAnsi="Book Antiqua" w:eastAsia="Times New Roman" w:cs="Calibri"/>
                <w:color w:val="000000"/>
                <w:lang w:eastAsia="pl-PL"/>
              </w:rPr>
              <w:t xml:space="preserve">Liu </w:t>
            </w:r>
            <w:r>
              <w:rPr>
                <w:rFonts w:ascii="Book Antiqua" w:hAnsi="Book Antiqua" w:eastAsia="Times New Roman" w:cs="Calibri"/>
                <w:i/>
                <w:color w:val="000000"/>
                <w:lang w:eastAsia="pl-PL"/>
              </w:rPr>
              <w:t>et al</w:t>
            </w:r>
            <w:r>
              <w:rPr>
                <w:rFonts w:ascii="Book Antiqua" w:hAnsi="Book Antiqua" w:eastAsia="Times New Roman" w:cs="Calibri"/>
                <w:color w:val="000000"/>
                <w:vertAlign w:val="superscript"/>
                <w:lang w:eastAsia="pl-PL"/>
              </w:rPr>
              <w:t>[24]</w:t>
            </w:r>
          </w:p>
        </w:tc>
        <w:tc>
          <w:tcPr>
            <w:tcW w:w="288" w:type="pct"/>
            <w:vMerge w:val="restart"/>
            <w:shd w:val="clear" w:color="auto" w:fill="auto"/>
            <w:noWrap/>
          </w:tcPr>
          <w:p>
            <w:pPr>
              <w:spacing w:line="360" w:lineRule="auto"/>
              <w:jc w:val="both"/>
              <w:rPr>
                <w:rFonts w:ascii="Book Antiqua" w:hAnsi="Book Antiqua" w:cs="Calibri"/>
                <w:color w:val="000000"/>
                <w:lang w:eastAsia="zh-CN"/>
              </w:rPr>
            </w:pPr>
            <w:r>
              <w:rPr>
                <w:rFonts w:ascii="Book Antiqua" w:hAnsi="Book Antiqua" w:eastAsia="Times New Roman" w:cs="Calibri"/>
                <w:color w:val="000000"/>
                <w:lang w:eastAsia="pl-PL"/>
              </w:rPr>
              <w:t>2</w:t>
            </w:r>
          </w:p>
        </w:tc>
        <w:tc>
          <w:tcPr>
            <w:tcW w:w="239" w:type="pct"/>
            <w:shd w:val="clear" w:color="auto" w:fill="auto"/>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M</w:t>
            </w:r>
          </w:p>
        </w:tc>
        <w:tc>
          <w:tcPr>
            <w:tcW w:w="43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44</w:t>
            </w:r>
          </w:p>
        </w:tc>
        <w:tc>
          <w:tcPr>
            <w:tcW w:w="670"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Stage II (pT3N0M0)</w:t>
            </w:r>
          </w:p>
        </w:tc>
        <w:tc>
          <w:tcPr>
            <w:tcW w:w="68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Capecitabine</w:t>
            </w:r>
          </w:p>
        </w:tc>
        <w:tc>
          <w:tcPr>
            <w:tcW w:w="286"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8</w:t>
            </w:r>
          </w:p>
        </w:tc>
        <w:tc>
          <w:tcPr>
            <w:tcW w:w="32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No</w:t>
            </w: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c>
          <w:tcPr>
            <w:tcW w:w="32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SD</w:t>
            </w:r>
          </w:p>
        </w:tc>
        <w:tc>
          <w:tcPr>
            <w:tcW w:w="33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c>
          <w:tcPr>
            <w:tcW w:w="405"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Alive after 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vMerge w:val="continue"/>
            <w:shd w:val="clear" w:color="auto" w:fill="auto"/>
            <w:noWrap/>
          </w:tcPr>
          <w:p>
            <w:pPr>
              <w:spacing w:line="360" w:lineRule="auto"/>
              <w:jc w:val="both"/>
              <w:rPr>
                <w:rFonts w:ascii="Book Antiqua" w:hAnsi="Book Antiqua" w:eastAsia="Times New Roman" w:cs="Calibri"/>
                <w:color w:val="000000"/>
                <w:lang w:eastAsia="pl-PL"/>
              </w:rPr>
            </w:pPr>
          </w:p>
        </w:tc>
        <w:tc>
          <w:tcPr>
            <w:tcW w:w="288" w:type="pct"/>
            <w:vMerge w:val="continue"/>
            <w:shd w:val="clear" w:color="auto" w:fill="auto"/>
            <w:noWrap/>
          </w:tcPr>
          <w:p>
            <w:pPr>
              <w:spacing w:line="360" w:lineRule="auto"/>
              <w:jc w:val="both"/>
              <w:rPr>
                <w:rFonts w:ascii="Book Antiqua" w:hAnsi="Book Antiqua" w:eastAsia="Times New Roman" w:cs="Calibri"/>
                <w:color w:val="000000"/>
                <w:lang w:eastAsia="pl-PL"/>
              </w:rPr>
            </w:pPr>
          </w:p>
        </w:tc>
        <w:tc>
          <w:tcPr>
            <w:tcW w:w="239" w:type="pct"/>
            <w:shd w:val="clear" w:color="auto" w:fill="auto"/>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M</w:t>
            </w:r>
          </w:p>
        </w:tc>
        <w:tc>
          <w:tcPr>
            <w:tcW w:w="43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54</w:t>
            </w:r>
          </w:p>
        </w:tc>
        <w:tc>
          <w:tcPr>
            <w:tcW w:w="670"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Stage II (pT3N0M0)</w:t>
            </w:r>
          </w:p>
        </w:tc>
        <w:tc>
          <w:tcPr>
            <w:tcW w:w="68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Capecitabine</w:t>
            </w:r>
          </w:p>
        </w:tc>
        <w:tc>
          <w:tcPr>
            <w:tcW w:w="286"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8</w:t>
            </w:r>
          </w:p>
        </w:tc>
        <w:tc>
          <w:tcPr>
            <w:tcW w:w="32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No</w:t>
            </w: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c>
          <w:tcPr>
            <w:tcW w:w="32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SD</w:t>
            </w:r>
          </w:p>
        </w:tc>
        <w:tc>
          <w:tcPr>
            <w:tcW w:w="33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c>
          <w:tcPr>
            <w:tcW w:w="405"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Alive after 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 xml:space="preserve">Xia </w:t>
            </w:r>
            <w:r>
              <w:rPr>
                <w:rFonts w:ascii="Book Antiqua" w:hAnsi="Book Antiqua" w:eastAsia="Times New Roman" w:cs="Calibri"/>
                <w:i/>
                <w:color w:val="000000"/>
                <w:lang w:eastAsia="pl-PL"/>
              </w:rPr>
              <w:t>et al</w:t>
            </w:r>
            <w:r>
              <w:rPr>
                <w:rFonts w:ascii="Book Antiqua" w:hAnsi="Book Antiqua" w:eastAsia="Times New Roman" w:cs="Calibri"/>
                <w:color w:val="000000"/>
                <w:vertAlign w:val="superscript"/>
                <w:lang w:eastAsia="pl-PL"/>
              </w:rPr>
              <w:t>[25]</w:t>
            </w:r>
          </w:p>
        </w:tc>
        <w:tc>
          <w:tcPr>
            <w:tcW w:w="288"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1</w:t>
            </w:r>
          </w:p>
        </w:tc>
        <w:tc>
          <w:tcPr>
            <w:tcW w:w="239" w:type="pct"/>
            <w:shd w:val="clear" w:color="auto" w:fill="auto"/>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M</w:t>
            </w:r>
          </w:p>
        </w:tc>
        <w:tc>
          <w:tcPr>
            <w:tcW w:w="43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51</w:t>
            </w:r>
          </w:p>
        </w:tc>
        <w:tc>
          <w:tcPr>
            <w:tcW w:w="670"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Stage III B (pT3N1M0)</w:t>
            </w:r>
          </w:p>
        </w:tc>
        <w:tc>
          <w:tcPr>
            <w:tcW w:w="68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FOLFOX</w:t>
            </w:r>
          </w:p>
        </w:tc>
        <w:tc>
          <w:tcPr>
            <w:tcW w:w="286"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8</w:t>
            </w:r>
          </w:p>
        </w:tc>
        <w:tc>
          <w:tcPr>
            <w:tcW w:w="32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No</w:t>
            </w: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NS</w:t>
            </w:r>
          </w:p>
        </w:tc>
        <w:tc>
          <w:tcPr>
            <w:tcW w:w="32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PR</w:t>
            </w:r>
          </w:p>
        </w:tc>
        <w:tc>
          <w:tcPr>
            <w:tcW w:w="33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c>
          <w:tcPr>
            <w:tcW w:w="405"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 xml:space="preserve">Liu </w:t>
            </w:r>
            <w:r>
              <w:rPr>
                <w:rFonts w:ascii="Book Antiqua" w:hAnsi="Book Antiqua" w:eastAsia="Times New Roman" w:cs="Calibri"/>
                <w:i/>
                <w:color w:val="000000"/>
                <w:lang w:eastAsia="pl-PL"/>
              </w:rPr>
              <w:t>et al</w:t>
            </w:r>
            <w:r>
              <w:rPr>
                <w:rFonts w:ascii="Book Antiqua" w:hAnsi="Book Antiqua" w:eastAsia="Times New Roman" w:cs="Calibri"/>
                <w:color w:val="000000"/>
                <w:vertAlign w:val="superscript"/>
                <w:lang w:eastAsia="pl-PL"/>
              </w:rPr>
              <w:t>[24]</w:t>
            </w:r>
          </w:p>
        </w:tc>
        <w:tc>
          <w:tcPr>
            <w:tcW w:w="288"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1</w:t>
            </w:r>
          </w:p>
        </w:tc>
        <w:tc>
          <w:tcPr>
            <w:tcW w:w="239" w:type="pct"/>
            <w:shd w:val="clear" w:color="auto" w:fill="auto"/>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M</w:t>
            </w:r>
          </w:p>
        </w:tc>
        <w:tc>
          <w:tcPr>
            <w:tcW w:w="43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68</w:t>
            </w:r>
          </w:p>
        </w:tc>
        <w:tc>
          <w:tcPr>
            <w:tcW w:w="670"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Stage III</w:t>
            </w:r>
            <w:r>
              <w:rPr>
                <w:rFonts w:hint="eastAsia" w:ascii="Book Antiqua" w:hAnsi="Book Antiqua" w:cs="Calibri"/>
                <w:color w:val="000000"/>
                <w:lang w:eastAsia="zh-CN"/>
              </w:rPr>
              <w:t xml:space="preserve"> </w:t>
            </w:r>
            <w:r>
              <w:rPr>
                <w:rFonts w:ascii="Book Antiqua" w:hAnsi="Book Antiqua" w:eastAsia="Times New Roman" w:cs="Calibri"/>
                <w:color w:val="000000"/>
                <w:lang w:eastAsia="pl-PL"/>
              </w:rPr>
              <w:t>(pT4N1M0)</w:t>
            </w:r>
          </w:p>
        </w:tc>
        <w:tc>
          <w:tcPr>
            <w:tcW w:w="68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Capecitabine (after progression)</w:t>
            </w:r>
          </w:p>
        </w:tc>
        <w:tc>
          <w:tcPr>
            <w:tcW w:w="286"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3</w:t>
            </w:r>
          </w:p>
        </w:tc>
        <w:tc>
          <w:tcPr>
            <w:tcW w:w="32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No</w:t>
            </w: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NS</w:t>
            </w:r>
          </w:p>
        </w:tc>
        <w:tc>
          <w:tcPr>
            <w:tcW w:w="32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PR</w:t>
            </w:r>
          </w:p>
        </w:tc>
        <w:tc>
          <w:tcPr>
            <w:tcW w:w="33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2</w:t>
            </w:r>
          </w:p>
        </w:tc>
        <w:tc>
          <w:tcPr>
            <w:tcW w:w="405"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4-5 for CTH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vMerge w:val="restar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 xml:space="preserve">Müsri </w:t>
            </w:r>
            <w:r>
              <w:rPr>
                <w:rFonts w:ascii="Book Antiqua" w:hAnsi="Book Antiqua" w:eastAsia="Times New Roman" w:cs="Calibri"/>
                <w:i/>
                <w:color w:val="000000"/>
                <w:lang w:eastAsia="pl-PL"/>
              </w:rPr>
              <w:t>et al</w:t>
            </w:r>
            <w:r>
              <w:rPr>
                <w:rFonts w:ascii="Book Antiqua" w:hAnsi="Book Antiqua" w:eastAsia="Times New Roman" w:cs="Calibri"/>
                <w:color w:val="000000"/>
                <w:vertAlign w:val="superscript"/>
                <w:lang w:eastAsia="pl-PL"/>
              </w:rPr>
              <w:t>[26]</w:t>
            </w:r>
          </w:p>
        </w:tc>
        <w:tc>
          <w:tcPr>
            <w:tcW w:w="288" w:type="pct"/>
            <w:vMerge w:val="restar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1</w:t>
            </w:r>
          </w:p>
        </w:tc>
        <w:tc>
          <w:tcPr>
            <w:tcW w:w="239" w:type="pct"/>
            <w:vMerge w:val="restart"/>
            <w:shd w:val="clear" w:color="auto" w:fill="auto"/>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M</w:t>
            </w:r>
          </w:p>
        </w:tc>
        <w:tc>
          <w:tcPr>
            <w:tcW w:w="431" w:type="pct"/>
            <w:vMerge w:val="restar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64</w:t>
            </w:r>
          </w:p>
        </w:tc>
        <w:tc>
          <w:tcPr>
            <w:tcW w:w="670" w:type="pct"/>
            <w:vMerge w:val="restar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 xml:space="preserve">Stage IV </w:t>
            </w:r>
          </w:p>
        </w:tc>
        <w:tc>
          <w:tcPr>
            <w:tcW w:w="681" w:type="pct"/>
            <w:vMerge w:val="restar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FOLFIRI + bevacizumab</w:t>
            </w:r>
          </w:p>
        </w:tc>
        <w:tc>
          <w:tcPr>
            <w:tcW w:w="286" w:type="pct"/>
            <w:vMerge w:val="restar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5</w:t>
            </w:r>
          </w:p>
        </w:tc>
        <w:tc>
          <w:tcPr>
            <w:tcW w:w="324" w:type="pct"/>
            <w:vMerge w:val="restar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NS</w:t>
            </w:r>
          </w:p>
        </w:tc>
        <w:tc>
          <w:tcPr>
            <w:tcW w:w="534" w:type="pct"/>
            <w:shd w:val="clear" w:color="auto" w:fill="auto"/>
            <w:noWrap/>
          </w:tcPr>
          <w:p>
            <w:pPr>
              <w:spacing w:line="360" w:lineRule="auto"/>
              <w:jc w:val="both"/>
              <w:rPr>
                <w:rFonts w:ascii="Book Antiqua" w:hAnsi="Book Antiqua" w:cs="Calibri"/>
                <w:color w:val="000000"/>
                <w:lang w:eastAsia="zh-CN"/>
              </w:rPr>
            </w:pPr>
            <w:r>
              <w:rPr>
                <w:rFonts w:ascii="Book Antiqua" w:hAnsi="Book Antiqua" w:eastAsia="Times New Roman" w:cs="Calibri"/>
                <w:color w:val="000000"/>
                <w:lang w:eastAsia="pl-PL"/>
              </w:rPr>
              <w:t>Proteinuria</w:t>
            </w:r>
          </w:p>
        </w:tc>
        <w:tc>
          <w:tcPr>
            <w:tcW w:w="327" w:type="pct"/>
            <w:vMerge w:val="restart"/>
            <w:shd w:val="clear" w:color="auto" w:fill="auto"/>
            <w:noWrap/>
          </w:tcPr>
          <w:p>
            <w:pPr>
              <w:spacing w:line="360" w:lineRule="auto"/>
              <w:jc w:val="both"/>
              <w:rPr>
                <w:rFonts w:ascii="Book Antiqua" w:hAnsi="Book Antiqua" w:eastAsia="Times New Roman" w:cs="Calibri"/>
                <w:color w:val="000000"/>
                <w:lang w:val="en-GB" w:eastAsia="pl-PL"/>
              </w:rPr>
            </w:pPr>
            <w:r>
              <w:rPr>
                <w:rFonts w:ascii="Book Antiqua" w:hAnsi="Book Antiqua" w:eastAsia="Times New Roman" w:cs="Calibri"/>
                <w:color w:val="000000"/>
                <w:lang w:val="en-GB" w:eastAsia="pl-PL"/>
              </w:rPr>
              <w:t xml:space="preserve">PR (regression of liver metastasis) </w:t>
            </w:r>
          </w:p>
        </w:tc>
        <w:tc>
          <w:tcPr>
            <w:tcW w:w="337" w:type="pct"/>
            <w:vMerge w:val="restar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c>
          <w:tcPr>
            <w:tcW w:w="405" w:type="pct"/>
            <w:vMerge w:val="restar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vMerge w:val="continue"/>
            <w:shd w:val="clear" w:color="auto" w:fill="auto"/>
            <w:noWrap/>
          </w:tcPr>
          <w:p>
            <w:pPr>
              <w:spacing w:line="360" w:lineRule="auto"/>
              <w:jc w:val="both"/>
              <w:rPr>
                <w:rFonts w:ascii="Book Antiqua" w:hAnsi="Book Antiqua" w:eastAsia="Times New Roman" w:cs="Calibri"/>
                <w:color w:val="000000"/>
                <w:lang w:eastAsia="pl-PL"/>
              </w:rPr>
            </w:pPr>
          </w:p>
        </w:tc>
        <w:tc>
          <w:tcPr>
            <w:tcW w:w="288" w:type="pct"/>
            <w:vMerge w:val="continue"/>
            <w:shd w:val="clear" w:color="auto" w:fill="auto"/>
            <w:noWrap/>
          </w:tcPr>
          <w:p>
            <w:pPr>
              <w:spacing w:line="360" w:lineRule="auto"/>
              <w:jc w:val="both"/>
              <w:rPr>
                <w:rFonts w:ascii="Book Antiqua" w:hAnsi="Book Antiqua" w:eastAsia="Times New Roman" w:cs="Calibri"/>
                <w:color w:val="000000"/>
                <w:lang w:eastAsia="pl-PL"/>
              </w:rPr>
            </w:pPr>
          </w:p>
        </w:tc>
        <w:tc>
          <w:tcPr>
            <w:tcW w:w="239" w:type="pct"/>
            <w:vMerge w:val="continue"/>
            <w:shd w:val="clear" w:color="auto" w:fill="auto"/>
          </w:tcPr>
          <w:p>
            <w:pPr>
              <w:spacing w:line="360" w:lineRule="auto"/>
              <w:jc w:val="both"/>
              <w:rPr>
                <w:rFonts w:ascii="Book Antiqua" w:hAnsi="Book Antiqua" w:eastAsia="Times New Roman" w:cs="Calibri"/>
                <w:color w:val="000000"/>
                <w:lang w:eastAsia="pl-PL"/>
              </w:rPr>
            </w:pPr>
          </w:p>
        </w:tc>
        <w:tc>
          <w:tcPr>
            <w:tcW w:w="431" w:type="pct"/>
            <w:vMerge w:val="continue"/>
            <w:shd w:val="clear" w:color="auto" w:fill="auto"/>
            <w:noWrap/>
          </w:tcPr>
          <w:p>
            <w:pPr>
              <w:spacing w:line="360" w:lineRule="auto"/>
              <w:jc w:val="both"/>
              <w:rPr>
                <w:rFonts w:ascii="Book Antiqua" w:hAnsi="Book Antiqua" w:eastAsia="Times New Roman" w:cs="Calibri"/>
                <w:color w:val="000000"/>
                <w:lang w:eastAsia="pl-PL"/>
              </w:rPr>
            </w:pPr>
          </w:p>
        </w:tc>
        <w:tc>
          <w:tcPr>
            <w:tcW w:w="670" w:type="pct"/>
            <w:vMerge w:val="continue"/>
            <w:shd w:val="clear" w:color="auto" w:fill="auto"/>
            <w:noWrap/>
          </w:tcPr>
          <w:p>
            <w:pPr>
              <w:spacing w:line="360" w:lineRule="auto"/>
              <w:jc w:val="both"/>
              <w:rPr>
                <w:rFonts w:ascii="Book Antiqua" w:hAnsi="Book Antiqua" w:eastAsia="Times New Roman" w:cs="Calibri"/>
                <w:color w:val="000000"/>
                <w:lang w:eastAsia="pl-PL"/>
              </w:rPr>
            </w:pPr>
          </w:p>
        </w:tc>
        <w:tc>
          <w:tcPr>
            <w:tcW w:w="681" w:type="pct"/>
            <w:vMerge w:val="continue"/>
            <w:shd w:val="clear" w:color="auto" w:fill="auto"/>
            <w:noWrap/>
          </w:tcPr>
          <w:p>
            <w:pPr>
              <w:spacing w:line="360" w:lineRule="auto"/>
              <w:jc w:val="both"/>
              <w:rPr>
                <w:rFonts w:ascii="Book Antiqua" w:hAnsi="Book Antiqua" w:eastAsia="Times New Roman" w:cs="Calibri"/>
                <w:color w:val="000000"/>
                <w:lang w:eastAsia="pl-PL"/>
              </w:rPr>
            </w:pPr>
          </w:p>
        </w:tc>
        <w:tc>
          <w:tcPr>
            <w:tcW w:w="286" w:type="pct"/>
            <w:vMerge w:val="continue"/>
            <w:shd w:val="clear" w:color="auto" w:fill="auto"/>
            <w:noWrap/>
          </w:tcPr>
          <w:p>
            <w:pPr>
              <w:spacing w:line="360" w:lineRule="auto"/>
              <w:jc w:val="both"/>
              <w:rPr>
                <w:rFonts w:ascii="Book Antiqua" w:hAnsi="Book Antiqua" w:eastAsia="Times New Roman" w:cs="Calibri"/>
                <w:color w:val="000000"/>
                <w:lang w:eastAsia="pl-PL"/>
              </w:rPr>
            </w:pPr>
          </w:p>
        </w:tc>
        <w:tc>
          <w:tcPr>
            <w:tcW w:w="324" w:type="pct"/>
            <w:vMerge w:val="continue"/>
            <w:shd w:val="clear" w:color="auto" w:fill="auto"/>
            <w:noWrap/>
          </w:tcPr>
          <w:p>
            <w:pPr>
              <w:spacing w:line="360" w:lineRule="auto"/>
              <w:jc w:val="both"/>
              <w:rPr>
                <w:rFonts w:ascii="Book Antiqua" w:hAnsi="Book Antiqua" w:eastAsia="Times New Roman" w:cs="Calibri"/>
                <w:color w:val="000000"/>
                <w:lang w:eastAsia="pl-PL"/>
              </w:rPr>
            </w:pP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hint="eastAsia" w:ascii="Book Antiqua" w:hAnsi="Book Antiqua" w:cs="Calibri"/>
                <w:color w:val="000000"/>
                <w:lang w:eastAsia="zh-CN"/>
              </w:rPr>
              <w:t>D</w:t>
            </w:r>
            <w:r>
              <w:rPr>
                <w:rFonts w:ascii="Book Antiqua" w:hAnsi="Book Antiqua" w:eastAsia="Times New Roman" w:cs="Calibri"/>
                <w:color w:val="000000"/>
                <w:lang w:eastAsia="pl-PL"/>
              </w:rPr>
              <w:t xml:space="preserve">eterioration of kidney function </w:t>
            </w:r>
          </w:p>
        </w:tc>
        <w:tc>
          <w:tcPr>
            <w:tcW w:w="327" w:type="pct"/>
            <w:vMerge w:val="continue"/>
            <w:shd w:val="clear" w:color="auto" w:fill="auto"/>
            <w:noWrap/>
          </w:tcPr>
          <w:p>
            <w:pPr>
              <w:spacing w:line="360" w:lineRule="auto"/>
              <w:jc w:val="both"/>
              <w:rPr>
                <w:rFonts w:ascii="Book Antiqua" w:hAnsi="Book Antiqua" w:eastAsia="Times New Roman" w:cs="Calibri"/>
                <w:color w:val="000000"/>
                <w:lang w:eastAsia="pl-PL"/>
              </w:rPr>
            </w:pPr>
          </w:p>
        </w:tc>
        <w:tc>
          <w:tcPr>
            <w:tcW w:w="337" w:type="pct"/>
            <w:vMerge w:val="continue"/>
            <w:shd w:val="clear" w:color="auto" w:fill="auto"/>
            <w:noWrap/>
          </w:tcPr>
          <w:p>
            <w:pPr>
              <w:spacing w:line="360" w:lineRule="auto"/>
              <w:jc w:val="both"/>
              <w:rPr>
                <w:rFonts w:ascii="Book Antiqua" w:hAnsi="Book Antiqua" w:eastAsia="Times New Roman" w:cs="Calibri"/>
                <w:color w:val="000000"/>
                <w:lang w:eastAsia="pl-PL"/>
              </w:rPr>
            </w:pPr>
          </w:p>
        </w:tc>
        <w:tc>
          <w:tcPr>
            <w:tcW w:w="405" w:type="pct"/>
            <w:vMerge w:val="continue"/>
            <w:shd w:val="clear" w:color="auto" w:fill="auto"/>
            <w:noWrap/>
          </w:tcPr>
          <w:p>
            <w:pPr>
              <w:spacing w:line="360" w:lineRule="auto"/>
              <w:jc w:val="both"/>
              <w:rPr>
                <w:rFonts w:ascii="Book Antiqua" w:hAnsi="Book Antiqua" w:eastAsia="Times New Roman" w:cs="Calibri"/>
                <w:color w:val="000000"/>
                <w:lang w:eastAsia="pl-P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 xml:space="preserve">Bellyei </w:t>
            </w:r>
            <w:r>
              <w:rPr>
                <w:rFonts w:ascii="Book Antiqua" w:hAnsi="Book Antiqua" w:eastAsia="Times New Roman" w:cs="Calibri"/>
                <w:i/>
                <w:color w:val="000000"/>
                <w:lang w:eastAsia="pl-PL"/>
              </w:rPr>
              <w:t>et al</w:t>
            </w:r>
            <w:r>
              <w:rPr>
                <w:rFonts w:ascii="Book Antiqua" w:hAnsi="Book Antiqua" w:eastAsia="Times New Roman" w:cs="Calibri"/>
                <w:color w:val="000000"/>
                <w:vertAlign w:val="superscript"/>
                <w:lang w:eastAsia="pl-PL"/>
              </w:rPr>
              <w:t>[19]</w:t>
            </w:r>
          </w:p>
        </w:tc>
        <w:tc>
          <w:tcPr>
            <w:tcW w:w="288"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1</w:t>
            </w:r>
          </w:p>
        </w:tc>
        <w:tc>
          <w:tcPr>
            <w:tcW w:w="239" w:type="pct"/>
            <w:shd w:val="clear" w:color="auto" w:fill="auto"/>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M</w:t>
            </w:r>
          </w:p>
        </w:tc>
        <w:tc>
          <w:tcPr>
            <w:tcW w:w="43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66</w:t>
            </w:r>
          </w:p>
        </w:tc>
        <w:tc>
          <w:tcPr>
            <w:tcW w:w="670"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Stage IV</w:t>
            </w:r>
          </w:p>
        </w:tc>
        <w:tc>
          <w:tcPr>
            <w:tcW w:w="68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FOLFIRI + cetuximab</w:t>
            </w:r>
          </w:p>
        </w:tc>
        <w:tc>
          <w:tcPr>
            <w:tcW w:w="286"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1</w:t>
            </w:r>
          </w:p>
        </w:tc>
        <w:tc>
          <w:tcPr>
            <w:tcW w:w="32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No</w:t>
            </w: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Blood sugar level fluctuation</w:t>
            </w:r>
          </w:p>
        </w:tc>
        <w:tc>
          <w:tcPr>
            <w:tcW w:w="32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c>
          <w:tcPr>
            <w:tcW w:w="33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c>
          <w:tcPr>
            <w:tcW w:w="405"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shd w:val="clear" w:color="auto" w:fill="auto"/>
            <w:noWrap/>
          </w:tcPr>
          <w:p>
            <w:pPr>
              <w:spacing w:line="360" w:lineRule="auto"/>
              <w:jc w:val="both"/>
              <w:rPr>
                <w:rFonts w:ascii="Book Antiqua" w:hAnsi="Book Antiqua" w:eastAsia="Times New Roman" w:cs="Calibri"/>
                <w:color w:val="000000"/>
                <w:lang w:eastAsia="pl-PL"/>
              </w:rPr>
            </w:pPr>
          </w:p>
        </w:tc>
        <w:tc>
          <w:tcPr>
            <w:tcW w:w="288" w:type="pct"/>
            <w:shd w:val="clear" w:color="auto" w:fill="auto"/>
            <w:noWrap/>
          </w:tcPr>
          <w:p>
            <w:pPr>
              <w:spacing w:line="360" w:lineRule="auto"/>
              <w:jc w:val="both"/>
              <w:rPr>
                <w:rFonts w:ascii="Book Antiqua" w:hAnsi="Book Antiqua" w:eastAsia="Times New Roman" w:cs="Calibri"/>
                <w:color w:val="000000"/>
                <w:lang w:eastAsia="pl-PL"/>
              </w:rPr>
            </w:pPr>
          </w:p>
        </w:tc>
        <w:tc>
          <w:tcPr>
            <w:tcW w:w="239" w:type="pct"/>
            <w:shd w:val="clear" w:color="auto" w:fill="auto"/>
          </w:tcPr>
          <w:p>
            <w:pPr>
              <w:spacing w:line="360" w:lineRule="auto"/>
              <w:jc w:val="both"/>
              <w:rPr>
                <w:rFonts w:ascii="Book Antiqua" w:hAnsi="Book Antiqua" w:eastAsia="Times New Roman" w:cs="Calibri"/>
                <w:color w:val="000000"/>
                <w:lang w:eastAsia="pl-PL"/>
              </w:rPr>
            </w:pPr>
          </w:p>
        </w:tc>
        <w:tc>
          <w:tcPr>
            <w:tcW w:w="431" w:type="pct"/>
            <w:shd w:val="clear" w:color="auto" w:fill="auto"/>
            <w:noWrap/>
          </w:tcPr>
          <w:p>
            <w:pPr>
              <w:spacing w:line="360" w:lineRule="auto"/>
              <w:jc w:val="both"/>
              <w:rPr>
                <w:rFonts w:ascii="Book Antiqua" w:hAnsi="Book Antiqua" w:eastAsia="Times New Roman" w:cs="Calibri"/>
                <w:color w:val="000000"/>
                <w:lang w:eastAsia="pl-PL"/>
              </w:rPr>
            </w:pPr>
          </w:p>
        </w:tc>
        <w:tc>
          <w:tcPr>
            <w:tcW w:w="670" w:type="pct"/>
            <w:shd w:val="clear" w:color="auto" w:fill="auto"/>
            <w:noWrap/>
          </w:tcPr>
          <w:p>
            <w:pPr>
              <w:spacing w:line="360" w:lineRule="auto"/>
              <w:jc w:val="both"/>
              <w:rPr>
                <w:rFonts w:ascii="Book Antiqua" w:hAnsi="Book Antiqua" w:eastAsia="Times New Roman" w:cs="Calibri"/>
                <w:color w:val="000000"/>
                <w:lang w:eastAsia="pl-PL"/>
              </w:rPr>
            </w:pPr>
          </w:p>
        </w:tc>
        <w:tc>
          <w:tcPr>
            <w:tcW w:w="681" w:type="pct"/>
            <w:shd w:val="clear" w:color="auto" w:fill="auto"/>
            <w:noWrap/>
          </w:tcPr>
          <w:p>
            <w:pPr>
              <w:spacing w:line="360" w:lineRule="auto"/>
              <w:jc w:val="both"/>
              <w:rPr>
                <w:rFonts w:ascii="Book Antiqua" w:hAnsi="Book Antiqua" w:eastAsia="Times New Roman" w:cs="Calibri"/>
                <w:color w:val="000000"/>
                <w:lang w:eastAsia="pl-PL"/>
              </w:rPr>
            </w:pPr>
          </w:p>
        </w:tc>
        <w:tc>
          <w:tcPr>
            <w:tcW w:w="286" w:type="pct"/>
            <w:shd w:val="clear" w:color="auto" w:fill="auto"/>
            <w:noWrap/>
          </w:tcPr>
          <w:p>
            <w:pPr>
              <w:spacing w:line="360" w:lineRule="auto"/>
              <w:jc w:val="both"/>
              <w:rPr>
                <w:rFonts w:ascii="Book Antiqua" w:hAnsi="Book Antiqua" w:eastAsia="Times New Roman" w:cs="Calibri"/>
                <w:color w:val="000000"/>
                <w:lang w:eastAsia="pl-PL"/>
              </w:rPr>
            </w:pPr>
          </w:p>
        </w:tc>
        <w:tc>
          <w:tcPr>
            <w:tcW w:w="324" w:type="pct"/>
            <w:shd w:val="clear" w:color="auto" w:fill="auto"/>
            <w:noWrap/>
          </w:tcPr>
          <w:p>
            <w:pPr>
              <w:spacing w:line="360" w:lineRule="auto"/>
              <w:jc w:val="both"/>
              <w:rPr>
                <w:rFonts w:ascii="Book Antiqua" w:hAnsi="Book Antiqua" w:eastAsia="Times New Roman" w:cs="Calibri"/>
                <w:color w:val="000000"/>
                <w:lang w:eastAsia="pl-PL"/>
              </w:rPr>
            </w:pP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Diarrhea</w:t>
            </w:r>
          </w:p>
        </w:tc>
        <w:tc>
          <w:tcPr>
            <w:tcW w:w="327" w:type="pct"/>
            <w:shd w:val="clear" w:color="auto" w:fill="auto"/>
            <w:noWrap/>
          </w:tcPr>
          <w:p>
            <w:pPr>
              <w:spacing w:line="360" w:lineRule="auto"/>
              <w:jc w:val="both"/>
              <w:rPr>
                <w:rFonts w:ascii="Book Antiqua" w:hAnsi="Book Antiqua" w:eastAsia="Times New Roman" w:cs="Calibri"/>
                <w:color w:val="000000"/>
                <w:lang w:eastAsia="pl-PL"/>
              </w:rPr>
            </w:pPr>
          </w:p>
        </w:tc>
        <w:tc>
          <w:tcPr>
            <w:tcW w:w="337" w:type="pct"/>
            <w:shd w:val="clear" w:color="auto" w:fill="auto"/>
            <w:noWrap/>
          </w:tcPr>
          <w:p>
            <w:pPr>
              <w:spacing w:line="360" w:lineRule="auto"/>
              <w:jc w:val="both"/>
              <w:rPr>
                <w:rFonts w:ascii="Book Antiqua" w:hAnsi="Book Antiqua" w:eastAsia="Times New Roman" w:cs="Calibri"/>
                <w:color w:val="000000"/>
                <w:lang w:eastAsia="pl-PL"/>
              </w:rPr>
            </w:pPr>
          </w:p>
        </w:tc>
        <w:tc>
          <w:tcPr>
            <w:tcW w:w="405" w:type="pct"/>
            <w:shd w:val="clear" w:color="auto" w:fill="auto"/>
            <w:noWrap/>
          </w:tcPr>
          <w:p>
            <w:pPr>
              <w:spacing w:line="360" w:lineRule="auto"/>
              <w:jc w:val="both"/>
              <w:rPr>
                <w:rFonts w:ascii="Book Antiqua" w:hAnsi="Book Antiqua" w:eastAsia="Times New Roman" w:cs="Calibri"/>
                <w:color w:val="000000"/>
                <w:lang w:eastAsia="pl-P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shd w:val="clear" w:color="auto" w:fill="auto"/>
            <w:noWrap/>
          </w:tcPr>
          <w:p>
            <w:pPr>
              <w:spacing w:line="360" w:lineRule="auto"/>
              <w:jc w:val="both"/>
              <w:rPr>
                <w:rFonts w:ascii="Book Antiqua" w:hAnsi="Book Antiqua" w:eastAsia="Times New Roman" w:cs="Calibri"/>
                <w:color w:val="000000"/>
                <w:lang w:eastAsia="pl-PL"/>
              </w:rPr>
            </w:pPr>
          </w:p>
        </w:tc>
        <w:tc>
          <w:tcPr>
            <w:tcW w:w="288" w:type="pct"/>
            <w:shd w:val="clear" w:color="auto" w:fill="auto"/>
            <w:noWrap/>
          </w:tcPr>
          <w:p>
            <w:pPr>
              <w:spacing w:line="360" w:lineRule="auto"/>
              <w:jc w:val="both"/>
              <w:rPr>
                <w:rFonts w:ascii="Book Antiqua" w:hAnsi="Book Antiqua" w:eastAsia="Times New Roman" w:cs="Calibri"/>
                <w:color w:val="000000"/>
                <w:lang w:eastAsia="pl-PL"/>
              </w:rPr>
            </w:pPr>
          </w:p>
        </w:tc>
        <w:tc>
          <w:tcPr>
            <w:tcW w:w="239" w:type="pct"/>
            <w:shd w:val="clear" w:color="auto" w:fill="auto"/>
          </w:tcPr>
          <w:p>
            <w:pPr>
              <w:spacing w:line="360" w:lineRule="auto"/>
              <w:jc w:val="both"/>
              <w:rPr>
                <w:rFonts w:ascii="Book Antiqua" w:hAnsi="Book Antiqua" w:eastAsia="Times New Roman" w:cs="Calibri"/>
                <w:color w:val="000000"/>
                <w:lang w:eastAsia="pl-PL"/>
              </w:rPr>
            </w:pPr>
          </w:p>
        </w:tc>
        <w:tc>
          <w:tcPr>
            <w:tcW w:w="431" w:type="pct"/>
            <w:shd w:val="clear" w:color="auto" w:fill="auto"/>
            <w:noWrap/>
          </w:tcPr>
          <w:p>
            <w:pPr>
              <w:spacing w:line="360" w:lineRule="auto"/>
              <w:jc w:val="both"/>
              <w:rPr>
                <w:rFonts w:ascii="Book Antiqua" w:hAnsi="Book Antiqua" w:eastAsia="Times New Roman" w:cs="Calibri"/>
                <w:color w:val="000000"/>
                <w:lang w:eastAsia="pl-PL"/>
              </w:rPr>
            </w:pPr>
          </w:p>
        </w:tc>
        <w:tc>
          <w:tcPr>
            <w:tcW w:w="670" w:type="pct"/>
            <w:shd w:val="clear" w:color="auto" w:fill="auto"/>
            <w:noWrap/>
          </w:tcPr>
          <w:p>
            <w:pPr>
              <w:spacing w:line="360" w:lineRule="auto"/>
              <w:jc w:val="both"/>
              <w:rPr>
                <w:rFonts w:ascii="Book Antiqua" w:hAnsi="Book Antiqua" w:eastAsia="Times New Roman" w:cs="Calibri"/>
                <w:color w:val="000000"/>
                <w:lang w:eastAsia="pl-PL"/>
              </w:rPr>
            </w:pPr>
          </w:p>
        </w:tc>
        <w:tc>
          <w:tcPr>
            <w:tcW w:w="681" w:type="pct"/>
            <w:shd w:val="clear" w:color="auto" w:fill="auto"/>
            <w:noWrap/>
          </w:tcPr>
          <w:p>
            <w:pPr>
              <w:spacing w:line="360" w:lineRule="auto"/>
              <w:jc w:val="both"/>
              <w:rPr>
                <w:rFonts w:ascii="Book Antiqua" w:hAnsi="Book Antiqua" w:eastAsia="Times New Roman" w:cs="Calibri"/>
                <w:color w:val="000000"/>
                <w:lang w:eastAsia="pl-PL"/>
              </w:rPr>
            </w:pPr>
          </w:p>
        </w:tc>
        <w:tc>
          <w:tcPr>
            <w:tcW w:w="286" w:type="pct"/>
            <w:shd w:val="clear" w:color="auto" w:fill="auto"/>
            <w:noWrap/>
          </w:tcPr>
          <w:p>
            <w:pPr>
              <w:spacing w:line="360" w:lineRule="auto"/>
              <w:jc w:val="both"/>
              <w:rPr>
                <w:rFonts w:ascii="Book Antiqua" w:hAnsi="Book Antiqua" w:eastAsia="Times New Roman" w:cs="Calibri"/>
                <w:color w:val="000000"/>
                <w:lang w:eastAsia="pl-PL"/>
              </w:rPr>
            </w:pPr>
          </w:p>
        </w:tc>
        <w:tc>
          <w:tcPr>
            <w:tcW w:w="324" w:type="pct"/>
            <w:shd w:val="clear" w:color="auto" w:fill="auto"/>
            <w:noWrap/>
          </w:tcPr>
          <w:p>
            <w:pPr>
              <w:spacing w:line="360" w:lineRule="auto"/>
              <w:jc w:val="both"/>
              <w:rPr>
                <w:rFonts w:ascii="Book Antiqua" w:hAnsi="Book Antiqua" w:eastAsia="Times New Roman" w:cs="Calibri"/>
                <w:color w:val="000000"/>
                <w:lang w:eastAsia="pl-PL"/>
              </w:rPr>
            </w:pP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Hypomagnesemia</w:t>
            </w:r>
          </w:p>
        </w:tc>
        <w:tc>
          <w:tcPr>
            <w:tcW w:w="327" w:type="pct"/>
            <w:shd w:val="clear" w:color="auto" w:fill="auto"/>
            <w:noWrap/>
          </w:tcPr>
          <w:p>
            <w:pPr>
              <w:spacing w:line="360" w:lineRule="auto"/>
              <w:jc w:val="both"/>
              <w:rPr>
                <w:rFonts w:ascii="Book Antiqua" w:hAnsi="Book Antiqua" w:eastAsia="Times New Roman" w:cs="Calibri"/>
                <w:color w:val="000000"/>
                <w:lang w:eastAsia="pl-PL"/>
              </w:rPr>
            </w:pPr>
          </w:p>
        </w:tc>
        <w:tc>
          <w:tcPr>
            <w:tcW w:w="337" w:type="pct"/>
            <w:shd w:val="clear" w:color="auto" w:fill="auto"/>
            <w:noWrap/>
          </w:tcPr>
          <w:p>
            <w:pPr>
              <w:spacing w:line="360" w:lineRule="auto"/>
              <w:jc w:val="both"/>
              <w:rPr>
                <w:rFonts w:ascii="Book Antiqua" w:hAnsi="Book Antiqua" w:eastAsia="Times New Roman" w:cs="Calibri"/>
                <w:color w:val="000000"/>
                <w:lang w:eastAsia="pl-PL"/>
              </w:rPr>
            </w:pPr>
          </w:p>
        </w:tc>
        <w:tc>
          <w:tcPr>
            <w:tcW w:w="405" w:type="pct"/>
            <w:shd w:val="clear" w:color="auto" w:fill="auto"/>
            <w:noWrap/>
          </w:tcPr>
          <w:p>
            <w:pPr>
              <w:spacing w:line="360" w:lineRule="auto"/>
              <w:jc w:val="both"/>
              <w:rPr>
                <w:rFonts w:ascii="Book Antiqua" w:hAnsi="Book Antiqua" w:eastAsia="Times New Roman" w:cs="Calibri"/>
                <w:color w:val="000000"/>
                <w:lang w:eastAsia="pl-P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shd w:val="clear" w:color="auto" w:fill="auto"/>
            <w:noWrap/>
          </w:tcPr>
          <w:p>
            <w:pPr>
              <w:spacing w:line="360" w:lineRule="auto"/>
              <w:jc w:val="both"/>
              <w:rPr>
                <w:rFonts w:ascii="Book Antiqua" w:hAnsi="Book Antiqua" w:eastAsia="Times New Roman" w:cs="Calibri"/>
                <w:color w:val="000000"/>
                <w:lang w:eastAsia="pl-PL"/>
              </w:rPr>
            </w:pPr>
          </w:p>
        </w:tc>
        <w:tc>
          <w:tcPr>
            <w:tcW w:w="288" w:type="pct"/>
            <w:shd w:val="clear" w:color="auto" w:fill="auto"/>
            <w:noWrap/>
          </w:tcPr>
          <w:p>
            <w:pPr>
              <w:spacing w:line="360" w:lineRule="auto"/>
              <w:jc w:val="both"/>
              <w:rPr>
                <w:rFonts w:ascii="Book Antiqua" w:hAnsi="Book Antiqua" w:eastAsia="Times New Roman" w:cs="Calibri"/>
                <w:color w:val="000000"/>
                <w:lang w:eastAsia="pl-PL"/>
              </w:rPr>
            </w:pPr>
          </w:p>
        </w:tc>
        <w:tc>
          <w:tcPr>
            <w:tcW w:w="239" w:type="pct"/>
            <w:shd w:val="clear" w:color="auto" w:fill="auto"/>
          </w:tcPr>
          <w:p>
            <w:pPr>
              <w:spacing w:line="360" w:lineRule="auto"/>
              <w:jc w:val="both"/>
              <w:rPr>
                <w:rFonts w:ascii="Book Antiqua" w:hAnsi="Book Antiqua" w:eastAsia="Times New Roman" w:cs="Calibri"/>
                <w:color w:val="000000"/>
                <w:lang w:eastAsia="pl-PL"/>
              </w:rPr>
            </w:pPr>
          </w:p>
        </w:tc>
        <w:tc>
          <w:tcPr>
            <w:tcW w:w="431" w:type="pct"/>
            <w:shd w:val="clear" w:color="auto" w:fill="auto"/>
            <w:noWrap/>
          </w:tcPr>
          <w:p>
            <w:pPr>
              <w:spacing w:line="360" w:lineRule="auto"/>
              <w:jc w:val="both"/>
              <w:rPr>
                <w:rFonts w:ascii="Book Antiqua" w:hAnsi="Book Antiqua" w:eastAsia="Times New Roman" w:cs="Calibri"/>
                <w:color w:val="000000"/>
                <w:lang w:eastAsia="pl-PL"/>
              </w:rPr>
            </w:pPr>
          </w:p>
        </w:tc>
        <w:tc>
          <w:tcPr>
            <w:tcW w:w="670" w:type="pct"/>
            <w:shd w:val="clear" w:color="auto" w:fill="auto"/>
            <w:noWrap/>
          </w:tcPr>
          <w:p>
            <w:pPr>
              <w:spacing w:line="360" w:lineRule="auto"/>
              <w:jc w:val="both"/>
              <w:rPr>
                <w:rFonts w:ascii="Book Antiqua" w:hAnsi="Book Antiqua" w:eastAsia="Times New Roman" w:cs="Calibri"/>
                <w:color w:val="000000"/>
                <w:lang w:eastAsia="pl-PL"/>
              </w:rPr>
            </w:pPr>
          </w:p>
        </w:tc>
        <w:tc>
          <w:tcPr>
            <w:tcW w:w="68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FOLFIRI + panitumumab</w:t>
            </w:r>
          </w:p>
        </w:tc>
        <w:tc>
          <w:tcPr>
            <w:tcW w:w="286"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3</w:t>
            </w:r>
          </w:p>
        </w:tc>
        <w:tc>
          <w:tcPr>
            <w:tcW w:w="32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No</w:t>
            </w: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Weight loss</w:t>
            </w:r>
          </w:p>
        </w:tc>
        <w:tc>
          <w:tcPr>
            <w:tcW w:w="327" w:type="pct"/>
            <w:shd w:val="clear" w:color="auto" w:fill="auto"/>
            <w:noWrap/>
          </w:tcPr>
          <w:p>
            <w:pPr>
              <w:spacing w:line="360" w:lineRule="auto"/>
              <w:jc w:val="both"/>
              <w:rPr>
                <w:rFonts w:ascii="Book Antiqua" w:hAnsi="Book Antiqua" w:eastAsia="Times New Roman" w:cs="Calibri"/>
                <w:color w:val="000000"/>
                <w:lang w:val="fr-FR" w:eastAsia="pl-PL"/>
              </w:rPr>
            </w:pPr>
            <w:r>
              <w:rPr>
                <w:rFonts w:ascii="Book Antiqua" w:hAnsi="Book Antiqua" w:eastAsia="Times New Roman" w:cs="Calibri"/>
                <w:color w:val="000000"/>
                <w:lang w:val="fr-FR" w:eastAsia="pl-PL"/>
              </w:rPr>
              <w:t>PR</w:t>
            </w:r>
          </w:p>
          <w:p>
            <w:pPr>
              <w:spacing w:line="360" w:lineRule="auto"/>
              <w:jc w:val="both"/>
              <w:rPr>
                <w:rFonts w:ascii="Book Antiqua" w:hAnsi="Book Antiqua" w:eastAsia="Times New Roman" w:cs="Calibri"/>
                <w:color w:val="000000"/>
                <w:lang w:val="fr-FR" w:eastAsia="pl-PL"/>
              </w:rPr>
            </w:pPr>
            <w:r>
              <w:rPr>
                <w:rFonts w:ascii="Book Antiqua" w:hAnsi="Book Antiqua" w:eastAsia="Times New Roman" w:cs="Calibri"/>
                <w:color w:val="000000"/>
                <w:lang w:val="fr-FR" w:eastAsia="pl-PL"/>
              </w:rPr>
              <w:t>(paraaortic lymph node regression)</w:t>
            </w:r>
          </w:p>
        </w:tc>
        <w:tc>
          <w:tcPr>
            <w:tcW w:w="33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c>
          <w:tcPr>
            <w:tcW w:w="405"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shd w:val="clear" w:color="auto" w:fill="auto"/>
            <w:noWrap/>
          </w:tcPr>
          <w:p>
            <w:pPr>
              <w:spacing w:line="360" w:lineRule="auto"/>
              <w:jc w:val="both"/>
              <w:rPr>
                <w:rFonts w:ascii="Book Antiqua" w:hAnsi="Book Antiqua" w:eastAsia="Times New Roman" w:cs="Calibri"/>
                <w:color w:val="000000"/>
                <w:lang w:eastAsia="pl-PL"/>
              </w:rPr>
            </w:pPr>
          </w:p>
        </w:tc>
        <w:tc>
          <w:tcPr>
            <w:tcW w:w="288" w:type="pct"/>
            <w:shd w:val="clear" w:color="auto" w:fill="auto"/>
            <w:noWrap/>
          </w:tcPr>
          <w:p>
            <w:pPr>
              <w:spacing w:line="360" w:lineRule="auto"/>
              <w:jc w:val="both"/>
              <w:rPr>
                <w:rFonts w:ascii="Book Antiqua" w:hAnsi="Book Antiqua" w:eastAsia="Times New Roman" w:cs="Calibri"/>
                <w:color w:val="000000"/>
                <w:lang w:eastAsia="pl-PL"/>
              </w:rPr>
            </w:pPr>
          </w:p>
        </w:tc>
        <w:tc>
          <w:tcPr>
            <w:tcW w:w="239" w:type="pct"/>
            <w:shd w:val="clear" w:color="auto" w:fill="auto"/>
          </w:tcPr>
          <w:p>
            <w:pPr>
              <w:spacing w:line="360" w:lineRule="auto"/>
              <w:jc w:val="both"/>
              <w:rPr>
                <w:rFonts w:ascii="Book Antiqua" w:hAnsi="Book Antiqua" w:eastAsia="Times New Roman" w:cs="Calibri"/>
                <w:color w:val="000000"/>
                <w:lang w:eastAsia="pl-PL"/>
              </w:rPr>
            </w:pPr>
          </w:p>
        </w:tc>
        <w:tc>
          <w:tcPr>
            <w:tcW w:w="431" w:type="pct"/>
            <w:shd w:val="clear" w:color="auto" w:fill="auto"/>
            <w:noWrap/>
          </w:tcPr>
          <w:p>
            <w:pPr>
              <w:spacing w:line="360" w:lineRule="auto"/>
              <w:jc w:val="both"/>
              <w:rPr>
                <w:rFonts w:ascii="Book Antiqua" w:hAnsi="Book Antiqua" w:cs="Calibri"/>
                <w:color w:val="000000"/>
                <w:lang w:eastAsia="zh-CN"/>
              </w:rPr>
            </w:pPr>
          </w:p>
        </w:tc>
        <w:tc>
          <w:tcPr>
            <w:tcW w:w="670" w:type="pct"/>
            <w:shd w:val="clear" w:color="auto" w:fill="auto"/>
            <w:noWrap/>
          </w:tcPr>
          <w:p>
            <w:pPr>
              <w:spacing w:line="360" w:lineRule="auto"/>
              <w:jc w:val="both"/>
              <w:rPr>
                <w:rFonts w:ascii="Book Antiqua" w:hAnsi="Book Antiqua" w:cs="Calibri"/>
                <w:color w:val="000000"/>
                <w:lang w:eastAsia="zh-CN"/>
              </w:rPr>
            </w:pPr>
          </w:p>
        </w:tc>
        <w:tc>
          <w:tcPr>
            <w:tcW w:w="681" w:type="pct"/>
            <w:shd w:val="clear" w:color="auto" w:fill="auto"/>
            <w:noWrap/>
          </w:tcPr>
          <w:p>
            <w:pPr>
              <w:spacing w:line="360" w:lineRule="auto"/>
              <w:jc w:val="both"/>
              <w:rPr>
                <w:rFonts w:ascii="Book Antiqua" w:hAnsi="Book Antiqua" w:eastAsia="Times New Roman" w:cs="Calibri"/>
                <w:color w:val="000000"/>
                <w:lang w:eastAsia="pl-PL"/>
              </w:rPr>
            </w:pPr>
          </w:p>
        </w:tc>
        <w:tc>
          <w:tcPr>
            <w:tcW w:w="286" w:type="pct"/>
            <w:shd w:val="clear" w:color="auto" w:fill="auto"/>
            <w:noWrap/>
          </w:tcPr>
          <w:p>
            <w:pPr>
              <w:spacing w:line="360" w:lineRule="auto"/>
              <w:jc w:val="both"/>
              <w:rPr>
                <w:rFonts w:ascii="Book Antiqua" w:hAnsi="Book Antiqua" w:eastAsia="Times New Roman" w:cs="Calibri"/>
                <w:color w:val="000000"/>
                <w:lang w:eastAsia="pl-PL"/>
              </w:rPr>
            </w:pPr>
          </w:p>
        </w:tc>
        <w:tc>
          <w:tcPr>
            <w:tcW w:w="324" w:type="pct"/>
            <w:shd w:val="clear" w:color="auto" w:fill="auto"/>
            <w:noWrap/>
          </w:tcPr>
          <w:p>
            <w:pPr>
              <w:spacing w:line="360" w:lineRule="auto"/>
              <w:jc w:val="both"/>
              <w:rPr>
                <w:rFonts w:ascii="Book Antiqua" w:hAnsi="Book Antiqua" w:eastAsia="Times New Roman" w:cs="Calibri"/>
                <w:color w:val="000000"/>
                <w:lang w:eastAsia="pl-PL"/>
              </w:rPr>
            </w:pP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Diarrhea</w:t>
            </w:r>
          </w:p>
        </w:tc>
        <w:tc>
          <w:tcPr>
            <w:tcW w:w="327" w:type="pct"/>
            <w:shd w:val="clear" w:color="auto" w:fill="auto"/>
            <w:noWrap/>
          </w:tcPr>
          <w:p>
            <w:pPr>
              <w:spacing w:line="360" w:lineRule="auto"/>
              <w:jc w:val="both"/>
              <w:rPr>
                <w:rFonts w:ascii="Book Antiqua" w:hAnsi="Book Antiqua" w:eastAsia="Times New Roman" w:cs="Calibri"/>
                <w:color w:val="000000"/>
                <w:lang w:eastAsia="pl-PL"/>
              </w:rPr>
            </w:pPr>
          </w:p>
        </w:tc>
        <w:tc>
          <w:tcPr>
            <w:tcW w:w="337" w:type="pct"/>
            <w:shd w:val="clear" w:color="auto" w:fill="auto"/>
            <w:noWrap/>
          </w:tcPr>
          <w:p>
            <w:pPr>
              <w:spacing w:line="360" w:lineRule="auto"/>
              <w:jc w:val="both"/>
              <w:rPr>
                <w:rFonts w:ascii="Book Antiqua" w:hAnsi="Book Antiqua" w:eastAsia="Times New Roman" w:cs="Calibri"/>
                <w:color w:val="000000"/>
                <w:lang w:eastAsia="pl-PL"/>
              </w:rPr>
            </w:pPr>
          </w:p>
        </w:tc>
        <w:tc>
          <w:tcPr>
            <w:tcW w:w="405" w:type="pct"/>
            <w:shd w:val="clear" w:color="auto" w:fill="auto"/>
            <w:noWrap/>
          </w:tcPr>
          <w:p>
            <w:pPr>
              <w:spacing w:line="360" w:lineRule="auto"/>
              <w:jc w:val="both"/>
              <w:rPr>
                <w:rFonts w:ascii="Book Antiqua" w:hAnsi="Book Antiqua" w:eastAsia="Times New Roman" w:cs="Calibri"/>
                <w:color w:val="000000"/>
                <w:lang w:eastAsia="pl-P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shd w:val="clear" w:color="auto" w:fill="auto"/>
            <w:noWrap/>
          </w:tcPr>
          <w:p>
            <w:pPr>
              <w:spacing w:line="360" w:lineRule="auto"/>
              <w:jc w:val="both"/>
              <w:rPr>
                <w:rFonts w:ascii="Book Antiqua" w:hAnsi="Book Antiqua" w:eastAsia="Times New Roman" w:cs="Calibri"/>
                <w:color w:val="000000"/>
                <w:lang w:eastAsia="pl-PL"/>
              </w:rPr>
            </w:pPr>
          </w:p>
        </w:tc>
        <w:tc>
          <w:tcPr>
            <w:tcW w:w="288" w:type="pct"/>
            <w:shd w:val="clear" w:color="auto" w:fill="auto"/>
            <w:noWrap/>
          </w:tcPr>
          <w:p>
            <w:pPr>
              <w:spacing w:line="360" w:lineRule="auto"/>
              <w:jc w:val="both"/>
              <w:rPr>
                <w:rFonts w:ascii="Book Antiqua" w:hAnsi="Book Antiqua" w:eastAsia="Times New Roman" w:cs="Calibri"/>
                <w:color w:val="000000"/>
                <w:lang w:eastAsia="pl-PL"/>
              </w:rPr>
            </w:pPr>
          </w:p>
        </w:tc>
        <w:tc>
          <w:tcPr>
            <w:tcW w:w="239" w:type="pct"/>
            <w:shd w:val="clear" w:color="auto" w:fill="auto"/>
          </w:tcPr>
          <w:p>
            <w:pPr>
              <w:spacing w:line="360" w:lineRule="auto"/>
              <w:jc w:val="both"/>
              <w:rPr>
                <w:rFonts w:ascii="Book Antiqua" w:hAnsi="Book Antiqua" w:eastAsia="Times New Roman" w:cs="Calibri"/>
                <w:color w:val="000000"/>
                <w:lang w:eastAsia="pl-PL"/>
              </w:rPr>
            </w:pPr>
          </w:p>
        </w:tc>
        <w:tc>
          <w:tcPr>
            <w:tcW w:w="431" w:type="pct"/>
            <w:shd w:val="clear" w:color="auto" w:fill="auto"/>
            <w:noWrap/>
          </w:tcPr>
          <w:p>
            <w:pPr>
              <w:spacing w:line="360" w:lineRule="auto"/>
              <w:jc w:val="both"/>
              <w:rPr>
                <w:rFonts w:ascii="Book Antiqua" w:hAnsi="Book Antiqua" w:cs="Calibri"/>
                <w:color w:val="000000"/>
                <w:lang w:eastAsia="zh-CN"/>
              </w:rPr>
            </w:pPr>
          </w:p>
        </w:tc>
        <w:tc>
          <w:tcPr>
            <w:tcW w:w="670" w:type="pct"/>
            <w:shd w:val="clear" w:color="auto" w:fill="auto"/>
            <w:noWrap/>
          </w:tcPr>
          <w:p>
            <w:pPr>
              <w:spacing w:line="360" w:lineRule="auto"/>
              <w:jc w:val="both"/>
              <w:rPr>
                <w:rFonts w:ascii="Book Antiqua" w:hAnsi="Book Antiqua" w:cs="Calibri"/>
                <w:color w:val="000000"/>
                <w:lang w:eastAsia="zh-CN"/>
              </w:rPr>
            </w:pPr>
          </w:p>
        </w:tc>
        <w:tc>
          <w:tcPr>
            <w:tcW w:w="681" w:type="pct"/>
            <w:shd w:val="clear" w:color="auto" w:fill="auto"/>
            <w:noWrap/>
          </w:tcPr>
          <w:p>
            <w:pPr>
              <w:spacing w:line="360" w:lineRule="auto"/>
              <w:jc w:val="both"/>
              <w:rPr>
                <w:rFonts w:ascii="Book Antiqua" w:hAnsi="Book Antiqua" w:eastAsia="Times New Roman" w:cs="Calibri"/>
                <w:color w:val="000000"/>
                <w:lang w:eastAsia="pl-PL"/>
              </w:rPr>
            </w:pPr>
          </w:p>
        </w:tc>
        <w:tc>
          <w:tcPr>
            <w:tcW w:w="286" w:type="pct"/>
            <w:shd w:val="clear" w:color="auto" w:fill="auto"/>
            <w:noWrap/>
          </w:tcPr>
          <w:p>
            <w:pPr>
              <w:spacing w:line="360" w:lineRule="auto"/>
              <w:jc w:val="both"/>
              <w:rPr>
                <w:rFonts w:ascii="Book Antiqua" w:hAnsi="Book Antiqua" w:eastAsia="Times New Roman" w:cs="Calibri"/>
                <w:color w:val="000000"/>
                <w:lang w:eastAsia="pl-PL"/>
              </w:rPr>
            </w:pPr>
          </w:p>
        </w:tc>
        <w:tc>
          <w:tcPr>
            <w:tcW w:w="324" w:type="pct"/>
            <w:shd w:val="clear" w:color="auto" w:fill="auto"/>
            <w:noWrap/>
          </w:tcPr>
          <w:p>
            <w:pPr>
              <w:spacing w:line="360" w:lineRule="auto"/>
              <w:jc w:val="both"/>
              <w:rPr>
                <w:rFonts w:ascii="Book Antiqua" w:hAnsi="Book Antiqua" w:eastAsia="Times New Roman" w:cs="Calibri"/>
                <w:color w:val="000000"/>
                <w:lang w:eastAsia="pl-PL"/>
              </w:rPr>
            </w:pP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Hypomagnesemia</w:t>
            </w:r>
          </w:p>
        </w:tc>
        <w:tc>
          <w:tcPr>
            <w:tcW w:w="327" w:type="pct"/>
            <w:shd w:val="clear" w:color="auto" w:fill="auto"/>
            <w:noWrap/>
          </w:tcPr>
          <w:p>
            <w:pPr>
              <w:spacing w:line="360" w:lineRule="auto"/>
              <w:jc w:val="both"/>
              <w:rPr>
                <w:rFonts w:ascii="Book Antiqua" w:hAnsi="Book Antiqua" w:eastAsia="Times New Roman" w:cs="Calibri"/>
                <w:color w:val="000000"/>
                <w:lang w:eastAsia="pl-PL"/>
              </w:rPr>
            </w:pPr>
          </w:p>
        </w:tc>
        <w:tc>
          <w:tcPr>
            <w:tcW w:w="337" w:type="pct"/>
            <w:shd w:val="clear" w:color="auto" w:fill="auto"/>
            <w:noWrap/>
          </w:tcPr>
          <w:p>
            <w:pPr>
              <w:spacing w:line="360" w:lineRule="auto"/>
              <w:jc w:val="both"/>
              <w:rPr>
                <w:rFonts w:ascii="Book Antiqua" w:hAnsi="Book Antiqua" w:eastAsia="Times New Roman" w:cs="Calibri"/>
                <w:color w:val="000000"/>
                <w:lang w:eastAsia="pl-PL"/>
              </w:rPr>
            </w:pPr>
          </w:p>
        </w:tc>
        <w:tc>
          <w:tcPr>
            <w:tcW w:w="405" w:type="pct"/>
            <w:shd w:val="clear" w:color="auto" w:fill="auto"/>
            <w:noWrap/>
          </w:tcPr>
          <w:p>
            <w:pPr>
              <w:spacing w:line="360" w:lineRule="auto"/>
              <w:jc w:val="both"/>
              <w:rPr>
                <w:rFonts w:ascii="Book Antiqua" w:hAnsi="Book Antiqua" w:eastAsia="Times New Roman" w:cs="Calibri"/>
                <w:color w:val="000000"/>
                <w:lang w:eastAsia="pl-P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shd w:val="clear" w:color="auto" w:fill="auto"/>
            <w:noWrap/>
          </w:tcPr>
          <w:p>
            <w:pPr>
              <w:spacing w:line="360" w:lineRule="auto"/>
              <w:jc w:val="both"/>
              <w:rPr>
                <w:rFonts w:ascii="Book Antiqua" w:hAnsi="Book Antiqua" w:eastAsia="Times New Roman" w:cs="Calibri"/>
                <w:color w:val="000000"/>
                <w:lang w:eastAsia="pl-PL"/>
              </w:rPr>
            </w:pPr>
          </w:p>
        </w:tc>
        <w:tc>
          <w:tcPr>
            <w:tcW w:w="288" w:type="pct"/>
            <w:shd w:val="clear" w:color="auto" w:fill="auto"/>
            <w:noWrap/>
          </w:tcPr>
          <w:p>
            <w:pPr>
              <w:spacing w:line="360" w:lineRule="auto"/>
              <w:jc w:val="both"/>
              <w:rPr>
                <w:rFonts w:ascii="Book Antiqua" w:hAnsi="Book Antiqua" w:eastAsia="Times New Roman" w:cs="Calibri"/>
                <w:color w:val="000000"/>
                <w:lang w:eastAsia="pl-PL"/>
              </w:rPr>
            </w:pPr>
          </w:p>
        </w:tc>
        <w:tc>
          <w:tcPr>
            <w:tcW w:w="239" w:type="pct"/>
            <w:shd w:val="clear" w:color="auto" w:fill="auto"/>
          </w:tcPr>
          <w:p>
            <w:pPr>
              <w:spacing w:line="360" w:lineRule="auto"/>
              <w:jc w:val="both"/>
              <w:rPr>
                <w:rFonts w:ascii="Book Antiqua" w:hAnsi="Book Antiqua" w:eastAsia="Times New Roman" w:cs="Calibri"/>
                <w:color w:val="000000"/>
                <w:lang w:eastAsia="pl-PL"/>
              </w:rPr>
            </w:pPr>
          </w:p>
        </w:tc>
        <w:tc>
          <w:tcPr>
            <w:tcW w:w="431" w:type="pct"/>
            <w:shd w:val="clear" w:color="auto" w:fill="auto"/>
            <w:noWrap/>
          </w:tcPr>
          <w:p>
            <w:pPr>
              <w:spacing w:line="360" w:lineRule="auto"/>
              <w:jc w:val="both"/>
              <w:rPr>
                <w:rFonts w:ascii="Book Antiqua" w:hAnsi="Book Antiqua" w:eastAsia="Times New Roman" w:cs="Calibri"/>
                <w:color w:val="000000"/>
                <w:lang w:eastAsia="pl-PL"/>
              </w:rPr>
            </w:pPr>
          </w:p>
        </w:tc>
        <w:tc>
          <w:tcPr>
            <w:tcW w:w="670" w:type="pct"/>
            <w:shd w:val="clear" w:color="auto" w:fill="auto"/>
            <w:noWrap/>
          </w:tcPr>
          <w:p>
            <w:pPr>
              <w:spacing w:line="360" w:lineRule="auto"/>
              <w:jc w:val="both"/>
              <w:rPr>
                <w:rFonts w:ascii="Book Antiqua" w:hAnsi="Book Antiqua" w:cs="Calibri"/>
                <w:color w:val="000000"/>
                <w:lang w:eastAsia="zh-CN"/>
              </w:rPr>
            </w:pPr>
          </w:p>
        </w:tc>
        <w:tc>
          <w:tcPr>
            <w:tcW w:w="681"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SBRT + panitumumab</w:t>
            </w:r>
          </w:p>
        </w:tc>
        <w:tc>
          <w:tcPr>
            <w:tcW w:w="286"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16</w:t>
            </w:r>
          </w:p>
        </w:tc>
        <w:tc>
          <w:tcPr>
            <w:tcW w:w="32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No</w:t>
            </w: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Skin rash</w:t>
            </w:r>
          </w:p>
        </w:tc>
        <w:tc>
          <w:tcPr>
            <w:tcW w:w="32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CR</w:t>
            </w:r>
          </w:p>
        </w:tc>
        <w:tc>
          <w:tcPr>
            <w:tcW w:w="337"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p>
        </w:tc>
        <w:tc>
          <w:tcPr>
            <w:tcW w:w="405"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NA-</w:t>
            </w:r>
            <w:r>
              <w:rPr>
                <w:rFonts w:ascii="Book Antiqua" w:hAnsi="Book Antiqua" w:eastAsia="Times New Roman" w:cs="Calibri"/>
                <w:color w:val="000000"/>
                <w:lang w:val="en-GB" w:eastAsia="pl-PL"/>
              </w:rPr>
              <w:t>stroke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288" w:hRule="atLeast"/>
        </w:trPr>
        <w:tc>
          <w:tcPr>
            <w:tcW w:w="479" w:type="pct"/>
            <w:shd w:val="clear" w:color="auto" w:fill="auto"/>
            <w:noWrap/>
          </w:tcPr>
          <w:p>
            <w:pPr>
              <w:spacing w:line="360" w:lineRule="auto"/>
              <w:jc w:val="both"/>
              <w:rPr>
                <w:rFonts w:ascii="Book Antiqua" w:hAnsi="Book Antiqua" w:eastAsia="Times New Roman" w:cs="Calibri"/>
                <w:color w:val="000000"/>
                <w:lang w:eastAsia="pl-PL"/>
              </w:rPr>
            </w:pPr>
          </w:p>
        </w:tc>
        <w:tc>
          <w:tcPr>
            <w:tcW w:w="288" w:type="pct"/>
            <w:shd w:val="clear" w:color="auto" w:fill="auto"/>
            <w:noWrap/>
          </w:tcPr>
          <w:p>
            <w:pPr>
              <w:spacing w:line="360" w:lineRule="auto"/>
              <w:jc w:val="both"/>
              <w:rPr>
                <w:rFonts w:ascii="Book Antiqua" w:hAnsi="Book Antiqua" w:eastAsia="Times New Roman" w:cs="Calibri"/>
                <w:color w:val="000000"/>
                <w:lang w:eastAsia="pl-PL"/>
              </w:rPr>
            </w:pPr>
          </w:p>
        </w:tc>
        <w:tc>
          <w:tcPr>
            <w:tcW w:w="239" w:type="pct"/>
            <w:shd w:val="clear" w:color="auto" w:fill="auto"/>
          </w:tcPr>
          <w:p>
            <w:pPr>
              <w:spacing w:line="360" w:lineRule="auto"/>
              <w:jc w:val="both"/>
              <w:rPr>
                <w:rFonts w:ascii="Book Antiqua" w:hAnsi="Book Antiqua" w:eastAsia="Times New Roman" w:cs="Calibri"/>
                <w:color w:val="000000"/>
                <w:lang w:eastAsia="pl-PL"/>
              </w:rPr>
            </w:pPr>
          </w:p>
        </w:tc>
        <w:tc>
          <w:tcPr>
            <w:tcW w:w="431" w:type="pct"/>
            <w:shd w:val="clear" w:color="auto" w:fill="auto"/>
            <w:noWrap/>
          </w:tcPr>
          <w:p>
            <w:pPr>
              <w:spacing w:line="360" w:lineRule="auto"/>
              <w:jc w:val="both"/>
              <w:rPr>
                <w:rFonts w:ascii="Book Antiqua" w:hAnsi="Book Antiqua" w:eastAsia="Times New Roman" w:cs="Calibri"/>
                <w:color w:val="000000"/>
                <w:lang w:eastAsia="pl-PL"/>
              </w:rPr>
            </w:pPr>
          </w:p>
        </w:tc>
        <w:tc>
          <w:tcPr>
            <w:tcW w:w="670" w:type="pct"/>
            <w:shd w:val="clear" w:color="auto" w:fill="auto"/>
            <w:noWrap/>
          </w:tcPr>
          <w:p>
            <w:pPr>
              <w:spacing w:line="360" w:lineRule="auto"/>
              <w:jc w:val="both"/>
              <w:rPr>
                <w:rFonts w:ascii="Book Antiqua" w:hAnsi="Book Antiqua" w:cs="Calibri"/>
                <w:color w:val="000000"/>
                <w:lang w:eastAsia="zh-CN"/>
              </w:rPr>
            </w:pPr>
          </w:p>
        </w:tc>
        <w:tc>
          <w:tcPr>
            <w:tcW w:w="681" w:type="pct"/>
            <w:shd w:val="clear" w:color="auto" w:fill="auto"/>
            <w:noWrap/>
          </w:tcPr>
          <w:p>
            <w:pPr>
              <w:spacing w:line="360" w:lineRule="auto"/>
              <w:jc w:val="both"/>
              <w:rPr>
                <w:rFonts w:ascii="Book Antiqua" w:hAnsi="Book Antiqua" w:eastAsia="Times New Roman" w:cs="Calibri"/>
                <w:color w:val="000000"/>
                <w:lang w:eastAsia="pl-PL"/>
              </w:rPr>
            </w:pPr>
          </w:p>
        </w:tc>
        <w:tc>
          <w:tcPr>
            <w:tcW w:w="286" w:type="pct"/>
            <w:shd w:val="clear" w:color="auto" w:fill="auto"/>
            <w:noWrap/>
          </w:tcPr>
          <w:p>
            <w:pPr>
              <w:spacing w:line="360" w:lineRule="auto"/>
              <w:jc w:val="both"/>
              <w:rPr>
                <w:rFonts w:ascii="Book Antiqua" w:hAnsi="Book Antiqua" w:eastAsia="Times New Roman" w:cs="Calibri"/>
                <w:color w:val="000000"/>
                <w:lang w:eastAsia="pl-PL"/>
              </w:rPr>
            </w:pPr>
          </w:p>
        </w:tc>
        <w:tc>
          <w:tcPr>
            <w:tcW w:w="324" w:type="pct"/>
            <w:shd w:val="clear" w:color="auto" w:fill="auto"/>
            <w:noWrap/>
          </w:tcPr>
          <w:p>
            <w:pPr>
              <w:spacing w:line="360" w:lineRule="auto"/>
              <w:jc w:val="both"/>
              <w:rPr>
                <w:rFonts w:ascii="Book Antiqua" w:hAnsi="Book Antiqua" w:eastAsia="Times New Roman" w:cs="Calibri"/>
                <w:color w:val="000000"/>
                <w:lang w:eastAsia="pl-PL"/>
              </w:rPr>
            </w:pPr>
          </w:p>
        </w:tc>
        <w:tc>
          <w:tcPr>
            <w:tcW w:w="534" w:type="pct"/>
            <w:shd w:val="clear" w:color="auto" w:fill="auto"/>
            <w:noWrap/>
          </w:tcPr>
          <w:p>
            <w:pPr>
              <w:spacing w:line="360" w:lineRule="auto"/>
              <w:jc w:val="both"/>
              <w:rPr>
                <w:rFonts w:ascii="Book Antiqua" w:hAnsi="Book Antiqua" w:eastAsia="Times New Roman" w:cs="Calibri"/>
                <w:color w:val="000000"/>
                <w:lang w:eastAsia="pl-PL"/>
              </w:rPr>
            </w:pPr>
            <w:r>
              <w:rPr>
                <w:rFonts w:ascii="Book Antiqua" w:hAnsi="Book Antiqua" w:eastAsia="Times New Roman" w:cs="Calibri"/>
                <w:color w:val="000000"/>
                <w:lang w:eastAsia="pl-PL"/>
              </w:rPr>
              <w:t>Hypomagnesemia</w:t>
            </w:r>
          </w:p>
        </w:tc>
        <w:tc>
          <w:tcPr>
            <w:tcW w:w="327" w:type="pct"/>
            <w:shd w:val="clear" w:color="auto" w:fill="auto"/>
            <w:noWrap/>
          </w:tcPr>
          <w:p>
            <w:pPr>
              <w:spacing w:line="360" w:lineRule="auto"/>
              <w:jc w:val="both"/>
              <w:rPr>
                <w:rFonts w:ascii="Book Antiqua" w:hAnsi="Book Antiqua" w:eastAsia="Times New Roman" w:cs="Calibri"/>
                <w:color w:val="000000"/>
                <w:lang w:eastAsia="pl-PL"/>
              </w:rPr>
            </w:pPr>
          </w:p>
        </w:tc>
        <w:tc>
          <w:tcPr>
            <w:tcW w:w="337" w:type="pct"/>
            <w:shd w:val="clear" w:color="auto" w:fill="auto"/>
            <w:noWrap/>
          </w:tcPr>
          <w:p>
            <w:pPr>
              <w:spacing w:line="360" w:lineRule="auto"/>
              <w:jc w:val="both"/>
              <w:rPr>
                <w:rFonts w:ascii="Book Antiqua" w:hAnsi="Book Antiqua" w:eastAsia="Times New Roman" w:cs="Calibri"/>
                <w:color w:val="000000"/>
                <w:lang w:eastAsia="pl-PL"/>
              </w:rPr>
            </w:pPr>
          </w:p>
        </w:tc>
        <w:tc>
          <w:tcPr>
            <w:tcW w:w="405" w:type="pct"/>
            <w:shd w:val="clear" w:color="auto" w:fill="auto"/>
            <w:noWrap/>
          </w:tcPr>
          <w:p>
            <w:pPr>
              <w:spacing w:line="360" w:lineRule="auto"/>
              <w:jc w:val="both"/>
              <w:rPr>
                <w:rFonts w:ascii="Book Antiqua" w:hAnsi="Book Antiqua" w:eastAsia="Times New Roman" w:cs="Calibri"/>
                <w:color w:val="000000"/>
                <w:lang w:eastAsia="pl-PL"/>
              </w:rPr>
            </w:pPr>
          </w:p>
        </w:tc>
      </w:tr>
    </w:tbl>
    <w:p>
      <w:pPr>
        <w:spacing w:line="360" w:lineRule="auto"/>
        <w:jc w:val="both"/>
        <w:rPr>
          <w:rFonts w:ascii="Book Antiqua" w:hAnsi="Book Antiqua"/>
          <w:lang w:val="en-GB" w:eastAsia="zh-CN"/>
        </w:rPr>
      </w:pPr>
      <w:r>
        <w:rPr>
          <w:rFonts w:hint="eastAsia" w:ascii="Book Antiqua" w:hAnsi="Book Antiqua"/>
          <w:vertAlign w:val="superscript"/>
          <w:lang w:val="en-GB" w:eastAsia="zh-CN"/>
        </w:rPr>
        <w:t>1</w:t>
      </w:r>
      <w:r>
        <w:rPr>
          <w:rFonts w:ascii="Book Antiqua" w:hAnsi="Book Antiqua"/>
          <w:lang w:val="en-GB"/>
        </w:rPr>
        <w:t xml:space="preserve">Characteristics and outcome data for 17 patients cohort, including 5 patients that received CTH. </w:t>
      </w:r>
    </w:p>
    <w:p>
      <w:pPr>
        <w:spacing w:line="360" w:lineRule="auto"/>
        <w:jc w:val="both"/>
        <w:rPr>
          <w:rFonts w:hint="eastAsia" w:ascii="Book Antiqua" w:hAnsi="Book Antiqua" w:cs="Calibri"/>
          <w:color w:val="000000"/>
          <w:lang w:val="en-GB" w:eastAsia="zh-CN"/>
        </w:rPr>
        <w:sectPr>
          <w:pgSz w:w="15840" w:h="12240" w:orient="landscape"/>
          <w:pgMar w:top="1440" w:right="1440" w:bottom="1440" w:left="1440" w:header="720" w:footer="720" w:gutter="0"/>
          <w:cols w:space="720" w:num="1"/>
          <w:docGrid w:linePitch="360" w:charSpace="0"/>
        </w:sectPr>
      </w:pPr>
      <w:r>
        <w:rPr>
          <w:rFonts w:ascii="Book Antiqua" w:hAnsi="Book Antiqua" w:eastAsia="Times New Roman" w:cs="Calibri"/>
          <w:color w:val="000000"/>
          <w:lang w:val="en-GB" w:eastAsia="pl-PL"/>
        </w:rPr>
        <w:t>M: Man; W: Women; ADR: Adverse drug reaction; DSF: Disease-free survival; PFS: Progression-free survival, OS: Overall survival; NS: Not specified; NA</w:t>
      </w:r>
      <w:r>
        <w:rPr>
          <w:rFonts w:hint="eastAsia" w:ascii="Book Antiqua" w:hAnsi="Book Antiqua" w:cs="Calibri"/>
          <w:color w:val="000000"/>
          <w:lang w:val="en-GB" w:eastAsia="zh-CN"/>
        </w:rPr>
        <w:t>:</w:t>
      </w:r>
      <w:r>
        <w:rPr>
          <w:rFonts w:ascii="Book Antiqua" w:hAnsi="Book Antiqua" w:eastAsia="Times New Roman" w:cs="Calibri"/>
          <w:color w:val="000000"/>
          <w:lang w:val="en-GB" w:eastAsia="pl-PL"/>
        </w:rPr>
        <w:t xml:space="preserve"> Not available; FU-LV: 5-flurouracil-leucovorin; PD: Progressive disease; SD: Stable disease; PR: Partial Response; SBRT: Stereotactic body irradiation; CR: Complete response</w:t>
      </w:r>
      <w:r>
        <w:rPr>
          <w:rFonts w:hint="eastAsia" w:ascii="Book Antiqua" w:hAnsi="Book Antiqua" w:cs="Calibri"/>
          <w:color w:val="000000"/>
          <w:lang w:val="en-GB"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cs="Calibri"/>
          <w:color w:val="000000"/>
          <w:lang w:val="en-GB"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4371515"/>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23</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5CAD"/>
    <w:rsid w:val="00044AA1"/>
    <w:rsid w:val="00044ABE"/>
    <w:rsid w:val="000C02E9"/>
    <w:rsid w:val="000D6373"/>
    <w:rsid w:val="00136317"/>
    <w:rsid w:val="00177572"/>
    <w:rsid w:val="00184046"/>
    <w:rsid w:val="00191959"/>
    <w:rsid w:val="001B3FA8"/>
    <w:rsid w:val="001B7B28"/>
    <w:rsid w:val="001C7BEC"/>
    <w:rsid w:val="001D5E20"/>
    <w:rsid w:val="001D7297"/>
    <w:rsid w:val="001F73BC"/>
    <w:rsid w:val="00205EA9"/>
    <w:rsid w:val="00212F7A"/>
    <w:rsid w:val="002168F7"/>
    <w:rsid w:val="002707A3"/>
    <w:rsid w:val="002B2A12"/>
    <w:rsid w:val="002B2EBA"/>
    <w:rsid w:val="002D3057"/>
    <w:rsid w:val="002F5F4C"/>
    <w:rsid w:val="002F7083"/>
    <w:rsid w:val="0030120C"/>
    <w:rsid w:val="00312E7B"/>
    <w:rsid w:val="00322C5A"/>
    <w:rsid w:val="00333EF9"/>
    <w:rsid w:val="00363568"/>
    <w:rsid w:val="0037538D"/>
    <w:rsid w:val="003936EE"/>
    <w:rsid w:val="003A380D"/>
    <w:rsid w:val="003A770B"/>
    <w:rsid w:val="003B272E"/>
    <w:rsid w:val="003B5050"/>
    <w:rsid w:val="003D05C3"/>
    <w:rsid w:val="003D0C21"/>
    <w:rsid w:val="003E04B7"/>
    <w:rsid w:val="003E3C7B"/>
    <w:rsid w:val="00403FF8"/>
    <w:rsid w:val="00405E33"/>
    <w:rsid w:val="004124BF"/>
    <w:rsid w:val="00421A60"/>
    <w:rsid w:val="0043430E"/>
    <w:rsid w:val="00477954"/>
    <w:rsid w:val="004A218A"/>
    <w:rsid w:val="004B3B2C"/>
    <w:rsid w:val="004C22E1"/>
    <w:rsid w:val="004E5E98"/>
    <w:rsid w:val="0052621F"/>
    <w:rsid w:val="005275D6"/>
    <w:rsid w:val="00540726"/>
    <w:rsid w:val="00543E97"/>
    <w:rsid w:val="005B490E"/>
    <w:rsid w:val="0060625C"/>
    <w:rsid w:val="00615837"/>
    <w:rsid w:val="006465AE"/>
    <w:rsid w:val="00671428"/>
    <w:rsid w:val="00673C02"/>
    <w:rsid w:val="006E14E9"/>
    <w:rsid w:val="006E6856"/>
    <w:rsid w:val="006F48B7"/>
    <w:rsid w:val="00711A6C"/>
    <w:rsid w:val="00723C1E"/>
    <w:rsid w:val="00785D15"/>
    <w:rsid w:val="007A1A41"/>
    <w:rsid w:val="007A318C"/>
    <w:rsid w:val="007D7D33"/>
    <w:rsid w:val="00814E49"/>
    <w:rsid w:val="0081623D"/>
    <w:rsid w:val="00840507"/>
    <w:rsid w:val="0087210C"/>
    <w:rsid w:val="00896DFB"/>
    <w:rsid w:val="008E0EEA"/>
    <w:rsid w:val="008E5C1D"/>
    <w:rsid w:val="008E7E10"/>
    <w:rsid w:val="008F5595"/>
    <w:rsid w:val="00912FC1"/>
    <w:rsid w:val="009204AC"/>
    <w:rsid w:val="00947BA9"/>
    <w:rsid w:val="009635E9"/>
    <w:rsid w:val="00986971"/>
    <w:rsid w:val="009900D3"/>
    <w:rsid w:val="009A2F56"/>
    <w:rsid w:val="009A512A"/>
    <w:rsid w:val="009C087D"/>
    <w:rsid w:val="009C282F"/>
    <w:rsid w:val="009F39F8"/>
    <w:rsid w:val="00A55A2D"/>
    <w:rsid w:val="00A77B3E"/>
    <w:rsid w:val="00A80BAA"/>
    <w:rsid w:val="00A841CB"/>
    <w:rsid w:val="00B07BF7"/>
    <w:rsid w:val="00B4260F"/>
    <w:rsid w:val="00B47DC5"/>
    <w:rsid w:val="00B63D5E"/>
    <w:rsid w:val="00B6614C"/>
    <w:rsid w:val="00B75524"/>
    <w:rsid w:val="00B772CF"/>
    <w:rsid w:val="00BC1319"/>
    <w:rsid w:val="00BD7B5B"/>
    <w:rsid w:val="00BE0845"/>
    <w:rsid w:val="00C137D7"/>
    <w:rsid w:val="00C637F5"/>
    <w:rsid w:val="00C7718C"/>
    <w:rsid w:val="00C92C07"/>
    <w:rsid w:val="00CA24D0"/>
    <w:rsid w:val="00CA2A55"/>
    <w:rsid w:val="00CB5B68"/>
    <w:rsid w:val="00CB644D"/>
    <w:rsid w:val="00CD0763"/>
    <w:rsid w:val="00CE6698"/>
    <w:rsid w:val="00CE79D7"/>
    <w:rsid w:val="00D24628"/>
    <w:rsid w:val="00D33D5C"/>
    <w:rsid w:val="00D35635"/>
    <w:rsid w:val="00D61FC3"/>
    <w:rsid w:val="00D65279"/>
    <w:rsid w:val="00D77BD2"/>
    <w:rsid w:val="00D92E99"/>
    <w:rsid w:val="00D9728F"/>
    <w:rsid w:val="00DA2C54"/>
    <w:rsid w:val="00DB3921"/>
    <w:rsid w:val="00DC7EB8"/>
    <w:rsid w:val="00DD34D6"/>
    <w:rsid w:val="00E427B9"/>
    <w:rsid w:val="00E50308"/>
    <w:rsid w:val="00E76832"/>
    <w:rsid w:val="00E85DA3"/>
    <w:rsid w:val="00EA2F74"/>
    <w:rsid w:val="00EB54B4"/>
    <w:rsid w:val="00ED10DA"/>
    <w:rsid w:val="00F45D40"/>
    <w:rsid w:val="00F61EE3"/>
    <w:rsid w:val="00F719E2"/>
    <w:rsid w:val="00F81AB2"/>
    <w:rsid w:val="00FA78A6"/>
    <w:rsid w:val="00FB2E33"/>
    <w:rsid w:val="00FC3B00"/>
    <w:rsid w:val="00FD0789"/>
    <w:rsid w:val="00FD7471"/>
    <w:rsid w:val="00FE5772"/>
    <w:rsid w:val="00FF3B3C"/>
    <w:rsid w:val="00FF3B5B"/>
    <w:rsid w:val="25441EE4"/>
    <w:rsid w:val="2BBB1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rPr>
      <w:sz w:val="20"/>
      <w:szCs w:val="20"/>
    </w:rPr>
  </w:style>
  <w:style w:type="paragraph" w:styleId="3">
    <w:name w:val="Balloon Text"/>
    <w:basedOn w:val="1"/>
    <w:link w:val="13"/>
    <w:qFormat/>
    <w:uiPriority w:val="0"/>
    <w:rPr>
      <w:sz w:val="18"/>
      <w:szCs w:val="18"/>
    </w:rPr>
  </w:style>
  <w:style w:type="paragraph" w:styleId="4">
    <w:name w:val="footer"/>
    <w:basedOn w:val="1"/>
    <w:link w:val="12"/>
    <w:qFormat/>
    <w:uiPriority w:val="99"/>
    <w:pPr>
      <w:tabs>
        <w:tab w:val="center" w:pos="4153"/>
        <w:tab w:val="right" w:pos="8306"/>
      </w:tabs>
      <w:snapToGrid w:val="0"/>
    </w:pPr>
    <w:rPr>
      <w:sz w:val="18"/>
      <w:szCs w:val="18"/>
    </w:rPr>
  </w:style>
  <w:style w:type="paragraph" w:styleId="5">
    <w:name w:val="header"/>
    <w:basedOn w:val="1"/>
    <w:link w:val="11"/>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16"/>
      <w:szCs w:val="16"/>
    </w:rPr>
  </w:style>
  <w:style w:type="character" w:customStyle="1" w:styleId="11">
    <w:name w:val="页眉 字符"/>
    <w:basedOn w:val="9"/>
    <w:link w:val="5"/>
    <w:uiPriority w:val="0"/>
    <w:rPr>
      <w:sz w:val="18"/>
      <w:szCs w:val="18"/>
    </w:rPr>
  </w:style>
  <w:style w:type="character" w:customStyle="1" w:styleId="12">
    <w:name w:val="页脚 字符"/>
    <w:basedOn w:val="9"/>
    <w:link w:val="4"/>
    <w:uiPriority w:val="99"/>
    <w:rPr>
      <w:sz w:val="18"/>
      <w:szCs w:val="18"/>
    </w:rPr>
  </w:style>
  <w:style w:type="character" w:customStyle="1" w:styleId="13">
    <w:name w:val="批注框文本 字符"/>
    <w:basedOn w:val="9"/>
    <w:link w:val="3"/>
    <w:uiPriority w:val="0"/>
    <w:rPr>
      <w:sz w:val="18"/>
      <w:szCs w:val="18"/>
    </w:rPr>
  </w:style>
  <w:style w:type="paragraph" w:customStyle="1" w:styleId="14">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15">
    <w:name w:val="批注文字 字符"/>
    <w:basedOn w:val="9"/>
    <w:link w:val="2"/>
    <w:semiHidden/>
    <w:uiPriority w:val="0"/>
  </w:style>
  <w:style w:type="character" w:customStyle="1" w:styleId="16">
    <w:name w:val="批注主题 字符"/>
    <w:basedOn w:val="15"/>
    <w:link w:val="6"/>
    <w:semiHidden/>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4350</Words>
  <Characters>25950</Characters>
  <Lines>213</Lines>
  <Paragraphs>60</Paragraphs>
  <TotalTime>0</TotalTime>
  <ScaleCrop>false</ScaleCrop>
  <LinksUpToDate>false</LinksUpToDate>
  <CharactersWithSpaces>30007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2022-04-29T13:00:00Z</dcterms:created>
  <dc:creator>Sylwia Kozak</dc:creator>
  <cp:lastModifiedBy>晓晨</cp:lastModifiedBy>
  <dcterms:modified xsi:type="dcterms:W3CDTF">2022-06-24T02:01:23Z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BA4C878ED4D345F09205333968735D30</vt:lpwstr>
  </property>
</Properties>
</file>