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1F42A" w14:textId="0D153F92"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Name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of</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Journal:</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i/>
          <w:color w:val="000000"/>
        </w:rPr>
        <w:t>World</w:t>
      </w:r>
      <w:r w:rsidR="00424EDF" w:rsidRPr="00CB49E8">
        <w:rPr>
          <w:rFonts w:ascii="Book Antiqua" w:eastAsia="Book Antiqua" w:hAnsi="Book Antiqua" w:cs="Book Antiqua"/>
          <w:i/>
          <w:color w:val="000000"/>
        </w:rPr>
        <w:t xml:space="preserve"> </w:t>
      </w:r>
      <w:r w:rsidRPr="00CB49E8">
        <w:rPr>
          <w:rFonts w:ascii="Book Antiqua" w:eastAsia="Book Antiqua" w:hAnsi="Book Antiqua" w:cs="Book Antiqua"/>
          <w:i/>
          <w:color w:val="000000"/>
        </w:rPr>
        <w:t>Journal</w:t>
      </w:r>
      <w:r w:rsidR="00424EDF" w:rsidRPr="00CB49E8">
        <w:rPr>
          <w:rFonts w:ascii="Book Antiqua" w:eastAsia="Book Antiqua" w:hAnsi="Book Antiqua" w:cs="Book Antiqua"/>
          <w:i/>
          <w:color w:val="000000"/>
        </w:rPr>
        <w:t xml:space="preserve"> </w:t>
      </w:r>
      <w:r w:rsidRPr="00CB49E8">
        <w:rPr>
          <w:rFonts w:ascii="Book Antiqua" w:eastAsia="Book Antiqua" w:hAnsi="Book Antiqua" w:cs="Book Antiqua"/>
          <w:i/>
          <w:color w:val="000000"/>
        </w:rPr>
        <w:t>of</w:t>
      </w:r>
      <w:r w:rsidR="00424EDF" w:rsidRPr="00CB49E8">
        <w:rPr>
          <w:rFonts w:ascii="Book Antiqua" w:eastAsia="Book Antiqua" w:hAnsi="Book Antiqua" w:cs="Book Antiqua"/>
          <w:i/>
          <w:color w:val="000000"/>
        </w:rPr>
        <w:t xml:space="preserve"> </w:t>
      </w:r>
      <w:r w:rsidRPr="00CB49E8">
        <w:rPr>
          <w:rFonts w:ascii="Book Antiqua" w:eastAsia="Book Antiqua" w:hAnsi="Book Antiqua" w:cs="Book Antiqua"/>
          <w:i/>
          <w:color w:val="000000"/>
        </w:rPr>
        <w:t>Clinical</w:t>
      </w:r>
      <w:r w:rsidR="00424EDF" w:rsidRPr="00CB49E8">
        <w:rPr>
          <w:rFonts w:ascii="Book Antiqua" w:eastAsia="Book Antiqua" w:hAnsi="Book Antiqua" w:cs="Book Antiqua"/>
          <w:i/>
          <w:color w:val="000000"/>
        </w:rPr>
        <w:t xml:space="preserve"> </w:t>
      </w:r>
      <w:r w:rsidRPr="00CB49E8">
        <w:rPr>
          <w:rFonts w:ascii="Book Antiqua" w:eastAsia="Book Antiqua" w:hAnsi="Book Antiqua" w:cs="Book Antiqua"/>
          <w:i/>
          <w:color w:val="000000"/>
        </w:rPr>
        <w:t>Cases</w:t>
      </w:r>
    </w:p>
    <w:p w14:paraId="4740DD41" w14:textId="39A63A6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Manuscript</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NO:</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72686</w:t>
      </w:r>
    </w:p>
    <w:p w14:paraId="1E74D2F8" w14:textId="60AE6BBE"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Manuscript</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Type: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MINIREVIEWS</w:t>
      </w:r>
    </w:p>
    <w:p w14:paraId="02CE2B18" w14:textId="77777777" w:rsidR="00A77B3E" w:rsidRPr="00CB49E8" w:rsidRDefault="00A77B3E" w:rsidP="007902BA">
      <w:pPr>
        <w:spacing w:line="360" w:lineRule="auto"/>
        <w:jc w:val="both"/>
        <w:rPr>
          <w:rFonts w:ascii="Book Antiqua" w:hAnsi="Book Antiqua"/>
        </w:rPr>
      </w:pPr>
    </w:p>
    <w:p w14:paraId="3A57F7A2" w14:textId="4332566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Drainage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pancreatic</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fluid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collections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in</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acute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pancreatitis: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comprehensive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overview</w:t>
      </w:r>
    </w:p>
    <w:p w14:paraId="5BC3D95E" w14:textId="77777777" w:rsidR="00A77B3E" w:rsidRPr="00CB49E8" w:rsidRDefault="00A77B3E" w:rsidP="007902BA">
      <w:pPr>
        <w:spacing w:line="360" w:lineRule="auto"/>
        <w:jc w:val="both"/>
        <w:rPr>
          <w:rFonts w:ascii="Book Antiqua" w:hAnsi="Book Antiqua"/>
        </w:rPr>
      </w:pPr>
    </w:p>
    <w:p w14:paraId="0376E1FD" w14:textId="347DC478" w:rsidR="00A77B3E" w:rsidRPr="00CB49E8" w:rsidRDefault="00AE3B6D" w:rsidP="007902BA">
      <w:pPr>
        <w:spacing w:line="360" w:lineRule="auto"/>
        <w:jc w:val="both"/>
        <w:rPr>
          <w:rFonts w:ascii="Book Antiqua" w:hAnsi="Book Antiqua"/>
        </w:rPr>
      </w:pPr>
      <w:r w:rsidRPr="00CB49E8">
        <w:rPr>
          <w:rFonts w:ascii="Book Antiqua" w:eastAsia="Book Antiqua" w:hAnsi="Book Antiqua" w:cs="Book Antiqua"/>
          <w:color w:val="000000"/>
        </w:rPr>
        <w:t>Bansal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i/>
          <w:iCs/>
          <w:color w:val="000000"/>
        </w:rPr>
        <w:t>et</w:t>
      </w:r>
      <w:r w:rsidR="00424EDF" w:rsidRPr="00CB49E8">
        <w:rPr>
          <w:rFonts w:ascii="Book Antiqua" w:eastAsia="Book Antiqua" w:hAnsi="Book Antiqua" w:cs="Book Antiqua"/>
          <w:i/>
          <w:iCs/>
          <w:color w:val="000000"/>
        </w:rPr>
        <w:t xml:space="preserve"> </w:t>
      </w:r>
      <w:r w:rsidRPr="00CB49E8">
        <w:rPr>
          <w:rFonts w:ascii="Book Antiqua" w:eastAsia="Book Antiqua" w:hAnsi="Book Antiqua" w:cs="Book Antiqua"/>
          <w:i/>
          <w:iCs/>
          <w:color w:val="000000"/>
        </w:rPr>
        <w:t>al</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collections</w:t>
      </w:r>
    </w:p>
    <w:p w14:paraId="02C85D89" w14:textId="77777777" w:rsidR="00A77B3E" w:rsidRPr="00CB49E8" w:rsidRDefault="00A77B3E" w:rsidP="007902BA">
      <w:pPr>
        <w:spacing w:line="360" w:lineRule="auto"/>
        <w:jc w:val="both"/>
        <w:rPr>
          <w:rFonts w:ascii="Book Antiqua" w:hAnsi="Book Antiqua"/>
        </w:rPr>
      </w:pPr>
    </w:p>
    <w:p w14:paraId="5BB91434" w14:textId="6125A88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Akash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Bansal,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Pankaj</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Gupta,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Anupam</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Singh,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Jimil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Shah,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Jayanta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Samanta,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Harshal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Mandavdhare,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Vishal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Sharma,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Saroj</w:t>
      </w:r>
      <w:r w:rsidR="00424EDF" w:rsidRPr="00CB49E8">
        <w:rPr>
          <w:rFonts w:ascii="Book Antiqua" w:eastAsia="Book Antiqua" w:hAnsi="Book Antiqua" w:cs="Book Antiqua"/>
          <w:color w:val="000000"/>
        </w:rPr>
        <w:t xml:space="preserve"> </w:t>
      </w:r>
      <w:r w:rsidR="00A42324" w:rsidRPr="00CB49E8">
        <w:rPr>
          <w:rFonts w:ascii="Book Antiqua" w:eastAsia="Book Antiqua" w:hAnsi="Book Antiqua" w:cs="Book Antiqua"/>
          <w:color w:val="000000"/>
        </w:rPr>
        <w:t>K</w:t>
      </w:r>
      <w:r w:rsidRPr="00CB49E8">
        <w:rPr>
          <w:rFonts w:ascii="Book Antiqua" w:eastAsia="Book Antiqua" w:hAnsi="Book Antiqua" w:cs="Book Antiqua"/>
          <w:color w:val="000000"/>
        </w:rPr>
        <w:t>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Sinha,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Usha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Dutta,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Manavjit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Singh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Sandhu,</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Rakesh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Kochhar</w:t>
      </w:r>
    </w:p>
    <w:p w14:paraId="6648FB03" w14:textId="77777777" w:rsidR="00A77B3E" w:rsidRPr="00CB49E8" w:rsidRDefault="00A77B3E" w:rsidP="007902BA">
      <w:pPr>
        <w:spacing w:line="360" w:lineRule="auto"/>
        <w:jc w:val="both"/>
        <w:rPr>
          <w:rFonts w:ascii="Book Antiqua" w:hAnsi="Book Antiqua"/>
        </w:rPr>
      </w:pPr>
    </w:p>
    <w:p w14:paraId="18D2970E" w14:textId="49FB600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Akash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Bansal,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Pankaj</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Gupta,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Manavjit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Singh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Sandhu,</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Department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Radiodiagnosis,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Postgraduate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Institute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Education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Research,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Chandigarh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160012,</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India</w:t>
      </w:r>
    </w:p>
    <w:p w14:paraId="61F9BC51" w14:textId="77777777" w:rsidR="00A77B3E" w:rsidRPr="00CB49E8" w:rsidRDefault="00A77B3E" w:rsidP="007902BA">
      <w:pPr>
        <w:spacing w:line="360" w:lineRule="auto"/>
        <w:jc w:val="both"/>
        <w:rPr>
          <w:rFonts w:ascii="Book Antiqua" w:hAnsi="Book Antiqua"/>
        </w:rPr>
      </w:pPr>
    </w:p>
    <w:p w14:paraId="44BA4D29" w14:textId="5E6D1953"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Anupam</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K</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Singh,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Jimil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Shah,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Jayanta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Samanta,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Harshal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Mandavdhare,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Vishal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Sharma,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Saroj</w:t>
      </w:r>
      <w:r w:rsidR="00424EDF" w:rsidRPr="00CB49E8">
        <w:rPr>
          <w:rFonts w:ascii="Book Antiqua" w:eastAsia="Book Antiqua" w:hAnsi="Book Antiqua" w:cs="Book Antiqua"/>
          <w:b/>
          <w:bCs/>
          <w:color w:val="000000"/>
        </w:rPr>
        <w:t xml:space="preserve"> </w:t>
      </w:r>
      <w:r w:rsidR="00A42324" w:rsidRPr="00CB49E8">
        <w:rPr>
          <w:rFonts w:ascii="Book Antiqua" w:eastAsia="Book Antiqua" w:hAnsi="Book Antiqua" w:cs="Book Antiqua"/>
          <w:b/>
          <w:bCs/>
          <w:color w:val="000000"/>
        </w:rPr>
        <w:t>K</w:t>
      </w:r>
      <w:r w:rsidRPr="00CB49E8">
        <w:rPr>
          <w:rFonts w:ascii="Book Antiqua" w:eastAsia="Book Antiqua" w:hAnsi="Book Antiqua" w:cs="Book Antiqua"/>
          <w:b/>
          <w:bCs/>
          <w:color w:val="000000"/>
        </w:rPr>
        <w:t>ant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Sinha,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Usha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Dutta,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Rakesh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Kochhar,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Department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Gastroenterology,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Postgraduate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Institute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Education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Research,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Chandigarh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160012,</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India</w:t>
      </w:r>
    </w:p>
    <w:p w14:paraId="3A2F00A7" w14:textId="77777777" w:rsidR="00A77B3E" w:rsidRPr="00CB49E8" w:rsidRDefault="00A77B3E" w:rsidP="007902BA">
      <w:pPr>
        <w:spacing w:line="360" w:lineRule="auto"/>
        <w:jc w:val="both"/>
        <w:rPr>
          <w:rFonts w:ascii="Book Antiqua" w:hAnsi="Book Antiqua"/>
        </w:rPr>
      </w:pPr>
    </w:p>
    <w:p w14:paraId="3838C994" w14:textId="0D4C0DC1"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Author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contributions: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Bansal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Gupta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acquired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data,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designed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outline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paper,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performed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writing,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major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revisions;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Singh</w:t>
      </w:r>
      <w:r w:rsidR="00424EDF" w:rsidRPr="00CB49E8">
        <w:rPr>
          <w:rFonts w:ascii="Book Antiqua" w:eastAsia="Book Antiqua" w:hAnsi="Book Antiqua" w:cs="Book Antiqua"/>
          <w:color w:val="000000"/>
        </w:rPr>
        <w:t xml:space="preserve"> </w:t>
      </w:r>
      <w:r w:rsidR="009976B8" w:rsidRPr="00CB49E8">
        <w:rPr>
          <w:rFonts w:ascii="Book Antiqua" w:eastAsia="Book Antiqua" w:hAnsi="Book Antiqua" w:cs="Book Antiqua"/>
          <w:color w:val="000000"/>
        </w:rPr>
        <w:t>AK</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Shah</w:t>
      </w:r>
      <w:r w:rsidR="00424EDF" w:rsidRPr="00CB49E8">
        <w:rPr>
          <w:rFonts w:ascii="Book Antiqua" w:eastAsia="Book Antiqua" w:hAnsi="Book Antiqua" w:cs="Book Antiqua"/>
          <w:color w:val="000000"/>
        </w:rPr>
        <w:t xml:space="preserve"> </w:t>
      </w:r>
      <w:r w:rsidR="009976B8" w:rsidRPr="00CB49E8">
        <w:rPr>
          <w:rFonts w:ascii="Book Antiqua" w:eastAsia="Book Antiqua" w:hAnsi="Book Antiqua" w:cs="Book Antiqua"/>
          <w:color w:val="000000"/>
        </w:rPr>
        <w:t>J</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Samanta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J,</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Mandavdhare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w:t>
      </w:r>
      <w:r w:rsidR="009976B8" w:rsidRPr="00CB49E8">
        <w:rPr>
          <w:rFonts w:ascii="Book Antiqua" w:eastAsia="Book Antiqua" w:hAnsi="Book Antiqua" w:cs="Book Antiqua"/>
          <w:color w:val="000000"/>
        </w:rPr>
        <w:t>S</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Sharma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V,</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Sinha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Dutta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Sandhu</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MS,</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and </w:t>
      </w:r>
      <w:r w:rsidRPr="00CB49E8">
        <w:rPr>
          <w:rFonts w:ascii="Book Antiqua" w:eastAsia="Book Antiqua" w:hAnsi="Book Antiqua" w:cs="Book Antiqua"/>
          <w:color w:val="000000"/>
        </w:rPr>
        <w:t>Kochhar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contributed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data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acquisition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writing</w:t>
      </w:r>
      <w:r w:rsidR="006D58FC"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006D58FC" w:rsidRPr="00CB49E8">
        <w:rPr>
          <w:rFonts w:ascii="Book Antiqua" w:eastAsia="Book Antiqua" w:hAnsi="Book Antiqua" w:cs="Book Antiqua"/>
          <w:color w:val="000000"/>
        </w:rPr>
        <w:t>a</w:t>
      </w:r>
      <w:r w:rsidRPr="00CB49E8">
        <w:rPr>
          <w:rFonts w:ascii="Book Antiqua" w:eastAsia="Book Antiqua" w:hAnsi="Book Antiqua" w:cs="Book Antiqua"/>
          <w:color w:val="000000"/>
        </w:rPr>
        <w:t>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authors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read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approve</w:t>
      </w:r>
      <w:r w:rsidR="00B022DF" w:rsidRPr="00CB49E8">
        <w:rPr>
          <w:rFonts w:ascii="Book Antiqua" w:eastAsia="Book Antiqua" w:hAnsi="Book Antiqua" w:cs="Book Antiqua"/>
          <w:color w:val="000000"/>
        </w:rPr>
        <w:t>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manuscript.</w:t>
      </w:r>
    </w:p>
    <w:p w14:paraId="759A1478" w14:textId="77777777" w:rsidR="00A77B3E" w:rsidRPr="00CB49E8" w:rsidRDefault="00A77B3E" w:rsidP="007902BA">
      <w:pPr>
        <w:spacing w:line="360" w:lineRule="auto"/>
        <w:jc w:val="both"/>
        <w:rPr>
          <w:rFonts w:ascii="Book Antiqua" w:hAnsi="Book Antiqua"/>
        </w:rPr>
      </w:pPr>
    </w:p>
    <w:p w14:paraId="33103A67" w14:textId="24D68A45"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lastRenderedPageBreak/>
        <w:t>Corresponding</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author: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Pankaj</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Gupta,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MBBS,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Associate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Professor,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Department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Radiodiagnosis,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Postgraduate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Institute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Education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Research,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Sector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12,</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Chandigarh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160012,</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pankajgupta959@gmail.com</w:t>
      </w:r>
    </w:p>
    <w:p w14:paraId="109D502C" w14:textId="77777777" w:rsidR="00A77B3E" w:rsidRPr="00CB49E8" w:rsidRDefault="00A77B3E" w:rsidP="007902BA">
      <w:pPr>
        <w:spacing w:line="360" w:lineRule="auto"/>
        <w:jc w:val="both"/>
        <w:rPr>
          <w:rFonts w:ascii="Book Antiqua" w:hAnsi="Book Antiqua"/>
        </w:rPr>
      </w:pPr>
    </w:p>
    <w:p w14:paraId="7E1957C9" w14:textId="575B1605"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Received: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October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26,</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2021</w:t>
      </w:r>
    </w:p>
    <w:p w14:paraId="2D49B5E1" w14:textId="0E94930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Revised: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January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10,</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2022</w:t>
      </w:r>
    </w:p>
    <w:p w14:paraId="7FD335F3" w14:textId="71FA1BF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Accepted:</w:t>
      </w:r>
      <w:r w:rsidR="00424EDF" w:rsidRPr="00CB49E8">
        <w:rPr>
          <w:rFonts w:ascii="Book Antiqua" w:eastAsia="Book Antiqua" w:hAnsi="Book Antiqua" w:cs="Book Antiqua"/>
          <w:b/>
          <w:bCs/>
          <w:color w:val="000000"/>
        </w:rPr>
        <w:t xml:space="preserve"> </w:t>
      </w:r>
      <w:r w:rsidR="00B10EB5" w:rsidRPr="00CB49E8">
        <w:rPr>
          <w:rFonts w:ascii="Book Antiqua" w:eastAsia="Book Antiqua" w:hAnsi="Book Antiqua" w:cs="Book Antiqua"/>
          <w:color w:val="000000"/>
        </w:rPr>
        <w:t>May 13, 2022</w:t>
      </w:r>
    </w:p>
    <w:p w14:paraId="64C9BAD7" w14:textId="1613FAEC"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Published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online:</w:t>
      </w:r>
      <w:r w:rsidR="00424EDF" w:rsidRPr="00CB49E8">
        <w:rPr>
          <w:rFonts w:ascii="Book Antiqua" w:eastAsia="Book Antiqua" w:hAnsi="Book Antiqua" w:cs="Book Antiqua"/>
          <w:b/>
          <w:bCs/>
          <w:color w:val="000000"/>
        </w:rPr>
        <w:t xml:space="preserve"> </w:t>
      </w:r>
      <w:bookmarkStart w:id="0" w:name="_Hlk106288222"/>
      <w:r w:rsidR="00556422" w:rsidRPr="00CB49E8">
        <w:rPr>
          <w:rFonts w:ascii="Book Antiqua" w:hAnsi="Book Antiqua"/>
          <w:color w:val="000000"/>
          <w:shd w:val="clear" w:color="auto" w:fill="FFFFFF"/>
        </w:rPr>
        <w:t>July 16, 2022</w:t>
      </w:r>
      <w:bookmarkEnd w:id="0"/>
    </w:p>
    <w:p w14:paraId="2A11A4D8" w14:textId="77777777" w:rsidR="00A77B3E" w:rsidRPr="00CB49E8" w:rsidRDefault="00A77B3E" w:rsidP="007902BA">
      <w:pPr>
        <w:spacing w:line="360" w:lineRule="auto"/>
        <w:jc w:val="both"/>
        <w:rPr>
          <w:rFonts w:ascii="Book Antiqua" w:hAnsi="Book Antiqua"/>
        </w:rPr>
        <w:sectPr w:rsidR="00A77B3E" w:rsidRPr="00CB49E8">
          <w:footerReference w:type="default" r:id="rId6"/>
          <w:pgSz w:w="12240" w:h="15840"/>
          <w:pgMar w:top="1440" w:right="1440" w:bottom="1440" w:left="1440" w:header="720" w:footer="720" w:gutter="0"/>
          <w:cols w:space="720"/>
          <w:docGrid w:linePitch="360"/>
        </w:sectPr>
      </w:pPr>
    </w:p>
    <w:p w14:paraId="01EDCB0A" w14:textId="7777777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lastRenderedPageBreak/>
        <w:t>Abstract</w:t>
      </w:r>
    </w:p>
    <w:p w14:paraId="10A441C4" w14:textId="5B73DC91" w:rsidR="00A77B3E" w:rsidRPr="00CB49E8" w:rsidRDefault="00B022DF"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Moderately severe and severe acute pancreatitis is characterized by local and systemic complications. Systemic complications predominate the early phase of acute pancreatitis while local complications are important in the late phase of the disease. Necrotic fluid collections represent the most important local complication. Drainage of these collections is indicated in the setting of infection, persistent or new onset organ failure, compressive or pressure symptoms, and intraabdominal hypertension. Percutaneous, endoscopic, and minimally invasive surgical drainage represents the various methods of drainage with each having its own advantages and disadvantages. These methods are often complementary. In this minireview, we discuss the indications, timing, and techniques of drainage of pancreatic fluid collections with focus on percutaneous catheter drainage. We also discuss the novel methods and techniques to improve the outcomes of percutaneous catheter drainage.</w:t>
      </w:r>
    </w:p>
    <w:p w14:paraId="06E18D42" w14:textId="77777777" w:rsidR="00B022DF" w:rsidRPr="00CB49E8" w:rsidRDefault="00B022DF" w:rsidP="007902BA">
      <w:pPr>
        <w:spacing w:line="360" w:lineRule="auto"/>
        <w:jc w:val="both"/>
        <w:rPr>
          <w:rFonts w:ascii="Book Antiqua" w:hAnsi="Book Antiqua"/>
        </w:rPr>
      </w:pPr>
    </w:p>
    <w:p w14:paraId="087BB4B4" w14:textId="016E9669"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Key</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Words: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00683ABC" w:rsidRPr="00CB49E8">
        <w:rPr>
          <w:rFonts w:ascii="Book Antiqua" w:eastAsia="Book Antiqua" w:hAnsi="Book Antiqua" w:cs="Book Antiqua"/>
          <w:color w:val="000000"/>
        </w:rPr>
        <w:t>A</w:t>
      </w:r>
      <w:r w:rsidRPr="00CB49E8">
        <w:rPr>
          <w:rFonts w:ascii="Book Antiqua" w:eastAsia="Book Antiqua" w:hAnsi="Book Antiqua" w:cs="Book Antiqua"/>
          <w:color w:val="000000"/>
        </w:rPr>
        <w:t>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necrotizing;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Catheters;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Therapeutic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irrigation;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Debridement;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p>
    <w:p w14:paraId="0CD00F39" w14:textId="77777777" w:rsidR="00A77B3E" w:rsidRPr="00CB49E8" w:rsidRDefault="00A77B3E" w:rsidP="007902BA">
      <w:pPr>
        <w:spacing w:line="360" w:lineRule="auto"/>
        <w:jc w:val="both"/>
        <w:rPr>
          <w:rFonts w:ascii="Book Antiqua" w:hAnsi="Book Antiqua"/>
        </w:rPr>
      </w:pPr>
    </w:p>
    <w:p w14:paraId="0AE0B23C" w14:textId="77777777" w:rsidR="00B346CB" w:rsidRPr="00CB49E8" w:rsidRDefault="00B346CB" w:rsidP="00B346CB">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CB49E8">
        <w:rPr>
          <w:rFonts w:ascii="Book Antiqua" w:eastAsia="Book Antiqua" w:hAnsi="Book Antiqua" w:cs="Book Antiqua" w:hint="eastAsia"/>
          <w:b/>
          <w:color w:val="000000"/>
        </w:rPr>
        <w:t>©</w:t>
      </w:r>
      <w:r w:rsidRPr="00CB49E8">
        <w:rPr>
          <w:rFonts w:ascii="Book Antiqua" w:eastAsia="Book Antiqua" w:hAnsi="Book Antiqua" w:cs="Book Antiqua"/>
          <w:b/>
          <w:color w:val="000000"/>
        </w:rPr>
        <w:t>The</w:t>
      </w:r>
      <w:r w:rsidRPr="00CB49E8">
        <w:rPr>
          <w:rFonts w:ascii="Book Antiqua" w:eastAsia="Book Antiqua" w:hAnsi="Book Antiqua" w:cs="Book Antiqua"/>
          <w:color w:val="000000"/>
        </w:rPr>
        <w:t xml:space="preserve"> </w:t>
      </w:r>
      <w:r w:rsidRPr="00CB49E8">
        <w:rPr>
          <w:rFonts w:ascii="Book Antiqua" w:eastAsia="Book Antiqua" w:hAnsi="Book Antiqua" w:cs="Book Antiqua"/>
          <w:b/>
          <w:color w:val="000000"/>
        </w:rPr>
        <w:t xml:space="preserve">Author(s) 2022. </w:t>
      </w:r>
      <w:r w:rsidRPr="00CB49E8">
        <w:rPr>
          <w:rFonts w:ascii="Book Antiqua" w:eastAsia="Book Antiqua" w:hAnsi="Book Antiqua" w:cs="Book Antiqua"/>
          <w:color w:val="000000"/>
        </w:rPr>
        <w:t>Published by Baishideng Publishing Group Inc. All rights reserved.</w:t>
      </w:r>
      <w:bookmarkEnd w:id="1"/>
      <w:r w:rsidRPr="00CB49E8">
        <w:rPr>
          <w:rFonts w:ascii="Book Antiqua" w:eastAsia="Book Antiqua" w:hAnsi="Book Antiqua" w:cs="Book Antiqua"/>
          <w:color w:val="000000"/>
        </w:rPr>
        <w:t xml:space="preserve"> </w:t>
      </w:r>
    </w:p>
    <w:bookmarkEnd w:id="2"/>
    <w:p w14:paraId="69225EF1" w14:textId="77777777" w:rsidR="00B346CB" w:rsidRPr="00CB49E8" w:rsidRDefault="00B346CB" w:rsidP="00B346CB">
      <w:pPr>
        <w:spacing w:line="360" w:lineRule="auto"/>
        <w:jc w:val="both"/>
        <w:rPr>
          <w:lang w:eastAsia="zh-CN"/>
        </w:rPr>
      </w:pPr>
    </w:p>
    <w:p w14:paraId="29DC664B" w14:textId="5F78BB20" w:rsidR="00B346CB" w:rsidRPr="00CB49E8" w:rsidRDefault="00B346CB" w:rsidP="00B346CB">
      <w:pPr>
        <w:spacing w:line="360" w:lineRule="auto"/>
        <w:jc w:val="both"/>
        <w:rPr>
          <w:rFonts w:ascii="Book Antiqua" w:eastAsia="Book Antiqua" w:hAnsi="Book Antiqua" w:cs="Book Antiqua"/>
          <w:color w:val="000000"/>
        </w:rPr>
      </w:pPr>
      <w:bookmarkStart w:id="5" w:name="_Hlk88512899"/>
      <w:bookmarkStart w:id="6" w:name="_Hlk88512352"/>
      <w:bookmarkEnd w:id="3"/>
      <w:r w:rsidRPr="00CB49E8">
        <w:rPr>
          <w:rFonts w:ascii="Book Antiqua" w:hAnsi="Book Antiqua" w:cs="Book Antiqua" w:hint="eastAsia"/>
          <w:b/>
          <w:color w:val="000000"/>
          <w:lang w:eastAsia="zh-CN"/>
        </w:rPr>
        <w:t>Citation:</w:t>
      </w:r>
      <w:bookmarkEnd w:id="4"/>
      <w:bookmarkEnd w:id="5"/>
      <w:r w:rsidRPr="00CB49E8">
        <w:rPr>
          <w:rFonts w:ascii="Book Antiqua" w:hAnsi="Book Antiqua" w:cs="Book Antiqua" w:hint="eastAsia"/>
          <w:color w:val="000000"/>
          <w:lang w:eastAsia="zh-CN"/>
        </w:rPr>
        <w:t xml:space="preserve"> </w:t>
      </w:r>
      <w:bookmarkEnd w:id="6"/>
      <w:r w:rsidR="009A2117" w:rsidRPr="00CB49E8">
        <w:rPr>
          <w:rFonts w:ascii="Book Antiqua" w:eastAsia="Book Antiqua" w:hAnsi="Book Antiqua" w:cs="Book Antiqua"/>
          <w:color w:val="000000"/>
        </w:rPr>
        <w:t>Bansal</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Gupta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Singh</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AK,</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Shah</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J,</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Samanta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J,</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Mandavdhare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HS,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Sharma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V,</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Sinha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SK,</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Dutta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U,</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Sandhu</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MS,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Kochhar</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R.</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comprehensive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overview.</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i/>
          <w:iCs/>
          <w:color w:val="000000"/>
        </w:rPr>
        <w:t>World</w:t>
      </w:r>
      <w:r w:rsidR="00424EDF" w:rsidRPr="00CB49E8">
        <w:rPr>
          <w:rFonts w:ascii="Book Antiqua" w:eastAsia="Book Antiqua" w:hAnsi="Book Antiqua" w:cs="Book Antiqua"/>
          <w:i/>
          <w:iCs/>
          <w:color w:val="000000"/>
        </w:rPr>
        <w:t xml:space="preserve"> </w:t>
      </w:r>
      <w:r w:rsidR="009A2117" w:rsidRPr="00CB49E8">
        <w:rPr>
          <w:rFonts w:ascii="Book Antiqua" w:eastAsia="Book Antiqua" w:hAnsi="Book Antiqua" w:cs="Book Antiqua"/>
          <w:i/>
          <w:iCs/>
          <w:color w:val="000000"/>
        </w:rPr>
        <w:t>J</w:t>
      </w:r>
      <w:r w:rsidR="00424EDF" w:rsidRPr="00CB49E8">
        <w:rPr>
          <w:rFonts w:ascii="Book Antiqua" w:eastAsia="Book Antiqua" w:hAnsi="Book Antiqua" w:cs="Book Antiqua"/>
          <w:i/>
          <w:iCs/>
          <w:color w:val="000000"/>
        </w:rPr>
        <w:t xml:space="preserve"> </w:t>
      </w:r>
      <w:r w:rsidR="009A2117" w:rsidRPr="00CB49E8">
        <w:rPr>
          <w:rFonts w:ascii="Book Antiqua" w:eastAsia="Book Antiqua" w:hAnsi="Book Antiqua" w:cs="Book Antiqua"/>
          <w:i/>
          <w:iCs/>
          <w:color w:val="000000"/>
        </w:rPr>
        <w:t>Clin</w:t>
      </w:r>
      <w:r w:rsidR="00424EDF" w:rsidRPr="00CB49E8">
        <w:rPr>
          <w:rFonts w:ascii="Book Antiqua" w:eastAsia="Book Antiqua" w:hAnsi="Book Antiqua" w:cs="Book Antiqua"/>
          <w:i/>
          <w:iCs/>
          <w:color w:val="000000"/>
        </w:rPr>
        <w:t xml:space="preserve"> </w:t>
      </w:r>
      <w:r w:rsidR="009A2117" w:rsidRPr="00CB49E8">
        <w:rPr>
          <w:rFonts w:ascii="Book Antiqua" w:eastAsia="Book Antiqua" w:hAnsi="Book Antiqua" w:cs="Book Antiqua"/>
          <w:i/>
          <w:iCs/>
          <w:color w:val="000000"/>
        </w:rPr>
        <w:t>Cases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2022;</w:t>
      </w:r>
      <w:r w:rsidR="00424EDF" w:rsidRPr="00CB49E8">
        <w:rPr>
          <w:rFonts w:ascii="Book Antiqua" w:eastAsia="Book Antiqua" w:hAnsi="Book Antiqua" w:cs="Book Antiqua"/>
          <w:color w:val="000000"/>
        </w:rPr>
        <w:t xml:space="preserve"> </w:t>
      </w:r>
      <w:bookmarkStart w:id="7" w:name="_Hlk106288822"/>
      <w:r w:rsidR="00556422" w:rsidRPr="00CB49E8">
        <w:rPr>
          <w:rFonts w:ascii="Book Antiqua" w:eastAsia="Book Antiqua" w:hAnsi="Book Antiqua" w:cs="Book Antiqua"/>
          <w:color w:val="000000"/>
        </w:rPr>
        <w:t xml:space="preserve">10(20): </w:t>
      </w:r>
      <w:r w:rsidRPr="00CB49E8">
        <w:rPr>
          <w:rFonts w:ascii="Book Antiqua" w:eastAsia="Book Antiqua" w:hAnsi="Book Antiqua" w:cs="Book Antiqua"/>
          <w:color w:val="000000"/>
        </w:rPr>
        <w:t>6769</w:t>
      </w:r>
      <w:r w:rsidR="00556422" w:rsidRPr="00CB49E8">
        <w:rPr>
          <w:rFonts w:ascii="Book Antiqua" w:eastAsia="Book Antiqua" w:hAnsi="Book Antiqua" w:cs="Book Antiqua"/>
          <w:color w:val="000000"/>
        </w:rPr>
        <w:t>-</w:t>
      </w:r>
      <w:r w:rsidRPr="00CB49E8">
        <w:rPr>
          <w:rFonts w:ascii="Book Antiqua" w:eastAsia="Book Antiqua" w:hAnsi="Book Antiqua" w:cs="Book Antiqua"/>
          <w:color w:val="000000"/>
        </w:rPr>
        <w:t>6784</w:t>
      </w:r>
    </w:p>
    <w:p w14:paraId="38E466D5" w14:textId="182A078E" w:rsidR="00B346CB" w:rsidRPr="00CB49E8" w:rsidRDefault="00556422" w:rsidP="00B346CB">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 xml:space="preserve">URL: </w:t>
      </w:r>
      <w:r w:rsidR="00B346CB" w:rsidRPr="00CB49E8">
        <w:rPr>
          <w:rFonts w:ascii="Book Antiqua" w:eastAsia="Book Antiqua" w:hAnsi="Book Antiqua" w:cs="Book Antiqua"/>
          <w:color w:val="000000"/>
        </w:rPr>
        <w:t>https://www.wjgnet.com/2307-8960/full/v10/i20/6769.htm</w:t>
      </w:r>
    </w:p>
    <w:p w14:paraId="2BF68F45" w14:textId="5164DFDE" w:rsidR="00556422" w:rsidRPr="00CB49E8" w:rsidRDefault="00556422" w:rsidP="00B346CB">
      <w:pPr>
        <w:spacing w:line="360" w:lineRule="auto"/>
        <w:jc w:val="both"/>
      </w:pPr>
      <w:r w:rsidRPr="00CB49E8">
        <w:rPr>
          <w:rFonts w:ascii="Book Antiqua" w:eastAsia="Book Antiqua" w:hAnsi="Book Antiqua" w:cs="Book Antiqua"/>
          <w:b/>
          <w:bCs/>
          <w:color w:val="000000"/>
        </w:rPr>
        <w:t>DOI:</w:t>
      </w:r>
      <w:r w:rsidRPr="00CB49E8">
        <w:rPr>
          <w:rFonts w:ascii="Book Antiqua" w:eastAsia="Book Antiqua" w:hAnsi="Book Antiqua" w:cs="Book Antiqua"/>
          <w:color w:val="000000"/>
        </w:rPr>
        <w:t xml:space="preserve"> https://dx.doi.org/10.12998/wjcc.v10.i20.</w:t>
      </w:r>
      <w:r w:rsidR="00B346CB" w:rsidRPr="00CB49E8">
        <w:rPr>
          <w:rFonts w:ascii="Book Antiqua" w:eastAsia="Book Antiqua" w:hAnsi="Book Antiqua" w:cs="Book Antiqua"/>
          <w:color w:val="000000"/>
        </w:rPr>
        <w:t>6769</w:t>
      </w:r>
    </w:p>
    <w:bookmarkEnd w:id="7"/>
    <w:p w14:paraId="24E4A92B" w14:textId="2CE30DBA" w:rsidR="00A77B3E" w:rsidRPr="00CB49E8" w:rsidRDefault="00A77B3E" w:rsidP="007902BA">
      <w:pPr>
        <w:spacing w:line="360" w:lineRule="auto"/>
        <w:jc w:val="both"/>
        <w:rPr>
          <w:rFonts w:ascii="Book Antiqua" w:hAnsi="Book Antiqua"/>
        </w:rPr>
      </w:pPr>
    </w:p>
    <w:p w14:paraId="733A9795" w14:textId="77777777" w:rsidR="00A77B3E" w:rsidRPr="00CB49E8" w:rsidRDefault="00A77B3E" w:rsidP="007902BA">
      <w:pPr>
        <w:spacing w:line="360" w:lineRule="auto"/>
        <w:jc w:val="both"/>
        <w:rPr>
          <w:rFonts w:ascii="Book Antiqua" w:hAnsi="Book Antiqua"/>
        </w:rPr>
      </w:pPr>
    </w:p>
    <w:p w14:paraId="29D61B7A" w14:textId="0CB8DE3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Core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Tip:</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catheter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important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method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disease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often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method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choice.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effective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alone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almost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50%</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also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lastRenderedPageBreak/>
        <w:t>important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modality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treatment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involves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gateway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minimally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invasive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necrosectomy.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evolving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data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regarding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timing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Additionally,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recent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studies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describing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methods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improve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catheter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outcomes.</w:t>
      </w:r>
      <w:r w:rsidR="00424EDF" w:rsidRPr="00CB49E8">
        <w:rPr>
          <w:rFonts w:ascii="Book Antiqua" w:eastAsia="Book Antiqua" w:hAnsi="Book Antiqua" w:cs="Book Antiqua"/>
          <w:color w:val="000000"/>
        </w:rPr>
        <w:t xml:space="preserve"> </w:t>
      </w:r>
    </w:p>
    <w:p w14:paraId="15E8E3FA" w14:textId="77777777" w:rsidR="00A77B3E" w:rsidRPr="00CB49E8" w:rsidRDefault="00A77B3E" w:rsidP="007902BA">
      <w:pPr>
        <w:spacing w:line="360" w:lineRule="auto"/>
        <w:jc w:val="both"/>
        <w:rPr>
          <w:rFonts w:ascii="Book Antiqua" w:hAnsi="Book Antiqua"/>
        </w:rPr>
      </w:pPr>
    </w:p>
    <w:p w14:paraId="227E9A54" w14:textId="7777777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INTRODUCTION</w:t>
      </w:r>
    </w:p>
    <w:p w14:paraId="6DF35E4E" w14:textId="727520A5"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inflammatory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condition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causes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abdomen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presenting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emergency.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ranges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from</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mild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moderately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severe</w:t>
      </w:r>
      <w:r w:rsidR="007A7E2E" w:rsidRPr="00CB49E8">
        <w:rPr>
          <w:rFonts w:ascii="Book Antiqua" w:eastAsia="Book Antiqua" w:hAnsi="Book Antiqua" w:cs="Book Antiqua"/>
          <w:color w:val="000000"/>
        </w:rPr>
        <w:t xml:space="preserve"> 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(MSAP)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severe</w:t>
      </w:r>
      <w:r w:rsidR="00424EDF" w:rsidRPr="00CB49E8">
        <w:rPr>
          <w:rFonts w:ascii="Book Antiqua" w:eastAsia="Book Antiqua" w:hAnsi="Book Antiqua" w:cs="Book Antiqua"/>
          <w:color w:val="000000"/>
        </w:rPr>
        <w:t xml:space="preserve"> </w:t>
      </w:r>
      <w:r w:rsidR="00B56D93" w:rsidRPr="00CB49E8">
        <w:rPr>
          <w:rFonts w:ascii="Book Antiqua" w:eastAsia="Book Antiqua" w:hAnsi="Book Antiqua" w:cs="Book Antiqua"/>
          <w:color w:val="000000"/>
        </w:rPr>
        <w:t xml:space="preserve">AP </w:t>
      </w:r>
      <w:r w:rsidRPr="00CB49E8">
        <w:rPr>
          <w:rFonts w:ascii="Book Antiqua" w:eastAsia="Book Antiqua" w:hAnsi="Book Antiqua" w:cs="Book Antiqua"/>
          <w:color w:val="000000"/>
        </w:rPr>
        <w:t>disease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Mild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has</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an </w:t>
      </w:r>
      <w:r w:rsidRPr="00CB49E8">
        <w:rPr>
          <w:rFonts w:ascii="Book Antiqua" w:eastAsia="Book Antiqua" w:hAnsi="Book Antiqua" w:cs="Book Antiqua"/>
          <w:color w:val="000000"/>
        </w:rPr>
        <w:t>excellent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prognosis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conservative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treatment</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organ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failure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mortality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rises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about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30%</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despite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invasive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management</w:t>
      </w:r>
      <w:r w:rsidRPr="00CB49E8">
        <w:rPr>
          <w:rFonts w:ascii="Book Antiqua" w:eastAsia="Book Antiqua" w:hAnsi="Book Antiqua" w:cs="Book Antiqua"/>
          <w:color w:val="000000"/>
          <w:vertAlign w:val="superscript"/>
        </w:rPr>
        <w:t>[1]</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2C75D5B7" w14:textId="19898F47" w:rsidR="00A77B3E" w:rsidRPr="00CB49E8" w:rsidRDefault="009A2117" w:rsidP="00E545F1">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According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revised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Atlanta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classification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divided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(&lt;</w:t>
      </w:r>
      <w:r w:rsidR="00E545F1"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(&gt;</w:t>
      </w:r>
      <w:r w:rsidR="00E545F1"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phases.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phase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characterised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systemic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inflammatory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response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phase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characterized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persistent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systemic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complications</w:t>
      </w:r>
      <w:r w:rsidRPr="00CB49E8">
        <w:rPr>
          <w:rFonts w:ascii="Book Antiqua" w:eastAsia="Book Antiqua" w:hAnsi="Book Antiqua" w:cs="Book Antiqua"/>
          <w:color w:val="000000"/>
          <w:vertAlign w:val="superscript"/>
        </w:rPr>
        <w:t>[1]</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Based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imaging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findings,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divided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interstitial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edematous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(IEP)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depending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the </w:t>
      </w:r>
      <w:r w:rsidRPr="00CB49E8">
        <w:rPr>
          <w:rFonts w:ascii="Book Antiqua" w:eastAsia="Book Antiqua" w:hAnsi="Book Antiqua" w:cs="Book Antiqua"/>
          <w:color w:val="000000"/>
        </w:rPr>
        <w:t>presence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peripancreatic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both)</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3F949F3A" w14:textId="11CB1552" w:rsidR="00A77B3E" w:rsidRPr="00CB49E8" w:rsidRDefault="009A2117" w:rsidP="0059552F">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represent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important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local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complications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Therefore,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provided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important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distinction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between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contained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purely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those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also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contained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debris.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associated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IEP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called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peripancreatic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(APFCs</w:t>
      </w:r>
      <w:r w:rsidR="00B022DF"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t>
      </w:r>
      <w:r w:rsidR="0059552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pseudocysts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(&gt;</w:t>
      </w:r>
      <w:r w:rsidR="00A67179"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those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associated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called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t>
      </w:r>
      <w:r w:rsidR="00A67179"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walled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(WON</w:t>
      </w:r>
      <w:r w:rsidR="00B022DF"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&gt;</w:t>
      </w:r>
      <w:r w:rsidR="00A67179"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(Figure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above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mentioned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get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Recent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studies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highlighted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threshold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classification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imprecise.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partial/clinically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significant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encapsulation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3</w:t>
      </w:r>
      <w:r w:rsidRPr="00CB49E8">
        <w:rPr>
          <w:rFonts w:ascii="Book Antiqua" w:eastAsia="Book Antiqua" w:hAnsi="Book Antiqua" w:cs="Book Antiqua"/>
          <w:color w:val="000000"/>
          <w:vertAlign w:val="superscript"/>
        </w:rPr>
        <w:t>rd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week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illness</w:t>
      </w:r>
      <w:r w:rsidRPr="00CB49E8">
        <w:rPr>
          <w:rFonts w:ascii="Book Antiqua" w:eastAsia="Book Antiqua" w:hAnsi="Book Antiqua" w:cs="Book Antiqua"/>
          <w:color w:val="000000"/>
          <w:vertAlign w:val="superscript"/>
        </w:rPr>
        <w:t>[3-5]</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43AD546E" w14:textId="281E7505" w:rsidR="00A77B3E" w:rsidRPr="00CB49E8" w:rsidRDefault="009A2117" w:rsidP="00A67179">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lastRenderedPageBreak/>
        <w:t>Management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complications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w:t>
      </w:r>
      <w:r w:rsidR="00B022DF" w:rsidRPr="00CB49E8">
        <w:rPr>
          <w:rFonts w:ascii="Book Antiqua" w:eastAsia="Book Antiqua" w:hAnsi="Book Antiqua" w:cs="Book Antiqua"/>
          <w:color w:val="000000"/>
        </w:rPr>
        <w: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multidisciplinary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approach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involving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gastroenterologists,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radiologists,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surgeons.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Conservative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management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rule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phase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includes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resuscitation,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control,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prophylactic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antibodies,</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and </w:t>
      </w:r>
      <w:r w:rsidRPr="00CB49E8">
        <w:rPr>
          <w:rFonts w:ascii="Book Antiqua" w:eastAsia="Book Antiqua" w:hAnsi="Book Antiqua" w:cs="Book Antiqua"/>
          <w:color w:val="000000"/>
        </w:rPr>
        <w:t>oxygen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nutritional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support.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Antibiotic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treatment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should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initiated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culture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proven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strong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clinical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suspicion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should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given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prophylactically</w:t>
      </w:r>
      <w:r w:rsidRPr="00CB49E8">
        <w:rPr>
          <w:rFonts w:ascii="Book Antiqua" w:eastAsia="Book Antiqua" w:hAnsi="Book Antiqua" w:cs="Book Antiqua"/>
          <w:color w:val="000000"/>
          <w:vertAlign w:val="superscript"/>
        </w:rPr>
        <w:t>[6]</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Enteral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feeding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become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necessary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bypass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inflamed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region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bowel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adjacent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achieved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nasojejunal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tube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jejunostomy</w:t>
      </w:r>
      <w:r w:rsidRPr="00CB49E8">
        <w:rPr>
          <w:rFonts w:ascii="Book Antiqua" w:eastAsia="Book Antiqua" w:hAnsi="Book Antiqua" w:cs="Book Antiqua"/>
          <w:color w:val="000000"/>
          <w:vertAlign w:val="superscript"/>
        </w:rPr>
        <w:t>[6,7]</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treated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conservatively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B022DF"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methods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depending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nature</w:t>
      </w:r>
      <w:r w:rsidRPr="00CB49E8">
        <w:rPr>
          <w:rFonts w:ascii="Book Antiqua" w:eastAsia="Book Antiqua" w:hAnsi="Book Antiqua" w:cs="Book Antiqua"/>
          <w:color w:val="000000"/>
          <w:vertAlign w:val="superscript"/>
        </w:rPr>
        <w:t>[7,8]</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6B8CCA10" w14:textId="4D4A48C5" w:rsidR="00A77B3E" w:rsidRPr="00CB49E8" w:rsidRDefault="00B022DF" w:rsidP="00A67179">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There has been a paradigm shift in the treatment of necrotizing pancreatitis from open necrosectomy to a minimally invasive step-up approach after the publication of results of a large randomi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ed controlled trial (PANTER trial), in which it was seen that 35% of the patients did not require any further intervention and patients managed with the step-up approach had a significantly lower incidence of new onset organ failure and diabetes</w:t>
      </w:r>
      <w:r w:rsidR="009A2117" w:rsidRPr="00CB49E8">
        <w:rPr>
          <w:rFonts w:ascii="Book Antiqua" w:eastAsia="Book Antiqua" w:hAnsi="Book Antiqua" w:cs="Book Antiqua"/>
          <w:color w:val="000000"/>
          <w:vertAlign w:val="superscript"/>
        </w:rPr>
        <w:t>[9]</w:t>
      </w:r>
      <w:r w:rsidR="009A2117"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step-up</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approach</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thus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now</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standard</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care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all</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pancreatitis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upgradations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done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if</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was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no</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clinical</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improvement</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catheter</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displacement</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was</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seen</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(Figure</w:t>
      </w:r>
      <w:r w:rsidR="00424EDF" w:rsidRPr="00CB49E8">
        <w:rPr>
          <w:rFonts w:ascii="Book Antiqua" w:eastAsia="Book Antiqua" w:hAnsi="Book Antiqua" w:cs="Book Antiqua"/>
          <w:color w:val="000000"/>
        </w:rPr>
        <w:t xml:space="preserve"> </w:t>
      </w:r>
      <w:r w:rsidR="009A2117" w:rsidRPr="00CB49E8">
        <w:rPr>
          <w:rFonts w:ascii="Book Antiqua" w:eastAsia="Book Antiqua" w:hAnsi="Book Antiqua" w:cs="Book Antiqua"/>
          <w:color w:val="000000"/>
        </w:rPr>
        <w:t>2)</w:t>
      </w:r>
      <w:r w:rsidR="009A2117" w:rsidRPr="00CB49E8">
        <w:rPr>
          <w:rFonts w:ascii="Book Antiqua" w:eastAsia="Book Antiqua" w:hAnsi="Book Antiqua" w:cs="Book Antiqua"/>
          <w:color w:val="000000"/>
          <w:vertAlign w:val="superscript"/>
        </w:rPr>
        <w:t>[9,10]</w:t>
      </w:r>
      <w:r w:rsidR="009A2117"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1330BA4E" w14:textId="229CFB74" w:rsidR="00A77B3E" w:rsidRPr="00CB49E8" w:rsidRDefault="009A2117" w:rsidP="00A67179">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review,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outline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various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minimally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invasive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techniques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(predominantly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few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salient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techniques),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timing,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guidance,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complications,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factors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predicting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response,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radiologist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take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informed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decision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w:t>
      </w:r>
      <w:r w:rsidR="00424EDF" w:rsidRPr="00CB49E8">
        <w:rPr>
          <w:rFonts w:ascii="Book Antiqua" w:eastAsia="Book Antiqua" w:hAnsi="Book Antiqua" w:cs="Book Antiqua"/>
          <w:color w:val="000000"/>
        </w:rPr>
        <w:t xml:space="preserve"> </w:t>
      </w:r>
    </w:p>
    <w:p w14:paraId="4F680ACA" w14:textId="77777777" w:rsidR="00A77B3E" w:rsidRPr="00CB49E8" w:rsidRDefault="00A77B3E" w:rsidP="007902BA">
      <w:pPr>
        <w:spacing w:line="360" w:lineRule="auto"/>
        <w:jc w:val="both"/>
        <w:rPr>
          <w:rFonts w:ascii="Book Antiqua" w:hAnsi="Book Antiqua"/>
        </w:rPr>
      </w:pPr>
    </w:p>
    <w:p w14:paraId="6572DA05" w14:textId="585C613F"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INDICATIONS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p>
    <w:p w14:paraId="0222EE93" w14:textId="51152133"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standard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PFC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preferably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WON </w:t>
      </w:r>
      <w:r w:rsidRPr="00CB49E8">
        <w:rPr>
          <w:rFonts w:ascii="Book Antiqua" w:eastAsia="Book Antiqua" w:hAnsi="Book Antiqua" w:cs="Book Antiqua"/>
          <w:color w:val="000000"/>
        </w:rPr>
        <w:t>(usually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after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3-4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Pr="00CB49E8">
        <w:rPr>
          <w:rFonts w:ascii="Book Antiqua" w:eastAsia="Book Antiqua" w:hAnsi="Book Antiqua" w:cs="Book Antiqua"/>
          <w:color w:val="000000"/>
          <w:vertAlign w:val="superscript"/>
        </w:rPr>
        <w:t>[11,12]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either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catheter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w:t>
      </w:r>
      <w:r w:rsidR="00B022DF"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debridement.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documented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the </w:t>
      </w:r>
      <w:r w:rsidRPr="00CB49E8">
        <w:rPr>
          <w:rFonts w:ascii="Book Antiqua" w:eastAsia="Book Antiqua" w:hAnsi="Book Antiqua" w:cs="Book Antiqua"/>
          <w:color w:val="000000"/>
        </w:rPr>
        <w:t>presence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005C3825" w:rsidRPr="00CB49E8">
        <w:rPr>
          <w:rFonts w:ascii="Book Antiqua" w:hAnsi="Book Antiqua" w:cs="Book Antiqua"/>
          <w:color w:val="000000"/>
        </w:rPr>
        <w:t>computed tomography</w:t>
      </w:r>
      <w:r w:rsidR="005C3825"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CT</w:t>
      </w:r>
      <w:r w:rsidR="005C382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(Figure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microbial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growth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needle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aspiration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(FNA).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latter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commonly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lastRenderedPageBreak/>
        <w:t>utilized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high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false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negative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25%)</w:t>
      </w:r>
      <w:r w:rsidRPr="00CB49E8">
        <w:rPr>
          <w:rFonts w:ascii="Book Antiqua" w:eastAsia="Book Antiqua" w:hAnsi="Book Antiqua" w:cs="Book Antiqua"/>
          <w:color w:val="000000"/>
          <w:vertAlign w:val="superscript"/>
        </w:rPr>
        <w:t>[13]</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Additionally,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theoretical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risk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introduction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sterile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Pr="00CB49E8">
        <w:rPr>
          <w:rFonts w:ascii="Book Antiqua" w:eastAsia="Book Antiqua" w:hAnsi="Book Antiqua" w:cs="Book Antiqua"/>
          <w:color w:val="000000"/>
          <w:vertAlign w:val="superscript"/>
        </w:rPr>
        <w:t>[14]</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According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survey,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pancreatologists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routinely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perform</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FNA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15%</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never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performed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FNA</w:t>
      </w:r>
      <w:r w:rsidRPr="00CB49E8">
        <w:rPr>
          <w:rFonts w:ascii="Book Antiqua" w:eastAsia="Book Antiqua" w:hAnsi="Book Antiqua" w:cs="Book Antiqua"/>
          <w:color w:val="000000"/>
          <w:vertAlign w:val="superscript"/>
        </w:rPr>
        <w:t>[15]</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strong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suspicion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based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clinical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deterioration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fever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sources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Pr="00CB49E8">
        <w:rPr>
          <w:rFonts w:ascii="Book Antiqua" w:eastAsia="Book Antiqua" w:hAnsi="Book Antiqua" w:cs="Book Antiqua"/>
          <w:color w:val="000000"/>
          <w:vertAlign w:val="superscript"/>
        </w:rPr>
        <w:t>[7,12]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Persistent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weeks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B022DF" w:rsidRPr="00CB49E8">
        <w:rPr>
          <w:rFonts w:ascii="Book Antiqua" w:eastAsia="Book Antiqua" w:hAnsi="Book Antiqua" w:cs="Book Antiqua"/>
          <w:color w:val="000000"/>
        </w:rPr>
        <w:t xml:space="preserve"> 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without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evidence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also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accepted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11274171" w14:textId="36DE305D" w:rsidR="00A77B3E" w:rsidRPr="00CB49E8" w:rsidRDefault="009A2117" w:rsidP="007C35A3">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However,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several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evolving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either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persistent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include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effect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caused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large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causing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either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bowel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biliary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obstruction,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disconnected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syndrome,</w:t>
      </w:r>
      <w:r w:rsidR="00424EDF" w:rsidRPr="00CB49E8">
        <w:rPr>
          <w:rFonts w:ascii="Book Antiqua" w:eastAsia="Book Antiqua" w:hAnsi="Book Antiqua" w:cs="Book Antiqua"/>
          <w:color w:val="000000"/>
        </w:rPr>
        <w:t xml:space="preserve"> </w:t>
      </w:r>
      <w:r w:rsidR="007C35A3" w:rsidRPr="00CB49E8">
        <w:rPr>
          <w:rFonts w:ascii="Book Antiqua" w:eastAsia="Book Antiqua" w:hAnsi="Book Antiqua" w:cs="Book Antiqua"/>
          <w:color w:val="000000"/>
        </w:rPr>
        <w:t>“</w:t>
      </w:r>
      <w:r w:rsidRPr="00CB49E8">
        <w:rPr>
          <w:rFonts w:ascii="Book Antiqua" w:eastAsia="Book Antiqua" w:hAnsi="Book Antiqua" w:cs="Book Antiqua"/>
          <w:color w:val="000000"/>
        </w:rPr>
        <w:t>persistent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unwellness”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(continued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anorexia,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intractable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weight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loss)</w:t>
      </w:r>
      <w:r w:rsidR="00B022DF"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abdominal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compartment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syndrome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emergency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(Figure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3)</w:t>
      </w:r>
      <w:r w:rsidRPr="00CB49E8">
        <w:rPr>
          <w:rFonts w:ascii="Book Antiqua" w:eastAsia="Book Antiqua" w:hAnsi="Book Antiqua" w:cs="Book Antiqua"/>
          <w:color w:val="000000"/>
          <w:vertAlign w:val="superscript"/>
        </w:rPr>
        <w:t>[12,14,16]</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evolving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indications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would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generally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walled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B022DF" w:rsidRPr="00CB49E8">
        <w:rPr>
          <w:rFonts w:ascii="Book Antiqua" w:eastAsia="Book Antiqua" w:hAnsi="Book Antiqua" w:cs="Book Antiqua"/>
          <w:color w:val="000000"/>
        </w:rPr>
        <w:t xml:space="preserve"> and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suitable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location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adjacent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the </w:t>
      </w:r>
      <w:r w:rsidRPr="00CB49E8">
        <w:rPr>
          <w:rFonts w:ascii="Book Antiqua" w:eastAsia="Book Antiqua" w:hAnsi="Book Antiqua" w:cs="Book Antiqua"/>
          <w:color w:val="000000"/>
        </w:rPr>
        <w:t>gastrointestinal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tract,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usually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undertaken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emergency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setting.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include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asymptomatic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non-infected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pseudocysts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APFCs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through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spontaneous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gastrointestinal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fistulas</w:t>
      </w:r>
      <w:r w:rsidRPr="00CB49E8">
        <w:rPr>
          <w:rFonts w:ascii="Book Antiqua" w:eastAsia="Book Antiqua" w:hAnsi="Book Antiqua" w:cs="Book Antiqua"/>
          <w:color w:val="000000"/>
          <w:vertAlign w:val="superscript"/>
        </w:rPr>
        <w:t>[12,17]</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2A063CD5" w14:textId="77777777" w:rsidR="00A77B3E" w:rsidRPr="00CB49E8" w:rsidRDefault="00A77B3E" w:rsidP="007902BA">
      <w:pPr>
        <w:spacing w:line="360" w:lineRule="auto"/>
        <w:jc w:val="both"/>
        <w:rPr>
          <w:rFonts w:ascii="Book Antiqua" w:hAnsi="Book Antiqua"/>
        </w:rPr>
      </w:pPr>
    </w:p>
    <w:p w14:paraId="4C588B60" w14:textId="7AFF273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TIMING</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p>
    <w:p w14:paraId="7BE7AD1A" w14:textId="338D9021"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Standard</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recommendation</w:t>
      </w:r>
    </w:p>
    <w:p w14:paraId="01E8A660" w14:textId="5B77EDAF"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Any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w:t>
      </w:r>
      <w:r w:rsidR="00B022DF" w:rsidRPr="00CB49E8">
        <w:rPr>
          <w:rFonts w:ascii="Book Antiqua" w:eastAsia="Book Antiqua" w:hAnsi="Book Antiqua" w:cs="Book Antiqua"/>
          <w:color w:val="000000"/>
        </w:rPr>
        <w:t xml:space="preserve">f </w:t>
      </w:r>
      <w:r w:rsidRPr="00CB49E8">
        <w:rPr>
          <w:rFonts w:ascii="Book Antiqua" w:eastAsia="Book Antiqua" w:hAnsi="Book Antiqua" w:cs="Book Antiqua"/>
          <w:color w:val="000000"/>
        </w:rPr>
        <w:t>PFC,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performed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phase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associated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high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morbidity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mortality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heightened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systemic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inflammation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response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time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increased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risk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haemorrhage</w:t>
      </w:r>
      <w:r w:rsidRPr="00CB49E8">
        <w:rPr>
          <w:rFonts w:ascii="Book Antiqua" w:eastAsia="Book Antiqua" w:hAnsi="Book Antiqua" w:cs="Book Antiqua"/>
          <w:color w:val="000000"/>
          <w:vertAlign w:val="superscript"/>
        </w:rPr>
        <w:t>[7]</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current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guidelines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suggest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delaying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(whether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3-4</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after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disease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onset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decrease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morbidity,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well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allow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encapsulation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Pr="00CB49E8">
        <w:rPr>
          <w:rFonts w:ascii="Book Antiqua" w:eastAsia="Book Antiqua" w:hAnsi="Book Antiqua" w:cs="Book Antiqua"/>
          <w:color w:val="000000"/>
          <w:vertAlign w:val="superscript"/>
        </w:rPr>
        <w:t>[7,12]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encapsulation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allows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parenchyma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more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defined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from</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normal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viable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parenchyma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leads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better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outcomes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avoid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future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insufficiency</w:t>
      </w:r>
      <w:r w:rsidRPr="00CB49E8">
        <w:rPr>
          <w:rFonts w:ascii="Book Antiqua" w:eastAsia="Book Antiqua" w:hAnsi="Book Antiqua" w:cs="Book Antiqua"/>
          <w:color w:val="000000"/>
          <w:vertAlign w:val="superscript"/>
        </w:rPr>
        <w:t>[7,18]</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According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00B022DF" w:rsidRPr="00CB49E8">
        <w:rPr>
          <w:rFonts w:ascii="Book Antiqua" w:eastAsia="Book Antiqua" w:hAnsi="Book Antiqua" w:cs="Book Antiqua"/>
          <w:color w:val="000000"/>
        </w:rPr>
        <w:t xml:space="preserve">the </w:t>
      </w:r>
      <w:r w:rsidRPr="00CB49E8">
        <w:rPr>
          <w:rFonts w:ascii="Book Antiqua" w:eastAsia="Book Antiqua" w:hAnsi="Book Antiqua" w:cs="Book Antiqua"/>
          <w:color w:val="000000"/>
        </w:rPr>
        <w:t>recent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lastRenderedPageBreak/>
        <w:t>American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Gastroenterology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Association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(AGA)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clinical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practice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guidelines,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should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considered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symptomatic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period</w:t>
      </w:r>
      <w:r w:rsidRPr="00CB49E8">
        <w:rPr>
          <w:rFonts w:ascii="Book Antiqua" w:eastAsia="Book Antiqua" w:hAnsi="Book Antiqua" w:cs="Book Antiqua"/>
          <w:color w:val="000000"/>
          <w:vertAlign w:val="superscript"/>
        </w:rPr>
        <w:t>[6]</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abdominal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compartment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syndrome,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emergent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radiological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life-saving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procedure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management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fails</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Early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intervention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also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required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suspected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confirmed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infected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persistent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medical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management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alone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insufficient</w:t>
      </w:r>
      <w:r w:rsidRPr="00CB49E8">
        <w:rPr>
          <w:rFonts w:ascii="Book Antiqua" w:eastAsia="Book Antiqua" w:hAnsi="Book Antiqua" w:cs="Book Antiqua"/>
          <w:color w:val="000000"/>
          <w:vertAlign w:val="superscript"/>
        </w:rPr>
        <w:t>[7,12]</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p>
    <w:p w14:paraId="541864B6" w14:textId="77777777" w:rsidR="00146B37" w:rsidRPr="00CB49E8" w:rsidRDefault="00146B37" w:rsidP="007902BA">
      <w:pPr>
        <w:spacing w:line="360" w:lineRule="auto"/>
        <w:jc w:val="both"/>
        <w:rPr>
          <w:rFonts w:ascii="Book Antiqua" w:hAnsi="Book Antiqua"/>
        </w:rPr>
      </w:pPr>
    </w:p>
    <w:p w14:paraId="554361F4" w14:textId="466535DE"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Postponed</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or</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immediate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drainage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of</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infected</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necrotizing</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pancreatitis</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(POINTER</w:t>
      </w:r>
      <w:r w:rsidR="00424EDF" w:rsidRPr="00CB49E8">
        <w:rPr>
          <w:rFonts w:ascii="Book Antiqua" w:eastAsia="Book Antiqua" w:hAnsi="Book Antiqua" w:cs="Book Antiqua"/>
          <w:b/>
          <w:bCs/>
          <w:i/>
          <w:iCs/>
          <w:color w:val="000000"/>
        </w:rPr>
        <w:t xml:space="preserve"> </w:t>
      </w:r>
      <w:r w:rsidR="00D35B20" w:rsidRPr="00CB49E8">
        <w:rPr>
          <w:rFonts w:ascii="Book Antiqua" w:eastAsia="Book Antiqua" w:hAnsi="Book Antiqua" w:cs="Book Antiqua"/>
          <w:b/>
          <w:bCs/>
          <w:i/>
          <w:iCs/>
          <w:color w:val="000000"/>
        </w:rPr>
        <w:t>t</w:t>
      </w:r>
      <w:r w:rsidRPr="00CB49E8">
        <w:rPr>
          <w:rFonts w:ascii="Book Antiqua" w:eastAsia="Book Antiqua" w:hAnsi="Book Antiqua" w:cs="Book Antiqua"/>
          <w:b/>
          <w:bCs/>
          <w:i/>
          <w:iCs/>
          <w:color w:val="000000"/>
        </w:rPr>
        <w:t>rial)</w:t>
      </w:r>
    </w:p>
    <w:p w14:paraId="520C1462" w14:textId="4EE52C33"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 xml:space="preserve">This trial was conducted by the Dutch Pancreatitis Study group to compare early </w:t>
      </w:r>
      <w:r w:rsidRPr="00CB49E8">
        <w:rPr>
          <w:rFonts w:ascii="Book Antiqua" w:eastAsia="Book Antiqua" w:hAnsi="Book Antiqua" w:cs="Book Antiqua"/>
          <w:i/>
          <w:iCs/>
          <w:color w:val="000000"/>
        </w:rPr>
        <w:t>vs</w:t>
      </w:r>
      <w:r w:rsidRPr="00CB49E8">
        <w:rPr>
          <w:rFonts w:ascii="Book Antiqua" w:eastAsia="Book Antiqua" w:hAnsi="Book Antiqua" w:cs="Book Antiqua"/>
          <w:color w:val="000000"/>
        </w:rPr>
        <w:t xml:space="preserve"> standard drainage in infected pancreatic necrosis. One-hundred and four patients with necrotizing AP were randomized into two groups-immediate drainage, </w:t>
      </w:r>
      <w:r w:rsidRPr="00CB49E8">
        <w:rPr>
          <w:rFonts w:ascii="Book Antiqua" w:eastAsia="Book Antiqua" w:hAnsi="Book Antiqua" w:cs="Book Antiqua"/>
          <w:i/>
          <w:iCs/>
          <w:color w:val="000000"/>
        </w:rPr>
        <w:t>i.e.,</w:t>
      </w:r>
      <w:r w:rsidRPr="00CB49E8">
        <w:rPr>
          <w:rFonts w:ascii="Book Antiqua" w:eastAsia="Book Antiqua" w:hAnsi="Book Antiqua" w:cs="Book Antiqua"/>
          <w:color w:val="000000"/>
        </w:rPr>
        <w:t xml:space="preserve"> within 24 h of diagnosis of infected necrosis, and postponed drainage group (after walled off stage). Necrosectomy, if needed, was postponed to walled-off stage in both arms. The primary outcome was comprehensive complication index (CCI) which included all complications occurring within 6 mo of follow-up, and secondary outcome included mortality, hospital stay, and intensive care unit (ICU) stay, number of interventions, and quality adjusted life-years. No difference was seen in CCI between the early and delayed drainage groups, and no difference was seen in mortality, hospital stay, ICU stay, or complication rates weighted for severity in the two groups. However, the median number of interventions was significantly higher in the immediate group as compared to the postponed group</w:t>
      </w:r>
      <w:r w:rsidRPr="00CB49E8">
        <w:rPr>
          <w:rFonts w:ascii="Book Antiqua" w:eastAsia="Book Antiqua" w:hAnsi="Book Antiqua" w:cs="Book Antiqua"/>
          <w:color w:val="000000"/>
          <w:vertAlign w:val="superscript"/>
        </w:rPr>
        <w:t>[19]</w:t>
      </w:r>
      <w:r w:rsidRPr="00CB49E8">
        <w:rPr>
          <w:rFonts w:ascii="Book Antiqua" w:eastAsia="Book Antiqua" w:hAnsi="Book Antiqua" w:cs="Book Antiqua"/>
          <w:color w:val="000000"/>
        </w:rPr>
        <w:t xml:space="preserve">. It is important to note that the indication for drainage in this trial was only infected necrosis and it did not consider other indications as discussed previously. </w:t>
      </w:r>
    </w:p>
    <w:p w14:paraId="7E4A7FBB" w14:textId="0F382E34" w:rsidR="008D2584" w:rsidRPr="00CB49E8" w:rsidRDefault="008D2584" w:rsidP="008D2584">
      <w:pPr>
        <w:spacing w:line="360" w:lineRule="auto"/>
        <w:ind w:firstLineChars="200" w:firstLine="480"/>
        <w:jc w:val="both"/>
        <w:rPr>
          <w:rFonts w:ascii="Book Antiqua" w:eastAsia="Book Antiqua" w:hAnsi="Book Antiqua" w:cs="Book Antiqua"/>
          <w:color w:val="000000"/>
        </w:rPr>
      </w:pPr>
      <w:r w:rsidRPr="00CB49E8">
        <w:rPr>
          <w:rFonts w:ascii="Book Antiqua" w:eastAsia="Book Antiqua" w:hAnsi="Book Antiqua" w:cs="Book Antiqua"/>
          <w:color w:val="000000"/>
        </w:rPr>
        <w:t>Recommendations for delayed intervention predominantly stem from an era of open surgical necrosectomy where early debridement in an acutely ill patient increased the morbidity and mortality by worsening OF and increasing physiological stress. On the contrary, new hypotheses have suggested that early and minimally invasive drainage (MID) of PFCs decreases systemic sepsis and allows maturation of the necrotic collections</w:t>
      </w:r>
      <w:r w:rsidRPr="00CB49E8">
        <w:rPr>
          <w:rFonts w:ascii="Book Antiqua" w:eastAsia="Book Antiqua" w:hAnsi="Book Antiqua" w:cs="Book Antiqua"/>
          <w:color w:val="000000"/>
          <w:vertAlign w:val="superscript"/>
        </w:rPr>
        <w:t>[7]</w:t>
      </w:r>
      <w:r w:rsidRPr="00CB49E8">
        <w:rPr>
          <w:rFonts w:ascii="Book Antiqua" w:eastAsia="Book Antiqua" w:hAnsi="Book Antiqua" w:cs="Book Antiqua"/>
          <w:color w:val="000000"/>
        </w:rPr>
        <w:t xml:space="preserve">. Several observational studies have suggested that encapsulation of </w:t>
      </w:r>
      <w:r w:rsidRPr="00CB49E8">
        <w:rPr>
          <w:rFonts w:ascii="Book Antiqua" w:eastAsia="Book Antiqua" w:hAnsi="Book Antiqua" w:cs="Book Antiqua"/>
          <w:color w:val="000000"/>
        </w:rPr>
        <w:lastRenderedPageBreak/>
        <w:t>collections for percutaneous or endoscopic interventions may not be as necessary as for open surgery, that early intervention (percutaneous or endoscopic) does not have a worse outcome than delayed intervention, and that some showed significant improvement in organ failure</w:t>
      </w:r>
      <w:r w:rsidRPr="00CB49E8">
        <w:rPr>
          <w:rFonts w:ascii="Book Antiqua" w:eastAsia="Book Antiqua" w:hAnsi="Book Antiqua" w:cs="Book Antiqua"/>
          <w:color w:val="000000"/>
          <w:vertAlign w:val="superscript"/>
        </w:rPr>
        <w:t>[3,20]</w:t>
      </w:r>
      <w:r w:rsidRPr="00CB49E8">
        <w:rPr>
          <w:rFonts w:ascii="Book Antiqua" w:eastAsia="Book Antiqua" w:hAnsi="Book Antiqua" w:cs="Book Antiqua"/>
          <w:color w:val="000000"/>
        </w:rPr>
        <w:t>. Complications between early and late interventions were more or less comparable, with late interventions leading to a significantly higher number of external pancreatic fistulae in one study</w:t>
      </w:r>
      <w:r w:rsidRPr="00CB49E8">
        <w:rPr>
          <w:rFonts w:ascii="Book Antiqua" w:eastAsia="Book Antiqua" w:hAnsi="Book Antiqua" w:cs="Book Antiqua"/>
          <w:color w:val="000000"/>
          <w:vertAlign w:val="superscript"/>
        </w:rPr>
        <w:t>[4]</w:t>
      </w:r>
      <w:r w:rsidRPr="00CB49E8">
        <w:rPr>
          <w:rFonts w:ascii="Book Antiqua" w:eastAsia="Book Antiqua" w:hAnsi="Book Antiqua" w:cs="Book Antiqua"/>
          <w:color w:val="000000"/>
        </w:rPr>
        <w:t>.</w:t>
      </w:r>
    </w:p>
    <w:p w14:paraId="1C422B91" w14:textId="77777777" w:rsidR="00D06266" w:rsidRPr="00CB49E8" w:rsidRDefault="00D06266" w:rsidP="00D06266">
      <w:pPr>
        <w:spacing w:line="360" w:lineRule="auto"/>
        <w:jc w:val="both"/>
        <w:rPr>
          <w:rFonts w:ascii="Book Antiqua" w:hAnsi="Book Antiqua"/>
        </w:rPr>
      </w:pPr>
    </w:p>
    <w:p w14:paraId="2EFAF32B" w14:textId="2A4FBAD1"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Other</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indications</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for</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early</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drainage</w:t>
      </w:r>
    </w:p>
    <w:p w14:paraId="4BBEE318" w14:textId="689C3141"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 xml:space="preserve">Several other studies have evaluated the role of early drainage in indications other than infected necrosis, especially OF. Zhang </w:t>
      </w:r>
      <w:r w:rsidRPr="00CB49E8">
        <w:rPr>
          <w:rFonts w:ascii="Book Antiqua" w:eastAsia="Book Antiqua" w:hAnsi="Book Antiqua" w:cs="Book Antiqua"/>
          <w:i/>
          <w:iCs/>
          <w:color w:val="000000"/>
        </w:rPr>
        <w:t>et al</w:t>
      </w:r>
      <w:r w:rsidRPr="00CB49E8">
        <w:rPr>
          <w:rFonts w:ascii="Book Antiqua" w:eastAsia="Book Antiqua" w:hAnsi="Book Antiqua" w:cs="Book Antiqua"/>
          <w:color w:val="000000"/>
          <w:vertAlign w:val="superscript"/>
        </w:rPr>
        <w:t>[21]</w:t>
      </w:r>
      <w:r w:rsidRPr="00CB49E8">
        <w:rPr>
          <w:rFonts w:ascii="Book Antiqua" w:eastAsia="Book Antiqua" w:hAnsi="Book Antiqua" w:cs="Book Antiqua"/>
          <w:color w:val="000000"/>
        </w:rPr>
        <w:t xml:space="preserve"> conducted a network meta-analysis to compare outcomes of MID (including ED, PCD, and minimally invasive surgery) and open surgical debridement with conservative management. It was found that MID decreased both mortality and multiple organ dysfunction syndrome (MODS) rate compared to conservative management. Early MID (defined as immediate or early intervention on diagnosis) as well as routine delayed MID also both significantly decreased mortality and MODS rate compared to conservative treatment. Another study reported improved outcomes in patients undergoing early PCD of sterile PFC in patients with SAP within 3 d of onset of OF</w:t>
      </w:r>
      <w:r w:rsidRPr="00CB49E8">
        <w:rPr>
          <w:rFonts w:ascii="Book Antiqua" w:eastAsia="Book Antiqua" w:hAnsi="Book Antiqua" w:cs="Book Antiqua"/>
          <w:color w:val="000000"/>
          <w:vertAlign w:val="superscript"/>
        </w:rPr>
        <w:t>[22]</w:t>
      </w:r>
      <w:r w:rsidRPr="00CB49E8">
        <w:rPr>
          <w:rFonts w:ascii="Book Antiqua" w:eastAsia="Book Antiqua" w:hAnsi="Book Antiqua" w:cs="Book Antiqua"/>
          <w:color w:val="000000"/>
        </w:rPr>
        <w:t>. The patients with MSAP did not exhibit similar benefit. A single arm retrospective study evaluated the role of early PCD (&lt; 21 d), with a mean time of intervention of 14.3 ± 2.4 d, for multiple indications, which showed an overall survival rate of 73.1%. More than 50% of the patients survived on PCD alone, whereas 19.2% required additional necrosectomy</w:t>
      </w:r>
      <w:r w:rsidRPr="00CB49E8">
        <w:rPr>
          <w:rFonts w:ascii="Book Antiqua" w:eastAsia="Book Antiqua" w:hAnsi="Book Antiqua" w:cs="Book Antiqua"/>
          <w:color w:val="000000"/>
          <w:vertAlign w:val="superscript"/>
        </w:rPr>
        <w:t>[23]</w:t>
      </w:r>
      <w:r w:rsidRPr="00CB49E8">
        <w:rPr>
          <w:rFonts w:ascii="Book Antiqua" w:eastAsia="Book Antiqua" w:hAnsi="Book Antiqua" w:cs="Book Antiqua"/>
          <w:color w:val="000000"/>
        </w:rPr>
        <w:t>.</w:t>
      </w:r>
    </w:p>
    <w:p w14:paraId="751AF159" w14:textId="5201DFFB"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 xml:space="preserve">A single centre randomized controlled trial also evaluated the role of early on-demand drainage </w:t>
      </w:r>
      <w:r w:rsidRPr="00CB49E8">
        <w:rPr>
          <w:rFonts w:ascii="Book Antiqua" w:eastAsia="Book Antiqua" w:hAnsi="Book Antiqua" w:cs="Book Antiqua"/>
          <w:i/>
          <w:iCs/>
          <w:color w:val="000000"/>
        </w:rPr>
        <w:t>vs</w:t>
      </w:r>
      <w:r w:rsidRPr="00CB49E8">
        <w:rPr>
          <w:rFonts w:ascii="Book Antiqua" w:eastAsia="Book Antiqua" w:hAnsi="Book Antiqua" w:cs="Book Antiqua"/>
          <w:color w:val="000000"/>
        </w:rPr>
        <w:t xml:space="preserve"> standard drainage in ANC and persistent OF</w:t>
      </w:r>
      <w:r w:rsidRPr="00CB49E8">
        <w:rPr>
          <w:rFonts w:ascii="Book Antiqua" w:eastAsia="Book Antiqua" w:hAnsi="Book Antiqua" w:cs="Book Antiqua"/>
          <w:color w:val="000000"/>
          <w:vertAlign w:val="superscript"/>
        </w:rPr>
        <w:t>[24]</w:t>
      </w:r>
      <w:r w:rsidRPr="00CB49E8">
        <w:rPr>
          <w:rFonts w:ascii="Book Antiqua" w:eastAsia="Book Antiqua" w:hAnsi="Book Antiqua" w:cs="Book Antiqua"/>
          <w:color w:val="000000"/>
        </w:rPr>
        <w:t xml:space="preserve">. No significant difference was seen in the mortality, complication rate, length of hospital, or ICU stay between the two groups. However, the authors found a trend towards reduction in mortality and major complications as well as shorter duration of OF in the early drainage group. </w:t>
      </w:r>
    </w:p>
    <w:p w14:paraId="25A9D72C" w14:textId="77777777"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lastRenderedPageBreak/>
        <w:t>Thus, early intervention is a feasible technique to treat septic or unstable patients if medical management alone is insufficient, with no adverse outcome in terms of morbidity and mortality.</w:t>
      </w:r>
    </w:p>
    <w:p w14:paraId="2C1EAD66" w14:textId="77777777" w:rsidR="00A77B3E" w:rsidRPr="00CB49E8" w:rsidRDefault="00A77B3E" w:rsidP="007902BA">
      <w:pPr>
        <w:spacing w:line="360" w:lineRule="auto"/>
        <w:jc w:val="both"/>
        <w:rPr>
          <w:rFonts w:ascii="Book Antiqua" w:hAnsi="Book Antiqua"/>
        </w:rPr>
      </w:pPr>
    </w:p>
    <w:p w14:paraId="2FEEF0CE" w14:textId="08D24134"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TECHNIQUES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AND</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ROUTES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p>
    <w:p w14:paraId="28404726" w14:textId="07D53B8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Due to increasing use of minimally invasive interventions and step-up approach, multiple techniques and routes have been defined for management of PFC. The purpose of intervention could be drainage, lavage, fragmentation, debridement, or excision</w:t>
      </w:r>
      <w:r w:rsidRPr="00CB49E8">
        <w:rPr>
          <w:rFonts w:ascii="Book Antiqua" w:eastAsia="Book Antiqua" w:hAnsi="Book Antiqua" w:cs="Book Antiqua"/>
          <w:color w:val="000000"/>
          <w:vertAlign w:val="superscript"/>
        </w:rPr>
        <w:t>[16]</w:t>
      </w:r>
      <w:r w:rsidRPr="00CB49E8">
        <w:rPr>
          <w:rFonts w:ascii="Book Antiqua" w:eastAsia="Book Antiqua" w:hAnsi="Book Antiqua" w:cs="Book Antiqua"/>
          <w:color w:val="000000"/>
        </w:rPr>
        <w:t>. A multidisciplinary consensus conference categorized the available interventions into open surgical, minimally invasive surgical (laparoscopy or retroperitoneoscopy), and image-guided percutaneous, endoscopic, or hybrid procedures; and the routes as transperitoneal, retroperitoneal, or oral routes</w:t>
      </w:r>
      <w:r w:rsidRPr="00CB49E8">
        <w:rPr>
          <w:rFonts w:ascii="Book Antiqua" w:eastAsia="Book Antiqua" w:hAnsi="Book Antiqua" w:cs="Book Antiqua"/>
          <w:color w:val="000000"/>
          <w:vertAlign w:val="superscript"/>
        </w:rPr>
        <w:t>[16]</w:t>
      </w:r>
      <w:r w:rsidRPr="00CB49E8">
        <w:rPr>
          <w:rFonts w:ascii="Book Antiqua" w:eastAsia="Book Antiqua" w:hAnsi="Book Antiqua" w:cs="Book Antiqua"/>
          <w:color w:val="000000"/>
        </w:rPr>
        <w:t xml:space="preserve">. </w:t>
      </w:r>
    </w:p>
    <w:p w14:paraId="44F6433D" w14:textId="35D68D53"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According to the recent AGA Clinical Practice Update 2020, percutaneous and endoscopic transmural interventions are both appropriate first-line management techniques for WON and organi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ed collections. Endoscopic approach may be preferred as it does not lead to the risk of pancreatocutaneous fistula. Percutaneous drainage should be considered in patients with infected or symptomatic acute necrotic collections (&lt; 2 wk) or with WON who are too ill to undergo endoscopic or surgical interventions. Percutaneous drainage can also be used as an adjunct to ED or as a monotherapy in collections with deep extensions</w:t>
      </w:r>
      <w:r w:rsidRPr="00CB49E8">
        <w:rPr>
          <w:rFonts w:ascii="Book Antiqua" w:eastAsia="Book Antiqua" w:hAnsi="Book Antiqua" w:cs="Book Antiqua"/>
          <w:color w:val="000000"/>
          <w:vertAlign w:val="superscript"/>
        </w:rPr>
        <w:t>[7]</w:t>
      </w:r>
      <w:r w:rsidRPr="00CB49E8">
        <w:rPr>
          <w:rFonts w:ascii="Book Antiqua" w:eastAsia="Book Antiqua" w:hAnsi="Book Antiqua" w:cs="Book Antiqua"/>
          <w:color w:val="000000"/>
        </w:rPr>
        <w:t>. Recent studies have shown that PCD alone can lead to successful treatment in a large number of patients with no further need of additional intervention</w:t>
      </w:r>
      <w:r w:rsidRPr="00CB49E8">
        <w:rPr>
          <w:rFonts w:ascii="Book Antiqua" w:eastAsia="Book Antiqua" w:hAnsi="Book Antiqua" w:cs="Book Antiqua"/>
          <w:color w:val="000000"/>
          <w:vertAlign w:val="superscript"/>
        </w:rPr>
        <w:t>[11,25]</w:t>
      </w:r>
      <w:r w:rsidRPr="00CB49E8">
        <w:rPr>
          <w:rFonts w:ascii="Book Antiqua" w:eastAsia="Book Antiqua" w:hAnsi="Book Antiqua" w:cs="Book Antiqua"/>
          <w:color w:val="000000"/>
        </w:rPr>
        <w:t>.</w:t>
      </w:r>
    </w:p>
    <w:p w14:paraId="367E4B1C" w14:textId="02F8883E"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Endoscopic transmural drainage can be performed either by conventional endoscopic guidance or by using endoscopic ultrasound (EUS) and is accomplished by using stents (Figure 4A-C)</w:t>
      </w:r>
      <w:r w:rsidRPr="00CB49E8">
        <w:rPr>
          <w:rFonts w:ascii="Book Antiqua" w:eastAsia="Book Antiqua" w:hAnsi="Book Antiqua" w:cs="Book Antiqua"/>
          <w:color w:val="000000"/>
          <w:vertAlign w:val="superscript"/>
        </w:rPr>
        <w:t>[18]</w:t>
      </w:r>
      <w:r w:rsidRPr="00CB49E8">
        <w:rPr>
          <w:rFonts w:ascii="Book Antiqua" w:eastAsia="Book Antiqua" w:hAnsi="Book Antiqua" w:cs="Book Antiqua"/>
          <w:color w:val="000000"/>
        </w:rPr>
        <w:t>. Endoscopic stents can be either plastic or metallic with metallic stents showing a better outcome for drainage as they have larger lumens and permit endoscopic necrosectomy. Newer metallic stents like lumen apposing metal stents (LAMS) and bi-flanged metal stents prevent stent migration and are even better than earlier generation metal stents (Figure 4D and E)</w:t>
      </w:r>
      <w:r w:rsidRPr="00CB49E8">
        <w:rPr>
          <w:rFonts w:ascii="Book Antiqua" w:eastAsia="Book Antiqua" w:hAnsi="Book Antiqua" w:cs="Book Antiqua"/>
          <w:color w:val="000000"/>
          <w:vertAlign w:val="superscript"/>
        </w:rPr>
        <w:t>[6,18,26]</w:t>
      </w:r>
      <w:r w:rsidRPr="00CB49E8">
        <w:rPr>
          <w:rFonts w:ascii="Book Antiqua" w:eastAsia="Book Antiqua" w:hAnsi="Book Antiqua" w:cs="Book Antiqua"/>
          <w:color w:val="000000"/>
        </w:rPr>
        <w:t xml:space="preserve">. One meta-analysis showed </w:t>
      </w:r>
      <w:r w:rsidRPr="00CB49E8">
        <w:rPr>
          <w:rFonts w:ascii="Book Antiqua" w:eastAsia="Book Antiqua" w:hAnsi="Book Antiqua" w:cs="Book Antiqua"/>
          <w:color w:val="000000"/>
        </w:rPr>
        <w:lastRenderedPageBreak/>
        <w:t>endoscopic and surgical drainage to be superior to percutaneous catheter drainage in terms of length of hospital stay, recurrence, and clinical success; however, certain important co-variates were not considered in this study</w:t>
      </w:r>
      <w:r w:rsidRPr="00CB49E8">
        <w:rPr>
          <w:rFonts w:ascii="Book Antiqua" w:eastAsia="Book Antiqua" w:hAnsi="Book Antiqua" w:cs="Book Antiqua"/>
          <w:color w:val="000000"/>
          <w:vertAlign w:val="superscript"/>
        </w:rPr>
        <w:t>[27]</w:t>
      </w:r>
      <w:r w:rsidRPr="00CB49E8">
        <w:rPr>
          <w:rFonts w:ascii="Book Antiqua" w:eastAsia="Book Antiqua" w:hAnsi="Book Antiqua" w:cs="Book Antiqua"/>
          <w:color w:val="000000"/>
        </w:rPr>
        <w:t>. Sites of collection were not given due importance as ED can only be done in collections locali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ed to the lesser sac and not extending to deep locations, where PCD is the initial step in management. The cost of re-interventions in both endoscopic and percutaneous interventions should also have been taken into account to describe the cost-effectiveness of either procedure. Also, the studies included in the meta-analysis only used catheter size between 8-16F, whereas endoscopic stents are far larger. Recent evidence of aggressive PCD upgradation shows higher success rates as an aggressive protocol of catheter upsizing every 4-6 d and drainage of all new collections leads to a significantly reduced hospital and ICU stay as compared to the standard protocol</w:t>
      </w:r>
      <w:r w:rsidRPr="00CB49E8">
        <w:rPr>
          <w:rFonts w:ascii="Book Antiqua" w:eastAsia="Book Antiqua" w:hAnsi="Book Antiqua" w:cs="Book Antiqua"/>
          <w:color w:val="000000"/>
          <w:vertAlign w:val="superscript"/>
        </w:rPr>
        <w:t>[28]</w:t>
      </w:r>
      <w:r w:rsidRPr="00CB49E8">
        <w:rPr>
          <w:rFonts w:ascii="Book Antiqua" w:eastAsia="Book Antiqua" w:hAnsi="Book Antiqua" w:cs="Book Antiqua"/>
          <w:color w:val="000000"/>
        </w:rPr>
        <w:t xml:space="preserve">. </w:t>
      </w:r>
    </w:p>
    <w:p w14:paraId="261443BF" w14:textId="138F52E5"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Thus, despite the increasing utili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ation of endoscopic and minimally invasive surgical techniques, PCD remains integral to the management of PFC.</w:t>
      </w:r>
    </w:p>
    <w:p w14:paraId="2C650FBF" w14:textId="77777777" w:rsidR="00A77B3E" w:rsidRPr="00CB49E8" w:rsidRDefault="00A77B3E" w:rsidP="007902BA">
      <w:pPr>
        <w:spacing w:line="360" w:lineRule="auto"/>
        <w:jc w:val="both"/>
        <w:rPr>
          <w:rFonts w:ascii="Book Antiqua" w:hAnsi="Book Antiqua"/>
        </w:rPr>
      </w:pPr>
    </w:p>
    <w:p w14:paraId="3C19EB07" w14:textId="29E59EC9"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PERCUTANEOUS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CATHETER</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p>
    <w:p w14:paraId="07C92F6A" w14:textId="7777777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PCD can be used as a monotherapy or as an adjunct to ED or as a bridge to surgical necrosectomy. PCD can be performed under ultrasound (US) or CT guidance. CT guidance is preferred for lesser sac collections as the bowel is avoided and retroperitoneal insertion is relatively easy. US guidance can be used in large and superficial collections or when a patient is in sepsis and requires emergent drainage. Due to its portable nature, it is also very useful in an ICU setting</w:t>
      </w:r>
      <w:r w:rsidRPr="00CB49E8">
        <w:rPr>
          <w:rFonts w:ascii="Book Antiqua" w:eastAsia="Book Antiqua" w:hAnsi="Book Antiqua" w:cs="Book Antiqua"/>
          <w:color w:val="000000"/>
          <w:vertAlign w:val="superscript"/>
        </w:rPr>
        <w:t>[7,28]</w:t>
      </w:r>
      <w:r w:rsidRPr="00CB49E8">
        <w:rPr>
          <w:rFonts w:ascii="Book Antiqua" w:eastAsia="Book Antiqua" w:hAnsi="Book Antiqua" w:cs="Book Antiqua"/>
          <w:color w:val="000000"/>
        </w:rPr>
        <w:t xml:space="preserve">. </w:t>
      </w:r>
    </w:p>
    <w:p w14:paraId="4C2CBA71" w14:textId="77777777"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Access routes to the pancreatic collections are chosen to avoid the intestine (to prevent enteric leaks or contamination of potentially sterile collections) and vessels. Retroperitoneal route through the flank is the ideal route as it avoids the intestine, prevents disseminated spread of infection through the peritoneal cavity, and provides access for future minimally invasive surgeries (MIS) (Figure 5A)</w:t>
      </w:r>
      <w:r w:rsidRPr="00CB49E8">
        <w:rPr>
          <w:rFonts w:ascii="Book Antiqua" w:eastAsia="Book Antiqua" w:hAnsi="Book Antiqua" w:cs="Book Antiqua"/>
          <w:color w:val="000000"/>
          <w:vertAlign w:val="superscript"/>
        </w:rPr>
        <w:t>[8,12]</w:t>
      </w:r>
      <w:r w:rsidRPr="00CB49E8">
        <w:rPr>
          <w:rFonts w:ascii="Book Antiqua" w:eastAsia="Book Antiqua" w:hAnsi="Book Antiqua" w:cs="Book Antiqua"/>
          <w:color w:val="000000"/>
        </w:rPr>
        <w:t xml:space="preserve">. Transperitoneal route is the second preference in cases where retroperitoneal approach is not possible, and collections arising from pancreatic head and proximal body are located anteriorly </w:t>
      </w:r>
      <w:r w:rsidRPr="00CB49E8">
        <w:rPr>
          <w:rFonts w:ascii="Book Antiqua" w:eastAsia="Book Antiqua" w:hAnsi="Book Antiqua" w:cs="Book Antiqua"/>
          <w:color w:val="000000"/>
        </w:rPr>
        <w:lastRenderedPageBreak/>
        <w:t>(Figure 5B). Care should be taken to avoid vessels and other bowel loops when this approach is selected. Transgastric approach may be used when there is no bowel free approach to the lesser sac collection, and it is considered relatively safe due to bacteria free acidic gastric contents (Figure 5C)</w:t>
      </w:r>
      <w:r w:rsidRPr="00CB49E8">
        <w:rPr>
          <w:rFonts w:ascii="Book Antiqua" w:eastAsia="Book Antiqua" w:hAnsi="Book Antiqua" w:cs="Book Antiqua"/>
          <w:color w:val="000000"/>
          <w:vertAlign w:val="superscript"/>
        </w:rPr>
        <w:t>[8]</w:t>
      </w:r>
      <w:r w:rsidRPr="00CB49E8">
        <w:rPr>
          <w:rFonts w:ascii="Book Antiqua" w:eastAsia="Book Antiqua" w:hAnsi="Book Antiqua" w:cs="Book Antiqua"/>
          <w:color w:val="000000"/>
        </w:rPr>
        <w:t xml:space="preserve">. Very rarely trans-hepatic route may have to be used when there is no other feasible route, but it should generally be avoided (Figure 5D). </w:t>
      </w:r>
    </w:p>
    <w:p w14:paraId="6AF95F15" w14:textId="5186F369"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 xml:space="preserve">PCD can be performed </w:t>
      </w:r>
      <w:r w:rsidRPr="00CB49E8">
        <w:rPr>
          <w:rFonts w:ascii="Book Antiqua" w:eastAsia="Book Antiqua" w:hAnsi="Book Antiqua" w:cs="Book Antiqua"/>
          <w:i/>
          <w:iCs/>
          <w:color w:val="000000"/>
        </w:rPr>
        <w:t>via</w:t>
      </w:r>
      <w:r w:rsidRPr="00CB49E8">
        <w:rPr>
          <w:rFonts w:ascii="Book Antiqua" w:eastAsia="Book Antiqua" w:hAnsi="Book Antiqua" w:cs="Book Antiqua"/>
          <w:color w:val="000000"/>
        </w:rPr>
        <w:t xml:space="preserve"> the Seldinger or the trocar technique. Seldinger technique employs initial access of the collection by an 18G needle followed by insertion of a 0.035 inch stiff guidewire and serial dilatation of the tract thereafter. Drainage catheter is then inserted along the guidewire after adequate dilatation of the tract. Trocar technique employs advancing a co-axial combination of a sharp stylet, stiffening cannula, and the draining catheter</w:t>
      </w:r>
      <w:r w:rsidRPr="00CB49E8">
        <w:rPr>
          <w:rFonts w:ascii="Book Antiqua" w:eastAsia="Book Antiqua" w:hAnsi="Book Antiqua" w:cs="Book Antiqua"/>
          <w:color w:val="000000"/>
          <w:vertAlign w:val="superscript"/>
        </w:rPr>
        <w:t>[29]</w:t>
      </w:r>
      <w:r w:rsidRPr="00CB49E8">
        <w:rPr>
          <w:rFonts w:ascii="Book Antiqua" w:eastAsia="Book Antiqua" w:hAnsi="Book Antiqua" w:cs="Book Antiqua"/>
          <w:color w:val="000000"/>
        </w:rPr>
        <w:t>. Seldinger technique is more useful for deep collections but is more time-consuming as it involves multiple steps. Trocar technique is useful in large and superficial collections but is more painful</w:t>
      </w:r>
      <w:r w:rsidRPr="00CB49E8">
        <w:rPr>
          <w:rFonts w:ascii="Book Antiqua" w:eastAsia="Book Antiqua" w:hAnsi="Book Antiqua" w:cs="Book Antiqua"/>
          <w:color w:val="000000"/>
          <w:vertAlign w:val="superscript"/>
        </w:rPr>
        <w:t>[29]</w:t>
      </w:r>
      <w:r w:rsidRPr="00CB49E8">
        <w:rPr>
          <w:rFonts w:ascii="Book Antiqua" w:eastAsia="Book Antiqua" w:hAnsi="Book Antiqua" w:cs="Book Antiqua"/>
          <w:color w:val="000000"/>
        </w:rPr>
        <w:t xml:space="preserve">. </w:t>
      </w:r>
    </w:p>
    <w:p w14:paraId="7BC1A741" w14:textId="7C6BE0A6"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Initial catheter size is an important factor that may determine the success of PCD as well as other outcomes but has been inadequately addressed in the literature. It is generally believed that liquefied collections with a small amount of solid debris may be treated initially with small bore catheters ranging from 8-12 F, and organi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ed, solid looking collections be treated with larger bore catheters but high level evidence is lacking</w:t>
      </w:r>
      <w:r w:rsidRPr="00CB49E8">
        <w:rPr>
          <w:rFonts w:ascii="Book Antiqua" w:eastAsia="Book Antiqua" w:hAnsi="Book Antiqua" w:cs="Book Antiqua"/>
          <w:color w:val="000000"/>
          <w:vertAlign w:val="superscript"/>
        </w:rPr>
        <w:t>[29,30]</w:t>
      </w:r>
      <w:r w:rsidRPr="00CB49E8">
        <w:rPr>
          <w:rFonts w:ascii="Book Antiqua" w:eastAsia="Book Antiqua" w:hAnsi="Book Antiqua" w:cs="Book Antiqua"/>
          <w:color w:val="000000"/>
        </w:rPr>
        <w:t>. Few retrospective studies and meta-analyses showed no significant difference in outcome with respect to mean catheter size</w:t>
      </w:r>
      <w:r w:rsidRPr="00CB49E8">
        <w:rPr>
          <w:rFonts w:ascii="Book Antiqua" w:eastAsia="Book Antiqua" w:hAnsi="Book Antiqua" w:cs="Book Antiqua"/>
          <w:color w:val="000000"/>
          <w:vertAlign w:val="superscript"/>
        </w:rPr>
        <w:t>[30,31]</w:t>
      </w:r>
      <w:r w:rsidRPr="00CB49E8">
        <w:rPr>
          <w:rFonts w:ascii="Book Antiqua" w:eastAsia="Book Antiqua" w:hAnsi="Book Antiqua" w:cs="Book Antiqua"/>
          <w:color w:val="000000"/>
        </w:rPr>
        <w:t>. However, a recent study has reported a significant reduction in ICU stay and number of re-admissions when patients were treated with an initial catheter size of &gt; 12 and overall mortality was not significantly lower in patients undergoing initial large bore catheter drainage</w:t>
      </w:r>
      <w:r w:rsidRPr="00CB49E8">
        <w:rPr>
          <w:rFonts w:ascii="Book Antiqua" w:eastAsia="Book Antiqua" w:hAnsi="Book Antiqua" w:cs="Book Antiqua"/>
          <w:color w:val="000000"/>
          <w:vertAlign w:val="superscript"/>
        </w:rPr>
        <w:t>[11]</w:t>
      </w:r>
      <w:r w:rsidRPr="00CB49E8">
        <w:rPr>
          <w:rFonts w:ascii="Book Antiqua" w:eastAsia="Book Antiqua" w:hAnsi="Book Antiqua" w:cs="Book Antiqua"/>
          <w:color w:val="000000"/>
        </w:rPr>
        <w:t>.</w:t>
      </w:r>
    </w:p>
    <w:p w14:paraId="4DDE1045" w14:textId="77777777" w:rsidR="00A77B3E" w:rsidRPr="00CB49E8" w:rsidRDefault="00A77B3E" w:rsidP="007902BA">
      <w:pPr>
        <w:spacing w:line="360" w:lineRule="auto"/>
        <w:jc w:val="both"/>
        <w:rPr>
          <w:rFonts w:ascii="Book Antiqua" w:hAnsi="Book Antiqua"/>
        </w:rPr>
      </w:pPr>
    </w:p>
    <w:p w14:paraId="5B23174F" w14:textId="700FB0C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TECHNICAL</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INNOVATIONS</w:t>
      </w:r>
    </w:p>
    <w:p w14:paraId="6C420F48" w14:textId="42839F9D"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Kissing</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catheter</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technique</w:t>
      </w:r>
    </w:p>
    <w:p w14:paraId="2A212089" w14:textId="6BC6828E"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This technique involves placement of two catheters side by side through the same puncture site into the collection after serial dilatation of the tract</w:t>
      </w:r>
      <w:r w:rsidRPr="00CB49E8">
        <w:rPr>
          <w:rFonts w:ascii="Book Antiqua" w:eastAsia="Book Antiqua" w:hAnsi="Book Antiqua" w:cs="Book Antiqua"/>
          <w:color w:val="000000"/>
          <w:vertAlign w:val="superscript"/>
        </w:rPr>
        <w:t>[32]</w:t>
      </w:r>
      <w:r w:rsidRPr="00CB49E8">
        <w:rPr>
          <w:rFonts w:ascii="Book Antiqua" w:eastAsia="Book Antiqua" w:hAnsi="Book Antiqua" w:cs="Book Antiqua"/>
          <w:color w:val="000000"/>
        </w:rPr>
        <w:t xml:space="preserve">. The kissing catheters were deployed only when patients failed to respond to serial upgradations of a single </w:t>
      </w:r>
      <w:r w:rsidRPr="00CB49E8">
        <w:rPr>
          <w:rFonts w:ascii="Book Antiqua" w:eastAsia="Book Antiqua" w:hAnsi="Book Antiqua" w:cs="Book Antiqua"/>
          <w:color w:val="000000"/>
        </w:rPr>
        <w:lastRenderedPageBreak/>
        <w:t>catheter or mean CT density of the collection was &gt; 30 HU, and the purpose of the kissing catheters was to provide one catheter for flushing and another for aspiration. Flushing, aspiration, and/or upsizing were done till there was no residual collection left. With this technique, eight out of ten treated patients did not require a surgical necrosectomy</w:t>
      </w:r>
      <w:r w:rsidRPr="00CB49E8">
        <w:rPr>
          <w:rFonts w:ascii="Book Antiqua" w:eastAsia="Book Antiqua" w:hAnsi="Book Antiqua" w:cs="Book Antiqua"/>
          <w:color w:val="000000"/>
          <w:vertAlign w:val="superscript"/>
        </w:rPr>
        <w:t>[32]</w:t>
      </w:r>
      <w:r w:rsidRPr="00CB49E8">
        <w:rPr>
          <w:rFonts w:ascii="Book Antiqua" w:eastAsia="Book Antiqua" w:hAnsi="Book Antiqua" w:cs="Book Antiqua"/>
          <w:color w:val="000000"/>
        </w:rPr>
        <w:t xml:space="preserve">. </w:t>
      </w:r>
    </w:p>
    <w:p w14:paraId="480E3934" w14:textId="77777777" w:rsidR="002A7EB2" w:rsidRPr="00CB49E8" w:rsidRDefault="002A7EB2" w:rsidP="007902BA">
      <w:pPr>
        <w:spacing w:line="360" w:lineRule="auto"/>
        <w:jc w:val="both"/>
        <w:rPr>
          <w:rFonts w:ascii="Book Antiqua" w:hAnsi="Book Antiqua"/>
        </w:rPr>
      </w:pPr>
    </w:p>
    <w:p w14:paraId="6FEB2CC2" w14:textId="193FB12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Double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lumen</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catheters</w:t>
      </w:r>
    </w:p>
    <w:p w14:paraId="570C7D5F" w14:textId="2393F92E"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 xml:space="preserve">Liu </w:t>
      </w:r>
      <w:r w:rsidRPr="00CB49E8">
        <w:rPr>
          <w:rFonts w:ascii="Book Antiqua" w:eastAsia="Book Antiqua" w:hAnsi="Book Antiqua" w:cs="Book Antiqua"/>
          <w:i/>
          <w:iCs/>
          <w:color w:val="000000"/>
        </w:rPr>
        <w:t>et al</w:t>
      </w:r>
      <w:r w:rsidRPr="00CB49E8">
        <w:rPr>
          <w:rFonts w:ascii="Book Antiqua" w:eastAsia="Book Antiqua" w:hAnsi="Book Antiqua" w:cs="Book Antiqua"/>
          <w:color w:val="000000"/>
          <w:vertAlign w:val="superscript"/>
        </w:rPr>
        <w:t>[33]</w:t>
      </w:r>
      <w:r w:rsidRPr="00CB49E8">
        <w:rPr>
          <w:rFonts w:ascii="Book Antiqua" w:eastAsia="Book Antiqua" w:hAnsi="Book Antiqua" w:cs="Book Antiqua"/>
          <w:color w:val="000000"/>
        </w:rPr>
        <w:t xml:space="preserve"> described a double catheter technique in which an inlet catheter for flushing and an aspirator catheter for drainage were inserted inside a large aperture tube with multiple side holes. One group of 15 patients underwent this double catheter placement followed by 1-2 wk of lavage, after which patients underwent percutaneous flexible endoscopic debridement. The other group of 12 patients underwent standard PCD placement with open necrosectomy thereafter. It was found that the occurrence of major complications and/or death was significantly lower in the double catheter group than in the standard PCD group. There was a lower rate of occurrence of new onset OF and reduced length of ICU stay in the double catheter group. </w:t>
      </w:r>
    </w:p>
    <w:p w14:paraId="15327B28" w14:textId="51963FC2"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Another group evaluated the role of a novel dual-lumen flushable drainage catheter in evacuation of complex fluid collections</w:t>
      </w:r>
      <w:r w:rsidRPr="00CB49E8">
        <w:rPr>
          <w:rFonts w:ascii="Book Antiqua" w:eastAsia="Book Antiqua" w:hAnsi="Book Antiqua" w:cs="Book Antiqua"/>
          <w:color w:val="000000"/>
          <w:vertAlign w:val="superscript"/>
        </w:rPr>
        <w:t>[34]</w:t>
      </w:r>
      <w:r w:rsidRPr="00CB49E8">
        <w:rPr>
          <w:rFonts w:ascii="Book Antiqua" w:eastAsia="Book Antiqua" w:hAnsi="Book Antiqua" w:cs="Book Antiqua"/>
          <w:color w:val="000000"/>
        </w:rPr>
        <w:t>. Two prototype catheters of 20 and 28 F size were created by incorporating a customi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 xml:space="preserve">ed infusion lumen within the wall of a large bore standard catheter and these were compared with standard 20 and 28 F catheters in </w:t>
      </w:r>
      <w:r w:rsidRPr="00CB49E8">
        <w:rPr>
          <w:rFonts w:ascii="Book Antiqua" w:eastAsia="Book Antiqua" w:hAnsi="Book Antiqua" w:cs="Book Antiqua"/>
          <w:i/>
          <w:iCs/>
          <w:color w:val="000000"/>
        </w:rPr>
        <w:t>in vitro</w:t>
      </w:r>
      <w:r w:rsidRPr="00CB49E8">
        <w:rPr>
          <w:rFonts w:ascii="Book Antiqua" w:eastAsia="Book Antiqua" w:hAnsi="Book Antiqua" w:cs="Book Antiqua"/>
          <w:color w:val="000000"/>
        </w:rPr>
        <w:t xml:space="preserve"> models. Drainage rate of double lumen catheters was significantly superior to standard catheters in purulent, particulate, and haematoma models and complete drainage was achieved with double lumen catheters in the purulent model. Based on the promising results, these catheters may also improve outcomes in patients with necrotizing AP. </w:t>
      </w:r>
    </w:p>
    <w:p w14:paraId="1CC4CCD4" w14:textId="77777777" w:rsidR="00A77B3E" w:rsidRPr="00CB49E8" w:rsidRDefault="00A77B3E" w:rsidP="007902BA">
      <w:pPr>
        <w:spacing w:line="360" w:lineRule="auto"/>
        <w:jc w:val="both"/>
        <w:rPr>
          <w:rFonts w:ascii="Book Antiqua" w:hAnsi="Book Antiqua"/>
        </w:rPr>
      </w:pPr>
    </w:p>
    <w:p w14:paraId="44F2A43A" w14:textId="142354B3"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LAVAGE</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CATHETERS</w:t>
      </w:r>
    </w:p>
    <w:p w14:paraId="2B931C4A" w14:textId="6E88FB6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Large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volume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lavage</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with</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normal</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saline</w:t>
      </w:r>
    </w:p>
    <w:p w14:paraId="6F131225" w14:textId="6847C173"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A randomized controlled trial compared patients undergoing lavage treatment (LT group) with dependent drainage (DD group) with primary end points being reversal of pre-</w:t>
      </w:r>
      <w:r w:rsidRPr="00CB49E8">
        <w:rPr>
          <w:rFonts w:ascii="Book Antiqua" w:eastAsia="Book Antiqua" w:hAnsi="Book Antiqua" w:cs="Book Antiqua"/>
          <w:color w:val="000000"/>
        </w:rPr>
        <w:lastRenderedPageBreak/>
        <w:t>existing OF, development of new onset OF, need for surgery, mortality, and hospital stay</w:t>
      </w:r>
      <w:r w:rsidRPr="00CB49E8">
        <w:rPr>
          <w:rFonts w:ascii="Book Antiqua" w:eastAsia="Book Antiqua" w:hAnsi="Book Antiqua" w:cs="Book Antiqua"/>
          <w:color w:val="000000"/>
          <w:vertAlign w:val="superscript"/>
        </w:rPr>
        <w:t>[35]</w:t>
      </w:r>
      <w:r w:rsidRPr="00CB49E8">
        <w:rPr>
          <w:rFonts w:ascii="Book Antiqua" w:eastAsia="Book Antiqua" w:hAnsi="Book Antiqua" w:cs="Book Antiqua"/>
          <w:color w:val="000000"/>
        </w:rPr>
        <w:t>. Lavage was initiated within 24 h of PCD insertion in the LT group and it was done with warmed isotonic saline solution. Initially, 250 mL was instilled through the catheter over 1-2 h and the catheter left on dependent drainage for the rest of the day. In patients with lavage return ≥ 70% of infused volume, lavage volume was gradually increased over 3-4 d and this fluid was infused slowly. Lavage was done for a period of 2 wk. The DD group did not undergo any lavage treatment and was left for standard drainage. It was shown that lavage treatment resulted in a significant reversal of OF and reduction in acute physiology and chronic health evaluation II scores as compared to the DD group. No difference was reported in the development of new onset OF, catheter related complications, or number of catheters between the two groups.</w:t>
      </w:r>
    </w:p>
    <w:p w14:paraId="1DD8A23D" w14:textId="77777777" w:rsidR="00C440F7" w:rsidRPr="00CB49E8" w:rsidRDefault="00C440F7" w:rsidP="007902BA">
      <w:pPr>
        <w:spacing w:line="360" w:lineRule="auto"/>
        <w:jc w:val="both"/>
        <w:rPr>
          <w:rFonts w:ascii="Book Antiqua" w:hAnsi="Book Antiqua"/>
        </w:rPr>
      </w:pPr>
    </w:p>
    <w:p w14:paraId="33605CA5" w14:textId="2383668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Local</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antibiotic</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instillation</w:t>
      </w:r>
    </w:p>
    <w:p w14:paraId="484263B2" w14:textId="31CDBED0"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 xml:space="preserve">Werge </w:t>
      </w:r>
      <w:r w:rsidRPr="00CB49E8">
        <w:rPr>
          <w:rFonts w:ascii="Book Antiqua" w:eastAsia="Book Antiqua" w:hAnsi="Book Antiqua" w:cs="Book Antiqua"/>
          <w:i/>
          <w:iCs/>
          <w:color w:val="000000"/>
        </w:rPr>
        <w:t>et al</w:t>
      </w:r>
      <w:r w:rsidRPr="00CB49E8">
        <w:rPr>
          <w:rFonts w:ascii="Book Antiqua" w:eastAsia="Book Antiqua" w:hAnsi="Book Antiqua" w:cs="Book Antiqua"/>
          <w:color w:val="000000"/>
          <w:vertAlign w:val="superscript"/>
        </w:rPr>
        <w:t>[36]</w:t>
      </w:r>
      <w:r w:rsidRPr="00CB49E8">
        <w:rPr>
          <w:rFonts w:ascii="Book Antiqua" w:eastAsia="Book Antiqua" w:hAnsi="Book Antiqua" w:cs="Book Antiqua"/>
          <w:color w:val="000000"/>
        </w:rPr>
        <w:t xml:space="preserve"> retrospectively evaluated patients treated with endoscopic transmural drainage and necrosectomy who underwent local instillation of antibiotics depending on microbial findings. Both intravenous and local antibiotics did not show eradication of bacteria between the first and second culture; however, local antibiotics were associated with eradication of microbes between the second and third culture which was not seen with intravenous antibiotics</w:t>
      </w:r>
      <w:r w:rsidRPr="00CB49E8">
        <w:rPr>
          <w:rFonts w:ascii="Book Antiqua" w:eastAsia="Book Antiqua" w:hAnsi="Book Antiqua" w:cs="Book Antiqua"/>
          <w:color w:val="000000"/>
          <w:vertAlign w:val="superscript"/>
        </w:rPr>
        <w:t>[36]</w:t>
      </w:r>
      <w:r w:rsidRPr="00CB49E8">
        <w:rPr>
          <w:rFonts w:ascii="Book Antiqua" w:eastAsia="Book Antiqua" w:hAnsi="Book Antiqua" w:cs="Book Antiqua"/>
          <w:color w:val="000000"/>
        </w:rPr>
        <w:t>. Thus, local instillation of antibiotics depending on microbial culture report can lead to early eradication of infection in MID. Although there are no published studies reporting the use of local antibiotics through the percutaneous catheters, there seems to be a potential role for local antibiotics to improve outcomes in patients undergoing PCD.</w:t>
      </w:r>
    </w:p>
    <w:p w14:paraId="136A820E" w14:textId="77777777" w:rsidR="000A342F" w:rsidRPr="00CB49E8" w:rsidRDefault="000A342F" w:rsidP="007902BA">
      <w:pPr>
        <w:spacing w:line="360" w:lineRule="auto"/>
        <w:jc w:val="both"/>
        <w:rPr>
          <w:rFonts w:ascii="Book Antiqua" w:hAnsi="Book Antiqua"/>
        </w:rPr>
      </w:pPr>
    </w:p>
    <w:p w14:paraId="2682D802" w14:textId="5AE9AD98"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Instillation</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of</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necrolytic</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agents</w:t>
      </w:r>
    </w:p>
    <w:p w14:paraId="79DB185E" w14:textId="6B678A25"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Streptokinase</w:t>
      </w:r>
      <w:r w:rsidRPr="00CB49E8">
        <w:rPr>
          <w:rFonts w:ascii="Book Antiqua" w:hAnsi="Book Antiqua" w:hint="eastAsia"/>
          <w:b/>
          <w:bCs/>
          <w:lang w:eastAsia="zh-CN"/>
        </w:rPr>
        <w:t>:</w:t>
      </w:r>
      <w:r w:rsidRPr="00CB49E8">
        <w:rPr>
          <w:rFonts w:ascii="Book Antiqua" w:hAnsi="Book Antiqua"/>
          <w:lang w:eastAsia="zh-CN"/>
        </w:rPr>
        <w:t xml:space="preserve"> </w:t>
      </w:r>
      <w:r w:rsidRPr="00CB49E8">
        <w:rPr>
          <w:rFonts w:ascii="Book Antiqua" w:eastAsia="Book Antiqua" w:hAnsi="Book Antiqua" w:cs="Book Antiqua"/>
          <w:color w:val="000000"/>
        </w:rPr>
        <w:t>Streptokinase acts on the surface of the necrosum and causes fibrinolysis which leads to its dissolution. This leads to better drainage of solid contents of the PFCs</w:t>
      </w:r>
      <w:r w:rsidRPr="00CB49E8">
        <w:rPr>
          <w:rFonts w:ascii="Book Antiqua" w:eastAsia="Book Antiqua" w:hAnsi="Book Antiqua" w:cs="Book Antiqua"/>
          <w:color w:val="000000"/>
          <w:vertAlign w:val="superscript"/>
        </w:rPr>
        <w:t>[37]</w:t>
      </w:r>
      <w:r w:rsidRPr="00CB49E8">
        <w:rPr>
          <w:rFonts w:ascii="Book Antiqua" w:eastAsia="Book Antiqua" w:hAnsi="Book Antiqua" w:cs="Book Antiqua"/>
          <w:color w:val="000000"/>
        </w:rPr>
        <w:t xml:space="preserve">. A retrospective study demonstrated that streptokinase irrigation of the PFC through percutaneous catheters resulted in a significantly higher sepsis reversal and reduced need </w:t>
      </w:r>
      <w:r w:rsidRPr="00CB49E8">
        <w:rPr>
          <w:rFonts w:ascii="Book Antiqua" w:eastAsia="Book Antiqua" w:hAnsi="Book Antiqua" w:cs="Book Antiqua"/>
          <w:color w:val="000000"/>
        </w:rPr>
        <w:lastRenderedPageBreak/>
        <w:t>for surgery in the streptokinase group as compared to saline irrigation</w:t>
      </w:r>
      <w:r w:rsidRPr="00CB49E8">
        <w:rPr>
          <w:rFonts w:ascii="Book Antiqua" w:eastAsia="Book Antiqua" w:hAnsi="Book Antiqua" w:cs="Book Antiqua"/>
          <w:color w:val="000000"/>
          <w:vertAlign w:val="superscript"/>
        </w:rPr>
        <w:t>[37]</w:t>
      </w:r>
      <w:r w:rsidRPr="00CB49E8">
        <w:rPr>
          <w:rFonts w:ascii="Book Antiqua" w:eastAsia="Book Antiqua" w:hAnsi="Book Antiqua" w:cs="Book Antiqua"/>
          <w:color w:val="000000"/>
        </w:rPr>
        <w:t xml:space="preserve">. Two doses of streptokinase were used (50000 IU/150000IU diluted in 100 mL saline infused over 60 min) and higher dose resulted in lower rates of necrosectomy, bleeding, and mortality. </w:t>
      </w:r>
    </w:p>
    <w:p w14:paraId="6542DA30" w14:textId="77777777" w:rsidR="008D2584" w:rsidRPr="00CB49E8" w:rsidRDefault="008D2584" w:rsidP="008D2584">
      <w:pPr>
        <w:spacing w:line="360" w:lineRule="auto"/>
        <w:jc w:val="both"/>
        <w:rPr>
          <w:rFonts w:ascii="Book Antiqua" w:hAnsi="Book Antiqua"/>
        </w:rPr>
      </w:pPr>
    </w:p>
    <w:p w14:paraId="50B95B8C" w14:textId="17BD8B10"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b/>
          <w:bCs/>
          <w:color w:val="000000"/>
        </w:rPr>
        <w:t xml:space="preserve"> Streptokinase </w:t>
      </w:r>
      <w:r w:rsidRPr="00CB49E8">
        <w:rPr>
          <w:rFonts w:ascii="Book Antiqua" w:eastAsia="Book Antiqua" w:hAnsi="Book Antiqua" w:cs="Book Antiqua"/>
          <w:b/>
          <w:bCs/>
          <w:i/>
          <w:iCs/>
          <w:color w:val="000000"/>
        </w:rPr>
        <w:t>vs</w:t>
      </w:r>
      <w:r w:rsidRPr="00CB49E8">
        <w:rPr>
          <w:rFonts w:ascii="Book Antiqua" w:eastAsia="Book Antiqua" w:hAnsi="Book Antiqua" w:cs="Book Antiqua"/>
          <w:b/>
          <w:bCs/>
          <w:color w:val="000000"/>
        </w:rPr>
        <w:t xml:space="preserve"> hydrogen peroxide</w:t>
      </w:r>
      <w:r w:rsidRPr="00CB49E8">
        <w:rPr>
          <w:rFonts w:ascii="Book Antiqua" w:hAnsi="Book Antiqua" w:hint="eastAsia"/>
          <w:b/>
          <w:bCs/>
          <w:lang w:eastAsia="zh-CN"/>
        </w:rPr>
        <w:t>:</w:t>
      </w:r>
      <w:r w:rsidRPr="00CB49E8">
        <w:rPr>
          <w:rFonts w:ascii="Book Antiqua" w:hAnsi="Book Antiqua"/>
          <w:lang w:eastAsia="zh-CN"/>
        </w:rPr>
        <w:t xml:space="preserve"> </w:t>
      </w:r>
      <w:r w:rsidRPr="00CB49E8">
        <w:rPr>
          <w:rFonts w:ascii="Book Antiqua" w:eastAsia="Book Antiqua" w:hAnsi="Book Antiqua" w:cs="Book Antiqua"/>
          <w:color w:val="000000"/>
        </w:rPr>
        <w:t>Another study by the same group compared streptokinase irrigation (50000 IU in 100 mL saline) with hydrogen peroxide irrigation (3% diluted in 100 mL saline)</w:t>
      </w:r>
      <w:r w:rsidRPr="00CB49E8">
        <w:rPr>
          <w:rFonts w:ascii="Book Antiqua" w:eastAsia="Book Antiqua" w:hAnsi="Book Antiqua" w:cs="Book Antiqua"/>
          <w:color w:val="000000"/>
          <w:vertAlign w:val="superscript"/>
        </w:rPr>
        <w:t>[38]</w:t>
      </w:r>
      <w:r w:rsidRPr="00CB49E8">
        <w:rPr>
          <w:rFonts w:ascii="Book Antiqua" w:eastAsia="Book Antiqua" w:hAnsi="Book Antiqua" w:cs="Book Antiqua"/>
          <w:color w:val="000000"/>
        </w:rPr>
        <w:t xml:space="preserve">. Bleeding complications, need for surgery, mortality, and post-irrigation hospital stay were higher in the hydrogen peroxide group than in the streptokinase group; however, the difference was not statistically significant. Streptokinase, thus, appears to be safer compared with hydrogen peroxide. </w:t>
      </w:r>
    </w:p>
    <w:p w14:paraId="4C04CFCE" w14:textId="77777777" w:rsidR="00A77B3E" w:rsidRPr="00CB49E8" w:rsidRDefault="00A77B3E" w:rsidP="007902BA">
      <w:pPr>
        <w:spacing w:line="360" w:lineRule="auto"/>
        <w:jc w:val="both"/>
        <w:rPr>
          <w:rFonts w:ascii="Book Antiqua" w:hAnsi="Book Antiqua"/>
        </w:rPr>
      </w:pPr>
    </w:p>
    <w:p w14:paraId="6FA4F82F" w14:textId="4948AD5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Abdominal</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paracentesis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as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an</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adjunct</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to</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PCD</w:t>
      </w:r>
    </w:p>
    <w:p w14:paraId="0775971A" w14:textId="7910D84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Abdominal paracentesis drainage (APD) prior to PCD as part of the modified step-up approach or to relieve increased intra-abdominal pressure has shown encouraging results in a few studies. One study compared outcomes in patients managed with APD preceding PCD and with PCD alone and demonstrated that the reduction of peripancreatic fluid collection by &lt; 50% after APD alone was an independent predictor of the subsequent need for PCD</w:t>
      </w:r>
      <w:r w:rsidRPr="00CB49E8">
        <w:rPr>
          <w:rFonts w:ascii="Book Antiqua" w:eastAsia="Book Antiqua" w:hAnsi="Book Antiqua" w:cs="Book Antiqua"/>
          <w:color w:val="000000"/>
          <w:vertAlign w:val="superscript"/>
        </w:rPr>
        <w:t>[33]</w:t>
      </w:r>
      <w:r w:rsidRPr="00CB49E8">
        <w:rPr>
          <w:rFonts w:ascii="Book Antiqua" w:eastAsia="Book Antiqua" w:hAnsi="Book Antiqua" w:cs="Book Antiqua"/>
          <w:color w:val="000000"/>
        </w:rPr>
        <w:t>. A similar study showed that the mortality in the APD plus PCD group was significantly lower than that with PCD alone, and mean interval between onset of disease to further intervention was also decreased in the first group</w:t>
      </w:r>
      <w:r w:rsidRPr="00CB49E8">
        <w:rPr>
          <w:rFonts w:ascii="Book Antiqua" w:eastAsia="Book Antiqua" w:hAnsi="Book Antiqua" w:cs="Book Antiqua"/>
          <w:color w:val="000000"/>
          <w:vertAlign w:val="superscript"/>
        </w:rPr>
        <w:t>[39]</w:t>
      </w:r>
      <w:r w:rsidRPr="00CB49E8">
        <w:rPr>
          <w:rFonts w:ascii="Book Antiqua" w:eastAsia="Book Antiqua" w:hAnsi="Book Antiqua" w:cs="Book Antiqua"/>
          <w:color w:val="000000"/>
        </w:rPr>
        <w:t>. Another prospective cohort study demonstrated a significant reduction in the severity scores and laboratory variables in the APD-PCD group. However, no relevant factors could be identified to predict the need of APD</w:t>
      </w:r>
      <w:r w:rsidRPr="00CB49E8">
        <w:rPr>
          <w:rFonts w:ascii="Book Antiqua" w:eastAsia="Book Antiqua" w:hAnsi="Book Antiqua" w:cs="Book Antiqua"/>
          <w:color w:val="000000"/>
          <w:vertAlign w:val="superscript"/>
        </w:rPr>
        <w:t>[40]</w:t>
      </w:r>
      <w:r w:rsidRPr="00CB49E8">
        <w:rPr>
          <w:rFonts w:ascii="Book Antiqua" w:eastAsia="Book Antiqua" w:hAnsi="Book Antiqua" w:cs="Book Antiqua"/>
          <w:color w:val="000000"/>
        </w:rPr>
        <w:t xml:space="preserve">. </w:t>
      </w:r>
    </w:p>
    <w:p w14:paraId="453279C4" w14:textId="0C18CE45"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A prospective study evaluated the role of APD in infectious complications in MSAP and SAP and it was seen that patients who underwent APD had significantly lesser infectious complications as well as need for further PCD than patients with PCD alone</w:t>
      </w:r>
      <w:r w:rsidRPr="00CB49E8">
        <w:rPr>
          <w:rFonts w:ascii="Book Antiqua" w:eastAsia="Book Antiqua" w:hAnsi="Book Antiqua" w:cs="Book Antiqua"/>
          <w:color w:val="000000"/>
          <w:vertAlign w:val="superscript"/>
        </w:rPr>
        <w:t>[41]</w:t>
      </w:r>
      <w:r w:rsidRPr="00CB49E8">
        <w:rPr>
          <w:rFonts w:ascii="Book Antiqua" w:eastAsia="Book Antiqua" w:hAnsi="Book Antiqua" w:cs="Book Antiqua"/>
          <w:color w:val="000000"/>
        </w:rPr>
        <w:t xml:space="preserve">. No significant difference was seen in microbial spectrum or mortality between the two groups. Wang </w:t>
      </w:r>
      <w:r w:rsidRPr="00CB49E8">
        <w:rPr>
          <w:rFonts w:ascii="Book Antiqua" w:eastAsia="Book Antiqua" w:hAnsi="Book Antiqua" w:cs="Book Antiqua"/>
          <w:i/>
          <w:iCs/>
          <w:color w:val="000000"/>
        </w:rPr>
        <w:t>et al</w:t>
      </w:r>
      <w:r w:rsidRPr="00CB49E8">
        <w:rPr>
          <w:rFonts w:ascii="Book Antiqua" w:eastAsia="Book Antiqua" w:hAnsi="Book Antiqua" w:cs="Book Antiqua"/>
          <w:color w:val="000000"/>
          <w:vertAlign w:val="superscript"/>
        </w:rPr>
        <w:t>[42]</w:t>
      </w:r>
      <w:r w:rsidRPr="00CB49E8">
        <w:rPr>
          <w:rFonts w:ascii="Book Antiqua" w:eastAsia="Book Antiqua" w:hAnsi="Book Antiqua" w:cs="Book Antiqua"/>
          <w:color w:val="000000"/>
        </w:rPr>
        <w:t xml:space="preserve"> evaluated the role of APD in decreasing the intra-abdominal pressure in patients with severe AP with sterile fluid collections. Patients were divided </w:t>
      </w:r>
      <w:r w:rsidRPr="00CB49E8">
        <w:rPr>
          <w:rFonts w:ascii="Book Antiqua" w:eastAsia="Book Antiqua" w:hAnsi="Book Antiqua" w:cs="Book Antiqua"/>
          <w:color w:val="000000"/>
        </w:rPr>
        <w:lastRenderedPageBreak/>
        <w:t>into a sterile collection group, a secondary infection group, and a primary infection group and it was seen that intra-abdominal hypertension was an independent risk factor for secondary infection, and a significant reduction in intra-abdominal pressure following APD (&gt; 6.5 mmHg) led to a lower incidence of infection and better alleviation of OF</w:t>
      </w:r>
      <w:r w:rsidRPr="00CB49E8">
        <w:rPr>
          <w:rFonts w:ascii="Book Antiqua" w:eastAsia="Book Antiqua" w:hAnsi="Book Antiqua" w:cs="Book Antiqua"/>
          <w:color w:val="000000"/>
          <w:vertAlign w:val="superscript"/>
        </w:rPr>
        <w:t>[43]</w:t>
      </w:r>
      <w:r w:rsidRPr="00CB49E8">
        <w:rPr>
          <w:rFonts w:ascii="Book Antiqua" w:eastAsia="Book Antiqua" w:hAnsi="Book Antiqua" w:cs="Book Antiqua"/>
          <w:color w:val="000000"/>
        </w:rPr>
        <w:t>. A systematic review and meta-analysis evaluated the efficacy and safety of APD in patients with AP, and the pooled results suggested that APD significantly reduced the length of hospital stay and mortality of all causes during hospitali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ation. There was no increase in infectious complications following APD</w:t>
      </w:r>
      <w:r w:rsidRPr="00CB49E8">
        <w:rPr>
          <w:rFonts w:ascii="Book Antiqua" w:eastAsia="Book Antiqua" w:hAnsi="Book Antiqua" w:cs="Book Antiqua"/>
          <w:color w:val="000000"/>
          <w:vertAlign w:val="superscript"/>
        </w:rPr>
        <w:t>[44]</w:t>
      </w:r>
      <w:r w:rsidRPr="00CB49E8">
        <w:rPr>
          <w:rFonts w:ascii="Book Antiqua" w:eastAsia="Book Antiqua" w:hAnsi="Book Antiqua" w:cs="Book Antiqua"/>
          <w:color w:val="000000"/>
        </w:rPr>
        <w:t xml:space="preserve">. Thus, early application of APD prior to PCD can improve outcomes, reduce infective complications, and reduce intra-abdominal pressure in patients with MSAP and SAP. </w:t>
      </w:r>
    </w:p>
    <w:p w14:paraId="5EE72FB6" w14:textId="77777777" w:rsidR="00A77B3E" w:rsidRPr="00CB49E8" w:rsidRDefault="00A77B3E" w:rsidP="007902BA">
      <w:pPr>
        <w:spacing w:line="360" w:lineRule="auto"/>
        <w:jc w:val="both"/>
        <w:rPr>
          <w:rFonts w:ascii="Book Antiqua" w:hAnsi="Book Antiqua"/>
        </w:rPr>
      </w:pPr>
    </w:p>
    <w:p w14:paraId="661E3A72" w14:textId="58C44E2C"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DUAL-MODALITY</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DRAINAGE</w:t>
      </w:r>
    </w:p>
    <w:p w14:paraId="4D31E2A2" w14:textId="070121C3"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ED alone may not be adequate in treating deep collections and may not be feasible in extremely ill patients. Similarly, PCD alone leads to patient discomfort and risk of external pancreatic fistula. Thus, a combined drainage, called dual modality drainage (DMD), can be used to combine the advantages of both these modalities (internal drainage of ED and drainage of deep collections by PCD) (Figure 6). Irrigation of the collection with PCD as the ingress and internal drainage through the ED stent can result in debridement of the majority of the solid necrosum</w:t>
      </w:r>
      <w:r w:rsidRPr="00CB49E8">
        <w:rPr>
          <w:rFonts w:ascii="Book Antiqua" w:eastAsia="Book Antiqua" w:hAnsi="Book Antiqua" w:cs="Book Antiqua"/>
          <w:color w:val="000000"/>
          <w:vertAlign w:val="superscript"/>
        </w:rPr>
        <w:t>[16]</w:t>
      </w:r>
      <w:r w:rsidRPr="00CB49E8">
        <w:rPr>
          <w:rFonts w:ascii="Book Antiqua" w:eastAsia="Book Antiqua" w:hAnsi="Book Antiqua" w:cs="Book Antiqua"/>
          <w:color w:val="000000"/>
        </w:rPr>
        <w:t>. The newer LAMS have a large bore which is advantageous in draining solid component if irrigation and flushing are done using this technique. This can result in early removal of PCD, which may prevent formation of cutaneous fistula</w:t>
      </w:r>
      <w:r w:rsidRPr="00CB49E8">
        <w:rPr>
          <w:rFonts w:ascii="Book Antiqua" w:eastAsia="Book Antiqua" w:hAnsi="Book Antiqua" w:cs="Book Antiqua"/>
          <w:color w:val="000000"/>
          <w:vertAlign w:val="superscript"/>
        </w:rPr>
        <w:t>[16,45]</w:t>
      </w:r>
      <w:r w:rsidRPr="00CB49E8">
        <w:rPr>
          <w:rFonts w:ascii="Book Antiqua" w:eastAsia="Book Antiqua" w:hAnsi="Book Antiqua" w:cs="Book Antiqua"/>
          <w:color w:val="000000"/>
        </w:rPr>
        <w:t>. Improved outcomes were seen with addition of ED to PCD in a few studies</w:t>
      </w:r>
      <w:r w:rsidRPr="00CB49E8">
        <w:rPr>
          <w:rFonts w:ascii="Book Antiqua" w:eastAsia="Book Antiqua" w:hAnsi="Book Antiqua" w:cs="Book Antiqua"/>
          <w:color w:val="000000"/>
          <w:vertAlign w:val="superscript"/>
        </w:rPr>
        <w:t>[44,45]</w:t>
      </w:r>
      <w:r w:rsidRPr="00CB49E8">
        <w:rPr>
          <w:rFonts w:ascii="Book Antiqua" w:eastAsia="Book Antiqua" w:hAnsi="Book Antiqua" w:cs="Book Antiqua"/>
          <w:color w:val="000000"/>
        </w:rPr>
        <w:t>. One of these studies compared DMD to standard PCD and it was seen that the DMD cohort had a shorter hospital stay, shorter time to removal of PCD, fewer CT scans, and fewer endoscopic retrograde cholangiopancreatography procedures as compared to standard PCD. Additionally, none of the patients required surgery in the DMD group</w:t>
      </w:r>
      <w:r w:rsidRPr="00CB49E8">
        <w:rPr>
          <w:rFonts w:ascii="Book Antiqua" w:eastAsia="Book Antiqua" w:hAnsi="Book Antiqua" w:cs="Book Antiqua"/>
          <w:color w:val="000000"/>
          <w:vertAlign w:val="superscript"/>
        </w:rPr>
        <w:t>[45]</w:t>
      </w:r>
      <w:r w:rsidRPr="00CB49E8">
        <w:rPr>
          <w:rFonts w:ascii="Book Antiqua" w:eastAsia="Book Antiqua" w:hAnsi="Book Antiqua" w:cs="Book Antiqua"/>
          <w:color w:val="000000"/>
        </w:rPr>
        <w:t xml:space="preserve">. Another study comprising patients undergoing DMD demonstrated that none of the patients required surgical necrosectomy, and all patients </w:t>
      </w:r>
      <w:r w:rsidRPr="00CB49E8">
        <w:rPr>
          <w:rFonts w:ascii="Book Antiqua" w:eastAsia="Book Antiqua" w:hAnsi="Book Antiqua" w:cs="Book Antiqua"/>
          <w:color w:val="000000"/>
        </w:rPr>
        <w:lastRenderedPageBreak/>
        <w:t>who had completed treatment had their catheters removed, without any formation of pancreatocutaneous fistula</w:t>
      </w:r>
      <w:r w:rsidRPr="00CB49E8">
        <w:rPr>
          <w:rFonts w:ascii="Book Antiqua" w:eastAsia="Book Antiqua" w:hAnsi="Book Antiqua" w:cs="Book Antiqua"/>
          <w:color w:val="000000"/>
          <w:vertAlign w:val="superscript"/>
        </w:rPr>
        <w:t>[45]</w:t>
      </w:r>
      <w:r w:rsidRPr="00CB49E8">
        <w:rPr>
          <w:rFonts w:ascii="Book Antiqua" w:eastAsia="Book Antiqua" w:hAnsi="Book Antiqua" w:cs="Book Antiqua"/>
          <w:color w:val="000000"/>
        </w:rPr>
        <w:t xml:space="preserve">. </w:t>
      </w:r>
    </w:p>
    <w:p w14:paraId="3075CD4E" w14:textId="77777777" w:rsidR="00A77B3E" w:rsidRPr="00CB49E8" w:rsidRDefault="00A77B3E" w:rsidP="007902BA">
      <w:pPr>
        <w:spacing w:line="360" w:lineRule="auto"/>
        <w:jc w:val="both"/>
        <w:rPr>
          <w:rFonts w:ascii="Book Antiqua" w:hAnsi="Book Antiqua"/>
        </w:rPr>
      </w:pPr>
    </w:p>
    <w:p w14:paraId="3251F6AA" w14:textId="28D660B2"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FACTORS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PREDICTING</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RESPONSE</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TO</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PCD</w:t>
      </w:r>
    </w:p>
    <w:p w14:paraId="0D709C9F" w14:textId="30430D69"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Success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defined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recovery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without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surgery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resolution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Pr="00CB49E8">
        <w:rPr>
          <w:rFonts w:ascii="Book Antiqua" w:eastAsia="Book Antiqua" w:hAnsi="Book Antiqua" w:cs="Book Antiqua"/>
          <w:color w:val="000000"/>
          <w:vertAlign w:val="superscript"/>
        </w:rPr>
        <w:t>[11,32,46]</w:t>
      </w:r>
      <w:r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Multiple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factors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affect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success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grouped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post-PCD.</w:t>
      </w:r>
      <w:r w:rsidR="00424EDF" w:rsidRPr="00CB49E8">
        <w:rPr>
          <w:rFonts w:ascii="Book Antiqua" w:eastAsia="Book Antiqua" w:hAnsi="Book Antiqua" w:cs="Book Antiqua"/>
          <w:color w:val="000000"/>
        </w:rPr>
        <w:t xml:space="preserve"> </w:t>
      </w:r>
    </w:p>
    <w:p w14:paraId="17664373" w14:textId="77777777" w:rsidR="004A4206" w:rsidRPr="00CB49E8" w:rsidRDefault="004A4206" w:rsidP="007902BA">
      <w:pPr>
        <w:spacing w:line="360" w:lineRule="auto"/>
        <w:jc w:val="both"/>
        <w:rPr>
          <w:rFonts w:ascii="Book Antiqua" w:hAnsi="Book Antiqua"/>
        </w:rPr>
      </w:pPr>
    </w:p>
    <w:p w14:paraId="34353077" w14:textId="0166113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Pre-PCD</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predictors</w:t>
      </w:r>
      <w:r w:rsidR="00424EDF" w:rsidRPr="00CB49E8">
        <w:rPr>
          <w:rFonts w:ascii="Book Antiqua" w:eastAsia="Book Antiqua" w:hAnsi="Book Antiqua" w:cs="Book Antiqua"/>
          <w:b/>
          <w:bCs/>
          <w:i/>
          <w:iCs/>
          <w:color w:val="000000"/>
        </w:rPr>
        <w:t xml:space="preserve"> </w:t>
      </w:r>
    </w:p>
    <w:p w14:paraId="28EEAAD5" w14:textId="0FC7CBE7"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 xml:space="preserve">One study reported a significant difference in the baseline values of C-reactive protein (CRP) and </w:t>
      </w:r>
      <w:bookmarkStart w:id="8" w:name="_Hlk100566793"/>
      <w:r w:rsidRPr="00CB49E8">
        <w:rPr>
          <w:rFonts w:ascii="Book Antiqua" w:eastAsia="Book Antiqua" w:hAnsi="Book Antiqua" w:cs="Book Antiqua"/>
          <w:color w:val="000000"/>
        </w:rPr>
        <w:t>interleukin (IL)-6</w:t>
      </w:r>
      <w:bookmarkEnd w:id="8"/>
      <w:r w:rsidRPr="00CB49E8">
        <w:rPr>
          <w:rFonts w:ascii="Book Antiqua" w:eastAsia="Book Antiqua" w:hAnsi="Book Antiqua" w:cs="Book Antiqua"/>
          <w:color w:val="000000"/>
        </w:rPr>
        <w:t xml:space="preserve"> between the PCD success and PCD failure groups, where resolution of OF, sepsis, and pressure symptoms was defined as success of PCD</w:t>
      </w:r>
      <w:r w:rsidRPr="00CB49E8">
        <w:rPr>
          <w:rFonts w:ascii="Book Antiqua" w:eastAsia="Book Antiqua" w:hAnsi="Book Antiqua" w:cs="Book Antiqua"/>
          <w:color w:val="000000"/>
          <w:vertAlign w:val="superscript"/>
        </w:rPr>
        <w:t>[46]</w:t>
      </w:r>
      <w:r w:rsidRPr="00CB49E8">
        <w:rPr>
          <w:rFonts w:ascii="Book Antiqua" w:eastAsia="Book Antiqua" w:hAnsi="Book Antiqua" w:cs="Book Antiqua"/>
          <w:color w:val="000000"/>
        </w:rPr>
        <w:t xml:space="preserve">. The mean baseline CRP values in the PCD success and failure groups were 146.48 ± 111.6 mg/L </w:t>
      </w:r>
      <w:r w:rsidRPr="00CB49E8">
        <w:rPr>
          <w:rFonts w:ascii="Book Antiqua" w:eastAsia="Book Antiqua" w:hAnsi="Book Antiqua" w:cs="Book Antiqua"/>
          <w:i/>
          <w:iCs/>
          <w:color w:val="000000"/>
        </w:rPr>
        <w:t>vs</w:t>
      </w:r>
      <w:r w:rsidRPr="00CB49E8">
        <w:rPr>
          <w:rFonts w:ascii="Book Antiqua" w:hAnsi="Book Antiqua"/>
          <w:i/>
          <w:color w:val="000000"/>
        </w:rPr>
        <w:t xml:space="preserve"> </w:t>
      </w:r>
      <w:r w:rsidRPr="00CB49E8">
        <w:rPr>
          <w:rFonts w:ascii="Book Antiqua" w:eastAsia="Book Antiqua" w:hAnsi="Book Antiqua" w:cs="Book Antiqua"/>
          <w:color w:val="000000"/>
        </w:rPr>
        <w:t xml:space="preserve">189.10 ± 55.5 mg/L, respectively, and for IL-6, they were 166.09 ± 51.21 pg/mL </w:t>
      </w:r>
      <w:r w:rsidRPr="00CB49E8">
        <w:rPr>
          <w:rFonts w:ascii="Book Antiqua" w:eastAsia="Book Antiqua" w:hAnsi="Book Antiqua" w:cs="Book Antiqua"/>
          <w:i/>
          <w:iCs/>
          <w:color w:val="000000"/>
        </w:rPr>
        <w:t>vs</w:t>
      </w:r>
      <w:r w:rsidRPr="00CB49E8">
        <w:rPr>
          <w:rFonts w:ascii="Book Antiqua" w:hAnsi="Book Antiqua"/>
          <w:i/>
          <w:color w:val="000000"/>
        </w:rPr>
        <w:t xml:space="preserve"> </w:t>
      </w:r>
      <w:r w:rsidRPr="00CB49E8">
        <w:rPr>
          <w:rFonts w:ascii="Book Antiqua" w:eastAsia="Book Antiqua" w:hAnsi="Book Antiqua" w:cs="Book Antiqua"/>
          <w:color w:val="000000"/>
        </w:rPr>
        <w:t>215.81 ± 52.40 pg/mL. Another study showed that pre-PCD CT density of the necrotic collection was significantly lower in the PCD success group compared to the PCD failure group</w:t>
      </w:r>
      <w:r w:rsidRPr="00CB49E8">
        <w:rPr>
          <w:rFonts w:ascii="Book Antiqua" w:eastAsia="Book Antiqua" w:hAnsi="Book Antiqua" w:cs="Book Antiqua"/>
          <w:color w:val="000000"/>
          <w:vertAlign w:val="superscript"/>
        </w:rPr>
        <w:t>[47]</w:t>
      </w:r>
      <w:r w:rsidRPr="00CB49E8">
        <w:rPr>
          <w:rFonts w:ascii="Book Antiqua" w:eastAsia="Book Antiqua" w:hAnsi="Book Antiqua" w:cs="Book Antiqua"/>
          <w:color w:val="000000"/>
        </w:rPr>
        <w:t>. Male sex, multiple OF, higher percentage of parenchymal necrosis, and heterogeneous attenuation of the collection were associated with a poorer outcome in another study</w:t>
      </w:r>
      <w:r w:rsidRPr="00CB49E8">
        <w:rPr>
          <w:rFonts w:ascii="Book Antiqua" w:eastAsia="Book Antiqua" w:hAnsi="Book Antiqua" w:cs="Book Antiqua"/>
          <w:color w:val="000000"/>
          <w:vertAlign w:val="superscript"/>
        </w:rPr>
        <w:t>[48]</w:t>
      </w:r>
      <w:r w:rsidRPr="00CB49E8">
        <w:rPr>
          <w:rFonts w:ascii="Book Antiqua" w:eastAsia="Book Antiqua" w:hAnsi="Book Antiqua" w:cs="Book Antiqua"/>
          <w:color w:val="000000"/>
        </w:rPr>
        <w:t xml:space="preserve">. </w:t>
      </w:r>
    </w:p>
    <w:p w14:paraId="2D7949B3" w14:textId="77777777" w:rsidR="00A62A97" w:rsidRPr="00CB49E8" w:rsidRDefault="00A62A97" w:rsidP="007902BA">
      <w:pPr>
        <w:spacing w:line="360" w:lineRule="auto"/>
        <w:jc w:val="both"/>
        <w:rPr>
          <w:rFonts w:ascii="Book Antiqua" w:hAnsi="Book Antiqua"/>
        </w:rPr>
      </w:pPr>
    </w:p>
    <w:p w14:paraId="15C382D1" w14:textId="6F53AF75"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i/>
          <w:iCs/>
          <w:color w:val="000000"/>
        </w:rPr>
        <w:t>Post-PCD</w:t>
      </w:r>
      <w:r w:rsidR="00424EDF" w:rsidRPr="00CB49E8">
        <w:rPr>
          <w:rFonts w:ascii="Book Antiqua" w:eastAsia="Book Antiqua" w:hAnsi="Book Antiqua" w:cs="Book Antiqua"/>
          <w:b/>
          <w:bCs/>
          <w:i/>
          <w:iCs/>
          <w:color w:val="000000"/>
        </w:rPr>
        <w:t xml:space="preserve"> </w:t>
      </w:r>
      <w:r w:rsidRPr="00CB49E8">
        <w:rPr>
          <w:rFonts w:ascii="Book Antiqua" w:eastAsia="Book Antiqua" w:hAnsi="Book Antiqua" w:cs="Book Antiqua"/>
          <w:b/>
          <w:bCs/>
          <w:i/>
          <w:iCs/>
          <w:color w:val="000000"/>
        </w:rPr>
        <w:t>predictors</w:t>
      </w:r>
    </w:p>
    <w:p w14:paraId="5D65A976" w14:textId="1B573BC6"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CRP, IL-6, and IL-10 were seen to significantly decrease 7 d after PCD insertion in the PCD success group compared to the PCD failure group, and the percentage of decrease of IL-6 on day 3 and CRP on day 7 correlated with the outcomes</w:t>
      </w:r>
      <w:r w:rsidRPr="00CB49E8">
        <w:rPr>
          <w:rFonts w:ascii="Book Antiqua" w:eastAsia="Book Antiqua" w:hAnsi="Book Antiqua" w:cs="Book Antiqua"/>
          <w:color w:val="000000"/>
          <w:vertAlign w:val="superscript"/>
        </w:rPr>
        <w:t>[46]</w:t>
      </w:r>
      <w:r w:rsidRPr="00CB49E8">
        <w:rPr>
          <w:rFonts w:ascii="Book Antiqua" w:eastAsia="Book Antiqua" w:hAnsi="Book Antiqua" w:cs="Book Antiqua"/>
          <w:color w:val="000000"/>
        </w:rPr>
        <w:t xml:space="preserve">. </w:t>
      </w:r>
    </w:p>
    <w:p w14:paraId="70418DD8" w14:textId="77777777" w:rsidR="00A77B3E" w:rsidRPr="00CB49E8" w:rsidRDefault="00A77B3E" w:rsidP="007902BA">
      <w:pPr>
        <w:spacing w:line="360" w:lineRule="auto"/>
        <w:jc w:val="both"/>
        <w:rPr>
          <w:rFonts w:ascii="Book Antiqua" w:hAnsi="Book Antiqua"/>
        </w:rPr>
      </w:pPr>
    </w:p>
    <w:p w14:paraId="1DEB84F1" w14:textId="2240A618"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t>COMPLICATIONS</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PCD</w:t>
      </w:r>
    </w:p>
    <w:p w14:paraId="00C72F01" w14:textId="0822A746" w:rsidR="008D2584" w:rsidRPr="00CB49E8" w:rsidRDefault="008D2584" w:rsidP="008D2584">
      <w:pPr>
        <w:spacing w:line="360" w:lineRule="auto"/>
        <w:jc w:val="both"/>
        <w:rPr>
          <w:rFonts w:ascii="Book Antiqua" w:eastAsia="Book Antiqua" w:hAnsi="Book Antiqua" w:cs="Book Antiqua"/>
          <w:color w:val="000000"/>
        </w:rPr>
      </w:pPr>
      <w:r w:rsidRPr="00CB49E8">
        <w:rPr>
          <w:rFonts w:ascii="Book Antiqua" w:eastAsia="Book Antiqua" w:hAnsi="Book Antiqua" w:cs="Book Antiqua"/>
          <w:color w:val="000000"/>
        </w:rPr>
        <w:t>Secondary infection of sterile necrosis or pseudocyst is a frequent complication and occurs in about 8% of the patients</w:t>
      </w:r>
      <w:r w:rsidRPr="00CB49E8">
        <w:rPr>
          <w:rFonts w:ascii="Book Antiqua" w:eastAsia="Book Antiqua" w:hAnsi="Book Antiqua" w:cs="Book Antiqua"/>
          <w:color w:val="000000"/>
          <w:vertAlign w:val="superscript"/>
        </w:rPr>
        <w:t>[29]</w:t>
      </w:r>
      <w:r w:rsidRPr="00CB49E8">
        <w:rPr>
          <w:rFonts w:ascii="Book Antiqua" w:eastAsia="Book Antiqua" w:hAnsi="Book Antiqua" w:cs="Book Antiqua"/>
          <w:color w:val="000000"/>
        </w:rPr>
        <w:t>. Conversely, peritoneal spill of infected pancreatic necrosis can occur in transperitoneal PCD or through intestinal leakage</w:t>
      </w:r>
      <w:r w:rsidRPr="00CB49E8">
        <w:rPr>
          <w:rFonts w:ascii="Book Antiqua" w:eastAsia="Book Antiqua" w:hAnsi="Book Antiqua" w:cs="Book Antiqua"/>
          <w:color w:val="000000"/>
          <w:vertAlign w:val="superscript"/>
        </w:rPr>
        <w:t>[29]</w:t>
      </w:r>
      <w:r w:rsidRPr="00CB49E8">
        <w:rPr>
          <w:rFonts w:ascii="Book Antiqua" w:eastAsia="Book Antiqua" w:hAnsi="Book Antiqua" w:cs="Book Antiqua"/>
          <w:color w:val="000000"/>
        </w:rPr>
        <w:t xml:space="preserve">. Haemorrhage </w:t>
      </w:r>
      <w:r w:rsidRPr="00CB49E8">
        <w:rPr>
          <w:rFonts w:ascii="Book Antiqua" w:eastAsia="Book Antiqua" w:hAnsi="Book Antiqua" w:cs="Book Antiqua"/>
          <w:color w:val="000000"/>
        </w:rPr>
        <w:lastRenderedPageBreak/>
        <w:t>is usually self-limited and venous in origin. Haemorrhage can occur within the pancreatic parenchyma, or inside the PFC or the gastrointestinal tract depending on the site of involvement</w:t>
      </w:r>
      <w:r w:rsidRPr="00CB49E8">
        <w:rPr>
          <w:rFonts w:ascii="Book Antiqua" w:eastAsia="Book Antiqua" w:hAnsi="Book Antiqua" w:cs="Book Antiqua"/>
          <w:color w:val="000000"/>
          <w:vertAlign w:val="superscript"/>
        </w:rPr>
        <w:t>[7]</w:t>
      </w:r>
      <w:r w:rsidRPr="00CB49E8">
        <w:rPr>
          <w:rFonts w:ascii="Book Antiqua" w:eastAsia="Book Antiqua" w:hAnsi="Book Antiqua" w:cs="Book Antiqua"/>
          <w:color w:val="000000"/>
        </w:rPr>
        <w:t>. Haemorrhage into the GI tract may present with upper or lower GI bleeding depending on etiology and the rate of haemorrhage. Bleeding into the peritoneal cavity may lead to abdominal distension and haemodynamic instability, whereas haemorrhage into the collection may not present with any outward signs except for haemodynamic instability. Sometimes, it can be due to rupture of an arterial branch during access, or formation of pseudoaneurysm during PCD insertion or LAMS placement</w:t>
      </w:r>
      <w:r w:rsidRPr="00CB49E8">
        <w:rPr>
          <w:rFonts w:ascii="Book Antiqua" w:eastAsia="Book Antiqua" w:hAnsi="Book Antiqua" w:cs="Book Antiqua"/>
          <w:color w:val="000000"/>
          <w:vertAlign w:val="superscript"/>
        </w:rPr>
        <w:t>[8,30,31]</w:t>
      </w:r>
      <w:r w:rsidRPr="00CB49E8">
        <w:rPr>
          <w:rFonts w:ascii="Book Antiqua" w:eastAsia="Book Antiqua" w:hAnsi="Book Antiqua" w:cs="Book Antiqua"/>
          <w:color w:val="000000"/>
        </w:rPr>
        <w:t>. These are usually managed by endovascular embolization. Formation of external pancreato-cutaneous fistula is common and is defined as persistent measurable drainage of clear pancreatic fluid (usually &gt; 100 mL) through the percutaneous drain or the PCD tract more than 3 wk after PCD insertion</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 Incidence can vary between 5 to 35% according to different studies</w:t>
      </w:r>
      <w:r w:rsidRPr="00CB49E8">
        <w:rPr>
          <w:rFonts w:ascii="Book Antiqua" w:eastAsia="Book Antiqua" w:hAnsi="Book Antiqua" w:cs="Book Antiqua"/>
          <w:color w:val="000000"/>
          <w:vertAlign w:val="superscript"/>
        </w:rPr>
        <w:t>[49-51]</w:t>
      </w:r>
      <w:r w:rsidRPr="00CB49E8">
        <w:rPr>
          <w:rFonts w:ascii="Book Antiqua" w:eastAsia="Book Antiqua" w:hAnsi="Book Antiqua" w:cs="Book Antiqua"/>
          <w:color w:val="000000"/>
        </w:rPr>
        <w:t>. In one study, these fistulae closed after a median period of 70 d</w:t>
      </w:r>
      <w:r w:rsidRPr="00CB49E8">
        <w:rPr>
          <w:rFonts w:ascii="Book Antiqua" w:eastAsia="Book Antiqua" w:hAnsi="Book Antiqua" w:cs="Book Antiqua"/>
          <w:color w:val="000000"/>
          <w:vertAlign w:val="superscript"/>
        </w:rPr>
        <w:t>[52]</w:t>
      </w:r>
      <w:r w:rsidRPr="00CB49E8">
        <w:rPr>
          <w:rFonts w:ascii="Book Antiqua" w:eastAsia="Book Antiqua" w:hAnsi="Book Antiqua" w:cs="Book Antiqua"/>
          <w:color w:val="000000"/>
        </w:rPr>
        <w:t>. In case of non-resolution, pancreatic duct stenting is indicated</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 Internal gastrointestinal fistulae can also develop post PCD and they may be spontaneous, or caused by erosion of catheter into bowel wall or by iatrogenic injury of the wall during catheter placement (Figure 7). The most common site of these fistulae is the splenic flexure of the colon</w:t>
      </w:r>
      <w:r w:rsidRPr="00CB49E8">
        <w:rPr>
          <w:rFonts w:ascii="Book Antiqua" w:eastAsia="Book Antiqua" w:hAnsi="Book Antiqua" w:cs="Book Antiqua"/>
          <w:color w:val="000000"/>
          <w:vertAlign w:val="superscript"/>
        </w:rPr>
        <w:t>[17,53]</w:t>
      </w:r>
      <w:r w:rsidRPr="00CB49E8">
        <w:rPr>
          <w:rFonts w:ascii="Book Antiqua" w:eastAsia="Book Antiqua" w:hAnsi="Book Antiqua" w:cs="Book Antiqua"/>
          <w:color w:val="000000"/>
        </w:rPr>
        <w:t xml:space="preserve">. Management of GI fistulae depends on their location. Upper GI fistulae close spontaneously over time, whereas colonic fistula may be treated conservatively with continuous PCD drainage in stable patients. However, if GI fistulisation is associated with frank haemorrhage or sepsis, surgical management may be required. </w:t>
      </w:r>
    </w:p>
    <w:p w14:paraId="7462E678" w14:textId="52E69682"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 xml:space="preserve">Catheter displacement, blockage, and peri-catheter leak are common but under-reported. Depending on the patients’ clinical status and presence of residual collection, these complications are managed by removal, re-insertion, or upgradation of the catheter. Peri-catheter leak and sutures and dressing can lead to skin erosion and bleeding (Figure 8 A and B). Skin care thus becomes necessary in these patients. Very rarely, the catheter tip may get fractured and remain within the necrotic cavity (Figure 8C and D). </w:t>
      </w:r>
    </w:p>
    <w:p w14:paraId="42C9A929" w14:textId="77777777" w:rsidR="00A77B3E" w:rsidRPr="00CB49E8" w:rsidRDefault="00A77B3E" w:rsidP="007902BA">
      <w:pPr>
        <w:spacing w:line="360" w:lineRule="auto"/>
        <w:jc w:val="both"/>
        <w:rPr>
          <w:rFonts w:ascii="Book Antiqua" w:hAnsi="Book Antiqua"/>
        </w:rPr>
      </w:pPr>
    </w:p>
    <w:p w14:paraId="4D6B5413" w14:textId="0A2FEAB4"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aps/>
          <w:color w:val="000000"/>
          <w:u w:val="single"/>
        </w:rPr>
        <w:lastRenderedPageBreak/>
        <w:t>OVERVIEW</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OF</w:t>
      </w:r>
      <w:r w:rsidR="00424EDF" w:rsidRPr="00CB49E8">
        <w:rPr>
          <w:rFonts w:ascii="Book Antiqua" w:eastAsia="Book Antiqua" w:hAnsi="Book Antiqua" w:cs="Book Antiqua"/>
          <w:b/>
          <w:caps/>
          <w:color w:val="000000"/>
          <w:u w:val="single"/>
        </w:rPr>
        <w:t xml:space="preserve"> </w:t>
      </w:r>
      <w:r w:rsidRPr="00CB49E8">
        <w:rPr>
          <w:rFonts w:ascii="Book Antiqua" w:eastAsia="Book Antiqua" w:hAnsi="Book Antiqua" w:cs="Book Antiqua"/>
          <w:b/>
          <w:caps/>
          <w:color w:val="000000"/>
          <w:u w:val="single"/>
        </w:rPr>
        <w:t>NECROSECTOMY</w:t>
      </w:r>
    </w:p>
    <w:p w14:paraId="008EA592" w14:textId="2EADE9E9"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Necrosectomy can be endoscopic, MIS, laparoscopic, or open surgical. Step-up approach is used in both endoscopic and percutaneous MIS techniques with a randomi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ed controlled trial showing no difference in mortality or complication rate between the two</w:t>
      </w:r>
      <w:r w:rsidRPr="00CB49E8">
        <w:rPr>
          <w:rFonts w:ascii="Book Antiqua" w:eastAsia="Book Antiqua" w:hAnsi="Book Antiqua" w:cs="Book Antiqua"/>
          <w:color w:val="000000"/>
          <w:vertAlign w:val="superscript"/>
        </w:rPr>
        <w:t>[10]</w:t>
      </w:r>
      <w:r w:rsidRPr="00CB49E8">
        <w:rPr>
          <w:rFonts w:ascii="Book Antiqua" w:eastAsia="Book Antiqua" w:hAnsi="Book Antiqua" w:cs="Book Antiqua"/>
          <w:color w:val="000000"/>
        </w:rPr>
        <w:t>. Endoscopic debridement consists of direct endoscopic necrosectomy (DEN) or transpapillary drainage (TPD)</w:t>
      </w:r>
      <w:r w:rsidRPr="00CB49E8">
        <w:rPr>
          <w:rFonts w:ascii="Book Antiqua" w:eastAsia="Book Antiqua" w:hAnsi="Book Antiqua" w:cs="Book Antiqua"/>
          <w:color w:val="000000"/>
          <w:vertAlign w:val="superscript"/>
        </w:rPr>
        <w:t>[18]</w:t>
      </w:r>
      <w:r w:rsidRPr="00CB49E8">
        <w:rPr>
          <w:rFonts w:ascii="Book Antiqua" w:eastAsia="Book Antiqua" w:hAnsi="Book Antiqua" w:cs="Book Antiqua"/>
          <w:color w:val="000000"/>
        </w:rPr>
        <w:t>. DEN involves debridement of necrotic tissue by passing an endoscope into the cavity, which can be done with fluid irrigation, or by snares and baskets (Figure 9)</w:t>
      </w:r>
      <w:r w:rsidRPr="00CB49E8">
        <w:rPr>
          <w:rFonts w:ascii="Book Antiqua" w:eastAsia="Book Antiqua" w:hAnsi="Book Antiqua" w:cs="Book Antiqua"/>
          <w:color w:val="000000"/>
          <w:vertAlign w:val="superscript"/>
        </w:rPr>
        <w:t>[6,16,18]</w:t>
      </w:r>
      <w:r w:rsidRPr="00CB49E8">
        <w:rPr>
          <w:rFonts w:ascii="Book Antiqua" w:eastAsia="Book Antiqua" w:hAnsi="Book Antiqua" w:cs="Book Antiqua"/>
          <w:color w:val="000000"/>
        </w:rPr>
        <w:t>. TPD involves placement of pancreatic ductal stents in cases with small collections (&lt; 6 cm) communicating with the pancreatic duct</w:t>
      </w:r>
      <w:r w:rsidRPr="00CB49E8">
        <w:rPr>
          <w:rFonts w:ascii="Book Antiqua" w:eastAsia="Book Antiqua" w:hAnsi="Book Antiqua" w:cs="Book Antiqua"/>
          <w:color w:val="000000"/>
          <w:vertAlign w:val="superscript"/>
        </w:rPr>
        <w:t>[18]</w:t>
      </w:r>
      <w:r w:rsidRPr="00CB49E8">
        <w:rPr>
          <w:rFonts w:ascii="Book Antiqua" w:eastAsia="Book Antiqua" w:hAnsi="Book Antiqua" w:cs="Book Antiqua"/>
          <w:color w:val="000000"/>
        </w:rPr>
        <w:t>.</w:t>
      </w:r>
    </w:p>
    <w:p w14:paraId="7B728FE4" w14:textId="60F35600" w:rsidR="008D2584" w:rsidRPr="00CB49E8" w:rsidRDefault="008D2584" w:rsidP="008D2584">
      <w:pPr>
        <w:spacing w:line="360" w:lineRule="auto"/>
        <w:ind w:firstLineChars="200" w:firstLine="480"/>
        <w:jc w:val="both"/>
        <w:rPr>
          <w:rFonts w:ascii="Book Antiqua" w:hAnsi="Book Antiqua"/>
        </w:rPr>
      </w:pPr>
      <w:r w:rsidRPr="00CB49E8">
        <w:rPr>
          <w:rFonts w:ascii="Book Antiqua" w:eastAsia="Book Antiqua" w:hAnsi="Book Antiqua" w:cs="Book Antiqua"/>
          <w:color w:val="000000"/>
        </w:rPr>
        <w:t xml:space="preserve">Percutaneous minimally invasive techniques include percutaneous EN (PEN) which involves insertion of endoscope along the PCD tract and debridement by snares and baskets; and video assisted retroperitoneal debridement (VARD) which involves insertion of a </w:t>
      </w:r>
      <w:r w:rsidR="00425B22" w:rsidRPr="00CB49E8">
        <w:rPr>
          <w:rFonts w:ascii="Book Antiqua" w:eastAsia="Book Antiqua" w:hAnsi="Book Antiqua" w:cs="Book Antiqua"/>
          <w:color w:val="000000"/>
        </w:rPr>
        <w:t>zero-degree</w:t>
      </w:r>
      <w:r w:rsidRPr="00CB49E8">
        <w:rPr>
          <w:rFonts w:ascii="Book Antiqua" w:eastAsia="Book Antiqua" w:hAnsi="Book Antiqua" w:cs="Book Antiqua"/>
          <w:color w:val="000000"/>
        </w:rPr>
        <w:t xml:space="preserve"> videoscope and debridement. Both these techniques require PCD insertion through the left lateral position </w:t>
      </w:r>
      <w:r w:rsidRPr="00CB49E8">
        <w:rPr>
          <w:rFonts w:ascii="Book Antiqua" w:eastAsia="Book Antiqua" w:hAnsi="Book Antiqua" w:cs="Book Antiqua"/>
          <w:i/>
          <w:iCs/>
          <w:color w:val="000000"/>
        </w:rPr>
        <w:t>via</w:t>
      </w:r>
      <w:r w:rsidRPr="00CB49E8">
        <w:rPr>
          <w:rFonts w:ascii="Book Antiqua" w:eastAsia="Book Antiqua" w:hAnsi="Book Antiqua" w:cs="Book Antiqua"/>
          <w:color w:val="000000"/>
        </w:rPr>
        <w:t xml:space="preserve"> the retroperitoneal access route. Complete debridement is not the aim, and only loose necrosum is removed</w:t>
      </w:r>
      <w:r w:rsidRPr="00CB49E8">
        <w:rPr>
          <w:rFonts w:ascii="Book Antiqua" w:eastAsia="Book Antiqua" w:hAnsi="Book Antiqua" w:cs="Book Antiqua"/>
          <w:color w:val="000000"/>
          <w:vertAlign w:val="superscript"/>
        </w:rPr>
        <w:t>[6,16,54]</w:t>
      </w:r>
      <w:r w:rsidRPr="00CB49E8">
        <w:rPr>
          <w:rFonts w:ascii="Book Antiqua" w:eastAsia="Book Antiqua" w:hAnsi="Book Antiqua" w:cs="Book Antiqua"/>
          <w:color w:val="000000"/>
        </w:rPr>
        <w:t>. However, VARD is associated with formation of a significant number of pancreatic fistulae. Laparoscopic debridement can also be done which allows access to all abdominal compartments and successful single session debridement is feasible in most patients</w:t>
      </w:r>
      <w:r w:rsidRPr="00CB49E8">
        <w:rPr>
          <w:rFonts w:ascii="Book Antiqua" w:eastAsia="Book Antiqua" w:hAnsi="Book Antiqua" w:cs="Book Antiqua"/>
          <w:color w:val="000000"/>
          <w:vertAlign w:val="superscript"/>
        </w:rPr>
        <w:t>[16]</w:t>
      </w:r>
      <w:r w:rsidRPr="00CB49E8">
        <w:rPr>
          <w:rFonts w:ascii="Book Antiqua" w:eastAsia="Book Antiqua" w:hAnsi="Book Antiqua" w:cs="Book Antiqua"/>
          <w:color w:val="000000"/>
        </w:rPr>
        <w:t xml:space="preserve">. </w:t>
      </w:r>
    </w:p>
    <w:p w14:paraId="750708B6" w14:textId="7777777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Open surgical necrosectomy was the standard of care before the advent of MIS techniques. However, due to its high morbidity, mortality, and complication rate, it has been superseded by minimally invasive techniques</w:t>
      </w:r>
      <w:r w:rsidRPr="00CB49E8">
        <w:rPr>
          <w:rFonts w:ascii="Book Antiqua" w:eastAsia="Book Antiqua" w:hAnsi="Book Antiqua" w:cs="Book Antiqua"/>
          <w:color w:val="000000"/>
          <w:vertAlign w:val="superscript"/>
        </w:rPr>
        <w:t>[16]</w:t>
      </w:r>
      <w:r w:rsidRPr="00CB49E8">
        <w:rPr>
          <w:rFonts w:ascii="Book Antiqua" w:eastAsia="Book Antiqua" w:hAnsi="Book Antiqua" w:cs="Book Antiqua"/>
          <w:color w:val="000000"/>
        </w:rPr>
        <w:t>. These days, open surgical necrosectomy is reserved for patients who do not respond to MIS or those who have an emergency indication for open surgery, which includes abdominal compartment syndrome, perforation of hollow viscus, ischemic bowel infarction, or uncontrolled haemorrhage which is not amenable for endovascular embolization</w:t>
      </w:r>
      <w:r w:rsidRPr="00CB49E8">
        <w:rPr>
          <w:rFonts w:ascii="Book Antiqua" w:eastAsia="Book Antiqua" w:hAnsi="Book Antiqua" w:cs="Book Antiqua"/>
          <w:color w:val="000000"/>
          <w:vertAlign w:val="superscript"/>
        </w:rPr>
        <w:t>[12]</w:t>
      </w:r>
      <w:r w:rsidRPr="00CB49E8">
        <w:rPr>
          <w:rFonts w:ascii="Book Antiqua" w:eastAsia="Book Antiqua" w:hAnsi="Book Antiqua" w:cs="Book Antiqua"/>
          <w:color w:val="000000"/>
        </w:rPr>
        <w:t xml:space="preserve">. </w:t>
      </w:r>
    </w:p>
    <w:p w14:paraId="29E62AE0" w14:textId="77777777" w:rsidR="008D2584" w:rsidRPr="00CB49E8" w:rsidRDefault="008D2584" w:rsidP="008D2584">
      <w:pPr>
        <w:spacing w:line="360" w:lineRule="auto"/>
        <w:jc w:val="both"/>
        <w:rPr>
          <w:rFonts w:ascii="Book Antiqua" w:hAnsi="Book Antiqua"/>
        </w:rPr>
      </w:pPr>
    </w:p>
    <w:p w14:paraId="7E07977B" w14:textId="7777777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b/>
          <w:caps/>
          <w:color w:val="000000"/>
          <w:u w:val="single"/>
        </w:rPr>
        <w:t>CONCLUSION</w:t>
      </w:r>
    </w:p>
    <w:p w14:paraId="044B4E29" w14:textId="72372D57" w:rsidR="008D2584" w:rsidRPr="00CB49E8" w:rsidRDefault="008D2584" w:rsidP="008D2584">
      <w:pPr>
        <w:spacing w:line="360" w:lineRule="auto"/>
        <w:jc w:val="both"/>
        <w:rPr>
          <w:rFonts w:ascii="Book Antiqua" w:hAnsi="Book Antiqua"/>
        </w:rPr>
      </w:pPr>
      <w:r w:rsidRPr="00CB49E8">
        <w:rPr>
          <w:rFonts w:ascii="Book Antiqua" w:eastAsia="Book Antiqua" w:hAnsi="Book Antiqua" w:cs="Book Antiqua"/>
          <w:color w:val="000000"/>
        </w:rPr>
        <w:t>PFC represent important complications of AP. Despite the increasing utili</w:t>
      </w:r>
      <w:r w:rsidR="00425B22" w:rsidRPr="00CB49E8">
        <w:rPr>
          <w:rFonts w:ascii="Book Antiqua" w:eastAsia="Book Antiqua" w:hAnsi="Book Antiqua" w:cs="Book Antiqua"/>
          <w:color w:val="000000"/>
        </w:rPr>
        <w:t>z</w:t>
      </w:r>
      <w:r w:rsidRPr="00CB49E8">
        <w:rPr>
          <w:rFonts w:ascii="Book Antiqua" w:eastAsia="Book Antiqua" w:hAnsi="Book Antiqua" w:cs="Book Antiqua"/>
          <w:color w:val="000000"/>
        </w:rPr>
        <w:t xml:space="preserve">ation of endoscopic and minimally invasive surgical techniques, interventional radiologists and </w:t>
      </w:r>
      <w:r w:rsidRPr="00CB49E8">
        <w:rPr>
          <w:rFonts w:ascii="Book Antiqua" w:eastAsia="Book Antiqua" w:hAnsi="Book Antiqua" w:cs="Book Antiqua"/>
          <w:color w:val="000000"/>
        </w:rPr>
        <w:lastRenderedPageBreak/>
        <w:t xml:space="preserve">PCD remain integral to the management of patients with PFC. They must be aware of the evolving indications and complementary role of PCD, ED, and MIS and factors influencing success of PCD (Figure 10). </w:t>
      </w:r>
    </w:p>
    <w:p w14:paraId="0D06831B" w14:textId="6F7DEEC6" w:rsidR="00A77B3E" w:rsidRPr="00CB49E8" w:rsidRDefault="00A77B3E" w:rsidP="007902BA">
      <w:pPr>
        <w:spacing w:line="360" w:lineRule="auto"/>
        <w:jc w:val="both"/>
        <w:rPr>
          <w:rFonts w:ascii="Book Antiqua" w:hAnsi="Book Antiqua"/>
        </w:rPr>
      </w:pPr>
    </w:p>
    <w:p w14:paraId="4D3E158B" w14:textId="09122687" w:rsidR="00B70B91" w:rsidRPr="00CB49E8" w:rsidRDefault="00B70B91" w:rsidP="007902BA">
      <w:pPr>
        <w:spacing w:line="360" w:lineRule="auto"/>
        <w:jc w:val="both"/>
        <w:rPr>
          <w:rFonts w:ascii="Book Antiqua" w:hAnsi="Book Antiqua"/>
        </w:rPr>
      </w:pPr>
      <w:r w:rsidRPr="00CB49E8">
        <w:rPr>
          <w:rFonts w:ascii="Book Antiqua" w:eastAsia="Book Antiqua" w:hAnsi="Book Antiqua" w:cs="Book Antiqua"/>
          <w:b/>
          <w:color w:val="000000"/>
        </w:rPr>
        <w:t>REFERENCES</w:t>
      </w:r>
    </w:p>
    <w:p w14:paraId="147C8874"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 </w:t>
      </w:r>
      <w:r w:rsidRPr="00CB49E8">
        <w:rPr>
          <w:rFonts w:ascii="Book Antiqua" w:hAnsi="Book Antiqua"/>
          <w:b/>
          <w:bCs/>
        </w:rPr>
        <w:t>Foster BR</w:t>
      </w:r>
      <w:r w:rsidRPr="00CB49E8">
        <w:rPr>
          <w:rFonts w:ascii="Book Antiqua" w:hAnsi="Book Antiqua"/>
        </w:rPr>
        <w:t xml:space="preserve">, Jensen KK, Bakis G, Shaaban AM, Coakley FV. Revised Atlanta Classification for Acute Pancreatitis: A Pictorial Essay. </w:t>
      </w:r>
      <w:r w:rsidRPr="00CB49E8">
        <w:rPr>
          <w:rFonts w:ascii="Book Antiqua" w:hAnsi="Book Antiqua"/>
          <w:i/>
          <w:iCs/>
        </w:rPr>
        <w:t>Radiographics</w:t>
      </w:r>
      <w:r w:rsidRPr="00CB49E8">
        <w:rPr>
          <w:rFonts w:ascii="Book Antiqua" w:hAnsi="Book Antiqua"/>
        </w:rPr>
        <w:t xml:space="preserve"> 2016; </w:t>
      </w:r>
      <w:r w:rsidRPr="00CB49E8">
        <w:rPr>
          <w:rFonts w:ascii="Book Antiqua" w:hAnsi="Book Antiqua"/>
          <w:b/>
          <w:bCs/>
        </w:rPr>
        <w:t>36</w:t>
      </w:r>
      <w:r w:rsidRPr="00CB49E8">
        <w:rPr>
          <w:rFonts w:ascii="Book Antiqua" w:hAnsi="Book Antiqua"/>
        </w:rPr>
        <w:t>: 675-687 [PMID: 27163588 DOI: 10.1148/rg.2016150097]</w:t>
      </w:r>
    </w:p>
    <w:p w14:paraId="088B9466"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 </w:t>
      </w:r>
      <w:r w:rsidRPr="00CB49E8">
        <w:rPr>
          <w:rFonts w:ascii="Book Antiqua" w:hAnsi="Book Antiqua"/>
          <w:b/>
          <w:bCs/>
        </w:rPr>
        <w:t>Banks PA</w:t>
      </w:r>
      <w:r w:rsidRPr="00CB49E8">
        <w:rPr>
          <w:rFonts w:ascii="Book Antiqua" w:hAnsi="Book Antiqua"/>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CB49E8">
        <w:rPr>
          <w:rFonts w:ascii="Book Antiqua" w:hAnsi="Book Antiqua"/>
          <w:i/>
          <w:iCs/>
        </w:rPr>
        <w:t>Gut</w:t>
      </w:r>
      <w:r w:rsidRPr="00CB49E8">
        <w:rPr>
          <w:rFonts w:ascii="Book Antiqua" w:hAnsi="Book Antiqua"/>
        </w:rPr>
        <w:t xml:space="preserve"> 2013; </w:t>
      </w:r>
      <w:r w:rsidRPr="00CB49E8">
        <w:rPr>
          <w:rFonts w:ascii="Book Antiqua" w:hAnsi="Book Antiqua"/>
          <w:b/>
          <w:bCs/>
        </w:rPr>
        <w:t>62</w:t>
      </w:r>
      <w:r w:rsidRPr="00CB49E8">
        <w:rPr>
          <w:rFonts w:ascii="Book Antiqua" w:hAnsi="Book Antiqua"/>
        </w:rPr>
        <w:t>: 102-111 [PMID: 23100216 DOI: 10.1136/gutjnl-2012-302779]</w:t>
      </w:r>
    </w:p>
    <w:p w14:paraId="6DC8C0C1"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 </w:t>
      </w:r>
      <w:r w:rsidRPr="00CB49E8">
        <w:rPr>
          <w:rFonts w:ascii="Book Antiqua" w:hAnsi="Book Antiqua"/>
          <w:b/>
          <w:bCs/>
        </w:rPr>
        <w:t>Trikudanathan G</w:t>
      </w:r>
      <w:r w:rsidRPr="00CB49E8">
        <w:rPr>
          <w:rFonts w:ascii="Book Antiqua" w:hAnsi="Book Antiqua"/>
        </w:rPr>
        <w:t xml:space="preserve">, Tawfik P, Amateau SK, Munigala S, Arain M, Attam R, Beilman G, Flanagan S, Freeman ML, Mallery S. Early (&lt;4 Weeks) Versus Standard (≥ 4 Weeks) Endoscopically Centered Step-Up Interventions for Necrotizing Pancreatitis. </w:t>
      </w:r>
      <w:r w:rsidRPr="00CB49E8">
        <w:rPr>
          <w:rFonts w:ascii="Book Antiqua" w:hAnsi="Book Antiqua"/>
          <w:i/>
          <w:iCs/>
        </w:rPr>
        <w:t>Am J Gastroenterol</w:t>
      </w:r>
      <w:r w:rsidRPr="00CB49E8">
        <w:rPr>
          <w:rFonts w:ascii="Book Antiqua" w:hAnsi="Book Antiqua"/>
        </w:rPr>
        <w:t xml:space="preserve"> 2018; </w:t>
      </w:r>
      <w:r w:rsidRPr="00CB49E8">
        <w:rPr>
          <w:rFonts w:ascii="Book Antiqua" w:hAnsi="Book Antiqua"/>
          <w:b/>
          <w:bCs/>
        </w:rPr>
        <w:t>113</w:t>
      </w:r>
      <w:r w:rsidRPr="00CB49E8">
        <w:rPr>
          <w:rFonts w:ascii="Book Antiqua" w:hAnsi="Book Antiqua"/>
        </w:rPr>
        <w:t>: 1550-1558 [PMID: 30279466 DOI: 10.1038/s41395-018-0232-3]</w:t>
      </w:r>
    </w:p>
    <w:p w14:paraId="499792B1"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 </w:t>
      </w:r>
      <w:r w:rsidRPr="00CB49E8">
        <w:rPr>
          <w:rFonts w:ascii="Book Antiqua" w:hAnsi="Book Antiqua"/>
          <w:b/>
          <w:bCs/>
        </w:rPr>
        <w:t>Oblizajek N</w:t>
      </w:r>
      <w:r w:rsidRPr="00CB49E8">
        <w:rPr>
          <w:rFonts w:ascii="Book Antiqua" w:hAnsi="Book Antiqua"/>
        </w:rPr>
        <w:t xml:space="preserve">, Takahashi N, Agayeva S, Bazerbachi F, Chandrasekhara V, Levy M, Storm A, Baron T, Chari S, Gleeson FC, Pearson R, Petersen BT, Vege SS, Lennon R, Topazian M, Abu Dayyeh BK. Outcomes of early endoscopic intervention for pancreatic necrotic collections: a matched case-control study. </w:t>
      </w:r>
      <w:r w:rsidRPr="00CB49E8">
        <w:rPr>
          <w:rFonts w:ascii="Book Antiqua" w:hAnsi="Book Antiqua"/>
          <w:i/>
          <w:iCs/>
        </w:rPr>
        <w:t>Gastrointest Endosc</w:t>
      </w:r>
      <w:r w:rsidRPr="00CB49E8">
        <w:rPr>
          <w:rFonts w:ascii="Book Antiqua" w:hAnsi="Book Antiqua"/>
        </w:rPr>
        <w:t xml:space="preserve"> 2020; </w:t>
      </w:r>
      <w:r w:rsidRPr="00CB49E8">
        <w:rPr>
          <w:rFonts w:ascii="Book Antiqua" w:hAnsi="Book Antiqua"/>
          <w:b/>
          <w:bCs/>
        </w:rPr>
        <w:t>91</w:t>
      </w:r>
      <w:r w:rsidRPr="00CB49E8">
        <w:rPr>
          <w:rFonts w:ascii="Book Antiqua" w:hAnsi="Book Antiqua"/>
        </w:rPr>
        <w:t>: 1303-1309 [PMID: 31958461 DOI: 10.1016/j.gie.2020.01.017]</w:t>
      </w:r>
    </w:p>
    <w:p w14:paraId="56E35D67"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 </w:t>
      </w:r>
      <w:r w:rsidRPr="00CB49E8">
        <w:rPr>
          <w:rFonts w:ascii="Book Antiqua" w:hAnsi="Book Antiqua"/>
          <w:b/>
          <w:bCs/>
        </w:rPr>
        <w:t>van Grinsven J</w:t>
      </w:r>
      <w:r w:rsidRPr="00CB49E8">
        <w:rPr>
          <w:rFonts w:ascii="Book Antiqua" w:hAnsi="Book Antiqua"/>
        </w:rPr>
        <w:t xml:space="preserve">, van Brunschot S, van Baal MC, Besselink MG, Fockens P, van Goor H, van Santvoort HC, Bollen TL; Dutch Pancreatitis Study Group. Natural History of Gas Configurations and Encapsulation in Necrotic Collections During Necrotizing Pancreatitis. </w:t>
      </w:r>
      <w:r w:rsidRPr="00CB49E8">
        <w:rPr>
          <w:rFonts w:ascii="Book Antiqua" w:hAnsi="Book Antiqua"/>
          <w:i/>
          <w:iCs/>
        </w:rPr>
        <w:t>J Gastrointest Surg</w:t>
      </w:r>
      <w:r w:rsidRPr="00CB49E8">
        <w:rPr>
          <w:rFonts w:ascii="Book Antiqua" w:hAnsi="Book Antiqua"/>
        </w:rPr>
        <w:t xml:space="preserve"> 2018; </w:t>
      </w:r>
      <w:r w:rsidRPr="00CB49E8">
        <w:rPr>
          <w:rFonts w:ascii="Book Antiqua" w:hAnsi="Book Antiqua"/>
          <w:b/>
          <w:bCs/>
        </w:rPr>
        <w:t>22</w:t>
      </w:r>
      <w:r w:rsidRPr="00CB49E8">
        <w:rPr>
          <w:rFonts w:ascii="Book Antiqua" w:hAnsi="Book Antiqua"/>
        </w:rPr>
        <w:t>: 1557-1564 [PMID: 29752684 DOI: 10.1007/s11605-018-3792-z]</w:t>
      </w:r>
    </w:p>
    <w:p w14:paraId="6B830EB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6 </w:t>
      </w:r>
      <w:r w:rsidRPr="00CB49E8">
        <w:rPr>
          <w:rFonts w:ascii="Book Antiqua" w:hAnsi="Book Antiqua"/>
          <w:b/>
          <w:bCs/>
        </w:rPr>
        <w:t>Baron TH</w:t>
      </w:r>
      <w:r w:rsidRPr="00CB49E8">
        <w:rPr>
          <w:rFonts w:ascii="Book Antiqua" w:hAnsi="Book Antiqua"/>
        </w:rPr>
        <w:t xml:space="preserve">, DiMaio CJ, Wang AY, Morgan KA. American Gastroenterological Association Clinical Practice Update: Management of Pancreatic Necrosis. </w:t>
      </w:r>
      <w:r w:rsidRPr="00CB49E8">
        <w:rPr>
          <w:rFonts w:ascii="Book Antiqua" w:hAnsi="Book Antiqua"/>
          <w:i/>
          <w:iCs/>
        </w:rPr>
        <w:t>Gastroenterology</w:t>
      </w:r>
      <w:r w:rsidRPr="00CB49E8">
        <w:rPr>
          <w:rFonts w:ascii="Book Antiqua" w:hAnsi="Book Antiqua"/>
        </w:rPr>
        <w:t xml:space="preserve"> 2020; </w:t>
      </w:r>
      <w:r w:rsidRPr="00CB49E8">
        <w:rPr>
          <w:rFonts w:ascii="Book Antiqua" w:hAnsi="Book Antiqua"/>
          <w:b/>
          <w:bCs/>
        </w:rPr>
        <w:t>158</w:t>
      </w:r>
      <w:r w:rsidRPr="00CB49E8">
        <w:rPr>
          <w:rFonts w:ascii="Book Antiqua" w:hAnsi="Book Antiqua"/>
        </w:rPr>
        <w:t>: 67-75.e1 [PMID: 31479658 DOI: 10.1053/j.gastro.2019.07.064]</w:t>
      </w:r>
    </w:p>
    <w:p w14:paraId="1DD925BB" w14:textId="77777777" w:rsidR="003A065D" w:rsidRPr="00CB49E8" w:rsidRDefault="003A065D" w:rsidP="003A065D">
      <w:pPr>
        <w:spacing w:line="360" w:lineRule="auto"/>
        <w:jc w:val="both"/>
        <w:rPr>
          <w:rFonts w:ascii="Book Antiqua" w:hAnsi="Book Antiqua"/>
        </w:rPr>
      </w:pPr>
      <w:r w:rsidRPr="00CB49E8">
        <w:rPr>
          <w:rFonts w:ascii="Book Antiqua" w:hAnsi="Book Antiqua"/>
        </w:rPr>
        <w:lastRenderedPageBreak/>
        <w:t xml:space="preserve">7 </w:t>
      </w:r>
      <w:r w:rsidRPr="00CB49E8">
        <w:rPr>
          <w:rFonts w:ascii="Book Antiqua" w:hAnsi="Book Antiqua"/>
          <w:b/>
          <w:bCs/>
        </w:rPr>
        <w:t>Shyu JY</w:t>
      </w:r>
      <w:r w:rsidRPr="00CB49E8">
        <w:rPr>
          <w:rFonts w:ascii="Book Antiqua" w:hAnsi="Book Antiqua"/>
        </w:rPr>
        <w:t xml:space="preserve">, Sainani NI, Sahni VA, Chick JF, Chauhan NR, Conwell DL, Clancy TE, Banks PA, Silverman SG. Necrotizing pancreatitis: diagnosis, imaging, and intervention. </w:t>
      </w:r>
      <w:r w:rsidRPr="00CB49E8">
        <w:rPr>
          <w:rFonts w:ascii="Book Antiqua" w:hAnsi="Book Antiqua"/>
          <w:i/>
          <w:iCs/>
        </w:rPr>
        <w:t>Radiographics</w:t>
      </w:r>
      <w:r w:rsidRPr="00CB49E8">
        <w:rPr>
          <w:rFonts w:ascii="Book Antiqua" w:hAnsi="Book Antiqua"/>
        </w:rPr>
        <w:t xml:space="preserve"> 2014; </w:t>
      </w:r>
      <w:r w:rsidRPr="00CB49E8">
        <w:rPr>
          <w:rFonts w:ascii="Book Antiqua" w:hAnsi="Book Antiqua"/>
          <w:b/>
          <w:bCs/>
        </w:rPr>
        <w:t>34</w:t>
      </w:r>
      <w:r w:rsidRPr="00CB49E8">
        <w:rPr>
          <w:rFonts w:ascii="Book Antiqua" w:hAnsi="Book Antiqua"/>
        </w:rPr>
        <w:t>: 1218-1239 [PMID: 25208277 DOI: 10.1148/rg.345130012]</w:t>
      </w:r>
    </w:p>
    <w:p w14:paraId="2E892BE9"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8 </w:t>
      </w:r>
      <w:r w:rsidRPr="00CB49E8">
        <w:rPr>
          <w:rFonts w:ascii="Book Antiqua" w:hAnsi="Book Antiqua"/>
          <w:b/>
          <w:bCs/>
        </w:rPr>
        <w:t>Lee MJ</w:t>
      </w:r>
      <w:r w:rsidRPr="00CB49E8">
        <w:rPr>
          <w:rFonts w:ascii="Book Antiqua" w:hAnsi="Book Antiqua"/>
        </w:rPr>
        <w:t xml:space="preserve">, Wittich GR, Mueller PR. Percutaneous intervention in acute pancreatitis. </w:t>
      </w:r>
      <w:r w:rsidRPr="00CB49E8">
        <w:rPr>
          <w:rFonts w:ascii="Book Antiqua" w:hAnsi="Book Antiqua"/>
          <w:i/>
          <w:iCs/>
        </w:rPr>
        <w:t>Radiographics</w:t>
      </w:r>
      <w:r w:rsidRPr="00CB49E8">
        <w:rPr>
          <w:rFonts w:ascii="Book Antiqua" w:hAnsi="Book Antiqua"/>
        </w:rPr>
        <w:t xml:space="preserve"> 1998; </w:t>
      </w:r>
      <w:r w:rsidRPr="00CB49E8">
        <w:rPr>
          <w:rFonts w:ascii="Book Antiqua" w:hAnsi="Book Antiqua"/>
          <w:b/>
          <w:bCs/>
        </w:rPr>
        <w:t>18</w:t>
      </w:r>
      <w:r w:rsidRPr="00CB49E8">
        <w:rPr>
          <w:rFonts w:ascii="Book Antiqua" w:hAnsi="Book Antiqua"/>
        </w:rPr>
        <w:t>: 711-24; discussion 728 [PMID: 9599393 DOI: 10.1148/radiographics.18.3.9599393]</w:t>
      </w:r>
    </w:p>
    <w:p w14:paraId="5F664D3A"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9 </w:t>
      </w:r>
      <w:r w:rsidRPr="00CB49E8">
        <w:rPr>
          <w:rFonts w:ascii="Book Antiqua" w:hAnsi="Book Antiqua"/>
          <w:b/>
          <w:bCs/>
        </w:rPr>
        <w:t>van Santvoort HC</w:t>
      </w:r>
      <w:r w:rsidRPr="00CB49E8">
        <w:rPr>
          <w:rFonts w:ascii="Book Antiqua" w:hAnsi="Book Antiqua"/>
        </w:rPr>
        <w:t xml:space="preserve">,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Dutch Pancreatitis Study Group. A step-up approach or open necrosectomy for necrotizing pancreatitis. </w:t>
      </w:r>
      <w:r w:rsidRPr="00CB49E8">
        <w:rPr>
          <w:rFonts w:ascii="Book Antiqua" w:hAnsi="Book Antiqua"/>
          <w:i/>
          <w:iCs/>
        </w:rPr>
        <w:t>N Engl J Med</w:t>
      </w:r>
      <w:r w:rsidRPr="00CB49E8">
        <w:rPr>
          <w:rFonts w:ascii="Book Antiqua" w:hAnsi="Book Antiqua"/>
        </w:rPr>
        <w:t xml:space="preserve"> 2010; </w:t>
      </w:r>
      <w:r w:rsidRPr="00CB49E8">
        <w:rPr>
          <w:rFonts w:ascii="Book Antiqua" w:hAnsi="Book Antiqua"/>
          <w:b/>
          <w:bCs/>
        </w:rPr>
        <w:t>362</w:t>
      </w:r>
      <w:r w:rsidRPr="00CB49E8">
        <w:rPr>
          <w:rFonts w:ascii="Book Antiqua" w:hAnsi="Book Antiqua"/>
        </w:rPr>
        <w:t>: 1491-1502 [PMID: 20410514 DOI: 10.1056/NEJMoa0908821]</w:t>
      </w:r>
    </w:p>
    <w:p w14:paraId="72ADA420"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10 </w:t>
      </w:r>
      <w:r w:rsidRPr="00CB49E8">
        <w:rPr>
          <w:rFonts w:ascii="Book Antiqua" w:hAnsi="Book Antiqua"/>
          <w:b/>
          <w:bCs/>
        </w:rPr>
        <w:t>van Brunschot S</w:t>
      </w:r>
      <w:r w:rsidRPr="00CB49E8">
        <w:rPr>
          <w:rFonts w:ascii="Book Antiqua" w:hAnsi="Book Antiqua"/>
        </w:rPr>
        <w:t xml:space="preserve">, van Grinsven J, van Santvoort HC, Bakker OJ, Besselink MG, Boermeester MA, Bollen TL, Bosscha K, Bouwense SA, Bruno MJ, Cappendijk VC, Consten EC, Dejong CH, van Eijck CH, Erkelens WG, van Goor H, van Grevenstein WMU, Haveman JW, Hofker SH, Jansen JM, Laméris JS, van Lienden KP, Meijssen MA, Mulder CJ, Nieuwenhuijs VB, Poley JW, Quispel R, de Ridder RJ, Römkens TE, Scheepers JJ, Schepers NJ, Schwartz MP, Seerden T, Spanier BWM, Straathof JWA, Strijker M, Timmer R, Venneman NG, Vleggaar FP, Voermans RP, Witteman BJ, Gooszen HG, Dijkgraaf MG, Fockens P; Dutch Pancreatitis Study Group. Endoscopic or surgical step-up approach for infected necrotising pancreatitis: a multicentre randomised trial. </w:t>
      </w:r>
      <w:r w:rsidRPr="00CB49E8">
        <w:rPr>
          <w:rFonts w:ascii="Book Antiqua" w:hAnsi="Book Antiqua"/>
          <w:i/>
          <w:iCs/>
        </w:rPr>
        <w:t>Lancet</w:t>
      </w:r>
      <w:r w:rsidRPr="00CB49E8">
        <w:rPr>
          <w:rFonts w:ascii="Book Antiqua" w:hAnsi="Book Antiqua"/>
        </w:rPr>
        <w:t xml:space="preserve"> 2018; </w:t>
      </w:r>
      <w:r w:rsidRPr="00CB49E8">
        <w:rPr>
          <w:rFonts w:ascii="Book Antiqua" w:hAnsi="Book Antiqua"/>
          <w:b/>
          <w:bCs/>
        </w:rPr>
        <w:t>391</w:t>
      </w:r>
      <w:r w:rsidRPr="00CB49E8">
        <w:rPr>
          <w:rFonts w:ascii="Book Antiqua" w:hAnsi="Book Antiqua"/>
        </w:rPr>
        <w:t>: 51-58 [PMID: 29108721 DOI: 10.1016/S0140-6736(17)32404-2]</w:t>
      </w:r>
    </w:p>
    <w:p w14:paraId="0A7E5BB6"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11 </w:t>
      </w:r>
      <w:r w:rsidRPr="00CB49E8">
        <w:rPr>
          <w:rFonts w:ascii="Book Antiqua" w:hAnsi="Book Antiqua"/>
          <w:b/>
          <w:bCs/>
        </w:rPr>
        <w:t>Gupta P</w:t>
      </w:r>
      <w:r w:rsidRPr="00CB49E8">
        <w:rPr>
          <w:rFonts w:ascii="Book Antiqua" w:hAnsi="Book Antiqua"/>
        </w:rPr>
        <w:t xml:space="preserve">, Bansal A, Samanta J, Mandavdhare H, Sharma V, Gupta V, Yadav TD, Dutta U, Kochhar R, Singh Sandhu M. Larger bore percutaneous catheter in necrotic pancreatic fluid collection is associated with better outcomes. </w:t>
      </w:r>
      <w:r w:rsidRPr="00CB49E8">
        <w:rPr>
          <w:rFonts w:ascii="Book Antiqua" w:hAnsi="Book Antiqua"/>
          <w:i/>
          <w:iCs/>
        </w:rPr>
        <w:t>Eur Radiol</w:t>
      </w:r>
      <w:r w:rsidRPr="00CB49E8">
        <w:rPr>
          <w:rFonts w:ascii="Book Antiqua" w:hAnsi="Book Antiqua"/>
        </w:rPr>
        <w:t xml:space="preserve"> 2021; </w:t>
      </w:r>
      <w:r w:rsidRPr="00CB49E8">
        <w:rPr>
          <w:rFonts w:ascii="Book Antiqua" w:hAnsi="Book Antiqua"/>
          <w:b/>
          <w:bCs/>
        </w:rPr>
        <w:t>31</w:t>
      </w:r>
      <w:r w:rsidRPr="00CB49E8">
        <w:rPr>
          <w:rFonts w:ascii="Book Antiqua" w:hAnsi="Book Antiqua"/>
        </w:rPr>
        <w:t>: 3439-3446 [PMID: 33151396 DOI: 10.1007/s00330-020-07411-6]</w:t>
      </w:r>
    </w:p>
    <w:p w14:paraId="2C9100CD"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12 </w:t>
      </w:r>
      <w:r w:rsidRPr="00CB49E8">
        <w:rPr>
          <w:rFonts w:ascii="Book Antiqua" w:hAnsi="Book Antiqua"/>
          <w:b/>
          <w:bCs/>
        </w:rPr>
        <w:t>Trikudanathan G</w:t>
      </w:r>
      <w:r w:rsidRPr="00CB49E8">
        <w:rPr>
          <w:rFonts w:ascii="Book Antiqua" w:hAnsi="Book Antiqua"/>
        </w:rPr>
        <w:t xml:space="preserve">, Wolbrink DRJ, van Santvoort HC, Mallery S, Freeman M, Besselink MG. Current Concepts in Severe Acute and Necrotizing Pancreatitis: An Evidence-Based </w:t>
      </w:r>
      <w:r w:rsidRPr="00CB49E8">
        <w:rPr>
          <w:rFonts w:ascii="Book Antiqua" w:hAnsi="Book Antiqua"/>
        </w:rPr>
        <w:lastRenderedPageBreak/>
        <w:t xml:space="preserve">Approach. </w:t>
      </w:r>
      <w:r w:rsidRPr="00CB49E8">
        <w:rPr>
          <w:rFonts w:ascii="Book Antiqua" w:hAnsi="Book Antiqua"/>
          <w:i/>
          <w:iCs/>
        </w:rPr>
        <w:t>Gastroenterology</w:t>
      </w:r>
      <w:r w:rsidRPr="00CB49E8">
        <w:rPr>
          <w:rFonts w:ascii="Book Antiqua" w:hAnsi="Book Antiqua"/>
        </w:rPr>
        <w:t xml:space="preserve"> 2019; </w:t>
      </w:r>
      <w:r w:rsidRPr="00CB49E8">
        <w:rPr>
          <w:rFonts w:ascii="Book Antiqua" w:hAnsi="Book Antiqua"/>
          <w:b/>
          <w:bCs/>
        </w:rPr>
        <w:t>156</w:t>
      </w:r>
      <w:r w:rsidRPr="00CB49E8">
        <w:rPr>
          <w:rFonts w:ascii="Book Antiqua" w:hAnsi="Book Antiqua"/>
        </w:rPr>
        <w:t>: 1994-2007.e3 [PMID: 30776347 DOI: 10.1053/j.gastro.2019.01.269]</w:t>
      </w:r>
    </w:p>
    <w:p w14:paraId="51D88E57"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13 </w:t>
      </w:r>
      <w:r w:rsidRPr="00CB49E8">
        <w:rPr>
          <w:rFonts w:ascii="Book Antiqua" w:hAnsi="Book Antiqua"/>
          <w:b/>
          <w:bCs/>
        </w:rPr>
        <w:t>van Baal MC</w:t>
      </w:r>
      <w:r w:rsidRPr="00CB49E8">
        <w:rPr>
          <w:rFonts w:ascii="Book Antiqua" w:hAnsi="Book Antiqua"/>
        </w:rPr>
        <w:t xml:space="preserve">, Bollen TL, Bakker OJ, van Goor H, Boermeester MA, Dejong CH, Gooszen HG, van der Harst E, van Eijck CH, van Santvoort HC, Besselink MG; Dutch Pancreatitis Study Group. The role of routine fine-needle aspiration in the diagnosis of infected necrotizing pancreatitis. </w:t>
      </w:r>
      <w:r w:rsidRPr="00CB49E8">
        <w:rPr>
          <w:rFonts w:ascii="Book Antiqua" w:hAnsi="Book Antiqua"/>
          <w:i/>
          <w:iCs/>
        </w:rPr>
        <w:t>Surgery</w:t>
      </w:r>
      <w:r w:rsidRPr="00CB49E8">
        <w:rPr>
          <w:rFonts w:ascii="Book Antiqua" w:hAnsi="Book Antiqua"/>
        </w:rPr>
        <w:t xml:space="preserve"> 2014; </w:t>
      </w:r>
      <w:r w:rsidRPr="00CB49E8">
        <w:rPr>
          <w:rFonts w:ascii="Book Antiqua" w:hAnsi="Book Antiqua"/>
          <w:b/>
          <w:bCs/>
        </w:rPr>
        <w:t>155</w:t>
      </w:r>
      <w:r w:rsidRPr="00CB49E8">
        <w:rPr>
          <w:rFonts w:ascii="Book Antiqua" w:hAnsi="Book Antiqua"/>
        </w:rPr>
        <w:t>: 442-448 [PMID: 24287142 DOI: 10.1016/j.surg.2013.10.001]</w:t>
      </w:r>
    </w:p>
    <w:p w14:paraId="7BD97F96"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14 </w:t>
      </w:r>
      <w:r w:rsidRPr="00CB49E8">
        <w:rPr>
          <w:rFonts w:ascii="Book Antiqua" w:hAnsi="Book Antiqua"/>
          <w:b/>
          <w:bCs/>
        </w:rPr>
        <w:t>ASGE Standards of Practice Committee.</w:t>
      </w:r>
      <w:r w:rsidRPr="00CB49E8">
        <w:rPr>
          <w:rFonts w:ascii="Book Antiqua" w:hAnsi="Book Antiqua"/>
        </w:rPr>
        <w:t xml:space="preserve">, Early DS, Acosta RD, Chandrasekhara V, Chathadi KV, Decker GA, Evans JA, Fanelli RD, Fisher DA, Fonkalsrud L, Hwang JH, Jue TL, Khashab MA, Lightdale JR, Muthusamy VR, Pasha SF, Saltzman JR, Sharaf RN, Shergill AK, Cash BD. Adverse events associated with EUS and EUS with FNA. </w:t>
      </w:r>
      <w:r w:rsidRPr="00CB49E8">
        <w:rPr>
          <w:rFonts w:ascii="Book Antiqua" w:hAnsi="Book Antiqua"/>
          <w:i/>
          <w:iCs/>
        </w:rPr>
        <w:t>Gastrointest Endosc</w:t>
      </w:r>
      <w:r w:rsidRPr="00CB49E8">
        <w:rPr>
          <w:rFonts w:ascii="Book Antiqua" w:hAnsi="Book Antiqua"/>
        </w:rPr>
        <w:t xml:space="preserve"> 2013; </w:t>
      </w:r>
      <w:r w:rsidRPr="00CB49E8">
        <w:rPr>
          <w:rFonts w:ascii="Book Antiqua" w:hAnsi="Book Antiqua"/>
          <w:b/>
          <w:bCs/>
        </w:rPr>
        <w:t>77</w:t>
      </w:r>
      <w:r w:rsidRPr="00CB49E8">
        <w:rPr>
          <w:rFonts w:ascii="Book Antiqua" w:hAnsi="Book Antiqua"/>
        </w:rPr>
        <w:t>: 839-843 [PMID: 23684089 DOI: 10.1016/j.gie.2013.02.018]</w:t>
      </w:r>
    </w:p>
    <w:p w14:paraId="6200917B"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15 </w:t>
      </w:r>
      <w:r w:rsidRPr="00CB49E8">
        <w:rPr>
          <w:rFonts w:ascii="Book Antiqua" w:hAnsi="Book Antiqua"/>
          <w:b/>
          <w:bCs/>
        </w:rPr>
        <w:t>van Grinsven J</w:t>
      </w:r>
      <w:r w:rsidRPr="00CB49E8">
        <w:rPr>
          <w:rFonts w:ascii="Book Antiqua" w:hAnsi="Book Antiqua"/>
        </w:rPr>
        <w:t xml:space="preserve">, van Brunschot S, Bakker OJ, Bollen TL, Boermeester MA, Bruno MJ, Dejong CH, Dijkgraaf MG, van Eijck CH, Fockens P, van Goor H, Gooszen HG, Horvath KD, van Lienden KP, van Santvoort HC, Besselink MG; Dutch Pancreatitis Study Group. Diagnostic strategy and timing of intervention in infected necrotizing pancreatitis: an international expert survey and case vignette study. </w:t>
      </w:r>
      <w:r w:rsidRPr="00CB49E8">
        <w:rPr>
          <w:rFonts w:ascii="Book Antiqua" w:hAnsi="Book Antiqua"/>
          <w:i/>
          <w:iCs/>
        </w:rPr>
        <w:t>HPB (Oxford)</w:t>
      </w:r>
      <w:r w:rsidRPr="00CB49E8">
        <w:rPr>
          <w:rFonts w:ascii="Book Antiqua" w:hAnsi="Book Antiqua"/>
        </w:rPr>
        <w:t xml:space="preserve"> 2016; </w:t>
      </w:r>
      <w:r w:rsidRPr="00CB49E8">
        <w:rPr>
          <w:rFonts w:ascii="Book Antiqua" w:hAnsi="Book Antiqua"/>
          <w:b/>
          <w:bCs/>
        </w:rPr>
        <w:t>18</w:t>
      </w:r>
      <w:r w:rsidRPr="00CB49E8">
        <w:rPr>
          <w:rFonts w:ascii="Book Antiqua" w:hAnsi="Book Antiqua"/>
        </w:rPr>
        <w:t>: 49-56 [PMID: 26776851 DOI: 10.1016/j.hpb.2015.07.003]</w:t>
      </w:r>
    </w:p>
    <w:p w14:paraId="4AD9FC6A"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16 </w:t>
      </w:r>
      <w:r w:rsidRPr="00CB49E8">
        <w:rPr>
          <w:rFonts w:ascii="Book Antiqua" w:hAnsi="Book Antiqua"/>
          <w:b/>
          <w:bCs/>
        </w:rPr>
        <w:t>Freeman ML</w:t>
      </w:r>
      <w:r w:rsidRPr="00CB49E8">
        <w:rPr>
          <w:rFonts w:ascii="Book Antiqua" w:hAnsi="Book Antiqua"/>
        </w:rPr>
        <w:t xml:space="preserve">, Werner J, van Santvoort HC, Baron TH, Besselink MG, Windsor JA, Horvath KD, vanSonnenberg E, Bollen TL, Vege SS; International Multidisciplinary Panel of Speakers and Moderators. Interventions for necrotizing pancreatitis: summary of a multidisciplinary consensus conference. </w:t>
      </w:r>
      <w:r w:rsidRPr="00CB49E8">
        <w:rPr>
          <w:rFonts w:ascii="Book Antiqua" w:hAnsi="Book Antiqua"/>
          <w:i/>
          <w:iCs/>
        </w:rPr>
        <w:t>Pancreas</w:t>
      </w:r>
      <w:r w:rsidRPr="00CB49E8">
        <w:rPr>
          <w:rFonts w:ascii="Book Antiqua" w:hAnsi="Book Antiqua"/>
        </w:rPr>
        <w:t xml:space="preserve"> 2012; </w:t>
      </w:r>
      <w:r w:rsidRPr="00CB49E8">
        <w:rPr>
          <w:rFonts w:ascii="Book Antiqua" w:hAnsi="Book Antiqua"/>
          <w:b/>
          <w:bCs/>
        </w:rPr>
        <w:t>41</w:t>
      </w:r>
      <w:r w:rsidRPr="00CB49E8">
        <w:rPr>
          <w:rFonts w:ascii="Book Antiqua" w:hAnsi="Book Antiqua"/>
        </w:rPr>
        <w:t>: 1176-1194 [PMID: 23086243 DOI: 10.1097/MPA.0b013e318269c660]</w:t>
      </w:r>
    </w:p>
    <w:p w14:paraId="27B55B75"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17 </w:t>
      </w:r>
      <w:r w:rsidRPr="00CB49E8">
        <w:rPr>
          <w:rFonts w:ascii="Book Antiqua" w:hAnsi="Book Antiqua"/>
          <w:b/>
          <w:bCs/>
        </w:rPr>
        <w:t>Jiang W</w:t>
      </w:r>
      <w:r w:rsidRPr="00CB49E8">
        <w:rPr>
          <w:rFonts w:ascii="Book Antiqua" w:hAnsi="Book Antiqua"/>
        </w:rPr>
        <w:t xml:space="preserve">, Tong Z, Yang D, Ke L, Shen X, Zhou J, Li G, Li W, Li J. Gastrointestinal Fistulas in Acute Pancreatitis With Infected Pancreatic or Peripancreatic Necrosis: A 4-Year Single-Center Experience. </w:t>
      </w:r>
      <w:r w:rsidRPr="00CB49E8">
        <w:rPr>
          <w:rFonts w:ascii="Book Antiqua" w:hAnsi="Book Antiqua"/>
          <w:i/>
          <w:iCs/>
        </w:rPr>
        <w:t>Medicine (Baltimore)</w:t>
      </w:r>
      <w:r w:rsidRPr="00CB49E8">
        <w:rPr>
          <w:rFonts w:ascii="Book Antiqua" w:hAnsi="Book Antiqua"/>
        </w:rPr>
        <w:t xml:space="preserve"> 2016; </w:t>
      </w:r>
      <w:r w:rsidRPr="00CB49E8">
        <w:rPr>
          <w:rFonts w:ascii="Book Antiqua" w:hAnsi="Book Antiqua"/>
          <w:b/>
          <w:bCs/>
        </w:rPr>
        <w:t>95</w:t>
      </w:r>
      <w:r w:rsidRPr="00CB49E8">
        <w:rPr>
          <w:rFonts w:ascii="Book Antiqua" w:hAnsi="Book Antiqua"/>
        </w:rPr>
        <w:t>: e3318 [PMID: 27057908 DOI: 10.1097/MD.0000000000003318]</w:t>
      </w:r>
    </w:p>
    <w:p w14:paraId="73824F06" w14:textId="77777777" w:rsidR="003A065D" w:rsidRPr="00CB49E8" w:rsidRDefault="003A065D" w:rsidP="003A065D">
      <w:pPr>
        <w:spacing w:line="360" w:lineRule="auto"/>
        <w:jc w:val="both"/>
        <w:rPr>
          <w:rFonts w:ascii="Book Antiqua" w:hAnsi="Book Antiqua"/>
        </w:rPr>
      </w:pPr>
      <w:r w:rsidRPr="00CB49E8">
        <w:rPr>
          <w:rFonts w:ascii="Book Antiqua" w:hAnsi="Book Antiqua"/>
        </w:rPr>
        <w:lastRenderedPageBreak/>
        <w:t xml:space="preserve">18 </w:t>
      </w:r>
      <w:r w:rsidRPr="00CB49E8">
        <w:rPr>
          <w:rFonts w:ascii="Book Antiqua" w:hAnsi="Book Antiqua"/>
          <w:b/>
          <w:bCs/>
        </w:rPr>
        <w:t>Nabi Z</w:t>
      </w:r>
      <w:r w:rsidRPr="00CB49E8">
        <w:rPr>
          <w:rFonts w:ascii="Book Antiqua" w:hAnsi="Book Antiqua"/>
        </w:rPr>
        <w:t xml:space="preserve">, Basha J, Reddy DN. Endoscopic management of pancreatic fluid collections-revisited. </w:t>
      </w:r>
      <w:r w:rsidRPr="00CB49E8">
        <w:rPr>
          <w:rFonts w:ascii="Book Antiqua" w:hAnsi="Book Antiqua"/>
          <w:i/>
          <w:iCs/>
        </w:rPr>
        <w:t>World J Gastroenterol</w:t>
      </w:r>
      <w:r w:rsidRPr="00CB49E8">
        <w:rPr>
          <w:rFonts w:ascii="Book Antiqua" w:hAnsi="Book Antiqua"/>
        </w:rPr>
        <w:t xml:space="preserve"> 2017; </w:t>
      </w:r>
      <w:r w:rsidRPr="00CB49E8">
        <w:rPr>
          <w:rFonts w:ascii="Book Antiqua" w:hAnsi="Book Antiqua"/>
          <w:b/>
          <w:bCs/>
        </w:rPr>
        <w:t>23</w:t>
      </w:r>
      <w:r w:rsidRPr="00CB49E8">
        <w:rPr>
          <w:rFonts w:ascii="Book Antiqua" w:hAnsi="Book Antiqua"/>
        </w:rPr>
        <w:t>: 2660-2672 [PMID: 28487603 DOI: 10.3748/wjg.v23.i15.2660]</w:t>
      </w:r>
    </w:p>
    <w:p w14:paraId="691E89DF"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19 </w:t>
      </w:r>
      <w:r w:rsidRPr="00CB49E8">
        <w:rPr>
          <w:rFonts w:ascii="Book Antiqua" w:hAnsi="Book Antiqua"/>
          <w:b/>
          <w:bCs/>
        </w:rPr>
        <w:t>Boxhoorn L</w:t>
      </w:r>
      <w:r w:rsidRPr="00CB49E8">
        <w:rPr>
          <w:rFonts w:ascii="Book Antiqua" w:hAnsi="Book Antiqua"/>
        </w:rPr>
        <w:t xml:space="preserve">, van Dijk SM, van Grinsven J, Verdonk RC, Boermeester MA, Bollen TL, Bouwense SAW, Bruno MJ, Cappendijk VC, Dejong CHC, van Duijvendijk P, van Eijck CHJ, Fockens P, Francken MFG, van Goor H, Hadithi M, Hallensleben NDL, Haveman JW, Jacobs MAJM, Jansen JM, Kop MPM, van Lienden KP, Manusama ER, Mieog JSD, Molenaar IQ, Nieuwenhuijs VB, Poen AC, Poley JW, van de Poll M, Quispel R, Römkens TEH, Schwartz MP, Seerden TC, Stommel MWJ, Straathof JWA, Timmerhuis HC, Venneman NG, Voermans RP, van de Vrie W, Witteman BJ, Dijkgraaf MGW, van Santvoort HC, Besselink MG; Dutch Pancreatitis Study Group. Immediate versus Postponed Intervention for Infected Necrotizing Pancreatitis. </w:t>
      </w:r>
      <w:r w:rsidRPr="00CB49E8">
        <w:rPr>
          <w:rFonts w:ascii="Book Antiqua" w:hAnsi="Book Antiqua"/>
          <w:i/>
          <w:iCs/>
        </w:rPr>
        <w:t>N Engl J Med</w:t>
      </w:r>
      <w:r w:rsidRPr="00CB49E8">
        <w:rPr>
          <w:rFonts w:ascii="Book Antiqua" w:hAnsi="Book Antiqua"/>
        </w:rPr>
        <w:t xml:space="preserve"> 2021; </w:t>
      </w:r>
      <w:r w:rsidRPr="00CB49E8">
        <w:rPr>
          <w:rFonts w:ascii="Book Antiqua" w:hAnsi="Book Antiqua"/>
          <w:b/>
          <w:bCs/>
        </w:rPr>
        <w:t>385</w:t>
      </w:r>
      <w:r w:rsidRPr="00CB49E8">
        <w:rPr>
          <w:rFonts w:ascii="Book Antiqua" w:hAnsi="Book Antiqua"/>
        </w:rPr>
        <w:t>: 1372-1381 [PMID: 34614330 DOI: 10.1056/NEJMoa2100826]</w:t>
      </w:r>
    </w:p>
    <w:p w14:paraId="539C110B"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20 </w:t>
      </w:r>
      <w:r w:rsidRPr="00CB49E8">
        <w:rPr>
          <w:rFonts w:ascii="Book Antiqua" w:hAnsi="Book Antiqua"/>
          <w:b/>
          <w:bCs/>
        </w:rPr>
        <w:t>van Baal MC</w:t>
      </w:r>
      <w:r w:rsidRPr="00CB49E8">
        <w:rPr>
          <w:rFonts w:ascii="Book Antiqua" w:hAnsi="Book Antiqua"/>
        </w:rPr>
        <w:t xml:space="preserve">, van Santvoort HC, Bollen TL, Bakker OJ, Besselink MG, Gooszen HG; Dutch Pancreatitis Study Group. Systematic review of percutaneous catheter drainage as primary treatment for necrotizing pancreatitis. </w:t>
      </w:r>
      <w:r w:rsidRPr="00CB49E8">
        <w:rPr>
          <w:rFonts w:ascii="Book Antiqua" w:hAnsi="Book Antiqua"/>
          <w:i/>
          <w:iCs/>
        </w:rPr>
        <w:t>Br J Surg</w:t>
      </w:r>
      <w:r w:rsidRPr="00CB49E8">
        <w:rPr>
          <w:rFonts w:ascii="Book Antiqua" w:hAnsi="Book Antiqua"/>
        </w:rPr>
        <w:t xml:space="preserve"> 2011; </w:t>
      </w:r>
      <w:r w:rsidRPr="00CB49E8">
        <w:rPr>
          <w:rFonts w:ascii="Book Antiqua" w:hAnsi="Book Antiqua"/>
          <w:b/>
          <w:bCs/>
        </w:rPr>
        <w:t>98</w:t>
      </w:r>
      <w:r w:rsidRPr="00CB49E8">
        <w:rPr>
          <w:rFonts w:ascii="Book Antiqua" w:hAnsi="Book Antiqua"/>
        </w:rPr>
        <w:t>: 18-27 [PMID: 21136562 DOI: 10.1002/bjs.7304]</w:t>
      </w:r>
    </w:p>
    <w:p w14:paraId="2546B574"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21 </w:t>
      </w:r>
      <w:r w:rsidRPr="00CB49E8">
        <w:rPr>
          <w:rFonts w:ascii="Book Antiqua" w:hAnsi="Book Antiqua"/>
          <w:b/>
          <w:bCs/>
        </w:rPr>
        <w:t>Zhang Y</w:t>
      </w:r>
      <w:r w:rsidRPr="00CB49E8">
        <w:rPr>
          <w:rFonts w:ascii="Book Antiqua" w:hAnsi="Book Antiqua"/>
        </w:rPr>
        <w:t xml:space="preserve">, Yu WQ, Zhang J, Fu SQ, Fu QH, Liang TB. Efficacy of Early Percutaneous Catheter Drainage in Acute Pancreatitis of Varying Severity Associated With Sterile Acute Inflammatory Pancreatic Fluid Collection. </w:t>
      </w:r>
      <w:r w:rsidRPr="00CB49E8">
        <w:rPr>
          <w:rFonts w:ascii="Book Antiqua" w:hAnsi="Book Antiqua"/>
          <w:i/>
          <w:iCs/>
        </w:rPr>
        <w:t>Pancreas</w:t>
      </w:r>
      <w:r w:rsidRPr="00CB49E8">
        <w:rPr>
          <w:rFonts w:ascii="Book Antiqua" w:hAnsi="Book Antiqua"/>
        </w:rPr>
        <w:t xml:space="preserve"> 2020; </w:t>
      </w:r>
      <w:r w:rsidRPr="00CB49E8">
        <w:rPr>
          <w:rFonts w:ascii="Book Antiqua" w:hAnsi="Book Antiqua"/>
          <w:b/>
          <w:bCs/>
        </w:rPr>
        <w:t>49</w:t>
      </w:r>
      <w:r w:rsidRPr="00CB49E8">
        <w:rPr>
          <w:rFonts w:ascii="Book Antiqua" w:hAnsi="Book Antiqua"/>
        </w:rPr>
        <w:t>: 1246-1254 [PMID: 33003087 DOI: 10.1097/MPA.0000000000001666]</w:t>
      </w:r>
    </w:p>
    <w:p w14:paraId="24ABF08B"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22 </w:t>
      </w:r>
      <w:r w:rsidRPr="00CB49E8">
        <w:rPr>
          <w:rFonts w:ascii="Book Antiqua" w:hAnsi="Book Antiqua"/>
          <w:b/>
          <w:bCs/>
        </w:rPr>
        <w:t>Mukund A</w:t>
      </w:r>
      <w:r w:rsidRPr="00CB49E8">
        <w:rPr>
          <w:rFonts w:ascii="Book Antiqua" w:hAnsi="Book Antiqua"/>
        </w:rPr>
        <w:t xml:space="preserve">, Singla N, Bhatia V, Arora A, Patidar Y, Sarin SK. Safety and efficacy of early image-guided percutaneous interventions in acute severe necrotizing pancreatitis: A single-center retrospective study. </w:t>
      </w:r>
      <w:r w:rsidRPr="00CB49E8">
        <w:rPr>
          <w:rFonts w:ascii="Book Antiqua" w:hAnsi="Book Antiqua"/>
          <w:i/>
          <w:iCs/>
        </w:rPr>
        <w:t>Indian J Gastroenterol</w:t>
      </w:r>
      <w:r w:rsidRPr="00CB49E8">
        <w:rPr>
          <w:rFonts w:ascii="Book Antiqua" w:hAnsi="Book Antiqua"/>
        </w:rPr>
        <w:t xml:space="preserve"> 2019; </w:t>
      </w:r>
      <w:r w:rsidRPr="00CB49E8">
        <w:rPr>
          <w:rFonts w:ascii="Book Antiqua" w:hAnsi="Book Antiqua"/>
          <w:b/>
          <w:bCs/>
        </w:rPr>
        <w:t>38</w:t>
      </w:r>
      <w:r w:rsidRPr="00CB49E8">
        <w:rPr>
          <w:rFonts w:ascii="Book Antiqua" w:hAnsi="Book Antiqua"/>
        </w:rPr>
        <w:t>: 480-487 [PMID: 32002829 DOI: 10.1007/s12664-019-00969-0]</w:t>
      </w:r>
    </w:p>
    <w:p w14:paraId="7337D052"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23 </w:t>
      </w:r>
      <w:r w:rsidRPr="00CB49E8">
        <w:rPr>
          <w:rFonts w:ascii="Book Antiqua" w:hAnsi="Book Antiqua"/>
          <w:b/>
          <w:bCs/>
        </w:rPr>
        <w:t>Ke L</w:t>
      </w:r>
      <w:r w:rsidRPr="00CB49E8">
        <w:rPr>
          <w:rFonts w:ascii="Book Antiqua" w:hAnsi="Book Antiqua"/>
        </w:rPr>
        <w:t xml:space="preserve">, Dong X, Chen T, Doig GS, Li G, Ye B, Zhou J, Xiao X, Tong Z, Li W; Chinese Acute Pancreatitis Clinical Trials Group (CAPCTG). Early on-demand drainage or standard management for acute pancreatitis patients with acute necrotic collections and </w:t>
      </w:r>
      <w:r w:rsidRPr="00CB49E8">
        <w:rPr>
          <w:rFonts w:ascii="Book Antiqua" w:hAnsi="Book Antiqua"/>
        </w:rPr>
        <w:lastRenderedPageBreak/>
        <w:t xml:space="preserve">persistent organ failure: A pilot randomized controlled trial. </w:t>
      </w:r>
      <w:r w:rsidRPr="00CB49E8">
        <w:rPr>
          <w:rFonts w:ascii="Book Antiqua" w:hAnsi="Book Antiqua"/>
          <w:i/>
          <w:iCs/>
        </w:rPr>
        <w:t>J Hepatobiliary Pancreat Sci</w:t>
      </w:r>
      <w:r w:rsidRPr="00CB49E8">
        <w:rPr>
          <w:rFonts w:ascii="Book Antiqua" w:hAnsi="Book Antiqua"/>
        </w:rPr>
        <w:t xml:space="preserve"> 2021; </w:t>
      </w:r>
      <w:r w:rsidRPr="00CB49E8">
        <w:rPr>
          <w:rFonts w:ascii="Book Antiqua" w:hAnsi="Book Antiqua"/>
          <w:b/>
          <w:bCs/>
        </w:rPr>
        <w:t>28</w:t>
      </w:r>
      <w:r w:rsidRPr="00CB49E8">
        <w:rPr>
          <w:rFonts w:ascii="Book Antiqua" w:hAnsi="Book Antiqua"/>
        </w:rPr>
        <w:t>: 387-396 [PMID: 33595879 DOI: 10.1002/jhbp.915]</w:t>
      </w:r>
    </w:p>
    <w:p w14:paraId="3F3FD319"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24 </w:t>
      </w:r>
      <w:r w:rsidRPr="00CB49E8">
        <w:rPr>
          <w:rFonts w:ascii="Book Antiqua" w:hAnsi="Book Antiqua"/>
          <w:b/>
          <w:bCs/>
        </w:rPr>
        <w:t>Qu C</w:t>
      </w:r>
      <w:r w:rsidRPr="00CB49E8">
        <w:rPr>
          <w:rFonts w:ascii="Book Antiqua" w:hAnsi="Book Antiqua"/>
        </w:rPr>
        <w:t xml:space="preserve">, Zhang H, Chen T, Zhu Y, Feng Q, Guo F, Liu Z, Cao L, Yang J, Li G, Ye B, Zhou J, Ke L, Tong Z, Windsor J, Li W; Chinese Acute Pancreatitis Clinical Trials Group(CAPCTG). Early on-demand drainage versus standard management among acute necrotizing pancreatitis patients complicated by persistent organ failure: The protocol for an open-label multi-center randomized controlled trial. </w:t>
      </w:r>
      <w:r w:rsidRPr="00CB49E8">
        <w:rPr>
          <w:rFonts w:ascii="Book Antiqua" w:hAnsi="Book Antiqua"/>
          <w:i/>
          <w:iCs/>
        </w:rPr>
        <w:t>Pancreatology</w:t>
      </w:r>
      <w:r w:rsidRPr="00CB49E8">
        <w:rPr>
          <w:rFonts w:ascii="Book Antiqua" w:hAnsi="Book Antiqua"/>
        </w:rPr>
        <w:t xml:space="preserve"> 2020; </w:t>
      </w:r>
      <w:r w:rsidRPr="00CB49E8">
        <w:rPr>
          <w:rFonts w:ascii="Book Antiqua" w:hAnsi="Book Antiqua"/>
          <w:b/>
          <w:bCs/>
        </w:rPr>
        <w:t>20</w:t>
      </w:r>
      <w:r w:rsidRPr="00CB49E8">
        <w:rPr>
          <w:rFonts w:ascii="Book Antiqua" w:hAnsi="Book Antiqua"/>
        </w:rPr>
        <w:t>: 1268-1274 [PMID: 32868182 DOI: 10.1016/j.pan.2020.08.012]</w:t>
      </w:r>
    </w:p>
    <w:p w14:paraId="0E9242E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25 </w:t>
      </w:r>
      <w:r w:rsidRPr="00CB49E8">
        <w:rPr>
          <w:rFonts w:ascii="Book Antiqua" w:hAnsi="Book Antiqua"/>
          <w:b/>
          <w:bCs/>
        </w:rPr>
        <w:t>Mehta V</w:t>
      </w:r>
      <w:r w:rsidRPr="00CB49E8">
        <w:rPr>
          <w:rFonts w:ascii="Book Antiqua" w:hAnsi="Book Antiqua"/>
        </w:rPr>
        <w:t xml:space="preserve">, Kumar R, Parkash S, Singla S, Singh A, Chaudhary J, Bains H. Role of percutaneous catheter drainage as primary treatment of necrotizing pancreatitis. </w:t>
      </w:r>
      <w:r w:rsidRPr="00CB49E8">
        <w:rPr>
          <w:rFonts w:ascii="Book Antiqua" w:hAnsi="Book Antiqua"/>
          <w:i/>
          <w:iCs/>
        </w:rPr>
        <w:t>Turk J Gastroenterol</w:t>
      </w:r>
      <w:r w:rsidRPr="00CB49E8">
        <w:rPr>
          <w:rFonts w:ascii="Book Antiqua" w:hAnsi="Book Antiqua"/>
        </w:rPr>
        <w:t xml:space="preserve"> 2019; </w:t>
      </w:r>
      <w:r w:rsidRPr="00CB49E8">
        <w:rPr>
          <w:rFonts w:ascii="Book Antiqua" w:hAnsi="Book Antiqua"/>
          <w:b/>
          <w:bCs/>
        </w:rPr>
        <w:t>30</w:t>
      </w:r>
      <w:r w:rsidRPr="00CB49E8">
        <w:rPr>
          <w:rFonts w:ascii="Book Antiqua" w:hAnsi="Book Antiqua"/>
        </w:rPr>
        <w:t>: 184-187 [PMID: 30457559 DOI: 10.5152/tjg.2018.17542]</w:t>
      </w:r>
    </w:p>
    <w:p w14:paraId="1C1E0D3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26 </w:t>
      </w:r>
      <w:r w:rsidRPr="00CB49E8">
        <w:rPr>
          <w:rFonts w:ascii="Book Antiqua" w:hAnsi="Book Antiqua"/>
          <w:b/>
          <w:bCs/>
        </w:rPr>
        <w:t>Tyberg A</w:t>
      </w:r>
      <w:r w:rsidRPr="00CB49E8">
        <w:rPr>
          <w:rFonts w:ascii="Book Antiqua" w:hAnsi="Book Antiqua"/>
        </w:rPr>
        <w:t xml:space="preserve">, Karia K, Gabr M, Desai A, Doshi R, Gaidhane M, Sharaiha RZ, Kahaleh M. Management of pancreatic fluid collections: A comprehensive review of the literature. </w:t>
      </w:r>
      <w:r w:rsidRPr="00CB49E8">
        <w:rPr>
          <w:rFonts w:ascii="Book Antiqua" w:hAnsi="Book Antiqua"/>
          <w:i/>
          <w:iCs/>
        </w:rPr>
        <w:t>World J Gastroenterol</w:t>
      </w:r>
      <w:r w:rsidRPr="00CB49E8">
        <w:rPr>
          <w:rFonts w:ascii="Book Antiqua" w:hAnsi="Book Antiqua"/>
        </w:rPr>
        <w:t xml:space="preserve"> 2016; </w:t>
      </w:r>
      <w:r w:rsidRPr="00CB49E8">
        <w:rPr>
          <w:rFonts w:ascii="Book Antiqua" w:hAnsi="Book Antiqua"/>
          <w:b/>
          <w:bCs/>
        </w:rPr>
        <w:t>22</w:t>
      </w:r>
      <w:r w:rsidRPr="00CB49E8">
        <w:rPr>
          <w:rFonts w:ascii="Book Antiqua" w:hAnsi="Book Antiqua"/>
        </w:rPr>
        <w:t>: 2256-2270 [PMID: 26900288 DOI: 10.3748/wjg.v22.i7.2256]</w:t>
      </w:r>
    </w:p>
    <w:p w14:paraId="47EE84C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27 </w:t>
      </w:r>
      <w:r w:rsidRPr="00CB49E8">
        <w:rPr>
          <w:rFonts w:ascii="Book Antiqua" w:hAnsi="Book Antiqua"/>
          <w:b/>
          <w:bCs/>
        </w:rPr>
        <w:t>Szakó L</w:t>
      </w:r>
      <w:r w:rsidRPr="00CB49E8">
        <w:rPr>
          <w:rFonts w:ascii="Book Antiqua" w:hAnsi="Book Antiqua"/>
        </w:rPr>
        <w:t xml:space="preserve">, Mátrai P, Hegyi P, Pécsi D, Gyöngyi Z, Csupor D, Bajor J, Erőss B, Mikó A, Szakács Z, Dobszai D, Meczker Á, Márta K, Rostás I, Vincze Á. Endoscopic and surgical drainage for pancreatic fluid collections are better than percutaneous drainage: Meta-analysis. </w:t>
      </w:r>
      <w:r w:rsidRPr="00CB49E8">
        <w:rPr>
          <w:rFonts w:ascii="Book Antiqua" w:hAnsi="Book Antiqua"/>
          <w:i/>
          <w:iCs/>
        </w:rPr>
        <w:t>Pancreatology</w:t>
      </w:r>
      <w:r w:rsidRPr="00CB49E8">
        <w:rPr>
          <w:rFonts w:ascii="Book Antiqua" w:hAnsi="Book Antiqua"/>
        </w:rPr>
        <w:t xml:space="preserve"> 2020; </w:t>
      </w:r>
      <w:r w:rsidRPr="00CB49E8">
        <w:rPr>
          <w:rFonts w:ascii="Book Antiqua" w:hAnsi="Book Antiqua"/>
          <w:b/>
          <w:bCs/>
        </w:rPr>
        <w:t>20</w:t>
      </w:r>
      <w:r w:rsidRPr="00CB49E8">
        <w:rPr>
          <w:rFonts w:ascii="Book Antiqua" w:hAnsi="Book Antiqua"/>
        </w:rPr>
        <w:t>: 132-141 [PMID: 31706819 DOI: 10.1016/j.pan.2019.10.006]</w:t>
      </w:r>
    </w:p>
    <w:p w14:paraId="24696352"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28 </w:t>
      </w:r>
      <w:r w:rsidRPr="00CB49E8">
        <w:rPr>
          <w:rFonts w:ascii="Book Antiqua" w:hAnsi="Book Antiqua"/>
          <w:b/>
          <w:bCs/>
        </w:rPr>
        <w:t>Wroński M</w:t>
      </w:r>
      <w:r w:rsidRPr="00CB49E8">
        <w:rPr>
          <w:rFonts w:ascii="Book Antiqua" w:hAnsi="Book Antiqua"/>
        </w:rPr>
        <w:t xml:space="preserve">, Cebulski W, Karkocha D, Słodkowski M, Wysocki L, Jankowski M, Krasnodębski IW. Ultrasound-guided percutaneous drainage of infected pancreatic necrosis. </w:t>
      </w:r>
      <w:r w:rsidRPr="00CB49E8">
        <w:rPr>
          <w:rFonts w:ascii="Book Antiqua" w:hAnsi="Book Antiqua"/>
          <w:i/>
          <w:iCs/>
        </w:rPr>
        <w:t>Surg Endosc</w:t>
      </w:r>
      <w:r w:rsidRPr="00CB49E8">
        <w:rPr>
          <w:rFonts w:ascii="Book Antiqua" w:hAnsi="Book Antiqua"/>
        </w:rPr>
        <w:t xml:space="preserve"> 2013; </w:t>
      </w:r>
      <w:r w:rsidRPr="00CB49E8">
        <w:rPr>
          <w:rFonts w:ascii="Book Antiqua" w:hAnsi="Book Antiqua"/>
          <w:b/>
          <w:bCs/>
        </w:rPr>
        <w:t>27</w:t>
      </w:r>
      <w:r w:rsidRPr="00CB49E8">
        <w:rPr>
          <w:rFonts w:ascii="Book Antiqua" w:hAnsi="Book Antiqua"/>
        </w:rPr>
        <w:t>: 2841-2848 [PMID: 23404151 DOI: 10.1007/s00464-013-2831-9]</w:t>
      </w:r>
    </w:p>
    <w:p w14:paraId="7A141920"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29 </w:t>
      </w:r>
      <w:r w:rsidRPr="00CB49E8">
        <w:rPr>
          <w:rFonts w:ascii="Book Antiqua" w:hAnsi="Book Antiqua"/>
          <w:b/>
          <w:bCs/>
        </w:rPr>
        <w:t>Sharma V</w:t>
      </w:r>
      <w:r w:rsidRPr="00CB49E8">
        <w:rPr>
          <w:rFonts w:ascii="Book Antiqua" w:hAnsi="Book Antiqua"/>
        </w:rPr>
        <w:t xml:space="preserve">, Gorsi U, Gupta R, Rana SS. Percutaneous Interventions in Acute Necrotizing Pancreatitis. </w:t>
      </w:r>
      <w:r w:rsidRPr="00CB49E8">
        <w:rPr>
          <w:rFonts w:ascii="Book Antiqua" w:hAnsi="Book Antiqua"/>
          <w:i/>
          <w:iCs/>
        </w:rPr>
        <w:t>Trop Gastroenterol</w:t>
      </w:r>
      <w:r w:rsidRPr="00CB49E8">
        <w:rPr>
          <w:rFonts w:ascii="Book Antiqua" w:hAnsi="Book Antiqua"/>
        </w:rPr>
        <w:t xml:space="preserve"> 2016; </w:t>
      </w:r>
      <w:r w:rsidRPr="00CB49E8">
        <w:rPr>
          <w:rFonts w:ascii="Book Antiqua" w:hAnsi="Book Antiqua"/>
          <w:b/>
          <w:bCs/>
        </w:rPr>
        <w:t>37</w:t>
      </w:r>
      <w:r w:rsidRPr="00CB49E8">
        <w:rPr>
          <w:rFonts w:ascii="Book Antiqua" w:hAnsi="Book Antiqua"/>
        </w:rPr>
        <w:t>: 4-18 [PMID: 29668172 DOI: 10.7869/tg.314]</w:t>
      </w:r>
    </w:p>
    <w:p w14:paraId="7014E6BE"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30 </w:t>
      </w:r>
      <w:r w:rsidRPr="00CB49E8">
        <w:rPr>
          <w:rFonts w:ascii="Book Antiqua" w:hAnsi="Book Antiqua"/>
          <w:b/>
          <w:bCs/>
        </w:rPr>
        <w:t>Ke L</w:t>
      </w:r>
      <w:r w:rsidRPr="00CB49E8">
        <w:rPr>
          <w:rFonts w:ascii="Book Antiqua" w:hAnsi="Book Antiqua"/>
        </w:rPr>
        <w:t xml:space="preserve">, Li J, Hu P, Wang L, Chen H, Zhu Y. Percutaneous Catheter Drainage in Infected Pancreatitis Necrosis: a Systematic Review. </w:t>
      </w:r>
      <w:r w:rsidRPr="00CB49E8">
        <w:rPr>
          <w:rFonts w:ascii="Book Antiqua" w:hAnsi="Book Antiqua"/>
          <w:i/>
          <w:iCs/>
        </w:rPr>
        <w:t>Indian J Surg</w:t>
      </w:r>
      <w:r w:rsidRPr="00CB49E8">
        <w:rPr>
          <w:rFonts w:ascii="Book Antiqua" w:hAnsi="Book Antiqua"/>
        </w:rPr>
        <w:t xml:space="preserve"> 2016; </w:t>
      </w:r>
      <w:r w:rsidRPr="00CB49E8">
        <w:rPr>
          <w:rFonts w:ascii="Book Antiqua" w:hAnsi="Book Antiqua"/>
          <w:b/>
          <w:bCs/>
        </w:rPr>
        <w:t>78</w:t>
      </w:r>
      <w:r w:rsidRPr="00CB49E8">
        <w:rPr>
          <w:rFonts w:ascii="Book Antiqua" w:hAnsi="Book Antiqua"/>
        </w:rPr>
        <w:t>: 221-228 [PMID: 27358518 DOI: 10.1007/s12262-016-1495-9]</w:t>
      </w:r>
    </w:p>
    <w:p w14:paraId="6CE50C9E" w14:textId="77777777" w:rsidR="003A065D" w:rsidRPr="00CB49E8" w:rsidRDefault="003A065D" w:rsidP="003A065D">
      <w:pPr>
        <w:spacing w:line="360" w:lineRule="auto"/>
        <w:jc w:val="both"/>
        <w:rPr>
          <w:rFonts w:ascii="Book Antiqua" w:hAnsi="Book Antiqua"/>
        </w:rPr>
      </w:pPr>
      <w:r w:rsidRPr="00CB49E8">
        <w:rPr>
          <w:rFonts w:ascii="Book Antiqua" w:hAnsi="Book Antiqua"/>
        </w:rPr>
        <w:lastRenderedPageBreak/>
        <w:t xml:space="preserve">31 </w:t>
      </w:r>
      <w:r w:rsidRPr="00CB49E8">
        <w:rPr>
          <w:rFonts w:ascii="Book Antiqua" w:hAnsi="Book Antiqua"/>
          <w:b/>
          <w:bCs/>
        </w:rPr>
        <w:t>Bruennler T</w:t>
      </w:r>
      <w:r w:rsidRPr="00CB49E8">
        <w:rPr>
          <w:rFonts w:ascii="Book Antiqua" w:hAnsi="Book Antiqua"/>
        </w:rPr>
        <w:t xml:space="preserve">, Langgartner J, Lang S, Wrede CE, Klebl F, Zierhut S, Siebig S, Mandraka F, Rockmann F, Salzberger B, Feuerbach S, Schoelmerich J, Hamer OW. Outcome of patients with acute, necrotizing pancreatitis requiring drainage-does drainage size matter? </w:t>
      </w:r>
      <w:r w:rsidRPr="00CB49E8">
        <w:rPr>
          <w:rFonts w:ascii="Book Antiqua" w:hAnsi="Book Antiqua"/>
          <w:i/>
          <w:iCs/>
        </w:rPr>
        <w:t>World J Gastroenterol</w:t>
      </w:r>
      <w:r w:rsidRPr="00CB49E8">
        <w:rPr>
          <w:rFonts w:ascii="Book Antiqua" w:hAnsi="Book Antiqua"/>
        </w:rPr>
        <w:t xml:space="preserve"> 2008; </w:t>
      </w:r>
      <w:r w:rsidRPr="00CB49E8">
        <w:rPr>
          <w:rFonts w:ascii="Book Antiqua" w:hAnsi="Book Antiqua"/>
          <w:b/>
          <w:bCs/>
        </w:rPr>
        <w:t>14</w:t>
      </w:r>
      <w:r w:rsidRPr="00CB49E8">
        <w:rPr>
          <w:rFonts w:ascii="Book Antiqua" w:hAnsi="Book Antiqua"/>
        </w:rPr>
        <w:t>: 725-730 [PMID: 18205262 DOI: 10.3748/wjg.14.725]</w:t>
      </w:r>
    </w:p>
    <w:p w14:paraId="2A220482"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32 </w:t>
      </w:r>
      <w:r w:rsidRPr="00CB49E8">
        <w:rPr>
          <w:rFonts w:ascii="Book Antiqua" w:hAnsi="Book Antiqua"/>
          <w:b/>
          <w:bCs/>
        </w:rPr>
        <w:t>Gupta P</w:t>
      </w:r>
      <w:r w:rsidRPr="00CB49E8">
        <w:rPr>
          <w:rFonts w:ascii="Book Antiqua" w:hAnsi="Book Antiqua"/>
        </w:rPr>
        <w:t xml:space="preserve">, Koshi S, Samanta J, Mandavdhare H, Sharma V, K Sinha S, Dutta U, Kochhar R. Kissing catheter technique for percutaneous catheter drainage of necrotic pancreatic collections in acute pancreatitis. </w:t>
      </w:r>
      <w:r w:rsidRPr="00CB49E8">
        <w:rPr>
          <w:rFonts w:ascii="Book Antiqua" w:hAnsi="Book Antiqua"/>
          <w:i/>
          <w:iCs/>
        </w:rPr>
        <w:t>Exp Ther Med</w:t>
      </w:r>
      <w:r w:rsidRPr="00CB49E8">
        <w:rPr>
          <w:rFonts w:ascii="Book Antiqua" w:hAnsi="Book Antiqua"/>
        </w:rPr>
        <w:t xml:space="preserve"> 2020; </w:t>
      </w:r>
      <w:r w:rsidRPr="00CB49E8">
        <w:rPr>
          <w:rFonts w:ascii="Book Antiqua" w:hAnsi="Book Antiqua"/>
          <w:b/>
          <w:bCs/>
        </w:rPr>
        <w:t>20</w:t>
      </w:r>
      <w:r w:rsidRPr="00CB49E8">
        <w:rPr>
          <w:rFonts w:ascii="Book Antiqua" w:hAnsi="Book Antiqua"/>
        </w:rPr>
        <w:t>: 2311-2316 [PMID: 32765710 DOI: 10.3892/etm.2020.8897]</w:t>
      </w:r>
    </w:p>
    <w:p w14:paraId="7613B37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33 </w:t>
      </w:r>
      <w:r w:rsidRPr="00CB49E8">
        <w:rPr>
          <w:rFonts w:ascii="Book Antiqua" w:hAnsi="Book Antiqua"/>
          <w:b/>
          <w:bCs/>
        </w:rPr>
        <w:t>Liu WH</w:t>
      </w:r>
      <w:r w:rsidRPr="00CB49E8">
        <w:rPr>
          <w:rFonts w:ascii="Book Antiqua" w:hAnsi="Book Antiqua"/>
        </w:rPr>
        <w:t xml:space="preserve">, Wang T, Yan HT, Chen T, Xu C, Ye P, Zhang N, Liu ZC, Tang LJ. Predictors of percutaneous catheter drainage (PCD) after abdominal paracentesis drainage (APD) in patients with moderately severe or severe acute pancreatitis along with fluid collections. </w:t>
      </w:r>
      <w:r w:rsidRPr="00CB49E8">
        <w:rPr>
          <w:rFonts w:ascii="Book Antiqua" w:hAnsi="Book Antiqua"/>
          <w:i/>
          <w:iCs/>
        </w:rPr>
        <w:t>PLoS One</w:t>
      </w:r>
      <w:r w:rsidRPr="00CB49E8">
        <w:rPr>
          <w:rFonts w:ascii="Book Antiqua" w:hAnsi="Book Antiqua"/>
        </w:rPr>
        <w:t xml:space="preserve"> 2015; </w:t>
      </w:r>
      <w:r w:rsidRPr="00CB49E8">
        <w:rPr>
          <w:rFonts w:ascii="Book Antiqua" w:hAnsi="Book Antiqua"/>
          <w:b/>
          <w:bCs/>
        </w:rPr>
        <w:t>10</w:t>
      </w:r>
      <w:r w:rsidRPr="00CB49E8">
        <w:rPr>
          <w:rFonts w:ascii="Book Antiqua" w:hAnsi="Book Antiqua"/>
        </w:rPr>
        <w:t>: e0115348 [PMID: 25659143 DOI: 10.1371/journal.pone.0115348]</w:t>
      </w:r>
    </w:p>
    <w:p w14:paraId="6CD98817"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34 </w:t>
      </w:r>
      <w:r w:rsidRPr="00CB49E8">
        <w:rPr>
          <w:rFonts w:ascii="Book Antiqua" w:hAnsi="Book Antiqua"/>
          <w:b/>
          <w:bCs/>
        </w:rPr>
        <w:t>Roberts DG</w:t>
      </w:r>
      <w:r w:rsidRPr="00CB49E8">
        <w:rPr>
          <w:rFonts w:ascii="Book Antiqua" w:hAnsi="Book Antiqua"/>
        </w:rPr>
        <w:t xml:space="preserve">, Goudie MJ, Kim AJ, Kim H, Khademhosseini A, McWilliams JP. Novel Dual-Lumen Drainage Catheter to Enhance the Active Evacuation of Complex Fluid Collections. </w:t>
      </w:r>
      <w:r w:rsidRPr="00CB49E8">
        <w:rPr>
          <w:rFonts w:ascii="Book Antiqua" w:hAnsi="Book Antiqua"/>
          <w:i/>
          <w:iCs/>
        </w:rPr>
        <w:t>J Vasc Interv Radiol</w:t>
      </w:r>
      <w:r w:rsidRPr="00CB49E8">
        <w:rPr>
          <w:rFonts w:ascii="Book Antiqua" w:hAnsi="Book Antiqua"/>
        </w:rPr>
        <w:t xml:space="preserve"> 2021; </w:t>
      </w:r>
      <w:r w:rsidRPr="00CB49E8">
        <w:rPr>
          <w:rFonts w:ascii="Book Antiqua" w:hAnsi="Book Antiqua"/>
          <w:b/>
          <w:bCs/>
        </w:rPr>
        <w:t>32</w:t>
      </w:r>
      <w:r w:rsidRPr="00CB49E8">
        <w:rPr>
          <w:rFonts w:ascii="Book Antiqua" w:hAnsi="Book Antiqua"/>
        </w:rPr>
        <w:t>: 882-889 [PMID: 33689833 DOI: 10.1016/j.jvir.2021.02.024]</w:t>
      </w:r>
    </w:p>
    <w:p w14:paraId="7046D7D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35 </w:t>
      </w:r>
      <w:r w:rsidRPr="00CB49E8">
        <w:rPr>
          <w:rFonts w:ascii="Book Antiqua" w:hAnsi="Book Antiqua"/>
          <w:b/>
          <w:bCs/>
        </w:rPr>
        <w:t>Kohli P</w:t>
      </w:r>
      <w:r w:rsidRPr="00CB49E8">
        <w:rPr>
          <w:rFonts w:ascii="Book Antiqua" w:hAnsi="Book Antiqua"/>
        </w:rPr>
        <w:t xml:space="preserve">, Gupta V, Kochhar R, Yadav TD, Sinha SK, Lal A. Lavage through percutaneous catheter drains in severe acute pancreatitis: Does it help?A randomized control trial. </w:t>
      </w:r>
      <w:r w:rsidRPr="00CB49E8">
        <w:rPr>
          <w:rFonts w:ascii="Book Antiqua" w:hAnsi="Book Antiqua"/>
          <w:i/>
          <w:iCs/>
        </w:rPr>
        <w:t>Pancreatology</w:t>
      </w:r>
      <w:r w:rsidRPr="00CB49E8">
        <w:rPr>
          <w:rFonts w:ascii="Book Antiqua" w:hAnsi="Book Antiqua"/>
        </w:rPr>
        <w:t xml:space="preserve"> 2019; </w:t>
      </w:r>
      <w:r w:rsidRPr="00CB49E8">
        <w:rPr>
          <w:rFonts w:ascii="Book Antiqua" w:hAnsi="Book Antiqua"/>
          <w:b/>
          <w:bCs/>
        </w:rPr>
        <w:t>19</w:t>
      </w:r>
      <w:r w:rsidRPr="00CB49E8">
        <w:rPr>
          <w:rFonts w:ascii="Book Antiqua" w:hAnsi="Book Antiqua"/>
        </w:rPr>
        <w:t>: 929-934 [PMID: 31521496 DOI: 10.1016/j.pan.2019.09.003]</w:t>
      </w:r>
    </w:p>
    <w:p w14:paraId="68D3F659"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36 </w:t>
      </w:r>
      <w:r w:rsidRPr="00CB49E8">
        <w:rPr>
          <w:rFonts w:ascii="Book Antiqua" w:hAnsi="Book Antiqua"/>
          <w:b/>
          <w:bCs/>
        </w:rPr>
        <w:t>Werge M</w:t>
      </w:r>
      <w:r w:rsidRPr="00CB49E8">
        <w:rPr>
          <w:rFonts w:ascii="Book Antiqua" w:hAnsi="Book Antiqua"/>
        </w:rPr>
        <w:t xml:space="preserve">, Novovic S, Roug S, Knudsen JD, Feldager E, Gluud LL, Schmidt PN. Evaluation of local instillation of antibiotics in infected walled-off pancreatic necrosis. </w:t>
      </w:r>
      <w:r w:rsidRPr="00CB49E8">
        <w:rPr>
          <w:rFonts w:ascii="Book Antiqua" w:hAnsi="Book Antiqua"/>
          <w:i/>
          <w:iCs/>
        </w:rPr>
        <w:t>Pancreatology</w:t>
      </w:r>
      <w:r w:rsidRPr="00CB49E8">
        <w:rPr>
          <w:rFonts w:ascii="Book Antiqua" w:hAnsi="Book Antiqua"/>
        </w:rPr>
        <w:t xml:space="preserve"> 2018; </w:t>
      </w:r>
      <w:r w:rsidRPr="00CB49E8">
        <w:rPr>
          <w:rFonts w:ascii="Book Antiqua" w:hAnsi="Book Antiqua"/>
          <w:b/>
          <w:bCs/>
        </w:rPr>
        <w:t>18</w:t>
      </w:r>
      <w:r w:rsidRPr="00CB49E8">
        <w:rPr>
          <w:rFonts w:ascii="Book Antiqua" w:hAnsi="Book Antiqua"/>
        </w:rPr>
        <w:t>: 642-646 [PMID: 29958817 DOI: 10.1016/j.pan.2018.06.005]</w:t>
      </w:r>
    </w:p>
    <w:p w14:paraId="269EB609"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37 </w:t>
      </w:r>
      <w:r w:rsidRPr="00CB49E8">
        <w:rPr>
          <w:rFonts w:ascii="Book Antiqua" w:hAnsi="Book Antiqua"/>
          <w:b/>
          <w:bCs/>
        </w:rPr>
        <w:t>Bhargava V</w:t>
      </w:r>
      <w:r w:rsidRPr="00CB49E8">
        <w:rPr>
          <w:rFonts w:ascii="Book Antiqua" w:hAnsi="Book Antiqua"/>
        </w:rPr>
        <w:t xml:space="preserve">, Gupta R, Vaswani P, Jha B, Rana SS, Gorsi U, Kang M, Gupta R. Streptokinase irrigation through a percutaneous catheter helps decrease the need for necrosectomy and reduces mortality in necrotizing pancreatitis as part of a step-up approach. </w:t>
      </w:r>
      <w:r w:rsidRPr="00CB49E8">
        <w:rPr>
          <w:rFonts w:ascii="Book Antiqua" w:hAnsi="Book Antiqua"/>
          <w:i/>
          <w:iCs/>
        </w:rPr>
        <w:t>Surgery</w:t>
      </w:r>
      <w:r w:rsidRPr="00CB49E8">
        <w:rPr>
          <w:rFonts w:ascii="Book Antiqua" w:hAnsi="Book Antiqua"/>
        </w:rPr>
        <w:t xml:space="preserve"> 2021; </w:t>
      </w:r>
      <w:r w:rsidRPr="00CB49E8">
        <w:rPr>
          <w:rFonts w:ascii="Book Antiqua" w:hAnsi="Book Antiqua"/>
          <w:b/>
          <w:bCs/>
        </w:rPr>
        <w:t>170</w:t>
      </w:r>
      <w:r w:rsidRPr="00CB49E8">
        <w:rPr>
          <w:rFonts w:ascii="Book Antiqua" w:hAnsi="Book Antiqua"/>
        </w:rPr>
        <w:t>: 1532-1537 [PMID: 34127302 DOI: 10.1016/j.surg.2021.05.028]</w:t>
      </w:r>
    </w:p>
    <w:p w14:paraId="31BA3ADB" w14:textId="77777777" w:rsidR="003A065D" w:rsidRPr="00CB49E8" w:rsidRDefault="003A065D" w:rsidP="003A065D">
      <w:pPr>
        <w:spacing w:line="360" w:lineRule="auto"/>
        <w:jc w:val="both"/>
        <w:rPr>
          <w:rFonts w:ascii="Book Antiqua" w:hAnsi="Book Antiqua"/>
        </w:rPr>
      </w:pPr>
      <w:r w:rsidRPr="00CB49E8">
        <w:rPr>
          <w:rFonts w:ascii="Book Antiqua" w:hAnsi="Book Antiqua"/>
        </w:rPr>
        <w:lastRenderedPageBreak/>
        <w:t xml:space="preserve">38 </w:t>
      </w:r>
      <w:r w:rsidRPr="00CB49E8">
        <w:rPr>
          <w:rFonts w:ascii="Book Antiqua" w:hAnsi="Book Antiqua"/>
          <w:b/>
          <w:bCs/>
        </w:rPr>
        <w:t>Bhargava MV</w:t>
      </w:r>
      <w:r w:rsidRPr="00CB49E8">
        <w:rPr>
          <w:rFonts w:ascii="Book Antiqua" w:hAnsi="Book Antiqua"/>
        </w:rPr>
        <w:t>, Rana SS, Gorsi U, Kang M, Gupta R. Assessing the Efficacy and Outcomes Following Irrigation with Streptokinase Versus Hydrogen Peroxide in Necrotizing Pancreatitis: A Randomized Pilot Study. Dig Dis Sci 2021 [PMID: 34405362 DOI:10.1007/s10620-021-07201-0]</w:t>
      </w:r>
    </w:p>
    <w:p w14:paraId="5070B741"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39 </w:t>
      </w:r>
      <w:r w:rsidRPr="00CB49E8">
        <w:rPr>
          <w:rFonts w:ascii="Book Antiqua" w:hAnsi="Book Antiqua"/>
          <w:b/>
          <w:bCs/>
        </w:rPr>
        <w:t>Liu WH</w:t>
      </w:r>
      <w:r w:rsidRPr="00CB49E8">
        <w:rPr>
          <w:rFonts w:ascii="Book Antiqua" w:hAnsi="Book Antiqua"/>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r w:rsidRPr="00CB49E8">
        <w:rPr>
          <w:rFonts w:ascii="Book Antiqua" w:hAnsi="Book Antiqua"/>
          <w:i/>
          <w:iCs/>
        </w:rPr>
        <w:t>Crit Care Med</w:t>
      </w:r>
      <w:r w:rsidRPr="00CB49E8">
        <w:rPr>
          <w:rFonts w:ascii="Book Antiqua" w:hAnsi="Book Antiqua"/>
        </w:rPr>
        <w:t xml:space="preserve"> 2015; </w:t>
      </w:r>
      <w:r w:rsidRPr="00CB49E8">
        <w:rPr>
          <w:rFonts w:ascii="Book Antiqua" w:hAnsi="Book Antiqua"/>
          <w:b/>
          <w:bCs/>
        </w:rPr>
        <w:t>43</w:t>
      </w:r>
      <w:r w:rsidRPr="00CB49E8">
        <w:rPr>
          <w:rFonts w:ascii="Book Antiqua" w:hAnsi="Book Antiqua"/>
        </w:rPr>
        <w:t>: 109-119 [PMID: 25251762 DOI: 10.1097/CCM.0000000000000606]</w:t>
      </w:r>
    </w:p>
    <w:p w14:paraId="0F330E56"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40 </w:t>
      </w:r>
      <w:r w:rsidRPr="00CB49E8">
        <w:rPr>
          <w:rFonts w:ascii="Book Antiqua" w:hAnsi="Book Antiqua"/>
          <w:b/>
          <w:bCs/>
        </w:rPr>
        <w:t>Zerem E</w:t>
      </w:r>
      <w:r w:rsidRPr="00CB49E8">
        <w:rPr>
          <w:rFonts w:ascii="Book Antiqua" w:hAnsi="Book Antiqua"/>
        </w:rPr>
        <w:t xml:space="preserve">, Kunosić S, Zerem D, Boloban A, Zerem O, Zlomužica E. Benefits of abdominal paracentesis drainage performed ahead of percutaneous catheter drainage as a modification of the step-up approach in acute pancreatitis with fluid collections. </w:t>
      </w:r>
      <w:r w:rsidRPr="00CB49E8">
        <w:rPr>
          <w:rFonts w:ascii="Book Antiqua" w:hAnsi="Book Antiqua"/>
          <w:i/>
          <w:iCs/>
        </w:rPr>
        <w:t>Acta Gastroenterol Belg</w:t>
      </w:r>
      <w:r w:rsidRPr="00CB49E8">
        <w:rPr>
          <w:rFonts w:ascii="Book Antiqua" w:hAnsi="Book Antiqua"/>
        </w:rPr>
        <w:t xml:space="preserve"> 2020; </w:t>
      </w:r>
      <w:r w:rsidRPr="00CB49E8">
        <w:rPr>
          <w:rFonts w:ascii="Book Antiqua" w:hAnsi="Book Antiqua"/>
          <w:b/>
          <w:bCs/>
        </w:rPr>
        <w:t>83</w:t>
      </w:r>
      <w:r w:rsidRPr="00CB49E8">
        <w:rPr>
          <w:rFonts w:ascii="Book Antiqua" w:hAnsi="Book Antiqua"/>
        </w:rPr>
        <w:t>: 285-293 [PMID: 32603048]</w:t>
      </w:r>
    </w:p>
    <w:p w14:paraId="34B9A4ED"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41 </w:t>
      </w:r>
      <w:r w:rsidRPr="00CB49E8">
        <w:rPr>
          <w:rFonts w:ascii="Book Antiqua" w:hAnsi="Book Antiqua"/>
          <w:b/>
          <w:bCs/>
        </w:rPr>
        <w:t>Liu L</w:t>
      </w:r>
      <w:r w:rsidRPr="00CB49E8">
        <w:rPr>
          <w:rFonts w:ascii="Book Antiqua" w:hAnsi="Book Antiqua"/>
        </w:rPr>
        <w:t xml:space="preserve">, Yan H, Liu W, Cui J, Wang T, Dai R, Liang H, Luo H, Tang L. Abdominal Paracentesis Drainage Does Not Increase Infection in Severe Acute Pancreatitis: A Prospective Study. </w:t>
      </w:r>
      <w:r w:rsidRPr="00CB49E8">
        <w:rPr>
          <w:rFonts w:ascii="Book Antiqua" w:hAnsi="Book Antiqua"/>
          <w:i/>
          <w:iCs/>
        </w:rPr>
        <w:t>J Clin Gastroenterol</w:t>
      </w:r>
      <w:r w:rsidRPr="00CB49E8">
        <w:rPr>
          <w:rFonts w:ascii="Book Antiqua" w:hAnsi="Book Antiqua"/>
        </w:rPr>
        <w:t xml:space="preserve"> 2015; </w:t>
      </w:r>
      <w:r w:rsidRPr="00CB49E8">
        <w:rPr>
          <w:rFonts w:ascii="Book Antiqua" w:hAnsi="Book Antiqua"/>
          <w:b/>
          <w:bCs/>
        </w:rPr>
        <w:t>49</w:t>
      </w:r>
      <w:r w:rsidRPr="00CB49E8">
        <w:rPr>
          <w:rFonts w:ascii="Book Antiqua" w:hAnsi="Book Antiqua"/>
        </w:rPr>
        <w:t>: 757-763 [PMID: 26053169 DOI: 10.1097/MCG.0000000000000358]</w:t>
      </w:r>
    </w:p>
    <w:p w14:paraId="50F8EDF7"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42 </w:t>
      </w:r>
      <w:r w:rsidRPr="00CB49E8">
        <w:rPr>
          <w:rFonts w:ascii="Book Antiqua" w:hAnsi="Book Antiqua"/>
          <w:b/>
          <w:bCs/>
        </w:rPr>
        <w:t>Wang T</w:t>
      </w:r>
      <w:r w:rsidRPr="00CB49E8">
        <w:rPr>
          <w:rFonts w:ascii="Book Antiqua" w:hAnsi="Book Antiqua"/>
        </w:rPr>
        <w:t xml:space="preserve">, Liu LY, Luo H, Dai RW, Liang HY, Chen T, Yan HT, Cui JF, Li NL, Yang W, Liu WH, Tang LJ. Intra-Abdominal Pressure Reduction After Percutaneous Catheter Drainage Is a Protective Factor for Severe Pancreatitis Patients With Sterile Fluid Collections. </w:t>
      </w:r>
      <w:r w:rsidRPr="00CB49E8">
        <w:rPr>
          <w:rFonts w:ascii="Book Antiqua" w:hAnsi="Book Antiqua"/>
          <w:i/>
          <w:iCs/>
        </w:rPr>
        <w:t>Pancreas</w:t>
      </w:r>
      <w:r w:rsidRPr="00CB49E8">
        <w:rPr>
          <w:rFonts w:ascii="Book Antiqua" w:hAnsi="Book Antiqua"/>
        </w:rPr>
        <w:t xml:space="preserve"> 2016; </w:t>
      </w:r>
      <w:r w:rsidRPr="00CB49E8">
        <w:rPr>
          <w:rFonts w:ascii="Book Antiqua" w:hAnsi="Book Antiqua"/>
          <w:b/>
          <w:bCs/>
        </w:rPr>
        <w:t>45</w:t>
      </w:r>
      <w:r w:rsidRPr="00CB49E8">
        <w:rPr>
          <w:rFonts w:ascii="Book Antiqua" w:hAnsi="Book Antiqua"/>
        </w:rPr>
        <w:t>: 127-133 [PMID: 26390416 DOI: 10.1097/MPA.0000000000000420]</w:t>
      </w:r>
    </w:p>
    <w:p w14:paraId="78CDFCB6"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43 </w:t>
      </w:r>
      <w:r w:rsidRPr="00CB49E8">
        <w:rPr>
          <w:rFonts w:ascii="Book Antiqua" w:hAnsi="Book Antiqua"/>
          <w:b/>
          <w:bCs/>
        </w:rPr>
        <w:t>Lu Z</w:t>
      </w:r>
      <w:r w:rsidRPr="00CB49E8">
        <w:rPr>
          <w:rFonts w:ascii="Book Antiqua" w:hAnsi="Book Antiqua"/>
        </w:rPr>
        <w:t xml:space="preserve">, Zhu X, Hua T, Zhang J, Xiao W, Jia D, Yang M. Efficacy and safety of abdominal paracentesis drainage on patients with acute pancreatitis: a systematic review and meta-analysis. </w:t>
      </w:r>
      <w:r w:rsidRPr="00CB49E8">
        <w:rPr>
          <w:rFonts w:ascii="Book Antiqua" w:hAnsi="Book Antiqua"/>
          <w:i/>
          <w:iCs/>
        </w:rPr>
        <w:t>BMJ Open</w:t>
      </w:r>
      <w:r w:rsidRPr="00CB49E8">
        <w:rPr>
          <w:rFonts w:ascii="Book Antiqua" w:hAnsi="Book Antiqua"/>
        </w:rPr>
        <w:t xml:space="preserve"> 2021; </w:t>
      </w:r>
      <w:r w:rsidRPr="00CB49E8">
        <w:rPr>
          <w:rFonts w:ascii="Book Antiqua" w:hAnsi="Book Antiqua"/>
          <w:b/>
          <w:bCs/>
        </w:rPr>
        <w:t>11</w:t>
      </w:r>
      <w:r w:rsidRPr="00CB49E8">
        <w:rPr>
          <w:rFonts w:ascii="Book Antiqua" w:hAnsi="Book Antiqua"/>
        </w:rPr>
        <w:t>: e045031 [PMID: 34373293 DOI: 10.1136/bmjopen-2020-045031]</w:t>
      </w:r>
    </w:p>
    <w:p w14:paraId="1164C61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44 </w:t>
      </w:r>
      <w:r w:rsidRPr="00CB49E8">
        <w:rPr>
          <w:rFonts w:ascii="Book Antiqua" w:hAnsi="Book Antiqua"/>
          <w:b/>
          <w:bCs/>
        </w:rPr>
        <w:t>Gluck M</w:t>
      </w:r>
      <w:r w:rsidRPr="00CB49E8">
        <w:rPr>
          <w:rFonts w:ascii="Book Antiqua" w:hAnsi="Book Antiqua"/>
        </w:rPr>
        <w:t xml:space="preserve">, Ross A, Irani S, Lin O, Gan SI, Fotoohi M, Hauptmann E, Crane R, Siegal J, Robinson DH, Traverso LW, Kozarek RA. Dual modality drainage for symptomatic walled-off pancreatic necrosis reduces length of hospitalization, radiological procedures, </w:t>
      </w:r>
      <w:r w:rsidRPr="00CB49E8">
        <w:rPr>
          <w:rFonts w:ascii="Book Antiqua" w:hAnsi="Book Antiqua"/>
        </w:rPr>
        <w:lastRenderedPageBreak/>
        <w:t xml:space="preserve">and number of endoscopies compared to standard percutaneous drainage. </w:t>
      </w:r>
      <w:r w:rsidRPr="00CB49E8">
        <w:rPr>
          <w:rFonts w:ascii="Book Antiqua" w:hAnsi="Book Antiqua"/>
          <w:i/>
          <w:iCs/>
        </w:rPr>
        <w:t>J Gastrointest Surg</w:t>
      </w:r>
      <w:r w:rsidRPr="00CB49E8">
        <w:rPr>
          <w:rFonts w:ascii="Book Antiqua" w:hAnsi="Book Antiqua"/>
        </w:rPr>
        <w:t xml:space="preserve"> 2012; </w:t>
      </w:r>
      <w:r w:rsidRPr="00CB49E8">
        <w:rPr>
          <w:rFonts w:ascii="Book Antiqua" w:hAnsi="Book Antiqua"/>
          <w:b/>
          <w:bCs/>
        </w:rPr>
        <w:t>16</w:t>
      </w:r>
      <w:r w:rsidRPr="00CB49E8">
        <w:rPr>
          <w:rFonts w:ascii="Book Antiqua" w:hAnsi="Book Antiqua"/>
        </w:rPr>
        <w:t>: 248-56; discussion 256-7 [PMID: 22125167 DOI: 10.1007/s11605-011-1759-4]</w:t>
      </w:r>
    </w:p>
    <w:p w14:paraId="6210DA8A"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45 </w:t>
      </w:r>
      <w:r w:rsidRPr="00CB49E8">
        <w:rPr>
          <w:rFonts w:ascii="Book Antiqua" w:hAnsi="Book Antiqua"/>
          <w:b/>
          <w:bCs/>
        </w:rPr>
        <w:t>Ross AS</w:t>
      </w:r>
      <w:r w:rsidRPr="00CB49E8">
        <w:rPr>
          <w:rFonts w:ascii="Book Antiqua" w:hAnsi="Book Antiqua"/>
        </w:rPr>
        <w:t xml:space="preserve">, Irani S, Gan SI, Rocha F, Siegal J, Fotoohi M, Hauptmann E, Robinson D, Crane R, Kozarek R, Gluck M. Dual-modality drainage of infected and symptomatic walled-off pancreatic necrosis: long-term clinical outcomes. </w:t>
      </w:r>
      <w:r w:rsidRPr="00CB49E8">
        <w:rPr>
          <w:rFonts w:ascii="Book Antiqua" w:hAnsi="Book Antiqua"/>
          <w:i/>
          <w:iCs/>
        </w:rPr>
        <w:t>Gastrointest Endosc</w:t>
      </w:r>
      <w:r w:rsidRPr="00CB49E8">
        <w:rPr>
          <w:rFonts w:ascii="Book Antiqua" w:hAnsi="Book Antiqua"/>
        </w:rPr>
        <w:t xml:space="preserve"> 2014; </w:t>
      </w:r>
      <w:r w:rsidRPr="00CB49E8">
        <w:rPr>
          <w:rFonts w:ascii="Book Antiqua" w:hAnsi="Book Antiqua"/>
          <w:b/>
          <w:bCs/>
        </w:rPr>
        <w:t>79</w:t>
      </w:r>
      <w:r w:rsidRPr="00CB49E8">
        <w:rPr>
          <w:rFonts w:ascii="Book Antiqua" w:hAnsi="Book Antiqua"/>
        </w:rPr>
        <w:t>: 929-935 [PMID: 24246792 DOI: 10.1016/j.gie.2013.10.014]</w:t>
      </w:r>
    </w:p>
    <w:p w14:paraId="3B9CCD14"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46 </w:t>
      </w:r>
      <w:r w:rsidRPr="00CB49E8">
        <w:rPr>
          <w:rFonts w:ascii="Book Antiqua" w:hAnsi="Book Antiqua"/>
          <w:b/>
          <w:bCs/>
        </w:rPr>
        <w:t>Mallick B</w:t>
      </w:r>
      <w:r w:rsidRPr="00CB49E8">
        <w:rPr>
          <w:rFonts w:ascii="Book Antiqua" w:hAnsi="Book Antiqua"/>
        </w:rPr>
        <w:t xml:space="preserve">, Tomer S, Arora SK, Lal A, Dhaka N, Samanta J, Sinha SK, Gupta V, Yadav TD, Kochhar R. Change in serum levels of inflammatory markers reflects response of percutaneous catheter drainage in symptomatic fluid collections in patients with acute pancreatitis. </w:t>
      </w:r>
      <w:r w:rsidRPr="00CB49E8">
        <w:rPr>
          <w:rFonts w:ascii="Book Antiqua" w:hAnsi="Book Antiqua"/>
          <w:i/>
          <w:iCs/>
        </w:rPr>
        <w:t>JGH Open</w:t>
      </w:r>
      <w:r w:rsidRPr="00CB49E8">
        <w:rPr>
          <w:rFonts w:ascii="Book Antiqua" w:hAnsi="Book Antiqua"/>
        </w:rPr>
        <w:t xml:space="preserve"> 2019; </w:t>
      </w:r>
      <w:r w:rsidRPr="00CB49E8">
        <w:rPr>
          <w:rFonts w:ascii="Book Antiqua" w:hAnsi="Book Antiqua"/>
          <w:b/>
          <w:bCs/>
        </w:rPr>
        <w:t>3</w:t>
      </w:r>
      <w:r w:rsidRPr="00CB49E8">
        <w:rPr>
          <w:rFonts w:ascii="Book Antiqua" w:hAnsi="Book Antiqua"/>
        </w:rPr>
        <w:t>: 295-301 [PMID: 31406922 DOI: 10.1002/jgh3.12158]</w:t>
      </w:r>
    </w:p>
    <w:p w14:paraId="09745628"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47 </w:t>
      </w:r>
      <w:r w:rsidRPr="00CB49E8">
        <w:rPr>
          <w:rFonts w:ascii="Book Antiqua" w:hAnsi="Book Antiqua"/>
          <w:b/>
          <w:bCs/>
        </w:rPr>
        <w:t>Guo Q</w:t>
      </w:r>
      <w:r w:rsidRPr="00CB49E8">
        <w:rPr>
          <w:rFonts w:ascii="Book Antiqua" w:hAnsi="Book Antiqua"/>
        </w:rPr>
        <w:t xml:space="preserve">, Li A, Hu W. Predictive factors for successful ultrasound-guided percutaneous drainage in necrotizing pancreatitis. </w:t>
      </w:r>
      <w:r w:rsidRPr="00CB49E8">
        <w:rPr>
          <w:rFonts w:ascii="Book Antiqua" w:hAnsi="Book Antiqua"/>
          <w:i/>
          <w:iCs/>
        </w:rPr>
        <w:t>Surg Endosc</w:t>
      </w:r>
      <w:r w:rsidRPr="00CB49E8">
        <w:rPr>
          <w:rFonts w:ascii="Book Antiqua" w:hAnsi="Book Antiqua"/>
        </w:rPr>
        <w:t xml:space="preserve"> 2016; </w:t>
      </w:r>
      <w:r w:rsidRPr="00CB49E8">
        <w:rPr>
          <w:rFonts w:ascii="Book Antiqua" w:hAnsi="Book Antiqua"/>
          <w:b/>
          <w:bCs/>
        </w:rPr>
        <w:t>30</w:t>
      </w:r>
      <w:r w:rsidRPr="00CB49E8">
        <w:rPr>
          <w:rFonts w:ascii="Book Antiqua" w:hAnsi="Book Antiqua"/>
        </w:rPr>
        <w:t>: 2929-2934 [PMID: 26487212 DOI: 10.1007/s00464-015-4579-x]</w:t>
      </w:r>
    </w:p>
    <w:p w14:paraId="4F19E07F"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48 </w:t>
      </w:r>
      <w:r w:rsidRPr="00CB49E8">
        <w:rPr>
          <w:rFonts w:ascii="Book Antiqua" w:hAnsi="Book Antiqua"/>
          <w:b/>
          <w:bCs/>
        </w:rPr>
        <w:t>Hollemans RA</w:t>
      </w:r>
      <w:r w:rsidRPr="00CB49E8">
        <w:rPr>
          <w:rFonts w:ascii="Book Antiqua" w:hAnsi="Book Antiqua"/>
        </w:rPr>
        <w:t xml:space="preserve">, Bollen TL, van Brunschot S, Bakker OJ, Ahmed Ali U, van Goor H, Boermeester MA, Gooszen HG, Besselink MG, van Santvoort HC; Dutch Pancreatitis Study Group. Predicting Success of Catheter Drainage in Infected Necrotizing Pancreatitis. </w:t>
      </w:r>
      <w:r w:rsidRPr="00CB49E8">
        <w:rPr>
          <w:rFonts w:ascii="Book Antiqua" w:hAnsi="Book Antiqua"/>
          <w:i/>
          <w:iCs/>
        </w:rPr>
        <w:t>Ann Surg</w:t>
      </w:r>
      <w:r w:rsidRPr="00CB49E8">
        <w:rPr>
          <w:rFonts w:ascii="Book Antiqua" w:hAnsi="Book Antiqua"/>
        </w:rPr>
        <w:t xml:space="preserve"> 2016; </w:t>
      </w:r>
      <w:r w:rsidRPr="00CB49E8">
        <w:rPr>
          <w:rFonts w:ascii="Book Antiqua" w:hAnsi="Book Antiqua"/>
          <w:b/>
          <w:bCs/>
        </w:rPr>
        <w:t>263</w:t>
      </w:r>
      <w:r w:rsidRPr="00CB49E8">
        <w:rPr>
          <w:rFonts w:ascii="Book Antiqua" w:hAnsi="Book Antiqua"/>
        </w:rPr>
        <w:t>: 787-792 [PMID: 25775071 DOI: 10.1097/SLA.0000000000001203]</w:t>
      </w:r>
    </w:p>
    <w:p w14:paraId="2EC6492C"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49 </w:t>
      </w:r>
      <w:r w:rsidRPr="00CB49E8">
        <w:rPr>
          <w:rFonts w:ascii="Book Antiqua" w:hAnsi="Book Antiqua"/>
          <w:b/>
          <w:bCs/>
        </w:rPr>
        <w:t>Gomatos IP</w:t>
      </w:r>
      <w:r w:rsidRPr="00CB49E8">
        <w:rPr>
          <w:rFonts w:ascii="Book Antiqua" w:hAnsi="Book Antiqua"/>
        </w:rPr>
        <w:t xml:space="preserve">, Halloran CM, Ghaneh P, Raraty MG, Polydoros F, Evans JC, Smart HL, Yagati-Satchidanand R, Garry JM, Whelan PA, Hughes FE, Sutton R, Neoptolemos JP. Outcomes From Minimal Access Retroperitoneal and Open Pancreatic Necrosectomy in 394 Patients With Necrotizing Pancreatitis. </w:t>
      </w:r>
      <w:r w:rsidRPr="00CB49E8">
        <w:rPr>
          <w:rFonts w:ascii="Book Antiqua" w:hAnsi="Book Antiqua"/>
          <w:i/>
          <w:iCs/>
        </w:rPr>
        <w:t>Ann Surg</w:t>
      </w:r>
      <w:r w:rsidRPr="00CB49E8">
        <w:rPr>
          <w:rFonts w:ascii="Book Antiqua" w:hAnsi="Book Antiqua"/>
        </w:rPr>
        <w:t xml:space="preserve"> 2016; </w:t>
      </w:r>
      <w:r w:rsidRPr="00CB49E8">
        <w:rPr>
          <w:rFonts w:ascii="Book Antiqua" w:hAnsi="Book Antiqua"/>
          <w:b/>
          <w:bCs/>
        </w:rPr>
        <w:t>263</w:t>
      </w:r>
      <w:r w:rsidRPr="00CB49E8">
        <w:rPr>
          <w:rFonts w:ascii="Book Antiqua" w:hAnsi="Book Antiqua"/>
        </w:rPr>
        <w:t>: 992-1001 [PMID: 26501713 DOI: 10.1097/SLA.0000000000001407]</w:t>
      </w:r>
    </w:p>
    <w:p w14:paraId="07F1D915"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50 </w:t>
      </w:r>
      <w:r w:rsidRPr="00CB49E8">
        <w:rPr>
          <w:rFonts w:ascii="Book Antiqua" w:hAnsi="Book Antiqua"/>
          <w:b/>
          <w:bCs/>
        </w:rPr>
        <w:t>Horvath KD</w:t>
      </w:r>
      <w:r w:rsidRPr="00CB49E8">
        <w:rPr>
          <w:rFonts w:ascii="Book Antiqua" w:hAnsi="Book Antiqua"/>
        </w:rPr>
        <w:t xml:space="preserve">, Kao LS, Wherry KL, Pellegrini CA, Sinanan MN. A technique for laparoscopic-assisted percutaneous drainage of infected pancreatic necrosis and pancreatic abscess. </w:t>
      </w:r>
      <w:r w:rsidRPr="00CB49E8">
        <w:rPr>
          <w:rFonts w:ascii="Book Antiqua" w:hAnsi="Book Antiqua"/>
          <w:i/>
          <w:iCs/>
        </w:rPr>
        <w:t>Surg Endosc</w:t>
      </w:r>
      <w:r w:rsidRPr="00CB49E8">
        <w:rPr>
          <w:rFonts w:ascii="Book Antiqua" w:hAnsi="Book Antiqua"/>
        </w:rPr>
        <w:t xml:space="preserve"> 2001; </w:t>
      </w:r>
      <w:r w:rsidRPr="00CB49E8">
        <w:rPr>
          <w:rFonts w:ascii="Book Antiqua" w:hAnsi="Book Antiqua"/>
          <w:b/>
          <w:bCs/>
        </w:rPr>
        <w:t>15</w:t>
      </w:r>
      <w:r w:rsidRPr="00CB49E8">
        <w:rPr>
          <w:rFonts w:ascii="Book Antiqua" w:hAnsi="Book Antiqua"/>
        </w:rPr>
        <w:t>: 1221-1225 [PMID: 11727105 DOI: 10.1007/s004640080166]</w:t>
      </w:r>
    </w:p>
    <w:p w14:paraId="6421A1AA"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51 </w:t>
      </w:r>
      <w:r w:rsidRPr="00CB49E8">
        <w:rPr>
          <w:rFonts w:ascii="Book Antiqua" w:hAnsi="Book Antiqua"/>
          <w:b/>
          <w:bCs/>
        </w:rPr>
        <w:t>Raraty MG</w:t>
      </w:r>
      <w:r w:rsidRPr="00CB49E8">
        <w:rPr>
          <w:rFonts w:ascii="Book Antiqua" w:hAnsi="Book Antiqua"/>
        </w:rPr>
        <w:t xml:space="preserve">, Halloran CM, Dodd S, Ghaneh P, Connor S, Evans J, Sutton R, Neoptolemos JP. Minimal access retroperitoneal pancreatic necrosectomy: improvement </w:t>
      </w:r>
      <w:r w:rsidRPr="00CB49E8">
        <w:rPr>
          <w:rFonts w:ascii="Book Antiqua" w:hAnsi="Book Antiqua"/>
        </w:rPr>
        <w:lastRenderedPageBreak/>
        <w:t xml:space="preserve">in morbidity and mortality with a less invasive approach. </w:t>
      </w:r>
      <w:r w:rsidRPr="00CB49E8">
        <w:rPr>
          <w:rFonts w:ascii="Book Antiqua" w:hAnsi="Book Antiqua"/>
          <w:i/>
          <w:iCs/>
        </w:rPr>
        <w:t>Ann Surg</w:t>
      </w:r>
      <w:r w:rsidRPr="00CB49E8">
        <w:rPr>
          <w:rFonts w:ascii="Book Antiqua" w:hAnsi="Book Antiqua"/>
        </w:rPr>
        <w:t xml:space="preserve"> 2010; </w:t>
      </w:r>
      <w:r w:rsidRPr="00CB49E8">
        <w:rPr>
          <w:rFonts w:ascii="Book Antiqua" w:hAnsi="Book Antiqua"/>
          <w:b/>
          <w:bCs/>
        </w:rPr>
        <w:t>251</w:t>
      </w:r>
      <w:r w:rsidRPr="00CB49E8">
        <w:rPr>
          <w:rFonts w:ascii="Book Antiqua" w:hAnsi="Book Antiqua"/>
        </w:rPr>
        <w:t>: 787-793 [PMID: 20395850 DOI: 10.1097/SLA.0b013e3181d96c53]</w:t>
      </w:r>
    </w:p>
    <w:p w14:paraId="7943E8F2"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52 </w:t>
      </w:r>
      <w:r w:rsidRPr="00CB49E8">
        <w:rPr>
          <w:rFonts w:ascii="Book Antiqua" w:hAnsi="Book Antiqua"/>
          <w:b/>
          <w:bCs/>
        </w:rPr>
        <w:t>Bakker OJ</w:t>
      </w:r>
      <w:r w:rsidRPr="00CB49E8">
        <w:rPr>
          <w:rFonts w:ascii="Book Antiqua" w:hAnsi="Book Antiqua"/>
        </w:rPr>
        <w:t xml:space="preserve">, van Baal MC, van Santvoort HC, Besselink MG, Poley JW, Heisterkamp J, Bollen TL, Gooszen HG, van Eijck CH; Dutch Pancreatitis Study Group. Endoscopic transpapillary stenting or conservative treatment for pancreatic fistulas in necrotizing pancreatitis: multicenter series and literature review. </w:t>
      </w:r>
      <w:r w:rsidRPr="00CB49E8">
        <w:rPr>
          <w:rFonts w:ascii="Book Antiqua" w:hAnsi="Book Antiqua"/>
          <w:i/>
          <w:iCs/>
        </w:rPr>
        <w:t>Ann Surg</w:t>
      </w:r>
      <w:r w:rsidRPr="00CB49E8">
        <w:rPr>
          <w:rFonts w:ascii="Book Antiqua" w:hAnsi="Book Antiqua"/>
        </w:rPr>
        <w:t xml:space="preserve"> 2011; </w:t>
      </w:r>
      <w:r w:rsidRPr="00CB49E8">
        <w:rPr>
          <w:rFonts w:ascii="Book Antiqua" w:hAnsi="Book Antiqua"/>
          <w:b/>
          <w:bCs/>
        </w:rPr>
        <w:t>253</w:t>
      </w:r>
      <w:r w:rsidRPr="00CB49E8">
        <w:rPr>
          <w:rFonts w:ascii="Book Antiqua" w:hAnsi="Book Antiqua"/>
        </w:rPr>
        <w:t>: 961-967 [PMID: 21422914 DOI: 10.1097/SLA.0b013e318212e901]</w:t>
      </w:r>
    </w:p>
    <w:p w14:paraId="3D4C8539"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53 </w:t>
      </w:r>
      <w:r w:rsidRPr="00CB49E8">
        <w:rPr>
          <w:rFonts w:ascii="Book Antiqua" w:hAnsi="Book Antiqua"/>
          <w:b/>
          <w:bCs/>
        </w:rPr>
        <w:t>Hua Z</w:t>
      </w:r>
      <w:r w:rsidRPr="00CB49E8">
        <w:rPr>
          <w:rFonts w:ascii="Book Antiqua" w:hAnsi="Book Antiqua"/>
        </w:rPr>
        <w:t xml:space="preserve">, Su Y, Huang X, Zhang K, Yin Z, Wang X, Liu P. Analysis of risk factors related to gastrointestinal fistula in patients with severe acute pancreatitis: a retrospective study of 344 cases in a single Chinese center. </w:t>
      </w:r>
      <w:r w:rsidRPr="00CB49E8">
        <w:rPr>
          <w:rFonts w:ascii="Book Antiqua" w:hAnsi="Book Antiqua"/>
          <w:i/>
          <w:iCs/>
        </w:rPr>
        <w:t>BMC Gastroenterol</w:t>
      </w:r>
      <w:r w:rsidRPr="00CB49E8">
        <w:rPr>
          <w:rFonts w:ascii="Book Antiqua" w:hAnsi="Book Antiqua"/>
        </w:rPr>
        <w:t xml:space="preserve"> 2017; </w:t>
      </w:r>
      <w:r w:rsidRPr="00CB49E8">
        <w:rPr>
          <w:rFonts w:ascii="Book Antiqua" w:hAnsi="Book Antiqua"/>
          <w:b/>
          <w:bCs/>
        </w:rPr>
        <w:t>17</w:t>
      </w:r>
      <w:r w:rsidRPr="00CB49E8">
        <w:rPr>
          <w:rFonts w:ascii="Book Antiqua" w:hAnsi="Book Antiqua"/>
        </w:rPr>
        <w:t>: 29 [PMID: 28193160 DOI: 10.1186/s12876-017-0587-8]</w:t>
      </w:r>
    </w:p>
    <w:p w14:paraId="3B9FB88B" w14:textId="77777777" w:rsidR="003A065D" w:rsidRPr="00CB49E8" w:rsidRDefault="003A065D" w:rsidP="003A065D">
      <w:pPr>
        <w:spacing w:line="360" w:lineRule="auto"/>
        <w:jc w:val="both"/>
        <w:rPr>
          <w:rFonts w:ascii="Book Antiqua" w:hAnsi="Book Antiqua"/>
        </w:rPr>
      </w:pPr>
      <w:r w:rsidRPr="00CB49E8">
        <w:rPr>
          <w:rFonts w:ascii="Book Antiqua" w:hAnsi="Book Antiqua"/>
        </w:rPr>
        <w:t xml:space="preserve">54 </w:t>
      </w:r>
      <w:r w:rsidRPr="00CB49E8">
        <w:rPr>
          <w:rFonts w:ascii="Book Antiqua" w:hAnsi="Book Antiqua"/>
          <w:b/>
          <w:bCs/>
        </w:rPr>
        <w:t>van Santvoort HC</w:t>
      </w:r>
      <w:r w:rsidRPr="00CB49E8">
        <w:rPr>
          <w:rFonts w:ascii="Book Antiqua" w:hAnsi="Book Antiqua"/>
        </w:rPr>
        <w:t xml:space="preserve">, Besselink MG, Horvath KD, Sinanan MN, Bollen TL, van Ramshorst B, Gooszen HG; Dutch Acute Pancreatis Study Group. Videoscopic assisted retroperitoneal debridement in infected necrotizing pancreatitis. </w:t>
      </w:r>
      <w:r w:rsidRPr="00CB49E8">
        <w:rPr>
          <w:rFonts w:ascii="Book Antiqua" w:hAnsi="Book Antiqua"/>
          <w:i/>
          <w:iCs/>
        </w:rPr>
        <w:t>HPB (Oxford)</w:t>
      </w:r>
      <w:r w:rsidRPr="00CB49E8">
        <w:rPr>
          <w:rFonts w:ascii="Book Antiqua" w:hAnsi="Book Antiqua"/>
        </w:rPr>
        <w:t xml:space="preserve"> 2007; </w:t>
      </w:r>
      <w:r w:rsidRPr="00CB49E8">
        <w:rPr>
          <w:rFonts w:ascii="Book Antiqua" w:hAnsi="Book Antiqua"/>
          <w:b/>
          <w:bCs/>
        </w:rPr>
        <w:t>9</w:t>
      </w:r>
      <w:r w:rsidRPr="00CB49E8">
        <w:rPr>
          <w:rFonts w:ascii="Book Antiqua" w:hAnsi="Book Antiqua"/>
        </w:rPr>
        <w:t>: 156-159 [PMID: 18333133 DOI: 10.1080/13651820701225688]</w:t>
      </w:r>
    </w:p>
    <w:p w14:paraId="5D53C561" w14:textId="77777777" w:rsidR="00A77B3E" w:rsidRPr="00CB49E8" w:rsidRDefault="00A77B3E" w:rsidP="007902BA">
      <w:pPr>
        <w:spacing w:line="360" w:lineRule="auto"/>
        <w:jc w:val="both"/>
        <w:rPr>
          <w:rFonts w:ascii="Book Antiqua" w:hAnsi="Book Antiqua"/>
        </w:rPr>
        <w:sectPr w:rsidR="00A77B3E" w:rsidRPr="00CB49E8">
          <w:pgSz w:w="12240" w:h="15840"/>
          <w:pgMar w:top="1440" w:right="1440" w:bottom="1440" w:left="1440" w:header="720" w:footer="720" w:gutter="0"/>
          <w:cols w:space="720"/>
          <w:docGrid w:linePitch="360"/>
        </w:sectPr>
      </w:pPr>
    </w:p>
    <w:p w14:paraId="71C81531" w14:textId="7777777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lastRenderedPageBreak/>
        <w:t>Footnotes</w:t>
      </w:r>
    </w:p>
    <w:p w14:paraId="23E1FBC7" w14:textId="3BB03702"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Conflict-of-interest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statement: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There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conflict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interest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associated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senior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author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other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coauthors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contributed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efforts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manuscript.</w:t>
      </w:r>
    </w:p>
    <w:p w14:paraId="2F84C840" w14:textId="77777777" w:rsidR="00A77B3E" w:rsidRPr="00CB49E8" w:rsidRDefault="00A77B3E" w:rsidP="007902BA">
      <w:pPr>
        <w:spacing w:line="360" w:lineRule="auto"/>
        <w:jc w:val="both"/>
        <w:rPr>
          <w:rFonts w:ascii="Book Antiqua" w:hAnsi="Book Antiqua"/>
        </w:rPr>
      </w:pPr>
    </w:p>
    <w:p w14:paraId="1403199E" w14:textId="51BE16E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bCs/>
          <w:color w:val="000000"/>
        </w:rPr>
        <w:t>Open-Access: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article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open-access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article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that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selected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in-house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editor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fully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peer-reviewed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external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reviewers.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distributed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accordance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Creative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Attribution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Non</w:t>
      </w:r>
      <w:r w:rsidR="000F0902"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Commercial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BY-NC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4.0)</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license,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permits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others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distribute,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remix,</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adapt,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build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upon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work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non-commercially,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license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derivative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works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different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terms,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provided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original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work</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properly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cited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use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non-commercial.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https://creativecommons.org/Licenses/by-nc/4.0/</w:t>
      </w:r>
    </w:p>
    <w:p w14:paraId="55FA781F" w14:textId="77777777" w:rsidR="00A77B3E" w:rsidRPr="00CB49E8" w:rsidRDefault="00A77B3E" w:rsidP="007902BA">
      <w:pPr>
        <w:spacing w:line="360" w:lineRule="auto"/>
        <w:jc w:val="both"/>
        <w:rPr>
          <w:rFonts w:ascii="Book Antiqua" w:hAnsi="Book Antiqua"/>
        </w:rPr>
      </w:pPr>
    </w:p>
    <w:p w14:paraId="04DF202C" w14:textId="3711D930"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Provenance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and</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peer</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review:</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Invited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article;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Externally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reviewed.</w:t>
      </w:r>
    </w:p>
    <w:p w14:paraId="7EE1E277" w14:textId="028F3529"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Peer-review</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model:</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Single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blind</w:t>
      </w:r>
    </w:p>
    <w:p w14:paraId="3AB9EF0F" w14:textId="77777777" w:rsidR="00A77B3E" w:rsidRPr="00CB49E8" w:rsidRDefault="00A77B3E" w:rsidP="007902BA">
      <w:pPr>
        <w:spacing w:line="360" w:lineRule="auto"/>
        <w:jc w:val="both"/>
        <w:rPr>
          <w:rFonts w:ascii="Book Antiqua" w:hAnsi="Book Antiqua"/>
        </w:rPr>
      </w:pPr>
    </w:p>
    <w:p w14:paraId="0A14E7CC" w14:textId="4F91BBA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Peer-review</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started:</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October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26,</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2021</w:t>
      </w:r>
    </w:p>
    <w:p w14:paraId="5F0D2C50" w14:textId="38ADD7D8"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First</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decision:</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December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27,</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2021</w:t>
      </w:r>
    </w:p>
    <w:p w14:paraId="1769E38A" w14:textId="67E0A69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Article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in</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press:</w:t>
      </w:r>
      <w:r w:rsidR="00424EDF" w:rsidRPr="00CB49E8">
        <w:rPr>
          <w:rFonts w:ascii="Book Antiqua" w:eastAsia="Book Antiqua" w:hAnsi="Book Antiqua" w:cs="Book Antiqua"/>
          <w:b/>
          <w:color w:val="000000"/>
        </w:rPr>
        <w:t xml:space="preserve"> </w:t>
      </w:r>
      <w:r w:rsidR="00556422" w:rsidRPr="00CB49E8">
        <w:rPr>
          <w:rFonts w:ascii="Book Antiqua" w:eastAsia="Book Antiqua" w:hAnsi="Book Antiqua" w:cs="Book Antiqua"/>
          <w:color w:val="000000"/>
        </w:rPr>
        <w:t>May 13, 2022</w:t>
      </w:r>
    </w:p>
    <w:p w14:paraId="544ADCE1" w14:textId="77777777" w:rsidR="00A77B3E" w:rsidRPr="00CB49E8" w:rsidRDefault="00A77B3E" w:rsidP="007902BA">
      <w:pPr>
        <w:spacing w:line="360" w:lineRule="auto"/>
        <w:jc w:val="both"/>
        <w:rPr>
          <w:rFonts w:ascii="Book Antiqua" w:hAnsi="Book Antiqua"/>
        </w:rPr>
      </w:pPr>
    </w:p>
    <w:p w14:paraId="570882F9" w14:textId="282C80A5"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Specialty</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type: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Gastroenterology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00F56765" w:rsidRPr="00CB49E8">
        <w:rPr>
          <w:rFonts w:ascii="Book Antiqua" w:eastAsia="Book Antiqua" w:hAnsi="Book Antiqua" w:cs="Book Antiqua"/>
          <w:color w:val="000000"/>
        </w:rPr>
        <w:t>h</w:t>
      </w:r>
      <w:r w:rsidRPr="00CB49E8">
        <w:rPr>
          <w:rFonts w:ascii="Book Antiqua" w:eastAsia="Book Antiqua" w:hAnsi="Book Antiqua" w:cs="Book Antiqua"/>
          <w:color w:val="000000"/>
        </w:rPr>
        <w:t>epatology</w:t>
      </w:r>
    </w:p>
    <w:p w14:paraId="7C955F1F" w14:textId="5F63D2CC"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Country/Territory</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of</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origin:</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India</w:t>
      </w:r>
    </w:p>
    <w:p w14:paraId="096F3235" w14:textId="1DCCA90F"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b/>
          <w:color w:val="000000"/>
        </w:rPr>
        <w:t>Peer-review</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report’s</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scientific</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quality</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classification</w:t>
      </w:r>
    </w:p>
    <w:p w14:paraId="09E5DE2B" w14:textId="0831D50C"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Grade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(Excellent):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0</w:t>
      </w:r>
    </w:p>
    <w:p w14:paraId="5288D2F7" w14:textId="36289D97"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Grade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(Very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good):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0</w:t>
      </w:r>
    </w:p>
    <w:p w14:paraId="6612222C" w14:textId="06FF085A"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Grade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(Good):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p>
    <w:p w14:paraId="60B5E705" w14:textId="7DD51EB9"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Grade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(Fair):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0</w:t>
      </w:r>
    </w:p>
    <w:p w14:paraId="3D6CA061" w14:textId="0ABEE446" w:rsidR="00A77B3E" w:rsidRPr="00CB49E8" w:rsidRDefault="009A2117" w:rsidP="007902BA">
      <w:pPr>
        <w:spacing w:line="360" w:lineRule="auto"/>
        <w:jc w:val="both"/>
        <w:rPr>
          <w:rFonts w:ascii="Book Antiqua" w:hAnsi="Book Antiqua"/>
        </w:rPr>
      </w:pPr>
      <w:r w:rsidRPr="00CB49E8">
        <w:rPr>
          <w:rFonts w:ascii="Book Antiqua" w:eastAsia="Book Antiqua" w:hAnsi="Book Antiqua" w:cs="Book Antiqua"/>
          <w:color w:val="000000"/>
        </w:rPr>
        <w:t>Grade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(Poor):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0</w:t>
      </w:r>
    </w:p>
    <w:p w14:paraId="0B5182DB" w14:textId="77777777" w:rsidR="00A77B3E" w:rsidRPr="00CB49E8" w:rsidRDefault="00A77B3E" w:rsidP="007902BA">
      <w:pPr>
        <w:spacing w:line="360" w:lineRule="auto"/>
        <w:jc w:val="both"/>
        <w:rPr>
          <w:rFonts w:ascii="Book Antiqua" w:hAnsi="Book Antiqua"/>
        </w:rPr>
      </w:pPr>
    </w:p>
    <w:p w14:paraId="5115C853" w14:textId="3E651895" w:rsidR="00A77B3E" w:rsidRPr="00CB49E8" w:rsidRDefault="009A2117" w:rsidP="007902BA">
      <w:pPr>
        <w:spacing w:line="360" w:lineRule="auto"/>
        <w:jc w:val="both"/>
        <w:rPr>
          <w:rFonts w:ascii="Book Antiqua" w:hAnsi="Book Antiqua"/>
        </w:rPr>
        <w:sectPr w:rsidR="00A77B3E" w:rsidRPr="00CB49E8">
          <w:pgSz w:w="12240" w:h="15840"/>
          <w:pgMar w:top="1440" w:right="1440" w:bottom="1440" w:left="1440" w:header="720" w:footer="720" w:gutter="0"/>
          <w:cols w:space="720"/>
          <w:docGrid w:linePitch="360"/>
        </w:sectPr>
      </w:pPr>
      <w:r w:rsidRPr="00CB49E8">
        <w:rPr>
          <w:rFonts w:ascii="Book Antiqua" w:eastAsia="Book Antiqua" w:hAnsi="Book Antiqua" w:cs="Book Antiqua"/>
          <w:b/>
          <w:color w:val="000000"/>
        </w:rPr>
        <w:t>P-Reviewer:</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Angelico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Italy;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Zhao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China</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S-Editor:</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color w:val="000000"/>
        </w:rPr>
        <w:t>Guo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XR</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L-Editor:</w:t>
      </w:r>
      <w:r w:rsidR="00424EDF" w:rsidRPr="00CB49E8">
        <w:rPr>
          <w:rFonts w:ascii="Book Antiqua" w:eastAsia="Book Antiqua" w:hAnsi="Book Antiqua" w:cs="Book Antiqua"/>
          <w:b/>
          <w:color w:val="000000"/>
        </w:rPr>
        <w:t xml:space="preserve"> </w:t>
      </w:r>
      <w:r w:rsidR="008D2584" w:rsidRPr="00CB49E8">
        <w:rPr>
          <w:rFonts w:ascii="Book Antiqua" w:eastAsia="Book Antiqua" w:hAnsi="Book Antiqua" w:cs="Book Antiqua"/>
          <w:color w:val="000000"/>
        </w:rPr>
        <w:t>Wang TQ</w:t>
      </w:r>
      <w:r w:rsidR="008D2584"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P-Editor:</w:t>
      </w:r>
      <w:r w:rsidR="00424EDF" w:rsidRPr="00CB49E8">
        <w:rPr>
          <w:rFonts w:ascii="Book Antiqua" w:eastAsia="Book Antiqua" w:hAnsi="Book Antiqua" w:cs="Book Antiqua"/>
          <w:b/>
          <w:color w:val="000000"/>
        </w:rPr>
        <w:t xml:space="preserve"> </w:t>
      </w:r>
      <w:r w:rsidR="00395ED4" w:rsidRPr="00CB49E8">
        <w:rPr>
          <w:rFonts w:ascii="Book Antiqua" w:eastAsia="Book Antiqua" w:hAnsi="Book Antiqua" w:cs="Book Antiqua"/>
          <w:bCs/>
          <w:color w:val="000000"/>
        </w:rPr>
        <w:t>Yu HG</w:t>
      </w:r>
    </w:p>
    <w:p w14:paraId="4BB2FDE8" w14:textId="5316D7B9" w:rsidR="00A77B3E" w:rsidRPr="00CB49E8" w:rsidRDefault="009A2117" w:rsidP="007902BA">
      <w:pPr>
        <w:spacing w:line="360" w:lineRule="auto"/>
        <w:jc w:val="both"/>
        <w:rPr>
          <w:rFonts w:ascii="Book Antiqua" w:eastAsia="Book Antiqua" w:hAnsi="Book Antiqua" w:cs="Book Antiqua"/>
          <w:b/>
          <w:color w:val="000000"/>
        </w:rPr>
      </w:pPr>
      <w:r w:rsidRPr="00CB49E8">
        <w:rPr>
          <w:rFonts w:ascii="Book Antiqua" w:eastAsia="Book Antiqua" w:hAnsi="Book Antiqua" w:cs="Book Antiqua"/>
          <w:b/>
          <w:color w:val="000000"/>
        </w:rPr>
        <w:lastRenderedPageBreak/>
        <w:t>Figure</w:t>
      </w:r>
      <w:r w:rsidR="00424EDF" w:rsidRPr="00CB49E8">
        <w:rPr>
          <w:rFonts w:ascii="Book Antiqua" w:eastAsia="Book Antiqua" w:hAnsi="Book Antiqua" w:cs="Book Antiqua"/>
          <w:b/>
          <w:color w:val="000000"/>
        </w:rPr>
        <w:t xml:space="preserve"> </w:t>
      </w:r>
      <w:r w:rsidRPr="00CB49E8">
        <w:rPr>
          <w:rFonts w:ascii="Book Antiqua" w:eastAsia="Book Antiqua" w:hAnsi="Book Antiqua" w:cs="Book Antiqua"/>
          <w:b/>
          <w:color w:val="000000"/>
        </w:rPr>
        <w:t>Legends</w:t>
      </w:r>
    </w:p>
    <w:p w14:paraId="2E5EC0A1" w14:textId="692F4526" w:rsidR="00F56765" w:rsidRPr="00CB49E8" w:rsidRDefault="00C978CA" w:rsidP="007902BA">
      <w:pPr>
        <w:spacing w:line="360" w:lineRule="auto"/>
        <w:jc w:val="both"/>
        <w:rPr>
          <w:rFonts w:ascii="Book Antiqua" w:hAnsi="Book Antiqua"/>
        </w:rPr>
      </w:pPr>
      <w:r>
        <w:rPr>
          <w:rFonts w:ascii="Book Antiqua" w:hAnsi="Book Antiqua"/>
          <w:noProof/>
        </w:rPr>
        <w:drawing>
          <wp:inline distT="0" distB="0" distL="0" distR="0" wp14:anchorId="22939A4B" wp14:editId="554F95B6">
            <wp:extent cx="4284980" cy="3370580"/>
            <wp:effectExtent l="0" t="0" r="127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4980" cy="3370580"/>
                    </a:xfrm>
                    <a:prstGeom prst="rect">
                      <a:avLst/>
                    </a:prstGeom>
                    <a:noFill/>
                    <a:ln>
                      <a:noFill/>
                    </a:ln>
                  </pic:spPr>
                </pic:pic>
              </a:graphicData>
            </a:graphic>
          </wp:inline>
        </w:drawing>
      </w:r>
    </w:p>
    <w:p w14:paraId="2CC37A62" w14:textId="12C58D78"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1</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Various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types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pancreatic</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fluid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collections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according</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to</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revised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Atlanta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classification.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peripancreatic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fluid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F5676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Acute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F5676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Pseudocyst</w:t>
      </w:r>
      <w:r w:rsidR="00F5676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Walled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air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foci</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p>
    <w:p w14:paraId="3FD0ED9D" w14:textId="2360F6AC" w:rsidR="00F56765" w:rsidRPr="00CB49E8" w:rsidRDefault="00C978CA" w:rsidP="007902BA">
      <w:pPr>
        <w:spacing w:line="360" w:lineRule="auto"/>
        <w:jc w:val="both"/>
        <w:rPr>
          <w:rFonts w:ascii="Book Antiqua" w:hAnsi="Book Antiqua"/>
        </w:rPr>
      </w:pPr>
      <w:r>
        <w:rPr>
          <w:rFonts w:ascii="Book Antiqua" w:hAnsi="Book Antiqua"/>
          <w:noProof/>
        </w:rPr>
        <w:drawing>
          <wp:inline distT="0" distB="0" distL="0" distR="0" wp14:anchorId="23B3A695" wp14:editId="001E3EEF">
            <wp:extent cx="4327525" cy="18395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7525" cy="1839595"/>
                    </a:xfrm>
                    <a:prstGeom prst="rect">
                      <a:avLst/>
                    </a:prstGeom>
                    <a:noFill/>
                    <a:ln>
                      <a:noFill/>
                    </a:ln>
                  </pic:spPr>
                </pic:pic>
              </a:graphicData>
            </a:graphic>
          </wp:inline>
        </w:drawing>
      </w:r>
    </w:p>
    <w:p w14:paraId="623AD7EB" w14:textId="768FE3AC"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2</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Step-up</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approach</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to</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management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pancreatic</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fluid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collections</w:t>
      </w:r>
      <w:r w:rsidR="00F56765"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Lesser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14</w:t>
      </w:r>
      <w:r w:rsidR="00F56765"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pigtail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in-situ</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which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was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upgraded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to</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18</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F</w:t>
      </w:r>
      <w:r w:rsidR="00F5676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00F56765"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underwent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endoscopic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cystogastrostomy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necrosectomy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(not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shown).</w:t>
      </w:r>
      <w:r w:rsidR="00424EDF" w:rsidRPr="00CB49E8">
        <w:rPr>
          <w:rFonts w:ascii="Book Antiqua" w:eastAsia="Book Antiqua" w:hAnsi="Book Antiqua" w:cs="Book Antiqua"/>
          <w:color w:val="000000"/>
        </w:rPr>
        <w:t xml:space="preserve"> </w:t>
      </w:r>
    </w:p>
    <w:p w14:paraId="091E4568" w14:textId="4C0EDCFE" w:rsidR="00F56765" w:rsidRPr="00CB49E8" w:rsidRDefault="00C978CA" w:rsidP="007902BA">
      <w:pPr>
        <w:spacing w:line="360" w:lineRule="auto"/>
        <w:jc w:val="both"/>
        <w:rPr>
          <w:rFonts w:ascii="Book Antiqua" w:hAnsi="Book Antiqua"/>
        </w:rPr>
      </w:pPr>
      <w:r>
        <w:rPr>
          <w:rFonts w:ascii="Book Antiqua" w:hAnsi="Book Antiqua"/>
          <w:noProof/>
        </w:rPr>
        <w:lastRenderedPageBreak/>
        <w:drawing>
          <wp:inline distT="0" distB="0" distL="0" distR="0" wp14:anchorId="4FACB7BC" wp14:editId="7B7B80F3">
            <wp:extent cx="4274185" cy="15735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4185" cy="1573530"/>
                    </a:xfrm>
                    <a:prstGeom prst="rect">
                      <a:avLst/>
                    </a:prstGeom>
                    <a:noFill/>
                    <a:ln>
                      <a:noFill/>
                    </a:ln>
                  </pic:spPr>
                </pic:pic>
              </a:graphicData>
            </a:graphic>
          </wp:inline>
        </w:drawing>
      </w:r>
    </w:p>
    <w:p w14:paraId="067A35CE" w14:textId="5FF2FB93"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3</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Evolving</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indications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drainage</w:t>
      </w:r>
      <w:r w:rsidR="00F56765"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Large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peripancreatic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compressing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ampulla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t>
      </w:r>
      <w:r w:rsidR="00406728" w:rsidRPr="00CB49E8">
        <w:rPr>
          <w:rFonts w:ascii="Book Antiqua" w:eastAsia="Book Antiqua" w:hAnsi="Book Antiqua" w:cs="Book Antiqua" w:hint="eastAsia"/>
          <w:color w:val="000000"/>
        </w:rPr>
        <w:t>orange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causing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biliary</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dilatation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(white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F5676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Disconnected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syndrome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dilated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pancreatic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duct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communicating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(arrowheads)</w:t>
      </w:r>
      <w:r w:rsidR="00F56765" w:rsidRPr="00CB49E8">
        <w:rPr>
          <w:rFonts w:ascii="Book Antiqua" w:eastAsia="Book Antiqua" w:hAnsi="Book Antiqua" w:cs="Book Antiqua"/>
          <w:color w:val="000000"/>
        </w:rPr>
        <w:t>.</w:t>
      </w:r>
    </w:p>
    <w:p w14:paraId="5A6CB565" w14:textId="073CC995" w:rsidR="00F56765" w:rsidRPr="00CB49E8" w:rsidRDefault="00C978CA" w:rsidP="007902BA">
      <w:pPr>
        <w:spacing w:line="360" w:lineRule="auto"/>
        <w:jc w:val="both"/>
        <w:rPr>
          <w:rFonts w:ascii="Book Antiqua" w:hAnsi="Book Antiqua"/>
        </w:rPr>
      </w:pPr>
      <w:r>
        <w:rPr>
          <w:rFonts w:ascii="Book Antiqua" w:hAnsi="Book Antiqua"/>
          <w:noProof/>
        </w:rPr>
        <w:drawing>
          <wp:inline distT="0" distB="0" distL="0" distR="0" wp14:anchorId="513DFCDE" wp14:editId="57237B44">
            <wp:extent cx="4348480" cy="26898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8480" cy="2689860"/>
                    </a:xfrm>
                    <a:prstGeom prst="rect">
                      <a:avLst/>
                    </a:prstGeom>
                    <a:noFill/>
                    <a:ln>
                      <a:noFill/>
                    </a:ln>
                  </pic:spPr>
                </pic:pic>
              </a:graphicData>
            </a:graphic>
          </wp:inline>
        </w:drawing>
      </w:r>
    </w:p>
    <w:p w14:paraId="6BD65FB8" w14:textId="674305E7" w:rsidR="00375396" w:rsidRPr="00CB49E8" w:rsidRDefault="009A2117" w:rsidP="00375396">
      <w:pPr>
        <w:spacing w:line="360" w:lineRule="auto"/>
        <w:jc w:val="both"/>
        <w:rPr>
          <w:rFonts w:ascii="Book Antiqua" w:eastAsia="Book Antiqua" w:hAnsi="Book Antiqua" w:cs="Book Antiqua"/>
          <w:color w:val="000000" w:themeColor="text1"/>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4</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Endoscopic</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transmural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drainage</w:t>
      </w:r>
      <w:r w:rsidR="00F56765"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00375396" w:rsidRPr="00CB49E8">
        <w:rPr>
          <w:rFonts w:ascii="Book Antiqua" w:eastAsia="Book Antiqua" w:hAnsi="Book Antiqua" w:cs="Book Antiqua"/>
          <w:color w:val="000000"/>
        </w:rPr>
        <w:t xml:space="preserve">A: Endoscopic ultrasound guided transmural puncture of the lesser sac collection with needle tip in situ (arrow); B: Guidewire (arrow) passed through the needle into the collection; C: Double pigtail cystogastrostomy catheters (arrow) in the partially drained lesser sac collection; </w:t>
      </w:r>
      <w:r w:rsidR="00375396" w:rsidRPr="00CB49E8">
        <w:rPr>
          <w:rFonts w:ascii="Book Antiqua" w:eastAsia="Book Antiqua" w:hAnsi="Book Antiqua" w:cs="Book Antiqua"/>
          <w:color w:val="000000" w:themeColor="text1"/>
        </w:rPr>
        <w:t xml:space="preserve">D: Axial; E: Sagittal </w:t>
      </w:r>
      <w:r w:rsidR="00635924" w:rsidRPr="00CB49E8">
        <w:rPr>
          <w:rFonts w:ascii="Book Antiqua" w:hAnsi="Book Antiqua" w:cs="Book Antiqua"/>
          <w:color w:val="000000"/>
        </w:rPr>
        <w:t>computed tomography</w:t>
      </w:r>
      <w:r w:rsidR="00375396" w:rsidRPr="00CB49E8">
        <w:rPr>
          <w:rFonts w:ascii="Book Antiqua" w:eastAsia="Book Antiqua" w:hAnsi="Book Antiqua" w:cs="Book Antiqua"/>
          <w:color w:val="000000" w:themeColor="text1"/>
        </w:rPr>
        <w:t xml:space="preserve"> images showing lumen apposing metal stents (arrows).</w:t>
      </w:r>
    </w:p>
    <w:p w14:paraId="196ED4BD" w14:textId="1A22F5FB" w:rsidR="00A77B3E" w:rsidRPr="00CB49E8" w:rsidRDefault="00A77B3E" w:rsidP="007902BA">
      <w:pPr>
        <w:spacing w:line="360" w:lineRule="auto"/>
        <w:jc w:val="both"/>
        <w:rPr>
          <w:rFonts w:ascii="Book Antiqua" w:eastAsia="Book Antiqua" w:hAnsi="Book Antiqua" w:cs="Book Antiqua"/>
          <w:color w:val="000000"/>
        </w:rPr>
      </w:pPr>
    </w:p>
    <w:p w14:paraId="0B2129A6" w14:textId="483D9F6B" w:rsidR="001D6CF5" w:rsidRPr="00CB49E8" w:rsidRDefault="00C978CA" w:rsidP="007902BA">
      <w:pPr>
        <w:spacing w:line="360" w:lineRule="auto"/>
        <w:jc w:val="both"/>
        <w:rPr>
          <w:rFonts w:ascii="Book Antiqua" w:hAnsi="Book Antiqua"/>
        </w:rPr>
      </w:pPr>
      <w:r>
        <w:rPr>
          <w:rFonts w:ascii="Book Antiqua" w:hAnsi="Book Antiqua"/>
          <w:noProof/>
        </w:rPr>
        <w:lastRenderedPageBreak/>
        <w:drawing>
          <wp:inline distT="0" distB="0" distL="0" distR="0" wp14:anchorId="15CBBCAB" wp14:editId="721C7190">
            <wp:extent cx="4231640" cy="34982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640" cy="3498215"/>
                    </a:xfrm>
                    <a:prstGeom prst="rect">
                      <a:avLst/>
                    </a:prstGeom>
                    <a:noFill/>
                    <a:ln>
                      <a:noFill/>
                    </a:ln>
                  </pic:spPr>
                </pic:pic>
              </a:graphicData>
            </a:graphic>
          </wp:inline>
        </w:drawing>
      </w:r>
    </w:p>
    <w:p w14:paraId="4BE41347" w14:textId="52C3B5A9"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5</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Routes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percutaneous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catheter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drainage</w:t>
      </w:r>
      <w:r w:rsidR="001D6CF5"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Retroperitoneal</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Transperitoneal</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Transgastric</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Transhepatic</w:t>
      </w:r>
      <w:r w:rsidR="001D6CF5" w:rsidRPr="00CB49E8">
        <w:rPr>
          <w:rFonts w:ascii="Book Antiqua" w:eastAsia="Book Antiqua" w:hAnsi="Book Antiqua" w:cs="Book Antiqua"/>
          <w:color w:val="000000"/>
        </w:rPr>
        <w:t>.</w:t>
      </w:r>
    </w:p>
    <w:p w14:paraId="391D00D1" w14:textId="257C6E61" w:rsidR="001D6CF5" w:rsidRPr="00CB49E8" w:rsidRDefault="00C978CA" w:rsidP="007902BA">
      <w:pPr>
        <w:spacing w:line="360" w:lineRule="auto"/>
        <w:jc w:val="both"/>
        <w:rPr>
          <w:rFonts w:ascii="Book Antiqua" w:hAnsi="Book Antiqua"/>
        </w:rPr>
      </w:pPr>
      <w:r>
        <w:rPr>
          <w:rFonts w:ascii="Book Antiqua" w:hAnsi="Book Antiqua"/>
          <w:noProof/>
        </w:rPr>
        <w:drawing>
          <wp:inline distT="0" distB="0" distL="0" distR="0" wp14:anchorId="44BDC5FA" wp14:editId="64B5975B">
            <wp:extent cx="4263390" cy="196723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3390" cy="1967230"/>
                    </a:xfrm>
                    <a:prstGeom prst="rect">
                      <a:avLst/>
                    </a:prstGeom>
                    <a:noFill/>
                    <a:ln>
                      <a:noFill/>
                    </a:ln>
                  </pic:spPr>
                </pic:pic>
              </a:graphicData>
            </a:graphic>
          </wp:inline>
        </w:drawing>
      </w:r>
    </w:p>
    <w:p w14:paraId="07C4629D" w14:textId="25F85D87"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6</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Dual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modality</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drainage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in</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different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patients</w:t>
      </w:r>
      <w:r w:rsidR="001D6CF5"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Sagittal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presence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both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lumen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apposing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metal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(LAMS-curved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transperitoneal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percutaneous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catheter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(PCD-straight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Sagittal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section</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Coronal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sections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patient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LAMS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(curved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lesser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component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(straight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paracolic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component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same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utilizing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advantages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both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types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drainages.</w:t>
      </w:r>
    </w:p>
    <w:p w14:paraId="4428C5FB" w14:textId="4ECEF804" w:rsidR="001D6CF5" w:rsidRPr="00CB49E8" w:rsidRDefault="00C978CA" w:rsidP="007902BA">
      <w:pPr>
        <w:spacing w:line="360" w:lineRule="auto"/>
        <w:jc w:val="both"/>
        <w:rPr>
          <w:rFonts w:ascii="Book Antiqua" w:hAnsi="Book Antiqua"/>
        </w:rPr>
      </w:pPr>
      <w:r>
        <w:rPr>
          <w:rFonts w:ascii="Book Antiqua" w:hAnsi="Book Antiqua"/>
          <w:noProof/>
        </w:rPr>
        <w:lastRenderedPageBreak/>
        <w:drawing>
          <wp:inline distT="0" distB="0" distL="0" distR="0" wp14:anchorId="5E30A4DD" wp14:editId="3EFB6E9B">
            <wp:extent cx="4210685" cy="3317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685" cy="3317240"/>
                    </a:xfrm>
                    <a:prstGeom prst="rect">
                      <a:avLst/>
                    </a:prstGeom>
                    <a:noFill/>
                    <a:ln>
                      <a:noFill/>
                    </a:ln>
                  </pic:spPr>
                </pic:pic>
              </a:graphicData>
            </a:graphic>
          </wp:inline>
        </w:drawing>
      </w:r>
    </w:p>
    <w:p w14:paraId="1407D005" w14:textId="583A92C9"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7</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Gastrointestinal</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fistula</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formation</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after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percutaneous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catheter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placement</w:t>
      </w:r>
      <w:r w:rsidR="001D6CF5" w:rsidRPr="00CB49E8">
        <w:rPr>
          <w:rFonts w:ascii="Book Antiqua" w:eastAsia="Book Antiqua" w:hAnsi="Book Antiqua" w:cs="Book Antiqua"/>
          <w:b/>
          <w:bCs/>
          <w:color w:val="000000"/>
        </w:rPr>
        <w: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color w:val="000000"/>
        </w:rPr>
        <w:t>A:</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Pre</w:t>
      </w:r>
      <w:r w:rsidR="00424EDF" w:rsidRPr="00CB49E8">
        <w:rPr>
          <w:rFonts w:ascii="Book Antiqua" w:eastAsia="Book Antiqua" w:hAnsi="Book Antiqua" w:cs="Book Antiqua"/>
          <w:color w:val="000000"/>
        </w:rPr>
        <w:t xml:space="preserve"> </w:t>
      </w:r>
      <w:r w:rsidR="001D6CF5" w:rsidRPr="00CB49E8">
        <w:rPr>
          <w:rFonts w:ascii="Book Antiqua" w:eastAsia="Book Antiqua" w:hAnsi="Book Antiqua" w:cs="Book Antiqua"/>
          <w:color w:val="000000"/>
        </w:rPr>
        <w:t>percutaneous catheter (</w:t>
      </w:r>
      <w:r w:rsidRPr="00CB49E8">
        <w:rPr>
          <w:rFonts w:ascii="Book Antiqua" w:eastAsia="Book Antiqua" w:hAnsi="Book Antiqua" w:cs="Book Antiqua"/>
          <w:color w:val="000000"/>
        </w:rPr>
        <w:t>PCD</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001D6CF5" w:rsidRPr="00CB49E8">
        <w:rPr>
          <w:rFonts w:ascii="Book Antiqua" w:hAnsi="Book Antiqua" w:cs="Book Antiqua"/>
          <w:color w:val="000000"/>
        </w:rPr>
        <w:t>computed tomography</w:t>
      </w:r>
      <w:r w:rsidR="001D6CF5"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CT</w:t>
      </w:r>
      <w:r w:rsidR="001D6CF5"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009D0478" w:rsidRPr="00CB49E8">
        <w:rPr>
          <w:rFonts w:ascii="Book Antiqua" w:eastAsia="Book Antiqua" w:hAnsi="Book Antiqua" w:cs="Book Antiqua"/>
          <w:color w:val="000000"/>
        </w:rPr>
        <w:t>walled off necrosis</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left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paracolic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gutter</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and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subhepatic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space</w:t>
      </w:r>
      <w:r w:rsidR="009D0478"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B:</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Axial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pigtail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situ</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PCG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9D0478"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CT-PCD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gram</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(coronal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communication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of</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collection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descending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with</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contrast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lumen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(arrow)</w:t>
      </w:r>
      <w:r w:rsidR="009D0478" w:rsidRPr="00CB49E8">
        <w:rPr>
          <w:rFonts w:ascii="Book Antiqua" w:eastAsia="Book Antiqua" w:hAnsi="Book Antiqua" w:cs="Book Antiqua"/>
          <w:color w:val="000000"/>
        </w:rPr>
        <w:t>;</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D:</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Colonoscopic</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image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showing</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pigtail</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tip</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in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the</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colon</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color w:val="000000"/>
        </w:rPr>
        <w:t>lumen.</w:t>
      </w:r>
      <w:r w:rsidR="00424EDF" w:rsidRPr="00CB49E8">
        <w:rPr>
          <w:rFonts w:ascii="Book Antiqua" w:eastAsia="Book Antiqua" w:hAnsi="Book Antiqua" w:cs="Book Antiqua"/>
          <w:color w:val="000000"/>
        </w:rPr>
        <w:t xml:space="preserve"> </w:t>
      </w:r>
    </w:p>
    <w:p w14:paraId="5A1E16C0" w14:textId="234BCF9A" w:rsidR="009D0478" w:rsidRPr="00CB49E8" w:rsidRDefault="00C978CA" w:rsidP="007902BA">
      <w:pPr>
        <w:spacing w:line="360" w:lineRule="auto"/>
        <w:jc w:val="both"/>
        <w:rPr>
          <w:rFonts w:ascii="Book Antiqua" w:hAnsi="Book Antiqua"/>
        </w:rPr>
      </w:pPr>
      <w:r>
        <w:rPr>
          <w:rFonts w:ascii="Book Antiqua" w:hAnsi="Book Antiqua"/>
          <w:noProof/>
        </w:rPr>
        <w:lastRenderedPageBreak/>
        <w:drawing>
          <wp:inline distT="0" distB="0" distL="0" distR="0" wp14:anchorId="67EB6CB7" wp14:editId="2EAC4E7D">
            <wp:extent cx="4274185" cy="457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185" cy="4572000"/>
                    </a:xfrm>
                    <a:prstGeom prst="rect">
                      <a:avLst/>
                    </a:prstGeom>
                    <a:noFill/>
                    <a:ln>
                      <a:noFill/>
                    </a:ln>
                  </pic:spPr>
                </pic:pic>
              </a:graphicData>
            </a:graphic>
          </wp:inline>
        </w:drawing>
      </w:r>
    </w:p>
    <w:p w14:paraId="3224C535" w14:textId="3595A338" w:rsidR="00921DD5" w:rsidRPr="00CB49E8" w:rsidRDefault="009A2117" w:rsidP="00921DD5">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8</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Rare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and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overlooked</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complications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percutaneous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catheter</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placement</w:t>
      </w:r>
      <w:r w:rsidR="005C6A67" w:rsidRPr="00CB49E8">
        <w:rPr>
          <w:rFonts w:ascii="Book Antiqua" w:eastAsia="Book Antiqua" w:hAnsi="Book Antiqua" w:cs="Book Antiqua"/>
          <w:b/>
          <w:bCs/>
          <w:color w:val="000000"/>
        </w:rPr>
        <w:t>.</w:t>
      </w:r>
      <w:r w:rsidR="00424EDF" w:rsidRPr="00CB49E8">
        <w:rPr>
          <w:rFonts w:ascii="Book Antiqua" w:eastAsia="Book Antiqua" w:hAnsi="Book Antiqua" w:cs="Book Antiqua"/>
          <w:color w:val="000000"/>
        </w:rPr>
        <w:t xml:space="preserve"> </w:t>
      </w:r>
      <w:r w:rsidR="00921DD5" w:rsidRPr="00CB49E8">
        <w:rPr>
          <w:rFonts w:ascii="Book Antiqua" w:eastAsia="Book Antiqua" w:hAnsi="Book Antiqua" w:cs="Book Antiqua"/>
          <w:color w:val="000000"/>
        </w:rPr>
        <w:t xml:space="preserve">A: Clinical photograph of a patient with percutaneous catheter drainage showing skin changes; B: Skin changes and erosions due to percutaneous catheter percutaneous catheter placement and pericatheter leak in another patient; C: Abdominal Radiograph shows broken catheter (straight arrow) in right iliac fossa. Also note the other part of the same catheter (curved arrow); D: Catheter tip fracture with shaft of catheter (curved arrow) and tip (straight arrow) seen separately on X-Ray and </w:t>
      </w:r>
      <w:r w:rsidR="00921DD5" w:rsidRPr="00CB49E8">
        <w:rPr>
          <w:rFonts w:ascii="Book Antiqua" w:hAnsi="Book Antiqua" w:cs="Book Antiqua"/>
          <w:color w:val="000000"/>
        </w:rPr>
        <w:t>computed tomography</w:t>
      </w:r>
      <w:r w:rsidR="00921DD5" w:rsidRPr="00CB49E8">
        <w:rPr>
          <w:rFonts w:ascii="Book Antiqua" w:eastAsia="Book Antiqua" w:hAnsi="Book Antiqua" w:cs="Book Antiqua"/>
          <w:color w:val="000000"/>
        </w:rPr>
        <w:t>.</w:t>
      </w:r>
    </w:p>
    <w:p w14:paraId="53BC2111" w14:textId="6B7E9A00" w:rsidR="00B10B28" w:rsidRPr="00CB49E8" w:rsidRDefault="00C978CA" w:rsidP="007902BA">
      <w:pPr>
        <w:spacing w:line="360" w:lineRule="auto"/>
        <w:jc w:val="both"/>
        <w:rPr>
          <w:rFonts w:ascii="Book Antiqua" w:hAnsi="Book Antiqua"/>
        </w:rPr>
      </w:pPr>
      <w:r>
        <w:rPr>
          <w:rFonts w:ascii="Book Antiqua" w:hAnsi="Book Antiqua"/>
          <w:noProof/>
        </w:rPr>
        <w:lastRenderedPageBreak/>
        <w:drawing>
          <wp:inline distT="0" distB="0" distL="0" distR="0" wp14:anchorId="15814EEE" wp14:editId="2A5A7671">
            <wp:extent cx="4242435" cy="3519170"/>
            <wp:effectExtent l="0" t="0" r="571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2435" cy="3519170"/>
                    </a:xfrm>
                    <a:prstGeom prst="rect">
                      <a:avLst/>
                    </a:prstGeom>
                    <a:noFill/>
                    <a:ln>
                      <a:noFill/>
                    </a:ln>
                  </pic:spPr>
                </pic:pic>
              </a:graphicData>
            </a:graphic>
          </wp:inline>
        </w:drawing>
      </w:r>
    </w:p>
    <w:p w14:paraId="1C1B4D4B" w14:textId="7F53C722" w:rsidR="00A77B3E"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9</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Direct</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endoscopic</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necrosectomy.</w:t>
      </w:r>
      <w:r w:rsidR="00424EDF" w:rsidRPr="00CB49E8">
        <w:rPr>
          <w:rFonts w:ascii="Book Antiqua" w:eastAsia="Book Antiqua" w:hAnsi="Book Antiqua" w:cs="Book Antiqua"/>
          <w:color w:val="000000"/>
        </w:rPr>
        <w:t xml:space="preserve"> </w:t>
      </w:r>
      <w:r w:rsidR="00EC40BD" w:rsidRPr="00CB49E8">
        <w:rPr>
          <w:rFonts w:ascii="Book Antiqua" w:eastAsia="Book Antiqua" w:hAnsi="Book Antiqua" w:cs="Book Antiqua"/>
          <w:color w:val="000000"/>
        </w:rPr>
        <w:t>A: Endoscopic images showing large amount of necrotic debris within the collection;</w:t>
      </w:r>
      <w:r w:rsidR="00B10B28" w:rsidRPr="00CB49E8">
        <w:rPr>
          <w:rFonts w:ascii="Book Antiqua" w:eastAsia="Book Antiqua" w:hAnsi="Book Antiqua" w:cs="Book Antiqua"/>
          <w:color w:val="000000"/>
        </w:rPr>
        <w:t xml:space="preserve"> </w:t>
      </w:r>
      <w:r w:rsidR="000F0902" w:rsidRPr="00CB49E8">
        <w:rPr>
          <w:rFonts w:ascii="Book Antiqua" w:eastAsia="Book Antiqua" w:hAnsi="Book Antiqua" w:cs="Book Antiqua"/>
          <w:color w:val="000000"/>
        </w:rPr>
        <w:t>B: Snare placed into the necrotic collection using the endoscopic route; C: Partial removal of necrotic debris using snare; D: Dark necrotic residual collection seen with snare in situ</w:t>
      </w:r>
      <w:r w:rsidR="00B10B28" w:rsidRPr="00CB49E8">
        <w:rPr>
          <w:rFonts w:ascii="Book Antiqua" w:eastAsia="Book Antiqua" w:hAnsi="Book Antiqua" w:cs="Book Antiqua"/>
          <w:color w:val="000000"/>
        </w:rPr>
        <w:t>.</w:t>
      </w:r>
    </w:p>
    <w:p w14:paraId="656EC322" w14:textId="6B4AAD2E" w:rsidR="00B10B28" w:rsidRPr="00CB49E8" w:rsidRDefault="00C978CA" w:rsidP="007902BA">
      <w:pPr>
        <w:spacing w:line="360" w:lineRule="auto"/>
        <w:jc w:val="both"/>
        <w:rPr>
          <w:rFonts w:ascii="Book Antiqua" w:hAnsi="Book Antiqua"/>
        </w:rPr>
      </w:pPr>
      <w:r>
        <w:rPr>
          <w:rFonts w:ascii="Book Antiqua" w:hAnsi="Book Antiqua"/>
          <w:noProof/>
        </w:rPr>
        <w:drawing>
          <wp:inline distT="0" distB="0" distL="0" distR="0" wp14:anchorId="074DFC7A" wp14:editId="75AC3A6F">
            <wp:extent cx="4688840" cy="16376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8840" cy="1637665"/>
                    </a:xfrm>
                    <a:prstGeom prst="rect">
                      <a:avLst/>
                    </a:prstGeom>
                    <a:noFill/>
                    <a:ln>
                      <a:noFill/>
                    </a:ln>
                  </pic:spPr>
                </pic:pic>
              </a:graphicData>
            </a:graphic>
          </wp:inline>
        </w:drawing>
      </w:r>
    </w:p>
    <w:p w14:paraId="5E70EDFE" w14:textId="61E6A36B" w:rsidR="00EF0C7A" w:rsidRPr="00CB49E8" w:rsidRDefault="009A2117" w:rsidP="007902BA">
      <w:pPr>
        <w:spacing w:line="360" w:lineRule="auto"/>
        <w:jc w:val="both"/>
        <w:rPr>
          <w:rFonts w:ascii="Book Antiqua" w:eastAsia="Book Antiqua" w:hAnsi="Book Antiqua" w:cs="Book Antiqua"/>
          <w:color w:val="000000"/>
        </w:rPr>
      </w:pPr>
      <w:r w:rsidRPr="00CB49E8">
        <w:rPr>
          <w:rFonts w:ascii="Book Antiqua" w:eastAsia="Book Antiqua" w:hAnsi="Book Antiqua" w:cs="Book Antiqua"/>
          <w:b/>
          <w:bCs/>
          <w:color w:val="000000"/>
        </w:rPr>
        <w:t>Figure</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10</w:t>
      </w:r>
      <w:r w:rsidR="00424EDF" w:rsidRPr="00CB49E8">
        <w:rPr>
          <w:rFonts w:ascii="Book Antiqua" w:eastAsia="Book Antiqua" w:hAnsi="Book Antiqua" w:cs="Book Antiqua"/>
          <w:color w:val="000000"/>
        </w:rPr>
        <w:t xml:space="preserve"> </w:t>
      </w:r>
      <w:r w:rsidRPr="00CB49E8">
        <w:rPr>
          <w:rFonts w:ascii="Book Antiqua" w:eastAsia="Book Antiqua" w:hAnsi="Book Antiqua" w:cs="Book Antiqua"/>
          <w:b/>
          <w:bCs/>
          <w:color w:val="000000"/>
        </w:rPr>
        <w:t>Factors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influencing</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success</w:t>
      </w:r>
      <w:r w:rsidR="00424EDF" w:rsidRPr="00CB49E8">
        <w:rPr>
          <w:rFonts w:ascii="Book Antiqua" w:eastAsia="Book Antiqua" w:hAnsi="Book Antiqua" w:cs="Book Antiqua"/>
          <w:b/>
          <w:bCs/>
          <w:color w:val="000000"/>
        </w:rPr>
        <w:t xml:space="preserve"> </w:t>
      </w:r>
      <w:r w:rsidRPr="00CB49E8">
        <w:rPr>
          <w:rFonts w:ascii="Book Antiqua" w:eastAsia="Book Antiqua" w:hAnsi="Book Antiqua" w:cs="Book Antiqua"/>
          <w:b/>
          <w:bCs/>
          <w:color w:val="000000"/>
        </w:rPr>
        <w:t>of</w:t>
      </w:r>
      <w:r w:rsidR="00424EDF" w:rsidRPr="00CB49E8">
        <w:rPr>
          <w:rFonts w:ascii="Book Antiqua" w:eastAsia="Book Antiqua" w:hAnsi="Book Antiqua" w:cs="Book Antiqua"/>
          <w:b/>
          <w:bCs/>
          <w:color w:val="000000"/>
        </w:rPr>
        <w:t xml:space="preserve"> </w:t>
      </w:r>
      <w:r w:rsidR="00B10B28" w:rsidRPr="00CB49E8">
        <w:rPr>
          <w:rFonts w:ascii="Book Antiqua" w:eastAsia="Book Antiqua" w:hAnsi="Book Antiqua" w:cs="Book Antiqua"/>
          <w:b/>
          <w:bCs/>
          <w:color w:val="000000"/>
        </w:rPr>
        <w:t>percutaneous catheter.</w:t>
      </w:r>
      <w:r w:rsidR="00284273" w:rsidRPr="00CB49E8">
        <w:rPr>
          <w:rFonts w:ascii="Book Antiqua" w:eastAsia="Book Antiqua" w:hAnsi="Book Antiqua" w:cs="Book Antiqua"/>
          <w:b/>
          <w:bCs/>
          <w:color w:val="000000"/>
        </w:rPr>
        <w:t xml:space="preserve"> </w:t>
      </w:r>
      <w:r w:rsidR="00284273" w:rsidRPr="00CB49E8">
        <w:rPr>
          <w:rFonts w:ascii="Book Antiqua" w:eastAsia="Book Antiqua" w:hAnsi="Book Antiqua" w:cs="Book Antiqua"/>
          <w:color w:val="000000"/>
        </w:rPr>
        <w:t>PCD:</w:t>
      </w:r>
      <w:r w:rsidR="00F35371" w:rsidRPr="00CB49E8">
        <w:rPr>
          <w:rFonts w:ascii="Book Antiqua" w:eastAsia="Book Antiqua" w:hAnsi="Book Antiqua" w:cs="Book Antiqua"/>
          <w:color w:val="000000"/>
        </w:rPr>
        <w:t xml:space="preserve"> Percutaneous catheter drainage</w:t>
      </w:r>
      <w:r w:rsidR="00284273" w:rsidRPr="00CB49E8">
        <w:rPr>
          <w:rFonts w:ascii="Book Antiqua" w:eastAsia="Book Antiqua" w:hAnsi="Book Antiqua" w:cs="Book Antiqua"/>
          <w:color w:val="000000"/>
        </w:rPr>
        <w:t>;</w:t>
      </w:r>
      <w:r w:rsidR="00F35371" w:rsidRPr="00CB49E8">
        <w:rPr>
          <w:rFonts w:ascii="Book Antiqua" w:eastAsia="Book Antiqua" w:hAnsi="Book Antiqua" w:cs="Book Antiqua"/>
          <w:color w:val="000000"/>
        </w:rPr>
        <w:t xml:space="preserve"> </w:t>
      </w:r>
      <w:r w:rsidR="00284273" w:rsidRPr="00CB49E8">
        <w:rPr>
          <w:rFonts w:ascii="Book Antiqua" w:eastAsia="Book Antiqua" w:hAnsi="Book Antiqua" w:cs="Book Antiqua"/>
          <w:color w:val="000000"/>
        </w:rPr>
        <w:t xml:space="preserve">APD: </w:t>
      </w:r>
      <w:r w:rsidR="00F35371" w:rsidRPr="00CB49E8">
        <w:rPr>
          <w:rFonts w:ascii="Book Antiqua" w:eastAsia="Book Antiqua" w:hAnsi="Book Antiqua" w:cs="Book Antiqua"/>
          <w:color w:val="000000"/>
        </w:rPr>
        <w:t>Abdominal paracentesis drainage</w:t>
      </w:r>
      <w:r w:rsidR="00284273" w:rsidRPr="00CB49E8">
        <w:rPr>
          <w:rFonts w:ascii="Book Antiqua" w:eastAsia="Book Antiqua" w:hAnsi="Book Antiqua" w:cs="Book Antiqua"/>
          <w:color w:val="000000"/>
        </w:rPr>
        <w:t>;</w:t>
      </w:r>
      <w:r w:rsidR="00F35371" w:rsidRPr="00CB49E8">
        <w:rPr>
          <w:rFonts w:ascii="Book Antiqua" w:eastAsia="Book Antiqua" w:hAnsi="Book Antiqua" w:cs="Book Antiqua"/>
          <w:color w:val="000000"/>
        </w:rPr>
        <w:t xml:space="preserve"> </w:t>
      </w:r>
      <w:r w:rsidR="000F0902" w:rsidRPr="00CB49E8">
        <w:rPr>
          <w:rFonts w:ascii="Book Antiqua" w:eastAsia="Book Antiqua" w:hAnsi="Book Antiqua" w:cs="Book Antiqua"/>
          <w:color w:val="000000"/>
        </w:rPr>
        <w:t>NS: Normal saline; STK: Streptokinase.</w:t>
      </w:r>
    </w:p>
    <w:p w14:paraId="68182EB0" w14:textId="77777777" w:rsidR="00EF0C7A" w:rsidRPr="00CB49E8" w:rsidRDefault="00EF0C7A">
      <w:pPr>
        <w:rPr>
          <w:rFonts w:ascii="Book Antiqua" w:eastAsia="Book Antiqua" w:hAnsi="Book Antiqua" w:cs="Book Antiqua"/>
          <w:color w:val="000000"/>
        </w:rPr>
      </w:pPr>
      <w:r w:rsidRPr="00CB49E8">
        <w:rPr>
          <w:rFonts w:ascii="Book Antiqua" w:eastAsia="Book Antiqua" w:hAnsi="Book Antiqua" w:cs="Book Antiqua"/>
          <w:color w:val="000000"/>
        </w:rPr>
        <w:br w:type="page"/>
      </w:r>
    </w:p>
    <w:p w14:paraId="02C40895" w14:textId="77777777" w:rsidR="00EF0C7A" w:rsidRPr="00CB49E8" w:rsidRDefault="00EF0C7A" w:rsidP="00EF0C7A">
      <w:pPr>
        <w:ind w:leftChars="100" w:left="240"/>
        <w:jc w:val="center"/>
        <w:rPr>
          <w:rFonts w:ascii="Book Antiqua" w:hAnsi="Book Antiqua"/>
          <w:lang w:val="pt-BR" w:eastAsia="zh-CN"/>
        </w:rPr>
      </w:pPr>
      <w:bookmarkStart w:id="9" w:name="_Hlk88512952"/>
    </w:p>
    <w:p w14:paraId="3589EC29" w14:textId="77777777" w:rsidR="00EF0C7A" w:rsidRPr="00CB49E8" w:rsidRDefault="00EF0C7A" w:rsidP="00EF0C7A">
      <w:pPr>
        <w:ind w:leftChars="100" w:left="240"/>
        <w:jc w:val="center"/>
        <w:rPr>
          <w:rFonts w:ascii="Book Antiqua" w:hAnsi="Book Antiqua"/>
          <w:lang w:val="pt-BR" w:eastAsia="zh-CN"/>
        </w:rPr>
      </w:pPr>
    </w:p>
    <w:p w14:paraId="0735A4F0" w14:textId="77777777" w:rsidR="00EF0C7A" w:rsidRPr="00CB49E8" w:rsidRDefault="00EF0C7A" w:rsidP="00EF0C7A">
      <w:pPr>
        <w:ind w:leftChars="100" w:left="240"/>
        <w:jc w:val="center"/>
        <w:rPr>
          <w:rFonts w:ascii="Book Antiqua" w:hAnsi="Book Antiqua"/>
          <w:lang w:val="pt-BR" w:eastAsia="zh-CN"/>
        </w:rPr>
      </w:pPr>
    </w:p>
    <w:p w14:paraId="30052C9B" w14:textId="77777777" w:rsidR="00EF0C7A" w:rsidRPr="00CB49E8" w:rsidRDefault="00EF0C7A" w:rsidP="00EF0C7A">
      <w:pPr>
        <w:ind w:leftChars="100" w:left="240"/>
        <w:jc w:val="center"/>
        <w:rPr>
          <w:rFonts w:ascii="Book Antiqua" w:hAnsi="Book Antiqua"/>
          <w:lang w:val="pt-BR" w:eastAsia="zh-CN"/>
        </w:rPr>
      </w:pPr>
    </w:p>
    <w:p w14:paraId="518D1099" w14:textId="77777777" w:rsidR="00EF0C7A" w:rsidRPr="00CB49E8" w:rsidRDefault="00EF0C7A" w:rsidP="00EF0C7A">
      <w:pPr>
        <w:ind w:leftChars="100" w:left="240"/>
        <w:jc w:val="center"/>
        <w:rPr>
          <w:rFonts w:ascii="Book Antiqua" w:hAnsi="Book Antiqua"/>
          <w:lang w:eastAsia="zh-CN"/>
        </w:rPr>
      </w:pPr>
      <w:r w:rsidRPr="00CB49E8">
        <w:rPr>
          <w:rFonts w:ascii="Book Antiqua" w:hAnsi="Book Antiqua"/>
          <w:noProof/>
          <w:lang w:eastAsia="zh-CN"/>
        </w:rPr>
        <w:drawing>
          <wp:inline distT="0" distB="0" distL="0" distR="0" wp14:anchorId="0DF2EA1E" wp14:editId="3B0C3CF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C292B4" w14:textId="77777777" w:rsidR="00EF0C7A" w:rsidRPr="00CB49E8" w:rsidRDefault="00EF0C7A" w:rsidP="00EF0C7A">
      <w:pPr>
        <w:ind w:leftChars="100" w:left="240"/>
        <w:jc w:val="center"/>
        <w:rPr>
          <w:rFonts w:ascii="Book Antiqua" w:hAnsi="Book Antiqua"/>
          <w:lang w:eastAsia="zh-CN"/>
        </w:rPr>
      </w:pPr>
    </w:p>
    <w:p w14:paraId="6282C40D" w14:textId="77777777" w:rsidR="00EF0C7A" w:rsidRPr="00CB49E8" w:rsidRDefault="00EF0C7A" w:rsidP="00EF0C7A">
      <w:pPr>
        <w:autoSpaceDE w:val="0"/>
        <w:autoSpaceDN w:val="0"/>
        <w:adjustRightInd w:val="0"/>
        <w:ind w:leftChars="100" w:left="240"/>
        <w:jc w:val="center"/>
        <w:rPr>
          <w:rFonts w:ascii="Book Antiqua" w:eastAsia="Garamond-Bold" w:hAnsi="Book Antiqua" w:cs="Garamond-Bold"/>
          <w:b/>
          <w:bCs/>
          <w:color w:val="000000"/>
          <w:sz w:val="28"/>
          <w:szCs w:val="28"/>
        </w:rPr>
      </w:pPr>
      <w:r w:rsidRPr="00CB49E8">
        <w:rPr>
          <w:rFonts w:ascii="Book Antiqua" w:eastAsia="TimesNewRomanPSMT" w:hAnsi="Book Antiqua" w:cs="TimesNewRomanPSMT"/>
          <w:color w:val="000000"/>
          <w:sz w:val="28"/>
          <w:szCs w:val="28"/>
        </w:rPr>
        <w:t xml:space="preserve">Published by </w:t>
      </w:r>
      <w:r w:rsidRPr="00CB49E8">
        <w:rPr>
          <w:rFonts w:ascii="Book Antiqua" w:eastAsia="Garamond-Bold" w:hAnsi="Book Antiqua" w:cs="Garamond-Bold"/>
          <w:b/>
          <w:bCs/>
          <w:color w:val="000000"/>
          <w:sz w:val="28"/>
          <w:szCs w:val="28"/>
        </w:rPr>
        <w:t>Baishideng Publishing Group Inc</w:t>
      </w:r>
    </w:p>
    <w:p w14:paraId="4DA81D8F" w14:textId="77777777" w:rsidR="00EF0C7A" w:rsidRPr="00CB49E8" w:rsidRDefault="00EF0C7A" w:rsidP="00EF0C7A">
      <w:pPr>
        <w:autoSpaceDE w:val="0"/>
        <w:autoSpaceDN w:val="0"/>
        <w:adjustRightInd w:val="0"/>
        <w:ind w:leftChars="100" w:left="240"/>
        <w:jc w:val="center"/>
        <w:rPr>
          <w:rFonts w:ascii="Book Antiqua" w:eastAsia="TimesNewRomanPSMT" w:hAnsi="Book Antiqua" w:cs="Garamond"/>
          <w:color w:val="000000"/>
          <w:sz w:val="28"/>
          <w:szCs w:val="28"/>
        </w:rPr>
      </w:pPr>
      <w:r w:rsidRPr="00CB49E8">
        <w:rPr>
          <w:rFonts w:ascii="Book Antiqua" w:eastAsia="TimesNewRomanPSMT" w:hAnsi="Book Antiqua" w:cs="Garamond"/>
          <w:color w:val="000000"/>
          <w:sz w:val="28"/>
          <w:szCs w:val="28"/>
        </w:rPr>
        <w:t>7041 Koll Center Parkway, Suite 160, Pleasanton, CA 94566, USA</w:t>
      </w:r>
    </w:p>
    <w:p w14:paraId="4582D3EF" w14:textId="77777777" w:rsidR="00EF0C7A" w:rsidRPr="00CB49E8" w:rsidRDefault="00EF0C7A" w:rsidP="00EF0C7A">
      <w:pPr>
        <w:autoSpaceDE w:val="0"/>
        <w:autoSpaceDN w:val="0"/>
        <w:adjustRightInd w:val="0"/>
        <w:ind w:leftChars="100" w:left="240"/>
        <w:jc w:val="center"/>
        <w:rPr>
          <w:rFonts w:ascii="Book Antiqua" w:eastAsia="TimesNewRomanPSMT" w:hAnsi="Book Antiqua" w:cs="Garamond"/>
          <w:color w:val="000000"/>
          <w:sz w:val="28"/>
          <w:szCs w:val="28"/>
        </w:rPr>
      </w:pPr>
      <w:r w:rsidRPr="00CB49E8">
        <w:rPr>
          <w:rFonts w:ascii="Book Antiqua" w:eastAsia="Garamond-Bold" w:hAnsi="Book Antiqua" w:cs="Garamond-Bold"/>
          <w:b/>
          <w:bCs/>
          <w:color w:val="000000"/>
          <w:sz w:val="28"/>
          <w:szCs w:val="28"/>
        </w:rPr>
        <w:t xml:space="preserve">Telephone: </w:t>
      </w:r>
      <w:r w:rsidRPr="00CB49E8">
        <w:rPr>
          <w:rFonts w:ascii="Book Antiqua" w:eastAsia="TimesNewRomanPSMT" w:hAnsi="Book Antiqua" w:cs="Garamond"/>
          <w:color w:val="000000"/>
          <w:sz w:val="28"/>
          <w:szCs w:val="28"/>
        </w:rPr>
        <w:t>+1-925-3991568</w:t>
      </w:r>
    </w:p>
    <w:p w14:paraId="4709619F" w14:textId="77777777" w:rsidR="00EF0C7A" w:rsidRPr="00CB49E8" w:rsidRDefault="00EF0C7A" w:rsidP="00EF0C7A">
      <w:pPr>
        <w:autoSpaceDE w:val="0"/>
        <w:autoSpaceDN w:val="0"/>
        <w:adjustRightInd w:val="0"/>
        <w:ind w:leftChars="100" w:left="240"/>
        <w:jc w:val="center"/>
        <w:rPr>
          <w:rFonts w:ascii="Book Antiqua" w:eastAsia="TimesNewRomanPSMT" w:hAnsi="Book Antiqua" w:cs="Garamond"/>
          <w:color w:val="D56400"/>
          <w:sz w:val="28"/>
          <w:szCs w:val="28"/>
        </w:rPr>
      </w:pPr>
      <w:r w:rsidRPr="00CB49E8">
        <w:rPr>
          <w:rFonts w:ascii="Book Antiqua" w:eastAsia="Garamond-Bold" w:hAnsi="Book Antiqua" w:cs="Garamond-Bold"/>
          <w:b/>
          <w:bCs/>
          <w:color w:val="000000"/>
          <w:sz w:val="28"/>
          <w:szCs w:val="28"/>
        </w:rPr>
        <w:t xml:space="preserve">E-mail: </w:t>
      </w:r>
      <w:r w:rsidRPr="00CB49E8">
        <w:rPr>
          <w:rFonts w:ascii="Book Antiqua" w:eastAsia="TimesNewRomanPSMT" w:hAnsi="Book Antiqua" w:cs="Garamond"/>
          <w:color w:val="D56400"/>
          <w:sz w:val="28"/>
          <w:szCs w:val="28"/>
        </w:rPr>
        <w:t>bpgoffice@wjgnet.com</w:t>
      </w:r>
    </w:p>
    <w:p w14:paraId="4DF2FCE2" w14:textId="77777777" w:rsidR="00EF0C7A" w:rsidRPr="00CB49E8" w:rsidRDefault="00EF0C7A" w:rsidP="00EF0C7A">
      <w:pPr>
        <w:autoSpaceDE w:val="0"/>
        <w:autoSpaceDN w:val="0"/>
        <w:adjustRightInd w:val="0"/>
        <w:ind w:leftChars="100" w:left="240"/>
        <w:jc w:val="center"/>
        <w:rPr>
          <w:rFonts w:ascii="Book Antiqua" w:eastAsia="TimesNewRomanPSMT" w:hAnsi="Book Antiqua" w:cs="Garamond"/>
          <w:color w:val="D56400"/>
          <w:sz w:val="28"/>
          <w:szCs w:val="28"/>
        </w:rPr>
      </w:pPr>
      <w:r w:rsidRPr="00CB49E8">
        <w:rPr>
          <w:rFonts w:ascii="Book Antiqua" w:eastAsia="Garamond-Bold" w:hAnsi="Book Antiqua" w:cs="Garamond-Bold"/>
          <w:b/>
          <w:bCs/>
          <w:color w:val="000000"/>
          <w:sz w:val="28"/>
          <w:szCs w:val="28"/>
        </w:rPr>
        <w:t xml:space="preserve">Help Desk: </w:t>
      </w:r>
      <w:r w:rsidRPr="00CB49E8">
        <w:rPr>
          <w:rFonts w:ascii="Book Antiqua" w:eastAsia="TimesNewRomanPSMT" w:hAnsi="Book Antiqua" w:cs="Garamond"/>
          <w:color w:val="D56400"/>
          <w:sz w:val="28"/>
          <w:szCs w:val="28"/>
        </w:rPr>
        <w:t>https://www.f6publishing.com/helpdesk</w:t>
      </w:r>
    </w:p>
    <w:p w14:paraId="7DDC480F" w14:textId="77777777" w:rsidR="00EF0C7A" w:rsidRPr="00CB49E8" w:rsidRDefault="00EF0C7A" w:rsidP="00EF0C7A">
      <w:pPr>
        <w:ind w:leftChars="100" w:left="240"/>
        <w:jc w:val="center"/>
        <w:rPr>
          <w:rFonts w:ascii="Book Antiqua" w:hAnsi="Book Antiqua"/>
          <w:lang w:eastAsia="zh-CN"/>
        </w:rPr>
      </w:pPr>
      <w:r w:rsidRPr="00CB49E8">
        <w:rPr>
          <w:rFonts w:ascii="Book Antiqua" w:eastAsia="TimesNewRomanPSMT" w:hAnsi="Book Antiqua" w:cs="Garamond"/>
          <w:color w:val="D56400"/>
          <w:sz w:val="28"/>
          <w:szCs w:val="28"/>
        </w:rPr>
        <w:t>https://www.wjgnet.com</w:t>
      </w:r>
    </w:p>
    <w:p w14:paraId="06C55F1D" w14:textId="77777777" w:rsidR="00EF0C7A" w:rsidRPr="00CB49E8" w:rsidRDefault="00EF0C7A" w:rsidP="00EF0C7A">
      <w:pPr>
        <w:ind w:leftChars="100" w:left="240"/>
        <w:jc w:val="center"/>
        <w:rPr>
          <w:rFonts w:ascii="Book Antiqua" w:hAnsi="Book Antiqua"/>
          <w:lang w:eastAsia="zh-CN"/>
        </w:rPr>
      </w:pPr>
    </w:p>
    <w:p w14:paraId="5CDE9228" w14:textId="77777777" w:rsidR="00EF0C7A" w:rsidRPr="00CB49E8" w:rsidRDefault="00EF0C7A" w:rsidP="00EF0C7A">
      <w:pPr>
        <w:ind w:leftChars="100" w:left="240"/>
        <w:jc w:val="center"/>
        <w:rPr>
          <w:rFonts w:ascii="Book Antiqua" w:hAnsi="Book Antiqua"/>
          <w:lang w:eastAsia="zh-CN"/>
        </w:rPr>
      </w:pPr>
    </w:p>
    <w:p w14:paraId="6199F254" w14:textId="77777777" w:rsidR="00EF0C7A" w:rsidRPr="00CB49E8" w:rsidRDefault="00EF0C7A" w:rsidP="00EF0C7A">
      <w:pPr>
        <w:ind w:leftChars="100" w:left="240"/>
        <w:jc w:val="center"/>
        <w:rPr>
          <w:rFonts w:ascii="Book Antiqua" w:hAnsi="Book Antiqua"/>
          <w:lang w:eastAsia="zh-CN"/>
        </w:rPr>
      </w:pPr>
    </w:p>
    <w:p w14:paraId="69F26CA3" w14:textId="77777777" w:rsidR="00EF0C7A" w:rsidRPr="00CB49E8" w:rsidRDefault="00EF0C7A" w:rsidP="00EF0C7A">
      <w:pPr>
        <w:ind w:leftChars="100" w:left="240"/>
        <w:jc w:val="center"/>
        <w:rPr>
          <w:rFonts w:ascii="Book Antiqua" w:hAnsi="Book Antiqua"/>
          <w:lang w:eastAsia="zh-CN"/>
        </w:rPr>
      </w:pPr>
      <w:r w:rsidRPr="00CB49E8">
        <w:rPr>
          <w:rFonts w:ascii="Book Antiqua" w:hAnsi="Book Antiqua"/>
          <w:noProof/>
          <w:lang w:eastAsia="zh-CN"/>
        </w:rPr>
        <w:drawing>
          <wp:inline distT="0" distB="0" distL="0" distR="0" wp14:anchorId="5F8CA9AC" wp14:editId="32561DAD">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3E872E" w14:textId="77777777" w:rsidR="00EF0C7A" w:rsidRPr="00CB49E8" w:rsidRDefault="00EF0C7A" w:rsidP="00EF0C7A">
      <w:pPr>
        <w:ind w:leftChars="100" w:left="240"/>
        <w:jc w:val="center"/>
        <w:rPr>
          <w:rFonts w:ascii="Book Antiqua" w:hAnsi="Book Antiqua"/>
          <w:lang w:eastAsia="zh-CN"/>
        </w:rPr>
      </w:pPr>
    </w:p>
    <w:p w14:paraId="3DD49AA5" w14:textId="77777777" w:rsidR="00EF0C7A" w:rsidRPr="00CB49E8" w:rsidRDefault="00EF0C7A" w:rsidP="00EF0C7A">
      <w:pPr>
        <w:ind w:leftChars="100" w:left="240"/>
        <w:jc w:val="center"/>
        <w:rPr>
          <w:rFonts w:ascii="Book Antiqua" w:hAnsi="Book Antiqua"/>
          <w:lang w:eastAsia="zh-CN"/>
        </w:rPr>
      </w:pPr>
    </w:p>
    <w:p w14:paraId="203D88DB" w14:textId="77777777" w:rsidR="00EF0C7A" w:rsidRPr="00CB49E8" w:rsidRDefault="00EF0C7A" w:rsidP="00EF0C7A">
      <w:pPr>
        <w:ind w:leftChars="100" w:left="240"/>
        <w:jc w:val="center"/>
        <w:rPr>
          <w:rFonts w:ascii="Book Antiqua" w:hAnsi="Book Antiqua"/>
          <w:lang w:eastAsia="zh-CN"/>
        </w:rPr>
      </w:pPr>
    </w:p>
    <w:p w14:paraId="73B7F606" w14:textId="77777777" w:rsidR="00EF0C7A" w:rsidRPr="00CB49E8" w:rsidRDefault="00EF0C7A" w:rsidP="00EF0C7A">
      <w:pPr>
        <w:ind w:leftChars="100" w:left="240"/>
        <w:jc w:val="center"/>
        <w:rPr>
          <w:rFonts w:ascii="Book Antiqua" w:hAnsi="Book Antiqua"/>
          <w:lang w:eastAsia="zh-CN"/>
        </w:rPr>
      </w:pPr>
    </w:p>
    <w:p w14:paraId="7366346B" w14:textId="77777777" w:rsidR="00EF0C7A" w:rsidRPr="00CB49E8" w:rsidRDefault="00EF0C7A" w:rsidP="00EF0C7A">
      <w:pPr>
        <w:ind w:leftChars="100" w:left="240"/>
        <w:jc w:val="center"/>
        <w:rPr>
          <w:rFonts w:ascii="Book Antiqua" w:hAnsi="Book Antiqua"/>
          <w:lang w:eastAsia="zh-CN"/>
        </w:rPr>
      </w:pPr>
    </w:p>
    <w:p w14:paraId="32F5F0F9" w14:textId="77777777" w:rsidR="00EF0C7A" w:rsidRPr="00CB49E8" w:rsidRDefault="00EF0C7A" w:rsidP="00EF0C7A">
      <w:pPr>
        <w:ind w:leftChars="100" w:left="240"/>
        <w:jc w:val="center"/>
        <w:rPr>
          <w:rFonts w:ascii="Book Antiqua" w:hAnsi="Book Antiqua"/>
          <w:lang w:eastAsia="zh-CN"/>
        </w:rPr>
      </w:pPr>
    </w:p>
    <w:p w14:paraId="202A3CED" w14:textId="77777777" w:rsidR="00EF0C7A" w:rsidRPr="00CB49E8" w:rsidRDefault="00EF0C7A" w:rsidP="00EF0C7A">
      <w:pPr>
        <w:ind w:leftChars="100" w:left="240"/>
        <w:jc w:val="center"/>
        <w:rPr>
          <w:rFonts w:ascii="Book Antiqua" w:hAnsi="Book Antiqua"/>
          <w:lang w:eastAsia="zh-CN"/>
        </w:rPr>
      </w:pPr>
    </w:p>
    <w:p w14:paraId="0F7019FB" w14:textId="77777777" w:rsidR="00EF0C7A" w:rsidRPr="00CB49E8" w:rsidRDefault="00EF0C7A" w:rsidP="00EF0C7A">
      <w:pPr>
        <w:ind w:leftChars="100" w:left="240"/>
        <w:jc w:val="center"/>
        <w:rPr>
          <w:rFonts w:ascii="Book Antiqua" w:hAnsi="Book Antiqua"/>
          <w:lang w:eastAsia="zh-CN"/>
        </w:rPr>
      </w:pPr>
    </w:p>
    <w:p w14:paraId="5AA16968" w14:textId="77777777" w:rsidR="00EF0C7A" w:rsidRPr="00CB49E8" w:rsidRDefault="00EF0C7A" w:rsidP="00EF0C7A">
      <w:pPr>
        <w:ind w:leftChars="100" w:left="240"/>
        <w:jc w:val="center"/>
        <w:rPr>
          <w:rFonts w:ascii="Book Antiqua" w:hAnsi="Book Antiqua"/>
          <w:lang w:eastAsia="zh-CN"/>
        </w:rPr>
      </w:pPr>
    </w:p>
    <w:p w14:paraId="7D558F99" w14:textId="77777777" w:rsidR="00EF0C7A" w:rsidRPr="00CB49E8" w:rsidRDefault="00EF0C7A" w:rsidP="00EF0C7A">
      <w:pPr>
        <w:ind w:leftChars="100" w:left="240"/>
        <w:jc w:val="right"/>
        <w:rPr>
          <w:rFonts w:ascii="Book Antiqua" w:hAnsi="Book Antiqua"/>
          <w:color w:val="000000" w:themeColor="text1"/>
          <w:lang w:eastAsia="zh-CN"/>
        </w:rPr>
      </w:pPr>
    </w:p>
    <w:p w14:paraId="5672D219" w14:textId="77777777" w:rsidR="00EF0C7A" w:rsidRPr="00763D22" w:rsidRDefault="00EF0C7A" w:rsidP="00EF0C7A">
      <w:pPr>
        <w:ind w:leftChars="100" w:left="240"/>
        <w:jc w:val="center"/>
        <w:rPr>
          <w:rFonts w:ascii="Book Antiqua" w:hAnsi="Book Antiqua"/>
          <w:color w:val="000000" w:themeColor="text1"/>
          <w:lang w:eastAsia="zh-CN"/>
        </w:rPr>
      </w:pPr>
      <w:r w:rsidRPr="00CB49E8">
        <w:rPr>
          <w:rFonts w:ascii="Book Antiqua" w:eastAsia="BookAntiqua-Bold" w:hAnsi="Book Antiqua" w:cs="BookAntiqua-Bold"/>
          <w:b/>
          <w:bCs/>
          <w:color w:val="000000" w:themeColor="text1"/>
        </w:rPr>
        <w:t>© 2022 Baishideng Publishing Group Inc. All rights reserved.</w:t>
      </w:r>
      <w:r w:rsidRPr="00CB49E8">
        <w:rPr>
          <w:rFonts w:ascii="Book Antiqua" w:hAnsi="Book Antiqua"/>
          <w:color w:val="000000" w:themeColor="text1"/>
          <w:lang w:eastAsia="zh-CN"/>
        </w:rPr>
        <w:fldChar w:fldCharType="begin"/>
      </w:r>
      <w:r w:rsidRPr="00CB49E8">
        <w:rPr>
          <w:rFonts w:ascii="Book Antiqua" w:hAnsi="Book Antiqua"/>
          <w:color w:val="000000" w:themeColor="text1"/>
          <w:lang w:eastAsia="zh-CN"/>
        </w:rPr>
        <w:instrText xml:space="preserve"> ADDIN EN.REFLIST </w:instrText>
      </w:r>
      <w:r w:rsidRPr="00CB49E8">
        <w:rPr>
          <w:rFonts w:ascii="Book Antiqua" w:hAnsi="Book Antiqua"/>
          <w:color w:val="000000" w:themeColor="text1"/>
          <w:lang w:eastAsia="zh-CN"/>
        </w:rPr>
        <w:fldChar w:fldCharType="end"/>
      </w:r>
      <w:bookmarkEnd w:id="9"/>
    </w:p>
    <w:p w14:paraId="6741C9C6" w14:textId="77777777" w:rsidR="00A77B3E" w:rsidRPr="00F35371" w:rsidRDefault="00A77B3E" w:rsidP="007902BA">
      <w:pPr>
        <w:spacing w:line="360" w:lineRule="auto"/>
        <w:jc w:val="both"/>
        <w:rPr>
          <w:rFonts w:ascii="Book Antiqua" w:hAnsi="Book Antiqua"/>
        </w:rPr>
      </w:pPr>
    </w:p>
    <w:sectPr w:rsidR="00A77B3E" w:rsidRPr="00F35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5C3FE" w14:textId="77777777" w:rsidR="00A16804" w:rsidRDefault="00A16804" w:rsidP="00281C37">
      <w:r>
        <w:separator/>
      </w:r>
    </w:p>
  </w:endnote>
  <w:endnote w:type="continuationSeparator" w:id="0">
    <w:p w14:paraId="5A79F992" w14:textId="77777777" w:rsidR="00A16804" w:rsidRDefault="00A16804" w:rsidP="0028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C673" w14:textId="41414379" w:rsidR="00281C37" w:rsidRPr="00281C37" w:rsidRDefault="00424EDF" w:rsidP="00281C37">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rPr>
      <w:fldChar w:fldCharType="begin"/>
    </w:r>
    <w:r w:rsidR="00281C37" w:rsidRPr="00281C37">
      <w:rPr>
        <w:rFonts w:ascii="Book Antiqua" w:hAnsi="Book Antiqua"/>
        <w:color w:val="000000" w:themeColor="text1"/>
        <w:sz w:val="24"/>
        <w:szCs w:val="24"/>
      </w:rPr>
      <w:instrText>PAGE  \* Arabic  \* MERGEFORMAT</w:instrText>
    </w:r>
    <w:r w:rsidR="00281C37" w:rsidRPr="00281C37">
      <w:rPr>
        <w:rFonts w:ascii="Book Antiqua" w:hAnsi="Book Antiqua"/>
        <w:color w:val="000000" w:themeColor="text1"/>
        <w:sz w:val="24"/>
        <w:szCs w:val="24"/>
      </w:rPr>
      <w:fldChar w:fldCharType="separate"/>
    </w:r>
    <w:r w:rsidR="00281C37" w:rsidRPr="00281C37">
      <w:rPr>
        <w:rFonts w:ascii="Book Antiqua" w:hAnsi="Book Antiqua"/>
        <w:color w:val="000000" w:themeColor="text1"/>
        <w:sz w:val="24"/>
        <w:szCs w:val="24"/>
        <w:lang w:val="zh-CN" w:eastAsia="zh-CN"/>
      </w:rPr>
      <w:t>2</w:t>
    </w:r>
    <w:r w:rsidR="00281C37" w:rsidRPr="00281C37">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rPr>
      <w:fldChar w:fldCharType="begin"/>
    </w:r>
    <w:r w:rsidR="00281C37" w:rsidRPr="00281C37">
      <w:rPr>
        <w:rFonts w:ascii="Book Antiqua" w:hAnsi="Book Antiqua"/>
        <w:color w:val="000000" w:themeColor="text1"/>
        <w:sz w:val="24"/>
        <w:szCs w:val="24"/>
      </w:rPr>
      <w:instrText>NUMPAGES  \* Arabic  \* MERGEFORMAT</w:instrText>
    </w:r>
    <w:r w:rsidR="00281C37" w:rsidRPr="00281C37">
      <w:rPr>
        <w:rFonts w:ascii="Book Antiqua" w:hAnsi="Book Antiqua"/>
        <w:color w:val="000000" w:themeColor="text1"/>
        <w:sz w:val="24"/>
        <w:szCs w:val="24"/>
      </w:rPr>
      <w:fldChar w:fldCharType="separate"/>
    </w:r>
    <w:r w:rsidR="00281C37" w:rsidRPr="00281C37">
      <w:rPr>
        <w:rFonts w:ascii="Book Antiqua" w:hAnsi="Book Antiqua"/>
        <w:color w:val="000000" w:themeColor="text1"/>
        <w:sz w:val="24"/>
        <w:szCs w:val="24"/>
        <w:lang w:val="zh-CN" w:eastAsia="zh-CN"/>
      </w:rPr>
      <w:t>2</w:t>
    </w:r>
    <w:r w:rsidR="00281C37" w:rsidRPr="00281C37">
      <w:rPr>
        <w:rFonts w:ascii="Book Antiqua" w:hAnsi="Book Antiqua"/>
        <w:color w:val="000000" w:themeColor="text1"/>
        <w:sz w:val="24"/>
        <w:szCs w:val="24"/>
      </w:rPr>
      <w:fldChar w:fldCharType="end"/>
    </w:r>
  </w:p>
  <w:p w14:paraId="2F48C8AC" w14:textId="77777777" w:rsidR="00281C37" w:rsidRDefault="00281C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7614" w14:textId="77777777" w:rsidR="00A16804" w:rsidRDefault="00A16804" w:rsidP="00281C37">
      <w:r>
        <w:separator/>
      </w:r>
    </w:p>
  </w:footnote>
  <w:footnote w:type="continuationSeparator" w:id="0">
    <w:p w14:paraId="4C1DEEB9" w14:textId="77777777" w:rsidR="00A16804" w:rsidRDefault="00A16804" w:rsidP="00281C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9FF"/>
    <w:rsid w:val="000830B1"/>
    <w:rsid w:val="00094F07"/>
    <w:rsid w:val="000A342F"/>
    <w:rsid w:val="000B5AE3"/>
    <w:rsid w:val="000D5899"/>
    <w:rsid w:val="000F0902"/>
    <w:rsid w:val="001127B5"/>
    <w:rsid w:val="00136890"/>
    <w:rsid w:val="00146B37"/>
    <w:rsid w:val="00146C0F"/>
    <w:rsid w:val="00172FF4"/>
    <w:rsid w:val="00177C37"/>
    <w:rsid w:val="00180AC1"/>
    <w:rsid w:val="001B1B4F"/>
    <w:rsid w:val="001D6CF5"/>
    <w:rsid w:val="001E6132"/>
    <w:rsid w:val="00206973"/>
    <w:rsid w:val="002510F0"/>
    <w:rsid w:val="002815AB"/>
    <w:rsid w:val="00281C37"/>
    <w:rsid w:val="00284273"/>
    <w:rsid w:val="0028539F"/>
    <w:rsid w:val="002A7EB2"/>
    <w:rsid w:val="002C1EBD"/>
    <w:rsid w:val="002D4748"/>
    <w:rsid w:val="002F6A09"/>
    <w:rsid w:val="00302CD3"/>
    <w:rsid w:val="00317F96"/>
    <w:rsid w:val="00375396"/>
    <w:rsid w:val="00395ED4"/>
    <w:rsid w:val="003A065D"/>
    <w:rsid w:val="003B6741"/>
    <w:rsid w:val="003D65DC"/>
    <w:rsid w:val="003D7C3B"/>
    <w:rsid w:val="004036DC"/>
    <w:rsid w:val="004066CB"/>
    <w:rsid w:val="00406728"/>
    <w:rsid w:val="004235BC"/>
    <w:rsid w:val="00423837"/>
    <w:rsid w:val="00424EDF"/>
    <w:rsid w:val="00425B22"/>
    <w:rsid w:val="004A4206"/>
    <w:rsid w:val="004D6454"/>
    <w:rsid w:val="00540583"/>
    <w:rsid w:val="0054760F"/>
    <w:rsid w:val="00556422"/>
    <w:rsid w:val="0059552F"/>
    <w:rsid w:val="005A779C"/>
    <w:rsid w:val="005C3825"/>
    <w:rsid w:val="005C6A67"/>
    <w:rsid w:val="00635924"/>
    <w:rsid w:val="006361C4"/>
    <w:rsid w:val="00646230"/>
    <w:rsid w:val="00670168"/>
    <w:rsid w:val="00682DAF"/>
    <w:rsid w:val="00683ABC"/>
    <w:rsid w:val="006D58FC"/>
    <w:rsid w:val="006F487C"/>
    <w:rsid w:val="007070F3"/>
    <w:rsid w:val="00710D18"/>
    <w:rsid w:val="007902BA"/>
    <w:rsid w:val="007A7E2E"/>
    <w:rsid w:val="007C35A3"/>
    <w:rsid w:val="007C5584"/>
    <w:rsid w:val="00803059"/>
    <w:rsid w:val="00807493"/>
    <w:rsid w:val="00812E18"/>
    <w:rsid w:val="008251DE"/>
    <w:rsid w:val="00844228"/>
    <w:rsid w:val="008630BD"/>
    <w:rsid w:val="008A5B7E"/>
    <w:rsid w:val="008B6AA8"/>
    <w:rsid w:val="008D2584"/>
    <w:rsid w:val="008F6FD8"/>
    <w:rsid w:val="00921DD5"/>
    <w:rsid w:val="00927A67"/>
    <w:rsid w:val="00946497"/>
    <w:rsid w:val="00984732"/>
    <w:rsid w:val="009976B8"/>
    <w:rsid w:val="009A2117"/>
    <w:rsid w:val="009D0478"/>
    <w:rsid w:val="009E2507"/>
    <w:rsid w:val="00A16804"/>
    <w:rsid w:val="00A42324"/>
    <w:rsid w:val="00A44328"/>
    <w:rsid w:val="00A62A97"/>
    <w:rsid w:val="00A67179"/>
    <w:rsid w:val="00A759B1"/>
    <w:rsid w:val="00A77B3E"/>
    <w:rsid w:val="00A81D71"/>
    <w:rsid w:val="00A83B92"/>
    <w:rsid w:val="00AC5BF6"/>
    <w:rsid w:val="00AE32F0"/>
    <w:rsid w:val="00AE3416"/>
    <w:rsid w:val="00AE3B6D"/>
    <w:rsid w:val="00AF3964"/>
    <w:rsid w:val="00B022DF"/>
    <w:rsid w:val="00B10B28"/>
    <w:rsid w:val="00B10EB5"/>
    <w:rsid w:val="00B346CB"/>
    <w:rsid w:val="00B56D93"/>
    <w:rsid w:val="00B631B7"/>
    <w:rsid w:val="00B70B91"/>
    <w:rsid w:val="00B8103F"/>
    <w:rsid w:val="00B97864"/>
    <w:rsid w:val="00BB640A"/>
    <w:rsid w:val="00C1087D"/>
    <w:rsid w:val="00C16EB1"/>
    <w:rsid w:val="00C440F7"/>
    <w:rsid w:val="00C83BB9"/>
    <w:rsid w:val="00C978CA"/>
    <w:rsid w:val="00CA0636"/>
    <w:rsid w:val="00CA2A55"/>
    <w:rsid w:val="00CB49E8"/>
    <w:rsid w:val="00CD5457"/>
    <w:rsid w:val="00CE6E67"/>
    <w:rsid w:val="00D06266"/>
    <w:rsid w:val="00D35B20"/>
    <w:rsid w:val="00D928E6"/>
    <w:rsid w:val="00DB2E01"/>
    <w:rsid w:val="00DC04B0"/>
    <w:rsid w:val="00DD19D3"/>
    <w:rsid w:val="00E545F1"/>
    <w:rsid w:val="00E5598C"/>
    <w:rsid w:val="00E55D51"/>
    <w:rsid w:val="00E74710"/>
    <w:rsid w:val="00EC40BD"/>
    <w:rsid w:val="00EC48A9"/>
    <w:rsid w:val="00ED7E72"/>
    <w:rsid w:val="00EF0C7A"/>
    <w:rsid w:val="00F25029"/>
    <w:rsid w:val="00F328B6"/>
    <w:rsid w:val="00F35371"/>
    <w:rsid w:val="00F41FC6"/>
    <w:rsid w:val="00F56765"/>
    <w:rsid w:val="00FA4DA0"/>
    <w:rsid w:val="00FB1C40"/>
    <w:rsid w:val="00FE3393"/>
    <w:rsid w:val="00FE4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E37E5"/>
  <w15:docId w15:val="{4C7BECCA-C037-40EC-A3C6-534EA088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81C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1C37"/>
    <w:rPr>
      <w:sz w:val="18"/>
      <w:szCs w:val="18"/>
    </w:rPr>
  </w:style>
  <w:style w:type="paragraph" w:styleId="a5">
    <w:name w:val="footer"/>
    <w:basedOn w:val="a"/>
    <w:link w:val="a6"/>
    <w:uiPriority w:val="99"/>
    <w:unhideWhenUsed/>
    <w:rsid w:val="00281C37"/>
    <w:pPr>
      <w:tabs>
        <w:tab w:val="center" w:pos="4153"/>
        <w:tab w:val="right" w:pos="8306"/>
      </w:tabs>
      <w:snapToGrid w:val="0"/>
    </w:pPr>
    <w:rPr>
      <w:sz w:val="18"/>
      <w:szCs w:val="18"/>
    </w:rPr>
  </w:style>
  <w:style w:type="character" w:customStyle="1" w:styleId="a6">
    <w:name w:val="页脚 字符"/>
    <w:basedOn w:val="a0"/>
    <w:link w:val="a5"/>
    <w:uiPriority w:val="99"/>
    <w:rsid w:val="00281C37"/>
    <w:rPr>
      <w:sz w:val="18"/>
      <w:szCs w:val="18"/>
    </w:rPr>
  </w:style>
  <w:style w:type="character" w:styleId="a7">
    <w:name w:val="annotation reference"/>
    <w:basedOn w:val="a0"/>
    <w:semiHidden/>
    <w:unhideWhenUsed/>
    <w:rsid w:val="00812E18"/>
    <w:rPr>
      <w:sz w:val="21"/>
      <w:szCs w:val="21"/>
    </w:rPr>
  </w:style>
  <w:style w:type="paragraph" w:styleId="a8">
    <w:name w:val="annotation text"/>
    <w:basedOn w:val="a"/>
    <w:link w:val="a9"/>
    <w:uiPriority w:val="99"/>
    <w:unhideWhenUsed/>
    <w:qFormat/>
    <w:rsid w:val="00812E18"/>
  </w:style>
  <w:style w:type="character" w:customStyle="1" w:styleId="a9">
    <w:name w:val="批注文字 字符"/>
    <w:basedOn w:val="a0"/>
    <w:link w:val="a8"/>
    <w:semiHidden/>
    <w:rsid w:val="00812E18"/>
    <w:rPr>
      <w:sz w:val="24"/>
      <w:szCs w:val="24"/>
    </w:rPr>
  </w:style>
  <w:style w:type="paragraph" w:styleId="aa">
    <w:name w:val="annotation subject"/>
    <w:basedOn w:val="a8"/>
    <w:next w:val="a8"/>
    <w:link w:val="ab"/>
    <w:semiHidden/>
    <w:unhideWhenUsed/>
    <w:rsid w:val="00812E18"/>
    <w:rPr>
      <w:b/>
      <w:bCs/>
    </w:rPr>
  </w:style>
  <w:style w:type="character" w:customStyle="1" w:styleId="ab">
    <w:name w:val="批注主题 字符"/>
    <w:basedOn w:val="a9"/>
    <w:link w:val="aa"/>
    <w:semiHidden/>
    <w:rsid w:val="00812E18"/>
    <w:rPr>
      <w:b/>
      <w:bCs/>
      <w:sz w:val="24"/>
      <w:szCs w:val="24"/>
    </w:rPr>
  </w:style>
  <w:style w:type="character" w:customStyle="1" w:styleId="1">
    <w:name w:val="批注文字 字符1"/>
    <w:basedOn w:val="a0"/>
    <w:uiPriority w:val="99"/>
    <w:qFormat/>
    <w:rsid w:val="004235BC"/>
    <w:rPr>
      <w:rFonts w:ascii="Calibri" w:hAnsi="Calibri" w:cs="Times New Roman"/>
      <w:color w:val="auto"/>
      <w:kern w:val="0"/>
      <w:sz w:val="22"/>
      <w:szCs w:val="22"/>
      <w:lang w:val="en-GB" w:eastAsia="en-US"/>
    </w:rPr>
  </w:style>
  <w:style w:type="paragraph" w:styleId="ac">
    <w:name w:val="Balloon Text"/>
    <w:basedOn w:val="a"/>
    <w:link w:val="ad"/>
    <w:rsid w:val="00A759B1"/>
    <w:rPr>
      <w:rFonts w:ascii="Segoe UI" w:hAnsi="Segoe UI" w:cs="Segoe UI"/>
      <w:sz w:val="18"/>
      <w:szCs w:val="18"/>
    </w:rPr>
  </w:style>
  <w:style w:type="character" w:customStyle="1" w:styleId="ad">
    <w:name w:val="批注框文本 字符"/>
    <w:basedOn w:val="a0"/>
    <w:link w:val="ac"/>
    <w:rsid w:val="00A759B1"/>
    <w:rPr>
      <w:rFonts w:ascii="Segoe UI" w:hAnsi="Segoe UI" w:cs="Segoe UI"/>
      <w:sz w:val="18"/>
      <w:szCs w:val="18"/>
    </w:rPr>
  </w:style>
  <w:style w:type="paragraph" w:styleId="ae">
    <w:name w:val="Revision"/>
    <w:hidden/>
    <w:uiPriority w:val="99"/>
    <w:semiHidden/>
    <w:rsid w:val="00B022DF"/>
    <w:rPr>
      <w:sz w:val="24"/>
      <w:szCs w:val="24"/>
    </w:rPr>
  </w:style>
  <w:style w:type="character" w:styleId="af">
    <w:name w:val="Hyperlink"/>
    <w:basedOn w:val="a0"/>
    <w:unhideWhenUsed/>
    <w:rsid w:val="00B346CB"/>
    <w:rPr>
      <w:color w:val="0000FF" w:themeColor="hyperlink"/>
      <w:u w:val="single"/>
    </w:rPr>
  </w:style>
  <w:style w:type="character" w:styleId="af0">
    <w:name w:val="Unresolved Mention"/>
    <w:basedOn w:val="a0"/>
    <w:uiPriority w:val="99"/>
    <w:semiHidden/>
    <w:unhideWhenUsed/>
    <w:rsid w:val="00B3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26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35</Pages>
  <Words>8774</Words>
  <Characters>50017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12</cp:revision>
  <dcterms:created xsi:type="dcterms:W3CDTF">2022-05-13T05:34:00Z</dcterms:created>
  <dcterms:modified xsi:type="dcterms:W3CDTF">2022-06-29T13:18:00Z</dcterms:modified>
</cp:coreProperties>
</file>