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75285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Successful treatment of disseminated nocardiosis diagnosed by metagenomic next-generation sequencing</w:t>
      </w:r>
      <w:r>
        <w:rPr>
          <w:rFonts w:ascii="Book Antiqua" w:hAnsi="Book Antiqua" w:cs="Book Antiqua"/>
          <w:b/>
          <w:color w:val="000000" w:themeColor="text1"/>
          <w:lang w:eastAsia="zh-CN"/>
          <w14:textFill>
            <w14:solidFill>
              <w14:schemeClr w14:val="tx1"/>
            </w14:solidFill>
          </w14:textFill>
        </w:rPr>
        <w:t>: A case report and review of literature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w:t>
      </w:r>
      <w:r>
        <w:rPr>
          <w:rFonts w:ascii="Book Antiqua" w:hAnsi="Book Antiqua" w:cs="Book Antiqua"/>
          <w:color w:val="000000" w:themeColor="text1"/>
          <w:lang w:eastAsia="zh-CN"/>
          <w14:textFill>
            <w14:solidFill>
              <w14:schemeClr w14:val="tx1"/>
            </w14:solidFill>
          </w14:textFill>
        </w:rPr>
        <w:t xml:space="preserve"> T </w:t>
      </w:r>
      <w:r>
        <w:rPr>
          <w:rFonts w:ascii="Book Antiqua" w:hAnsi="Book Antiqua" w:cs="Book Antiqua"/>
          <w:i/>
          <w:color w:val="000000" w:themeColor="text1"/>
          <w:lang w:eastAsia="zh-CN"/>
          <w14:textFill>
            <w14:solidFill>
              <w14:schemeClr w14:val="tx1"/>
            </w14:solidFill>
          </w14:textFill>
        </w:rPr>
        <w:t>et al.</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Successful treatment of disseminated nocardiosis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Ting Li, Yi-Xin Chen, Jia-Jia Lin, Wei-Xian Lin, Wei-Zhen Zhang, Hang-Ming Dong, Shao-Xi Cai, </w:t>
      </w:r>
      <w:r>
        <w:rPr>
          <w:rFonts w:ascii="Book Antiqua" w:hAnsi="Book Antiqua" w:cs="Book Antiqua"/>
          <w:color w:val="000000" w:themeColor="text1"/>
          <w:lang w:eastAsia="zh-CN"/>
          <w14:textFill>
            <w14:solidFill>
              <w14:schemeClr w14:val="tx1"/>
            </w14:solidFill>
          </w14:textFill>
        </w:rPr>
        <w:t xml:space="preserve">Ying Meng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Ting Li, Yi-Xin Chen, Jia-Jia Lin, Wei-Xian Lin, Wei-Zhen Zhang, Hang-Ming Dong, Shao-Xi Cai, </w:t>
      </w:r>
      <w:r>
        <w:rPr>
          <w:rFonts w:ascii="Book Antiqua" w:hAnsi="Book Antiqua" w:cs="Book Antiqua"/>
          <w:b/>
          <w:bCs/>
          <w:color w:val="000000" w:themeColor="text1"/>
          <w:lang w:eastAsia="zh-CN"/>
          <w14:textFill>
            <w14:solidFill>
              <w14:schemeClr w14:val="tx1"/>
            </w14:solidFill>
          </w14:textFill>
        </w:rPr>
        <w:t>Ying Meng</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Department of Respiratory and Critical Care Medicine, Nanfang Hospital</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Southern Medical University, Guangzhou 510515, </w:t>
      </w:r>
      <w:r>
        <w:rPr>
          <w:rFonts w:ascii="Book Antiqua" w:hAnsi="Book Antiqua" w:cs="Book Antiqua"/>
          <w:color w:val="000000" w:themeColor="text1"/>
          <w:lang w:eastAsia="zh-CN"/>
          <w14:textFill>
            <w14:solidFill>
              <w14:schemeClr w14:val="tx1"/>
            </w14:solidFill>
          </w14:textFill>
        </w:rPr>
        <w:t xml:space="preserve">Guangdong Province,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Meng </w:t>
      </w:r>
      <w:r>
        <w:rPr>
          <w:rFonts w:ascii="Book Antiqua" w:hAnsi="Book Antiqua" w:cs="Book Antiqua"/>
          <w:color w:val="000000" w:themeColor="text1"/>
          <w:lang w:eastAsia="zh-CN"/>
          <w14:textFill>
            <w14:solidFill>
              <w14:schemeClr w14:val="tx1"/>
            </w14:solidFill>
          </w14:textFill>
        </w:rPr>
        <w:t xml:space="preserve">Y </w:t>
      </w:r>
      <w:r>
        <w:rPr>
          <w:rFonts w:ascii="Book Antiqua" w:hAnsi="Book Antiqua" w:eastAsia="Book Antiqua" w:cs="Book Antiqua"/>
          <w:color w:val="000000" w:themeColor="text1"/>
          <w14:textFill>
            <w14:solidFill>
              <w14:schemeClr w14:val="tx1"/>
            </w14:solidFill>
          </w14:textFill>
        </w:rPr>
        <w:t>provided this case;</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Li</w:t>
      </w:r>
      <w:r>
        <w:rPr>
          <w:rFonts w:ascii="Book Antiqua" w:hAnsi="Book Antiqua" w:cs="Book Antiqua"/>
          <w:color w:val="000000" w:themeColor="text1"/>
          <w:lang w:eastAsia="zh-CN"/>
          <w14:textFill>
            <w14:solidFill>
              <w14:schemeClr w14:val="tx1"/>
            </w14:solidFill>
          </w14:textFill>
        </w:rPr>
        <w:t xml:space="preserve"> T and </w:t>
      </w:r>
      <w:r>
        <w:rPr>
          <w:rFonts w:ascii="Book Antiqua" w:hAnsi="Book Antiqua" w:eastAsia="Book Antiqua" w:cs="Book Antiqua"/>
          <w:color w:val="000000" w:themeColor="text1"/>
          <w14:textFill>
            <w14:solidFill>
              <w14:schemeClr w14:val="tx1"/>
            </w14:solidFill>
          </w14:textFill>
        </w:rPr>
        <w:t xml:space="preserve">Chen </w:t>
      </w:r>
      <w:r>
        <w:rPr>
          <w:rFonts w:ascii="Book Antiqua" w:hAnsi="Book Antiqua" w:cs="Book Antiqua"/>
          <w:color w:val="000000" w:themeColor="text1"/>
          <w:lang w:eastAsia="zh-CN"/>
          <w14:textFill>
            <w14:solidFill>
              <w14:schemeClr w14:val="tx1"/>
            </w14:solidFill>
          </w14:textFill>
        </w:rPr>
        <w:t xml:space="preserve">TX </w:t>
      </w:r>
      <w:r>
        <w:rPr>
          <w:rFonts w:ascii="Book Antiqua" w:hAnsi="Book Antiqua" w:eastAsia="Book Antiqua" w:cs="Book Antiqua"/>
          <w:color w:val="000000" w:themeColor="text1"/>
          <w14:textFill>
            <w14:solidFill>
              <w14:schemeClr w14:val="tx1"/>
            </w14:solidFill>
          </w14:textFill>
        </w:rPr>
        <w:t>wrote the manuscript;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Lin</w:t>
      </w:r>
      <w:r>
        <w:rPr>
          <w:rFonts w:ascii="Book Antiqua" w:hAnsi="Book Antiqua" w:cs="Book Antiqua"/>
          <w:color w:val="000000" w:themeColor="text1"/>
          <w:lang w:eastAsia="zh-CN"/>
          <w14:textFill>
            <w14:solidFill>
              <w14:schemeClr w14:val="tx1"/>
            </w14:solidFill>
          </w14:textFill>
        </w:rPr>
        <w:t xml:space="preserve"> JJ</w:t>
      </w:r>
      <w:r>
        <w:rPr>
          <w:rFonts w:ascii="Book Antiqua" w:hAnsi="Book Antiqua" w:eastAsia="Book Antiqua" w:cs="Book Antiqua"/>
          <w:color w:val="000000" w:themeColor="text1"/>
          <w14:textFill>
            <w14:solidFill>
              <w14:schemeClr w14:val="tx1"/>
            </w14:solidFill>
          </w14:textFill>
        </w:rPr>
        <w:t>, Lin</w:t>
      </w:r>
      <w:r>
        <w:rPr>
          <w:rFonts w:ascii="Book Antiqua" w:hAnsi="Book Antiqua" w:cs="Book Antiqua"/>
          <w:color w:val="000000" w:themeColor="text1"/>
          <w:lang w:eastAsia="zh-CN"/>
          <w14:textFill>
            <w14:solidFill>
              <w14:schemeClr w14:val="tx1"/>
            </w14:solidFill>
          </w14:textFill>
        </w:rPr>
        <w:t xml:space="preserve"> WX and</w:t>
      </w:r>
      <w:r>
        <w:rPr>
          <w:rFonts w:ascii="Book Antiqua" w:hAnsi="Book Antiqua" w:eastAsia="Book Antiqua" w:cs="Book Antiqua"/>
          <w:color w:val="000000" w:themeColor="text1"/>
          <w14:textFill>
            <w14:solidFill>
              <w14:schemeClr w14:val="tx1"/>
            </w14:solidFill>
          </w14:textFill>
        </w:rPr>
        <w:t xml:space="preserve"> Zhang </w:t>
      </w:r>
      <w:r>
        <w:rPr>
          <w:rFonts w:ascii="Book Antiqua" w:hAnsi="Book Antiqua" w:cs="Book Antiqua"/>
          <w:color w:val="000000" w:themeColor="text1"/>
          <w:lang w:eastAsia="zh-CN"/>
          <w14:textFill>
            <w14:solidFill>
              <w14:schemeClr w14:val="tx1"/>
            </w14:solidFill>
          </w14:textFill>
        </w:rPr>
        <w:t xml:space="preserve">WZ </w:t>
      </w:r>
      <w:r>
        <w:rPr>
          <w:rFonts w:ascii="Book Antiqua" w:hAnsi="Book Antiqua" w:eastAsia="Book Antiqua" w:cs="Book Antiqua"/>
          <w:color w:val="000000" w:themeColor="text1"/>
          <w14:textFill>
            <w14:solidFill>
              <w14:schemeClr w14:val="tx1"/>
            </w14:solidFill>
          </w14:textFill>
        </w:rPr>
        <w:t>contributed significantly to manuscript preparation;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Dong</w:t>
      </w:r>
      <w:r>
        <w:rPr>
          <w:rFonts w:ascii="Book Antiqua" w:hAnsi="Book Antiqua" w:cs="Book Antiqua"/>
          <w:color w:val="000000" w:themeColor="text1"/>
          <w:lang w:eastAsia="zh-CN"/>
          <w14:textFill>
            <w14:solidFill>
              <w14:schemeClr w14:val="tx1"/>
            </w14:solidFill>
          </w14:textFill>
        </w:rPr>
        <w:t xml:space="preserve"> HM and</w:t>
      </w:r>
      <w:r>
        <w:rPr>
          <w:rFonts w:ascii="Book Antiqua" w:hAnsi="Book Antiqua" w:eastAsia="Book Antiqua" w:cs="Book Antiqua"/>
          <w:color w:val="000000" w:themeColor="text1"/>
          <w14:textFill>
            <w14:solidFill>
              <w14:schemeClr w14:val="tx1"/>
            </w14:solidFill>
          </w14:textFill>
        </w:rPr>
        <w:t xml:space="preserve"> Cai </w:t>
      </w:r>
      <w:r>
        <w:rPr>
          <w:rFonts w:ascii="Book Antiqua" w:hAnsi="Book Antiqua" w:cs="Book Antiqua"/>
          <w:color w:val="000000" w:themeColor="text1"/>
          <w:lang w:eastAsia="zh-CN"/>
          <w14:textFill>
            <w14:solidFill>
              <w14:schemeClr w14:val="tx1"/>
            </w14:solidFill>
          </w14:textFill>
        </w:rPr>
        <w:t xml:space="preserve">SX </w:t>
      </w:r>
      <w:r>
        <w:rPr>
          <w:rFonts w:ascii="Book Antiqua" w:hAnsi="Book Antiqua" w:eastAsia="Book Antiqua" w:cs="Book Antiqua"/>
          <w:color w:val="000000" w:themeColor="text1"/>
          <w14:textFill>
            <w14:solidFill>
              <w14:schemeClr w14:val="tx1"/>
            </w14:solidFill>
          </w14:textFill>
        </w:rPr>
        <w:t xml:space="preserve">helped perform the analysis </w:t>
      </w:r>
      <w:r>
        <w:rPr>
          <w:rFonts w:ascii="Book Antiqua" w:hAnsi="Book Antiqua" w:cs="Book Antiqua"/>
          <w:color w:val="000000" w:themeColor="text1"/>
          <w:lang w:eastAsia="zh-CN"/>
          <w14:textFill>
            <w14:solidFill>
              <w14:schemeClr w14:val="tx1"/>
            </w14:solidFill>
          </w14:textFill>
        </w:rPr>
        <w:t>and</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 xml:space="preserve">contributed to </w:t>
      </w:r>
      <w:r>
        <w:rPr>
          <w:rFonts w:ascii="Book Antiqua" w:hAnsi="Book Antiqua" w:eastAsia="Book Antiqua" w:cs="Book Antiqua"/>
          <w:color w:val="000000" w:themeColor="text1"/>
          <w14:textFill>
            <w14:solidFill>
              <w14:schemeClr w14:val="tx1"/>
            </w14:solidFill>
          </w14:textFill>
        </w:rPr>
        <w:t>constructive discussions;</w:t>
      </w:r>
      <w:r>
        <w:rPr>
          <w:rFonts w:ascii="Book Antiqua" w:hAnsi="Book Antiqua" w:cs="Book Antiqua"/>
          <w:color w:val="000000" w:themeColor="text1"/>
          <w:lang w:eastAsia="zh-CN"/>
          <w14:textFill>
            <w14:solidFill>
              <w14:schemeClr w14:val="tx1"/>
            </w14:solidFill>
          </w14:textFill>
        </w:rPr>
        <w:t xml:space="preserve"> all authors have read and approved the final version.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Tahoma"/>
          <w:color w:val="000000" w:themeColor="text1"/>
          <w:lang w:eastAsia="zh-CN"/>
          <w14:textFill>
            <w14:solidFill>
              <w14:schemeClr w14:val="tx1"/>
            </w14:solidFill>
          </w14:textFill>
        </w:rPr>
      </w:pPr>
      <w:r>
        <w:rPr>
          <w:rFonts w:ascii="Book Antiqua" w:hAnsi="Book Antiqua" w:cs="Tahoma"/>
          <w:b/>
          <w:color w:val="000000" w:themeColor="text1"/>
          <w:lang w:eastAsia="zh-CN"/>
          <w14:textFill>
            <w14:solidFill>
              <w14:schemeClr w14:val="tx1"/>
            </w14:solidFill>
          </w14:textFill>
        </w:rPr>
        <w:t>S</w:t>
      </w:r>
      <w:r>
        <w:rPr>
          <w:rFonts w:ascii="Book Antiqua" w:hAnsi="Book Antiqua" w:cs="Tahoma"/>
          <w:b/>
          <w:color w:val="000000" w:themeColor="text1"/>
          <w14:textFill>
            <w14:solidFill>
              <w14:schemeClr w14:val="tx1"/>
            </w14:solidFill>
          </w14:textFill>
        </w:rPr>
        <w:t>upported by</w:t>
      </w:r>
      <w:r>
        <w:rPr>
          <w:rFonts w:ascii="Book Antiqua" w:hAnsi="Book Antiqua" w:cs="Tahoma"/>
          <w:color w:val="000000" w:themeColor="text1"/>
          <w14:textFill>
            <w14:solidFill>
              <w14:schemeClr w14:val="tx1"/>
            </w14:solidFill>
          </w14:textFill>
        </w:rPr>
        <w:t xml:space="preserve"> the Project of Nanfang Hospital President Foundation of Southern Medical University</w:t>
      </w:r>
      <w:r>
        <w:rPr>
          <w:rFonts w:ascii="Book Antiqua" w:hAnsi="Book Antiqua" w:cs="Tahoma"/>
          <w:color w:val="000000" w:themeColor="text1"/>
          <w:lang w:eastAsia="zh-CN"/>
          <w14:textFill>
            <w14:solidFill>
              <w14:schemeClr w14:val="tx1"/>
            </w14:solidFill>
          </w14:textFill>
        </w:rPr>
        <w:t>, No. 2019C006.</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Corresponding author: Y</w:t>
      </w:r>
      <w:r>
        <w:rPr>
          <w:rFonts w:ascii="Book Antiqua" w:hAnsi="Book Antiqua" w:cs="Book Antiqua"/>
          <w:b/>
          <w:bCs/>
          <w:color w:val="000000" w:themeColor="text1"/>
          <w:lang w:eastAsia="zh-CN"/>
          <w14:textFill>
            <w14:solidFill>
              <w14:schemeClr w14:val="tx1"/>
            </w14:solidFill>
          </w14:textFill>
        </w:rPr>
        <w:t>ing Meng</w:t>
      </w:r>
      <w:r>
        <w:rPr>
          <w:rFonts w:ascii="Book Antiqua" w:hAnsi="Book Antiqua" w:eastAsia="Book Antiqua" w:cs="Book Antiqua"/>
          <w:b/>
          <w:bCs/>
          <w:color w:val="000000" w:themeColor="text1"/>
          <w14:textFill>
            <w14:solidFill>
              <w14:schemeClr w14:val="tx1"/>
            </w14:solidFill>
          </w14:textFill>
        </w:rPr>
        <w:t xml:space="preserve">, Doctor, Chief Doctor, </w:t>
      </w:r>
      <w:r>
        <w:rPr>
          <w:rFonts w:ascii="Book Antiqua" w:hAnsi="Book Antiqua" w:eastAsia="Book Antiqua" w:cs="Book Antiqua"/>
          <w:color w:val="000000" w:themeColor="text1"/>
          <w14:textFill>
            <w14:solidFill>
              <w14:schemeClr w14:val="tx1"/>
            </w14:solidFill>
          </w14:textFill>
        </w:rPr>
        <w:t>Department of Respiratory and Critical Care Medicine, Nanfang Hospital</w:t>
      </w:r>
      <w:r>
        <w:rPr>
          <w:rFonts w:ascii="Book Antiqua" w:hAnsi="Book Antiqua" w:eastAsia="宋体" w:cs="宋体"/>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Southern Medical University, No.</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1838</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North Guangzhou Avenue, Baiyun District, Guangzhou 510515, </w:t>
      </w:r>
      <w:r>
        <w:rPr>
          <w:rFonts w:ascii="Book Antiqua" w:hAnsi="Book Antiqua" w:cs="Book Antiqua"/>
          <w:color w:val="000000" w:themeColor="text1"/>
          <w:lang w:eastAsia="zh-CN"/>
          <w14:textFill>
            <w14:solidFill>
              <w14:schemeClr w14:val="tx1"/>
            </w14:solidFill>
          </w14:textFill>
        </w:rPr>
        <w:t xml:space="preserve">Guangdong Province, </w:t>
      </w:r>
      <w:r>
        <w:rPr>
          <w:rFonts w:ascii="Book Antiqua" w:hAnsi="Book Antiqua" w:eastAsia="Book Antiqua" w:cs="Book Antiqua"/>
          <w:color w:val="000000" w:themeColor="text1"/>
          <w14:textFill>
            <w14:solidFill>
              <w14:schemeClr w14:val="tx1"/>
            </w14:solidFill>
          </w14:textFill>
        </w:rPr>
        <w:t>China. nfyymengy@163.com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January 25,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Revised:</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cs="Book Antiqua"/>
          <w:bCs/>
          <w:color w:val="000000" w:themeColor="text1"/>
          <w:lang w:eastAsia="zh-CN"/>
          <w14:textFill>
            <w14:solidFill>
              <w14:schemeClr w14:val="tx1"/>
            </w14:solidFill>
          </w14:textFill>
        </w:rPr>
        <w:t>March 25,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Accepted:</w:t>
      </w:r>
      <w:r>
        <w:rPr>
          <w:rFonts w:ascii="Book Antiqua" w:hAnsi="Book Antiqua" w:eastAsia="Book Antiqua" w:cs="Book Antiqua"/>
          <w:bCs/>
          <w:color w:val="000000" w:themeColor="text1"/>
          <w14:textFill>
            <w14:solidFill>
              <w14:schemeClr w14:val="tx1"/>
            </w14:solidFill>
          </w14:textFill>
        </w:rPr>
        <w:t xml:space="preserve"> August 21,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Published online:</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color w:val="000000"/>
          <w:shd w:val="clear" w:color="auto" w:fill="FFFFFF"/>
        </w:rPr>
        <w:t>September 26, 2022</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cs="Arial"/>
          <w:i/>
          <w:iCs/>
          <w:color w:val="000000" w:themeColor="text1"/>
          <w14:textFill>
            <w14:solidFill>
              <w14:schemeClr w14:val="tx1"/>
            </w14:solidFill>
          </w14:textFill>
        </w:rPr>
        <w:t>Nocardia paucivorans</w:t>
      </w:r>
      <w:r>
        <w:rPr>
          <w:rFonts w:ascii="Book Antiqua" w:hAnsi="Book Antiqua" w:cs="Arial"/>
          <w:color w:val="000000" w:themeColor="text1"/>
          <w14:textFill>
            <w14:solidFill>
              <w14:schemeClr w14:val="tx1"/>
            </w14:solidFill>
          </w14:textFill>
        </w:rPr>
        <w:t xml:space="preserve"> is an infrequently found bacterium with the potential to cause severe infection, with a predilection for the central nervous system, both in immunocompromised and immunocompetent individuals. Rapid etiological diagnosis of nocardiosis can facilitate timely and rational antimicrobial treatment. Metagenomic next-generation sequencing (mNGS) can improve the rate and reduce the turnaround time for the detection of </w:t>
      </w:r>
      <w:r>
        <w:rPr>
          <w:rFonts w:ascii="Book Antiqua" w:hAnsi="Book Antiqua" w:cs="Arial"/>
          <w:i/>
          <w:color w:val="000000" w:themeColor="text1"/>
          <w14:textFill>
            <w14:solidFill>
              <w14:schemeClr w14:val="tx1"/>
            </w14:solidFill>
          </w14:textFill>
        </w:rPr>
        <w:t>Nocardia</w:t>
      </w:r>
      <w:r>
        <w:rPr>
          <w:rFonts w:ascii="Book Antiqua" w:hAnsi="Book Antiqua" w:cs="Arial"/>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cs="Arial"/>
          <w:color w:val="000000" w:themeColor="text1"/>
          <w14:textFill>
            <w14:solidFill>
              <w14:schemeClr w14:val="tx1"/>
            </w14:solidFill>
          </w14:textFill>
        </w:rPr>
        <w:t xml:space="preserve">A 49-year-old man was admitted to hospital with cough and hemoptysis. Imaging revealed pulmonary consolidation as well as multiple brain lesions. </w:t>
      </w:r>
      <w:r>
        <w:rPr>
          <w:rFonts w:ascii="Book Antiqua" w:hAnsi="Book Antiqua" w:cs="Arial"/>
          <w:i/>
          <w:color w:val="000000" w:themeColor="text1"/>
          <w14:textFill>
            <w14:solidFill>
              <w14:schemeClr w14:val="tx1"/>
            </w14:solidFill>
          </w14:textFill>
        </w:rPr>
        <w:t>Nocardia asiatica</w:t>
      </w:r>
      <w:r>
        <w:rPr>
          <w:rFonts w:ascii="Book Antiqua" w:hAnsi="Book Antiqua" w:cs="Arial"/>
          <w:color w:val="000000" w:themeColor="text1"/>
          <w14:textFill>
            <w14:solidFill>
              <w14:schemeClr w14:val="tx1"/>
            </w14:solidFill>
          </w14:textFill>
        </w:rPr>
        <w:t xml:space="preserve"> and </w:t>
      </w:r>
      <w:r>
        <w:rPr>
          <w:rFonts w:ascii="Book Antiqua" w:hAnsi="Book Antiqua" w:cs="Arial"/>
          <w:i/>
          <w:color w:val="000000" w:themeColor="text1"/>
          <w14:textFill>
            <w14:solidFill>
              <w14:schemeClr w14:val="tx1"/>
            </w14:solidFill>
          </w14:textFill>
        </w:rPr>
        <w:t xml:space="preserve">Nocardia beijingensis </w:t>
      </w:r>
      <w:r>
        <w:rPr>
          <w:rFonts w:ascii="Book Antiqua" w:hAnsi="Book Antiqua" w:cs="Arial"/>
          <w:color w:val="000000" w:themeColor="text1"/>
          <w14:textFill>
            <w14:solidFill>
              <w14:schemeClr w14:val="tx1"/>
            </w14:solidFill>
          </w14:textFill>
        </w:rPr>
        <w:t xml:space="preserve">were rapidly detected by mNGS of bronchoalveolar lavage fluid (BALF) while bacterial culture of BALF and pathological biopsy of lung tissue were negative. In early stages, he was treated with trimethoprim-sulfamethoxazole (TMP-SMZ) and linezolid by individual dose adjustment based on serum concentrations and the adverse effects of thrombocytopenia and leukopenia. The treatment was </w:t>
      </w:r>
      <w:r>
        <w:rPr>
          <w:rFonts w:ascii="Book Antiqua" w:hAnsi="Book Antiqua" w:cs="Arial"/>
          <w:color w:val="000000" w:themeColor="text1"/>
          <w:lang w:eastAsia="zh-CN"/>
          <w14:textFill>
            <w14:solidFill>
              <w14:schemeClr w14:val="tx1"/>
            </w14:solidFill>
          </w14:textFill>
        </w:rPr>
        <w:t xml:space="preserve">then </w:t>
      </w:r>
      <w:r>
        <w:rPr>
          <w:rFonts w:ascii="Book Antiqua" w:hAnsi="Book Antiqua" w:cs="Arial"/>
          <w:color w:val="000000" w:themeColor="text1"/>
          <w14:textFill>
            <w14:solidFill>
              <w14:schemeClr w14:val="tx1"/>
            </w14:solidFill>
          </w14:textFill>
        </w:rPr>
        <w:t>replaced by TMP-SMZ and ceftriaxone or minocycline. He was treated with 8 mo of parenteral and/or oral antibiotics</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and obvious</w:t>
      </w:r>
      <w:r>
        <w:rPr>
          <w:rFonts w:ascii="Book Antiqua" w:hAnsi="Book Antiqua" w:cs="Arial"/>
          <w:color w:val="000000" w:themeColor="text1"/>
          <w14:textFill>
            <w14:solidFill>
              <w14:schemeClr w14:val="tx1"/>
            </w14:solidFill>
          </w14:textFill>
        </w:rPr>
        <w:t xml:space="preserve"> clinical improvement</w:t>
      </w:r>
      <w:r>
        <w:rPr>
          <w:rFonts w:ascii="Book Antiqua" w:hAnsi="Book Antiqua" w:cs="Arial"/>
          <w:color w:val="000000" w:themeColor="text1"/>
          <w:lang w:eastAsia="zh-CN"/>
          <w14:textFill>
            <w14:solidFill>
              <w14:schemeClr w14:val="tx1"/>
            </w14:solidFill>
          </w14:textFill>
        </w:rPr>
        <w:t xml:space="preserve"> was achieved </w:t>
      </w:r>
      <w:r>
        <w:rPr>
          <w:rFonts w:ascii="Book Antiqua" w:hAnsi="Book Antiqua" w:cs="Arial"/>
          <w:color w:val="000000" w:themeColor="text1"/>
          <w14:textFill>
            <w14:solidFill>
              <w14:schemeClr w14:val="tx1"/>
            </w14:solidFill>
          </w14:textFill>
        </w:rPr>
        <w:t>with resolution of pulmonary and brain lesions</w:t>
      </w:r>
      <w:r>
        <w:rPr>
          <w:rFonts w:ascii="Book Antiqua" w:hAnsi="Book Antiqua"/>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 xml:space="preserve">on </w:t>
      </w:r>
      <w:r>
        <w:rPr>
          <w:rFonts w:ascii="Book Antiqua" w:hAnsi="Book Antiqua" w:cs="Arial"/>
          <w:color w:val="000000" w:themeColor="text1"/>
          <w14:textFill>
            <w14:solidFill>
              <w14:schemeClr w14:val="tx1"/>
            </w14:solidFill>
          </w14:textFill>
        </w:rPr>
        <w:t>repeat imaging.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cs="Arial"/>
          <w:color w:val="000000" w:themeColor="text1"/>
          <w14:textFill>
            <w14:solidFill>
              <w14:schemeClr w14:val="tx1"/>
            </w14:solidFill>
          </w14:textFill>
        </w:rPr>
        <w:t xml:space="preserve">mNGS provided fast and precise pathogen detection of </w:t>
      </w:r>
      <w:r>
        <w:rPr>
          <w:rFonts w:ascii="Book Antiqua" w:hAnsi="Book Antiqua" w:cs="Arial"/>
          <w:i/>
          <w:iCs/>
          <w:color w:val="000000" w:themeColor="text1"/>
          <w14:textFill>
            <w14:solidFill>
              <w14:schemeClr w14:val="tx1"/>
            </w14:solidFill>
          </w14:textFill>
        </w:rPr>
        <w:t>Nocardia.</w:t>
      </w:r>
      <w:r>
        <w:rPr>
          <w:rFonts w:ascii="Book Antiqua" w:hAnsi="Book Antiqua" w:cs="Arial"/>
          <w:color w:val="000000" w:themeColor="text1"/>
          <w14:textFill>
            <w14:solidFill>
              <w14:schemeClr w14:val="tx1"/>
            </w14:solidFill>
          </w14:textFill>
        </w:rPr>
        <w:t xml:space="preserve"> In disseminated nocardiosis, </w:t>
      </w:r>
      <w:r>
        <w:rPr>
          <w:rFonts w:ascii="Book Antiqua" w:hAnsi="Book Antiqua" w:cs="Arial"/>
          <w:color w:val="000000" w:themeColor="text1"/>
          <w:lang w:eastAsia="zh-CN"/>
          <w14:textFill>
            <w14:solidFill>
              <w14:schemeClr w14:val="tx1"/>
            </w14:solidFill>
          </w14:textFill>
        </w:rPr>
        <w:t>l</w:t>
      </w:r>
      <w:r>
        <w:rPr>
          <w:rFonts w:ascii="Book Antiqua" w:hAnsi="Book Antiqua" w:cs="Arial"/>
          <w:color w:val="000000" w:themeColor="text1"/>
          <w14:textFill>
            <w14:solidFill>
              <w14:schemeClr w14:val="tx1"/>
            </w14:solidFill>
          </w14:textFill>
        </w:rPr>
        <w:t>inezolid is an important alternative that can give a better outcome with the monitoring of linezolid serum concentrations and platelet count.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Disseminated nocardiosis; Metagenomic next-generation sequencing; Linezolid; Thrombocytopenia;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Li T, Chen YX, Lin JJ, Lin WX, Zhang WZ, Dong HM, Cai SX, MENG Y. Successful treatment of disseminated nocardiosis diagnosed by metagenomic next-generation sequencing: A case report and review of literature.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w:t>
      </w:r>
      <w:r>
        <w:rPr>
          <w:rFonts w:ascii="Book Antiqua" w:hAnsi="Book Antiqua" w:eastAsia="Book Antiqua" w:cs="Book Antiqua"/>
          <w:color w:val="000000"/>
        </w:rPr>
        <w:t xml:space="preserve"> 10(28): </w:t>
      </w:r>
      <w:r>
        <w:rPr>
          <w:rFonts w:hint="default" w:ascii="Book Antiqua" w:hAnsi="Book Antiqua" w:eastAsia="宋体" w:cs="Book Antiqua"/>
          <w:i w:val="0"/>
          <w:iCs w:val="0"/>
          <w:color w:val="000000"/>
          <w:kern w:val="0"/>
          <w:sz w:val="24"/>
          <w:szCs w:val="24"/>
          <w:u w:val="none"/>
          <w:lang w:val="en-US" w:eastAsia="zh-CN" w:bidi="ar"/>
        </w:rPr>
        <w:t>10120-10129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10120</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10120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cs="Arial"/>
          <w:color w:val="000000" w:themeColor="text1"/>
          <w14:textFill>
            <w14:solidFill>
              <w14:schemeClr w14:val="tx1"/>
            </w14:solidFill>
          </w14:textFill>
        </w:rPr>
        <w:t xml:space="preserve">Early detection of </w:t>
      </w:r>
      <w:r>
        <w:rPr>
          <w:rFonts w:ascii="Book Antiqua" w:hAnsi="Book Antiqua" w:cs="Arial"/>
          <w:i/>
          <w:iCs/>
          <w:color w:val="000000" w:themeColor="text1"/>
          <w14:textFill>
            <w14:solidFill>
              <w14:schemeClr w14:val="tx1"/>
            </w14:solidFill>
          </w14:textFill>
        </w:rPr>
        <w:t>Nocardia paucivorans</w:t>
      </w:r>
      <w:r>
        <w:rPr>
          <w:rFonts w:ascii="Book Antiqua" w:hAnsi="Book Antiqua" w:cs="Arial"/>
          <w:color w:val="000000" w:themeColor="text1"/>
          <w14:textFill>
            <w14:solidFill>
              <w14:schemeClr w14:val="tx1"/>
            </w14:solidFill>
          </w14:textFill>
        </w:rPr>
        <w:t xml:space="preserve"> can optimize antibiotic management, shorten hospital stays and improve survival rates. We report rapid detection of </w:t>
      </w:r>
      <w:r>
        <w:rPr>
          <w:rFonts w:ascii="Book Antiqua" w:hAnsi="Book Antiqua" w:cs="Arial"/>
          <w:i/>
          <w:color w:val="000000" w:themeColor="text1"/>
          <w14:textFill>
            <w14:solidFill>
              <w14:schemeClr w14:val="tx1"/>
            </w14:solidFill>
          </w14:textFill>
        </w:rPr>
        <w:t xml:space="preserve">N. paucivorans </w:t>
      </w:r>
      <w:r>
        <w:rPr>
          <w:rFonts w:ascii="Book Antiqua" w:hAnsi="Book Antiqua" w:cs="Arial"/>
          <w:color w:val="000000" w:themeColor="text1"/>
          <w14:textFill>
            <w14:solidFill>
              <w14:schemeClr w14:val="tx1"/>
            </w14:solidFill>
          </w14:textFill>
        </w:rPr>
        <w:t>by metagenomic next-generation sequencing (mNGS) of BALF.</w:t>
      </w:r>
      <w:r>
        <w:rPr>
          <w:rFonts w:ascii="Book Antiqua" w:hAnsi="Book Antiqua"/>
          <w:color w:val="000000" w:themeColor="text1"/>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 xml:space="preserve">The patient was treated with trimethoprim-sulfamethoxazole (TMP-SMZ) and linezolid by individual dose adjustment based on serum concentration and thrombocytopenia and leukopenia, then replaced by TMP-SMZ and ceftriaxone or minocycline. This case suggests that mNGS is a convenient and efficient technique for detecting </w:t>
      </w:r>
      <w:r>
        <w:rPr>
          <w:rFonts w:ascii="Book Antiqua" w:hAnsi="Book Antiqua" w:cs="Arial"/>
          <w:i/>
          <w:iCs/>
          <w:color w:val="000000" w:themeColor="text1"/>
          <w14:textFill>
            <w14:solidFill>
              <w14:schemeClr w14:val="tx1"/>
            </w14:solidFill>
          </w14:textFill>
        </w:rPr>
        <w:t>Nocardia</w:t>
      </w:r>
      <w:r>
        <w:rPr>
          <w:rFonts w:ascii="Book Antiqua" w:hAnsi="Book Antiqua" w:cs="Arial"/>
          <w:color w:val="000000" w:themeColor="text1"/>
          <w14:textFill>
            <w14:solidFill>
              <w14:schemeClr w14:val="tx1"/>
            </w14:solidFill>
          </w14:textFill>
        </w:rPr>
        <w:t>, especially suitable for rare, novel and atypical etiologies of complicated infectious diseases.</w:t>
      </w:r>
      <w:r>
        <w:rPr>
          <w:rFonts w:ascii="Book Antiqua" w:hAnsi="Book Antiqua"/>
          <w:color w:val="000000" w:themeColor="text1"/>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Linezolid may be an important alternative in disseminated nocardiosis.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br w:type="page"/>
      </w: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cs="Arial"/>
          <w:i/>
          <w:iCs/>
          <w:color w:val="000000" w:themeColor="text1"/>
          <w14:textFill>
            <w14:solidFill>
              <w14:schemeClr w14:val="tx1"/>
            </w14:solidFill>
          </w14:textFill>
        </w:rPr>
        <w:t>Nocardia paucivorans</w:t>
      </w:r>
      <w:r>
        <w:rPr>
          <w:rFonts w:ascii="Book Antiqua" w:hAnsi="Book Antiqua" w:cs="Arial"/>
          <w:color w:val="000000" w:themeColor="text1"/>
          <w14:textFill>
            <w14:solidFill>
              <w14:schemeClr w14:val="tx1"/>
            </w14:solidFill>
          </w14:textFill>
        </w:rPr>
        <w:t xml:space="preserve"> is a Gram-positive aerobic bacterium of the order Actinomycetales and has become an increasingly important opportunistic pathogen, mostly in immunocompromised individuals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NE.Ref.{5062B1AE-EB6B-406B-AE85-E8E3F0910AB5}</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[1]</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It causes a wide spectrum of illness, includ</w:t>
      </w:r>
      <w:r>
        <w:rPr>
          <w:rFonts w:ascii="Book Antiqua" w:hAnsi="Book Antiqua" w:cs="Arial"/>
          <w:color w:val="000000" w:themeColor="text1"/>
          <w:lang w:eastAsia="zh-CN"/>
          <w14:textFill>
            <w14:solidFill>
              <w14:schemeClr w14:val="tx1"/>
            </w14:solidFill>
          </w14:textFill>
        </w:rPr>
        <w:t>ing</w:t>
      </w:r>
      <w:r>
        <w:rPr>
          <w:rFonts w:ascii="Book Antiqua" w:hAnsi="Book Antiqua" w:cs="Arial"/>
          <w:color w:val="000000" w:themeColor="text1"/>
          <w14:textFill>
            <w14:solidFill>
              <w14:schemeClr w14:val="tx1"/>
            </w14:solidFill>
          </w14:textFill>
        </w:rPr>
        <w:t xml:space="preserve"> pneumonia, cutaneous or subcutaneous infections, brain or other solid organ abscesses, thus resulting in high mortality</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NE.Ref.{A7F8C96F-5AAB-49FD-A769-493438B7671F}</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[2]</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xml:space="preserve">. Early detection of </w:t>
      </w:r>
      <w:r>
        <w:rPr>
          <w:rFonts w:ascii="Book Antiqua" w:hAnsi="Book Antiqua" w:cs="Arial"/>
          <w:i/>
          <w:iCs/>
          <w:color w:val="000000" w:themeColor="text1"/>
          <w14:textFill>
            <w14:solidFill>
              <w14:schemeClr w14:val="tx1"/>
            </w14:solidFill>
          </w14:textFill>
        </w:rPr>
        <w:t>N. paucivorans</w:t>
      </w:r>
      <w:r>
        <w:rPr>
          <w:rFonts w:ascii="Book Antiqua" w:hAnsi="Book Antiqua" w:cs="Arial"/>
          <w:color w:val="000000" w:themeColor="text1"/>
          <w14:textFill>
            <w14:solidFill>
              <w14:schemeClr w14:val="tx1"/>
            </w14:solidFill>
          </w14:textFill>
        </w:rPr>
        <w:t xml:space="preserve"> can optimize antibiotic management, shorten hospital stays, improve survival rates and reduce medical costs. Delaying diagnosis may impede targeted therapies and lead to poor prognosis. However, the definitive diagnosis of nocardiosis still depends on the isolation and identification of organisms from the infected site, which may take days to weeks and the positive rates </w:t>
      </w:r>
      <w:r>
        <w:rPr>
          <w:rFonts w:ascii="Book Antiqua" w:hAnsi="Book Antiqua" w:cs="Arial"/>
          <w:color w:val="000000" w:themeColor="text1"/>
          <w:lang w:eastAsia="zh-CN"/>
          <w14:textFill>
            <w14:solidFill>
              <w14:schemeClr w14:val="tx1"/>
            </w14:solidFill>
          </w14:textFill>
        </w:rPr>
        <w:t>by</w:t>
      </w:r>
      <w:r>
        <w:rPr>
          <w:rFonts w:ascii="Book Antiqua" w:hAnsi="Book Antiqua" w:cs="Arial"/>
          <w:color w:val="000000" w:themeColor="text1"/>
          <w14:textFill>
            <w14:solidFill>
              <w14:schemeClr w14:val="tx1"/>
            </w14:solidFill>
          </w14:textFill>
        </w:rPr>
        <w:t xml:space="preserve"> these methods are very low. As these methods cannot meet the current demand for rapid and accurate diagnosis, metagenome next</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generation sequencing (mNGS)</w:t>
      </w:r>
      <w:r>
        <w:rPr>
          <w:rFonts w:hint="eastAsia"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has become available in clinical practice</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NE.Ref.{D12DEEFC-C78C-4A37-AD86-6E1B96C6789F}</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[3]</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spacing w:val="15"/>
          <w14:textFill>
            <w14:solidFill>
              <w14:schemeClr w14:val="tx1"/>
            </w14:solidFill>
          </w14:textFill>
        </w:rPr>
        <w:t>.</w:t>
      </w:r>
      <w:r>
        <w:rPr>
          <w:rFonts w:ascii="Book Antiqua" w:hAnsi="Book Antiqua" w:cs="Arial"/>
          <w:color w:val="000000" w:themeColor="text1"/>
          <w:spacing w:val="15"/>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mNGS also known as shotgun deep-sequencing, is a high-throughput sequencing approach with more rapid and accurate diagnostic advantages than traditional methods, especially in culture-negative samples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NE.Ref.{3A911D51-3591-4A88-B8ED-5502879DD689}</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[4,5]</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mNGS can simultaneously detect and identify pathogens by extracting only a small amount of DNA or RNA from samples. mNGS can theoretically detect all pathogens in clinical samples, especially for rare, novel, and atypical etiologies of complex infectious diseases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NE.Ref.{72BED26B-EA1D-4A2C-95AD-8F1EEB8A64B0}</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[6]</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Here,</w:t>
      </w:r>
      <w:r>
        <w:rPr>
          <w:rFonts w:ascii="Book Antiqua" w:hAnsi="Book Antiqua"/>
          <w:color w:val="000000" w:themeColor="text1"/>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 xml:space="preserve">we describe a case of disseminated nocardiosis in a 49-year-old man diagnosed by mNGS of bronchoalveolar lavage fluid (BALF) rather than bacterial culture of BALF and pathological biopsy of lung tissue. He was </w:t>
      </w:r>
      <w:r>
        <w:rPr>
          <w:rFonts w:ascii="Book Antiqua" w:hAnsi="Book Antiqua"/>
          <w:color w:val="000000" w:themeColor="text1"/>
          <w14:textFill>
            <w14:solidFill>
              <w14:schemeClr w14:val="tx1"/>
            </w14:solidFill>
          </w14:textFill>
        </w:rPr>
        <w:t>successfully</w:t>
      </w:r>
      <w:r>
        <w:rPr>
          <w:rFonts w:ascii="Book Antiqua" w:hAnsi="Book Antiqua" w:cs="Arial"/>
          <w:color w:val="000000" w:themeColor="text1"/>
          <w14:textFill>
            <w14:solidFill>
              <w14:schemeClr w14:val="tx1"/>
            </w14:solidFill>
          </w14:textFill>
        </w:rPr>
        <w:t xml:space="preserve"> treated with parenteral or oral antibiotics for 8 mo</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with </w:t>
      </w:r>
      <w:r>
        <w:rPr>
          <w:rFonts w:ascii="Book Antiqua" w:hAnsi="Book Antiqua" w:cs="Arial"/>
          <w:color w:val="000000" w:themeColor="text1"/>
          <w:lang w:eastAsia="zh-CN"/>
          <w14:textFill>
            <w14:solidFill>
              <w14:schemeClr w14:val="tx1"/>
            </w14:solidFill>
          </w14:textFill>
        </w:rPr>
        <w:t xml:space="preserve">evident clinical improvement and </w:t>
      </w:r>
      <w:r>
        <w:rPr>
          <w:rFonts w:ascii="Book Antiqua" w:hAnsi="Book Antiqua" w:cs="Arial"/>
          <w:color w:val="000000" w:themeColor="text1"/>
          <w14:textFill>
            <w14:solidFill>
              <w14:schemeClr w14:val="tx1"/>
            </w14:solidFill>
          </w14:textFill>
        </w:rPr>
        <w:t>resolution of pulmonary and brain lesions</w:t>
      </w:r>
      <w:r>
        <w:rPr>
          <w:rFonts w:ascii="Book Antiqua" w:hAnsi="Book Antiqua" w:cs="Arial"/>
          <w:color w:val="000000" w:themeColor="text1"/>
          <w:lang w:eastAsia="zh-CN"/>
          <w14:textFill>
            <w14:solidFill>
              <w14:schemeClr w14:val="tx1"/>
            </w14:solidFill>
          </w14:textFill>
        </w:rPr>
        <w:t xml:space="preserve"> on repeat imaging</w:t>
      </w:r>
      <w:r>
        <w:rPr>
          <w:rFonts w:ascii="Book Antiqua" w:hAnsi="Book Antiqua" w:cs="Arial"/>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Chief complaints</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A 49-year-old Chinese man had symptoms of cough and hemoptysis for 2 mo.</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History of present illness</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A 49-year-old Chinese man presented to the hospital with 2 mo of cough and hemoptysis, but without fever or chest pain. </w:t>
      </w:r>
      <w:r>
        <w:rPr>
          <w:rFonts w:ascii="Book Antiqua" w:hAnsi="Book Antiqua" w:cs="Arial"/>
          <w:color w:val="000000" w:themeColor="text1"/>
          <w:lang w:eastAsia="zh-CN"/>
          <w14:textFill>
            <w14:solidFill>
              <w14:schemeClr w14:val="tx1"/>
            </w14:solidFill>
          </w14:textFill>
        </w:rPr>
        <w:t>D</w:t>
      </w:r>
      <w:r>
        <w:rPr>
          <w:rFonts w:ascii="Book Antiqua" w:hAnsi="Book Antiqua" w:cs="Arial"/>
          <w:color w:val="000000" w:themeColor="text1"/>
          <w14:textFill>
            <w14:solidFill>
              <w14:schemeClr w14:val="tx1"/>
            </w14:solidFill>
          </w14:textFill>
        </w:rPr>
        <w:t xml:space="preserve">aily blood loss was </w:t>
      </w:r>
      <w:r>
        <w:rPr>
          <w:rFonts w:ascii="Book Antiqua" w:hAnsi="Book Antiqua" w:cs="Arial"/>
          <w:color w:val="000000" w:themeColor="text1"/>
          <w:lang w:eastAsia="zh-CN"/>
          <w14:textFill>
            <w14:solidFill>
              <w14:schemeClr w14:val="tx1"/>
            </w14:solidFill>
          </w14:textFill>
        </w:rPr>
        <w:t xml:space="preserve">estimated to be </w:t>
      </w:r>
      <w:r>
        <w:rPr>
          <w:rFonts w:ascii="Book Antiqua" w:hAnsi="Book Antiqua" w:cs="Arial"/>
          <w:color w:val="000000" w:themeColor="text1"/>
          <w14:textFill>
            <w14:solidFill>
              <w14:schemeClr w14:val="tx1"/>
            </w14:solidFill>
          </w14:textFill>
        </w:rPr>
        <w:t xml:space="preserve">20-30mL. During a visit to a different hospital on March </w:t>
      </w:r>
      <w:r>
        <w:rPr>
          <w:rFonts w:ascii="Book Antiqua" w:hAnsi="Book Antiqua" w:cs="Arial"/>
          <w:color w:val="000000" w:themeColor="text1"/>
          <w:lang w:eastAsia="zh-CN"/>
          <w14:textFill>
            <w14:solidFill>
              <w14:schemeClr w14:val="tx1"/>
            </w14:solidFill>
          </w14:textFill>
        </w:rPr>
        <w:t xml:space="preserve">10, </w:t>
      </w:r>
      <w:r>
        <w:rPr>
          <w:rFonts w:ascii="Book Antiqua" w:hAnsi="Book Antiqua" w:cs="Arial"/>
          <w:color w:val="000000" w:themeColor="text1"/>
          <w14:textFill>
            <w14:solidFill>
              <w14:schemeClr w14:val="tx1"/>
            </w14:solidFill>
          </w14:textFill>
        </w:rPr>
        <w:t>2020, chest computed tomography (CT) demonstrated a mass and atelectasis in the right upper lobe (Figure 1A). BALF</w:t>
      </w:r>
      <w:r>
        <w:rPr>
          <w:rFonts w:ascii="Book Antiqua" w:hAnsi="Book Antiqua" w:cs="Arial"/>
          <w:color w:val="000000" w:themeColor="text1"/>
          <w:lang w:eastAsia="zh-CN"/>
          <w14:textFill>
            <w14:solidFill>
              <w14:schemeClr w14:val="tx1"/>
            </w14:solidFill>
          </w14:textFill>
        </w:rPr>
        <w:t xml:space="preserve"> was obtained by brochoscopy</w:t>
      </w:r>
      <w:r>
        <w:rPr>
          <w:rFonts w:ascii="Book Antiqua" w:hAnsi="Book Antiqua" w:cs="Arial"/>
          <w:color w:val="000000" w:themeColor="text1"/>
          <w14:textFill>
            <w14:solidFill>
              <w14:schemeClr w14:val="tx1"/>
            </w14:solidFill>
          </w14:textFill>
        </w:rPr>
        <w:t xml:space="preserve">; however, the bacterial culture of BALF was negative. The patient was diagnosed with pulmonary infection and treated with oral cefixime capsules (0.2g every 12h) and azithromycin (500 mg/d) for 1 wk. However, there was no improvement and </w:t>
      </w:r>
      <w:r>
        <w:rPr>
          <w:rFonts w:ascii="Book Antiqua" w:hAnsi="Book Antiqua" w:cs="Arial"/>
          <w:color w:val="000000" w:themeColor="text1"/>
          <w:lang w:eastAsia="zh-CN"/>
          <w14:textFill>
            <w14:solidFill>
              <w14:schemeClr w14:val="tx1"/>
            </w14:solidFill>
          </w14:textFill>
        </w:rPr>
        <w:t xml:space="preserve">the patient was in </w:t>
      </w:r>
      <w:r>
        <w:rPr>
          <w:rFonts w:ascii="Book Antiqua" w:hAnsi="Book Antiqua" w:cs="Arial"/>
          <w:color w:val="000000" w:themeColor="text1"/>
          <w14:textFill>
            <w14:solidFill>
              <w14:schemeClr w14:val="tx1"/>
            </w14:solidFill>
          </w14:textFill>
        </w:rPr>
        <w:t xml:space="preserve">a poor general status. He had dyspnea when walking hastily or going up stairs and had chest pain. Chest CT on April </w:t>
      </w:r>
      <w:r>
        <w:rPr>
          <w:rFonts w:ascii="Book Antiqua" w:hAnsi="Book Antiqua" w:cs="Arial"/>
          <w:color w:val="000000" w:themeColor="text1"/>
          <w:lang w:eastAsia="zh-CN"/>
          <w14:textFill>
            <w14:solidFill>
              <w14:schemeClr w14:val="tx1"/>
            </w14:solidFill>
          </w14:textFill>
        </w:rPr>
        <w:t xml:space="preserve">23, </w:t>
      </w:r>
      <w:r>
        <w:rPr>
          <w:rFonts w:ascii="Book Antiqua" w:hAnsi="Book Antiqua" w:cs="Arial"/>
          <w:color w:val="000000" w:themeColor="text1"/>
          <w14:textFill>
            <w14:solidFill>
              <w14:schemeClr w14:val="tx1"/>
            </w14:solidFill>
          </w14:textFill>
        </w:rPr>
        <w:t xml:space="preserve">2020 showed aggravation of the original lesion, especially in the right upper lobe (Figure 1B). He was admitted </w:t>
      </w:r>
      <w:r>
        <w:rPr>
          <w:rFonts w:ascii="Book Antiqua" w:hAnsi="Book Antiqua" w:cs="Arial"/>
          <w:color w:val="000000" w:themeColor="text1"/>
          <w:lang w:eastAsia="zh-CN"/>
          <w14:textFill>
            <w14:solidFill>
              <w14:schemeClr w14:val="tx1"/>
            </w14:solidFill>
          </w14:textFill>
        </w:rPr>
        <w:t>to</w:t>
      </w:r>
      <w:r>
        <w:rPr>
          <w:rFonts w:ascii="Book Antiqua" w:hAnsi="Book Antiqua" w:cs="Arial"/>
          <w:color w:val="000000" w:themeColor="text1"/>
          <w14:textFill>
            <w14:solidFill>
              <w14:schemeClr w14:val="tx1"/>
            </w14:solidFill>
          </w14:textFill>
        </w:rPr>
        <w:t xml:space="preserve"> our respiratory department for further evaluation on April </w:t>
      </w:r>
      <w:r>
        <w:rPr>
          <w:rFonts w:ascii="Book Antiqua" w:hAnsi="Book Antiqua" w:cs="Arial"/>
          <w:color w:val="000000" w:themeColor="text1"/>
          <w:lang w:eastAsia="zh-CN"/>
          <w14:textFill>
            <w14:solidFill>
              <w14:schemeClr w14:val="tx1"/>
            </w14:solidFill>
          </w14:textFill>
        </w:rPr>
        <w:t xml:space="preserve">25, </w:t>
      </w:r>
      <w:r>
        <w:rPr>
          <w:rFonts w:ascii="Book Antiqua" w:hAnsi="Book Antiqua" w:cs="Arial"/>
          <w:color w:val="000000" w:themeColor="text1"/>
          <w14:textFill>
            <w14:solidFill>
              <w14:schemeClr w14:val="tx1"/>
            </w14:solidFill>
          </w14:textFill>
        </w:rPr>
        <w:t>2020.</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History of past illness</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The patient had </w:t>
      </w:r>
      <w:r>
        <w:rPr>
          <w:rFonts w:ascii="Book Antiqua" w:hAnsi="Book Antiqua" w:cs="Arial"/>
          <w:color w:val="000000" w:themeColor="text1"/>
          <w:lang w:eastAsia="zh-CN"/>
          <w14:textFill>
            <w14:solidFill>
              <w14:schemeClr w14:val="tx1"/>
            </w14:solidFill>
          </w14:textFill>
        </w:rPr>
        <w:t xml:space="preserve">no </w:t>
      </w:r>
      <w:r>
        <w:rPr>
          <w:rFonts w:ascii="Book Antiqua" w:hAnsi="Book Antiqua" w:cs="Arial"/>
          <w:color w:val="000000" w:themeColor="text1"/>
          <w14:textFill>
            <w14:solidFill>
              <w14:schemeClr w14:val="tx1"/>
            </w14:solidFill>
          </w14:textFill>
        </w:rPr>
        <w:t>previous medical history</w:t>
      </w:r>
      <w:r>
        <w:rPr>
          <w:rFonts w:ascii="Book Antiqua" w:hAnsi="Book Antiqua" w:cs="Arial"/>
          <w:color w:val="000000" w:themeColor="text1"/>
          <w:lang w:eastAsia="zh-CN"/>
          <w14:textFill>
            <w14:solidFill>
              <w14:schemeClr w14:val="tx1"/>
            </w14:solidFill>
          </w14:textFill>
        </w:rPr>
        <w:t>, and</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n</w:t>
      </w:r>
      <w:r>
        <w:rPr>
          <w:rFonts w:ascii="Book Antiqua" w:hAnsi="Book Antiqua" w:cs="Arial"/>
          <w:color w:val="000000" w:themeColor="text1"/>
          <w14:textFill>
            <w14:solidFill>
              <w14:schemeClr w14:val="tx1"/>
            </w14:solidFill>
          </w14:textFill>
        </w:rPr>
        <w:t>o history of drug allergy.</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Personal and family history</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The patient worked as a welder and lived with his wife and children. He had no history of cigarette smoking or alcohol abuse. There was no family history to note.</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 xml:space="preserve">Physical examination </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On admission, the patient was afebrile and vital signs were normal. Breath sounds were decreased in the right lung, and neurological examination was unremarkable. </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 xml:space="preserve">Laboratory examinations </w:t>
      </w:r>
    </w:p>
    <w:p>
      <w:pPr>
        <w:spacing w:line="360" w:lineRule="auto"/>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The oxygenation index </w:t>
      </w:r>
      <w:r>
        <w:rPr>
          <w:rFonts w:ascii="Book Antiqua" w:hAnsi="Book Antiqua" w:cs="Arial"/>
          <w:color w:val="000000" w:themeColor="text1"/>
          <w:lang w:eastAsia="zh-CN"/>
          <w14:textFill>
            <w14:solidFill>
              <w14:schemeClr w14:val="tx1"/>
            </w14:solidFill>
          </w14:textFill>
        </w:rPr>
        <w:t>in</w:t>
      </w:r>
      <w:r>
        <w:rPr>
          <w:rFonts w:ascii="Book Antiqua" w:hAnsi="Book Antiqua" w:cs="Arial"/>
          <w:color w:val="000000" w:themeColor="text1"/>
          <w14:textFill>
            <w14:solidFill>
              <w14:schemeClr w14:val="tx1"/>
            </w14:solidFill>
          </w14:textFill>
        </w:rPr>
        <w:t xml:space="preserve"> blood gas </w:t>
      </w:r>
      <w:r>
        <w:rPr>
          <w:rFonts w:ascii="Book Antiqua" w:hAnsi="Book Antiqua" w:cs="Arial"/>
          <w:color w:val="000000" w:themeColor="text1"/>
          <w:lang w:eastAsia="zh-CN"/>
          <w14:textFill>
            <w14:solidFill>
              <w14:schemeClr w14:val="tx1"/>
            </w14:solidFill>
          </w14:textFill>
        </w:rPr>
        <w:t>analysis was</w:t>
      </w:r>
      <w:r>
        <w:rPr>
          <w:rFonts w:ascii="Book Antiqua" w:hAnsi="Book Antiqua" w:cs="Arial"/>
          <w:color w:val="000000" w:themeColor="text1"/>
          <w14:textFill>
            <w14:solidFill>
              <w14:schemeClr w14:val="tx1"/>
            </w14:solidFill>
          </w14:textFill>
        </w:rPr>
        <w:t xml:space="preserve"> 265</w:t>
      </w:r>
      <w:r>
        <w:rPr>
          <w:rFonts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mmHg (Table 1).</w:t>
      </w:r>
      <w:r>
        <w:rPr>
          <w:rFonts w:ascii="Book Antiqua" w:hAnsi="Book Antiqua" w:cs="Arial"/>
          <w:color w:val="000000" w:themeColor="text1"/>
          <w:lang w:eastAsia="zh-CN"/>
          <w14:textFill>
            <w14:solidFill>
              <w14:schemeClr w14:val="tx1"/>
            </w14:solidFill>
          </w14:textFill>
        </w:rPr>
        <w:t xml:space="preserve"> L</w:t>
      </w:r>
      <w:r>
        <w:rPr>
          <w:rFonts w:ascii="Book Antiqua" w:hAnsi="Book Antiqua" w:cs="Arial"/>
          <w:color w:val="000000" w:themeColor="text1"/>
          <w14:textFill>
            <w14:solidFill>
              <w14:schemeClr w14:val="tx1"/>
            </w14:solidFill>
          </w14:textFill>
        </w:rPr>
        <w:t xml:space="preserve">eukocytosis </w:t>
      </w:r>
      <w:r>
        <w:rPr>
          <w:rFonts w:ascii="Book Antiqua" w:hAnsi="Book Antiqua" w:cs="Arial"/>
          <w:color w:val="000000" w:themeColor="text1"/>
          <w:lang w:eastAsia="zh-CN"/>
          <w14:textFill>
            <w14:solidFill>
              <w14:schemeClr w14:val="tx1"/>
            </w14:solidFill>
          </w14:textFill>
        </w:rPr>
        <w:t>was</w:t>
      </w:r>
      <w:r>
        <w:rPr>
          <w:rFonts w:ascii="Book Antiqua" w:hAnsi="Book Antiqua" w:cs="Arial"/>
          <w:color w:val="000000" w:themeColor="text1"/>
          <w14:textFill>
            <w14:solidFill>
              <w14:schemeClr w14:val="tx1"/>
            </w14:solidFill>
          </w14:textFill>
        </w:rPr>
        <w:t xml:space="preserve"> 14.36 × 10</w:t>
      </w:r>
      <w:r>
        <w:rPr>
          <w:rFonts w:ascii="Book Antiqua" w:hAnsi="Book Antiqua" w:cs="Arial"/>
          <w:color w:val="000000" w:themeColor="text1"/>
          <w:vertAlign w:val="superscript"/>
          <w14:textFill>
            <w14:solidFill>
              <w14:schemeClr w14:val="tx1"/>
            </w14:solidFill>
          </w14:textFill>
        </w:rPr>
        <w:t>9</w:t>
      </w:r>
      <w:r>
        <w:rPr>
          <w:rFonts w:ascii="Book Antiqua" w:hAnsi="Book Antiqua" w:cs="Arial"/>
          <w:color w:val="000000" w:themeColor="text1"/>
          <w14:textFill>
            <w14:solidFill>
              <w14:schemeClr w14:val="tx1"/>
            </w14:solidFill>
          </w14:textFill>
        </w:rPr>
        <w:t xml:space="preserve">/L, C-reactive protein </w:t>
      </w:r>
      <w:r>
        <w:rPr>
          <w:rFonts w:ascii="Book Antiqua" w:hAnsi="Book Antiqua" w:cs="Arial"/>
          <w:color w:val="000000" w:themeColor="text1"/>
          <w:lang w:eastAsia="zh-CN"/>
          <w14:textFill>
            <w14:solidFill>
              <w14:schemeClr w14:val="tx1"/>
            </w14:solidFill>
          </w14:textFill>
        </w:rPr>
        <w:t xml:space="preserve">was </w:t>
      </w:r>
      <w:r>
        <w:rPr>
          <w:rFonts w:ascii="Book Antiqua" w:hAnsi="Book Antiqua" w:cs="Arial"/>
          <w:color w:val="000000" w:themeColor="text1"/>
          <w14:textFill>
            <w14:solidFill>
              <w14:schemeClr w14:val="tx1"/>
            </w14:solidFill>
          </w14:textFill>
        </w:rPr>
        <w:t xml:space="preserve">117.50 mg/L, </w:t>
      </w:r>
      <w:r>
        <w:rPr>
          <w:rFonts w:ascii="Book Antiqua" w:hAnsi="Book Antiqua" w:cs="Arial"/>
          <w:color w:val="000000" w:themeColor="text1"/>
          <w:lang w:eastAsia="zh-CN"/>
          <w14:textFill>
            <w14:solidFill>
              <w14:schemeClr w14:val="tx1"/>
            </w14:solidFill>
          </w14:textFill>
        </w:rPr>
        <w:t xml:space="preserve">and </w:t>
      </w:r>
      <w:r>
        <w:rPr>
          <w:rFonts w:ascii="Book Antiqua" w:hAnsi="Book Antiqua" w:cs="Arial"/>
          <w:color w:val="000000" w:themeColor="text1"/>
          <w14:textFill>
            <w14:solidFill>
              <w14:schemeClr w14:val="tx1"/>
            </w14:solidFill>
          </w14:textFill>
        </w:rPr>
        <w:t xml:space="preserve">procalcitonin </w:t>
      </w:r>
      <w:r>
        <w:rPr>
          <w:rFonts w:ascii="Book Antiqua" w:hAnsi="Book Antiqua" w:cs="Arial"/>
          <w:color w:val="000000" w:themeColor="text1"/>
          <w:lang w:eastAsia="zh-CN"/>
          <w14:textFill>
            <w14:solidFill>
              <w14:schemeClr w14:val="tx1"/>
            </w14:solidFill>
          </w14:textFill>
        </w:rPr>
        <w:t xml:space="preserve">was </w:t>
      </w:r>
      <w:r>
        <w:rPr>
          <w:rFonts w:ascii="Book Antiqua" w:hAnsi="Book Antiqua" w:cs="Arial"/>
          <w:color w:val="000000" w:themeColor="text1"/>
          <w14:textFill>
            <w14:solidFill>
              <w14:schemeClr w14:val="tx1"/>
            </w14:solidFill>
          </w14:textFill>
        </w:rPr>
        <w:t>0.126 ng/mL</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and liver and kidney function</w:t>
      </w:r>
      <w:r>
        <w:rPr>
          <w:rFonts w:ascii="Book Antiqua" w:hAnsi="Book Antiqua" w:cs="Arial"/>
          <w:color w:val="000000" w:themeColor="text1"/>
          <w:lang w:eastAsia="zh-CN"/>
          <w14:textFill>
            <w14:solidFill>
              <w14:schemeClr w14:val="tx1"/>
            </w14:solidFill>
          </w14:textFill>
        </w:rPr>
        <w:t>s were normal</w:t>
      </w:r>
      <w:r>
        <w:rPr>
          <w:rFonts w:ascii="Book Antiqua" w:hAnsi="Book Antiqua" w:cs="Arial"/>
          <w:color w:val="000000" w:themeColor="text1"/>
          <w14:textFill>
            <w14:solidFill>
              <w14:schemeClr w14:val="tx1"/>
            </w14:solidFill>
          </w14:textFill>
        </w:rPr>
        <w:t xml:space="preserve">. GeneXpert MTB/RIF, quantitative immunoglobulins, 1-3-β-D-glucan, galactomannan (GM), cryptococcal and deep sputum bacteriological culture antigen were </w:t>
      </w:r>
      <w:r>
        <w:rPr>
          <w:rFonts w:ascii="Book Antiqua" w:hAnsi="Book Antiqua" w:cs="Arial"/>
          <w:color w:val="000000" w:themeColor="text1"/>
          <w:lang w:eastAsia="zh-CN"/>
          <w14:textFill>
            <w14:solidFill>
              <w14:schemeClr w14:val="tx1"/>
            </w14:solidFill>
          </w14:textFill>
        </w:rPr>
        <w:t xml:space="preserve">all </w:t>
      </w:r>
      <w:r>
        <w:rPr>
          <w:rFonts w:ascii="Book Antiqua" w:hAnsi="Book Antiqua" w:cs="Arial"/>
          <w:color w:val="000000" w:themeColor="text1"/>
          <w14:textFill>
            <w14:solidFill>
              <w14:schemeClr w14:val="tx1"/>
            </w14:solidFill>
          </w14:textFill>
        </w:rPr>
        <w:t xml:space="preserve">negative. </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s="Arial"/>
          <w:b/>
          <w:i/>
          <w:color w:val="000000" w:themeColor="text1"/>
          <w14:textFill>
            <w14:solidFill>
              <w14:schemeClr w14:val="tx1"/>
            </w14:solidFill>
          </w14:textFill>
        </w:rPr>
      </w:pPr>
      <w:r>
        <w:rPr>
          <w:rFonts w:ascii="Book Antiqua" w:hAnsi="Book Antiqua" w:cs="Arial"/>
          <w:b/>
          <w:i/>
          <w:color w:val="000000" w:themeColor="text1"/>
          <w14:textFill>
            <w14:solidFill>
              <w14:schemeClr w14:val="tx1"/>
            </w14:solidFill>
          </w14:textFill>
        </w:rPr>
        <w:t>Imaging examinations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Positron emission tomography (PET)-CT was ordered on the suspicion of lung cancer. PET-CT showed that most of the mass lesions in the posterior segment of the right upper lobe had significantly increased glucose metabolism inhomogeneously with peripheral exudative changes, which were suspicious for infection on April </w:t>
      </w:r>
      <w:r>
        <w:rPr>
          <w:rFonts w:ascii="Book Antiqua" w:hAnsi="Book Antiqua" w:cs="Arial"/>
          <w:color w:val="000000" w:themeColor="text1"/>
          <w:lang w:eastAsia="zh-CN"/>
          <w14:textFill>
            <w14:solidFill>
              <w14:schemeClr w14:val="tx1"/>
            </w14:solidFill>
          </w14:textFill>
        </w:rPr>
        <w:t xml:space="preserve">27, </w:t>
      </w:r>
      <w:r>
        <w:rPr>
          <w:rFonts w:ascii="Book Antiqua" w:hAnsi="Book Antiqua" w:cs="Arial"/>
          <w:color w:val="000000" w:themeColor="text1"/>
          <w14:textFill>
            <w14:solidFill>
              <w14:schemeClr w14:val="tx1"/>
            </w14:solidFill>
          </w14:textFill>
        </w:rPr>
        <w:t>2020 (Figure 1C).</w:t>
      </w:r>
      <w:r>
        <w:rPr>
          <w:rFonts w:ascii="Book Antiqua" w:hAnsi="Book Antiqua"/>
          <w:color w:val="000000" w:themeColor="text1"/>
          <w14:textFill>
            <w14:solidFill>
              <w14:schemeClr w14:val="tx1"/>
            </w14:solidFill>
          </w14:textFill>
        </w:rPr>
        <w:t xml:space="preserve"> </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b/>
          <w:i/>
          <w:color w:val="000000" w:themeColor="text1"/>
          <w14:textFill>
            <w14:solidFill>
              <w14:schemeClr w14:val="tx1"/>
            </w14:solidFill>
          </w14:textFill>
        </w:rPr>
      </w:pPr>
      <w:r>
        <w:rPr>
          <w:rFonts w:ascii="Book Antiqua" w:hAnsi="Book Antiqua"/>
          <w:b/>
          <w:i/>
          <w:color w:val="000000" w:themeColor="text1"/>
          <w14:textFill>
            <w14:solidFill>
              <w14:schemeClr w14:val="tx1"/>
            </w14:solidFill>
          </w14:textFill>
        </w:rPr>
        <w:t>Further diagnostic work-up</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The patient was inhaled oxygen 4</w:t>
      </w:r>
      <w:r>
        <w:rPr>
          <w:rFonts w:hint="eastAsia"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L/min and treated empirically with simultaneous cefoperazone-tazobactam and teicoplanin for 7 d</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but he continued to experience cough and hemoptysis with elevated C-reactive protein (109.92 mg/L) and procalcitonin (0.189 ng/mL). </w:t>
      </w:r>
      <w:r>
        <w:rPr>
          <w:rFonts w:ascii="Book Antiqua" w:hAnsi="Book Antiqua" w:cs="Arial"/>
          <w:color w:val="000000" w:themeColor="text1"/>
          <w:lang w:eastAsia="zh-CN"/>
          <w14:textFill>
            <w14:solidFill>
              <w14:schemeClr w14:val="tx1"/>
            </w14:solidFill>
          </w14:textFill>
        </w:rPr>
        <w:t>M</w:t>
      </w:r>
      <w:r>
        <w:rPr>
          <w:rFonts w:ascii="Book Antiqua" w:hAnsi="Book Antiqua" w:cs="Arial"/>
          <w:color w:val="000000" w:themeColor="text1"/>
          <w14:textFill>
            <w14:solidFill>
              <w14:schemeClr w14:val="tx1"/>
            </w14:solidFill>
          </w14:textFill>
        </w:rPr>
        <w:t>eropenem and teicoplanin w</w:t>
      </w:r>
      <w:r>
        <w:rPr>
          <w:rFonts w:ascii="Book Antiqua" w:hAnsi="Book Antiqua" w:cs="Arial"/>
          <w:color w:val="000000" w:themeColor="text1"/>
          <w:lang w:eastAsia="zh-CN"/>
          <w14:textFill>
            <w14:solidFill>
              <w14:schemeClr w14:val="tx1"/>
            </w14:solidFill>
          </w14:textFill>
        </w:rPr>
        <w:t>ere then</w:t>
      </w:r>
      <w:r>
        <w:rPr>
          <w:rFonts w:ascii="Book Antiqua" w:hAnsi="Book Antiqua" w:cs="Arial"/>
          <w:color w:val="000000" w:themeColor="text1"/>
          <w14:textFill>
            <w14:solidFill>
              <w14:schemeClr w14:val="tx1"/>
            </w14:solidFill>
          </w14:textFill>
        </w:rPr>
        <w:t xml:space="preserve"> administered. </w:t>
      </w:r>
      <w:r>
        <w:rPr>
          <w:rFonts w:ascii="Book Antiqua" w:hAnsi="Book Antiqua" w:cs="Arial"/>
          <w:color w:val="000000" w:themeColor="text1"/>
          <w:lang w:eastAsia="zh-CN"/>
          <w14:textFill>
            <w14:solidFill>
              <w14:schemeClr w14:val="tx1"/>
            </w14:solidFill>
          </w14:textFill>
        </w:rPr>
        <w:t>In addition</w:t>
      </w:r>
      <w:r>
        <w:rPr>
          <w:rFonts w:ascii="Book Antiqua" w:hAnsi="Book Antiqua" w:cs="Arial"/>
          <w:color w:val="000000" w:themeColor="text1"/>
          <w14:textFill>
            <w14:solidFill>
              <w14:schemeClr w14:val="tx1"/>
            </w14:solidFill>
          </w14:textFill>
        </w:rPr>
        <w:t>, bronchoscopy was performed to obtain specimens including BALF and lung tissue. Transbronchial biopsy of soft tissue of the right upper lung showed chronic inflammation with acute activity and fibrous tissue hyperplasia with focal necrosis. GeneXpert MTB/RIF, GM</w:t>
      </w:r>
      <w:r>
        <w:rPr>
          <w:rFonts w:hint="eastAsia"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 xml:space="preserve">(1-3)-β-D-Glucan, fungi and acid-fast bacillus stains, and BALF culture for bacteria were negative. However, mNGS analysis of BALF detected </w:t>
      </w:r>
      <w:r>
        <w:rPr>
          <w:rFonts w:ascii="Book Antiqua" w:hAnsi="Book Antiqua" w:cs="Arial"/>
          <w:i/>
          <w:color w:val="000000" w:themeColor="text1"/>
          <w14:textFill>
            <w14:solidFill>
              <w14:schemeClr w14:val="tx1"/>
            </w14:solidFill>
          </w14:textFill>
        </w:rPr>
        <w:t>N. asiatica</w:t>
      </w:r>
      <w:r>
        <w:rPr>
          <w:rFonts w:ascii="Book Antiqua" w:hAnsi="Book Antiqua" w:cs="Arial"/>
          <w:color w:val="000000" w:themeColor="text1"/>
          <w14:textFill>
            <w14:solidFill>
              <w14:schemeClr w14:val="tx1"/>
            </w14:solidFill>
          </w14:textFill>
        </w:rPr>
        <w:t xml:space="preserve"> and </w:t>
      </w:r>
      <w:r>
        <w:rPr>
          <w:rFonts w:ascii="Book Antiqua" w:hAnsi="Book Antiqua" w:cs="Arial"/>
          <w:i/>
          <w:color w:val="000000" w:themeColor="text1"/>
          <w14:textFill>
            <w14:solidFill>
              <w14:schemeClr w14:val="tx1"/>
            </w14:solidFill>
          </w14:textFill>
        </w:rPr>
        <w:t>N. beijingensis</w:t>
      </w:r>
      <w:r>
        <w:rPr>
          <w:rFonts w:ascii="Book Antiqua" w:hAnsi="Book Antiqua" w:cs="Arial"/>
          <w:color w:val="000000" w:themeColor="text1"/>
          <w14:textFill>
            <w14:solidFill>
              <w14:schemeClr w14:val="tx1"/>
            </w14:solidFill>
          </w14:textFill>
        </w:rPr>
        <w:t>.</w:t>
      </w:r>
      <w:r>
        <w:rPr>
          <w:rFonts w:ascii="Book Antiqua" w:hAnsi="Book Antiqua"/>
          <w:color w:val="000000" w:themeColor="text1"/>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 xml:space="preserve">The patient developed a new symptom of headache at the same time. Cranial enhanced magnetic resonance imaging </w:t>
      </w:r>
      <w:r>
        <w:rPr>
          <w:rFonts w:hint="eastAsia"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MRI</w:t>
      </w:r>
      <w:r>
        <w:rPr>
          <w:rFonts w:hint="eastAsia"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was ordered on the suspicion of intracranial </w:t>
      </w:r>
      <w:r>
        <w:rPr>
          <w:rFonts w:ascii="Book Antiqua" w:hAnsi="Book Antiqua" w:cs="Arial"/>
          <w:i/>
          <w:iCs/>
          <w:color w:val="000000" w:themeColor="text1"/>
          <w14:textFill>
            <w14:solidFill>
              <w14:schemeClr w14:val="tx1"/>
            </w14:solidFill>
          </w14:textFill>
        </w:rPr>
        <w:t>Nocardia</w:t>
      </w:r>
      <w:r>
        <w:rPr>
          <w:rFonts w:ascii="Book Antiqua" w:hAnsi="Book Antiqua" w:cs="Arial"/>
          <w:color w:val="000000" w:themeColor="text1"/>
          <w14:textFill>
            <w14:solidFill>
              <w14:schemeClr w14:val="tx1"/>
            </w14:solidFill>
          </w14:textFill>
        </w:rPr>
        <w:t xml:space="preserve"> infection and </w:t>
      </w:r>
      <w:r>
        <w:rPr>
          <w:rFonts w:ascii="Book Antiqua" w:hAnsi="Book Antiqua" w:cs="Arial"/>
          <w:color w:val="000000" w:themeColor="text1"/>
          <w:lang w:eastAsia="zh-CN"/>
          <w14:textFill>
            <w14:solidFill>
              <w14:schemeClr w14:val="tx1"/>
            </w14:solidFill>
          </w14:textFill>
        </w:rPr>
        <w:t>it</w:t>
      </w:r>
      <w:r>
        <w:rPr>
          <w:rFonts w:ascii="Book Antiqua" w:hAnsi="Book Antiqua" w:cs="Arial"/>
          <w:color w:val="000000" w:themeColor="text1"/>
          <w14:textFill>
            <w14:solidFill>
              <w14:schemeClr w14:val="tx1"/>
            </w14:solidFill>
          </w14:textFill>
        </w:rPr>
        <w:t xml:space="preserve"> showed multiple lesions in the left occipital lobe, right cerebellar hemisphere and left frontal lobe on May </w:t>
      </w:r>
      <w:r>
        <w:rPr>
          <w:rFonts w:ascii="Book Antiqua" w:hAnsi="Book Antiqua" w:cs="Arial"/>
          <w:color w:val="000000" w:themeColor="text1"/>
          <w:lang w:eastAsia="zh-CN"/>
          <w14:textFill>
            <w14:solidFill>
              <w14:schemeClr w14:val="tx1"/>
            </w14:solidFill>
          </w14:textFill>
        </w:rPr>
        <w:t xml:space="preserve">13, </w:t>
      </w:r>
      <w:r>
        <w:rPr>
          <w:rFonts w:ascii="Book Antiqua" w:hAnsi="Book Antiqua" w:cs="Arial"/>
          <w:color w:val="000000" w:themeColor="text1"/>
          <w14:textFill>
            <w14:solidFill>
              <w14:schemeClr w14:val="tx1"/>
            </w14:solidFill>
          </w14:textFill>
        </w:rPr>
        <w:t>2020 (Figure 2A). Cerebrospinal fluid (CSF) obtained by lumbar puncture identified no white or red blood cells, glucose 3.42 mmol/L and protein 0.54 g/L. The bacterial culture, cryptococcal antigen, virus DNA and exfoliative cell examination of CSF were all negative, as was NGS analysis of CSF</w:t>
      </w:r>
      <w:r>
        <w:rPr>
          <w:rFonts w:hint="eastAsia"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(Figure 3).</w:t>
      </w:r>
      <w:r>
        <w:rPr>
          <w:rFonts w:ascii="Book Antiqua" w:hAnsi="Book Antiqua" w:cs="Book Antiqua"/>
          <w:color w:val="000000" w:themeColor="text1"/>
          <w:lang w:eastAsia="zh-CN"/>
          <w14:textFill>
            <w14:solidFill>
              <w14:schemeClr w14:val="tx1"/>
            </w14:solidFill>
          </w14:textFill>
        </w:rPr>
        <w:t xml:space="preserve"> </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Disseminated nocardiosis affecting the CNS and lungs.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immediately treated with oral TMP-SMZ 0.96</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 every 8</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h and intravenous linezolid 600</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mg every 12</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h from May </w:t>
      </w:r>
      <w:r>
        <w:rPr>
          <w:rFonts w:ascii="Book Antiqua" w:hAnsi="Book Antiqua" w:cs="Book Antiqua"/>
          <w:color w:val="000000" w:themeColor="text1"/>
          <w:lang w:eastAsia="zh-CN"/>
          <w14:textFill>
            <w14:solidFill>
              <w14:schemeClr w14:val="tx1"/>
            </w14:solidFill>
          </w14:textFill>
        </w:rPr>
        <w:t xml:space="preserve">9, </w:t>
      </w:r>
      <w:r>
        <w:rPr>
          <w:rFonts w:ascii="Book Antiqua" w:hAnsi="Book Antiqua" w:eastAsia="Book Antiqua" w:cs="Book Antiqua"/>
          <w:color w:val="000000" w:themeColor="text1"/>
          <w14:textFill>
            <w14:solidFill>
              <w14:schemeClr w14:val="tx1"/>
            </w14:solidFill>
          </w14:textFill>
        </w:rPr>
        <w:t>2020. After 2 wk of combined antibiotic therapy, h</w:t>
      </w:r>
      <w:r>
        <w:rPr>
          <w:rFonts w:ascii="Book Antiqua" w:hAnsi="Book Antiqua" w:cs="Book Antiqua"/>
          <w:color w:val="000000" w:themeColor="text1"/>
          <w:lang w:eastAsia="zh-CN"/>
          <w14:textFill>
            <w14:solidFill>
              <w14:schemeClr w14:val="tx1"/>
            </w14:solidFill>
          </w14:textFill>
        </w:rPr>
        <w:t>is condition</w:t>
      </w:r>
      <w:r>
        <w:rPr>
          <w:rFonts w:ascii="Book Antiqua" w:hAnsi="Book Antiqua" w:eastAsia="Book Antiqua" w:cs="Book Antiqua"/>
          <w:color w:val="000000" w:themeColor="text1"/>
          <w14:textFill>
            <w14:solidFill>
              <w14:schemeClr w14:val="tx1"/>
            </w14:solidFill>
          </w14:textFill>
        </w:rPr>
        <w:t xml:space="preserve"> improved and pulmonary CT showed an obvious reduction in consolidation in both lung fields on May </w:t>
      </w:r>
      <w:r>
        <w:rPr>
          <w:rFonts w:ascii="Book Antiqua" w:hAnsi="Book Antiqua" w:cs="Book Antiqua"/>
          <w:color w:val="000000" w:themeColor="text1"/>
          <w:lang w:eastAsia="zh-CN"/>
          <w14:textFill>
            <w14:solidFill>
              <w14:schemeClr w14:val="tx1"/>
            </w14:solidFill>
          </w14:textFill>
        </w:rPr>
        <w:t xml:space="preserve">23, </w:t>
      </w:r>
      <w:r>
        <w:rPr>
          <w:rFonts w:ascii="Book Antiqua" w:hAnsi="Book Antiqua" w:eastAsia="Book Antiqua" w:cs="Book Antiqua"/>
          <w:color w:val="000000" w:themeColor="text1"/>
          <w14:textFill>
            <w14:solidFill>
              <w14:schemeClr w14:val="tx1"/>
            </w14:solidFill>
          </w14:textFill>
        </w:rPr>
        <w:t xml:space="preserve">2020 (Figure 1D). The oxygenation index </w:t>
      </w:r>
      <w:r>
        <w:rPr>
          <w:rFonts w:ascii="Book Antiqua" w:hAnsi="Book Antiqua" w:cs="Book Antiqua"/>
          <w:color w:val="000000" w:themeColor="text1"/>
          <w:lang w:eastAsia="zh-CN"/>
          <w14:textFill>
            <w14:solidFill>
              <w14:schemeClr w14:val="tx1"/>
            </w14:solidFill>
          </w14:textFill>
        </w:rPr>
        <w:t>in</w:t>
      </w:r>
      <w:r>
        <w:rPr>
          <w:rFonts w:ascii="Book Antiqua" w:hAnsi="Book Antiqua" w:eastAsia="Book Antiqua" w:cs="Book Antiqua"/>
          <w:color w:val="000000" w:themeColor="text1"/>
          <w14:textFill>
            <w14:solidFill>
              <w14:schemeClr w14:val="tx1"/>
            </w14:solidFill>
          </w14:textFill>
        </w:rPr>
        <w:t xml:space="preserve"> blood gas </w:t>
      </w:r>
      <w:r>
        <w:rPr>
          <w:rFonts w:ascii="Book Antiqua" w:hAnsi="Book Antiqua" w:cs="Book Antiqua"/>
          <w:color w:val="000000" w:themeColor="text1"/>
          <w:lang w:eastAsia="zh-CN"/>
          <w14:textFill>
            <w14:solidFill>
              <w14:schemeClr w14:val="tx1"/>
            </w14:solidFill>
          </w14:textFill>
        </w:rPr>
        <w:t>analysis was</w:t>
      </w:r>
      <w:r>
        <w:rPr>
          <w:rFonts w:ascii="Book Antiqua" w:hAnsi="Book Antiqua" w:eastAsia="Book Antiqua" w:cs="Book Antiqua"/>
          <w:color w:val="000000" w:themeColor="text1"/>
          <w14:textFill>
            <w14:solidFill>
              <w14:schemeClr w14:val="tx1"/>
            </w14:solidFill>
          </w14:textFill>
        </w:rPr>
        <w:t xml:space="preserve"> 388mmHg (Table 1). Platelet count showed thrombocytopenia (171</w:t>
      </w:r>
      <w:r>
        <w:rPr>
          <w:rFonts w:ascii="Book Antiqua" w:hAnsi="Book Antiqua" w:cs="Book Antiqua"/>
          <w:color w:val="000000" w:themeColor="text1"/>
          <w:lang w:eastAsia="zh-CN"/>
          <w14:textFill>
            <w14:solidFill>
              <w14:schemeClr w14:val="tx1"/>
            </w14:solidFill>
          </w14:textFill>
        </w:rPr>
        <w:t xml:space="preserve"> × </w:t>
      </w:r>
      <w:r>
        <w:rPr>
          <w:rFonts w:ascii="Book Antiqua" w:hAnsi="Book Antiqua" w:eastAsia="Book Antiqua" w:cs="Book Antiqua"/>
          <w:color w:val="000000" w:themeColor="text1"/>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xml:space="preserve"> /L 10</w:t>
      </w:r>
      <w:r>
        <w:rPr>
          <w:rFonts w:ascii="Book Antiqua" w:hAnsi="Book Antiqua" w:eastAsia="Book Antiqua" w:cs="Book Antiqua"/>
          <w:color w:val="000000" w:themeColor="text1"/>
          <w:vertAlign w:val="superscript"/>
          <w14:textFill>
            <w14:solidFill>
              <w14:schemeClr w14:val="tx1"/>
            </w14:solidFill>
          </w14:textFill>
        </w:rPr>
        <w:t xml:space="preserve">9 </w:t>
      </w:r>
      <w:r>
        <w:rPr>
          <w:rFonts w:ascii="Book Antiqua" w:hAnsi="Book Antiqua" w:eastAsia="Book Antiqua" w:cs="Book Antiqua"/>
          <w:color w:val="000000" w:themeColor="text1"/>
          <w14:textFill>
            <w14:solidFill>
              <w14:schemeClr w14:val="tx1"/>
            </w14:solidFill>
          </w14:textFill>
        </w:rPr>
        <w:t xml:space="preserve">/L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normal 233</w:t>
      </w:r>
      <w:r>
        <w:rPr>
          <w:rFonts w:ascii="Book Antiqua" w:hAnsi="Book Antiqua" w:cs="Book Antiqua"/>
          <w:color w:val="000000" w:themeColor="text1"/>
          <w:lang w:eastAsia="zh-CN"/>
          <w14:textFill>
            <w14:solidFill>
              <w14:schemeClr w14:val="tx1"/>
            </w14:solidFill>
          </w14:textFill>
        </w:rPr>
        <w:t xml:space="preserve"> × </w:t>
      </w:r>
      <w:r>
        <w:rPr>
          <w:rFonts w:ascii="Book Antiqua" w:hAnsi="Book Antiqua" w:eastAsia="Book Antiqua" w:cs="Book Antiqua"/>
          <w:color w:val="000000" w:themeColor="text1"/>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t xml:space="preserve">9 </w:t>
      </w:r>
      <w:r>
        <w:rPr>
          <w:rFonts w:ascii="Book Antiqua" w:hAnsi="Book Antiqua" w:eastAsia="Book Antiqua" w:cs="Book Antiqua"/>
          <w:color w:val="000000" w:themeColor="text1"/>
          <w14:textFill>
            <w14:solidFill>
              <w14:schemeClr w14:val="tx1"/>
            </w14:solidFill>
          </w14:textFill>
        </w:rPr>
        <w:t>/L). After 3 wk, because of the higher dose of linezolid in the plasma (9.36 mg/L) and reduction of hemamebas (3.34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and platelets (122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we adjusted the dose of intravenous linezolid (600 mg/d) and oral TMP-SMZ (0.96 g every 12</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h) on May </w:t>
      </w:r>
      <w:r>
        <w:rPr>
          <w:rFonts w:ascii="Book Antiqua" w:hAnsi="Book Antiqua" w:cs="Book Antiqua"/>
          <w:color w:val="000000" w:themeColor="text1"/>
          <w:lang w:eastAsia="zh-CN"/>
          <w14:textFill>
            <w14:solidFill>
              <w14:schemeClr w14:val="tx1"/>
            </w14:solidFill>
          </w14:textFill>
        </w:rPr>
        <w:t xml:space="preserve">31, </w:t>
      </w:r>
      <w:r>
        <w:rPr>
          <w:rFonts w:ascii="Book Antiqua" w:hAnsi="Book Antiqua" w:eastAsia="Book Antiqua" w:cs="Book Antiqua"/>
          <w:color w:val="000000" w:themeColor="text1"/>
          <w14:textFill>
            <w14:solidFill>
              <w14:schemeClr w14:val="tx1"/>
            </w14:solidFill>
          </w14:textFill>
        </w:rPr>
        <w:t xml:space="preserve">2020 (Table 2). The patient’s blood count recovered gradually, and at the same time </w:t>
      </w:r>
      <w:r>
        <w:rPr>
          <w:rFonts w:ascii="Book Antiqua" w:hAnsi="Book Antiqua" w:cs="Book Antiqua"/>
          <w:color w:val="000000" w:themeColor="text1"/>
          <w:lang w:eastAsia="zh-CN"/>
          <w14:textFill>
            <w14:solidFill>
              <w14:schemeClr w14:val="tx1"/>
            </w14:solidFill>
          </w14:textFill>
        </w:rPr>
        <w:t>his clinical conditions</w:t>
      </w:r>
      <w:r>
        <w:rPr>
          <w:rFonts w:ascii="Book Antiqua" w:hAnsi="Book Antiqua" w:eastAsia="Book Antiqua" w:cs="Book Antiqua"/>
          <w:color w:val="000000" w:themeColor="text1"/>
          <w14:textFill>
            <w14:solidFill>
              <w14:schemeClr w14:val="tx1"/>
            </w14:solidFill>
          </w14:textFill>
        </w:rPr>
        <w:t xml:space="preserve"> continued to improve. After 5 wk and improvement of his brain lesions on repeat MRI (Figure 2B), as the dose of linezolid </w:t>
      </w:r>
      <w:r>
        <w:rPr>
          <w:rFonts w:ascii="Book Antiqua" w:hAnsi="Book Antiqua" w:cs="Book Antiqua"/>
          <w:color w:val="000000" w:themeColor="text1"/>
          <w:lang w:eastAsia="zh-CN"/>
          <w14:textFill>
            <w14:solidFill>
              <w14:schemeClr w14:val="tx1"/>
            </w14:solidFill>
          </w14:textFill>
        </w:rPr>
        <w:t xml:space="preserve">in plasma </w:t>
      </w:r>
      <w:r>
        <w:rPr>
          <w:rFonts w:ascii="Book Antiqua" w:hAnsi="Book Antiqua" w:eastAsia="Book Antiqua" w:cs="Book Antiqua"/>
          <w:color w:val="000000" w:themeColor="text1"/>
          <w14:textFill>
            <w14:solidFill>
              <w14:schemeClr w14:val="tx1"/>
            </w14:solidFill>
          </w14:textFill>
        </w:rPr>
        <w:t xml:space="preserve">was still high (6.38 mg/L), </w:t>
      </w:r>
      <w:r>
        <w:rPr>
          <w:rFonts w:ascii="Book Antiqua" w:hAnsi="Book Antiqua" w:cs="Book Antiqua"/>
          <w:color w:val="000000" w:themeColor="text1"/>
          <w:lang w:eastAsia="zh-CN"/>
          <w14:textFill>
            <w14:solidFill>
              <w14:schemeClr w14:val="tx1"/>
            </w14:solidFill>
          </w14:textFill>
        </w:rPr>
        <w:t>the treatment</w:t>
      </w:r>
      <w:r>
        <w:rPr>
          <w:rFonts w:ascii="Book Antiqua" w:hAnsi="Book Antiqua" w:eastAsia="Book Antiqua" w:cs="Book Antiqua"/>
          <w:color w:val="000000" w:themeColor="text1"/>
          <w14:textFill>
            <w14:solidFill>
              <w14:schemeClr w14:val="tx1"/>
            </w14:solidFill>
          </w14:textFill>
        </w:rPr>
        <w:t xml:space="preserve"> was replaced by ceftriaxone (2 g/d) on June </w:t>
      </w:r>
      <w:r>
        <w:rPr>
          <w:rFonts w:ascii="Book Antiqua" w:hAnsi="Book Antiqua" w:cs="Book Antiqua"/>
          <w:color w:val="000000" w:themeColor="text1"/>
          <w:lang w:eastAsia="zh-CN"/>
          <w14:textFill>
            <w14:solidFill>
              <w14:schemeClr w14:val="tx1"/>
            </w14:solidFill>
          </w14:textFill>
        </w:rPr>
        <w:t xml:space="preserve">16, </w:t>
      </w:r>
      <w:r>
        <w:rPr>
          <w:rFonts w:ascii="Book Antiqua" w:hAnsi="Book Antiqua" w:eastAsia="Book Antiqua" w:cs="Book Antiqua"/>
          <w:color w:val="000000" w:themeColor="text1"/>
          <w14:textFill>
            <w14:solidFill>
              <w14:schemeClr w14:val="tx1"/>
            </w14:solidFill>
          </w14:textFill>
        </w:rPr>
        <w:t>2020 (Table 2). After 1 wk of treatment with ceftriaxone (2 g/d) and TMP-SMZ (0.96 g every 12 h), we shifted the antibiotic therapy to oral minocyline (100 mg every 12 h) and TMP-SMZ (0.96 g every 12 h) for 6.5 mo (Table 2). He completed nearly 8 mo of antibiotic therapy, with resolution of his pulmonary and brain lesions (Figure 1E</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J), and complete cure was achieved (Figure 2C</w:t>
      </w:r>
      <w:r>
        <w:rPr>
          <w:rFonts w:hint="eastAsia" w:ascii="Book Antiqua" w:hAnsi="Book Antiqua" w:cs="Book Antiqua"/>
          <w:color w:val="000000" w:themeColor="text1"/>
          <w:lang w:eastAsia="zh-CN"/>
          <w14:textFill>
            <w14:solidFill>
              <w14:schemeClr w14:val="tx1"/>
            </w14:solidFill>
          </w14:textFill>
        </w:rPr>
        <w:t xml:space="preserve"> and </w:t>
      </w:r>
      <w:r>
        <w:rPr>
          <w:rFonts w:ascii="Book Antiqua" w:hAnsi="Book Antiqua" w:eastAsia="Book Antiqua" w:cs="Book Antiqua"/>
          <w:color w:val="000000" w:themeColor="text1"/>
          <w14:textFill>
            <w14:solidFill>
              <w14:schemeClr w14:val="tx1"/>
            </w14:solidFill>
          </w14:textFill>
        </w:rPr>
        <w:t>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 completed nearly 8 mo of antibiotic therapy, with resolution of his pulmonary and brain lesions (Figure 1E</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J), and complete cure was achieved (Figure 2C</w:t>
      </w:r>
      <w:r>
        <w:rPr>
          <w:rFonts w:hint="eastAsia" w:ascii="Book Antiqua" w:hAnsi="Book Antiqua" w:cs="Book Antiqua"/>
          <w:color w:val="000000" w:themeColor="text1"/>
          <w:lang w:eastAsia="zh-CN"/>
          <w14:textFill>
            <w14:solidFill>
              <w14:schemeClr w14:val="tx1"/>
            </w14:solidFill>
          </w14:textFill>
        </w:rPr>
        <w:t xml:space="preserve"> and </w:t>
      </w:r>
      <w:r>
        <w:rPr>
          <w:rFonts w:ascii="Book Antiqua" w:hAnsi="Book Antiqua" w:eastAsia="Book Antiqua" w:cs="Book Antiqua"/>
          <w:color w:val="000000" w:themeColor="text1"/>
          <w14:textFill>
            <w14:solidFill>
              <w14:schemeClr w14:val="tx1"/>
            </w14:solidFill>
          </w14:textFill>
        </w:rPr>
        <w:t>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s="Arial"/>
          <w:color w:val="000000" w:themeColor="text1"/>
          <w14:textFill>
            <w14:solidFill>
              <w14:schemeClr w14:val="tx1"/>
            </w14:solidFill>
          </w14:textFill>
        </w:rPr>
      </w:pPr>
      <w:r>
        <w:rPr>
          <w:rFonts w:ascii="Book Antiqua" w:hAnsi="Book Antiqua" w:cs="Arial"/>
          <w:color w:val="000000" w:themeColor="text1"/>
          <w14:textFill>
            <w14:solidFill>
              <w14:schemeClr w14:val="tx1"/>
            </w14:solidFill>
          </w14:textFill>
        </w:rPr>
        <w:t>Disseminated nocardiosis may affect many organs, especially the lungs, CNS, skin and even the pericardium. Among disseminated infections, 44% of patients had CNS involvement, highlighting the neurotrophic features of Nocardia spp. CNS manifestations of Nocardia infection can include isolated or multifocal brain abscesses and meningitis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NE.Ref.{6872E89B-F1D8-450F-A521-486A09BF3CB8}</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w:t>
      </w:r>
      <w:r>
        <w:rPr>
          <w:rFonts w:hint="eastAsia" w:ascii="Book Antiqua" w:hAnsi="Book Antiqua" w:cs="Arial"/>
          <w:color w:val="000000" w:themeColor="text1"/>
          <w:vertAlign w:val="superscript"/>
          <w:lang w:eastAsia="zh-CN"/>
          <w14:textFill>
            <w14:solidFill>
              <w14:schemeClr w14:val="tx1"/>
            </w14:solidFill>
          </w14:textFill>
        </w:rPr>
        <w:t>7-</w:t>
      </w:r>
      <w:r>
        <w:rPr>
          <w:rFonts w:ascii="Book Antiqua" w:hAnsi="Book Antiqua" w:cs="Arial"/>
          <w:color w:val="000000" w:themeColor="text1"/>
          <w:vertAlign w:val="superscript"/>
          <w14:textFill>
            <w14:solidFill>
              <w14:schemeClr w14:val="tx1"/>
            </w14:solidFill>
          </w14:textFill>
        </w:rPr>
        <w:t>9]</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Consistent with the</w:t>
      </w:r>
      <w:r>
        <w:rPr>
          <w:rFonts w:ascii="Book Antiqua" w:hAnsi="Book Antiqua" w:cs="Arial"/>
          <w:color w:val="000000" w:themeColor="text1"/>
          <w:lang w:eastAsia="zh-CN"/>
          <w14:textFill>
            <w14:solidFill>
              <w14:schemeClr w14:val="tx1"/>
            </w14:solidFill>
          </w14:textFill>
        </w:rPr>
        <w:t xml:space="preserve"> previous</w:t>
      </w:r>
      <w:r>
        <w:rPr>
          <w:rFonts w:ascii="Book Antiqua" w:hAnsi="Book Antiqua" w:cs="Arial"/>
          <w:color w:val="000000" w:themeColor="text1"/>
          <w14:textFill>
            <w14:solidFill>
              <w14:schemeClr w14:val="tx1"/>
            </w14:solidFill>
          </w14:textFill>
        </w:rPr>
        <w:t xml:space="preserve"> reports, our patient presented with disseminated disease </w:t>
      </w:r>
      <w:r>
        <w:rPr>
          <w:rFonts w:ascii="Book Antiqua" w:hAnsi="Book Antiqua" w:cs="Arial"/>
          <w:color w:val="000000" w:themeColor="text1"/>
          <w:lang w:eastAsia="zh-CN"/>
          <w14:textFill>
            <w14:solidFill>
              <w14:schemeClr w14:val="tx1"/>
            </w14:solidFill>
          </w14:textFill>
        </w:rPr>
        <w:t xml:space="preserve">spreading </w:t>
      </w:r>
      <w:r>
        <w:rPr>
          <w:rFonts w:ascii="Book Antiqua" w:hAnsi="Book Antiqua" w:cs="Arial"/>
          <w:color w:val="000000" w:themeColor="text1"/>
          <w14:textFill>
            <w14:solidFill>
              <w14:schemeClr w14:val="tx1"/>
            </w14:solidFill>
          </w14:textFill>
        </w:rPr>
        <w:t xml:space="preserve">from a primary pulmonary infection to the central nervous system. He had a neurological symptom of headache and MRI revealed multiple lesions in the left frontal lobe, occipital lobe and right cerebellar hemisphere. Although bacterial culture and NGS analysis of CSF were both negative, his headache disappeared and MRI showed that the craniocerebral lesions were significantly reduced or even disappeared after antibiotic therapy, which confirmed that he had cerebral nocardiosis. </w:t>
      </w:r>
    </w:p>
    <w:p>
      <w:pPr>
        <w:spacing w:line="360" w:lineRule="auto"/>
        <w:ind w:firstLine="480" w:firstLineChars="200"/>
        <w:jc w:val="both"/>
        <w:rPr>
          <w:rFonts w:ascii="Book Antiqua" w:hAnsi="Book Antiqua" w:cs="Arial"/>
          <w:color w:val="000000" w:themeColor="text1"/>
          <w14:textFill>
            <w14:solidFill>
              <w14:schemeClr w14:val="tx1"/>
            </w14:solidFill>
          </w14:textFill>
        </w:rPr>
      </w:pPr>
      <w:r>
        <w:rPr>
          <w:rFonts w:ascii="Book Antiqua" w:hAnsi="Book Antiqua" w:cs="Arial"/>
          <w:color w:val="000000" w:themeColor="text1"/>
          <w14:textFill>
            <w14:solidFill>
              <w14:schemeClr w14:val="tx1"/>
            </w14:solidFill>
          </w14:textFill>
        </w:rPr>
        <w:t>A definitive diagnosis of nocardiosis requires the isolation and identification of the organism from a clinical specimen. The traditional detection methods in specimens for microbial culture, histopathology, or smear microscopy, have low yield and are time-consuming; therefore, NGS has emerged</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NE.Ref.{98AA13B7-A69C-4E51-94A8-E3B16251BAED}</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[3]</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vertAlign w:val="superscript"/>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NGS can detect unknown pathogens and a variety of mixed infectious pathogens by one-stop precision sequencing, therefore simplifying the detection process, improving pathogen detection sensitivity, and shortening detection time</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NE.Ref.{3E01AE9F-6C07-40E6-8F49-258FDE15348F}</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[4,5]</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vertAlign w:val="superscript"/>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In this case, </w:t>
      </w:r>
      <w:r>
        <w:rPr>
          <w:rFonts w:ascii="Book Antiqua" w:hAnsi="Book Antiqua" w:cs="Arial"/>
          <w:i/>
          <w:iCs/>
          <w:color w:val="000000" w:themeColor="text1"/>
          <w14:textFill>
            <w14:solidFill>
              <w14:schemeClr w14:val="tx1"/>
            </w14:solidFill>
          </w14:textFill>
        </w:rPr>
        <w:t>N. asiatica</w:t>
      </w:r>
      <w:r>
        <w:rPr>
          <w:rFonts w:ascii="Book Antiqua" w:hAnsi="Book Antiqua" w:cs="Arial"/>
          <w:color w:val="000000" w:themeColor="text1"/>
          <w14:textFill>
            <w14:solidFill>
              <w14:schemeClr w14:val="tx1"/>
            </w14:solidFill>
          </w14:textFill>
        </w:rPr>
        <w:t xml:space="preserve"> and </w:t>
      </w:r>
      <w:r>
        <w:rPr>
          <w:rFonts w:ascii="Book Antiqua" w:hAnsi="Book Antiqua" w:cs="Arial"/>
          <w:i/>
          <w:iCs/>
          <w:color w:val="000000" w:themeColor="text1"/>
          <w14:textFill>
            <w14:solidFill>
              <w14:schemeClr w14:val="tx1"/>
            </w14:solidFill>
          </w14:textFill>
        </w:rPr>
        <w:t>N. beijingensis</w:t>
      </w:r>
      <w:r>
        <w:rPr>
          <w:rFonts w:ascii="Book Antiqua" w:hAnsi="Book Antiqua" w:cs="Arial"/>
          <w:color w:val="000000" w:themeColor="text1"/>
          <w14:textFill>
            <w14:solidFill>
              <w14:schemeClr w14:val="tx1"/>
            </w14:solidFill>
          </w14:textFill>
        </w:rPr>
        <w:t xml:space="preserve"> were rapidly detected by the mNGS of BALF, while the bacterial culture of BALF and the pathological biopsy of lung tissue were negative, contributing to prompt and accurate antibiotic treatment, </w:t>
      </w:r>
      <w:r>
        <w:rPr>
          <w:rFonts w:ascii="Book Antiqua" w:hAnsi="Book Antiqua" w:cs="Arial"/>
          <w:color w:val="000000" w:themeColor="text1"/>
          <w:lang w:eastAsia="zh-CN"/>
          <w14:textFill>
            <w14:solidFill>
              <w14:schemeClr w14:val="tx1"/>
            </w14:solidFill>
          </w14:textFill>
        </w:rPr>
        <w:t xml:space="preserve">and obvious clinical improvement was observed </w:t>
      </w:r>
      <w:r>
        <w:rPr>
          <w:rFonts w:ascii="Book Antiqua" w:hAnsi="Book Antiqua" w:cs="Arial"/>
          <w:color w:val="000000" w:themeColor="text1"/>
          <w14:textFill>
            <w14:solidFill>
              <w14:schemeClr w14:val="tx1"/>
            </w14:solidFill>
          </w14:textFill>
        </w:rPr>
        <w:t xml:space="preserve">with resolution of pulmonary and brain lesions on repeat imaging. As reported, NGS can enable in-depth identification and classification of pathogens and their abilities to resist current treatment methods. </w:t>
      </w:r>
      <w:r>
        <w:rPr>
          <w:rFonts w:ascii="Book Antiqua" w:hAnsi="Book Antiqua" w:cs="Arial"/>
          <w:color w:val="000000" w:themeColor="text1"/>
          <w:lang w:eastAsia="zh-CN"/>
          <w14:textFill>
            <w14:solidFill>
              <w14:schemeClr w14:val="tx1"/>
            </w14:solidFill>
          </w14:textFill>
        </w:rPr>
        <w:t>In addition</w:t>
      </w:r>
      <w:r>
        <w:rPr>
          <w:rFonts w:ascii="Book Antiqua" w:hAnsi="Book Antiqua" w:cs="Arial"/>
          <w:color w:val="000000" w:themeColor="text1"/>
          <w14:textFill>
            <w14:solidFill>
              <w14:schemeClr w14:val="tx1"/>
            </w14:solidFill>
          </w14:textFill>
        </w:rPr>
        <w:t>, the analysis of drug genes and virulence factors has an incomparable advantage over traditional detection methods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NE.Ref.{1BE3AB58-2613-4F5D-BD9D-5F4B0FC50ABE}</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[10</w:t>
      </w:r>
      <w:r>
        <w:rPr>
          <w:rFonts w:hint="eastAsia" w:ascii="Book Antiqua" w:hAnsi="Book Antiqua" w:cs="Arial"/>
          <w:color w:val="000000" w:themeColor="text1"/>
          <w:vertAlign w:val="superscript"/>
          <w:lang w:eastAsia="zh-CN"/>
          <w14:textFill>
            <w14:solidFill>
              <w14:schemeClr w14:val="tx1"/>
            </w14:solidFill>
          </w14:textFill>
        </w:rPr>
        <w:t>,11</w:t>
      </w:r>
      <w:r>
        <w:rPr>
          <w:rFonts w:ascii="Book Antiqua" w:hAnsi="Book Antiqua" w:cs="Arial"/>
          <w:color w:val="000000" w:themeColor="text1"/>
          <w:vertAlign w:val="superscript"/>
          <w14:textFill>
            <w14:solidFill>
              <w14:schemeClr w14:val="tx1"/>
            </w14:solidFill>
          </w14:textFill>
        </w:rPr>
        <w:t>]</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xml:space="preserve">. However, </w:t>
      </w:r>
      <w:r>
        <w:rPr>
          <w:rFonts w:ascii="Book Antiqua" w:hAnsi="Book Antiqua" w:cs="Arial"/>
          <w:color w:val="000000" w:themeColor="text1"/>
          <w:lang w:eastAsia="zh-CN"/>
          <w14:textFill>
            <w14:solidFill>
              <w14:schemeClr w14:val="tx1"/>
            </w14:solidFill>
          </w14:textFill>
        </w:rPr>
        <w:t xml:space="preserve">as </w:t>
      </w:r>
      <w:r>
        <w:rPr>
          <w:rFonts w:ascii="Book Antiqua" w:hAnsi="Book Antiqua" w:cs="Arial"/>
          <w:color w:val="000000" w:themeColor="text1"/>
          <w14:textFill>
            <w14:solidFill>
              <w14:schemeClr w14:val="tx1"/>
            </w14:solidFill>
          </w14:textFill>
        </w:rPr>
        <w:t>mNGS usually detects more than one pathogen in one test</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clinicians need to comprehensively evaluate the clinical status and sequencing results of </w:t>
      </w:r>
      <w:r>
        <w:rPr>
          <w:rFonts w:ascii="Book Antiqua" w:hAnsi="Book Antiqua" w:cs="Arial"/>
          <w:color w:val="000000" w:themeColor="text1"/>
          <w:lang w:eastAsia="zh-CN"/>
          <w14:textFill>
            <w14:solidFill>
              <w14:schemeClr w14:val="tx1"/>
            </w14:solidFill>
          </w14:textFill>
        </w:rPr>
        <w:t xml:space="preserve">the </w:t>
      </w:r>
      <w:r>
        <w:rPr>
          <w:rFonts w:ascii="Book Antiqua" w:hAnsi="Book Antiqua" w:cs="Arial"/>
          <w:color w:val="000000" w:themeColor="text1"/>
          <w14:textFill>
            <w14:solidFill>
              <w14:schemeClr w14:val="tx1"/>
            </w14:solidFill>
          </w14:textFill>
        </w:rPr>
        <w:t>patients to distinguish pathogens, symbiotic flora and pollutants. Although this method could detect the common resistan</w:t>
      </w:r>
      <w:r>
        <w:rPr>
          <w:rFonts w:ascii="Book Antiqua" w:hAnsi="Book Antiqua" w:cs="Arial"/>
          <w:color w:val="000000" w:themeColor="text1"/>
          <w:lang w:eastAsia="zh-CN"/>
          <w14:textFill>
            <w14:solidFill>
              <w14:schemeClr w14:val="tx1"/>
            </w14:solidFill>
          </w14:textFill>
        </w:rPr>
        <w:t>t</w:t>
      </w:r>
      <w:r>
        <w:rPr>
          <w:rFonts w:ascii="Book Antiqua" w:hAnsi="Book Antiqua" w:cs="Arial"/>
          <w:color w:val="000000" w:themeColor="text1"/>
          <w14:textFill>
            <w14:solidFill>
              <w14:schemeClr w14:val="tx1"/>
            </w14:solidFill>
          </w14:textFill>
        </w:rPr>
        <w:t xml:space="preserve"> genes, </w:t>
      </w:r>
      <w:r>
        <w:rPr>
          <w:rFonts w:ascii="Book Antiqua" w:hAnsi="Book Antiqua" w:cs="Arial"/>
          <w:color w:val="000000" w:themeColor="text1"/>
          <w:lang w:eastAsia="zh-CN"/>
          <w14:textFill>
            <w14:solidFill>
              <w14:schemeClr w14:val="tx1"/>
            </w14:solidFill>
          </w14:textFill>
        </w:rPr>
        <w:t xml:space="preserve">it was unable to </w:t>
      </w:r>
      <w:r>
        <w:rPr>
          <w:rFonts w:ascii="Book Antiqua" w:hAnsi="Book Antiqua" w:cs="Arial"/>
          <w:color w:val="000000" w:themeColor="text1"/>
          <w14:textFill>
            <w14:solidFill>
              <w14:schemeClr w14:val="tx1"/>
            </w14:solidFill>
          </w14:textFill>
        </w:rPr>
        <w:t xml:space="preserve">provide </w:t>
      </w:r>
      <w:r>
        <w:rPr>
          <w:rFonts w:ascii="Book Antiqua" w:hAnsi="Book Antiqua" w:cs="Arial"/>
          <w:color w:val="000000" w:themeColor="text1"/>
          <w:lang w:eastAsia="zh-CN"/>
          <w14:textFill>
            <w14:solidFill>
              <w14:schemeClr w14:val="tx1"/>
            </w14:solidFill>
          </w14:textFill>
        </w:rPr>
        <w:t xml:space="preserve">direct </w:t>
      </w:r>
      <w:r>
        <w:rPr>
          <w:rFonts w:ascii="Book Antiqua" w:hAnsi="Book Antiqua" w:cs="Arial"/>
          <w:color w:val="000000" w:themeColor="text1"/>
          <w14:textFill>
            <w14:solidFill>
              <w14:schemeClr w14:val="tx1"/>
            </w14:solidFill>
          </w14:textFill>
        </w:rPr>
        <w:t xml:space="preserve">formation about antibiotic sensitivity. Furthermore, the high cost and low accessibility of NGS still limit its </w:t>
      </w:r>
      <w:r>
        <w:rPr>
          <w:rFonts w:ascii="Book Antiqua" w:hAnsi="Book Antiqua" w:cs="Arial"/>
          <w:color w:val="000000" w:themeColor="text1"/>
          <w:lang w:eastAsia="zh-CN"/>
          <w14:textFill>
            <w14:solidFill>
              <w14:schemeClr w14:val="tx1"/>
            </w14:solidFill>
          </w14:textFill>
        </w:rPr>
        <w:t>application</w:t>
      </w:r>
      <w:r>
        <w:rPr>
          <w:rFonts w:ascii="Book Antiqua" w:hAnsi="Book Antiqua" w:cs="Arial"/>
          <w:color w:val="000000" w:themeColor="text1"/>
          <w14:textFill>
            <w14:solidFill>
              <w14:schemeClr w14:val="tx1"/>
            </w14:solidFill>
          </w14:textFill>
        </w:rPr>
        <w:t xml:space="preserve"> in </w:t>
      </w:r>
      <w:r>
        <w:rPr>
          <w:rFonts w:ascii="Book Antiqua" w:hAnsi="Book Antiqua" w:cs="Arial"/>
          <w:color w:val="000000" w:themeColor="text1"/>
          <w:lang w:eastAsia="zh-CN"/>
          <w14:textFill>
            <w14:solidFill>
              <w14:schemeClr w14:val="tx1"/>
            </w14:solidFill>
          </w14:textFill>
        </w:rPr>
        <w:t>clinical</w:t>
      </w:r>
      <w:r>
        <w:rPr>
          <w:rFonts w:ascii="Book Antiqua" w:hAnsi="Book Antiqua" w:cs="Arial"/>
          <w:color w:val="000000" w:themeColor="text1"/>
          <w14:textFill>
            <w14:solidFill>
              <w14:schemeClr w14:val="tx1"/>
            </w14:solidFill>
          </w14:textFill>
        </w:rPr>
        <w:t xml:space="preserve"> practice. In the future, optimization of sample acquisition, sample preparation and bioinformatics analysis will be essential to the application of mNGS in clinical diagnosis. We hope that in the near future, this technology will benefit more patients.</w:t>
      </w:r>
    </w:p>
    <w:p>
      <w:pPr>
        <w:spacing w:line="360" w:lineRule="auto"/>
        <w:ind w:firstLine="480" w:firstLineChars="200"/>
        <w:jc w:val="both"/>
        <w:rPr>
          <w:rFonts w:ascii="Book Antiqua" w:hAnsi="Book Antiqua" w:cs="Arial"/>
          <w:color w:val="000000" w:themeColor="text1"/>
          <w14:textFill>
            <w14:solidFill>
              <w14:schemeClr w14:val="tx1"/>
            </w14:solidFill>
          </w14:textFill>
        </w:rPr>
      </w:pPr>
      <w:r>
        <w:rPr>
          <w:rFonts w:ascii="Book Antiqua" w:hAnsi="Book Antiqua" w:cs="Arial"/>
          <w:color w:val="000000" w:themeColor="text1"/>
          <w14:textFill>
            <w14:solidFill>
              <w14:schemeClr w14:val="tx1"/>
            </w14:solidFill>
          </w14:textFill>
        </w:rPr>
        <w:t>Treatment of CNS nocardiosis is largely based upon expert opinion. Popular treatment strategies include empirical combination intravenous therapy with agents such as imipenem, TMP-SMZ, linezolid and amikacin for several weeks followed by antibiogram-guided oral therapy</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NE.Ref.{C7432288-D07F-42BE-B812-28A87EF6EEB3}</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[12,13]</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vertAlign w:val="superscript"/>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Consistent with these strategies, our patient initiated treatment with parenteral and oral antibiotics for 6 wk and had definite clinical improvement, followed by switching to oral minocyline and TMP-SMZ for 6.5 mo. He completed nearly 8 mo of antibiotic therapy, with resolution of his brain and pulmonary lesions and </w:t>
      </w:r>
      <w:r>
        <w:rPr>
          <w:rFonts w:ascii="Book Antiqua" w:hAnsi="Book Antiqua" w:cs="Arial"/>
          <w:color w:val="000000" w:themeColor="text1"/>
          <w:lang w:eastAsia="zh-CN"/>
          <w14:textFill>
            <w14:solidFill>
              <w14:schemeClr w14:val="tx1"/>
            </w14:solidFill>
          </w14:textFill>
        </w:rPr>
        <w:t xml:space="preserve">achieved </w:t>
      </w:r>
      <w:r>
        <w:rPr>
          <w:rFonts w:ascii="Book Antiqua" w:hAnsi="Book Antiqua" w:cs="Arial"/>
          <w:color w:val="000000" w:themeColor="text1"/>
          <w14:textFill>
            <w14:solidFill>
              <w14:schemeClr w14:val="tx1"/>
            </w14:solidFill>
          </w14:textFill>
        </w:rPr>
        <w:t xml:space="preserve">complete cure. Furthermore, this successful case confirmed that in some cases of disseminated nocardiosis, linezolid may be an important alternative that can give a better outcome. However, it should be emphasized that the risk of adverse effects might be increased if linezolid </w:t>
      </w:r>
      <w:r>
        <w:rPr>
          <w:rFonts w:ascii="Book Antiqua" w:hAnsi="Book Antiqua" w:cs="Arial"/>
          <w:color w:val="000000" w:themeColor="text1"/>
          <w:lang w:eastAsia="zh-CN"/>
          <w14:textFill>
            <w14:solidFill>
              <w14:schemeClr w14:val="tx1"/>
            </w14:solidFill>
          </w14:textFill>
        </w:rPr>
        <w:t xml:space="preserve">was </w:t>
      </w:r>
      <w:r>
        <w:rPr>
          <w:rFonts w:ascii="Book Antiqua" w:hAnsi="Book Antiqua" w:cs="Arial"/>
          <w:color w:val="000000" w:themeColor="text1"/>
          <w14:textFill>
            <w14:solidFill>
              <w14:schemeClr w14:val="tx1"/>
            </w14:solidFill>
          </w14:textFill>
        </w:rPr>
        <w:t>combined with other antibiotics.</w:t>
      </w:r>
      <w:r>
        <w:rPr>
          <w:rFonts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Postmarketing studies have reported higher rates of linezolid-associated thrombocytopenia, ranging from 15% to 50%</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NE.Ref.{E9D7E273-C612-4538-B54D-653229093387}</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[14,15]</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The higher dose of linezolid in the plasma and prolonged duration of therapy have been suggested as more important risk factors</w:t>
      </w:r>
      <w:r>
        <w:rPr>
          <w:rFonts w:ascii="Book Antiqua" w:hAnsi="Book Antiqua" w:cs="Arial"/>
          <w:color w:val="000000" w:themeColor="text1"/>
          <w:vertAlign w:val="superscript"/>
          <w14:textFill>
            <w14:solidFill>
              <w14:schemeClr w14:val="tx1"/>
            </w14:solidFill>
          </w14:textFill>
        </w:rPr>
        <w:fldChar w:fldCharType="begin"/>
      </w:r>
      <w:r>
        <w:rPr>
          <w:rFonts w:ascii="Book Antiqua" w:hAnsi="Book Antiqua" w:cs="Arial"/>
          <w:color w:val="000000" w:themeColor="text1"/>
          <w:vertAlign w:val="superscript"/>
          <w14:textFill>
            <w14:solidFill>
              <w14:schemeClr w14:val="tx1"/>
            </w14:solidFill>
          </w14:textFill>
        </w:rPr>
        <w:instrText xml:space="preserve"> ADDIN NE.Ref.{5F7454A5-A72C-4269-B736-30F2802C7FA8}</w:instrText>
      </w:r>
      <w:r>
        <w:rPr>
          <w:rFonts w:ascii="Book Antiqua" w:hAnsi="Book Antiqua" w:cs="Arial"/>
          <w:color w:val="000000" w:themeColor="text1"/>
          <w:vertAlign w:val="superscript"/>
          <w14:textFill>
            <w14:solidFill>
              <w14:schemeClr w14:val="tx1"/>
            </w14:solidFill>
          </w14:textFill>
        </w:rPr>
        <w:fldChar w:fldCharType="separate"/>
      </w:r>
      <w:r>
        <w:rPr>
          <w:rFonts w:ascii="Book Antiqua" w:hAnsi="Book Antiqua" w:cs="Arial"/>
          <w:color w:val="000000" w:themeColor="text1"/>
          <w:vertAlign w:val="superscript"/>
          <w14:textFill>
            <w14:solidFill>
              <w14:schemeClr w14:val="tx1"/>
            </w14:solidFill>
          </w14:textFill>
        </w:rPr>
        <w:t>[16</w:t>
      </w:r>
      <w:r>
        <w:rPr>
          <w:rFonts w:hint="eastAsia" w:ascii="Book Antiqua" w:hAnsi="Book Antiqua" w:cs="Arial"/>
          <w:color w:val="000000" w:themeColor="text1"/>
          <w:vertAlign w:val="superscript"/>
          <w:lang w:eastAsia="zh-CN"/>
          <w14:textFill>
            <w14:solidFill>
              <w14:schemeClr w14:val="tx1"/>
            </w14:solidFill>
          </w14:textFill>
        </w:rPr>
        <w:t>-</w:t>
      </w:r>
      <w:r>
        <w:rPr>
          <w:rFonts w:ascii="Book Antiqua" w:hAnsi="Book Antiqua" w:cs="Arial"/>
          <w:color w:val="000000" w:themeColor="text1"/>
          <w:vertAlign w:val="superscript"/>
          <w14:textFill>
            <w14:solidFill>
              <w14:schemeClr w14:val="tx1"/>
            </w14:solidFill>
          </w14:textFill>
        </w:rPr>
        <w:t>19]</w:t>
      </w:r>
      <w:r>
        <w:rPr>
          <w:rFonts w:ascii="Book Antiqua" w:hAnsi="Book Antiqua" w:cs="Arial"/>
          <w:color w:val="000000" w:themeColor="text1"/>
          <w:vertAlign w:val="superscript"/>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xml:space="preserve">. Consistent with these findings, our study identified longer duration of therapy as a risk factor. The first </w:t>
      </w:r>
      <w:bookmarkStart w:id="0" w:name="OLE_LINK3"/>
      <w:bookmarkStart w:id="1" w:name="OLE_LINK4"/>
      <w:r>
        <w:rPr>
          <w:rFonts w:ascii="Book Antiqua" w:hAnsi="Book Antiqua" w:cs="Arial"/>
          <w:color w:val="000000" w:themeColor="text1"/>
          <w14:textFill>
            <w14:solidFill>
              <w14:schemeClr w14:val="tx1"/>
            </w14:solidFill>
          </w14:textFill>
        </w:rPr>
        <w:t xml:space="preserve">thrombocytopenic platelet </w:t>
      </w:r>
      <w:bookmarkEnd w:id="0"/>
      <w:bookmarkEnd w:id="1"/>
      <w:r>
        <w:rPr>
          <w:rFonts w:ascii="Book Antiqua" w:hAnsi="Book Antiqua" w:cs="Arial"/>
          <w:color w:val="000000" w:themeColor="text1"/>
          <w14:textFill>
            <w14:solidFill>
              <w14:schemeClr w14:val="tx1"/>
            </w14:solidFill>
          </w14:textFill>
        </w:rPr>
        <w:t xml:space="preserve">count occurred after 14 d of linezolid therapy. The severity of thrombocytopenia increased with the duration of treatment. Similarly, in this case, thrombocytopenia was closely related to the higher dose of linezolid in the plasma. The </w:t>
      </w:r>
      <w:r>
        <w:fldChar w:fldCharType="begin"/>
      </w:r>
      <w:r>
        <w:instrText xml:space="preserve"> HYPERLINK "javascript:;" </w:instrText>
      </w:r>
      <w:r>
        <w:fldChar w:fldCharType="separate"/>
      </w:r>
      <w:r>
        <w:rPr>
          <w:rFonts w:ascii="Book Antiqua" w:hAnsi="Book Antiqua" w:cs="Arial"/>
          <w:color w:val="000000" w:themeColor="text1"/>
          <w14:textFill>
            <w14:solidFill>
              <w14:schemeClr w14:val="tx1"/>
            </w14:solidFill>
          </w14:textFill>
        </w:rPr>
        <w:t>combined</w:t>
      </w:r>
      <w:r>
        <w:rPr>
          <w:rFonts w:ascii="Book Antiqua" w:hAnsi="Book Antiqua" w:cs="Arial"/>
          <w:color w:val="000000" w:themeColor="text1"/>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xml:space="preserve"> treatment of linezolid and TMP-SMZ may </w:t>
      </w:r>
      <w:r>
        <w:fldChar w:fldCharType="begin"/>
      </w:r>
      <w:r>
        <w:instrText xml:space="preserve"> HYPERLINK "javascript:;" </w:instrText>
      </w:r>
      <w:r>
        <w:fldChar w:fldCharType="separate"/>
      </w:r>
      <w:r>
        <w:rPr>
          <w:rFonts w:ascii="Book Antiqua" w:hAnsi="Book Antiqua" w:cs="Arial"/>
          <w:color w:val="000000" w:themeColor="text1"/>
          <w14:textFill>
            <w14:solidFill>
              <w14:schemeClr w14:val="tx1"/>
            </w14:solidFill>
          </w14:textFill>
        </w:rPr>
        <w:t>aggravate</w:t>
      </w:r>
      <w:r>
        <w:rPr>
          <w:rFonts w:ascii="Book Antiqua" w:hAnsi="Book Antiqua" w:cs="Arial"/>
          <w:color w:val="000000" w:themeColor="text1"/>
          <w14:textFill>
            <w14:solidFill>
              <w14:schemeClr w14:val="tx1"/>
            </w14:solidFill>
          </w14:textFill>
        </w:rPr>
        <w:fldChar w:fldCharType="end"/>
      </w:r>
      <w:r>
        <w:rPr>
          <w:rFonts w:ascii="Book Antiqua" w:hAnsi="Book Antiqua" w:cs="Arial"/>
          <w:color w:val="000000" w:themeColor="text1"/>
          <w14:textFill>
            <w14:solidFill>
              <w14:schemeClr w14:val="tx1"/>
            </w14:solidFill>
          </w14:textFill>
        </w:rPr>
        <w:t xml:space="preserve"> the</w:t>
      </w:r>
      <w:r>
        <w:rPr>
          <w:rFonts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myelosuppressive effects of reversible neutropenia and thrombocytopenia. Selection of appropriate antibiotics given at the optimal time is hence crucial for effective therapy. Although NGS can detect the presence of drug resistan</w:t>
      </w:r>
      <w:r>
        <w:rPr>
          <w:rFonts w:ascii="Book Antiqua" w:hAnsi="Book Antiqua" w:cs="Arial"/>
          <w:color w:val="000000" w:themeColor="text1"/>
          <w:lang w:eastAsia="zh-CN"/>
          <w14:textFill>
            <w14:solidFill>
              <w14:schemeClr w14:val="tx1"/>
            </w14:solidFill>
          </w14:textFill>
        </w:rPr>
        <w:t>t</w:t>
      </w:r>
      <w:r>
        <w:rPr>
          <w:rFonts w:ascii="Book Antiqua" w:hAnsi="Book Antiqua" w:cs="Arial"/>
          <w:color w:val="000000" w:themeColor="text1"/>
          <w14:textFill>
            <w14:solidFill>
              <w14:schemeClr w14:val="tx1"/>
            </w14:solidFill>
          </w14:textFill>
        </w:rPr>
        <w:t xml:space="preserve"> genes in pathogens, it may not be consistent with clinical drug susceptibility results. Furthermore, there are still many drug resistan</w:t>
      </w:r>
      <w:r>
        <w:rPr>
          <w:rFonts w:ascii="Book Antiqua" w:hAnsi="Book Antiqua" w:cs="Arial"/>
          <w:color w:val="000000" w:themeColor="text1"/>
          <w:lang w:eastAsia="zh-CN"/>
          <w14:textFill>
            <w14:solidFill>
              <w14:schemeClr w14:val="tx1"/>
            </w14:solidFill>
          </w14:textFill>
        </w:rPr>
        <w:t>t</w:t>
      </w:r>
      <w:r>
        <w:rPr>
          <w:rFonts w:ascii="Book Antiqua" w:hAnsi="Book Antiqua" w:cs="Arial"/>
          <w:color w:val="000000" w:themeColor="text1"/>
          <w14:textFill>
            <w14:solidFill>
              <w14:schemeClr w14:val="tx1"/>
            </w14:solidFill>
          </w14:textFill>
        </w:rPr>
        <w:t xml:space="preserve"> genes that have not yet been discovered and false negative results may exist. </w:t>
      </w:r>
    </w:p>
    <w:p>
      <w:pPr>
        <w:spacing w:line="360" w:lineRule="auto"/>
        <w:ind w:firstLine="480" w:firstLineChars="200"/>
        <w:jc w:val="both"/>
        <w:rPr>
          <w:rFonts w:ascii="Book Antiqua" w:hAnsi="Book Antiqua" w:cs="Arial"/>
          <w:color w:val="000000" w:themeColor="text1"/>
          <w:lang w:eastAsia="zh-CN"/>
          <w14:textFill>
            <w14:solidFill>
              <w14:schemeClr w14:val="tx1"/>
            </w14:solidFill>
          </w14:textFill>
        </w:rPr>
      </w:pPr>
      <w:r>
        <w:rPr>
          <w:rFonts w:ascii="Book Antiqua" w:hAnsi="Book Antiqua" w:cs="Arial"/>
          <w:color w:val="000000" w:themeColor="text1"/>
          <w14:textFill>
            <w14:solidFill>
              <w14:schemeClr w14:val="tx1"/>
            </w14:solidFill>
          </w14:textFill>
        </w:rPr>
        <w:t xml:space="preserve">A PubMed/MEDLINE search of literature </w:t>
      </w:r>
      <w:r>
        <w:rPr>
          <w:rFonts w:ascii="Book Antiqua" w:hAnsi="Book Antiqua" w:cs="Arial"/>
          <w:color w:val="000000" w:themeColor="text1"/>
          <w:lang w:eastAsia="zh-CN"/>
          <w14:textFill>
            <w14:solidFill>
              <w14:schemeClr w14:val="tx1"/>
            </w14:solidFill>
          </w14:textFill>
        </w:rPr>
        <w:t>found</w:t>
      </w:r>
      <w:r>
        <w:rPr>
          <w:rFonts w:ascii="Book Antiqua" w:hAnsi="Book Antiqua" w:cs="Arial"/>
          <w:color w:val="000000" w:themeColor="text1"/>
          <w14:textFill>
            <w14:solidFill>
              <w14:schemeClr w14:val="tx1"/>
            </w14:solidFill>
          </w14:textFill>
        </w:rPr>
        <w:t xml:space="preserve"> a total of </w:t>
      </w:r>
      <w:r>
        <w:fldChar w:fldCharType="begin"/>
      </w:r>
      <w:r>
        <w:instrText xml:space="preserve"> HYPERLINK "javascript:;" </w:instrText>
      </w:r>
      <w:r>
        <w:fldChar w:fldCharType="separate"/>
      </w:r>
      <w:r>
        <w:rPr>
          <w:rFonts w:ascii="Book Antiqua" w:hAnsi="Book Antiqua"/>
          <w:color w:val="000000" w:themeColor="text1"/>
          <w:lang w:eastAsia="zh-CN"/>
          <w14:textFill>
            <w14:solidFill>
              <w14:schemeClr w14:val="tx1"/>
            </w14:solidFill>
          </w14:textFill>
        </w:rPr>
        <w:t>17</w:t>
      </w:r>
      <w:r>
        <w:rPr>
          <w:rFonts w:ascii="Book Antiqua" w:hAnsi="Book Antiqua"/>
          <w:color w:val="000000" w:themeColor="text1"/>
          <w:lang w:eastAsia="zh-CN"/>
          <w14:textFill>
            <w14:solidFill>
              <w14:schemeClr w14:val="tx1"/>
            </w14:solidFill>
          </w14:textFill>
        </w:rPr>
        <w:fldChar w:fldCharType="end"/>
      </w:r>
      <w:r>
        <w:rPr>
          <w:rFonts w:ascii="Book Antiqua" w:hAnsi="Book Antiqua"/>
          <w:color w:val="000000" w:themeColor="text1"/>
          <w:lang w:eastAsia="zh-CN"/>
          <w14:textFill>
            <w14:solidFill>
              <w14:schemeClr w14:val="tx1"/>
            </w14:solidFill>
          </w14:textFill>
        </w:rPr>
        <w:t xml:space="preserve"> cases</w:t>
      </w:r>
      <w:r>
        <w:rPr>
          <w:rFonts w:ascii="Book Antiqua" w:hAnsi="Book Antiqua" w:cs="Arial"/>
          <w:color w:val="000000" w:themeColor="text1"/>
          <w14:textFill>
            <w14:solidFill>
              <w14:schemeClr w14:val="tx1"/>
            </w14:solidFill>
          </w14:textFill>
        </w:rPr>
        <w:t xml:space="preserve"> within a decade except for the references already cited in the article (Table 3)</w:t>
      </w:r>
      <w:r>
        <w:rPr>
          <w:rFonts w:ascii="Book Antiqua" w:hAnsi="Book Antiqua" w:cs="Arial"/>
          <w:color w:val="000000" w:themeColor="text1"/>
          <w:vertAlign w:val="superscript"/>
          <w14:textFill>
            <w14:solidFill>
              <w14:schemeClr w14:val="tx1"/>
            </w14:solidFill>
          </w14:textFill>
        </w:rPr>
        <w:t>[20-36]</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For patients with u</w:t>
      </w:r>
      <w:r>
        <w:rPr>
          <w:rFonts w:ascii="Book Antiqua" w:hAnsi="Book Antiqua" w:cs="Arial"/>
          <w:color w:val="000000" w:themeColor="text1"/>
          <w14:textFill>
            <w14:solidFill>
              <w14:schemeClr w14:val="tx1"/>
            </w14:solidFill>
          </w14:textFill>
        </w:rPr>
        <w:t>nderlying conditions (87.5% in immunocompromised individuals)</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affected </w:t>
      </w:r>
      <w:r>
        <w:rPr>
          <w:rFonts w:ascii="Book Antiqua" w:hAnsi="Book Antiqua" w:cs="Arial"/>
          <w:color w:val="000000" w:themeColor="text1"/>
          <w:lang w:eastAsia="zh-CN"/>
          <w14:textFill>
            <w14:solidFill>
              <w14:schemeClr w14:val="tx1"/>
            </w14:solidFill>
          </w14:textFill>
        </w:rPr>
        <w:t>o</w:t>
      </w:r>
      <w:r>
        <w:rPr>
          <w:rFonts w:ascii="Book Antiqua" w:hAnsi="Book Antiqua" w:cs="Arial"/>
          <w:color w:val="000000" w:themeColor="text1"/>
          <w14:textFill>
            <w14:solidFill>
              <w14:schemeClr w14:val="tx1"/>
            </w14:solidFill>
          </w14:textFill>
        </w:rPr>
        <w:t>rgan</w:t>
      </w:r>
      <w:r>
        <w:rPr>
          <w:rFonts w:ascii="Book Antiqua" w:hAnsi="Book Antiqua" w:cs="Arial"/>
          <w:color w:val="000000" w:themeColor="text1"/>
          <w:lang w:eastAsia="zh-CN"/>
          <w14:textFill>
            <w14:solidFill>
              <w14:schemeClr w14:val="tx1"/>
            </w14:solidFill>
          </w14:textFill>
        </w:rPr>
        <w:t>s</w:t>
      </w:r>
      <w:r>
        <w:rPr>
          <w:rFonts w:ascii="Book Antiqua" w:hAnsi="Book Antiqua" w:cs="Arial"/>
          <w:color w:val="000000" w:themeColor="text1"/>
          <w14:textFill>
            <w14:solidFill>
              <w14:schemeClr w14:val="tx1"/>
            </w14:solidFill>
          </w14:textFill>
        </w:rPr>
        <w:t xml:space="preserve"> (lung involvement is most common, followed by the brain)</w:t>
      </w:r>
      <w:r>
        <w:rPr>
          <w:rFonts w:ascii="Book Antiqua" w:hAnsi="Book Antiqua" w:cs="Arial"/>
          <w:color w:val="000000" w:themeColor="text1"/>
          <w:lang w:eastAsia="zh-CN"/>
          <w14:textFill>
            <w14:solidFill>
              <w14:schemeClr w14:val="tx1"/>
            </w14:solidFill>
          </w14:textFill>
        </w:rPr>
        <w:t>,</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and p</w:t>
      </w:r>
      <w:r>
        <w:rPr>
          <w:rFonts w:ascii="Book Antiqua" w:hAnsi="Book Antiqua" w:cs="Arial"/>
          <w:color w:val="000000" w:themeColor="text1"/>
          <w14:textFill>
            <w14:solidFill>
              <w14:schemeClr w14:val="tx1"/>
            </w14:solidFill>
          </w14:textFill>
        </w:rPr>
        <w:t xml:space="preserve">ositive </w:t>
      </w:r>
      <w:r>
        <w:rPr>
          <w:rFonts w:ascii="Book Antiqua" w:hAnsi="Book Antiqua" w:cs="Arial"/>
          <w:color w:val="000000" w:themeColor="text1"/>
          <w:lang w:eastAsia="zh-CN"/>
          <w14:textFill>
            <w14:solidFill>
              <w14:schemeClr w14:val="tx1"/>
            </w14:solidFill>
          </w14:textFill>
        </w:rPr>
        <w:t xml:space="preserve">results </w:t>
      </w:r>
      <w:r>
        <w:rPr>
          <w:rFonts w:ascii="Book Antiqua" w:hAnsi="Book Antiqua" w:cs="Arial"/>
          <w:color w:val="000000" w:themeColor="text1"/>
          <w14:textFill>
            <w14:solidFill>
              <w14:schemeClr w14:val="tx1"/>
            </w14:solidFill>
          </w14:textFill>
        </w:rPr>
        <w:t>(most</w:t>
      </w:r>
      <w:r>
        <w:rPr>
          <w:rFonts w:ascii="Book Antiqua" w:hAnsi="Book Antiqua" w:cs="Arial"/>
          <w:color w:val="000000" w:themeColor="text1"/>
          <w:lang w:eastAsia="zh-CN"/>
          <w14:textFill>
            <w14:solidFill>
              <w14:schemeClr w14:val="tx1"/>
            </w14:solidFill>
          </w14:textFill>
        </w:rPr>
        <w:t>ly</w:t>
      </w:r>
      <w:r>
        <w:rPr>
          <w:rFonts w:ascii="Book Antiqua" w:hAnsi="Book Antiqua" w:cs="Arial"/>
          <w:color w:val="000000" w:themeColor="text1"/>
          <w14:textFill>
            <w14:solidFill>
              <w14:schemeClr w14:val="tx1"/>
            </w14:solidFill>
          </w14:textFill>
        </w:rPr>
        <w:t xml:space="preserve"> </w:t>
      </w:r>
      <w:r>
        <w:rPr>
          <w:rFonts w:ascii="Book Antiqua" w:hAnsi="Book Antiqua" w:cs="Arial"/>
          <w:color w:val="000000" w:themeColor="text1"/>
          <w:lang w:eastAsia="zh-CN"/>
          <w14:textFill>
            <w14:solidFill>
              <w14:schemeClr w14:val="tx1"/>
            </w14:solidFill>
          </w14:textFill>
        </w:rPr>
        <w:t xml:space="preserve">from </w:t>
      </w:r>
      <w:r>
        <w:rPr>
          <w:rFonts w:ascii="Book Antiqua" w:hAnsi="Book Antiqua" w:cs="Arial"/>
          <w:color w:val="000000" w:themeColor="text1"/>
          <w14:textFill>
            <w14:solidFill>
              <w14:schemeClr w14:val="tx1"/>
            </w14:solidFill>
          </w14:textFill>
        </w:rPr>
        <w:t xml:space="preserve">culture and histopathology, </w:t>
      </w:r>
      <w:r>
        <w:rPr>
          <w:rFonts w:ascii="Book Antiqua" w:hAnsi="Book Antiqua" w:cs="Arial"/>
          <w:color w:val="000000" w:themeColor="text1"/>
          <w:lang w:eastAsia="zh-CN"/>
          <w14:textFill>
            <w14:solidFill>
              <w14:schemeClr w14:val="tx1"/>
            </w14:solidFill>
          </w14:textFill>
        </w:rPr>
        <w:t xml:space="preserve">but </w:t>
      </w:r>
      <w:r>
        <w:rPr>
          <w:rFonts w:ascii="Book Antiqua" w:hAnsi="Book Antiqua" w:cs="Arial"/>
          <w:color w:val="000000" w:themeColor="text1"/>
          <w14:textFill>
            <w14:solidFill>
              <w14:schemeClr w14:val="tx1"/>
            </w14:solidFill>
          </w14:textFill>
        </w:rPr>
        <w:t>not the NGS)</w:t>
      </w:r>
      <w:r>
        <w:rPr>
          <w:rFonts w:ascii="Book Antiqua" w:hAnsi="Book Antiqua" w:cs="Arial"/>
          <w:color w:val="000000" w:themeColor="text1"/>
          <w:lang w:eastAsia="zh-CN"/>
          <w14:textFill>
            <w14:solidFill>
              <w14:schemeClr w14:val="tx1"/>
            </w14:solidFill>
          </w14:textFill>
        </w:rPr>
        <w:t xml:space="preserve">, </w:t>
      </w:r>
      <w:r>
        <w:rPr>
          <w:rFonts w:ascii="Book Antiqua" w:hAnsi="Book Antiqua" w:cs="Arial"/>
          <w:color w:val="000000" w:themeColor="text1"/>
          <w14:textFill>
            <w14:solidFill>
              <w14:schemeClr w14:val="tx1"/>
            </w14:solidFill>
          </w14:textFill>
        </w:rPr>
        <w:t xml:space="preserve">TMP-SMZ is the most commonly used and effective drug. </w:t>
      </w:r>
    </w:p>
    <w:p>
      <w:pPr>
        <w:spacing w:line="360" w:lineRule="auto"/>
        <w:jc w:val="both"/>
        <w:rPr>
          <w:rFonts w:ascii="Book Antiqua" w:hAnsi="Book Antiqua" w:cs="Arial"/>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case illustrates that </w:t>
      </w:r>
      <w:r>
        <w:rPr>
          <w:rFonts w:ascii="Book Antiqua" w:hAnsi="Book Antiqua" w:eastAsia="Book Antiqua" w:cs="Book Antiqua"/>
          <w:i/>
          <w:iCs/>
          <w:color w:val="000000" w:themeColor="text1"/>
          <w14:textFill>
            <w14:solidFill>
              <w14:schemeClr w14:val="tx1"/>
            </w14:solidFill>
          </w14:textFill>
        </w:rPr>
        <w:t>Nocardia</w:t>
      </w:r>
      <w:r>
        <w:rPr>
          <w:rFonts w:ascii="Book Antiqua" w:hAnsi="Book Antiqua" w:eastAsia="Book Antiqua" w:cs="Book Antiqua"/>
          <w:color w:val="000000" w:themeColor="text1"/>
          <w14:textFill>
            <w14:solidFill>
              <w14:schemeClr w14:val="tx1"/>
            </w14:solidFill>
          </w14:textFill>
        </w:rPr>
        <w:t xml:space="preserve"> may cause severe disseminated infection in immunocompetent patients, which often involves the CNS and lungs. mNGS </w:t>
      </w:r>
      <w:r>
        <w:rPr>
          <w:rFonts w:ascii="Book Antiqua" w:hAnsi="Book Antiqua" w:cs="Book Antiqua"/>
          <w:color w:val="000000" w:themeColor="text1"/>
          <w:lang w:eastAsia="zh-CN"/>
          <w14:textFill>
            <w14:solidFill>
              <w14:schemeClr w14:val="tx1"/>
            </w14:solidFill>
          </w14:textFill>
        </w:rPr>
        <w:t>can establish a</w:t>
      </w:r>
      <w:r>
        <w:rPr>
          <w:rFonts w:ascii="Book Antiqua" w:hAnsi="Book Antiqua" w:eastAsia="Book Antiqua" w:cs="Book Antiqua"/>
          <w:color w:val="000000" w:themeColor="text1"/>
          <w14:textFill>
            <w14:solidFill>
              <w14:schemeClr w14:val="tx1"/>
            </w14:solidFill>
          </w14:textFill>
        </w:rPr>
        <w:t xml:space="preserve"> more rapid and accurate diagnosis than traditional methods. It is a convenient and efficient technique for the detection of </w:t>
      </w:r>
      <w:r>
        <w:rPr>
          <w:rFonts w:ascii="Book Antiqua" w:hAnsi="Book Antiqua" w:eastAsia="Book Antiqua" w:cs="Book Antiqua"/>
          <w:i/>
          <w:iCs/>
          <w:color w:val="000000" w:themeColor="text1"/>
          <w14:textFill>
            <w14:solidFill>
              <w14:schemeClr w14:val="tx1"/>
            </w14:solidFill>
          </w14:textFill>
        </w:rPr>
        <w:t>Nocardia</w:t>
      </w:r>
      <w:r>
        <w:rPr>
          <w:rFonts w:ascii="Book Antiqua" w:hAnsi="Book Antiqua" w:eastAsia="Book Antiqua" w:cs="Book Antiqua"/>
          <w:color w:val="000000" w:themeColor="text1"/>
          <w14:textFill>
            <w14:solidFill>
              <w14:schemeClr w14:val="tx1"/>
            </w14:solidFill>
          </w14:textFill>
        </w:rPr>
        <w:t xml:space="preserve">, and is especially suitable for rare, novel and atypical etiologies of complicated infectious diseases. This successfully treated case confirmed that, in some patients with disseminated nocardiosis, TMP-SMZ is still the first choice of treatment, but linezolid may be an important alternative that can give a better outcome with the monitoring of linezolid serum concentrations and platelet count. Notable risk factors for linezolid-induced thrombocytopenia included high daily weight-based dose and prolonged duration of therapy (some patients experience thrombocytopenia within 14 d of treatment). Clinicians should monitor patients for linezolid-induced thrombocytopenia throughout therapy.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Wilson JW</w:t>
      </w:r>
      <w:r>
        <w:rPr>
          <w:rFonts w:ascii="Book Antiqua" w:hAnsi="Book Antiqua" w:eastAsia="Book Antiqua" w:cs="Book Antiqua"/>
          <w:color w:val="000000" w:themeColor="text1"/>
          <w14:textFill>
            <w14:solidFill>
              <w14:schemeClr w14:val="tx1"/>
            </w14:solidFill>
          </w14:textFill>
        </w:rPr>
        <w:t xml:space="preserve">. Nocardiosis: updates and clinical overview. </w:t>
      </w:r>
      <w:r>
        <w:rPr>
          <w:rFonts w:ascii="Book Antiqua" w:hAnsi="Book Antiqua" w:eastAsia="Book Antiqua" w:cs="Book Antiqua"/>
          <w:i/>
          <w:iCs/>
          <w:color w:val="000000" w:themeColor="text1"/>
          <w14:textFill>
            <w14:solidFill>
              <w14:schemeClr w14:val="tx1"/>
            </w14:solidFill>
          </w14:textFill>
        </w:rPr>
        <w:t>Mayo Clin Proc</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87</w:t>
      </w:r>
      <w:r>
        <w:rPr>
          <w:rFonts w:ascii="Book Antiqua" w:hAnsi="Book Antiqua" w:eastAsia="Book Antiqua" w:cs="Book Antiqua"/>
          <w:color w:val="000000" w:themeColor="text1"/>
          <w14:textFill>
            <w14:solidFill>
              <w14:schemeClr w14:val="tx1"/>
            </w14:solidFill>
          </w14:textFill>
        </w:rPr>
        <w:t>: 403-407 [PMID: 22469352 DOI: 10.1016/j.mayocp.2011.11.016]</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Rouzaud C,</w:t>
      </w:r>
      <w:r>
        <w:rPr>
          <w:rFonts w:ascii="Book Antiqua" w:hAnsi="Book Antiqua" w:eastAsia="Book Antiqua" w:cs="Book Antiqua"/>
          <w:color w:val="000000" w:themeColor="text1"/>
          <w14:textFill>
            <w14:solidFill>
              <w14:schemeClr w14:val="tx1"/>
            </w14:solidFill>
          </w14:textFill>
        </w:rPr>
        <w:t xml:space="preserve"> Rodriguez NV, Catherinot E, Méchaï F, Bergeron E, Farfour E, Scemla A, Poirée S, Delavaud C, Mathieu D, Durupt S, Larosa F, Lengelé JP, Christophe JL, Suarez F, Lortholary O, Lebeaux D. Clinical Assessment of a Nocardia spp polymerase chain reaction PCR-Based Assay for Diagnosis of Nocardiosis.</w:t>
      </w:r>
      <w:r>
        <w:rPr>
          <w:rFonts w:ascii="Book Antiqua" w:hAnsi="Book Antiqua" w:eastAsia="Book Antiqua" w:cs="Book Antiqua"/>
          <w:i/>
          <w:color w:val="000000" w:themeColor="text1"/>
          <w14:textFill>
            <w14:solidFill>
              <w14:schemeClr w14:val="tx1"/>
            </w14:solidFill>
          </w14:textFill>
        </w:rPr>
        <w:t xml:space="preserve"> J Clin microbiol</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color w:val="000000" w:themeColor="text1"/>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e00002-18</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Bragg L</w:t>
      </w:r>
      <w:r>
        <w:rPr>
          <w:rFonts w:ascii="Book Antiqua" w:hAnsi="Book Antiqua" w:eastAsia="Book Antiqua" w:cs="Book Antiqua"/>
          <w:color w:val="000000" w:themeColor="text1"/>
          <w14:textFill>
            <w14:solidFill>
              <w14:schemeClr w14:val="tx1"/>
            </w14:solidFill>
          </w14:textFill>
        </w:rPr>
        <w:t xml:space="preserve">, Tyson GW. Metagenomics using next-generation sequencing. </w:t>
      </w:r>
      <w:r>
        <w:rPr>
          <w:rFonts w:ascii="Book Antiqua" w:hAnsi="Book Antiqua" w:eastAsia="Book Antiqua" w:cs="Book Antiqua"/>
          <w:i/>
          <w:iCs/>
          <w:color w:val="000000" w:themeColor="text1"/>
          <w14:textFill>
            <w14:solidFill>
              <w14:schemeClr w14:val="tx1"/>
            </w14:solidFill>
          </w14:textFill>
        </w:rPr>
        <w:t>Methods Mol Biol</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1096</w:t>
      </w:r>
      <w:r>
        <w:rPr>
          <w:rFonts w:ascii="Book Antiqua" w:hAnsi="Book Antiqua" w:eastAsia="Book Antiqua" w:cs="Book Antiqua"/>
          <w:color w:val="000000" w:themeColor="text1"/>
          <w14:textFill>
            <w14:solidFill>
              <w14:schemeClr w14:val="tx1"/>
            </w14:solidFill>
          </w14:textFill>
        </w:rPr>
        <w:t>: 183-201 [PMID: 24515370 DOI: 10.1007/978-1-62703-712-9_15]</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Wang K</w:t>
      </w:r>
      <w:r>
        <w:rPr>
          <w:rFonts w:ascii="Book Antiqua" w:hAnsi="Book Antiqua" w:eastAsia="Book Antiqua" w:cs="Book Antiqua"/>
          <w:color w:val="000000" w:themeColor="text1"/>
          <w14:textFill>
            <w14:solidFill>
              <w14:schemeClr w14:val="tx1"/>
            </w14:solidFill>
          </w14:textFill>
        </w:rPr>
        <w:t xml:space="preserve">, Li P, Lin Y, Chen H, Yang L, Li J, Zhang T, Chen Q, Li Z, Du X, Zhou Y, Li P, Wang H, Song H. Metagenomic Diagnosis for a Culture-Negative Sample From a Patient With Severe Pneumonia by Nanopore and Next-Generation Sequencing. </w:t>
      </w:r>
      <w:r>
        <w:rPr>
          <w:rFonts w:ascii="Book Antiqua" w:hAnsi="Book Antiqua" w:eastAsia="Book Antiqua" w:cs="Book Antiqua"/>
          <w:i/>
          <w:iCs/>
          <w:color w:val="000000" w:themeColor="text1"/>
          <w14:textFill>
            <w14:solidFill>
              <w14:schemeClr w14:val="tx1"/>
            </w14:solidFill>
          </w14:textFill>
        </w:rPr>
        <w:t>Front Cell Infect Microbiol</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182 [PMID: 32432051 DOI: 10.3389/fcimb.2020.00182]</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Huang J</w:t>
      </w:r>
      <w:r>
        <w:rPr>
          <w:rFonts w:ascii="Book Antiqua" w:hAnsi="Book Antiqua" w:eastAsia="Book Antiqua" w:cs="Book Antiqua"/>
          <w:color w:val="000000" w:themeColor="text1"/>
          <w14:textFill>
            <w14:solidFill>
              <w14:schemeClr w14:val="tx1"/>
            </w14:solidFill>
          </w14:textFill>
        </w:rPr>
        <w:t xml:space="preserve">, Jiang E, Yang D, Wei J, Zhao M, Feng J, Cao J. Metagenomic Next-Generation Sequencing versus Traditional Pathogen Detection in the Diagnosis of Peripheral Pulmonary Infectious Lesions. </w:t>
      </w:r>
      <w:r>
        <w:rPr>
          <w:rFonts w:ascii="Book Antiqua" w:hAnsi="Book Antiqua" w:eastAsia="Book Antiqua" w:cs="Book Antiqua"/>
          <w:i/>
          <w:iCs/>
          <w:color w:val="000000" w:themeColor="text1"/>
          <w14:textFill>
            <w14:solidFill>
              <w14:schemeClr w14:val="tx1"/>
            </w14:solidFill>
          </w14:textFill>
        </w:rPr>
        <w:t>Infect Drug Resist</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567-576 [PMID: 32110067 DOI: 10.2147/IDR.S235182]</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Goldberg B</w:t>
      </w:r>
      <w:r>
        <w:rPr>
          <w:rFonts w:ascii="Book Antiqua" w:hAnsi="Book Antiqua" w:eastAsia="Book Antiqua" w:cs="Book Antiqua"/>
          <w:color w:val="000000" w:themeColor="text1"/>
          <w14:textFill>
            <w14:solidFill>
              <w14:schemeClr w14:val="tx1"/>
            </w14:solidFill>
          </w14:textFill>
        </w:rPr>
        <w:t xml:space="preserve">, Sichtig H, Geyer C, Ledeboer N, Weinstock GM. Making the Leap from Research Laboratory to Clinic: Challenges and Opportunities for Next-Generation Sequencing in Infectious Disease Diagnostics. </w:t>
      </w:r>
      <w:r>
        <w:rPr>
          <w:rFonts w:ascii="Book Antiqua" w:hAnsi="Book Antiqua" w:eastAsia="Book Antiqua" w:cs="Book Antiqua"/>
          <w:i/>
          <w:iCs/>
          <w:color w:val="000000" w:themeColor="text1"/>
          <w14:textFill>
            <w14:solidFill>
              <w14:schemeClr w14:val="tx1"/>
            </w14:solidFill>
          </w14:textFill>
        </w:rPr>
        <w:t>mBio</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e01888-e01815 [PMID: 26646014 DOI: 10.1128/mBio.01888-15]</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Lederman ER</w:t>
      </w:r>
      <w:r>
        <w:rPr>
          <w:rFonts w:ascii="Book Antiqua" w:hAnsi="Book Antiqua" w:eastAsia="Book Antiqua" w:cs="Book Antiqua"/>
          <w:color w:val="000000" w:themeColor="text1"/>
          <w14:textFill>
            <w14:solidFill>
              <w14:schemeClr w14:val="tx1"/>
            </w14:solidFill>
          </w14:textFill>
        </w:rPr>
        <w:t xml:space="preserve">, Crum NF. A case series and focused review of nocardiosis: clinical and microbiologic aspects. </w:t>
      </w:r>
      <w:r>
        <w:rPr>
          <w:rFonts w:ascii="Book Antiqua" w:hAnsi="Book Antiqua" w:eastAsia="Book Antiqua" w:cs="Book Antiqua"/>
          <w:i/>
          <w:iCs/>
          <w:color w:val="000000" w:themeColor="text1"/>
          <w14:textFill>
            <w14:solidFill>
              <w14:schemeClr w14:val="tx1"/>
            </w14:solidFill>
          </w14:textFill>
        </w:rPr>
        <w:t>Medicine (Baltimore)</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83</w:t>
      </w:r>
      <w:r>
        <w:rPr>
          <w:rFonts w:ascii="Book Antiqua" w:hAnsi="Book Antiqua" w:eastAsia="Book Antiqua" w:cs="Book Antiqua"/>
          <w:color w:val="000000" w:themeColor="text1"/>
          <w14:textFill>
            <w14:solidFill>
              <w14:schemeClr w14:val="tx1"/>
            </w14:solidFill>
          </w14:textFill>
        </w:rPr>
        <w:t>: 300-313 [PMID: 15342974 DOI: 10.1097/01.md.0000141100.30871.39]</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Mohanty A</w:t>
      </w:r>
      <w:r>
        <w:rPr>
          <w:rFonts w:ascii="Book Antiqua" w:hAnsi="Book Antiqua" w:eastAsia="Book Antiqua" w:cs="Book Antiqua"/>
          <w:color w:val="000000" w:themeColor="text1"/>
          <w14:textFill>
            <w14:solidFill>
              <w14:schemeClr w14:val="tx1"/>
            </w14:solidFill>
          </w14:textFill>
        </w:rPr>
        <w:t xml:space="preserve">, Meena S, Kumar SP, Gupta PK, Kaistha N, Gupta P, Jha MK, Rekha S. Incidental Finding of Nocardia: A Case Series from a Tertiary Care Centre in Uttarakhand. </w:t>
      </w:r>
      <w:r>
        <w:rPr>
          <w:rFonts w:ascii="Book Antiqua" w:hAnsi="Book Antiqua" w:eastAsia="Book Antiqua" w:cs="Book Antiqua"/>
          <w:i/>
          <w:iCs/>
          <w:color w:val="000000" w:themeColor="text1"/>
          <w14:textFill>
            <w14:solidFill>
              <w14:schemeClr w14:val="tx1"/>
            </w14:solidFill>
          </w14:textFill>
        </w:rPr>
        <w:t>Case Rep Infect Dis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2020</w:t>
      </w:r>
      <w:r>
        <w:rPr>
          <w:rFonts w:ascii="Book Antiqua" w:hAnsi="Book Antiqua" w:eastAsia="Book Antiqua" w:cs="Book Antiqua"/>
          <w:color w:val="000000" w:themeColor="text1"/>
          <w14:textFill>
            <w14:solidFill>
              <w14:schemeClr w14:val="tx1"/>
            </w14:solidFill>
          </w14:textFill>
        </w:rPr>
        <w:t>: 6874625 [PMID: 32328325 DOI: 10.1155/2020/6874625]</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Anagnostou T</w:t>
      </w:r>
      <w:r>
        <w:rPr>
          <w:rFonts w:ascii="Book Antiqua" w:hAnsi="Book Antiqua" w:eastAsia="Book Antiqua" w:cs="Book Antiqua"/>
          <w:color w:val="000000" w:themeColor="text1"/>
          <w14:textFill>
            <w14:solidFill>
              <w14:schemeClr w14:val="tx1"/>
            </w14:solidFill>
          </w14:textFill>
        </w:rPr>
        <w:t xml:space="preserve">, Arvanitis M, Kourkoumpetis TK, Desalermos A, Carneiro HA, Mylonakis E. Nocardiosis of the central nervous system: experience from a general hospital and review of 84 cases from the literature. </w:t>
      </w:r>
      <w:r>
        <w:rPr>
          <w:rFonts w:ascii="Book Antiqua" w:hAnsi="Book Antiqua" w:eastAsia="Book Antiqua" w:cs="Book Antiqua"/>
          <w:i/>
          <w:iCs/>
          <w:color w:val="000000" w:themeColor="text1"/>
          <w14:textFill>
            <w14:solidFill>
              <w14:schemeClr w14:val="tx1"/>
            </w14:solidFill>
          </w14:textFill>
        </w:rPr>
        <w:t>Medicine (Baltimore)</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93</w:t>
      </w:r>
      <w:r>
        <w:rPr>
          <w:rFonts w:ascii="Book Antiqua" w:hAnsi="Book Antiqua" w:eastAsia="Book Antiqua" w:cs="Book Antiqua"/>
          <w:color w:val="000000" w:themeColor="text1"/>
          <w14:textFill>
            <w14:solidFill>
              <w14:schemeClr w14:val="tx1"/>
            </w14:solidFill>
          </w14:textFill>
        </w:rPr>
        <w:t>: 19-32 [PMID: 24378740 DOI: 10.1097/MD.0000000000000012]</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Didelot X</w:t>
      </w:r>
      <w:r>
        <w:rPr>
          <w:rFonts w:ascii="Book Antiqua" w:hAnsi="Book Antiqua" w:eastAsia="Book Antiqua" w:cs="Book Antiqua"/>
          <w:color w:val="000000" w:themeColor="text1"/>
          <w14:textFill>
            <w14:solidFill>
              <w14:schemeClr w14:val="tx1"/>
            </w14:solidFill>
          </w14:textFill>
        </w:rPr>
        <w:t xml:space="preserve">, Bowden R, Wilson DJ, Peto TEA, Crook DW. Transforming clinical microbiology with bacterial genome sequencing. </w:t>
      </w:r>
      <w:r>
        <w:rPr>
          <w:rFonts w:ascii="Book Antiqua" w:hAnsi="Book Antiqua" w:eastAsia="Book Antiqua" w:cs="Book Antiqua"/>
          <w:i/>
          <w:iCs/>
          <w:color w:val="000000" w:themeColor="text1"/>
          <w14:textFill>
            <w14:solidFill>
              <w14:schemeClr w14:val="tx1"/>
            </w14:solidFill>
          </w14:textFill>
        </w:rPr>
        <w:t>Nat Rev Genet</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601-612 [PMID: 22868263 DOI: 10.1038/nrg3226]</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Lerner PI</w:t>
      </w:r>
      <w:r>
        <w:rPr>
          <w:rFonts w:ascii="Book Antiqua" w:hAnsi="Book Antiqua" w:eastAsia="Book Antiqua" w:cs="Book Antiqua"/>
          <w:color w:val="000000" w:themeColor="text1"/>
          <w14:textFill>
            <w14:solidFill>
              <w14:schemeClr w14:val="tx1"/>
            </w14:solidFill>
          </w14:textFill>
        </w:rPr>
        <w:t xml:space="preserve">. Nocardiosis. </w:t>
      </w:r>
      <w:r>
        <w:rPr>
          <w:rFonts w:ascii="Book Antiqua" w:hAnsi="Book Antiqua" w:eastAsia="Book Antiqua" w:cs="Book Antiqua"/>
          <w:i/>
          <w:iCs/>
          <w:color w:val="000000" w:themeColor="text1"/>
          <w14:textFill>
            <w14:solidFill>
              <w14:schemeClr w14:val="tx1"/>
            </w14:solidFill>
          </w14:textFill>
        </w:rPr>
        <w:t>Clin Infect Dis</w:t>
      </w:r>
      <w:r>
        <w:rPr>
          <w:rFonts w:ascii="Book Antiqua" w:hAnsi="Book Antiqua" w:eastAsia="Book Antiqua" w:cs="Book Antiqua"/>
          <w:color w:val="000000" w:themeColor="text1"/>
          <w14:textFill>
            <w14:solidFill>
              <w14:schemeClr w14:val="tx1"/>
            </w14:solidFill>
          </w14:textFill>
        </w:rPr>
        <w:t xml:space="preserve"> 1996;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891-903; quiz 904-5 [PMID: 8783685 DOI: 10.1093/clinids/22.6.891]</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Shen Q</w:t>
      </w:r>
      <w:r>
        <w:rPr>
          <w:rFonts w:ascii="Book Antiqua" w:hAnsi="Book Antiqua" w:eastAsia="Book Antiqua" w:cs="Book Antiqua"/>
          <w:color w:val="000000" w:themeColor="text1"/>
          <w14:textFill>
            <w14:solidFill>
              <w14:schemeClr w14:val="tx1"/>
            </w14:solidFill>
          </w14:textFill>
        </w:rPr>
        <w:t xml:space="preserve">, Zhou H, Li H, Zhou J. Linezolid combined with trimethoprim-sulfamethoxazole therapy for the treatment of disseminated nocardiosis. </w:t>
      </w:r>
      <w:r>
        <w:rPr>
          <w:rFonts w:ascii="Book Antiqua" w:hAnsi="Book Antiqua" w:eastAsia="Book Antiqua" w:cs="Book Antiqua"/>
          <w:i/>
          <w:iCs/>
          <w:color w:val="000000" w:themeColor="text1"/>
          <w14:textFill>
            <w14:solidFill>
              <w14:schemeClr w14:val="tx1"/>
            </w14:solidFill>
          </w14:textFill>
        </w:rPr>
        <w:t>J Med Microbiol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60</w:t>
      </w:r>
      <w:r>
        <w:rPr>
          <w:rFonts w:ascii="Book Antiqua" w:hAnsi="Book Antiqua" w:eastAsia="Book Antiqua" w:cs="Book Antiqua"/>
          <w:color w:val="000000" w:themeColor="text1"/>
          <w14:textFill>
            <w14:solidFill>
              <w14:schemeClr w14:val="tx1"/>
            </w14:solidFill>
          </w14:textFill>
        </w:rPr>
        <w:t>: 1043-1045 [PMID: 21393455 DOI: 10.1099/jmm.0.018549-0]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Wang T</w:t>
      </w:r>
      <w:r>
        <w:rPr>
          <w:rFonts w:ascii="Book Antiqua" w:hAnsi="Book Antiqua" w:eastAsia="Book Antiqua" w:cs="Book Antiqua"/>
          <w:color w:val="000000" w:themeColor="text1"/>
          <w14:textFill>
            <w14:solidFill>
              <w14:schemeClr w14:val="tx1"/>
            </w14:solidFill>
          </w14:textFill>
        </w:rPr>
        <w:t xml:space="preserve">, Jia Y, Chu B, Liu H, Dong X, Zhang Y. Nocardiosis in Kidney Disease Patients under Immunosuppressive Therapy: Case Report and Literature Review. </w:t>
      </w:r>
      <w:r>
        <w:rPr>
          <w:rFonts w:ascii="Book Antiqua" w:hAnsi="Book Antiqua" w:eastAsia="Book Antiqua" w:cs="Book Antiqua"/>
          <w:i/>
          <w:iCs/>
          <w:color w:val="000000" w:themeColor="text1"/>
          <w14:textFill>
            <w14:solidFill>
              <w14:schemeClr w14:val="tx1"/>
            </w14:solidFill>
          </w14:textFill>
        </w:rPr>
        <w:t>Int J Med Sci</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838-844 [PMID: 31337957 DOI: 10.7150/ijms.32440]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Hirano R</w:t>
      </w:r>
      <w:r>
        <w:rPr>
          <w:rFonts w:ascii="Book Antiqua" w:hAnsi="Book Antiqua" w:eastAsia="Book Antiqua" w:cs="Book Antiqua"/>
          <w:color w:val="000000" w:themeColor="text1"/>
          <w14:textFill>
            <w14:solidFill>
              <w14:schemeClr w14:val="tx1"/>
            </w14:solidFill>
          </w14:textFill>
        </w:rPr>
        <w:t xml:space="preserve">, Sakamoto Y, Tachibana N, Ohnishi M. Retrospective analysis of the risk factors for linezolid-induced thrombocytopenia in adult Japanese patients. </w:t>
      </w:r>
      <w:r>
        <w:rPr>
          <w:rFonts w:ascii="Book Antiqua" w:hAnsi="Book Antiqua" w:eastAsia="Book Antiqua" w:cs="Book Antiqua"/>
          <w:i/>
          <w:iCs/>
          <w:color w:val="000000" w:themeColor="text1"/>
          <w14:textFill>
            <w14:solidFill>
              <w14:schemeClr w14:val="tx1"/>
            </w14:solidFill>
          </w14:textFill>
        </w:rPr>
        <w:t>Int J Clin Pharm</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36</w:t>
      </w:r>
      <w:r>
        <w:rPr>
          <w:rFonts w:ascii="Book Antiqua" w:hAnsi="Book Antiqua" w:eastAsia="Book Antiqua" w:cs="Book Antiqua"/>
          <w:color w:val="000000" w:themeColor="text1"/>
          <w14:textFill>
            <w14:solidFill>
              <w14:schemeClr w14:val="tx1"/>
            </w14:solidFill>
          </w14:textFill>
        </w:rPr>
        <w:t>: 795-799 [PMID: 24913359 DOI: 10.1007/s11096-014-9961-6]</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Natsumoto B</w:t>
      </w:r>
      <w:r>
        <w:rPr>
          <w:rFonts w:ascii="Book Antiqua" w:hAnsi="Book Antiqua" w:eastAsia="Book Antiqua" w:cs="Book Antiqua"/>
          <w:color w:val="000000" w:themeColor="text1"/>
          <w14:textFill>
            <w14:solidFill>
              <w14:schemeClr w14:val="tx1"/>
            </w14:solidFill>
          </w14:textFill>
        </w:rPr>
        <w:t xml:space="preserve">, Yokota K, Omata F, Furukawa K. Risk factors for linezolid-associated thrombocytopenia in adult patients. </w:t>
      </w:r>
      <w:r>
        <w:rPr>
          <w:rFonts w:ascii="Book Antiqua" w:hAnsi="Book Antiqua" w:eastAsia="Book Antiqua" w:cs="Book Antiqua"/>
          <w:i/>
          <w:iCs/>
          <w:color w:val="000000" w:themeColor="text1"/>
          <w14:textFill>
            <w14:solidFill>
              <w14:schemeClr w14:val="tx1"/>
            </w14:solidFill>
          </w14:textFill>
        </w:rPr>
        <w:t>Infection</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42</w:t>
      </w:r>
      <w:r>
        <w:rPr>
          <w:rFonts w:ascii="Book Antiqua" w:hAnsi="Book Antiqua" w:eastAsia="Book Antiqua" w:cs="Book Antiqua"/>
          <w:color w:val="000000" w:themeColor="text1"/>
          <w14:textFill>
            <w14:solidFill>
              <w14:schemeClr w14:val="tx1"/>
            </w14:solidFill>
          </w14:textFill>
        </w:rPr>
        <w:t>: 1007-1012 [PMID: 25119433 DOI: 10.1007/s15010-014-0674-5]</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Hanai Y</w:t>
      </w:r>
      <w:r>
        <w:rPr>
          <w:rFonts w:ascii="Book Antiqua" w:hAnsi="Book Antiqua" w:eastAsia="Book Antiqua" w:cs="Book Antiqua"/>
          <w:color w:val="000000" w:themeColor="text1"/>
          <w14:textFill>
            <w14:solidFill>
              <w14:schemeClr w14:val="tx1"/>
            </w14:solidFill>
          </w14:textFill>
        </w:rPr>
        <w:t xml:space="preserve">, Matsuo K, Ogawa M, Higashi A, Kimura I, Hirayama S, Kosugi T, Nishizawa K, Yoshio T. A retrospective study of the risk factors for linezolid-induced thrombocytopenia and anemia. </w:t>
      </w:r>
      <w:r>
        <w:rPr>
          <w:rFonts w:ascii="Book Antiqua" w:hAnsi="Book Antiqua" w:eastAsia="Book Antiqua" w:cs="Book Antiqua"/>
          <w:i/>
          <w:iCs/>
          <w:color w:val="000000" w:themeColor="text1"/>
          <w14:textFill>
            <w14:solidFill>
              <w14:schemeClr w14:val="tx1"/>
            </w14:solidFill>
          </w14:textFill>
        </w:rPr>
        <w:t>J Infect Chemother</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536-542 [PMID: 27321773 DOI: 10.1016/j.jiac.2016.05.003]</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Ikuta S</w:t>
      </w:r>
      <w:r>
        <w:rPr>
          <w:rFonts w:ascii="Book Antiqua" w:hAnsi="Book Antiqua" w:eastAsia="Book Antiqua" w:cs="Book Antiqua"/>
          <w:color w:val="000000" w:themeColor="text1"/>
          <w14:textFill>
            <w14:solidFill>
              <w14:schemeClr w14:val="tx1"/>
            </w14:solidFill>
          </w14:textFill>
        </w:rPr>
        <w:t xml:space="preserve">, Tanimura K, Yasui C, Aihara T, Yoshie H, Iida H, Beppu N, Kurimoto A, Yanagi H, Mitsunobu M, Yamanaka N. Chronic liver disease increases the risk of linezolid-related thrombocytopenia in methicillin-resistant Staphylococcus aureus-infected patients after digestive surgery. </w:t>
      </w:r>
      <w:r>
        <w:rPr>
          <w:rFonts w:ascii="Book Antiqua" w:hAnsi="Book Antiqua" w:eastAsia="Book Antiqua" w:cs="Book Antiqua"/>
          <w:i/>
          <w:iCs/>
          <w:color w:val="000000" w:themeColor="text1"/>
          <w14:textFill>
            <w14:solidFill>
              <w14:schemeClr w14:val="tx1"/>
            </w14:solidFill>
          </w14:textFill>
        </w:rPr>
        <w:t>J Infect Chemother</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388-391 [PMID: 21161560 DOI: 10.1007/s10156-010-0188-8]</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Nukui Y</w:t>
      </w:r>
      <w:r>
        <w:rPr>
          <w:rFonts w:ascii="Book Antiqua" w:hAnsi="Book Antiqua" w:eastAsia="Book Antiqua" w:cs="Book Antiqua"/>
          <w:color w:val="000000" w:themeColor="text1"/>
          <w14:textFill>
            <w14:solidFill>
              <w14:schemeClr w14:val="tx1"/>
            </w14:solidFill>
          </w14:textFill>
        </w:rPr>
        <w:t xml:space="preserve">, Hatakeyama S, Okamoto K, Yamamoto T, Hisaka A, Suzuki H, Yata N, Yotsuyanagi H, Moriya K. High plasma linezolid concentration and impaired renal function affect development of linezolid-induced thrombocytopenia. </w:t>
      </w:r>
      <w:r>
        <w:rPr>
          <w:rFonts w:ascii="Book Antiqua" w:hAnsi="Book Antiqua" w:eastAsia="Book Antiqua" w:cs="Book Antiqua"/>
          <w:i/>
          <w:iCs/>
          <w:color w:val="000000" w:themeColor="text1"/>
          <w14:textFill>
            <w14:solidFill>
              <w14:schemeClr w14:val="tx1"/>
            </w14:solidFill>
          </w14:textFill>
        </w:rPr>
        <w:t>J Antimicrob Chemother</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68</w:t>
      </w:r>
      <w:r>
        <w:rPr>
          <w:rFonts w:ascii="Book Antiqua" w:hAnsi="Book Antiqua" w:eastAsia="Book Antiqua" w:cs="Book Antiqua"/>
          <w:color w:val="000000" w:themeColor="text1"/>
          <w14:textFill>
            <w14:solidFill>
              <w14:schemeClr w14:val="tx1"/>
            </w14:solidFill>
          </w14:textFill>
        </w:rPr>
        <w:t>: 2128-2133 [PMID: 23625638 DOI: 10.1093/jac/dkt133]</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Matsumoto K</w:t>
      </w:r>
      <w:r>
        <w:rPr>
          <w:rFonts w:ascii="Book Antiqua" w:hAnsi="Book Antiqua" w:eastAsia="Book Antiqua" w:cs="Book Antiqua"/>
          <w:color w:val="000000" w:themeColor="text1"/>
          <w14:textFill>
            <w14:solidFill>
              <w14:schemeClr w14:val="tx1"/>
            </w14:solidFill>
          </w14:textFill>
        </w:rPr>
        <w:t xml:space="preserve">, Shigemi A, Takeshita A, Watanabe E, Yokoyama Y, Ikawa K, Morikawa N, Takeda Y. Analysis of thrombocytopenic effects and population pharmacokinetics of linezolid: a dosage strategy according to the trough concentration target and renal function in adult patients. </w:t>
      </w:r>
      <w:r>
        <w:rPr>
          <w:rFonts w:ascii="Book Antiqua" w:hAnsi="Book Antiqua" w:eastAsia="Book Antiqua" w:cs="Book Antiqua"/>
          <w:i/>
          <w:iCs/>
          <w:color w:val="000000" w:themeColor="text1"/>
          <w14:textFill>
            <w14:solidFill>
              <w14:schemeClr w14:val="tx1"/>
            </w14:solidFill>
          </w14:textFill>
        </w:rPr>
        <w:t>Int J Antimicrob Agents</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44</w:t>
      </w:r>
      <w:r>
        <w:rPr>
          <w:rFonts w:ascii="Book Antiqua" w:hAnsi="Book Antiqua" w:eastAsia="Book Antiqua" w:cs="Book Antiqua"/>
          <w:color w:val="000000" w:themeColor="text1"/>
          <w14:textFill>
            <w14:solidFill>
              <w14:schemeClr w14:val="tx1"/>
            </w14:solidFill>
          </w14:textFill>
        </w:rPr>
        <w:t>: 242-247 [PMID: 25108880 DOI: 10.1016/j.ijantimicag.2014.05.010]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Komiya K</w:t>
      </w:r>
      <w:r>
        <w:rPr>
          <w:rFonts w:ascii="Book Antiqua" w:hAnsi="Book Antiqua" w:eastAsia="Book Antiqua" w:cs="Book Antiqua"/>
          <w:color w:val="000000" w:themeColor="text1"/>
          <w14:textFill>
            <w14:solidFill>
              <w14:schemeClr w14:val="tx1"/>
            </w14:solidFill>
          </w14:textFill>
        </w:rPr>
        <w:t xml:space="preserve">, Ishii H, Tsubone T, Okabe E, Matsumoto B, Kadota J. Bird fancier's lung complicated by pulmonary nocardiosis. </w:t>
      </w:r>
      <w:r>
        <w:rPr>
          <w:rFonts w:ascii="Book Antiqua" w:hAnsi="Book Antiqua" w:eastAsia="Book Antiqua" w:cs="Book Antiqua"/>
          <w:i/>
          <w:iCs/>
          <w:color w:val="000000" w:themeColor="text1"/>
          <w14:textFill>
            <w14:solidFill>
              <w14:schemeClr w14:val="tx1"/>
            </w14:solidFill>
          </w14:textFill>
        </w:rPr>
        <w:t>J Bras Pneumol</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39</w:t>
      </w:r>
      <w:r>
        <w:rPr>
          <w:rFonts w:ascii="Book Antiqua" w:hAnsi="Book Antiqua" w:eastAsia="Book Antiqua" w:cs="Book Antiqua"/>
          <w:color w:val="000000" w:themeColor="text1"/>
          <w14:textFill>
            <w14:solidFill>
              <w14:schemeClr w14:val="tx1"/>
            </w14:solidFill>
          </w14:textFill>
        </w:rPr>
        <w:t>: 102-107 [PMID: 23503493 DOI: 10.1590/s1806-37132013000100015]</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Yaşar Z</w:t>
      </w:r>
      <w:r>
        <w:rPr>
          <w:rFonts w:ascii="Book Antiqua" w:hAnsi="Book Antiqua" w:eastAsia="Book Antiqua" w:cs="Book Antiqua"/>
          <w:color w:val="000000" w:themeColor="text1"/>
          <w14:textFill>
            <w14:solidFill>
              <w14:schemeClr w14:val="tx1"/>
            </w14:solidFill>
          </w14:textFill>
        </w:rPr>
        <w:t xml:space="preserve">, Acat M, Onaran H, Ozgül MA, Fener N, Talay F, Cetinkaya E. An unusual case of pulmonary nocardiosis in immunocompetent patient. </w:t>
      </w:r>
      <w:r>
        <w:rPr>
          <w:rFonts w:ascii="Book Antiqua" w:hAnsi="Book Antiqua" w:eastAsia="Book Antiqua" w:cs="Book Antiqua"/>
          <w:i/>
          <w:iCs/>
          <w:color w:val="000000" w:themeColor="text1"/>
          <w14:textFill>
            <w14:solidFill>
              <w14:schemeClr w14:val="tx1"/>
            </w14:solidFill>
          </w14:textFill>
        </w:rPr>
        <w:t>Case Rep Pulmonol</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2014</w:t>
      </w:r>
      <w:r>
        <w:rPr>
          <w:rFonts w:ascii="Book Antiqua" w:hAnsi="Book Antiqua" w:eastAsia="Book Antiqua" w:cs="Book Antiqua"/>
          <w:color w:val="000000" w:themeColor="text1"/>
          <w14:textFill>
            <w14:solidFill>
              <w14:schemeClr w14:val="tx1"/>
            </w14:solidFill>
          </w14:textFill>
        </w:rPr>
        <w:t>: 963482 [PMID: 25506020 DOI: 10.1155/2014/963482]</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Cooper CJ</w:t>
      </w:r>
      <w:r>
        <w:rPr>
          <w:rFonts w:ascii="Book Antiqua" w:hAnsi="Book Antiqua" w:eastAsia="Book Antiqua" w:cs="Book Antiqua"/>
          <w:color w:val="000000" w:themeColor="text1"/>
          <w14:textFill>
            <w14:solidFill>
              <w14:schemeClr w14:val="tx1"/>
            </w14:solidFill>
          </w14:textFill>
        </w:rPr>
        <w:t xml:space="preserve">, Said S, Popp M, Alkhateeb H, Rodriguez C, Porres Aguilar M, Alozie O. A complicated case of an immunocompetent patient with disseminated nocardiosis. </w:t>
      </w:r>
      <w:r>
        <w:rPr>
          <w:rFonts w:ascii="Book Antiqua" w:hAnsi="Book Antiqua" w:eastAsia="Book Antiqua" w:cs="Book Antiqua"/>
          <w:i/>
          <w:iCs/>
          <w:color w:val="000000" w:themeColor="text1"/>
          <w14:textFill>
            <w14:solidFill>
              <w14:schemeClr w14:val="tx1"/>
            </w14:solidFill>
          </w14:textFill>
        </w:rPr>
        <w:t>Infect Dis Rep</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5327 [PMID: 24757510 DOI: 10.4081/idr.2014.5327]</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Yagi K</w:t>
      </w:r>
      <w:r>
        <w:rPr>
          <w:rFonts w:ascii="Book Antiqua" w:hAnsi="Book Antiqua" w:eastAsia="Book Antiqua" w:cs="Book Antiqua"/>
          <w:color w:val="000000" w:themeColor="text1"/>
          <w14:textFill>
            <w14:solidFill>
              <w14:schemeClr w14:val="tx1"/>
            </w14:solidFill>
          </w14:textFill>
        </w:rPr>
        <w:t xml:space="preserve">, Ishii M, Namkoong H, Asami T, Fujiwara H, Nishimura T, Saito F, Kimizuka Y, Asakura T, Suzuki S, Kamo T, Tasaka S, Gonoi T, Kamei K, Betsuyaku T, Hasegawa N. Pulmonary nocardiosis caused by Nocardia cyriacigeorgica in patients with Mycobacterium avium complex lung disease: two case reports. </w:t>
      </w:r>
      <w:r>
        <w:rPr>
          <w:rFonts w:ascii="Book Antiqua" w:hAnsi="Book Antiqua" w:eastAsia="Book Antiqua" w:cs="Book Antiqua"/>
          <w:i/>
          <w:iCs/>
          <w:color w:val="000000" w:themeColor="text1"/>
          <w14:textFill>
            <w14:solidFill>
              <w14:schemeClr w14:val="tx1"/>
            </w14:solidFill>
          </w14:textFill>
        </w:rPr>
        <w:t>BMC Infect Dis</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684 [PMID: 25491030 DOI: 10.1186/s12879-014-0684-z]</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Ibrahim U</w:t>
      </w:r>
      <w:r>
        <w:rPr>
          <w:rFonts w:ascii="Book Antiqua" w:hAnsi="Book Antiqua" w:eastAsia="Book Antiqua" w:cs="Book Antiqua"/>
          <w:color w:val="000000" w:themeColor="text1"/>
          <w14:textFill>
            <w14:solidFill>
              <w14:schemeClr w14:val="tx1"/>
            </w14:solidFill>
          </w14:textFill>
        </w:rPr>
        <w:t xml:space="preserve">, Saqib A, Mohammad F, Terjanian T. An Unusual Presentation of Nocardiosis in an Allogeneic Transplant Recipient. </w:t>
      </w:r>
      <w:r>
        <w:rPr>
          <w:rFonts w:ascii="Book Antiqua" w:hAnsi="Book Antiqua" w:eastAsia="Book Antiqua" w:cs="Book Antiqua"/>
          <w:i/>
          <w:iCs/>
          <w:color w:val="000000" w:themeColor="text1"/>
          <w14:textFill>
            <w14:solidFill>
              <w14:schemeClr w14:val="tx1"/>
            </w14:solidFill>
          </w14:textFill>
        </w:rPr>
        <w:t>Cureus</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e834 [PMID: 27904816 DOI: 10.7759/cureus.834]</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Mendonca NP</w:t>
      </w:r>
      <w:r>
        <w:rPr>
          <w:rFonts w:ascii="Book Antiqua" w:hAnsi="Book Antiqua" w:eastAsia="Book Antiqua" w:cs="Book Antiqua"/>
          <w:color w:val="000000" w:themeColor="text1"/>
          <w14:textFill>
            <w14:solidFill>
              <w14:schemeClr w14:val="tx1"/>
            </w14:solidFill>
          </w14:textFill>
        </w:rPr>
        <w:t xml:space="preserve">, Kadayakkara DK, Forde IC, Rudkovskaia A, Saul ZK, Lobo DJ. Pulmonary Nocardiosis in a Multiple Myeloma Patient Treated with Proteasome Inhibitors. </w:t>
      </w:r>
      <w:r>
        <w:rPr>
          <w:rFonts w:ascii="Book Antiqua" w:hAnsi="Book Antiqua" w:eastAsia="Book Antiqua" w:cs="Book Antiqua"/>
          <w:i/>
          <w:iCs/>
          <w:color w:val="000000" w:themeColor="text1"/>
          <w14:textFill>
            <w14:solidFill>
              <w14:schemeClr w14:val="tx1"/>
            </w14:solidFill>
          </w14:textFill>
        </w:rPr>
        <w:t>Am J Case Rep</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76-78 [PMID: 26861506 DOI: 10.12659/ajcr.896280]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Jayaschandran V</w:t>
      </w:r>
      <w:r>
        <w:rPr>
          <w:rFonts w:ascii="Book Antiqua" w:hAnsi="Book Antiqua" w:eastAsia="Book Antiqua" w:cs="Book Antiqua"/>
          <w:color w:val="000000" w:themeColor="text1"/>
          <w14:textFill>
            <w14:solidFill>
              <w14:schemeClr w14:val="tx1"/>
            </w14:solidFill>
          </w14:textFill>
        </w:rPr>
        <w:t xml:space="preserve">, Gjorgova-Gjeorgjievski S, Siddique H. Pulmonary nocardiosis in a patient with idiopathic CD4 T-lymphocytopenia. </w:t>
      </w:r>
      <w:r>
        <w:rPr>
          <w:rFonts w:ascii="Book Antiqua" w:hAnsi="Book Antiqua" w:eastAsia="Book Antiqua" w:cs="Book Antiqua"/>
          <w:i/>
          <w:iCs/>
          <w:color w:val="000000" w:themeColor="text1"/>
          <w14:textFill>
            <w14:solidFill>
              <w14:schemeClr w14:val="tx1"/>
            </w14:solidFill>
          </w14:textFill>
        </w:rPr>
        <w:t>Respirol Case Rep</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e00283 [PMID: 29321927 DOI: 10.1002/rcr2.283]</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27 </w:t>
      </w:r>
      <w:r>
        <w:rPr>
          <w:rFonts w:ascii="Book Antiqua" w:hAnsi="Book Antiqua" w:eastAsia="Book Antiqua" w:cs="Book Antiqua"/>
          <w:b/>
          <w:bCs/>
          <w:color w:val="000000" w:themeColor="text1"/>
          <w14:textFill>
            <w14:solidFill>
              <w14:schemeClr w14:val="tx1"/>
            </w14:solidFill>
          </w14:textFill>
        </w:rPr>
        <w:t>Khadka P</w:t>
      </w:r>
      <w:r>
        <w:rPr>
          <w:rFonts w:ascii="Book Antiqua" w:hAnsi="Book Antiqua" w:eastAsia="Book Antiqua" w:cs="Book Antiqua"/>
          <w:color w:val="000000" w:themeColor="text1"/>
          <w14:textFill>
            <w14:solidFill>
              <w14:schemeClr w14:val="tx1"/>
            </w14:solidFill>
          </w14:textFill>
        </w:rPr>
        <w:t xml:space="preserve">, Basnet RB, Khadka P, Shah DS, Pokhrel BM, Rijal BP, Sherchand JB. Disseminated Nocardiosis in renal transplant recipient under therapy for pulmonary tuberculosis: a case report. </w:t>
      </w:r>
      <w:r>
        <w:rPr>
          <w:rFonts w:ascii="Book Antiqua" w:hAnsi="Book Antiqua" w:eastAsia="Book Antiqua" w:cs="Book Antiqua"/>
          <w:i/>
          <w:iCs/>
          <w:color w:val="000000" w:themeColor="text1"/>
          <w14:textFill>
            <w14:solidFill>
              <w14:schemeClr w14:val="tx1"/>
            </w14:solidFill>
          </w14:textFill>
        </w:rPr>
        <w:t>BMC Res Notes</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83 [PMID: 28159010 DOI: 10.1186/s13104-017-2408-0]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28 </w:t>
      </w:r>
      <w:r>
        <w:rPr>
          <w:rFonts w:ascii="Book Antiqua" w:hAnsi="Book Antiqua" w:eastAsia="Book Antiqua" w:cs="Book Antiqua"/>
          <w:b/>
          <w:bCs/>
          <w:color w:val="000000" w:themeColor="text1"/>
          <w14:textFill>
            <w14:solidFill>
              <w14:schemeClr w14:val="tx1"/>
            </w14:solidFill>
          </w14:textFill>
        </w:rPr>
        <w:t>Kobayashi K</w:t>
      </w:r>
      <w:r>
        <w:rPr>
          <w:rFonts w:ascii="Book Antiqua" w:hAnsi="Book Antiqua" w:eastAsia="Book Antiqua" w:cs="Book Antiqua"/>
          <w:color w:val="000000" w:themeColor="text1"/>
          <w14:textFill>
            <w14:solidFill>
              <w14:schemeClr w14:val="tx1"/>
            </w14:solidFill>
          </w14:textFill>
        </w:rPr>
        <w:t xml:space="preserve">, Asakura T, Ishii M, Ueda S, Irie H, Ozawa H, Saitoh K, Kurihara I, Itoh H, Betsuyaku T. Pulmonary nocardiosis mimicking small cell lung cancer in ectopic ACTH syndrome associated with transformation of olfactory neuroblastoma: a case report. </w:t>
      </w:r>
      <w:r>
        <w:rPr>
          <w:rFonts w:ascii="Book Antiqua" w:hAnsi="Book Antiqua" w:eastAsia="Book Antiqua" w:cs="Book Antiqua"/>
          <w:i/>
          <w:iCs/>
          <w:color w:val="000000" w:themeColor="text1"/>
          <w14:textFill>
            <w14:solidFill>
              <w14:schemeClr w14:val="tx1"/>
            </w14:solidFill>
          </w14:textFill>
        </w:rPr>
        <w:t>BMC Pulm Med</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142 [PMID: 30134888 DOI: 10.1186/s12890-018-0710-9]</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29 </w:t>
      </w:r>
      <w:r>
        <w:rPr>
          <w:rFonts w:ascii="Book Antiqua" w:hAnsi="Book Antiqua" w:eastAsia="Book Antiqua" w:cs="Book Antiqua"/>
          <w:b/>
          <w:bCs/>
          <w:color w:val="000000" w:themeColor="text1"/>
          <w14:textFill>
            <w14:solidFill>
              <w14:schemeClr w14:val="tx1"/>
            </w14:solidFill>
          </w14:textFill>
        </w:rPr>
        <w:t>Khaliq MF</w:t>
      </w:r>
      <w:r>
        <w:rPr>
          <w:rFonts w:ascii="Book Antiqua" w:hAnsi="Book Antiqua" w:eastAsia="Book Antiqua" w:cs="Book Antiqua"/>
          <w:color w:val="000000" w:themeColor="text1"/>
          <w14:textFill>
            <w14:solidFill>
              <w14:schemeClr w14:val="tx1"/>
            </w14:solidFill>
          </w14:textFill>
        </w:rPr>
        <w:t xml:space="preserve">, Ihle RE, Schirtzinger CP. </w:t>
      </w:r>
      <w:r>
        <w:rPr>
          <w:rFonts w:ascii="Book Antiqua" w:hAnsi="Book Antiqua" w:eastAsia="Book Antiqua" w:cs="Book Antiqua"/>
          <w:i/>
          <w:iCs/>
          <w:color w:val="000000" w:themeColor="text1"/>
          <w14:textFill>
            <w14:solidFill>
              <w14:schemeClr w14:val="tx1"/>
            </w14:solidFill>
          </w14:textFill>
        </w:rPr>
        <w:t>Cladophialophora bantiana</w:t>
      </w:r>
      <w:r>
        <w:rPr>
          <w:rFonts w:ascii="Book Antiqua" w:hAnsi="Book Antiqua" w:eastAsia="Book Antiqua" w:cs="Book Antiqua"/>
          <w:color w:val="000000" w:themeColor="text1"/>
          <w14:textFill>
            <w14:solidFill>
              <w14:schemeClr w14:val="tx1"/>
            </w14:solidFill>
          </w14:textFill>
        </w:rPr>
        <w:t xml:space="preserve"> Cerebral Phaeohyphomycosis Complicated by Pulmonary Nocardiosis: A Tale of Two Infections. </w:t>
      </w:r>
      <w:r>
        <w:rPr>
          <w:rFonts w:ascii="Book Antiqua" w:hAnsi="Book Antiqua" w:eastAsia="Book Antiqua" w:cs="Book Antiqua"/>
          <w:i/>
          <w:iCs/>
          <w:color w:val="000000" w:themeColor="text1"/>
          <w14:textFill>
            <w14:solidFill>
              <w14:schemeClr w14:val="tx1"/>
            </w14:solidFill>
          </w14:textFill>
        </w:rPr>
        <w:t>Case Rep Infect Dis</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2019</w:t>
      </w:r>
      <w:r>
        <w:rPr>
          <w:rFonts w:ascii="Book Antiqua" w:hAnsi="Book Antiqua" w:eastAsia="Book Antiqua" w:cs="Book Antiqua"/>
          <w:color w:val="000000" w:themeColor="text1"/>
          <w14:textFill>
            <w14:solidFill>
              <w14:schemeClr w14:val="tx1"/>
            </w14:solidFill>
          </w14:textFill>
        </w:rPr>
        <w:t>: 4352040 [PMID: 31143481 DOI: 10.1155/2019/4352040]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30 </w:t>
      </w:r>
      <w:r>
        <w:rPr>
          <w:rFonts w:ascii="Book Antiqua" w:hAnsi="Book Antiqua" w:eastAsia="Book Antiqua" w:cs="Book Antiqua"/>
          <w:b/>
          <w:bCs/>
          <w:color w:val="000000" w:themeColor="text1"/>
          <w14:textFill>
            <w14:solidFill>
              <w14:schemeClr w14:val="tx1"/>
            </w14:solidFill>
          </w14:textFill>
        </w:rPr>
        <w:t>Miyaoka C</w:t>
      </w:r>
      <w:r>
        <w:rPr>
          <w:rFonts w:ascii="Book Antiqua" w:hAnsi="Book Antiqua" w:eastAsia="Book Antiqua" w:cs="Book Antiqua"/>
          <w:color w:val="000000" w:themeColor="text1"/>
          <w14:textFill>
            <w14:solidFill>
              <w14:schemeClr w14:val="tx1"/>
            </w14:solidFill>
          </w14:textFill>
        </w:rPr>
        <w:t xml:space="preserve">, Nakamoto K, Shirai T, Miyamoto M, Sasaki Y, Ohta K. Pulmonary nocardiosis caused by </w:t>
      </w:r>
      <w:r>
        <w:rPr>
          <w:rFonts w:ascii="Book Antiqua" w:hAnsi="Book Antiqua" w:eastAsia="Book Antiqua" w:cs="Book Antiqua"/>
          <w:i/>
          <w:iCs/>
          <w:color w:val="000000" w:themeColor="text1"/>
          <w14:textFill>
            <w14:solidFill>
              <w14:schemeClr w14:val="tx1"/>
            </w14:solidFill>
          </w14:textFill>
        </w:rPr>
        <w:t>Nocardia exalbida</w:t>
      </w:r>
      <w:r>
        <w:rPr>
          <w:rFonts w:ascii="Book Antiqua" w:hAnsi="Book Antiqua" w:eastAsia="Book Antiqua" w:cs="Book Antiqua"/>
          <w:color w:val="000000" w:themeColor="text1"/>
          <w14:textFill>
            <w14:solidFill>
              <w14:schemeClr w14:val="tx1"/>
            </w14:solidFill>
          </w14:textFill>
        </w:rPr>
        <w:t xml:space="preserve"> mimicking lung cancer. </w:t>
      </w:r>
      <w:r>
        <w:rPr>
          <w:rFonts w:ascii="Book Antiqua" w:hAnsi="Book Antiqua" w:eastAsia="Book Antiqua" w:cs="Book Antiqua"/>
          <w:i/>
          <w:iCs/>
          <w:color w:val="000000" w:themeColor="text1"/>
          <w14:textFill>
            <w14:solidFill>
              <w14:schemeClr w14:val="tx1"/>
            </w14:solidFill>
          </w14:textFill>
        </w:rPr>
        <w:t>Respirol Case Rep</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e00458 [PMID: 31304018 DOI: 10.1002/rcr2.458]</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31 </w:t>
      </w:r>
      <w:r>
        <w:rPr>
          <w:rFonts w:ascii="Book Antiqua" w:hAnsi="Book Antiqua" w:eastAsia="Book Antiqua" w:cs="Book Antiqua"/>
          <w:b/>
          <w:bCs/>
          <w:color w:val="000000" w:themeColor="text1"/>
          <w14:textFill>
            <w14:solidFill>
              <w14:schemeClr w14:val="tx1"/>
            </w14:solidFill>
          </w14:textFill>
        </w:rPr>
        <w:t>Kato K</w:t>
      </w:r>
      <w:r>
        <w:rPr>
          <w:rFonts w:ascii="Book Antiqua" w:hAnsi="Book Antiqua" w:eastAsia="Book Antiqua" w:cs="Book Antiqua"/>
          <w:color w:val="000000" w:themeColor="text1"/>
          <w14:textFill>
            <w14:solidFill>
              <w14:schemeClr w14:val="tx1"/>
            </w14:solidFill>
          </w14:textFill>
        </w:rPr>
        <w:t xml:space="preserve">, Noguchi S, Naito K, Ikushima I, Hanaka T, Yamasaki K, Kawanami T, Yatera K. Pulmonary Nocardiosis Caused by Nocardia exalbida in a Patient with Lung Cancer and Radiation Pneumonitis: A Case Report and Literature Review. </w:t>
      </w:r>
      <w:r>
        <w:rPr>
          <w:rFonts w:ascii="Book Antiqua" w:hAnsi="Book Antiqua" w:eastAsia="Book Antiqua" w:cs="Book Antiqua"/>
          <w:i/>
          <w:iCs/>
          <w:color w:val="000000" w:themeColor="text1"/>
          <w14:textFill>
            <w14:solidFill>
              <w14:schemeClr w14:val="tx1"/>
            </w14:solidFill>
          </w14:textFill>
        </w:rPr>
        <w:t>Intern Med</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58</w:t>
      </w:r>
      <w:r>
        <w:rPr>
          <w:rFonts w:ascii="Book Antiqua" w:hAnsi="Book Antiqua" w:eastAsia="Book Antiqua" w:cs="Book Antiqua"/>
          <w:color w:val="000000" w:themeColor="text1"/>
          <w14:textFill>
            <w14:solidFill>
              <w14:schemeClr w14:val="tx1"/>
            </w14:solidFill>
          </w14:textFill>
        </w:rPr>
        <w:t>: 1605-1611 [PMID: 30713323 DOI: 10.2169/internalmedicine.2177-18]</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32 </w:t>
      </w:r>
      <w:r>
        <w:rPr>
          <w:rFonts w:ascii="Book Antiqua" w:hAnsi="Book Antiqua" w:eastAsia="Book Antiqua" w:cs="Book Antiqua"/>
          <w:b/>
          <w:bCs/>
          <w:color w:val="000000" w:themeColor="text1"/>
          <w14:textFill>
            <w14:solidFill>
              <w14:schemeClr w14:val="tx1"/>
            </w14:solidFill>
          </w14:textFill>
        </w:rPr>
        <w:t>Deterding L</w:t>
      </w:r>
      <w:r>
        <w:rPr>
          <w:rFonts w:ascii="Book Antiqua" w:hAnsi="Book Antiqua" w:eastAsia="Book Antiqua" w:cs="Book Antiqua"/>
          <w:color w:val="000000" w:themeColor="text1"/>
          <w14:textFill>
            <w14:solidFill>
              <w14:schemeClr w14:val="tx1"/>
            </w14:solidFill>
          </w14:textFill>
        </w:rPr>
        <w:t xml:space="preserve">, Körner T, Borte G, Wirtz H, Seyfarth HJ. Nocardiosis mimicking lung cancer in a heart transplant patient with end-stage renal disease. </w:t>
      </w:r>
      <w:r>
        <w:rPr>
          <w:rFonts w:ascii="Book Antiqua" w:hAnsi="Book Antiqua" w:eastAsia="Book Antiqua" w:cs="Book Antiqua"/>
          <w:i/>
          <w:iCs/>
          <w:color w:val="000000" w:themeColor="text1"/>
          <w14:textFill>
            <w14:solidFill>
              <w14:schemeClr w14:val="tx1"/>
            </w14:solidFill>
          </w14:textFill>
        </w:rPr>
        <w:t>Respir Med Case Rep</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 101101 [PMID: 32528841 DOI: 10.1016/j.rmcr.2020.101101]</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33 </w:t>
      </w:r>
      <w:r>
        <w:rPr>
          <w:rFonts w:ascii="Book Antiqua" w:hAnsi="Book Antiqua" w:eastAsia="Book Antiqua" w:cs="Book Antiqua"/>
          <w:b/>
          <w:bCs/>
          <w:color w:val="000000" w:themeColor="text1"/>
          <w14:textFill>
            <w14:solidFill>
              <w14:schemeClr w14:val="tx1"/>
            </w14:solidFill>
          </w14:textFill>
        </w:rPr>
        <w:t>Campoli C</w:t>
      </w:r>
      <w:r>
        <w:rPr>
          <w:rFonts w:ascii="Book Antiqua" w:hAnsi="Book Antiqua" w:eastAsia="Book Antiqua" w:cs="Book Antiqua"/>
          <w:color w:val="000000" w:themeColor="text1"/>
          <w14:textFill>
            <w14:solidFill>
              <w14:schemeClr w14:val="tx1"/>
            </w14:solidFill>
          </w14:textFill>
        </w:rPr>
        <w:t xml:space="preserve">, Ferraro S, Salfi N, Coladonato S, Morelli MC, Giannella M, Ambretti S, Viale PL, Cricca M. Diffuse primary cutaneous infection by </w:t>
      </w:r>
      <w:r>
        <w:rPr>
          <w:rFonts w:ascii="Book Antiqua" w:hAnsi="Book Antiqua" w:eastAsia="Book Antiqua" w:cs="Book Antiqua"/>
          <w:i/>
          <w:iCs/>
          <w:color w:val="000000" w:themeColor="text1"/>
          <w14:textFill>
            <w14:solidFill>
              <w14:schemeClr w14:val="tx1"/>
            </w14:solidFill>
          </w14:textFill>
        </w:rPr>
        <w:t>Alternaria alternata</w:t>
      </w:r>
      <w:r>
        <w:rPr>
          <w:rFonts w:ascii="Book Antiqua" w:hAnsi="Book Antiqua" w:eastAsia="Book Antiqua" w:cs="Book Antiqua"/>
          <w:color w:val="000000" w:themeColor="text1"/>
          <w14:textFill>
            <w14:solidFill>
              <w14:schemeClr w14:val="tx1"/>
            </w14:solidFill>
          </w14:textFill>
        </w:rPr>
        <w:t xml:space="preserve"> in a liver transplant recipient with pulmonary nocardiosis: Importance of prompt identification for clinical resolution. </w:t>
      </w:r>
      <w:r>
        <w:rPr>
          <w:rFonts w:ascii="Book Antiqua" w:hAnsi="Book Antiqua" w:eastAsia="Book Antiqua" w:cs="Book Antiqua"/>
          <w:i/>
          <w:iCs/>
          <w:color w:val="000000" w:themeColor="text1"/>
          <w14:textFill>
            <w14:solidFill>
              <w14:schemeClr w14:val="tx1"/>
            </w14:solidFill>
          </w14:textFill>
        </w:rPr>
        <w:t>Med Mycol Case Rep</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42-45 [PMID: 32420014 DOI: 10.1016/j.mmcr.2020.04.007]</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34 </w:t>
      </w:r>
      <w:r>
        <w:rPr>
          <w:rFonts w:ascii="Book Antiqua" w:hAnsi="Book Antiqua" w:eastAsia="Book Antiqua" w:cs="Book Antiqua"/>
          <w:b/>
          <w:bCs/>
          <w:color w:val="000000" w:themeColor="text1"/>
          <w14:textFill>
            <w14:solidFill>
              <w14:schemeClr w14:val="tx1"/>
            </w14:solidFill>
          </w14:textFill>
        </w:rPr>
        <w:t>Meena DS</w:t>
      </w:r>
      <w:r>
        <w:rPr>
          <w:rFonts w:ascii="Book Antiqua" w:hAnsi="Book Antiqua" w:eastAsia="Book Antiqua" w:cs="Book Antiqua"/>
          <w:color w:val="000000" w:themeColor="text1"/>
          <w14:textFill>
            <w14:solidFill>
              <w14:schemeClr w14:val="tx1"/>
            </w14:solidFill>
          </w14:textFill>
        </w:rPr>
        <w:t xml:space="preserve">, Kumar D, Bohra GK, Garg MK, Yadav P, Sharma A, Abhishek KS, Garg P, Pamnani J. Pulmonary Nocardiosis with Aspergillosis in a patient with COPD: A rare co-infection. </w:t>
      </w:r>
      <w:r>
        <w:rPr>
          <w:rFonts w:ascii="Book Antiqua" w:hAnsi="Book Antiqua" w:eastAsia="Book Antiqua" w:cs="Book Antiqua"/>
          <w:i/>
          <w:iCs/>
          <w:color w:val="000000" w:themeColor="text1"/>
          <w14:textFill>
            <w14:solidFill>
              <w14:schemeClr w14:val="tx1"/>
            </w14:solidFill>
          </w14:textFill>
        </w:rPr>
        <w:t>IDCases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e00766 [PMID: 32368494 DOI: 10.1016/j.idcr.2020.e00766]</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35 </w:t>
      </w:r>
      <w:r>
        <w:rPr>
          <w:rFonts w:ascii="Book Antiqua" w:hAnsi="Book Antiqua" w:eastAsia="Book Antiqua" w:cs="Book Antiqua"/>
          <w:b/>
          <w:bCs/>
          <w:color w:val="000000" w:themeColor="text1"/>
          <w14:textFill>
            <w14:solidFill>
              <w14:schemeClr w14:val="tx1"/>
            </w14:solidFill>
          </w14:textFill>
        </w:rPr>
        <w:t>Wu XK</w:t>
      </w:r>
      <w:r>
        <w:rPr>
          <w:rFonts w:ascii="Book Antiqua" w:hAnsi="Book Antiqua" w:eastAsia="Book Antiqua" w:cs="Book Antiqua"/>
          <w:color w:val="000000" w:themeColor="text1"/>
          <w14:textFill>
            <w14:solidFill>
              <w14:schemeClr w14:val="tx1"/>
            </w14:solidFill>
          </w14:textFill>
        </w:rPr>
        <w:t xml:space="preserve">, Lin Q. Pulmonary alveolar proteinosis complicated with nocardiosis: A case report and review of the literature.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2874-2883 [PMID: 33969072 DOI: 10.12998/wjcc.v9.i12.2874]</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36 </w:t>
      </w:r>
      <w:r>
        <w:rPr>
          <w:rFonts w:ascii="Book Antiqua" w:hAnsi="Book Antiqua" w:eastAsia="Book Antiqua" w:cs="Book Antiqua"/>
          <w:b/>
          <w:bCs/>
          <w:color w:val="000000" w:themeColor="text1"/>
          <w14:textFill>
            <w14:solidFill>
              <w14:schemeClr w14:val="tx1"/>
            </w14:solidFill>
          </w14:textFill>
        </w:rPr>
        <w:t>Atemnkeng F</w:t>
      </w:r>
      <w:r>
        <w:rPr>
          <w:rFonts w:ascii="Book Antiqua" w:hAnsi="Book Antiqua" w:eastAsia="Book Antiqua" w:cs="Book Antiqua"/>
          <w:color w:val="000000" w:themeColor="text1"/>
          <w14:textFill>
            <w14:solidFill>
              <w14:schemeClr w14:val="tx1"/>
            </w14:solidFill>
          </w14:textFill>
        </w:rPr>
        <w:t xml:space="preserve">, Ducey J, Khalil A, Elemam A, Diaz K. Diagnosing Disseminated Nocardiosis in a Patient With COVID-19 Pneumonia. </w:t>
      </w:r>
      <w:r>
        <w:rPr>
          <w:rFonts w:ascii="Book Antiqua" w:hAnsi="Book Antiqua" w:eastAsia="Book Antiqua" w:cs="Book Antiqua"/>
          <w:i/>
          <w:iCs/>
          <w:color w:val="000000" w:themeColor="text1"/>
          <w14:textFill>
            <w14:solidFill>
              <w14:schemeClr w14:val="tx1"/>
            </w14:solidFill>
          </w14:textFill>
        </w:rPr>
        <w:t>J Med Cases</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319-324 [PMID: 34429798 DOI: 10.14740/jmc3716]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autoSpaceDE w:val="0"/>
        <w:autoSpaceDN w:val="0"/>
        <w:adjustRightInd w:val="0"/>
        <w:snapToGrid w:val="0"/>
        <w:spacing w:line="360" w:lineRule="auto"/>
        <w:jc w:val="both"/>
        <w:rPr>
          <w:rFonts w:ascii="Book Antiqua" w:hAnsi="Book Antiqua" w:cs="TimesNewRomanPSMT"/>
          <w:color w:val="000000" w:themeColor="text1"/>
          <w:lang w:val="en-GB"/>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cs="TimesNewRomanPSMT"/>
          <w:color w:val="000000" w:themeColor="text1"/>
          <w:lang w:val="en-GB"/>
          <w14:textFill>
            <w14:solidFill>
              <w14:schemeClr w14:val="tx1"/>
            </w14:solidFill>
          </w14:textFill>
        </w:rPr>
        <w:t>Informed written consent was obtained from the patient for publication of this report and any accompanying images.</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All authors declare that there is no conflict of interest. The patient agreed with the case report.</w:t>
      </w:r>
    </w:p>
    <w:p>
      <w:pPr>
        <w:spacing w:line="360" w:lineRule="auto"/>
        <w:jc w:val="both"/>
        <w:rPr>
          <w:rFonts w:ascii="Book Antiqua" w:hAnsi="Book Antiqua"/>
          <w:color w:val="000000" w:themeColor="text1"/>
          <w14:textFill>
            <w14:solidFill>
              <w14:schemeClr w14:val="tx1"/>
            </w14:solidFill>
          </w14:textFill>
        </w:rPr>
      </w:pPr>
    </w:p>
    <w:p>
      <w:pPr>
        <w:autoSpaceDE w:val="0"/>
        <w:autoSpaceDN w:val="0"/>
        <w:adjustRightInd w:val="0"/>
        <w:snapToGrid w:val="0"/>
        <w:spacing w:line="360" w:lineRule="auto"/>
        <w:jc w:val="both"/>
        <w:rPr>
          <w:rFonts w:ascii="Book Antiqua" w:hAnsi="Book Antiqua" w:cs="TimesNewRomanPSMT"/>
          <w:color w:val="000000" w:themeColor="text1"/>
          <w:lang w:val="en-GB"/>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cs="TimesNewRomanPSMT"/>
          <w:color w:val="000000" w:themeColor="text1"/>
          <w:lang w:val="en-GB"/>
          <w14:textFill>
            <w14:solidFill>
              <w14:schemeClr w14:val="tx1"/>
            </w14:solidFill>
          </w14:textFill>
        </w:rPr>
        <w:t>All authors have read the CARE Checklist (201</w:t>
      </w:r>
      <w:r>
        <w:rPr>
          <w:rFonts w:ascii="Book Antiqua" w:hAnsi="Book Antiqua" w:cs="TimesNewRomanPSMT"/>
          <w:color w:val="000000" w:themeColor="text1"/>
          <w:lang w:val="en-GB" w:eastAsia="zh-CN"/>
          <w14:textFill>
            <w14:solidFill>
              <w14:schemeClr w14:val="tx1"/>
            </w14:solidFill>
          </w14:textFill>
        </w:rPr>
        <w:t>6</w:t>
      </w:r>
      <w:r>
        <w:rPr>
          <w:rFonts w:ascii="Book Antiqua" w:hAnsi="Book Antiqua" w:cs="TimesNewRomanPSMT"/>
          <w:color w:val="000000" w:themeColor="text1"/>
          <w:lang w:val="en-GB"/>
          <w14:textFill>
            <w14:solidFill>
              <w14:schemeClr w14:val="tx1"/>
            </w14:solidFill>
          </w14:textFill>
        </w:rPr>
        <w:t>), and the manuscript was prepared and revised according to the CARE Checklist (2016).</w:t>
      </w:r>
    </w:p>
    <w:p>
      <w:pPr>
        <w:spacing w:line="360" w:lineRule="auto"/>
        <w:jc w:val="both"/>
        <w:rPr>
          <w:rFonts w:ascii="Book Antiqua" w:hAnsi="Book Antiqua"/>
          <w:color w:val="000000" w:themeColor="text1"/>
          <w:lang w:val="en-GB"/>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January 25,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March 23,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Cs/>
          <w:color w:val="000000" w:themeColor="text1"/>
          <w14:textFill>
            <w14:solidFill>
              <w14:schemeClr w14:val="tx1"/>
            </w14:solidFill>
          </w14:textFill>
        </w:rPr>
        <w:t>August 21,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Medicine, research and experimental</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Grade B (Very good): </w:t>
      </w:r>
      <w:r>
        <w:rPr>
          <w:rFonts w:hint="eastAsia" w:ascii="Book Antiqua" w:hAnsi="Book Antiqua" w:cs="Book Antiqua"/>
          <w:color w:val="000000" w:themeColor="text1"/>
          <w:lang w:eastAsia="zh-CN"/>
          <w14:textFill>
            <w14:solidFill>
              <w14:schemeClr w14:val="tx1"/>
            </w14:solidFill>
          </w14:textFill>
        </w:rPr>
        <w:t>B</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 C</w:t>
      </w:r>
      <w:r>
        <w:rPr>
          <w:rFonts w:hint="eastAsia" w:ascii="Book Antiqua" w:hAnsi="Book Antiqua" w:cs="Book Antiqua"/>
          <w:color w:val="000000" w:themeColor="text1"/>
          <w:lang w:eastAsia="zh-CN"/>
          <w14:textFill>
            <w14:solidFill>
              <w14:schemeClr w14:val="tx1"/>
            </w14:solidFill>
          </w14:textFill>
        </w:rPr>
        <w:t>, C</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Grade D (Fair): </w:t>
      </w:r>
      <w:r>
        <w:rPr>
          <w:rFonts w:hint="eastAsia" w:ascii="Book Antiqua" w:hAnsi="Book Antiqua" w:cs="Book Antiqua"/>
          <w:color w:val="000000" w:themeColor="text1"/>
          <w:lang w:eastAsia="zh-CN"/>
          <w14:textFill>
            <w14:solidFill>
              <w14:schemeClr w14:val="tx1"/>
            </w14:solidFill>
          </w14:textFill>
        </w:rPr>
        <w:t>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Roganovic J, Croatia; Watanabe T, Japan</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Enomoto</w:t>
      </w:r>
      <w:r>
        <w:rPr>
          <w:rFonts w:hint="eastAsia" w:ascii="Book Antiqua" w:hAnsi="Book Antiqua" w:cs="Book Antiqua"/>
          <w:color w:val="000000" w:themeColor="text1"/>
          <w:lang w:eastAsia="zh-CN"/>
          <w14:textFill>
            <w14:solidFill>
              <w14:schemeClr w14:val="tx1"/>
            </w14:solidFill>
          </w14:textFill>
        </w:rPr>
        <w:t xml:space="preserve"> H, </w:t>
      </w:r>
      <w:r>
        <w:rPr>
          <w:rFonts w:ascii="Book Antiqua" w:hAnsi="Book Antiqua" w:cs="Book Antiqua"/>
          <w:color w:val="000000" w:themeColor="text1"/>
          <w:lang w:eastAsia="zh-CN"/>
          <w14:textFill>
            <w14:solidFill>
              <w14:schemeClr w14:val="tx1"/>
            </w14:solidFill>
          </w14:textFill>
        </w:rPr>
        <w:t>Japan</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cs="Book Antiqua"/>
          <w:color w:val="000000" w:themeColor="text1"/>
          <w:lang w:eastAsia="zh-CN"/>
          <w14:textFill>
            <w14:solidFill>
              <w14:schemeClr w14:val="tx1"/>
            </w14:solidFill>
          </w14:textFill>
        </w:rPr>
        <w:t>Wang LL</w:t>
      </w:r>
      <w:r>
        <w:rPr>
          <w:rFonts w:ascii="Book Antiqua" w:hAnsi="Book Antiqua" w:eastAsia="Book Antiqua" w:cs="Book Antiqua"/>
          <w:b/>
          <w:color w:val="000000" w:themeColor="text1"/>
          <w14:textFill>
            <w14:solidFill>
              <w14:schemeClr w14:val="tx1"/>
            </w14:solidFill>
          </w14:textFill>
        </w:rPr>
        <w:t xml:space="preserve"> L-Editor: </w:t>
      </w:r>
      <w:r>
        <w:rPr>
          <w:rFonts w:hint="eastAsia"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cs="Book Antiqua"/>
          <w:color w:val="000000" w:themeColor="text1"/>
          <w:lang w:eastAsia="zh-CN"/>
          <w14:textFill>
            <w14:solidFill>
              <w14:schemeClr w14:val="tx1"/>
            </w14:solidFill>
          </w14:textFill>
        </w:rPr>
        <w:t>Wang LL</w:t>
      </w: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r>
        <w:rPr>
          <w:rFonts w:ascii="Book Antiqua" w:hAnsi="Book Antiqua" w:cs="Book Antiqua"/>
          <w:b/>
          <w:color w:val="000000" w:themeColor="text1"/>
          <w:lang w:eastAsia="zh-CN"/>
          <w14:textFill>
            <w14:solidFill>
              <w14:schemeClr w14:val="tx1"/>
            </w14:solidFill>
          </w14:textFill>
        </w:rPr>
        <w:t>Figure Legends</w:t>
      </w: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cs="Book Antiqua"/>
          <w:b/>
          <w:color w:val="000000" w:themeColor="text1"/>
          <w:lang w:eastAsia="zh-CN"/>
          <w14:textFill>
            <w14:solidFill>
              <w14:schemeClr w14:val="tx1"/>
            </w14:solidFill>
          </w14:textFill>
        </w:rPr>
        <w:drawing>
          <wp:inline distT="0" distB="0" distL="114300" distR="114300">
            <wp:extent cx="5941060" cy="7566025"/>
            <wp:effectExtent l="0" t="0" r="2540" b="8255"/>
            <wp:docPr id="3" name="图片 3" descr="WJCC-10-101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120-g001"/>
                    <pic:cNvPicPr>
                      <a:picLocks noChangeAspect="1"/>
                    </pic:cNvPicPr>
                  </pic:nvPicPr>
                  <pic:blipFill>
                    <a:blip r:embed="rId5"/>
                    <a:stretch>
                      <a:fillRect/>
                    </a:stretch>
                  </pic:blipFill>
                  <pic:spPr>
                    <a:xfrm>
                      <a:off x="0" y="0"/>
                      <a:ext cx="5941060" cy="7566025"/>
                    </a:xfrm>
                    <a:prstGeom prst="rect">
                      <a:avLst/>
                    </a:prstGeom>
                  </pic:spPr>
                </pic:pic>
              </a:graphicData>
            </a:graphic>
          </wp:inline>
        </w:drawing>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1</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Computed </w:t>
      </w:r>
      <w:r>
        <w:rPr>
          <w:rFonts w:hint="eastAsia" w:ascii="Book Antiqua" w:hAnsi="Book Antiqua" w:cs="Book Antiqua"/>
          <w:b/>
          <w:bCs/>
          <w:color w:val="000000" w:themeColor="text1"/>
          <w:lang w:eastAsia="zh-CN"/>
          <w14:textFill>
            <w14:solidFill>
              <w14:schemeClr w14:val="tx1"/>
            </w14:solidFill>
          </w14:textFill>
        </w:rPr>
        <w:t>t</w:t>
      </w:r>
      <w:r>
        <w:rPr>
          <w:rFonts w:ascii="Book Antiqua" w:hAnsi="Book Antiqua" w:eastAsia="Book Antiqua" w:cs="Book Antiqua"/>
          <w:b/>
          <w:bCs/>
          <w:color w:val="000000" w:themeColor="text1"/>
          <w14:textFill>
            <w14:solidFill>
              <w14:schemeClr w14:val="tx1"/>
            </w14:solidFill>
          </w14:textFill>
        </w:rPr>
        <w:t>omography</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of right lung. </w:t>
      </w:r>
      <w:r>
        <w:rPr>
          <w:rFonts w:ascii="Book Antiqua" w:hAnsi="Book Antiqua" w:eastAsia="Book Antiqua" w:cs="Book Antiqua"/>
          <w:color w:val="000000" w:themeColor="text1"/>
          <w14:textFill>
            <w14:solidFill>
              <w14:schemeClr w14:val="tx1"/>
            </w14:solidFill>
          </w14:textFill>
        </w:rPr>
        <w:t>A:</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first scan demonstrated a mass and atelectasis in the right upper lobe on March </w:t>
      </w:r>
      <w:r>
        <w:rPr>
          <w:rFonts w:ascii="Book Antiqua" w:hAnsi="Book Antiqua" w:cs="Book Antiqua"/>
          <w:color w:val="000000" w:themeColor="text1"/>
          <w:lang w:eastAsia="zh-CN"/>
          <w14:textFill>
            <w14:solidFill>
              <w14:schemeClr w14:val="tx1"/>
            </w14:solidFill>
          </w14:textFill>
        </w:rPr>
        <w:t xml:space="preserve">20, </w:t>
      </w:r>
      <w:r>
        <w:rPr>
          <w:rFonts w:ascii="Book Antiqua" w:hAnsi="Book Antiqua" w:eastAsia="Book Antiqua" w:cs="Book Antiqua"/>
          <w:color w:val="000000" w:themeColor="text1"/>
          <w14:textFill>
            <w14:solidFill>
              <w14:schemeClr w14:val="tx1"/>
            </w14:solidFill>
          </w14:textFill>
        </w:rPr>
        <w:t xml:space="preserve">2020; B: Chest </w:t>
      </w:r>
      <w:r>
        <w:rPr>
          <w:rFonts w:ascii="Book Antiqua" w:hAnsi="Book Antiqua" w:eastAsia="Book Antiqua" w:cs="Book Antiqua"/>
          <w:bCs/>
          <w:color w:val="000000" w:themeColor="text1"/>
          <w14:textFill>
            <w14:solidFill>
              <w14:schemeClr w14:val="tx1"/>
            </w14:solidFill>
          </w14:textFill>
        </w:rPr>
        <w:t>Computed Tomography</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CT</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showed aggravation of the original lesion on April </w:t>
      </w:r>
      <w:r>
        <w:rPr>
          <w:rFonts w:ascii="Book Antiqua" w:hAnsi="Book Antiqua" w:cs="Book Antiqua"/>
          <w:color w:val="000000" w:themeColor="text1"/>
          <w:lang w:eastAsia="zh-CN"/>
          <w14:textFill>
            <w14:solidFill>
              <w14:schemeClr w14:val="tx1"/>
            </w14:solidFill>
          </w14:textFill>
        </w:rPr>
        <w:t xml:space="preserve">23, </w:t>
      </w:r>
      <w:r>
        <w:rPr>
          <w:rFonts w:ascii="Book Antiqua" w:hAnsi="Book Antiqua" w:eastAsia="Book Antiqua" w:cs="Book Antiqua"/>
          <w:color w:val="000000" w:themeColor="text1"/>
          <w14:textFill>
            <w14:solidFill>
              <w14:schemeClr w14:val="tx1"/>
            </w14:solidFill>
          </w14:textFill>
        </w:rPr>
        <w:t xml:space="preserve">2020; C: Positron emission tomography-CT showed that the mass lesions in the posterior segment of the right upper lobe had significantly increased glucose metabolism inhomogeneously on April </w:t>
      </w:r>
      <w:r>
        <w:rPr>
          <w:rFonts w:ascii="Book Antiqua" w:hAnsi="Book Antiqua" w:cs="Book Antiqua"/>
          <w:color w:val="000000" w:themeColor="text1"/>
          <w:lang w:eastAsia="zh-CN"/>
          <w14:textFill>
            <w14:solidFill>
              <w14:schemeClr w14:val="tx1"/>
            </w14:solidFill>
          </w14:textFill>
        </w:rPr>
        <w:t xml:space="preserve">27, </w:t>
      </w:r>
      <w:r>
        <w:rPr>
          <w:rFonts w:ascii="Book Antiqua" w:hAnsi="Book Antiqua" w:eastAsia="Book Antiqua" w:cs="Book Antiqua"/>
          <w:color w:val="000000" w:themeColor="text1"/>
          <w14:textFill>
            <w14:solidFill>
              <w14:schemeClr w14:val="tx1"/>
            </w14:solidFill>
          </w14:textFill>
        </w:rPr>
        <w:t xml:space="preserve">2020; D: Primary lesion of the right upper lobe </w:t>
      </w:r>
      <w:r>
        <w:rPr>
          <w:rFonts w:ascii="Book Antiqua" w:hAnsi="Book Antiqua" w:cs="Book Antiqua"/>
          <w:color w:val="000000" w:themeColor="text1"/>
          <w:lang w:eastAsia="zh-CN"/>
          <w14:textFill>
            <w14:solidFill>
              <w14:schemeClr w14:val="tx1"/>
            </w14:solidFill>
          </w14:textFill>
        </w:rPr>
        <w:t>reduced</w:t>
      </w:r>
      <w:r>
        <w:rPr>
          <w:rFonts w:ascii="Book Antiqua" w:hAnsi="Book Antiqua" w:eastAsia="Book Antiqua" w:cs="Book Antiqua"/>
          <w:color w:val="000000" w:themeColor="text1"/>
          <w14:textFill>
            <w14:solidFill>
              <w14:schemeClr w14:val="tx1"/>
            </w14:solidFill>
          </w14:textFill>
        </w:rPr>
        <w:t xml:space="preserve"> on May </w:t>
      </w:r>
      <w:r>
        <w:rPr>
          <w:rFonts w:ascii="Book Antiqua" w:hAnsi="Book Antiqua" w:cs="Book Antiqua"/>
          <w:color w:val="000000" w:themeColor="text1"/>
          <w:lang w:eastAsia="zh-CN"/>
          <w14:textFill>
            <w14:solidFill>
              <w14:schemeClr w14:val="tx1"/>
            </w14:solidFill>
          </w14:textFill>
        </w:rPr>
        <w:t xml:space="preserve">23, </w:t>
      </w:r>
      <w:r>
        <w:rPr>
          <w:rFonts w:ascii="Book Antiqua" w:hAnsi="Book Antiqua" w:eastAsia="Book Antiqua" w:cs="Book Antiqua"/>
          <w:color w:val="000000" w:themeColor="text1"/>
          <w14:textFill>
            <w14:solidFill>
              <w14:schemeClr w14:val="tx1"/>
            </w14:solidFill>
          </w14:textFill>
        </w:rPr>
        <w:t xml:space="preserve">2020; E-J: Repeated pulmonary CT showed primary lesion </w:t>
      </w:r>
      <w:r>
        <w:rPr>
          <w:rFonts w:ascii="Book Antiqua" w:hAnsi="Book Antiqua" w:cs="Book Antiqua"/>
          <w:color w:val="000000" w:themeColor="text1"/>
          <w:lang w:eastAsia="zh-CN"/>
          <w14:textFill>
            <w14:solidFill>
              <w14:schemeClr w14:val="tx1"/>
            </w14:solidFill>
          </w14:textFill>
        </w:rPr>
        <w:t xml:space="preserve">size </w:t>
      </w:r>
      <w:r>
        <w:rPr>
          <w:rFonts w:ascii="Book Antiqua" w:hAnsi="Book Antiqua" w:eastAsia="Book Antiqua" w:cs="Book Antiqua"/>
          <w:color w:val="000000" w:themeColor="text1"/>
          <w14:textFill>
            <w14:solidFill>
              <w14:schemeClr w14:val="tx1"/>
            </w14:solidFill>
          </w14:textFill>
        </w:rPr>
        <w:t>of the right upper lobe continued to decrease on different times, involv</w:t>
      </w:r>
      <w:r>
        <w:rPr>
          <w:rFonts w:ascii="Book Antiqua" w:hAnsi="Book Antiqua" w:cs="Book Antiqua"/>
          <w:color w:val="000000" w:themeColor="text1"/>
          <w:lang w:eastAsia="zh-CN"/>
          <w14:textFill>
            <w14:solidFill>
              <w14:schemeClr w14:val="tx1"/>
            </w14:solidFill>
          </w14:textFill>
        </w:rPr>
        <w:t>ing</w:t>
      </w:r>
      <w:r>
        <w:rPr>
          <w:rFonts w:ascii="Book Antiqua" w:hAnsi="Book Antiqua" w:eastAsia="Book Antiqua" w:cs="Book Antiqua"/>
          <w:color w:val="000000" w:themeColor="text1"/>
          <w14:textFill>
            <w14:solidFill>
              <w14:schemeClr w14:val="tx1"/>
            </w14:solidFill>
          </w14:textFill>
        </w:rPr>
        <w:t xml:space="preserve"> June </w:t>
      </w:r>
      <w:r>
        <w:rPr>
          <w:rFonts w:ascii="Book Antiqua" w:hAnsi="Book Antiqua" w:cs="Book Antiqua"/>
          <w:color w:val="000000" w:themeColor="text1"/>
          <w:lang w:eastAsia="zh-CN"/>
          <w14:textFill>
            <w14:solidFill>
              <w14:schemeClr w14:val="tx1"/>
            </w14:solidFill>
          </w14:textFill>
        </w:rPr>
        <w:t xml:space="preserve">22, </w:t>
      </w:r>
      <w:r>
        <w:rPr>
          <w:rFonts w:ascii="Book Antiqua" w:hAnsi="Book Antiqua" w:eastAsia="Book Antiqua" w:cs="Book Antiqua"/>
          <w:color w:val="000000" w:themeColor="text1"/>
          <w14:textFill>
            <w14:solidFill>
              <w14:schemeClr w14:val="tx1"/>
            </w14:solidFill>
          </w14:textFill>
        </w:rPr>
        <w:t xml:space="preserve">2020 (E), July </w:t>
      </w:r>
      <w:r>
        <w:rPr>
          <w:rFonts w:ascii="Book Antiqua" w:hAnsi="Book Antiqua" w:cs="Book Antiqua"/>
          <w:color w:val="000000" w:themeColor="text1"/>
          <w:lang w:eastAsia="zh-CN"/>
          <w14:textFill>
            <w14:solidFill>
              <w14:schemeClr w14:val="tx1"/>
            </w14:solidFill>
          </w14:textFill>
        </w:rPr>
        <w:t xml:space="preserve">29, </w:t>
      </w:r>
      <w:r>
        <w:rPr>
          <w:rFonts w:ascii="Book Antiqua" w:hAnsi="Book Antiqua" w:eastAsia="Book Antiqua" w:cs="Book Antiqua"/>
          <w:color w:val="000000" w:themeColor="text1"/>
          <w14:textFill>
            <w14:solidFill>
              <w14:schemeClr w14:val="tx1"/>
            </w14:solidFill>
          </w14:textFill>
        </w:rPr>
        <w:t xml:space="preserve">2020 (F), September </w:t>
      </w:r>
      <w:r>
        <w:rPr>
          <w:rFonts w:ascii="Book Antiqua" w:hAnsi="Book Antiqua" w:cs="Book Antiqua"/>
          <w:color w:val="000000" w:themeColor="text1"/>
          <w:lang w:eastAsia="zh-CN"/>
          <w14:textFill>
            <w14:solidFill>
              <w14:schemeClr w14:val="tx1"/>
            </w14:solidFill>
          </w14:textFill>
        </w:rPr>
        <w:t xml:space="preserve">8, </w:t>
      </w:r>
      <w:r>
        <w:rPr>
          <w:rFonts w:ascii="Book Antiqua" w:hAnsi="Book Antiqua" w:eastAsia="Book Antiqua" w:cs="Book Antiqua"/>
          <w:color w:val="000000" w:themeColor="text1"/>
          <w14:textFill>
            <w14:solidFill>
              <w14:schemeClr w14:val="tx1"/>
            </w14:solidFill>
          </w14:textFill>
        </w:rPr>
        <w:t xml:space="preserve">2020 (G), November </w:t>
      </w:r>
      <w:r>
        <w:rPr>
          <w:rFonts w:ascii="Book Antiqua" w:hAnsi="Book Antiqua" w:cs="Book Antiqua"/>
          <w:color w:val="000000" w:themeColor="text1"/>
          <w:lang w:eastAsia="zh-CN"/>
          <w14:textFill>
            <w14:solidFill>
              <w14:schemeClr w14:val="tx1"/>
            </w14:solidFill>
          </w14:textFill>
        </w:rPr>
        <w:t xml:space="preserve">20, </w:t>
      </w:r>
      <w:r>
        <w:rPr>
          <w:rFonts w:ascii="Book Antiqua" w:hAnsi="Book Antiqua" w:eastAsia="Book Antiqua" w:cs="Book Antiqua"/>
          <w:color w:val="000000" w:themeColor="text1"/>
          <w14:textFill>
            <w14:solidFill>
              <w14:schemeClr w14:val="tx1"/>
            </w14:solidFill>
          </w14:textFill>
        </w:rPr>
        <w:t xml:space="preserve">2020 (H), January </w:t>
      </w:r>
      <w:r>
        <w:rPr>
          <w:rFonts w:ascii="Book Antiqua" w:hAnsi="Book Antiqua" w:cs="Book Antiqua"/>
          <w:color w:val="000000" w:themeColor="text1"/>
          <w:lang w:eastAsia="zh-CN"/>
          <w14:textFill>
            <w14:solidFill>
              <w14:schemeClr w14:val="tx1"/>
            </w14:solidFill>
          </w14:textFill>
        </w:rPr>
        <w:t xml:space="preserve">7, </w:t>
      </w:r>
      <w:r>
        <w:rPr>
          <w:rFonts w:ascii="Book Antiqua" w:hAnsi="Book Antiqua" w:eastAsia="Book Antiqua" w:cs="Book Antiqua"/>
          <w:color w:val="000000" w:themeColor="text1"/>
          <w14:textFill>
            <w14:solidFill>
              <w14:schemeClr w14:val="tx1"/>
            </w14:solidFill>
          </w14:textFill>
        </w:rPr>
        <w:t xml:space="preserve">2021 (I) and March </w:t>
      </w:r>
      <w:r>
        <w:rPr>
          <w:rFonts w:ascii="Book Antiqua" w:hAnsi="Book Antiqua" w:cs="Book Antiqua"/>
          <w:color w:val="000000" w:themeColor="text1"/>
          <w:lang w:eastAsia="zh-CN"/>
          <w14:textFill>
            <w14:solidFill>
              <w14:schemeClr w14:val="tx1"/>
            </w14:solidFill>
          </w14:textFill>
        </w:rPr>
        <w:t xml:space="preserve">25, </w:t>
      </w:r>
      <w:r>
        <w:rPr>
          <w:rFonts w:ascii="Book Antiqua" w:hAnsi="Book Antiqua" w:eastAsia="Book Antiqua" w:cs="Book Antiqua"/>
          <w:color w:val="000000" w:themeColor="text1"/>
          <w14:textFill>
            <w14:solidFill>
              <w14:schemeClr w14:val="tx1"/>
            </w14:solidFill>
          </w14:textFill>
        </w:rPr>
        <w:t>2021 (J). CT: Computed tomography.</w:t>
      </w:r>
    </w:p>
    <w:p>
      <w:pPr>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hint="eastAsia" w:ascii="Book Antiqua" w:hAnsi="Book Antiqua" w:eastAsiaTheme="minorEastAsia"/>
          <w:color w:val="000000" w:themeColor="text1"/>
          <w:lang w:eastAsia="zh-CN"/>
          <w14:textFill>
            <w14:solidFill>
              <w14:schemeClr w14:val="tx1"/>
            </w14:solidFill>
          </w14:textFill>
        </w:rPr>
      </w:pPr>
      <w:r>
        <w:rPr>
          <w:rFonts w:hint="eastAsia" w:ascii="Book Antiqua" w:hAnsi="Book Antiqua" w:eastAsiaTheme="minorEastAsia"/>
          <w:color w:val="000000" w:themeColor="text1"/>
          <w:lang w:eastAsia="zh-CN"/>
          <w14:textFill>
            <w14:solidFill>
              <w14:schemeClr w14:val="tx1"/>
            </w14:solidFill>
          </w14:textFill>
        </w:rPr>
        <w:drawing>
          <wp:inline distT="0" distB="0" distL="114300" distR="114300">
            <wp:extent cx="3975100" cy="5765165"/>
            <wp:effectExtent l="0" t="0" r="2540" b="10795"/>
            <wp:docPr id="7" name="图片 7" descr="WJCC-10-101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120-g002"/>
                    <pic:cNvPicPr>
                      <a:picLocks noChangeAspect="1"/>
                    </pic:cNvPicPr>
                  </pic:nvPicPr>
                  <pic:blipFill>
                    <a:blip r:embed="rId6"/>
                    <a:stretch>
                      <a:fillRect/>
                    </a:stretch>
                  </pic:blipFill>
                  <pic:spPr>
                    <a:xfrm>
                      <a:off x="0" y="0"/>
                      <a:ext cx="3975100" cy="576516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2</w:t>
      </w:r>
      <w:r>
        <w:rPr>
          <w:rFonts w:hint="eastAsia" w:ascii="Book Antiqua" w:hAnsi="Book Antiqua" w:cs="Book Antiqua"/>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 xml:space="preserve">Brain </w:t>
      </w:r>
      <w:r>
        <w:rPr>
          <w:rFonts w:hint="eastAsia" w:ascii="Book Antiqua" w:hAnsi="Book Antiqua" w:cs="Book Antiqua"/>
          <w:b/>
          <w:bCs/>
          <w:color w:val="000000" w:themeColor="text1"/>
          <w:lang w:eastAsia="zh-CN"/>
          <w14:textFill>
            <w14:solidFill>
              <w14:schemeClr w14:val="tx1"/>
            </w14:solidFill>
          </w14:textFill>
        </w:rPr>
        <w:t>m</w:t>
      </w:r>
      <w:r>
        <w:rPr>
          <w:rFonts w:ascii="Book Antiqua" w:hAnsi="Book Antiqua" w:eastAsia="Book Antiqua" w:cs="Book Antiqua"/>
          <w:b/>
          <w:bCs/>
          <w:color w:val="000000" w:themeColor="text1"/>
          <w14:textFill>
            <w14:solidFill>
              <w14:schemeClr w14:val="tx1"/>
            </w14:solidFill>
          </w14:textFill>
        </w:rPr>
        <w:t>agnetic resonance imaging</w:t>
      </w:r>
      <w:r>
        <w:rPr>
          <w:rFonts w:ascii="Book Antiqua" w:hAnsi="Book Antiqua" w:cs="Book Antiqua"/>
          <w:b/>
          <w:bCs/>
          <w:color w:val="000000" w:themeColor="text1"/>
          <w:lang w:eastAsia="zh-CN"/>
          <w14:textFill>
            <w14:solidFill>
              <w14:schemeClr w14:val="tx1"/>
            </w14:solidFill>
          </w14:textFill>
        </w:rPr>
        <w:t xml:space="preserve"> findings</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 Cranial </w:t>
      </w:r>
      <w:r>
        <w:rPr>
          <w:rFonts w:hint="eastAsia"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 xml:space="preserve">agnetic resonance imaging </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MRI</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showed multiple lesions in the left occipital lobe, right cerebellar hemisphere and left frontal lobe on May </w:t>
      </w:r>
      <w:r>
        <w:rPr>
          <w:rFonts w:ascii="Book Antiqua" w:hAnsi="Book Antiqua" w:cs="Book Antiqua"/>
          <w:color w:val="000000" w:themeColor="text1"/>
          <w:lang w:eastAsia="zh-CN"/>
          <w14:textFill>
            <w14:solidFill>
              <w14:schemeClr w14:val="tx1"/>
            </w14:solidFill>
          </w14:textFill>
        </w:rPr>
        <w:t xml:space="preserve">13, </w:t>
      </w:r>
      <w:r>
        <w:rPr>
          <w:rFonts w:ascii="Book Antiqua" w:hAnsi="Book Antiqua" w:eastAsia="Book Antiqua" w:cs="Book Antiqua"/>
          <w:color w:val="000000" w:themeColor="text1"/>
          <w14:textFill>
            <w14:solidFill>
              <w14:schemeClr w14:val="tx1"/>
            </w14:solidFill>
          </w14:textFill>
        </w:rPr>
        <w:t>2020</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B: Cranial MRI showed </w:t>
      </w:r>
      <w:r>
        <w:rPr>
          <w:rFonts w:ascii="Book Antiqua" w:hAnsi="Book Antiqua" w:cs="Book Antiqua"/>
          <w:color w:val="000000" w:themeColor="text1"/>
          <w:lang w:eastAsia="zh-CN"/>
          <w14:textFill>
            <w14:solidFill>
              <w14:schemeClr w14:val="tx1"/>
            </w14:solidFill>
          </w14:textFill>
        </w:rPr>
        <w:t xml:space="preserve">a </w:t>
      </w:r>
      <w:r>
        <w:rPr>
          <w:rFonts w:ascii="Book Antiqua" w:hAnsi="Book Antiqua" w:eastAsia="Book Antiqua" w:cs="Book Antiqua"/>
          <w:color w:val="000000" w:themeColor="text1"/>
          <w14:textFill>
            <w14:solidFill>
              <w14:schemeClr w14:val="tx1"/>
            </w14:solidFill>
          </w14:textFill>
        </w:rPr>
        <w:t xml:space="preserve">decrease of the original lesion on June </w:t>
      </w:r>
      <w:r>
        <w:rPr>
          <w:rFonts w:ascii="Book Antiqua" w:hAnsi="Book Antiqua" w:cs="Book Antiqua"/>
          <w:color w:val="000000" w:themeColor="text1"/>
          <w:lang w:eastAsia="zh-CN"/>
          <w14:textFill>
            <w14:solidFill>
              <w14:schemeClr w14:val="tx1"/>
            </w14:solidFill>
          </w14:textFill>
        </w:rPr>
        <w:t xml:space="preserve">15, </w:t>
      </w:r>
      <w:r>
        <w:rPr>
          <w:rFonts w:ascii="Book Antiqua" w:hAnsi="Book Antiqua" w:eastAsia="Book Antiqua" w:cs="Book Antiqua"/>
          <w:color w:val="000000" w:themeColor="text1"/>
          <w14:textFill>
            <w14:solidFill>
              <w14:schemeClr w14:val="tx1"/>
            </w14:solidFill>
          </w14:textFill>
        </w:rPr>
        <w:t>2020</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C: Primary lesions of the brain maintained shrinkage on July </w:t>
      </w:r>
      <w:r>
        <w:rPr>
          <w:rFonts w:ascii="Book Antiqua" w:hAnsi="Book Antiqua" w:cs="Book Antiqua"/>
          <w:color w:val="000000" w:themeColor="text1"/>
          <w:lang w:eastAsia="zh-CN"/>
          <w14:textFill>
            <w14:solidFill>
              <w14:schemeClr w14:val="tx1"/>
            </w14:solidFill>
          </w14:textFill>
        </w:rPr>
        <w:t xml:space="preserve">31, </w:t>
      </w:r>
      <w:r>
        <w:rPr>
          <w:rFonts w:ascii="Book Antiqua" w:hAnsi="Book Antiqua" w:eastAsia="Book Antiqua" w:cs="Book Antiqua"/>
          <w:color w:val="000000" w:themeColor="text1"/>
          <w14:textFill>
            <w14:solidFill>
              <w14:schemeClr w14:val="tx1"/>
            </w14:solidFill>
          </w14:textFill>
        </w:rPr>
        <w:t>2020</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D: Primary lesions of the brain almost completely disappeared on September</w:t>
      </w:r>
      <w:r>
        <w:rPr>
          <w:rFonts w:ascii="Book Antiqua" w:hAnsi="Book Antiqua" w:cs="Book Antiqua"/>
          <w:color w:val="000000" w:themeColor="text1"/>
          <w:lang w:eastAsia="zh-CN"/>
          <w14:textFill>
            <w14:solidFill>
              <w14:schemeClr w14:val="tx1"/>
            </w14:solidFill>
          </w14:textFill>
        </w:rPr>
        <w:t xml:space="preserve"> 10</w:t>
      </w:r>
      <w:r>
        <w:rPr>
          <w:rFonts w:ascii="Book Antiqua" w:hAnsi="Book Antiqua" w:eastAsia="Book Antiqua" w:cs="Book Antiqua"/>
          <w:color w:val="000000" w:themeColor="text1"/>
          <w14:textFill>
            <w14:solidFill>
              <w14:schemeClr w14:val="tx1"/>
            </w14:solidFill>
          </w14:textFill>
        </w:rPr>
        <w:t>, 2020. MRI: Magnetic resonance imaging</w:t>
      </w:r>
      <w:r>
        <w:rPr>
          <w:rFonts w:hint="eastAsia" w:ascii="Book Antiqua" w:hAnsi="Book Antiqua" w:cs="Book Antiqu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hint="eastAsia" w:ascii="Book Antiqua" w:hAnsi="Book Antiqua" w:eastAsiaTheme="minorEastAsia"/>
          <w:color w:val="000000" w:themeColor="text1"/>
          <w:lang w:eastAsia="zh-CN"/>
          <w14:textFill>
            <w14:solidFill>
              <w14:schemeClr w14:val="tx1"/>
            </w14:solidFill>
          </w14:textFill>
        </w:rPr>
      </w:pPr>
      <w:bookmarkStart w:id="2" w:name="_GoBack"/>
      <w:r>
        <w:rPr>
          <w:rFonts w:hint="eastAsia" w:ascii="Book Antiqua" w:hAnsi="Book Antiqua" w:eastAsiaTheme="minorEastAsia"/>
          <w:color w:val="000000" w:themeColor="text1"/>
          <w:lang w:eastAsia="zh-CN"/>
          <w14:textFill>
            <w14:solidFill>
              <w14:schemeClr w14:val="tx1"/>
            </w14:solidFill>
          </w14:textFill>
        </w:rPr>
        <w:drawing>
          <wp:inline distT="0" distB="0" distL="114300" distR="114300">
            <wp:extent cx="4914900" cy="3822065"/>
            <wp:effectExtent l="0" t="0" r="7620" b="3175"/>
            <wp:docPr id="8" name="图片 8" descr="WJCC-10-101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120-g003"/>
                    <pic:cNvPicPr>
                      <a:picLocks noChangeAspect="1"/>
                    </pic:cNvPicPr>
                  </pic:nvPicPr>
                  <pic:blipFill>
                    <a:blip r:embed="rId7"/>
                    <a:stretch>
                      <a:fillRect/>
                    </a:stretch>
                  </pic:blipFill>
                  <pic:spPr>
                    <a:xfrm>
                      <a:off x="0" y="0"/>
                      <a:ext cx="4914900" cy="3822065"/>
                    </a:xfrm>
                    <a:prstGeom prst="rect">
                      <a:avLst/>
                    </a:prstGeom>
                  </pic:spPr>
                </pic:pic>
              </a:graphicData>
            </a:graphic>
          </wp:inline>
        </w:drawing>
      </w:r>
      <w:bookmarkEnd w:id="2"/>
    </w:p>
    <w:p>
      <w:pPr>
        <w:spacing w:line="360" w:lineRule="auto"/>
        <w:jc w:val="both"/>
        <w:rPr>
          <w:rFonts w:ascii="Book Antiqua" w:hAnsi="Book Antiqua" w:cs="Book Antiqua"/>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3</w:t>
      </w:r>
      <w:r>
        <w:rPr>
          <w:rFonts w:hint="eastAsia" w:ascii="Book Antiqua" w:hAnsi="Book Antiqua" w:cs="Book Antiqua"/>
          <w:b/>
          <w:bCs/>
          <w:color w:val="000000" w:themeColor="text1"/>
          <w:lang w:eastAsia="zh-CN"/>
          <w14:textFill>
            <w14:solidFill>
              <w14:schemeClr w14:val="tx1"/>
            </w14:solidFill>
          </w14:textFill>
        </w:rPr>
        <w:t xml:space="preserve"> </w:t>
      </w:r>
      <w:r>
        <w:rPr>
          <w:rFonts w:ascii="Book Antiqua" w:hAnsi="Book Antiqua" w:eastAsia="Book Antiqua" w:cs="Book Antiqua"/>
          <w:b/>
          <w:bCs/>
          <w:color w:val="000000" w:themeColor="text1"/>
          <w14:textFill>
            <w14:solidFill>
              <w14:schemeClr w14:val="tx1"/>
            </w14:solidFill>
          </w14:textFill>
        </w:rPr>
        <w:t>Chronic inflammation with acute activity and fibrous hyperplasia, with focal necrosis in the right upper lobe.</w:t>
      </w:r>
      <w:r>
        <w:rPr>
          <w:rFonts w:hint="eastAsia" w:ascii="Book Antiqua" w:hAnsi="Book Antiqua" w:cs="Book Antiqua"/>
          <w:b/>
          <w:bCs/>
          <w:color w:val="000000" w:themeColor="text1"/>
          <w:lang w:eastAsia="zh-CN"/>
          <w14:textFill>
            <w14:solidFill>
              <w14:schemeClr w14:val="tx1"/>
            </w14:solidFill>
          </w14:textFill>
        </w:rPr>
        <w:t xml:space="preserve"> </w:t>
      </w:r>
      <w:r>
        <w:rPr>
          <w:rFonts w:hint="eastAsia" w:ascii="Book Antiqua" w:hAnsi="Book Antiqua" w:cs="Book Antiqua"/>
          <w:bCs/>
          <w:color w:val="000000" w:themeColor="text1"/>
          <w:lang w:eastAsia="zh-CN"/>
          <w14:textFill>
            <w14:solidFill>
              <w14:schemeClr w14:val="tx1"/>
            </w14:solidFill>
          </w14:textFill>
        </w:rPr>
        <w:t>A</w:t>
      </w:r>
      <w:r>
        <w:rPr>
          <w:rFonts w:ascii="Book Antiqua" w:hAnsi="Book Antiqua" w:cs="Book Antiqua"/>
          <w:bCs/>
          <w:color w:val="000000" w:themeColor="text1"/>
          <w:lang w:eastAsia="zh-CN"/>
          <w14:textFill>
            <w14:solidFill>
              <w14:schemeClr w14:val="tx1"/>
            </w14:solidFill>
          </w14:textFill>
        </w:rPr>
        <w:t xml:space="preserve">: </w:t>
      </w:r>
      <w:r>
        <w:rPr>
          <w:rFonts w:hint="eastAsia" w:ascii="Book Antiqua" w:hAnsi="Book Antiqua" w:cs="Book Antiqua"/>
          <w:bCs/>
          <w:color w:val="000000" w:themeColor="text1"/>
          <w:lang w:eastAsia="zh-CN"/>
          <w14:textFill>
            <w14:solidFill>
              <w14:schemeClr w14:val="tx1"/>
            </w14:solidFill>
          </w14:textFill>
        </w:rPr>
        <w:t>A</w:t>
      </w:r>
      <w:r>
        <w:rPr>
          <w:rFonts w:ascii="Book Antiqua" w:hAnsi="Book Antiqua" w:cs="Book Antiqua"/>
          <w:bCs/>
          <w:color w:val="000000" w:themeColor="text1"/>
          <w:lang w:eastAsia="zh-CN"/>
          <w14:textFill>
            <w14:solidFill>
              <w14:schemeClr w14:val="tx1"/>
            </w14:solidFill>
          </w14:textFill>
        </w:rPr>
        <w:t xml:space="preserve"> large number of chronic inflammatory cells with a small amount of neutrophil infiltration in hyperplastic fibrous connective tissue</w:t>
      </w:r>
      <w:r>
        <w:rPr>
          <w:rFonts w:hint="eastAsia" w:ascii="Book Antiqua" w:hAnsi="Book Antiqua" w:cs="Book Antiqua"/>
          <w:bCs/>
          <w:color w:val="000000" w:themeColor="text1"/>
          <w:lang w:eastAsia="zh-CN"/>
          <w14:textFill>
            <w14:solidFill>
              <w14:schemeClr w14:val="tx1"/>
            </w14:solidFill>
          </w14:textFill>
        </w:rPr>
        <w:t xml:space="preserve"> (</w:t>
      </w:r>
      <w:r>
        <w:rPr>
          <w:rFonts w:ascii="Book Antiqua" w:hAnsi="Book Antiqua" w:cs="Book Antiqua"/>
          <w:bCs/>
          <w:color w:val="000000" w:themeColor="text1"/>
          <w:lang w:eastAsia="zh-CN"/>
          <w14:textFill>
            <w14:solidFill>
              <w14:schemeClr w14:val="tx1"/>
            </w14:solidFill>
          </w14:textFill>
        </w:rPr>
        <w:t>Original magnification: 10</w:t>
      </w:r>
      <w:r>
        <w:rPr>
          <w:rFonts w:hint="eastAsia" w:ascii="Book Antiqua" w:hAnsi="Book Antiqua" w:cs="Book Antiqua"/>
          <w:bCs/>
          <w:color w:val="000000" w:themeColor="text1"/>
          <w:lang w:eastAsia="zh-CN"/>
          <w14:textFill>
            <w14:solidFill>
              <w14:schemeClr w14:val="tx1"/>
            </w14:solidFill>
          </w14:textFill>
        </w:rPr>
        <w:t>0</w:t>
      </w:r>
      <w:r>
        <w:rPr>
          <w:rFonts w:ascii="Book Antiqua" w:hAnsi="Book Antiqua" w:cs="Book Antiqua"/>
          <w:bCs/>
          <w:color w:val="000000" w:themeColor="text1"/>
          <w:lang w:eastAsia="zh-CN"/>
          <w14:textFill>
            <w14:solidFill>
              <w14:schemeClr w14:val="tx1"/>
            </w14:solidFill>
          </w14:textFill>
        </w:rPr>
        <w:t xml:space="preserve"> ×; scale bar: 100 μm</w:t>
      </w:r>
      <w:r>
        <w:rPr>
          <w:rFonts w:hint="eastAsia" w:ascii="Book Antiqua" w:hAnsi="Book Antiqua" w:cs="Book Antiqua"/>
          <w:bCs/>
          <w:color w:val="000000" w:themeColor="text1"/>
          <w:lang w:eastAsia="zh-CN"/>
          <w14:textFill>
            <w14:solidFill>
              <w14:schemeClr w14:val="tx1"/>
            </w14:solidFill>
          </w14:textFill>
        </w:rPr>
        <w:t>);</w:t>
      </w:r>
      <w:r>
        <w:rPr>
          <w:rFonts w:ascii="Book Antiqua" w:hAnsi="Book Antiqua" w:cs="Book Antiqua"/>
          <w:bCs/>
          <w:color w:val="000000" w:themeColor="text1"/>
          <w:lang w:eastAsia="zh-CN"/>
          <w14:textFill>
            <w14:solidFill>
              <w14:schemeClr w14:val="tx1"/>
            </w14:solidFill>
          </w14:textFill>
        </w:rPr>
        <w:t xml:space="preserve"> </w:t>
      </w:r>
      <w:r>
        <w:rPr>
          <w:rFonts w:hint="eastAsia" w:ascii="Book Antiqua" w:hAnsi="Book Antiqua" w:cs="Book Antiqua"/>
          <w:bCs/>
          <w:color w:val="000000" w:themeColor="text1"/>
          <w:lang w:eastAsia="zh-CN"/>
          <w14:textFill>
            <w14:solidFill>
              <w14:schemeClr w14:val="tx1"/>
            </w14:solidFill>
          </w14:textFill>
        </w:rPr>
        <w:t xml:space="preserve">B: </w:t>
      </w:r>
      <w:r>
        <w:rPr>
          <w:rFonts w:ascii="Book Antiqua" w:hAnsi="Book Antiqua" w:cs="Book Antiqua"/>
          <w:bCs/>
          <w:color w:val="000000" w:themeColor="text1"/>
          <w:lang w:eastAsia="zh-CN"/>
          <w14:textFill>
            <w14:solidFill>
              <w14:schemeClr w14:val="tx1"/>
            </w14:solidFill>
          </w14:textFill>
        </w:rPr>
        <w:t>There are collagen hyperplasia and no obvious alveolar epithelial cells in some areas</w:t>
      </w:r>
      <w:r>
        <w:rPr>
          <w:rFonts w:hint="eastAsia" w:ascii="Book Antiqua" w:hAnsi="Book Antiqua" w:cs="Book Antiqua"/>
          <w:bCs/>
          <w:color w:val="000000" w:themeColor="text1"/>
          <w:lang w:eastAsia="zh-CN"/>
          <w14:textFill>
            <w14:solidFill>
              <w14:schemeClr w14:val="tx1"/>
            </w14:solidFill>
          </w14:textFill>
        </w:rPr>
        <w:t xml:space="preserve"> (</w:t>
      </w:r>
      <w:r>
        <w:rPr>
          <w:rFonts w:ascii="Book Antiqua" w:hAnsi="Book Antiqua" w:cs="Book Antiqua"/>
          <w:bCs/>
          <w:color w:val="000000" w:themeColor="text1"/>
          <w:lang w:eastAsia="zh-CN"/>
          <w14:textFill>
            <w14:solidFill>
              <w14:schemeClr w14:val="tx1"/>
            </w14:solidFill>
          </w14:textFill>
        </w:rPr>
        <w:t xml:space="preserve">Original magnification: </w:t>
      </w:r>
      <w:r>
        <w:rPr>
          <w:rFonts w:hint="eastAsia" w:ascii="Book Antiqua" w:hAnsi="Book Antiqua" w:cs="Book Antiqua"/>
          <w:bCs/>
          <w:color w:val="000000" w:themeColor="text1"/>
          <w:lang w:eastAsia="zh-CN"/>
          <w14:textFill>
            <w14:solidFill>
              <w14:schemeClr w14:val="tx1"/>
            </w14:solidFill>
          </w14:textFill>
        </w:rPr>
        <w:t>2</w:t>
      </w:r>
      <w:r>
        <w:rPr>
          <w:rFonts w:ascii="Book Antiqua" w:hAnsi="Book Antiqua" w:cs="Book Antiqua"/>
          <w:bCs/>
          <w:color w:val="000000" w:themeColor="text1"/>
          <w:lang w:eastAsia="zh-CN"/>
          <w14:textFill>
            <w14:solidFill>
              <w14:schemeClr w14:val="tx1"/>
            </w14:solidFill>
          </w14:textFill>
        </w:rPr>
        <w:t>00 ×; scale bar: 100 μm</w:t>
      </w:r>
      <w:r>
        <w:rPr>
          <w:rFonts w:hint="eastAsia" w:ascii="Book Antiqua" w:hAnsi="Book Antiqua" w:cs="Book Antiqua"/>
          <w:bCs/>
          <w:color w:val="000000" w:themeColor="text1"/>
          <w:lang w:eastAsia="zh-CN"/>
          <w14:textFill>
            <w14:solidFill>
              <w14:schemeClr w14:val="tx1"/>
            </w14:solidFill>
          </w14:textFill>
        </w:rPr>
        <w:t>);</w:t>
      </w:r>
      <w:r>
        <w:rPr>
          <w:rFonts w:ascii="Book Antiqua" w:hAnsi="Book Antiqua" w:cs="Book Antiqua"/>
          <w:bCs/>
          <w:color w:val="000000" w:themeColor="text1"/>
          <w:lang w:eastAsia="zh-CN"/>
          <w14:textFill>
            <w14:solidFill>
              <w14:schemeClr w14:val="tx1"/>
            </w14:solidFill>
          </w14:textFill>
        </w:rPr>
        <w:t xml:space="preserve"> </w:t>
      </w:r>
      <w:r>
        <w:rPr>
          <w:rFonts w:hint="eastAsia" w:ascii="Book Antiqua" w:hAnsi="Book Antiqua" w:cs="Book Antiqua"/>
          <w:bCs/>
          <w:color w:val="000000" w:themeColor="text1"/>
          <w:lang w:eastAsia="zh-CN"/>
          <w14:textFill>
            <w14:solidFill>
              <w14:schemeClr w14:val="tx1"/>
            </w14:solidFill>
          </w14:textFill>
        </w:rPr>
        <w:t xml:space="preserve">C and D: </w:t>
      </w:r>
      <w:r>
        <w:rPr>
          <w:rFonts w:ascii="Book Antiqua" w:hAnsi="Book Antiqua" w:cs="Book Antiqua"/>
          <w:bCs/>
          <w:color w:val="000000" w:themeColor="text1"/>
          <w:lang w:eastAsia="zh-CN"/>
          <w14:textFill>
            <w14:solidFill>
              <w14:schemeClr w14:val="tx1"/>
            </w14:solidFill>
          </w14:textFill>
        </w:rPr>
        <w:t>In addition, there are phagocytic cells that engulf carbonic acid in some areas, inflammatory cell infiltration and capillary endothelial cells in the interstitium</w:t>
      </w:r>
      <w:r>
        <w:rPr>
          <w:rFonts w:hint="eastAsia" w:ascii="Book Antiqua" w:hAnsi="Book Antiqua" w:cs="Book Antiqua"/>
          <w:bCs/>
          <w:color w:val="000000" w:themeColor="text1"/>
          <w:lang w:eastAsia="zh-CN"/>
          <w14:textFill>
            <w14:solidFill>
              <w14:schemeClr w14:val="tx1"/>
            </w14:solidFill>
          </w14:textFill>
        </w:rPr>
        <w:t xml:space="preserve"> (C</w:t>
      </w:r>
      <w:r>
        <w:rPr>
          <w:rFonts w:ascii="Book Antiqua" w:hAnsi="Book Antiqua" w:cs="Book Antiqua"/>
          <w:bCs/>
          <w:color w:val="000000" w:themeColor="text1"/>
          <w:lang w:eastAsia="zh-CN"/>
          <w14:textFill>
            <w14:solidFill>
              <w14:schemeClr w14:val="tx1"/>
            </w14:solidFill>
          </w14:textFill>
        </w:rPr>
        <w:t xml:space="preserve">: </w:t>
      </w:r>
      <w:r>
        <w:rPr>
          <w:rFonts w:hint="eastAsia" w:ascii="Book Antiqua" w:hAnsi="Book Antiqua" w:cs="Book Antiqua"/>
          <w:bCs/>
          <w:color w:val="000000" w:themeColor="text1"/>
          <w:lang w:eastAsia="zh-CN"/>
          <w14:textFill>
            <w14:solidFill>
              <w14:schemeClr w14:val="tx1"/>
            </w14:solidFill>
          </w14:textFill>
        </w:rPr>
        <w:t>2</w:t>
      </w:r>
      <w:r>
        <w:rPr>
          <w:rFonts w:ascii="Book Antiqua" w:hAnsi="Book Antiqua" w:cs="Book Antiqua"/>
          <w:bCs/>
          <w:color w:val="000000" w:themeColor="text1"/>
          <w:lang w:eastAsia="zh-CN"/>
          <w14:textFill>
            <w14:solidFill>
              <w14:schemeClr w14:val="tx1"/>
            </w14:solidFill>
          </w14:textFill>
        </w:rPr>
        <w:t>00 ×; scale bar: 100 μm</w:t>
      </w:r>
      <w:r>
        <w:rPr>
          <w:rFonts w:hint="eastAsia" w:ascii="Book Antiqua" w:hAnsi="Book Antiqua" w:cs="Book Antiqua"/>
          <w:bCs/>
          <w:color w:val="000000" w:themeColor="text1"/>
          <w:lang w:eastAsia="zh-CN"/>
          <w14:textFill>
            <w14:solidFill>
              <w14:schemeClr w14:val="tx1"/>
            </w14:solidFill>
          </w14:textFill>
        </w:rPr>
        <w:t>; D: 4</w:t>
      </w:r>
      <w:r>
        <w:rPr>
          <w:rFonts w:ascii="Book Antiqua" w:hAnsi="Book Antiqua" w:cs="Book Antiqua"/>
          <w:bCs/>
          <w:color w:val="000000" w:themeColor="text1"/>
          <w:lang w:eastAsia="zh-CN"/>
          <w14:textFill>
            <w14:solidFill>
              <w14:schemeClr w14:val="tx1"/>
            </w14:solidFill>
          </w14:textFill>
        </w:rPr>
        <w:t>00 ×; scale bar: 100 μm</w:t>
      </w:r>
      <w:r>
        <w:rPr>
          <w:rFonts w:hint="eastAsia" w:ascii="Book Antiqua" w:hAnsi="Book Antiqua" w:cs="Book Antiqua"/>
          <w:bCs/>
          <w:color w:val="000000" w:themeColor="text1"/>
          <w:lang w:eastAsia="zh-CN"/>
          <w14:textFill>
            <w14:solidFill>
              <w14:schemeClr w14:val="tx1"/>
            </w14:solidFill>
          </w14:textFill>
        </w:rPr>
        <w:t>)</w:t>
      </w:r>
      <w:r>
        <w:rPr>
          <w:rFonts w:ascii="Book Antiqua" w:hAnsi="Book Antiqua" w:cs="Book Antiqua"/>
          <w:bCs/>
          <w:color w:val="000000" w:themeColor="text1"/>
          <w:lang w:eastAsia="zh-CN"/>
          <w14:textFill>
            <w14:solidFill>
              <w14:schemeClr w14:val="tx1"/>
            </w14:solidFill>
          </w14:textFill>
        </w:rPr>
        <w:t>.</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p>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eastAsia="Tahoma" w:cs="Tahoma"/>
          <w:b/>
          <w:color w:val="000000" w:themeColor="text1"/>
          <w:kern w:val="24"/>
          <w:lang w:eastAsia="zh-CN"/>
          <w14:textFill>
            <w14:solidFill>
              <w14:schemeClr w14:val="tx1"/>
            </w14:solidFill>
          </w14:textFill>
        </w:rPr>
        <w:t>Table</w:t>
      </w:r>
      <w:r>
        <w:rPr>
          <w:rFonts w:hint="eastAsia" w:ascii="Book Antiqua" w:hAnsi="Book Antiqua" w:cs="Tahoma"/>
          <w:b/>
          <w:color w:val="000000" w:themeColor="text1"/>
          <w:kern w:val="24"/>
          <w:lang w:eastAsia="zh-CN"/>
          <w14:textFill>
            <w14:solidFill>
              <w14:schemeClr w14:val="tx1"/>
            </w14:solidFill>
          </w14:textFill>
        </w:rPr>
        <w:t xml:space="preserve"> </w:t>
      </w:r>
      <w:r>
        <w:rPr>
          <w:rFonts w:ascii="Book Antiqua" w:hAnsi="Book Antiqua" w:eastAsia="Tahoma" w:cs="Tahoma"/>
          <w:b/>
          <w:color w:val="000000" w:themeColor="text1"/>
          <w:kern w:val="24"/>
          <w:lang w:eastAsia="zh-CN"/>
          <w14:textFill>
            <w14:solidFill>
              <w14:schemeClr w14:val="tx1"/>
            </w14:solidFill>
          </w14:textFill>
        </w:rPr>
        <w:t>1</w:t>
      </w:r>
      <w:r>
        <w:rPr>
          <w:rFonts w:ascii="Book Antiqua" w:hAnsi="Book Antiqua" w:cs="Tahoma"/>
          <w:b/>
          <w:color w:val="000000" w:themeColor="text1"/>
          <w:kern w:val="24"/>
          <w:lang w:eastAsia="zh-CN"/>
          <w14:textFill>
            <w14:solidFill>
              <w14:schemeClr w14:val="tx1"/>
            </w14:solidFill>
          </w14:textFill>
        </w:rPr>
        <w:t xml:space="preserve"> </w:t>
      </w:r>
      <w:r>
        <w:rPr>
          <w:rFonts w:ascii="Book Antiqua" w:hAnsi="Book Antiqua" w:eastAsia="Tahoma" w:cs="Tahoma"/>
          <w:b/>
          <w:color w:val="000000" w:themeColor="text1"/>
          <w:kern w:val="24"/>
          <w:lang w:eastAsia="zh-CN"/>
          <w14:textFill>
            <w14:solidFill>
              <w14:schemeClr w14:val="tx1"/>
            </w14:solidFill>
          </w14:textFill>
        </w:rPr>
        <w:t>Efficacy before and after treatment</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42"/>
        <w:gridCol w:w="2442"/>
        <w:gridCol w:w="2442"/>
        <w:gridCol w:w="24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1250"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b/>
                <w:color w:val="000000" w:themeColor="text1"/>
                <w:lang w:eastAsia="zh-CN"/>
                <w14:textFill>
                  <w14:solidFill>
                    <w14:schemeClr w14:val="tx1"/>
                  </w14:solidFill>
                </w14:textFill>
              </w:rPr>
            </w:pPr>
          </w:p>
        </w:tc>
        <w:tc>
          <w:tcPr>
            <w:tcW w:w="1250"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b/>
                <w:color w:val="000000" w:themeColor="text1"/>
                <w:lang w:eastAsia="zh-CN"/>
                <w14:textFill>
                  <w14:solidFill>
                    <w14:schemeClr w14:val="tx1"/>
                  </w14:solidFill>
                </w14:textFill>
              </w:rPr>
            </w:pPr>
            <w:r>
              <w:rPr>
                <w:rFonts w:ascii="Book Antiqua" w:hAnsi="Book Antiqua" w:eastAsia="Tahoma" w:cs="Tahoma"/>
                <w:b/>
                <w:color w:val="000000" w:themeColor="text1"/>
                <w:kern w:val="24"/>
                <w:lang w:eastAsia="zh-CN"/>
                <w14:textFill>
                  <w14:solidFill>
                    <w14:schemeClr w14:val="tx1"/>
                  </w14:solidFill>
                </w14:textFill>
              </w:rPr>
              <w:t>April 25, 2020</w:t>
            </w:r>
          </w:p>
        </w:tc>
        <w:tc>
          <w:tcPr>
            <w:tcW w:w="1250"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b/>
                <w:color w:val="000000" w:themeColor="text1"/>
                <w:lang w:eastAsia="zh-CN"/>
                <w14:textFill>
                  <w14:solidFill>
                    <w14:schemeClr w14:val="tx1"/>
                  </w14:solidFill>
                </w14:textFill>
              </w:rPr>
            </w:pPr>
            <w:r>
              <w:rPr>
                <w:rFonts w:ascii="Book Antiqua" w:hAnsi="Book Antiqua" w:eastAsia="Tahoma" w:cs="Tahoma"/>
                <w:b/>
                <w:color w:val="000000" w:themeColor="text1"/>
                <w:kern w:val="24"/>
                <w:lang w:eastAsia="zh-CN"/>
                <w14:textFill>
                  <w14:solidFill>
                    <w14:schemeClr w14:val="tx1"/>
                  </w14:solidFill>
                </w14:textFill>
              </w:rPr>
              <w:t>May 23, 2020</w:t>
            </w:r>
          </w:p>
        </w:tc>
        <w:tc>
          <w:tcPr>
            <w:tcW w:w="1250"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b/>
                <w:color w:val="000000" w:themeColor="text1"/>
                <w:lang w:eastAsia="zh-CN"/>
                <w14:textFill>
                  <w14:solidFill>
                    <w14:schemeClr w14:val="tx1"/>
                  </w14:solidFill>
                </w14:textFill>
              </w:rPr>
            </w:pPr>
            <w:r>
              <w:rPr>
                <w:rFonts w:ascii="Book Antiqua" w:hAnsi="Book Antiqua" w:eastAsia="Tahoma" w:cs="Tahoma"/>
                <w:b/>
                <w:color w:val="000000" w:themeColor="text1"/>
                <w:kern w:val="24"/>
                <w:lang w:eastAsia="zh-CN"/>
                <w14:textFill>
                  <w14:solidFill>
                    <w14:schemeClr w14:val="tx1"/>
                  </w14:solidFill>
                </w14:textFill>
              </w:rPr>
              <w:t>June 16, 2020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1250" w:type="pct"/>
            <w:tcBorders>
              <w:top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Cough</w:t>
            </w:r>
          </w:p>
        </w:tc>
        <w:tc>
          <w:tcPr>
            <w:tcW w:w="1250" w:type="pct"/>
            <w:tcBorders>
              <w:top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2</w:t>
            </w:r>
          </w:p>
        </w:tc>
        <w:tc>
          <w:tcPr>
            <w:tcW w:w="1250" w:type="pct"/>
            <w:tcBorders>
              <w:top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1</w:t>
            </w:r>
          </w:p>
        </w:tc>
        <w:tc>
          <w:tcPr>
            <w:tcW w:w="1250" w:type="pct"/>
            <w:tcBorders>
              <w:top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Hemoptysis</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20-30</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mL</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0</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794" w:hRule="atLeast"/>
        </w:trPr>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Dyspnea index</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2</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1</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794" w:hRule="atLeast"/>
        </w:trPr>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Supplemental O</w:t>
            </w:r>
            <w:r>
              <w:rPr>
                <w:rFonts w:ascii="Book Antiqua" w:hAnsi="Book Antiqua" w:eastAsia="Tahoma" w:cs="Tahoma"/>
                <w:color w:val="000000" w:themeColor="text1"/>
                <w:kern w:val="24"/>
                <w:vertAlign w:val="subscript"/>
                <w:lang w:eastAsia="zh-CN"/>
                <w14:textFill>
                  <w14:solidFill>
                    <w14:schemeClr w14:val="tx1"/>
                  </w14:solidFill>
                </w14:textFill>
              </w:rPr>
              <w:t>2</w:t>
            </w:r>
            <w:r>
              <w:rPr>
                <w:rFonts w:ascii="Book Antiqua" w:hAnsi="Book Antiqua" w:eastAsia="Tahoma" w:cs="Tahoma"/>
                <w:color w:val="000000" w:themeColor="text1"/>
                <w:kern w:val="24"/>
                <w:lang w:eastAsia="zh-CN"/>
                <w14:textFill>
                  <w14:solidFill>
                    <w14:schemeClr w14:val="tx1"/>
                  </w14:solidFill>
                </w14:textFill>
              </w:rPr>
              <w:t xml:space="preserve"> in L/min</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4</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L/min</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2</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L/min</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Oxygenation index</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265</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mmHg</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388</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mmHg</w:t>
            </w:r>
          </w:p>
        </w:tc>
        <w:tc>
          <w:tcPr>
            <w:tcW w:w="1250" w:type="pct"/>
            <w:shd w:val="clear" w:color="auto" w:fill="auto"/>
            <w:tcMar>
              <w:top w:w="72" w:type="dxa"/>
              <w:left w:w="204" w:type="dxa"/>
              <w:bottom w:w="72" w:type="dxa"/>
              <w:right w:w="204" w:type="dxa"/>
            </w:tcMar>
          </w:tcPr>
          <w:p>
            <w:pPr>
              <w:spacing w:line="360" w:lineRule="auto"/>
              <w:jc w:val="both"/>
              <w:rPr>
                <w:rFonts w:ascii="Book Antiqua" w:hAnsi="Book Antiqua" w:eastAsia="宋体" w:cs="Arial"/>
                <w:color w:val="000000" w:themeColor="text1"/>
                <w:lang w:eastAsia="zh-CN"/>
                <w14:textFill>
                  <w14:solidFill>
                    <w14:schemeClr w14:val="tx1"/>
                  </w14:solidFill>
                </w14:textFill>
              </w:rPr>
            </w:pPr>
            <w:r>
              <w:rPr>
                <w:rFonts w:ascii="Book Antiqua" w:hAnsi="Book Antiqua" w:eastAsia="Tahoma" w:cs="Tahoma"/>
                <w:color w:val="000000" w:themeColor="text1"/>
                <w:kern w:val="24"/>
                <w:lang w:eastAsia="zh-CN"/>
                <w14:textFill>
                  <w14:solidFill>
                    <w14:schemeClr w14:val="tx1"/>
                  </w14:solidFill>
                </w14:textFill>
              </w:rPr>
              <w:t>412</w:t>
            </w:r>
            <w:r>
              <w:rPr>
                <w:rFonts w:hint="eastAsia" w:ascii="Book Antiqua" w:hAnsi="Book Antiqua" w:cs="Tahoma"/>
                <w:color w:val="000000" w:themeColor="text1"/>
                <w:kern w:val="24"/>
                <w:lang w:eastAsia="zh-CN"/>
                <w14:textFill>
                  <w14:solidFill>
                    <w14:schemeClr w14:val="tx1"/>
                  </w14:solidFill>
                </w14:textFill>
              </w:rPr>
              <w:t xml:space="preserve"> </w:t>
            </w:r>
            <w:r>
              <w:rPr>
                <w:rFonts w:ascii="Book Antiqua" w:hAnsi="Book Antiqua" w:eastAsia="Tahoma" w:cs="Tahoma"/>
                <w:color w:val="000000" w:themeColor="text1"/>
                <w:kern w:val="24"/>
                <w:lang w:eastAsia="zh-CN"/>
                <w14:textFill>
                  <w14:solidFill>
                    <w14:schemeClr w14:val="tx1"/>
                  </w14:solidFill>
                </w14:textFill>
              </w:rPr>
              <w:t>mmHg</w:t>
            </w:r>
          </w:p>
        </w:tc>
      </w:tr>
    </w:tbl>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Cough index: 0: NO cough; 1: Occasionally have a cough; 2: Frequent cough, mild impact on daily life; 3: Frequent cough, serious impact on daily life. Hemoptysis volume: Small amount:</w:t>
      </w:r>
      <w:r>
        <w:rPr>
          <w:rFonts w:hint="eastAsia" w:ascii="Book Antiqua" w:hAnsi="Book Antiqua"/>
          <w:color w:val="000000" w:themeColor="text1"/>
          <w:lang w:eastAsia="zh-CN"/>
          <w14:textFill>
            <w14:solidFill>
              <w14:schemeClr w14:val="tx1"/>
            </w14:solidFill>
          </w14:textFill>
        </w:rPr>
        <w:t xml:space="preserve"> &lt; </w:t>
      </w:r>
      <w:r>
        <w:rPr>
          <w:rFonts w:ascii="Book Antiqua" w:hAnsi="Book Antiqua"/>
          <w:color w:val="000000" w:themeColor="text1"/>
          <w:lang w:eastAsia="zh-CN"/>
          <w14:textFill>
            <w14:solidFill>
              <w14:schemeClr w14:val="tx1"/>
            </w14:solidFill>
          </w14:textFill>
        </w:rPr>
        <w:t>100</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m</w:t>
      </w:r>
      <w:r>
        <w:rPr>
          <w:rFonts w:hint="eastAsia" w:ascii="Book Antiqua" w:hAnsi="Book Antiqua"/>
          <w:color w:val="000000" w:themeColor="text1"/>
          <w:lang w:eastAsia="zh-CN"/>
          <w14:textFill>
            <w14:solidFill>
              <w14:schemeClr w14:val="tx1"/>
            </w14:solidFill>
          </w14:textFill>
        </w:rPr>
        <w:t>L</w:t>
      </w:r>
      <w:r>
        <w:rPr>
          <w:rFonts w:ascii="Book Antiqua" w:hAnsi="Book Antiqua"/>
          <w:color w:val="000000" w:themeColor="text1"/>
          <w:lang w:eastAsia="zh-CN"/>
          <w14:textFill>
            <w14:solidFill>
              <w14:schemeClr w14:val="tx1"/>
            </w14:solidFill>
          </w14:textFill>
        </w:rPr>
        <w:t>/24</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 Moderate amount: 100-500</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m</w:t>
      </w:r>
      <w:r>
        <w:rPr>
          <w:rFonts w:hint="eastAsia" w:ascii="Book Antiqua" w:hAnsi="Book Antiqua"/>
          <w:color w:val="000000" w:themeColor="text1"/>
          <w:lang w:eastAsia="zh-CN"/>
          <w14:textFill>
            <w14:solidFill>
              <w14:schemeClr w14:val="tx1"/>
            </w14:solidFill>
          </w14:textFill>
        </w:rPr>
        <w:t>L</w:t>
      </w:r>
      <w:r>
        <w:rPr>
          <w:rFonts w:ascii="Book Antiqua" w:hAnsi="Book Antiqua"/>
          <w:color w:val="000000" w:themeColor="text1"/>
          <w:lang w:eastAsia="zh-CN"/>
          <w14:textFill>
            <w14:solidFill>
              <w14:schemeClr w14:val="tx1"/>
            </w14:solidFill>
          </w14:textFill>
        </w:rPr>
        <w:t>/24</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 Massive amount:</w:t>
      </w:r>
      <w:r>
        <w:rPr>
          <w:rFonts w:hint="eastAsia" w:ascii="Book Antiqua" w:hAnsi="Book Antiqua"/>
          <w:color w:val="000000" w:themeColor="text1"/>
          <w:lang w:eastAsia="zh-CN"/>
          <w14:textFill>
            <w14:solidFill>
              <w14:schemeClr w14:val="tx1"/>
            </w14:solidFill>
          </w14:textFill>
        </w:rPr>
        <w:t xml:space="preserve"> &gt; </w:t>
      </w:r>
      <w:r>
        <w:rPr>
          <w:rFonts w:ascii="Book Antiqua" w:hAnsi="Book Antiqua"/>
          <w:color w:val="000000" w:themeColor="text1"/>
          <w:lang w:eastAsia="zh-CN"/>
          <w14:textFill>
            <w14:solidFill>
              <w14:schemeClr w14:val="tx1"/>
            </w14:solidFill>
          </w14:textFill>
        </w:rPr>
        <w:t>500</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m</w:t>
      </w:r>
      <w:r>
        <w:rPr>
          <w:rFonts w:hint="eastAsia" w:ascii="Book Antiqua" w:hAnsi="Book Antiqua"/>
          <w:color w:val="000000" w:themeColor="text1"/>
          <w:lang w:eastAsia="zh-CN"/>
          <w14:textFill>
            <w14:solidFill>
              <w14:schemeClr w14:val="tx1"/>
            </w14:solidFill>
          </w14:textFill>
        </w:rPr>
        <w:t>L</w:t>
      </w:r>
      <w:r>
        <w:rPr>
          <w:rFonts w:ascii="Book Antiqua" w:hAnsi="Book Antiqua"/>
          <w:color w:val="000000" w:themeColor="text1"/>
          <w:lang w:eastAsia="zh-CN"/>
          <w14:textFill>
            <w14:solidFill>
              <w14:schemeClr w14:val="tx1"/>
            </w14:solidFill>
          </w14:textFill>
        </w:rPr>
        <w:t>/24</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 xml:space="preserve">h or </w:t>
      </w:r>
      <w:r>
        <w:rPr>
          <w:rFonts w:hint="eastAsia" w:ascii="Book Antiqua" w:hAnsi="Book Antiqua"/>
          <w:color w:val="000000" w:themeColor="text1"/>
          <w:lang w:eastAsia="zh-CN"/>
          <w14:textFill>
            <w14:solidFill>
              <w14:schemeClr w14:val="tx1"/>
            </w14:solidFill>
          </w14:textFill>
        </w:rPr>
        <w:t xml:space="preserve">&gt; </w:t>
      </w:r>
      <w:r>
        <w:rPr>
          <w:rFonts w:ascii="Book Antiqua" w:hAnsi="Book Antiqua"/>
          <w:color w:val="000000" w:themeColor="text1"/>
          <w:lang w:eastAsia="zh-CN"/>
          <w14:textFill>
            <w14:solidFill>
              <w14:schemeClr w14:val="tx1"/>
            </w14:solidFill>
          </w14:textFill>
        </w:rPr>
        <w:t>100</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m</w:t>
      </w:r>
      <w:r>
        <w:rPr>
          <w:rFonts w:hint="eastAsia" w:ascii="Book Antiqua" w:hAnsi="Book Antiqua"/>
          <w:color w:val="000000" w:themeColor="text1"/>
          <w:lang w:eastAsia="zh-CN"/>
          <w14:textFill>
            <w14:solidFill>
              <w14:schemeClr w14:val="tx1"/>
            </w14:solidFill>
          </w14:textFill>
        </w:rPr>
        <w:t>L</w:t>
      </w:r>
      <w:r>
        <w:rPr>
          <w:rFonts w:ascii="Book Antiqua" w:hAnsi="Book Antiqua"/>
          <w:color w:val="000000" w:themeColor="text1"/>
          <w:lang w:eastAsia="zh-CN"/>
          <w14:textFill>
            <w14:solidFill>
              <w14:schemeClr w14:val="tx1"/>
            </w14:solidFill>
          </w14:textFill>
        </w:rPr>
        <w:t xml:space="preserve"> at one time. Dyspnea index: 0: Asymptomatic while climbing stairs; 1: Symptomatic while climbing stairs; 2: Symptomatic after walking 100 m on flat ground; 3: Symptomatic with the least effort (</w:t>
      </w:r>
      <w:r>
        <w:rPr>
          <w:rFonts w:ascii="Book Antiqua" w:hAnsi="Book Antiqua"/>
          <w:i/>
          <w:color w:val="000000" w:themeColor="text1"/>
          <w:lang w:eastAsia="zh-CN"/>
          <w14:textFill>
            <w14:solidFill>
              <w14:schemeClr w14:val="tx1"/>
            </w14:solidFill>
          </w14:textFill>
        </w:rPr>
        <w:t>e.g.</w:t>
      </w:r>
      <w:r>
        <w:rPr>
          <w:rFonts w:ascii="Book Antiqua" w:hAnsi="Book Antiqua"/>
          <w:color w:val="000000" w:themeColor="text1"/>
          <w:lang w:eastAsia="zh-CN"/>
          <w14:textFill>
            <w14:solidFill>
              <w14:schemeClr w14:val="tx1"/>
            </w14:solidFill>
          </w14:textFill>
        </w:rPr>
        <w:t>, talking, getting dressed); 4: Symptomatic in bed, at rest. Oxygenation index: partial blood oxygen divided by oxygen concentration.</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br w:type="page"/>
      </w:r>
    </w:p>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Table</w:t>
      </w:r>
      <w:r>
        <w:rPr>
          <w:rFonts w:hint="eastAsia" w:ascii="Book Antiqua" w:hAnsi="Book Antiqua"/>
          <w:b/>
          <w:color w:val="000000" w:themeColor="text1"/>
          <w:lang w:eastAsia="zh-CN"/>
          <w14:textFill>
            <w14:solidFill>
              <w14:schemeClr w14:val="tx1"/>
            </w14:solidFill>
          </w14:textFill>
        </w:rPr>
        <w:t xml:space="preserve"> </w:t>
      </w:r>
      <w:r>
        <w:rPr>
          <w:rFonts w:ascii="Book Antiqua" w:hAnsi="Book Antiqua"/>
          <w:b/>
          <w:color w:val="000000" w:themeColor="text1"/>
          <w:lang w:eastAsia="zh-CN"/>
          <w14:textFill>
            <w14:solidFill>
              <w14:schemeClr w14:val="tx1"/>
            </w14:solidFill>
          </w14:textFill>
        </w:rPr>
        <w:t xml:space="preserve">2 </w:t>
      </w:r>
      <w:r>
        <w:rPr>
          <w:rFonts w:hint="eastAsia" w:ascii="Book Antiqua" w:hAnsi="Book Antiqua"/>
          <w:b/>
          <w:color w:val="000000" w:themeColor="text1"/>
          <w:lang w:eastAsia="zh-CN"/>
          <w14:textFill>
            <w14:solidFill>
              <w14:schemeClr w14:val="tx1"/>
            </w14:solidFill>
          </w14:textFill>
        </w:rPr>
        <w:t>T</w:t>
      </w:r>
      <w:r>
        <w:rPr>
          <w:rFonts w:ascii="Book Antiqua" w:hAnsi="Book Antiqua"/>
          <w:b/>
          <w:color w:val="000000" w:themeColor="text1"/>
          <w:lang w:eastAsia="zh-CN"/>
          <w14:textFill>
            <w14:solidFill>
              <w14:schemeClr w14:val="tx1"/>
            </w14:solidFill>
          </w14:textFill>
        </w:rPr>
        <w:t>herapeutic strategy and the laboratory examinations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36"/>
        <w:gridCol w:w="1608"/>
        <w:gridCol w:w="1608"/>
        <w:gridCol w:w="1596"/>
        <w:gridCol w:w="1608"/>
        <w:gridCol w:w="161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476" w:hRule="atLeast"/>
        </w:trPr>
        <w:tc>
          <w:tcPr>
            <w:tcW w:w="889"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p>
        </w:tc>
        <w:tc>
          <w:tcPr>
            <w:tcW w:w="823"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 xml:space="preserve">April </w:t>
            </w:r>
            <w:r>
              <w:rPr>
                <w:rFonts w:hint="eastAsia" w:ascii="Book Antiqua" w:hAnsi="Book Antiqua"/>
                <w:b/>
                <w:color w:val="000000" w:themeColor="text1"/>
                <w:lang w:eastAsia="zh-CN"/>
                <w14:textFill>
                  <w14:solidFill>
                    <w14:schemeClr w14:val="tx1"/>
                  </w14:solidFill>
                </w14:textFill>
              </w:rPr>
              <w:t xml:space="preserve">9, </w:t>
            </w:r>
            <w:r>
              <w:rPr>
                <w:rFonts w:ascii="Book Antiqua" w:hAnsi="Book Antiqua"/>
                <w:b/>
                <w:color w:val="000000" w:themeColor="text1"/>
                <w:lang w:eastAsia="zh-CN"/>
                <w14:textFill>
                  <w14:solidFill>
                    <w14:schemeClr w14:val="tx1"/>
                  </w14:solidFill>
                </w14:textFill>
              </w:rPr>
              <w:t>2020</w:t>
            </w:r>
          </w:p>
        </w:tc>
        <w:tc>
          <w:tcPr>
            <w:tcW w:w="823"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May 30, 2020</w:t>
            </w:r>
          </w:p>
        </w:tc>
        <w:tc>
          <w:tcPr>
            <w:tcW w:w="817"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May 31, 2020</w:t>
            </w:r>
          </w:p>
        </w:tc>
        <w:tc>
          <w:tcPr>
            <w:tcW w:w="823"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June 16, 2020</w:t>
            </w:r>
          </w:p>
        </w:tc>
        <w:tc>
          <w:tcPr>
            <w:tcW w:w="825" w:type="pct"/>
            <w:tcBorders>
              <w:top w:val="single" w:color="auto" w:sz="4" w:space="0"/>
              <w:bottom w:val="single" w:color="auto" w:sz="4" w:space="0"/>
            </w:tcBorders>
            <w:shd w:val="clear" w:color="auto" w:fill="auto"/>
            <w:tcMar>
              <w:top w:w="72" w:type="dxa"/>
              <w:left w:w="204" w:type="dxa"/>
              <w:bottom w:w="72" w:type="dxa"/>
              <w:right w:w="204"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June 23, 2020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889" w:type="pct"/>
            <w:tcBorders>
              <w:top w:val="single" w:color="auto" w:sz="4" w:space="0"/>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Treatment</w:t>
            </w:r>
          </w:p>
        </w:tc>
        <w:tc>
          <w:tcPr>
            <w:tcW w:w="1646" w:type="pct"/>
            <w:gridSpan w:val="2"/>
            <w:tcBorders>
              <w:top w:val="single" w:color="auto" w:sz="4" w:space="0"/>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0.96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q8</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 + linezolid 0.6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q12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w:t>
            </w:r>
          </w:p>
        </w:tc>
        <w:tc>
          <w:tcPr>
            <w:tcW w:w="817" w:type="pct"/>
            <w:tcBorders>
              <w:top w:val="single" w:color="auto" w:sz="4" w:space="0"/>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0.96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q12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 + linezolid 0.6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qd</w:t>
            </w:r>
          </w:p>
        </w:tc>
        <w:tc>
          <w:tcPr>
            <w:tcW w:w="823" w:type="pct"/>
            <w:tcBorders>
              <w:top w:val="single" w:color="auto" w:sz="4" w:space="0"/>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0.96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q12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 ceftriaxone 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g/d</w:t>
            </w:r>
          </w:p>
        </w:tc>
        <w:tc>
          <w:tcPr>
            <w:tcW w:w="825" w:type="pct"/>
            <w:tcBorders>
              <w:top w:val="single" w:color="auto" w:sz="4" w:space="0"/>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0.96</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g q12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 and minocyline 100</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mg q12</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889"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WBC</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(10</w:t>
            </w:r>
            <w:r>
              <w:rPr>
                <w:rFonts w:ascii="Book Antiqua" w:hAnsi="Book Antiqua"/>
                <w:color w:val="000000" w:themeColor="text1"/>
                <w:vertAlign w:val="superscript"/>
                <w:lang w:eastAsia="zh-CN"/>
                <w14:textFill>
                  <w14:solidFill>
                    <w14:schemeClr w14:val="tx1"/>
                  </w14:solidFill>
                </w14:textFill>
              </w:rPr>
              <w:t>9</w:t>
            </w:r>
            <w:r>
              <w:rPr>
                <w:rFonts w:ascii="Book Antiqua" w:hAnsi="Book Antiqua"/>
                <w:color w:val="000000" w:themeColor="text1"/>
                <w:lang w:eastAsia="zh-CN"/>
                <w14:textFill>
                  <w14:solidFill>
                    <w14:schemeClr w14:val="tx1"/>
                  </w14:solidFill>
                </w14:textFill>
              </w:rPr>
              <w:t>/L)</w:t>
            </w:r>
          </w:p>
        </w:tc>
        <w:tc>
          <w:tcPr>
            <w:tcW w:w="1646" w:type="pct"/>
            <w:gridSpan w:val="2"/>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4.03</w:t>
            </w:r>
          </w:p>
        </w:tc>
        <w:tc>
          <w:tcPr>
            <w:tcW w:w="817"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3.34</w:t>
            </w:r>
          </w:p>
        </w:tc>
        <w:tc>
          <w:tcPr>
            <w:tcW w:w="823"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4.07</w:t>
            </w:r>
          </w:p>
        </w:tc>
        <w:tc>
          <w:tcPr>
            <w:tcW w:w="825"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3.91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889"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PLT</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(10</w:t>
            </w:r>
            <w:r>
              <w:rPr>
                <w:rFonts w:ascii="Book Antiqua" w:hAnsi="Book Antiqua"/>
                <w:color w:val="000000" w:themeColor="text1"/>
                <w:vertAlign w:val="superscript"/>
                <w:lang w:eastAsia="zh-CN"/>
                <w14:textFill>
                  <w14:solidFill>
                    <w14:schemeClr w14:val="tx1"/>
                  </w14:solidFill>
                </w14:textFill>
              </w:rPr>
              <w:t>9</w:t>
            </w:r>
            <w:r>
              <w:rPr>
                <w:rFonts w:ascii="Book Antiqua" w:hAnsi="Book Antiqua"/>
                <w:color w:val="000000" w:themeColor="text1"/>
                <w:lang w:eastAsia="zh-CN"/>
                <w14:textFill>
                  <w14:solidFill>
                    <w14:schemeClr w14:val="tx1"/>
                  </w14:solidFill>
                </w14:textFill>
              </w:rPr>
              <w:t xml:space="preserve"> /L)</w:t>
            </w:r>
          </w:p>
        </w:tc>
        <w:tc>
          <w:tcPr>
            <w:tcW w:w="1646" w:type="pct"/>
            <w:gridSpan w:val="2"/>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379</w:t>
            </w:r>
          </w:p>
        </w:tc>
        <w:tc>
          <w:tcPr>
            <w:tcW w:w="817"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130</w:t>
            </w:r>
          </w:p>
        </w:tc>
        <w:tc>
          <w:tcPr>
            <w:tcW w:w="823"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219</w:t>
            </w:r>
          </w:p>
        </w:tc>
        <w:tc>
          <w:tcPr>
            <w:tcW w:w="825" w:type="pct"/>
            <w:tcBorders>
              <w:top w:val="nil"/>
              <w:bottom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185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889" w:type="pct"/>
            <w:tcBorders>
              <w:top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The dose of linezolid (mg/L</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p>
        </w:tc>
        <w:tc>
          <w:tcPr>
            <w:tcW w:w="1646" w:type="pct"/>
            <w:gridSpan w:val="2"/>
            <w:tcBorders>
              <w:top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N</w:t>
            </w:r>
            <w:r>
              <w:rPr>
                <w:rFonts w:hint="eastAsia" w:ascii="Book Antiqua" w:hAnsi="Book Antiqua"/>
                <w:color w:val="000000" w:themeColor="text1"/>
                <w:lang w:eastAsia="zh-CN"/>
                <w14:textFill>
                  <w14:solidFill>
                    <w14:schemeClr w14:val="tx1"/>
                  </w14:solidFill>
                </w14:textFill>
              </w:rPr>
              <w:t>o</w:t>
            </w:r>
          </w:p>
        </w:tc>
        <w:tc>
          <w:tcPr>
            <w:tcW w:w="817" w:type="pct"/>
            <w:tcBorders>
              <w:top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9.36</w:t>
            </w:r>
          </w:p>
        </w:tc>
        <w:tc>
          <w:tcPr>
            <w:tcW w:w="823" w:type="pct"/>
            <w:tcBorders>
              <w:top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6.38</w:t>
            </w:r>
          </w:p>
        </w:tc>
        <w:tc>
          <w:tcPr>
            <w:tcW w:w="825" w:type="pct"/>
            <w:tcBorders>
              <w:top w:val="nil"/>
            </w:tcBorders>
            <w:shd w:val="clear" w:color="auto" w:fill="auto"/>
            <w:tcMar>
              <w:top w:w="72" w:type="dxa"/>
              <w:left w:w="204" w:type="dxa"/>
              <w:bottom w:w="72" w:type="dxa"/>
              <w:right w:w="204"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N</w:t>
            </w:r>
            <w:r>
              <w:rPr>
                <w:rFonts w:hint="eastAsia" w:ascii="Book Antiqua" w:hAnsi="Book Antiqua"/>
                <w:color w:val="000000" w:themeColor="text1"/>
                <w:lang w:eastAsia="zh-CN"/>
                <w14:textFill>
                  <w14:solidFill>
                    <w14:schemeClr w14:val="tx1"/>
                  </w14:solidFill>
                </w14:textFill>
              </w:rPr>
              <w:t>o</w:t>
            </w:r>
          </w:p>
        </w:tc>
      </w:tr>
    </w:tbl>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Trimethoprim-sulfamethoxazole</w:t>
      </w:r>
      <w:r>
        <w:rPr>
          <w:rFonts w:hint="eastAsia" w:ascii="Book Antiqua" w:hAnsi="Book Antiqua"/>
          <w:color w:val="000000" w:themeColor="text1"/>
          <w:lang w:eastAsia="zh-CN"/>
          <w14:textFill>
            <w14:solidFill>
              <w14:schemeClr w14:val="tx1"/>
            </w14:solidFill>
          </w14:textFill>
        </w:rPr>
        <w:t xml:space="preserve">; WBC: </w:t>
      </w:r>
      <w:r>
        <w:rPr>
          <w:rFonts w:ascii="Book Antiqua" w:hAnsi="Book Antiqua"/>
          <w:color w:val="000000" w:themeColor="text1"/>
          <w:lang w:eastAsia="zh-CN"/>
          <w14:textFill>
            <w14:solidFill>
              <w14:schemeClr w14:val="tx1"/>
            </w14:solidFill>
          </w14:textFill>
        </w:rPr>
        <w:t>White Blood Cell</w:t>
      </w:r>
      <w:r>
        <w:rPr>
          <w:rFonts w:hint="eastAsia" w:ascii="Book Antiqua" w:hAnsi="Book Antiqua"/>
          <w:color w:val="000000" w:themeColor="text1"/>
          <w:lang w:eastAsia="zh-CN"/>
          <w14:textFill>
            <w14:solidFill>
              <w14:schemeClr w14:val="tx1"/>
            </w14:solidFill>
          </w14:textFill>
        </w:rPr>
        <w:t xml:space="preserve">; PLT: </w:t>
      </w:r>
      <w:r>
        <w:rPr>
          <w:rFonts w:ascii="Book Antiqua" w:hAnsi="Book Antiqua"/>
          <w:color w:val="000000" w:themeColor="text1"/>
          <w:lang w:eastAsia="zh-CN"/>
          <w14:textFill>
            <w14:solidFill>
              <w14:schemeClr w14:val="tx1"/>
            </w14:solidFill>
          </w14:textFill>
        </w:rPr>
        <w:t xml:space="preserve">Platelet. </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br w:type="page"/>
      </w:r>
    </w:p>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 xml:space="preserve">Table 3 </w:t>
      </w:r>
      <w:r>
        <w:rPr>
          <w:rFonts w:hint="eastAsia" w:ascii="Book Antiqua" w:hAnsi="Book Antiqua"/>
          <w:b/>
          <w:color w:val="000000" w:themeColor="text1"/>
          <w:lang w:eastAsia="zh-CN"/>
          <w14:textFill>
            <w14:solidFill>
              <w14:schemeClr w14:val="tx1"/>
            </w14:solidFill>
          </w14:textFill>
        </w:rPr>
        <w:t>C</w:t>
      </w:r>
      <w:r>
        <w:rPr>
          <w:rFonts w:ascii="Book Antiqua" w:hAnsi="Book Antiqua"/>
          <w:b/>
          <w:color w:val="000000" w:themeColor="text1"/>
          <w:lang w:eastAsia="zh-CN"/>
          <w14:textFill>
            <w14:solidFill>
              <w14:schemeClr w14:val="tx1"/>
            </w14:solidFill>
          </w14:textFill>
        </w:rPr>
        <w:t>ases of pulmonary nocardiosis reported in recent 10 y</w:t>
      </w:r>
      <w:r>
        <w:rPr>
          <w:rFonts w:hint="eastAsia" w:ascii="Book Antiqua" w:hAnsi="Book Antiqua"/>
          <w:b/>
          <w:color w:val="000000" w:themeColor="text1"/>
          <w:lang w:eastAsia="zh-CN"/>
          <w14:textFill>
            <w14:solidFill>
              <w14:schemeClr w14:val="tx1"/>
            </w14:solidFill>
          </w14:textFill>
        </w:rPr>
        <w:t>r</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93"/>
        <w:gridCol w:w="2284"/>
        <w:gridCol w:w="1565"/>
        <w:gridCol w:w="1203"/>
        <w:gridCol w:w="1623"/>
        <w:gridCol w:w="12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880"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Ref.</w:t>
            </w:r>
          </w:p>
        </w:tc>
        <w:tc>
          <w:tcPr>
            <w:tcW w:w="1186"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Predisposing or underlying condition</w:t>
            </w:r>
          </w:p>
        </w:tc>
        <w:tc>
          <w:tcPr>
            <w:tcW w:w="813"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 xml:space="preserve">Affected </w:t>
            </w:r>
            <w:r>
              <w:rPr>
                <w:rFonts w:hint="eastAsia" w:ascii="Book Antiqua" w:hAnsi="Book Antiqua"/>
                <w:b/>
                <w:color w:val="000000" w:themeColor="text1"/>
                <w:lang w:eastAsia="zh-CN"/>
                <w14:textFill>
                  <w14:solidFill>
                    <w14:schemeClr w14:val="tx1"/>
                  </w14:solidFill>
                </w14:textFill>
              </w:rPr>
              <w:t>o</w:t>
            </w:r>
            <w:r>
              <w:rPr>
                <w:rFonts w:ascii="Book Antiqua" w:hAnsi="Book Antiqua"/>
                <w:b/>
                <w:color w:val="000000" w:themeColor="text1"/>
                <w:lang w:eastAsia="zh-CN"/>
                <w14:textFill>
                  <w14:solidFill>
                    <w14:schemeClr w14:val="tx1"/>
                  </w14:solidFill>
                </w14:textFill>
              </w:rPr>
              <w:t>rgan (s)</w:t>
            </w:r>
          </w:p>
        </w:tc>
        <w:tc>
          <w:tcPr>
            <w:tcW w:w="644"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 xml:space="preserve">Positive </w:t>
            </w:r>
            <w:r>
              <w:rPr>
                <w:rFonts w:hint="eastAsia" w:ascii="Book Antiqua" w:hAnsi="Book Antiqua"/>
                <w:b/>
                <w:color w:val="000000" w:themeColor="text1"/>
                <w:lang w:eastAsia="zh-CN"/>
                <w14:textFill>
                  <w14:solidFill>
                    <w14:schemeClr w14:val="tx1"/>
                  </w14:solidFill>
                </w14:textFill>
              </w:rPr>
              <w:t>s</w:t>
            </w:r>
            <w:r>
              <w:rPr>
                <w:rFonts w:ascii="Book Antiqua" w:hAnsi="Book Antiqua"/>
                <w:b/>
                <w:color w:val="000000" w:themeColor="text1"/>
                <w:lang w:eastAsia="zh-CN"/>
                <w14:textFill>
                  <w14:solidFill>
                    <w14:schemeClr w14:val="tx1"/>
                  </w14:solidFill>
                </w14:textFill>
              </w:rPr>
              <w:t xml:space="preserve">pecimen (s) </w:t>
            </w:r>
          </w:p>
        </w:tc>
        <w:tc>
          <w:tcPr>
            <w:tcW w:w="843"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Anti</w:t>
            </w:r>
            <w:r>
              <w:rPr>
                <w:rFonts w:hint="eastAsia" w:ascii="Book Antiqua" w:hAnsi="Book Antiqua"/>
                <w:b/>
                <w:color w:val="000000" w:themeColor="text1"/>
                <w:lang w:eastAsia="zh-CN"/>
                <w14:textFill>
                  <w14:solidFill>
                    <w14:schemeClr w14:val="tx1"/>
                  </w14:solidFill>
                </w14:textFill>
              </w:rPr>
              <w:t>-</w:t>
            </w:r>
            <w:r>
              <w:rPr>
                <w:rFonts w:ascii="Book Antiqua" w:hAnsi="Book Antiqua"/>
                <w:b/>
                <w:color w:val="000000" w:themeColor="text1"/>
                <w:lang w:eastAsia="zh-CN"/>
                <w14:textFill>
                  <w14:solidFill>
                    <w14:schemeClr w14:val="tx1"/>
                  </w14:solidFill>
                </w14:textFill>
              </w:rPr>
              <w:t>biotic therapy</w:t>
            </w:r>
          </w:p>
        </w:tc>
        <w:tc>
          <w:tcPr>
            <w:tcW w:w="635" w:type="pct"/>
            <w:tcBorders>
              <w:top w:val="single" w:color="auto" w:sz="4" w:space="0"/>
              <w:bottom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lang w:eastAsia="zh-CN"/>
                <w14:textFill>
                  <w14:solidFill>
                    <w14:schemeClr w14:val="tx1"/>
                  </w14:solidFill>
                </w14:textFill>
              </w:rPr>
              <w:t>Outcome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Komiya</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[20]</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2013</w:t>
            </w:r>
          </w:p>
        </w:tc>
        <w:tc>
          <w:tcPr>
            <w:tcW w:w="1186"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Hypersensitivity pneumonitis</w:t>
            </w:r>
          </w:p>
        </w:tc>
        <w:tc>
          <w:tcPr>
            <w:tcW w:w="813"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sputum </w:t>
            </w:r>
          </w:p>
        </w:tc>
        <w:tc>
          <w:tcPr>
            <w:tcW w:w="843"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Meropenem, TMP-SMZ</w:t>
            </w:r>
          </w:p>
        </w:tc>
        <w:tc>
          <w:tcPr>
            <w:tcW w:w="635" w:type="pct"/>
            <w:tcBorders>
              <w:top w:val="single" w:color="auto" w:sz="4" w:space="0"/>
            </w:tcBorders>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Yasar</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[21]</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2014</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N</w:t>
            </w:r>
            <w:r>
              <w:rPr>
                <w:rFonts w:hint="eastAsia" w:ascii="Book Antiqua" w:hAnsi="Book Antiqua"/>
                <w:color w:val="000000" w:themeColor="text1"/>
                <w:lang w:eastAsia="zh-CN"/>
                <w14:textFill>
                  <w14:solidFill>
                    <w14:schemeClr w14:val="tx1"/>
                  </w14:solidFill>
                </w14:textFill>
              </w:rPr>
              <w:t>o</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tissue</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Cooper</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[22]</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2014</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Smoking and alcohol consumption</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+Brain</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Tissue of lung and brain</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Vancomycin, Ceftriaxone, Amphotericin B, 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Dead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Yagi</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[23]</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2014</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Mycobacterium avium</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hint="eastAsia" w:ascii="Book Antiqua" w:hAnsi="Book Antiqua"/>
                <w:color w:val="000000" w:themeColor="text1"/>
                <w:lang w:eastAsia="zh-CN"/>
                <w14:textFill>
                  <w14:solidFill>
                    <w14:schemeClr w14:val="tx1"/>
                  </w14:solidFill>
                </w14:textFill>
              </w:rPr>
              <w:t>S</w:t>
            </w:r>
            <w:r>
              <w:rPr>
                <w:rFonts w:ascii="Book Antiqua" w:hAnsi="Book Antiqua"/>
                <w:color w:val="000000" w:themeColor="text1"/>
                <w:lang w:eastAsia="zh-CN"/>
                <w14:textFill>
                  <w14:solidFill>
                    <w14:schemeClr w14:val="tx1"/>
                  </w14:solidFill>
                </w14:textFill>
              </w:rPr>
              <w:t xml:space="preserve">putum </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Ibrahim</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[24]</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2016</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Hematopoietic stem cell transplant</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+Brain</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tissue</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Mendonca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[25]</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2016</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Multiple Myeloma </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Meropenem, Tigecycline</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Jayaschandran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[26]</w:t>
            </w:r>
            <w:r>
              <w:rPr>
                <w:rFonts w:ascii="Book Antiqua" w:hAnsi="Book Antiqua"/>
                <w:color w:val="000000" w:themeColor="text1"/>
                <w:lang w:eastAsia="zh-CN"/>
                <w14:textFill>
                  <w14:solidFill>
                    <w14:schemeClr w14:val="tx1"/>
                  </w14:solidFill>
                </w14:textFill>
              </w:rPr>
              <w:t>, 2016</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 Idiopathic CD4 T-lymphocytopenia</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Meropenemz, 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Khadka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[27]</w:t>
            </w:r>
            <w:r>
              <w:rPr>
                <w:rFonts w:ascii="Book Antiqua" w:hAnsi="Book Antiqua"/>
                <w:color w:val="000000" w:themeColor="text1"/>
                <w:lang w:eastAsia="zh-CN"/>
                <w14:textFill>
                  <w14:solidFill>
                    <w14:schemeClr w14:val="tx1"/>
                  </w14:solidFill>
                </w14:textFill>
              </w:rPr>
              <w:t>, 2017</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Renal transplant, Pulmonary tuber-culosis</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Lung+Brain+ Celiac lymph nodes</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Kobayashi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[28]</w:t>
            </w:r>
            <w:r>
              <w:rPr>
                <w:rFonts w:ascii="Book Antiqua" w:hAnsi="Book Antiqua"/>
                <w:color w:val="000000" w:themeColor="text1"/>
                <w:lang w:eastAsia="zh-CN"/>
                <w14:textFill>
                  <w14:solidFill>
                    <w14:schemeClr w14:val="tx1"/>
                  </w14:solidFill>
                </w14:textFill>
              </w:rPr>
              <w:t>, 2018</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 Olfactory neuroblastoma, Ectopic adrenocorticotropic hormone</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Khaliq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[29]</w:t>
            </w:r>
            <w:r>
              <w:rPr>
                <w:rFonts w:ascii="Book Antiqua" w:hAnsi="Book Antiqua"/>
                <w:color w:val="000000" w:themeColor="text1"/>
                <w:lang w:eastAsia="zh-CN"/>
                <w14:textFill>
                  <w14:solidFill>
                    <w14:schemeClr w14:val="tx1"/>
                  </w14:solidFill>
                </w14:textFill>
              </w:rPr>
              <w:t>, 2019</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Cladophialophora bantiana Cerebral Phaeohyphomycosis</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tissue</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Meropenem, Voriconazole, Liposomal amphotericin</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Died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Miyaoka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[30]</w:t>
            </w:r>
            <w:r>
              <w:rPr>
                <w:rFonts w:ascii="Book Antiqua" w:hAnsi="Book Antiqua"/>
                <w:color w:val="000000" w:themeColor="text1"/>
                <w:lang w:eastAsia="zh-CN"/>
                <w14:textFill>
                  <w14:solidFill>
                    <w14:schemeClr w14:val="tx1"/>
                  </w14:solidFill>
                </w14:textFill>
              </w:rPr>
              <w:t>, 2019</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Smoking</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Meropenem, 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Kato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[31]</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2019</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Radiation pneumonitis treated with prednisolone [PSL (50 mg/d)]</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The PCR of 16S rRNA gene of the 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Doripenem</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Deterding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[32]</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2020</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heart transplant recipient requiring dialysis</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Amikacin, Imipenem </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Campoli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[33]</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2020</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Liver transplant, Cutaneous infection by Alternaria alternata</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 Linezolid, Ceftriaxone</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Meena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[34]</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2020</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Pulmonary tuberculosis and COPD</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Wu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[35]</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2021</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Pulmonary alveolar proteinosis</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Lung </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tissue</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TMP-SMZ</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63" w:hRule="atLeast"/>
        </w:trPr>
        <w:tc>
          <w:tcPr>
            <w:tcW w:w="880"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 xml:space="preserve">Atemnkeng </w:t>
            </w:r>
            <w:r>
              <w:rPr>
                <w:rFonts w:ascii="Book Antiqua" w:hAnsi="Book Antiqua"/>
                <w:i/>
                <w:iCs/>
                <w:color w:val="000000" w:themeColor="text1"/>
                <w:lang w:eastAsia="zh-CN"/>
                <w14:textFill>
                  <w14:solidFill>
                    <w14:schemeClr w14:val="tx1"/>
                  </w14:solidFill>
                </w14:textFill>
              </w:rPr>
              <w:t>et al</w:t>
            </w:r>
            <w:r>
              <w:rPr>
                <w:rFonts w:ascii="Book Antiqua" w:hAnsi="Book Antiqua"/>
                <w:color w:val="000000" w:themeColor="text1"/>
                <w:vertAlign w:val="superscript"/>
                <w:lang w:eastAsia="zh-CN"/>
                <w14:textFill>
                  <w14:solidFill>
                    <w14:schemeClr w14:val="tx1"/>
                  </w14:solidFill>
                </w14:textFill>
              </w:rPr>
              <w:t>[36]</w:t>
            </w:r>
            <w:r>
              <w:rPr>
                <w:rFonts w:ascii="Book Antiqua" w:hAnsi="Book Antiqua"/>
                <w:i/>
                <w:iCs/>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2021</w:t>
            </w:r>
          </w:p>
        </w:tc>
        <w:tc>
          <w:tcPr>
            <w:tcW w:w="1186"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COVID-19 Pneumonia</w:t>
            </w:r>
          </w:p>
        </w:tc>
        <w:tc>
          <w:tcPr>
            <w:tcW w:w="81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Lung +Brain</w:t>
            </w:r>
          </w:p>
        </w:tc>
        <w:tc>
          <w:tcPr>
            <w:tcW w:w="644"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BALF</w:t>
            </w:r>
          </w:p>
        </w:tc>
        <w:tc>
          <w:tcPr>
            <w:tcW w:w="843"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Meropenem, TMP-SMZ, Linezolid</w:t>
            </w:r>
          </w:p>
        </w:tc>
        <w:tc>
          <w:tcPr>
            <w:tcW w:w="635" w:type="pct"/>
            <w:shd w:val="clear" w:color="auto" w:fill="auto"/>
            <w:tcMar>
              <w:top w:w="25" w:type="dxa"/>
              <w:left w:w="115" w:type="dxa"/>
              <w:bottom w:w="25" w:type="dxa"/>
              <w:right w:w="115" w:type="dxa"/>
            </w:tcMar>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Improved</w:t>
            </w:r>
          </w:p>
        </w:tc>
      </w:tr>
    </w:tbl>
    <w:p>
      <w:pPr>
        <w:spacing w:line="360" w:lineRule="auto"/>
        <w:jc w:val="both"/>
        <w:rPr>
          <w:rFonts w:hint="eastAsia"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color w:val="000000" w:themeColor="text1"/>
          <w:lang w:eastAsia="zh-CN"/>
          <w14:textFill>
            <w14:solidFill>
              <w14:schemeClr w14:val="tx1"/>
            </w14:solidFill>
          </w14:textFill>
        </w:rPr>
        <w:t>TMP-SMZ: Trimethoprim-sulfamethoxazole</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BALF: Bronchoalveolar lavage fluid</w:t>
      </w:r>
      <w:r>
        <w:rPr>
          <w:rFonts w:hint="eastAsia" w:ascii="Book Antiqua" w:hAnsi="Book Antiqua"/>
          <w:color w:val="000000" w:themeColor="text1"/>
          <w:lang w:eastAsia="zh-CN"/>
          <w14:textFill>
            <w14:solidFill>
              <w14:schemeClr w14:val="tx1"/>
            </w14:solidFill>
          </w14:textFill>
        </w:rPr>
        <w:t>; PCR:</w:t>
      </w:r>
      <w:r>
        <w:rPr>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Polymerase Chain Reaction</w:t>
      </w:r>
      <w:r>
        <w:rPr>
          <w:rFonts w:hint="eastAsia" w:ascii="Book Antiqua" w:hAnsi="Book Antiqua"/>
          <w:color w:val="000000" w:themeColor="text1"/>
          <w:lang w:eastAsia="zh-CN"/>
          <w14:textFill>
            <w14:solidFill>
              <w14:schemeClr w14:val="tx1"/>
            </w14:solidFill>
          </w14:textFill>
        </w:rPr>
        <w:t>; COPD: C</w:t>
      </w:r>
      <w:r>
        <w:rPr>
          <w:rFonts w:ascii="Book Antiqua" w:hAnsi="Book Antiqua"/>
          <w:color w:val="000000" w:themeColor="text1"/>
          <w:lang w:eastAsia="zh-CN"/>
          <w14:textFill>
            <w14:solidFill>
              <w14:schemeClr w14:val="tx1"/>
            </w14:solidFill>
          </w14:textFill>
        </w:rPr>
        <w:t>hronic obstructive pulmonary disease</w:t>
      </w:r>
      <w:r>
        <w:rPr>
          <w:rFonts w:hint="eastAsia" w:ascii="Book Antiqua" w:hAnsi="Book Antiqua"/>
          <w:color w:val="000000" w:themeColor="text1"/>
          <w:lang w:eastAsia="zh-CN"/>
          <w14:textFill>
            <w14:solidFill>
              <w14:schemeClr w14:val="tx1"/>
            </w14:solidFill>
          </w14:textFill>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26</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4904"/>
    <w:rsid w:val="000172EA"/>
    <w:rsid w:val="00031929"/>
    <w:rsid w:val="00045E62"/>
    <w:rsid w:val="00063ADB"/>
    <w:rsid w:val="00065152"/>
    <w:rsid w:val="000A3578"/>
    <w:rsid w:val="000B7A17"/>
    <w:rsid w:val="000F62E2"/>
    <w:rsid w:val="00115A3D"/>
    <w:rsid w:val="00131BD6"/>
    <w:rsid w:val="001647A3"/>
    <w:rsid w:val="00181180"/>
    <w:rsid w:val="001907AF"/>
    <w:rsid w:val="0019256B"/>
    <w:rsid w:val="001A02AD"/>
    <w:rsid w:val="001B4035"/>
    <w:rsid w:val="001B452E"/>
    <w:rsid w:val="001D524A"/>
    <w:rsid w:val="001E6C08"/>
    <w:rsid w:val="002047EB"/>
    <w:rsid w:val="00230A63"/>
    <w:rsid w:val="00273386"/>
    <w:rsid w:val="002942C9"/>
    <w:rsid w:val="002B6C03"/>
    <w:rsid w:val="002C23D0"/>
    <w:rsid w:val="002D239F"/>
    <w:rsid w:val="002E4207"/>
    <w:rsid w:val="002F3CAB"/>
    <w:rsid w:val="00307A82"/>
    <w:rsid w:val="00312886"/>
    <w:rsid w:val="00320E6A"/>
    <w:rsid w:val="00324B0A"/>
    <w:rsid w:val="00340061"/>
    <w:rsid w:val="00346DB3"/>
    <w:rsid w:val="0045445A"/>
    <w:rsid w:val="00492956"/>
    <w:rsid w:val="004B0F9F"/>
    <w:rsid w:val="00504091"/>
    <w:rsid w:val="00514861"/>
    <w:rsid w:val="00530BDD"/>
    <w:rsid w:val="00537F55"/>
    <w:rsid w:val="0057213D"/>
    <w:rsid w:val="00581040"/>
    <w:rsid w:val="005A6401"/>
    <w:rsid w:val="00624BFD"/>
    <w:rsid w:val="006A5284"/>
    <w:rsid w:val="006E42BF"/>
    <w:rsid w:val="007046FE"/>
    <w:rsid w:val="00723D71"/>
    <w:rsid w:val="0078195B"/>
    <w:rsid w:val="007946E5"/>
    <w:rsid w:val="007C31F7"/>
    <w:rsid w:val="007D4E11"/>
    <w:rsid w:val="007E0D0D"/>
    <w:rsid w:val="007E2FA5"/>
    <w:rsid w:val="0081723A"/>
    <w:rsid w:val="0082046D"/>
    <w:rsid w:val="00824112"/>
    <w:rsid w:val="00840019"/>
    <w:rsid w:val="00842F5C"/>
    <w:rsid w:val="0085106A"/>
    <w:rsid w:val="00851856"/>
    <w:rsid w:val="00876397"/>
    <w:rsid w:val="008923E3"/>
    <w:rsid w:val="008B111E"/>
    <w:rsid w:val="008B6892"/>
    <w:rsid w:val="008C5D8C"/>
    <w:rsid w:val="009223E8"/>
    <w:rsid w:val="00940266"/>
    <w:rsid w:val="00965B5F"/>
    <w:rsid w:val="00971068"/>
    <w:rsid w:val="009756A9"/>
    <w:rsid w:val="009B6A8F"/>
    <w:rsid w:val="009C0627"/>
    <w:rsid w:val="009C1992"/>
    <w:rsid w:val="009C4366"/>
    <w:rsid w:val="00A0375F"/>
    <w:rsid w:val="00A13107"/>
    <w:rsid w:val="00A41914"/>
    <w:rsid w:val="00A439E3"/>
    <w:rsid w:val="00A522D4"/>
    <w:rsid w:val="00A77B3E"/>
    <w:rsid w:val="00A97E91"/>
    <w:rsid w:val="00AA0D5F"/>
    <w:rsid w:val="00AA23B2"/>
    <w:rsid w:val="00AB1F13"/>
    <w:rsid w:val="00AE5129"/>
    <w:rsid w:val="00AF0C3F"/>
    <w:rsid w:val="00AF0EE7"/>
    <w:rsid w:val="00AF68D0"/>
    <w:rsid w:val="00B22154"/>
    <w:rsid w:val="00B243E3"/>
    <w:rsid w:val="00B27C64"/>
    <w:rsid w:val="00B37FC8"/>
    <w:rsid w:val="00B450BF"/>
    <w:rsid w:val="00B56724"/>
    <w:rsid w:val="00B746AD"/>
    <w:rsid w:val="00B803A4"/>
    <w:rsid w:val="00B80546"/>
    <w:rsid w:val="00B96E5F"/>
    <w:rsid w:val="00BA2885"/>
    <w:rsid w:val="00BB167D"/>
    <w:rsid w:val="00BC0EFD"/>
    <w:rsid w:val="00BF55D9"/>
    <w:rsid w:val="00C17578"/>
    <w:rsid w:val="00C31B79"/>
    <w:rsid w:val="00C361D7"/>
    <w:rsid w:val="00C701F5"/>
    <w:rsid w:val="00C76EC9"/>
    <w:rsid w:val="00CA2A55"/>
    <w:rsid w:val="00CB0F74"/>
    <w:rsid w:val="00CC1E92"/>
    <w:rsid w:val="00CC3EE1"/>
    <w:rsid w:val="00D0793A"/>
    <w:rsid w:val="00D16C2F"/>
    <w:rsid w:val="00D36D24"/>
    <w:rsid w:val="00D41EEA"/>
    <w:rsid w:val="00D43888"/>
    <w:rsid w:val="00D50832"/>
    <w:rsid w:val="00D628E0"/>
    <w:rsid w:val="00D710E2"/>
    <w:rsid w:val="00D84D85"/>
    <w:rsid w:val="00DB4D4A"/>
    <w:rsid w:val="00DD0967"/>
    <w:rsid w:val="00DE431B"/>
    <w:rsid w:val="00E1654C"/>
    <w:rsid w:val="00E45AB1"/>
    <w:rsid w:val="00ED3DDC"/>
    <w:rsid w:val="00F0122A"/>
    <w:rsid w:val="00F039A5"/>
    <w:rsid w:val="00F10CF3"/>
    <w:rsid w:val="00F142FB"/>
    <w:rsid w:val="00F41A36"/>
    <w:rsid w:val="00F514DA"/>
    <w:rsid w:val="00F51896"/>
    <w:rsid w:val="00F72663"/>
    <w:rsid w:val="00FA1023"/>
    <w:rsid w:val="00FD09FB"/>
    <w:rsid w:val="00FD26D7"/>
    <w:rsid w:val="223D76EE"/>
    <w:rsid w:val="2C6D7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qFormat="1" w:unhideWhenUsed="0" w:uiPriority="0" w:semiHidden="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iPriority w:val="0"/>
  </w:style>
  <w:style w:type="paragraph" w:styleId="3">
    <w:name w:val="Balloon Text"/>
    <w:basedOn w:val="1"/>
    <w:link w:val="12"/>
    <w:qFormat/>
    <w:uiPriority w:val="0"/>
    <w:rPr>
      <w:sz w:val="18"/>
      <w:szCs w:val="18"/>
    </w:rPr>
  </w:style>
  <w:style w:type="paragraph" w:styleId="4">
    <w:name w:val="footer"/>
    <w:basedOn w:val="1"/>
    <w:link w:val="14"/>
    <w:uiPriority w:val="99"/>
    <w:pPr>
      <w:tabs>
        <w:tab w:val="center" w:pos="4153"/>
        <w:tab w:val="right" w:pos="8306"/>
      </w:tabs>
      <w:snapToGrid w:val="0"/>
    </w:pPr>
    <w:rPr>
      <w:sz w:val="18"/>
      <w:szCs w:val="18"/>
    </w:rPr>
  </w:style>
  <w:style w:type="paragraph" w:styleId="5">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character" w:styleId="10">
    <w:name w:val="line number"/>
    <w:basedOn w:val="9"/>
    <w:qFormat/>
    <w:uiPriority w:val="0"/>
  </w:style>
  <w:style w:type="character" w:styleId="11">
    <w:name w:val="annotation reference"/>
    <w:basedOn w:val="9"/>
    <w:uiPriority w:val="0"/>
    <w:rPr>
      <w:sz w:val="21"/>
      <w:szCs w:val="21"/>
    </w:rPr>
  </w:style>
  <w:style w:type="character" w:customStyle="1" w:styleId="12">
    <w:name w:val="批注框文本 字符"/>
    <w:basedOn w:val="9"/>
    <w:link w:val="3"/>
    <w:uiPriority w:val="0"/>
    <w:rPr>
      <w:sz w:val="18"/>
      <w:szCs w:val="18"/>
    </w:rPr>
  </w:style>
  <w:style w:type="character" w:customStyle="1" w:styleId="13">
    <w:name w:val="页眉 字符"/>
    <w:basedOn w:val="9"/>
    <w:link w:val="5"/>
    <w:uiPriority w:val="99"/>
    <w:rPr>
      <w:sz w:val="18"/>
      <w:szCs w:val="18"/>
    </w:rPr>
  </w:style>
  <w:style w:type="character" w:customStyle="1" w:styleId="14">
    <w:name w:val="页脚 字符"/>
    <w:basedOn w:val="9"/>
    <w:link w:val="4"/>
    <w:qFormat/>
    <w:uiPriority w:val="99"/>
    <w:rPr>
      <w:sz w:val="18"/>
      <w:szCs w:val="18"/>
    </w:rPr>
  </w:style>
  <w:style w:type="character" w:customStyle="1" w:styleId="15">
    <w:name w:val="批注文字 字符"/>
    <w:basedOn w:val="9"/>
    <w:link w:val="2"/>
    <w:uiPriority w:val="0"/>
    <w:rPr>
      <w:sz w:val="24"/>
      <w:szCs w:val="24"/>
    </w:rPr>
  </w:style>
  <w:style w:type="character" w:customStyle="1" w:styleId="16">
    <w:name w:val="批注主题 字符"/>
    <w:basedOn w:val="15"/>
    <w:link w:val="7"/>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dxebase_office2010blu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0AF0-0C7F-42E6-8652-DA5E4CF5F4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4991</Words>
  <Characters>29262</Characters>
  <Lines>246</Lines>
  <Paragraphs>69</Paragraphs>
  <TotalTime>0</TotalTime>
  <ScaleCrop>false</ScaleCrop>
  <LinksUpToDate>false</LinksUpToDate>
  <CharactersWithSpaces>33994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2022-08-21T21:14:00Z</dcterms:created>
  <dc:creator>lenovo</dc:creator>
  <cp:lastModifiedBy>晓晨</cp:lastModifiedBy>
  <dcterms:modified xsi:type="dcterms:W3CDTF">2022-09-27T08:17:18Z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966A566C69194375B0C1D27E61AAB02A</vt:lpwstr>
  </property>
</Properties>
</file>