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s="Tahoma"/>
        </w:rPr>
      </w:pPr>
      <w:r>
        <w:rPr>
          <w:rFonts w:ascii="Book Antiqua" w:hAnsi="Book Antiqua" w:eastAsia="Book Antiqua" w:cs="Tahoma"/>
          <w:b/>
        </w:rPr>
        <w:t xml:space="preserve">Name of Journal: </w:t>
      </w:r>
      <w:r>
        <w:rPr>
          <w:rFonts w:ascii="Book Antiqua" w:hAnsi="Book Antiqua" w:eastAsia="Book Antiqua" w:cs="Tahoma"/>
          <w:i/>
        </w:rPr>
        <w:t>World Journal of Clinical Cases</w:t>
      </w:r>
    </w:p>
    <w:p>
      <w:pPr>
        <w:spacing w:line="360" w:lineRule="auto"/>
        <w:jc w:val="both"/>
        <w:rPr>
          <w:rFonts w:ascii="Book Antiqua" w:hAnsi="Book Antiqua" w:cs="Tahoma"/>
        </w:rPr>
      </w:pPr>
      <w:r>
        <w:rPr>
          <w:rFonts w:ascii="Book Antiqua" w:hAnsi="Book Antiqua" w:eastAsia="Book Antiqua" w:cs="Tahoma"/>
          <w:b/>
        </w:rPr>
        <w:t xml:space="preserve">Manuscript NO: </w:t>
      </w:r>
      <w:r>
        <w:rPr>
          <w:rFonts w:ascii="Book Antiqua" w:hAnsi="Book Antiqua" w:eastAsia="Book Antiqua" w:cs="Tahoma"/>
        </w:rPr>
        <w:t>77403</w:t>
      </w:r>
    </w:p>
    <w:p>
      <w:pPr>
        <w:spacing w:line="360" w:lineRule="auto"/>
        <w:jc w:val="both"/>
        <w:rPr>
          <w:rFonts w:ascii="Book Antiqua" w:hAnsi="Book Antiqua" w:cs="Tahoma"/>
        </w:rPr>
      </w:pPr>
      <w:r>
        <w:rPr>
          <w:rFonts w:ascii="Book Antiqua" w:hAnsi="Book Antiqua" w:eastAsia="Book Antiqua" w:cs="Tahoma"/>
          <w:b/>
        </w:rPr>
        <w:t xml:space="preserve">Manuscript Type: </w:t>
      </w:r>
      <w:r>
        <w:rPr>
          <w:rFonts w:ascii="Book Antiqua" w:hAnsi="Book Antiqua" w:eastAsia="Book Antiqua" w:cs="Tahoma"/>
        </w:rPr>
        <w:t>CASE REPORT</w:t>
      </w:r>
    </w:p>
    <w:p>
      <w:pPr>
        <w:spacing w:line="360" w:lineRule="auto"/>
        <w:jc w:val="both"/>
        <w:rPr>
          <w:rFonts w:ascii="Book Antiqua" w:hAnsi="Book Antiqua" w:cs="Tahoma"/>
        </w:rPr>
      </w:pPr>
    </w:p>
    <w:p>
      <w:pPr>
        <w:spacing w:line="360" w:lineRule="auto"/>
        <w:jc w:val="both"/>
        <w:rPr>
          <w:rFonts w:ascii="Book Antiqua" w:hAnsi="Book Antiqua" w:eastAsia="Book Antiqua" w:cs="Tahoma"/>
          <w:b/>
        </w:rPr>
      </w:pPr>
      <w:r>
        <w:rPr>
          <w:rFonts w:ascii="Book Antiqua" w:hAnsi="Book Antiqua" w:eastAsia="Book Antiqua" w:cs="Tahoma"/>
          <w:b/>
        </w:rPr>
        <w:t>Myeloid sarcoma with ulnar nerve entrapment: A case report</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rPr>
        <w:t xml:space="preserve">Li DP </w:t>
      </w:r>
      <w:r>
        <w:rPr>
          <w:rFonts w:ascii="Book Antiqua" w:hAnsi="Book Antiqua" w:eastAsia="Book Antiqua" w:cs="Tahoma"/>
          <w:i/>
          <w:iCs/>
        </w:rPr>
        <w:t>et al</w:t>
      </w:r>
      <w:r>
        <w:rPr>
          <w:rFonts w:ascii="Book Antiqua" w:hAnsi="Book Antiqua" w:eastAsia="Book Antiqua" w:cs="Tahoma"/>
        </w:rPr>
        <w:t>. MS with ulnar nerve entrapment</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rPr>
        <w:t>Da-Peng Li, Chao-Zong Liu, Mortimer Jeremy, Xin Li, Jin-Chao Wang, Swastina Nath Varma, Ting-Ting Gai, Wei-Qi Tian, Qi Zou, Yan-Mian Wei, Hao-Yu Wang, Chang-Jiang Long, Yu Zhou</w:t>
      </w:r>
    </w:p>
    <w:p>
      <w:pPr>
        <w:spacing w:line="360" w:lineRule="auto"/>
        <w:jc w:val="both"/>
        <w:rPr>
          <w:rFonts w:ascii="Book Antiqua" w:hAnsi="Book Antiqua" w:cs="Tahoma"/>
        </w:rPr>
      </w:pPr>
    </w:p>
    <w:p>
      <w:pPr>
        <w:spacing w:line="360" w:lineRule="auto"/>
        <w:jc w:val="both"/>
        <w:rPr>
          <w:rFonts w:ascii="Book Antiqua" w:hAnsi="Book Antiqua" w:cs="Tahoma"/>
          <w:bCs/>
          <w:lang w:eastAsia="zh-CN"/>
        </w:rPr>
      </w:pPr>
      <w:r>
        <w:rPr>
          <w:rFonts w:ascii="Book Antiqua" w:hAnsi="Book Antiqua" w:eastAsia="Book Antiqua" w:cs="Tahoma"/>
          <w:b/>
          <w:bCs/>
        </w:rPr>
        <w:t xml:space="preserve">Da-Peng Li, Jin-Chao Wang, Ting-Ting Gai, Wei-Qi Tian, Yan-Mian Wei, </w:t>
      </w:r>
      <w:r>
        <w:rPr>
          <w:rFonts w:ascii="Book Antiqua" w:hAnsi="Book Antiqua" w:eastAsia="Book Antiqua" w:cs="Tahoma"/>
          <w:bCs/>
        </w:rPr>
        <w:t xml:space="preserve">Yantai Hospital of Shandong Wendeng Osteopathic </w:t>
      </w:r>
      <w:r>
        <w:rPr>
          <w:rFonts w:hint="eastAsia" w:ascii="Book Antiqua" w:hAnsi="Book Antiqua" w:eastAsia="宋体" w:cs="宋体"/>
          <w:bCs/>
          <w:lang w:eastAsia="zh-CN"/>
        </w:rPr>
        <w:t>&amp;</w:t>
      </w:r>
      <w:r>
        <w:rPr>
          <w:rFonts w:ascii="Book Antiqua" w:hAnsi="Book Antiqua" w:eastAsia="Book Antiqua" w:cs="Tahoma"/>
          <w:bCs/>
        </w:rPr>
        <w:t xml:space="preserve"> Traumatology, Hand and Foot Microsurgery, Yantai 264009, Shandong Province, China</w:t>
      </w:r>
    </w:p>
    <w:p>
      <w:pPr>
        <w:spacing w:line="360" w:lineRule="auto"/>
        <w:jc w:val="both"/>
        <w:rPr>
          <w:rFonts w:ascii="Book Antiqua" w:hAnsi="Book Antiqua" w:cs="Tahoma"/>
          <w:lang w:eastAsia="zh-CN"/>
        </w:rPr>
      </w:pPr>
    </w:p>
    <w:p>
      <w:pPr>
        <w:spacing w:line="360" w:lineRule="auto"/>
        <w:jc w:val="both"/>
        <w:rPr>
          <w:rFonts w:ascii="Book Antiqua" w:hAnsi="Book Antiqua" w:cs="Tahoma"/>
          <w:b/>
          <w:bCs/>
          <w:lang w:eastAsia="zh-CN"/>
        </w:rPr>
      </w:pPr>
      <w:r>
        <w:rPr>
          <w:rFonts w:ascii="Book Antiqua" w:hAnsi="Book Antiqua" w:eastAsia="Book Antiqua" w:cs="Tahoma"/>
          <w:b/>
          <w:bCs/>
        </w:rPr>
        <w:t xml:space="preserve">Chao-Zong Liu, Mortimer Jeremy, Swastina Nath Varma, Hao-Yu Wang, </w:t>
      </w:r>
      <w:r>
        <w:rPr>
          <w:rFonts w:ascii="Book Antiqua" w:hAnsi="Book Antiqua" w:eastAsia="Book Antiqua" w:cs="Tahoma"/>
          <w:bCs/>
        </w:rPr>
        <w:t>University College London, Royal National Orthopaedic Hospital, London HA7 4LP, United Kingdom</w:t>
      </w:r>
    </w:p>
    <w:p>
      <w:pPr>
        <w:spacing w:line="360" w:lineRule="auto"/>
        <w:jc w:val="both"/>
        <w:rPr>
          <w:rFonts w:ascii="Book Antiqua" w:hAnsi="Book Antiqua" w:cs="Tahoma"/>
          <w:b/>
          <w:bCs/>
          <w:lang w:eastAsia="zh-CN"/>
        </w:rPr>
      </w:pPr>
    </w:p>
    <w:p>
      <w:pPr>
        <w:spacing w:line="360" w:lineRule="auto"/>
        <w:jc w:val="both"/>
        <w:rPr>
          <w:rFonts w:ascii="Book Antiqua" w:hAnsi="Book Antiqua" w:cs="Tahoma"/>
          <w:b/>
          <w:bCs/>
          <w:lang w:eastAsia="zh-CN"/>
        </w:rPr>
      </w:pPr>
      <w:r>
        <w:rPr>
          <w:rFonts w:ascii="Book Antiqua" w:hAnsi="Book Antiqua" w:eastAsia="Book Antiqua" w:cs="Tahoma"/>
          <w:b/>
          <w:bCs/>
        </w:rPr>
        <w:t xml:space="preserve">Xin Li, </w:t>
      </w:r>
      <w:r>
        <w:rPr>
          <w:rFonts w:ascii="Book Antiqua" w:hAnsi="Book Antiqua" w:eastAsia="Book Antiqua" w:cs="Tahoma"/>
          <w:bCs/>
        </w:rPr>
        <w:t>Jilin Ginseng Academy, Changchun University of Chinese Medicine, Changchun 130000, Jilin Province, China</w:t>
      </w:r>
    </w:p>
    <w:p>
      <w:pPr>
        <w:spacing w:line="360" w:lineRule="auto"/>
        <w:jc w:val="both"/>
        <w:rPr>
          <w:rFonts w:ascii="Book Antiqua" w:hAnsi="Book Antiqua" w:cs="Tahoma"/>
          <w:b/>
          <w:bCs/>
          <w:lang w:eastAsia="zh-CN"/>
        </w:rPr>
      </w:pPr>
    </w:p>
    <w:p>
      <w:pPr>
        <w:spacing w:line="360" w:lineRule="auto"/>
        <w:jc w:val="both"/>
        <w:rPr>
          <w:rFonts w:ascii="Book Antiqua" w:hAnsi="Book Antiqua" w:cs="Tahoma"/>
          <w:b/>
          <w:bCs/>
          <w:lang w:eastAsia="zh-CN"/>
        </w:rPr>
      </w:pPr>
      <w:r>
        <w:rPr>
          <w:rFonts w:ascii="Book Antiqua" w:hAnsi="Book Antiqua" w:eastAsia="Book Antiqua" w:cs="Tahoma"/>
          <w:b/>
          <w:bCs/>
        </w:rPr>
        <w:t xml:space="preserve">Qi Zou, </w:t>
      </w:r>
      <w:r>
        <w:rPr>
          <w:rFonts w:ascii="Book Antiqua" w:hAnsi="Book Antiqua" w:eastAsia="Book Antiqua" w:cs="Tahoma"/>
          <w:bCs/>
        </w:rPr>
        <w:t xml:space="preserve">Yantai Hospital of Shandong Wendeng Osteopathic </w:t>
      </w:r>
      <w:r>
        <w:rPr>
          <w:rFonts w:hint="eastAsia" w:ascii="Book Antiqua" w:hAnsi="Book Antiqua" w:eastAsia="宋体" w:cs="宋体"/>
          <w:bCs/>
          <w:lang w:eastAsia="zh-CN"/>
        </w:rPr>
        <w:t>&amp;</w:t>
      </w:r>
      <w:r>
        <w:rPr>
          <w:rFonts w:ascii="Book Antiqua" w:hAnsi="Book Antiqua" w:eastAsia="Book Antiqua" w:cs="Tahoma"/>
          <w:bCs/>
        </w:rPr>
        <w:t xml:space="preserve"> Traumatology, Hand and </w:t>
      </w:r>
      <w:r>
        <w:rPr>
          <w:rFonts w:ascii="Book Antiqua" w:hAnsi="Book Antiqua" w:cs="Tahoma"/>
          <w:bCs/>
          <w:lang w:eastAsia="zh-CN"/>
        </w:rPr>
        <w:t>F</w:t>
      </w:r>
      <w:r>
        <w:rPr>
          <w:rFonts w:ascii="Book Antiqua" w:hAnsi="Book Antiqua" w:eastAsia="Book Antiqua" w:cs="Tahoma"/>
          <w:bCs/>
        </w:rPr>
        <w:t xml:space="preserve">oot </w:t>
      </w:r>
      <w:r>
        <w:rPr>
          <w:rFonts w:ascii="Book Antiqua" w:hAnsi="Book Antiqua" w:cs="Tahoma"/>
          <w:bCs/>
          <w:lang w:eastAsia="zh-CN"/>
        </w:rPr>
        <w:t>M</w:t>
      </w:r>
      <w:r>
        <w:rPr>
          <w:rFonts w:ascii="Book Antiqua" w:hAnsi="Book Antiqua" w:eastAsia="Book Antiqua" w:cs="Tahoma"/>
          <w:bCs/>
        </w:rPr>
        <w:t>icrosurgery, Yantai 264009, China</w:t>
      </w:r>
    </w:p>
    <w:p>
      <w:pPr>
        <w:spacing w:line="360" w:lineRule="auto"/>
        <w:jc w:val="both"/>
        <w:rPr>
          <w:rFonts w:ascii="Book Antiqua" w:hAnsi="Book Antiqua" w:cs="Tahoma"/>
          <w:b/>
          <w:bCs/>
          <w:lang w:eastAsia="zh-CN"/>
        </w:rPr>
      </w:pPr>
    </w:p>
    <w:p>
      <w:pPr>
        <w:spacing w:line="360" w:lineRule="auto"/>
        <w:jc w:val="both"/>
        <w:rPr>
          <w:rFonts w:ascii="Book Antiqua" w:hAnsi="Book Antiqua" w:cs="Tahoma"/>
          <w:b/>
          <w:bCs/>
          <w:lang w:eastAsia="zh-CN"/>
        </w:rPr>
      </w:pPr>
      <w:r>
        <w:rPr>
          <w:rFonts w:ascii="Book Antiqua" w:hAnsi="Book Antiqua" w:eastAsia="Book Antiqua" w:cs="Tahoma"/>
          <w:b/>
          <w:bCs/>
        </w:rPr>
        <w:t xml:space="preserve">Chang-Jiang Long, </w:t>
      </w:r>
      <w:r>
        <w:rPr>
          <w:rFonts w:ascii="Book Antiqua" w:hAnsi="Book Antiqua" w:eastAsia="Book Antiqua" w:cs="Tahoma"/>
          <w:bCs/>
        </w:rPr>
        <w:t>Qinhai University, Medical Institute, Xining 810000, Qinhai Province, China</w:t>
      </w:r>
    </w:p>
    <w:p>
      <w:pPr>
        <w:spacing w:line="360" w:lineRule="auto"/>
        <w:jc w:val="both"/>
        <w:rPr>
          <w:rFonts w:ascii="Book Antiqua" w:hAnsi="Book Antiqua" w:cs="Tahoma"/>
          <w:b/>
          <w:bCs/>
          <w:lang w:eastAsia="zh-CN"/>
        </w:rPr>
      </w:pPr>
    </w:p>
    <w:p>
      <w:pPr>
        <w:spacing w:line="360" w:lineRule="auto"/>
        <w:jc w:val="both"/>
        <w:rPr>
          <w:rFonts w:ascii="Book Antiqua" w:hAnsi="Book Antiqua" w:cs="Tahoma"/>
          <w:bCs/>
          <w:lang w:eastAsia="zh-CN"/>
        </w:rPr>
      </w:pPr>
      <w:r>
        <w:rPr>
          <w:rFonts w:ascii="Book Antiqua" w:hAnsi="Book Antiqua" w:eastAsia="Book Antiqua" w:cs="Tahoma"/>
          <w:b/>
          <w:bCs/>
        </w:rPr>
        <w:t xml:space="preserve">Yu Zhou, </w:t>
      </w:r>
      <w:r>
        <w:rPr>
          <w:rFonts w:ascii="Book Antiqua" w:hAnsi="Book Antiqua" w:eastAsia="Book Antiqua" w:cs="Tahoma"/>
          <w:bCs/>
        </w:rPr>
        <w:t>College of Traditional Chinese Medicine, Changchun University of Chinese Medicine, Changchun 130000, Jilin Province, China</w:t>
      </w:r>
    </w:p>
    <w:p>
      <w:pPr>
        <w:spacing w:line="360" w:lineRule="auto"/>
        <w:jc w:val="both"/>
        <w:rPr>
          <w:rFonts w:ascii="Book Antiqua" w:hAnsi="Book Antiqua" w:cs="Tahoma"/>
          <w:lang w:eastAsia="zh-CN"/>
        </w:rPr>
      </w:pPr>
    </w:p>
    <w:p>
      <w:pPr>
        <w:spacing w:line="360" w:lineRule="auto"/>
        <w:jc w:val="both"/>
        <w:rPr>
          <w:rFonts w:ascii="Book Antiqua" w:hAnsi="Book Antiqua" w:eastAsia="Book Antiqua" w:cs="Tahoma"/>
        </w:rPr>
      </w:pPr>
      <w:r>
        <w:rPr>
          <w:rFonts w:ascii="Book Antiqua" w:hAnsi="Book Antiqua" w:eastAsia="Book Antiqua" w:cs="Tahoma"/>
          <w:b/>
          <w:bCs/>
        </w:rPr>
        <w:t xml:space="preserve">Author contributions: </w:t>
      </w:r>
      <w:r>
        <w:rPr>
          <w:rFonts w:ascii="Book Antiqua" w:hAnsi="Book Antiqua" w:eastAsia="Book Antiqua" w:cs="Tahoma"/>
        </w:rPr>
        <w:t>Zhou</w:t>
      </w:r>
      <w:r>
        <w:rPr>
          <w:rFonts w:ascii="Book Antiqua" w:hAnsi="Book Antiqua" w:cs="Tahoma"/>
          <w:lang w:eastAsia="zh-CN"/>
        </w:rPr>
        <w:t xml:space="preserve"> </w:t>
      </w:r>
      <w:r>
        <w:rPr>
          <w:rFonts w:ascii="Book Antiqua" w:hAnsi="Book Antiqua" w:eastAsia="Book Antiqua" w:cs="Tahoma"/>
        </w:rPr>
        <w:t>Y, Li DP, and Wang JC designed the study; Gai TT, Zou Q, Wei YM</w:t>
      </w:r>
      <w:r>
        <w:rPr>
          <w:rFonts w:ascii="Book Antiqua" w:hAnsi="Book Antiqua" w:eastAsia="宋体" w:cs="宋体"/>
          <w:lang w:eastAsia="zh-CN"/>
        </w:rPr>
        <w:t>,</w:t>
      </w:r>
      <w:r>
        <w:rPr>
          <w:rFonts w:ascii="Book Antiqua" w:hAnsi="Book Antiqua" w:eastAsia="Book Antiqua" w:cs="Tahoma"/>
        </w:rPr>
        <w:t xml:space="preserve"> and Tian WQ collected the data; Zhou Y</w:t>
      </w:r>
      <w:r>
        <w:rPr>
          <w:rFonts w:ascii="Book Antiqua" w:hAnsi="Book Antiqua" w:cs="Tahoma"/>
          <w:lang w:eastAsia="zh-CN"/>
        </w:rPr>
        <w:t xml:space="preserve"> </w:t>
      </w:r>
      <w:r>
        <w:rPr>
          <w:rFonts w:ascii="Book Antiqua" w:hAnsi="Book Antiqua" w:eastAsia="Book Antiqua" w:cs="Tahoma"/>
        </w:rPr>
        <w:t>drafted the manuscript; Li DP performed the patient follow-up; Long CJ and Zhou Y</w:t>
      </w:r>
      <w:r>
        <w:rPr>
          <w:rFonts w:ascii="Book Antiqua" w:hAnsi="Book Antiqua" w:cs="Tahoma"/>
          <w:lang w:eastAsia="zh-CN"/>
        </w:rPr>
        <w:t xml:space="preserve"> </w:t>
      </w:r>
      <w:r>
        <w:rPr>
          <w:rFonts w:ascii="Book Antiqua" w:hAnsi="Book Antiqua" w:eastAsia="Book Antiqua" w:cs="Tahoma"/>
        </w:rPr>
        <w:t>did the retrospective study; Jeremy M, Nath Varma S, Wang HY</w:t>
      </w:r>
      <w:r>
        <w:rPr>
          <w:rFonts w:ascii="Book Antiqua" w:hAnsi="Book Antiqua" w:cs="Tahoma"/>
          <w:lang w:eastAsia="zh-CN"/>
        </w:rPr>
        <w:t>,</w:t>
      </w:r>
      <w:r>
        <w:rPr>
          <w:rFonts w:ascii="Book Antiqua" w:hAnsi="Book Antiqua" w:eastAsia="Book Antiqua" w:cs="Tahoma"/>
        </w:rPr>
        <w:t xml:space="preserve"> and Liu CZ reviewed and edited the manuscript; all authors have read and approved the manuscript.</w:t>
      </w:r>
    </w:p>
    <w:p>
      <w:pPr>
        <w:spacing w:line="360" w:lineRule="auto"/>
        <w:jc w:val="both"/>
        <w:rPr>
          <w:rFonts w:ascii="Book Antiqua" w:hAnsi="Book Antiqua" w:eastAsia="Book Antiqua" w:cs="Tahoma"/>
        </w:rPr>
      </w:pPr>
    </w:p>
    <w:p>
      <w:pPr>
        <w:spacing w:line="360" w:lineRule="auto"/>
        <w:jc w:val="both"/>
        <w:rPr>
          <w:rFonts w:ascii="Book Antiqua" w:hAnsi="Book Antiqua" w:cs="Tahoma"/>
        </w:rPr>
      </w:pPr>
      <w:r>
        <w:rPr>
          <w:rFonts w:ascii="Book Antiqua" w:hAnsi="Book Antiqua" w:eastAsia="Book Antiqua" w:cs="Tahoma"/>
          <w:b/>
          <w:bCs/>
        </w:rPr>
        <w:t xml:space="preserve">Corresponding author: Yu Zhou, MMed, Attending Doctor, Doctor, Neurosurgeon, Surgeon, </w:t>
      </w:r>
      <w:r>
        <w:rPr>
          <w:rFonts w:ascii="Book Antiqua" w:hAnsi="Book Antiqua" w:eastAsia="Book Antiqua" w:cs="Tahoma"/>
        </w:rPr>
        <w:t>College of Traditional Chinese Medicine, Changchun University of Chinese Medicine, No. 1035 Boshuo Road, Changchun 130000, Jilin Province, China. zyhenry123@163.com</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bCs/>
        </w:rPr>
        <w:t xml:space="preserve">Received: </w:t>
      </w:r>
      <w:r>
        <w:rPr>
          <w:rFonts w:ascii="Book Antiqua" w:hAnsi="Book Antiqua" w:eastAsia="Book Antiqua" w:cs="Tahoma"/>
        </w:rPr>
        <w:t>April 28, 2022</w:t>
      </w:r>
    </w:p>
    <w:p>
      <w:pPr>
        <w:spacing w:line="360" w:lineRule="auto"/>
        <w:jc w:val="both"/>
        <w:rPr>
          <w:rFonts w:ascii="Book Antiqua" w:hAnsi="Book Antiqua" w:cs="Tahoma"/>
        </w:rPr>
      </w:pPr>
      <w:r>
        <w:rPr>
          <w:rFonts w:ascii="Book Antiqua" w:hAnsi="Book Antiqua" w:eastAsia="Book Antiqua" w:cs="Tahoma"/>
          <w:b/>
          <w:bCs/>
        </w:rPr>
        <w:t xml:space="preserve">Revised: </w:t>
      </w:r>
      <w:r>
        <w:rPr>
          <w:rFonts w:ascii="Book Antiqua" w:hAnsi="Book Antiqua" w:eastAsia="Book Antiqua" w:cs="Tahoma"/>
          <w:bCs/>
        </w:rPr>
        <w:t>June 25, 2022</w:t>
      </w:r>
    </w:p>
    <w:p>
      <w:pPr>
        <w:spacing w:line="360" w:lineRule="auto"/>
        <w:jc w:val="both"/>
        <w:rPr>
          <w:rFonts w:ascii="Book Antiqua" w:hAnsi="Book Antiqua" w:eastAsia="Book Antiqua" w:cs="Tahoma"/>
          <w:b/>
          <w:bCs/>
        </w:rPr>
      </w:pPr>
      <w:r>
        <w:rPr>
          <w:rFonts w:ascii="Book Antiqua" w:hAnsi="Book Antiqua" w:eastAsia="Book Antiqua" w:cs="Tahoma"/>
          <w:b/>
          <w:bCs/>
        </w:rPr>
        <w:t xml:space="preserve">Accepted: </w:t>
      </w:r>
      <w:r>
        <w:rPr>
          <w:rFonts w:ascii="Book Antiqua" w:hAnsi="Book Antiqua" w:eastAsia="Book Antiqua" w:cs="Tahoma"/>
          <w:b w:val="0"/>
          <w:bCs w:val="0"/>
        </w:rPr>
        <w:t>August 23, 2022</w:t>
      </w:r>
    </w:p>
    <w:p>
      <w:pPr>
        <w:spacing w:line="360" w:lineRule="auto"/>
        <w:jc w:val="both"/>
        <w:rPr>
          <w:rFonts w:ascii="Book Antiqua" w:hAnsi="Book Antiqua" w:cs="Tahoma"/>
          <w:b/>
          <w:bCs/>
          <w:lang w:eastAsia="zh-CN"/>
        </w:rPr>
      </w:pPr>
      <w:r>
        <w:rPr>
          <w:rFonts w:ascii="Book Antiqua" w:hAnsi="Book Antiqua" w:eastAsia="Book Antiqua" w:cs="Tahoma"/>
          <w:b/>
          <w:bCs/>
        </w:rPr>
        <w:t>Published online:</w:t>
      </w:r>
      <w:r>
        <w:rPr>
          <w:rFonts w:hint="eastAsia" w:ascii="Book Antiqua" w:hAnsi="Book Antiqua" w:cs="Tahoma"/>
          <w:b/>
          <w:bCs/>
          <w:lang w:eastAsia="zh-CN"/>
        </w:rPr>
        <w:t xml:space="preserve"> </w:t>
      </w:r>
      <w:r>
        <w:rPr>
          <w:rFonts w:ascii="Book Antiqua" w:hAnsi="Book Antiqua" w:cs="Book Antiqua"/>
          <w:bCs/>
          <w:color w:val="000000"/>
          <w:lang w:eastAsia="zh-CN"/>
        </w:rPr>
        <w:t>October 6, 2022</w:t>
      </w:r>
      <w:r>
        <w:rPr>
          <w:rFonts w:ascii="Book Antiqua" w:hAnsi="Book Antiqua" w:cs="Tahoma"/>
          <w:b/>
          <w:bCs/>
          <w:lang w:eastAsia="zh-CN"/>
        </w:rPr>
        <w:t xml:space="preserve"> </w:t>
      </w:r>
    </w:p>
    <w:p>
      <w:pPr>
        <w:spacing w:line="360" w:lineRule="auto"/>
        <w:jc w:val="both"/>
        <w:rPr>
          <w:rFonts w:ascii="Book Antiqua" w:hAnsi="Book Antiqua" w:cs="Tahoma"/>
          <w:b/>
          <w:bCs/>
          <w:lang w:eastAsia="zh-CN"/>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Tahoma"/>
        </w:rPr>
      </w:pPr>
      <w:r>
        <w:rPr>
          <w:rFonts w:ascii="Book Antiqua" w:hAnsi="Book Antiqua" w:eastAsia="Book Antiqua" w:cs="Tahoma"/>
          <w:b/>
        </w:rPr>
        <w:t>Abstract</w:t>
      </w:r>
    </w:p>
    <w:p>
      <w:pPr>
        <w:spacing w:line="360" w:lineRule="auto"/>
        <w:jc w:val="both"/>
        <w:rPr>
          <w:rFonts w:ascii="Book Antiqua" w:hAnsi="Book Antiqua" w:cs="Tahoma"/>
        </w:rPr>
      </w:pPr>
      <w:r>
        <w:rPr>
          <w:rFonts w:ascii="Book Antiqua" w:hAnsi="Book Antiqua" w:eastAsia="Book Antiqua" w:cs="Tahoma"/>
        </w:rPr>
        <w:t>BACKGROUND</w:t>
      </w:r>
    </w:p>
    <w:p>
      <w:pPr>
        <w:spacing w:line="360" w:lineRule="auto"/>
        <w:jc w:val="both"/>
        <w:rPr>
          <w:rFonts w:ascii="Book Antiqua" w:hAnsi="Book Antiqua" w:cs="Tahoma"/>
        </w:rPr>
      </w:pPr>
      <w:r>
        <w:rPr>
          <w:rFonts w:ascii="Book Antiqua" w:hAnsi="Book Antiqua" w:eastAsia="Book Antiqua" w:cs="Tahoma"/>
        </w:rPr>
        <w:t>Myeloid sarcoma (MS) is relatively rare, occurring mainly in the skin and lymph nodes, and MS invasion of the ulnar nerve is particularly unusual. The main aim of this article is to present a case of MS invading the brachial plexus, causing ulnar nerve entrapment syndrome, and to further clinical understanding of the possibility of MS invasion of peripheral nerves.</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rPr>
        <w:t>CASE SUMMARY</w:t>
      </w:r>
    </w:p>
    <w:p>
      <w:pPr>
        <w:spacing w:line="360" w:lineRule="auto"/>
        <w:jc w:val="both"/>
        <w:rPr>
          <w:rFonts w:ascii="Book Antiqua" w:hAnsi="Book Antiqua" w:cs="Tahoma"/>
        </w:rPr>
      </w:pPr>
      <w:r>
        <w:rPr>
          <w:rFonts w:ascii="Book Antiqua" w:hAnsi="Book Antiqua" w:eastAsia="Book Antiqua" w:cs="Tahoma"/>
        </w:rPr>
        <w:t>We present the case of a 46-year-old man with a 13-year history of well-treated acute nonlymphocytic leukaemia who was admitted to the hospital after presenting with numbness and pain in his left little finger. The initial diagnosis was considered a simple case of nerve entrapment disease, with magnetic resonance imaging showing slightly abnormal left brachial plexus nerve alignment with local thickening, entrapment, and high signal on compression lipid images. Due to the severity of the ulnar nerve compression, we surgically investigated and cleared the entrapment and nerve tissue hyperplasia; however, subsequent pathological biopsy results revealed evidence of MS. The patient had significant relief from his neurological symptoms, with no postoperative complications, and was referred to the haemato-oncology department for further consultation about the primary disease. This is the first report of safe treatment of ulnar nerve entrapment from MS. It is intended to inform hand surgeons that nerve entrapment may be associated with extramedullary MS, as a rare presenting feature of the disease.</w:t>
      </w:r>
    </w:p>
    <w:p>
      <w:pPr>
        <w:spacing w:line="360" w:lineRule="auto"/>
        <w:jc w:val="both"/>
        <w:rPr>
          <w:rFonts w:ascii="Book Antiqua" w:hAnsi="Book Antiqua" w:cs="Tahoma"/>
          <w:lang w:eastAsia="zh-CN"/>
        </w:rPr>
      </w:pPr>
    </w:p>
    <w:p>
      <w:pPr>
        <w:spacing w:line="360" w:lineRule="auto"/>
        <w:jc w:val="both"/>
        <w:rPr>
          <w:rFonts w:ascii="Book Antiqua" w:hAnsi="Book Antiqua" w:cs="Tahoma"/>
        </w:rPr>
      </w:pPr>
      <w:r>
        <w:rPr>
          <w:rFonts w:ascii="Book Antiqua" w:hAnsi="Book Antiqua" w:eastAsia="Book Antiqua" w:cs="Tahoma"/>
        </w:rPr>
        <w:t>CONCLUSION</w:t>
      </w:r>
    </w:p>
    <w:p>
      <w:pPr>
        <w:spacing w:line="360" w:lineRule="auto"/>
        <w:jc w:val="both"/>
        <w:rPr>
          <w:rFonts w:ascii="Book Antiqua" w:hAnsi="Book Antiqua" w:cs="Tahoma"/>
        </w:rPr>
      </w:pPr>
      <w:r>
        <w:rPr>
          <w:rFonts w:ascii="Book Antiqua" w:hAnsi="Book Antiqua" w:eastAsia="Book Antiqua" w:cs="Tahoma"/>
        </w:rPr>
        <w:t>MS invasion of the brachial plexus and surrounding tissues of the upper arm, resulting in ulnar nerve entrapment and degeneration with significant neurological pain and numbness in the little finger, is uncommon. Surgical treatment significantly relieved the patient’s nerve entrapment symptoms and prevented further neurological impairment. This case is reported to highlight the rare presenting features of MS.</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bCs/>
        </w:rPr>
        <w:t xml:space="preserve">Key Words: </w:t>
      </w:r>
      <w:r>
        <w:rPr>
          <w:rFonts w:ascii="Book Antiqua" w:hAnsi="Book Antiqua" w:eastAsia="Book Antiqua" w:cs="Tahoma"/>
        </w:rPr>
        <w:t>Myeloid sarcoma; Ulnar nerve entrapment syndrome; Acute nonlymphocytic leukaemia; Sarcoma; Upper limb surgery; Case report</w:t>
      </w:r>
    </w:p>
    <w:p>
      <w:pPr>
        <w:spacing w:line="360" w:lineRule="auto"/>
        <w:jc w:val="both"/>
        <w:rPr>
          <w:rFonts w:ascii="Book Antiqua" w:hAnsi="Book Antiqua" w:cs="Tahom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cs="Tahom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Tahoma"/>
        </w:rPr>
        <w:t>Li DP, Liu CZ, Jeremy M, Li X, Wang JC, Nath Varma S, Gai TT, Tian WQ, Zou Q, Wei YM, Wang HY, Long CJ, Zhou Y. Myeloid sarcoma with ulnar nerve entrapment</w:t>
      </w:r>
      <w:r>
        <w:rPr>
          <w:rFonts w:ascii="Book Antiqua" w:hAnsi="Book Antiqua" w:eastAsia="宋体" w:cs="宋体"/>
          <w:lang w:eastAsia="zh-CN"/>
        </w:rPr>
        <w:t xml:space="preserve">: </w:t>
      </w:r>
      <w:r>
        <w:rPr>
          <w:rFonts w:ascii="Book Antiqua" w:hAnsi="Book Antiqua" w:eastAsia="Book Antiqua" w:cs="Tahoma"/>
        </w:rPr>
        <w:t xml:space="preserve">A case report. </w:t>
      </w:r>
      <w:r>
        <w:rPr>
          <w:rFonts w:ascii="Book Antiqua" w:hAnsi="Book Antiqua" w:eastAsia="Book Antiqua" w:cs="Tahoma"/>
          <w:i/>
        </w:rPr>
        <w:t xml:space="preserve">World J Clin Cases </w:t>
      </w:r>
      <w:r>
        <w:rPr>
          <w:rFonts w:ascii="Book Antiqua" w:hAnsi="Book Antiqua"/>
          <w:iCs/>
        </w:rPr>
        <w:t>202</w:t>
      </w:r>
      <w:r>
        <w:rPr>
          <w:rFonts w:hint="eastAsia" w:ascii="Book Antiqua" w:hAnsi="Book Antiqua"/>
          <w:iCs/>
          <w:lang w:eastAsia="zh-CN"/>
        </w:rPr>
        <w:t>2</w:t>
      </w:r>
      <w:r>
        <w:rPr>
          <w:rFonts w:ascii="Book Antiqua" w:hAnsi="Book Antiqua"/>
          <w:iCs/>
        </w:rPr>
        <w:t>;</w:t>
      </w:r>
      <w:r>
        <w:rPr>
          <w:rFonts w:ascii="Book Antiqua" w:hAnsi="Book Antiqua" w:eastAsia="Book Antiqua" w:cs="Book Antiqua"/>
          <w:color w:val="000000"/>
        </w:rPr>
        <w:t xml:space="preserve"> 10(2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10227-10235</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https://www.wjgnet.com/2307-8960/full/v10/i2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10227</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https://dx.doi.org/10.12998/wjcc.v10.i2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10227</w:t>
      </w:r>
    </w:p>
    <w:p>
      <w:pPr>
        <w:spacing w:line="360" w:lineRule="auto"/>
        <w:jc w:val="both"/>
        <w:rPr>
          <w:rFonts w:ascii="Book Antiqua" w:hAnsi="Book Antiqua" w:cs="Tahoma"/>
          <w:lang w:eastAsia="zh-CN"/>
        </w:rPr>
      </w:pPr>
    </w:p>
    <w:p>
      <w:pPr>
        <w:spacing w:line="360" w:lineRule="auto"/>
        <w:jc w:val="both"/>
        <w:rPr>
          <w:rFonts w:ascii="Book Antiqua" w:hAnsi="Book Antiqua" w:cs="Tahoma"/>
          <w:lang w:eastAsia="zh-CN"/>
        </w:rPr>
      </w:pPr>
    </w:p>
    <w:p>
      <w:pPr>
        <w:spacing w:line="360" w:lineRule="auto"/>
        <w:jc w:val="both"/>
        <w:rPr>
          <w:rFonts w:ascii="Book Antiqua" w:hAnsi="Book Antiqua" w:cs="Tahoma"/>
        </w:rPr>
      </w:pPr>
      <w:r>
        <w:rPr>
          <w:rFonts w:ascii="Book Antiqua" w:hAnsi="Book Antiqua" w:eastAsia="Book Antiqua" w:cs="Tahoma"/>
          <w:b/>
          <w:bCs/>
        </w:rPr>
        <w:t xml:space="preserve">Core Tip: </w:t>
      </w:r>
      <w:r>
        <w:rPr>
          <w:rFonts w:ascii="Book Antiqua" w:hAnsi="Book Antiqua" w:eastAsia="Book Antiqua" w:cs="Tahoma"/>
        </w:rPr>
        <w:t xml:space="preserve">The main aim of this article is to present a rare case of </w:t>
      </w:r>
      <w:r>
        <w:rPr>
          <w:rFonts w:ascii="Book Antiqua" w:hAnsi="Book Antiqua" w:cs="Tahoma"/>
          <w:lang w:eastAsia="zh-CN"/>
        </w:rPr>
        <w:t>m</w:t>
      </w:r>
      <w:r>
        <w:rPr>
          <w:rFonts w:ascii="Book Antiqua" w:hAnsi="Book Antiqua" w:eastAsia="Book Antiqua" w:cs="Tahoma"/>
        </w:rPr>
        <w:t>yeloid sarcoma (MS) invading the ulnar nerve and causing ulnar nerve entrapment syndrome. The patient’s symptoms were relieved by surgical release of the nerve bundle and compressed tissue, and the disease was diagnosed definitively by pathological examination. The case illustrates the rare presenting features of extramedullary MS, enriches the clinical literature, and highlights that it is essential to suspect MS with a history of acute nonlymphocytic leukaemia.</w:t>
      </w:r>
    </w:p>
    <w:p>
      <w:pPr>
        <w:spacing w:line="360" w:lineRule="auto"/>
        <w:ind w:firstLine="420"/>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caps/>
          <w:u w:val="single"/>
        </w:rPr>
        <w:t>INTRODUCTION</w:t>
      </w:r>
    </w:p>
    <w:p>
      <w:pPr>
        <w:spacing w:line="360" w:lineRule="auto"/>
        <w:jc w:val="both"/>
        <w:rPr>
          <w:rFonts w:ascii="Book Antiqua" w:hAnsi="Book Antiqua" w:cs="Tahoma"/>
        </w:rPr>
      </w:pPr>
      <w:r>
        <w:rPr>
          <w:rFonts w:ascii="Book Antiqua" w:hAnsi="Book Antiqua" w:eastAsia="Book Antiqua" w:cs="Tahoma"/>
        </w:rPr>
        <w:t>Myeloid sarcoma (MS), also known as granulocytic sarcoma and chloroma, is a rare haematological tumour consisting of a solid extramedullary mass of immature cells of the myeloid lineage, capable of destroying preexisting tissues and organs. It is more common in males than in females and is often associated with acute nonlymphocytic leukaemia (ANLL), which is frequently the primary manifestation of disease relapse</w:t>
      </w:r>
      <w:r>
        <w:rPr>
          <w:rFonts w:ascii="Book Antiqua" w:hAnsi="Book Antiqua" w:cs="Tahoma"/>
          <w:vertAlign w:val="superscript"/>
        </w:rPr>
        <w:t>[</w:t>
      </w:r>
      <w:r>
        <w:rPr>
          <w:rFonts w:ascii="Book Antiqua" w:hAnsi="Book Antiqua" w:eastAsia="Book Antiqua" w:cs="Tahoma"/>
          <w:vertAlign w:val="superscript"/>
        </w:rPr>
        <w:t>1-3</w:t>
      </w:r>
      <w:r>
        <w:rPr>
          <w:rFonts w:ascii="Book Antiqua" w:hAnsi="Book Antiqua" w:cs="Tahoma"/>
          <w:vertAlign w:val="superscript"/>
        </w:rPr>
        <w:t>]</w:t>
      </w:r>
      <w:r>
        <w:rPr>
          <w:rFonts w:ascii="Book Antiqua" w:hAnsi="Book Antiqua" w:eastAsia="Book Antiqua" w:cs="Tahoma"/>
        </w:rPr>
        <w:t>. MS develops mainly in the skin and lymph nodes but may affect almost any tissue or organ</w:t>
      </w:r>
      <w:r>
        <w:rPr>
          <w:rFonts w:ascii="Book Antiqua" w:hAnsi="Book Antiqua" w:cs="Tahoma"/>
          <w:vertAlign w:val="superscript"/>
        </w:rPr>
        <w:t>[</w:t>
      </w:r>
      <w:r>
        <w:rPr>
          <w:rFonts w:ascii="Book Antiqua" w:hAnsi="Book Antiqua" w:eastAsia="Book Antiqua" w:cs="Tahoma"/>
          <w:vertAlign w:val="superscript"/>
        </w:rPr>
        <w:t>4,5</w:t>
      </w:r>
      <w:r>
        <w:rPr>
          <w:rFonts w:ascii="Book Antiqua" w:hAnsi="Book Antiqua" w:cs="Tahoma"/>
          <w:vertAlign w:val="superscript"/>
        </w:rPr>
        <w:t>]</w:t>
      </w:r>
      <w:r>
        <w:rPr>
          <w:rFonts w:ascii="Book Antiqua" w:hAnsi="Book Antiqua" w:eastAsia="Book Antiqua" w:cs="Tahoma"/>
        </w:rPr>
        <w:t>, and usually presents as an isolated mass of extramedullary infiltrates of leukaemia. To date, it is rare to encounter MS affecting the brachial plexus and producing ulnar nerve compression symptoms in the literature</w:t>
      </w:r>
      <w:r>
        <w:rPr>
          <w:rFonts w:ascii="Book Antiqua" w:hAnsi="Book Antiqua" w:eastAsia="Book Antiqua" w:cs="Tahoma"/>
          <w:vertAlign w:val="superscript"/>
        </w:rPr>
        <w:t>[6,7]</w:t>
      </w:r>
      <w:r>
        <w:rPr>
          <w:rFonts w:ascii="Book Antiqua" w:hAnsi="Book Antiqua" w:eastAsia="Book Antiqua" w:cs="Tahoma"/>
        </w:rPr>
        <w:t>. The main aim of this article is to present a case of ulnar nerve entrapment syndrome caused by MS invasion of the brachial plexus, furthering the clinical understanding of the potential for MS to involve peripheral nerves.</w:t>
      </w:r>
    </w:p>
    <w:p>
      <w:pPr>
        <w:spacing w:line="360" w:lineRule="auto"/>
        <w:ind w:firstLine="420"/>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caps/>
          <w:u w:val="single"/>
        </w:rPr>
        <w:t>CASE PRESENTATION</w:t>
      </w:r>
    </w:p>
    <w:p>
      <w:pPr>
        <w:spacing w:line="360" w:lineRule="auto"/>
        <w:jc w:val="both"/>
        <w:rPr>
          <w:rFonts w:ascii="Book Antiqua" w:hAnsi="Book Antiqua" w:cs="Tahoma"/>
        </w:rPr>
      </w:pPr>
      <w:r>
        <w:rPr>
          <w:rFonts w:ascii="Book Antiqua" w:hAnsi="Book Antiqua" w:eastAsia="Book Antiqua" w:cs="Tahoma"/>
          <w:b/>
          <w:i/>
        </w:rPr>
        <w:t>Chief complaints</w:t>
      </w:r>
    </w:p>
    <w:p>
      <w:pPr>
        <w:spacing w:line="360" w:lineRule="auto"/>
        <w:jc w:val="both"/>
        <w:rPr>
          <w:rFonts w:ascii="Book Antiqua" w:hAnsi="Book Antiqua" w:cs="Tahoma"/>
        </w:rPr>
      </w:pPr>
      <w:r>
        <w:rPr>
          <w:rFonts w:ascii="Book Antiqua" w:hAnsi="Book Antiqua" w:eastAsia="Book Antiqua" w:cs="Tahoma"/>
        </w:rPr>
        <w:t>The patient was a 46-year-old man who complained of painful numbness in the left little finger for 4 mo with no apparent cause.</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i/>
        </w:rPr>
        <w:t>History of present illness</w:t>
      </w:r>
    </w:p>
    <w:p>
      <w:pPr>
        <w:spacing w:line="360" w:lineRule="auto"/>
        <w:jc w:val="both"/>
        <w:rPr>
          <w:rFonts w:ascii="Book Antiqua" w:hAnsi="Book Antiqua" w:cs="Tahoma"/>
        </w:rPr>
      </w:pPr>
      <w:r>
        <w:rPr>
          <w:rFonts w:ascii="Book Antiqua" w:hAnsi="Book Antiqua" w:eastAsia="Book Antiqua" w:cs="Tahoma"/>
        </w:rPr>
        <w:t>The numbness and pain in his left little finger had gradually worsened over the past 4 mo but was not of serious concern.</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i/>
        </w:rPr>
        <w:t>History of past illness</w:t>
      </w:r>
    </w:p>
    <w:p>
      <w:pPr>
        <w:spacing w:line="360" w:lineRule="auto"/>
        <w:jc w:val="both"/>
        <w:rPr>
          <w:rFonts w:ascii="Book Antiqua" w:hAnsi="Book Antiqua" w:cs="Tahoma"/>
        </w:rPr>
      </w:pPr>
      <w:r>
        <w:rPr>
          <w:rFonts w:ascii="Book Antiqua" w:hAnsi="Book Antiqua" w:eastAsia="Book Antiqua" w:cs="Tahoma"/>
        </w:rPr>
        <w:t>The patient had a 13</w:t>
      </w:r>
      <w:r>
        <w:rPr>
          <w:rStyle w:val="249"/>
          <w:rFonts w:ascii="Book Antiqua" w:hAnsi="Book Antiqua" w:eastAsia="Book Antiqua" w:cs="Tahoma"/>
        </w:rPr>
        <w:t>-</w:t>
      </w:r>
      <w:r>
        <w:rPr>
          <w:rFonts w:ascii="Book Antiqua" w:hAnsi="Book Antiqua" w:eastAsia="Book Antiqua" w:cs="Tahoma"/>
        </w:rPr>
        <w:t>year history of ANLL and a 20-year history of psoriasis; both diseases had been fully treated previously by systemic therapy.</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i/>
        </w:rPr>
        <w:t>Personal and family history</w:t>
      </w:r>
    </w:p>
    <w:p>
      <w:pPr>
        <w:spacing w:line="360" w:lineRule="auto"/>
        <w:jc w:val="both"/>
        <w:rPr>
          <w:rFonts w:ascii="Book Antiqua" w:hAnsi="Book Antiqua" w:cs="Tahoma"/>
        </w:rPr>
      </w:pPr>
      <w:r>
        <w:rPr>
          <w:rFonts w:ascii="Book Antiqua" w:hAnsi="Book Antiqua" w:eastAsia="Book Antiqua" w:cs="Tahoma"/>
        </w:rPr>
        <w:t>Notably, there was no family history of the same disease.</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i/>
        </w:rPr>
        <w:t>Physical examination</w:t>
      </w:r>
    </w:p>
    <w:p>
      <w:pPr>
        <w:spacing w:line="360" w:lineRule="auto"/>
        <w:jc w:val="both"/>
        <w:rPr>
          <w:rFonts w:ascii="Book Antiqua" w:hAnsi="Book Antiqua" w:cs="Tahoma"/>
        </w:rPr>
      </w:pPr>
      <w:r>
        <w:rPr>
          <w:rFonts w:ascii="Book Antiqua" w:hAnsi="Book Antiqua" w:eastAsia="Book Antiqua" w:cs="Tahoma"/>
        </w:rPr>
        <w:t>Physical examination of the whole body revealed no palpable lymph nodes. Specialized examination of the left hand revealed atrophy of the first dorsal interosseous muscle, numbness of the little finger and ulnar aspect of the palm, weakness of the ring and little finger, inability to adduct fingers, positive paper-clip test results, and loss of manual dexterity; all other examination outcomes were normal.</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i/>
        </w:rPr>
        <w:t>Laboratory examinations</w:t>
      </w:r>
    </w:p>
    <w:p>
      <w:pPr>
        <w:spacing w:line="360" w:lineRule="auto"/>
        <w:jc w:val="both"/>
        <w:rPr>
          <w:rFonts w:ascii="Book Antiqua" w:hAnsi="Book Antiqua" w:cs="Tahoma"/>
        </w:rPr>
      </w:pPr>
      <w:r>
        <w:rPr>
          <w:rFonts w:ascii="Book Antiqua" w:hAnsi="Book Antiqua" w:eastAsia="Book Antiqua" w:cs="Tahoma"/>
        </w:rPr>
        <w:t>The laboratory results were: White blood cell count (WBC), 14.14 (normal range: 3.5</w:t>
      </w:r>
      <w:r>
        <w:rPr>
          <w:rFonts w:ascii="Book Antiqua" w:hAnsi="Book Antiqua" w:cs="Tahoma"/>
          <w:lang w:eastAsia="zh-CN"/>
        </w:rPr>
        <w:t>0-</w:t>
      </w:r>
      <w:r>
        <w:rPr>
          <w:rFonts w:ascii="Book Antiqua" w:hAnsi="Book Antiqua" w:eastAsia="Book Antiqua" w:cs="Tahoma"/>
        </w:rPr>
        <w:t>9.5</w:t>
      </w:r>
      <w:r>
        <w:rPr>
          <w:rFonts w:ascii="Book Antiqua" w:hAnsi="Book Antiqua" w:cs="Tahoma"/>
          <w:lang w:eastAsia="zh-CN"/>
        </w:rPr>
        <w:t>0</w:t>
      </w:r>
      <w:r>
        <w:rPr>
          <w:rFonts w:ascii="Book Antiqua" w:hAnsi="Book Antiqua" w:eastAsia="Book Antiqua" w:cs="Tahoma"/>
        </w:rPr>
        <w:t xml:space="preserve">) </w:t>
      </w:r>
      <w:r>
        <w:rPr>
          <w:rFonts w:ascii="Book Antiqua" w:hAnsi="Book Antiqua" w:cs="Tahoma"/>
          <w:lang w:eastAsia="zh-CN"/>
        </w:rPr>
        <w:t>×</w:t>
      </w:r>
      <w:r>
        <w:rPr>
          <w:rFonts w:ascii="Book Antiqua" w:hAnsi="Book Antiqua" w:eastAsia="Book Antiqua" w:cs="Tahoma"/>
        </w:rPr>
        <w:t xml:space="preserve"> 10</w:t>
      </w:r>
      <w:r>
        <w:rPr>
          <w:rFonts w:ascii="Book Antiqua" w:hAnsi="Book Antiqua" w:eastAsia="Book Antiqua" w:cs="Tahoma"/>
          <w:vertAlign w:val="superscript"/>
        </w:rPr>
        <w:t>9</w:t>
      </w:r>
      <w:r>
        <w:rPr>
          <w:rFonts w:ascii="Book Antiqua" w:hAnsi="Book Antiqua" w:eastAsia="Book Antiqua" w:cs="Tahoma"/>
        </w:rPr>
        <w:t>/L; neutrophil count (NEUT), 12.12 (1.8</w:t>
      </w:r>
      <w:r>
        <w:rPr>
          <w:rFonts w:ascii="Book Antiqua" w:hAnsi="Book Antiqua" w:cs="Tahoma"/>
          <w:lang w:eastAsia="zh-CN"/>
        </w:rPr>
        <w:t>0-</w:t>
      </w:r>
      <w:r>
        <w:rPr>
          <w:rFonts w:ascii="Book Antiqua" w:hAnsi="Book Antiqua" w:eastAsia="Book Antiqua" w:cs="Tahoma"/>
        </w:rPr>
        <w:t>6.3</w:t>
      </w:r>
      <w:r>
        <w:rPr>
          <w:rFonts w:ascii="Book Antiqua" w:hAnsi="Book Antiqua" w:cs="Tahoma"/>
          <w:lang w:eastAsia="zh-CN"/>
        </w:rPr>
        <w:t>0</w:t>
      </w:r>
      <w:r>
        <w:rPr>
          <w:rFonts w:ascii="Book Antiqua" w:hAnsi="Book Antiqua" w:eastAsia="Book Antiqua" w:cs="Tahoma"/>
        </w:rPr>
        <w:t xml:space="preserve">) </w:t>
      </w:r>
      <w:r>
        <w:rPr>
          <w:rFonts w:ascii="Book Antiqua" w:hAnsi="Book Antiqua" w:cs="Tahoma"/>
          <w:lang w:eastAsia="zh-CN"/>
        </w:rPr>
        <w:t>×</w:t>
      </w:r>
      <w:r>
        <w:rPr>
          <w:rFonts w:ascii="Book Antiqua" w:hAnsi="Book Antiqua" w:eastAsia="Book Antiqua" w:cs="Tahoma"/>
        </w:rPr>
        <w:t xml:space="preserve"> 10</w:t>
      </w:r>
      <w:r>
        <w:rPr>
          <w:rFonts w:ascii="Book Antiqua" w:hAnsi="Book Antiqua" w:eastAsia="Book Antiqua" w:cs="Tahoma"/>
          <w:vertAlign w:val="superscript"/>
        </w:rPr>
        <w:t>9</w:t>
      </w:r>
      <w:r>
        <w:rPr>
          <w:rFonts w:ascii="Book Antiqua" w:hAnsi="Book Antiqua" w:eastAsia="Book Antiqua" w:cs="Tahoma"/>
        </w:rPr>
        <w:t>/L; lymphocyte count (LYMPH), 0.78 (1.2</w:t>
      </w:r>
      <w:r>
        <w:rPr>
          <w:rFonts w:ascii="Book Antiqua" w:hAnsi="Book Antiqua" w:cs="Tahoma"/>
          <w:lang w:eastAsia="zh-CN"/>
        </w:rPr>
        <w:t>0</w:t>
      </w:r>
      <w:r>
        <w:rPr>
          <w:rFonts w:ascii="Book Antiqua" w:hAnsi="Book Antiqua" w:eastAsia="Book Antiqua" w:cs="Tahoma"/>
        </w:rPr>
        <w:t>-3.2</w:t>
      </w:r>
      <w:r>
        <w:rPr>
          <w:rFonts w:ascii="Book Antiqua" w:hAnsi="Book Antiqua" w:cs="Tahoma"/>
          <w:lang w:eastAsia="zh-CN"/>
        </w:rPr>
        <w:t>0</w:t>
      </w:r>
      <w:r>
        <w:rPr>
          <w:rFonts w:ascii="Book Antiqua" w:hAnsi="Book Antiqua" w:eastAsia="Book Antiqua" w:cs="Tahoma"/>
        </w:rPr>
        <w:t xml:space="preserve">) </w:t>
      </w:r>
      <w:r>
        <w:rPr>
          <w:rFonts w:ascii="Book Antiqua" w:hAnsi="Book Antiqua" w:cs="Tahoma"/>
          <w:lang w:eastAsia="zh-CN"/>
        </w:rPr>
        <w:t>×</w:t>
      </w:r>
      <w:r>
        <w:rPr>
          <w:rFonts w:ascii="Book Antiqua" w:hAnsi="Book Antiqua" w:eastAsia="Book Antiqua" w:cs="Tahoma"/>
        </w:rPr>
        <w:t xml:space="preserve"> 10</w:t>
      </w:r>
      <w:r>
        <w:rPr>
          <w:rFonts w:ascii="Book Antiqua" w:hAnsi="Book Antiqua" w:eastAsia="Book Antiqua" w:cs="Tahoma"/>
          <w:vertAlign w:val="superscript"/>
        </w:rPr>
        <w:t>9</w:t>
      </w:r>
      <w:r>
        <w:rPr>
          <w:rFonts w:ascii="Book Antiqua" w:hAnsi="Book Antiqua" w:eastAsia="Book Antiqua" w:cs="Tahoma"/>
        </w:rPr>
        <w:t>/L; monocyte count, 1.22 (0.1</w:t>
      </w:r>
      <w:r>
        <w:rPr>
          <w:rFonts w:ascii="Book Antiqua" w:hAnsi="Book Antiqua" w:cs="Tahoma"/>
          <w:lang w:eastAsia="zh-CN"/>
        </w:rPr>
        <w:t>0</w:t>
      </w:r>
      <w:r>
        <w:rPr>
          <w:rFonts w:ascii="Book Antiqua" w:hAnsi="Book Antiqua" w:eastAsia="Book Antiqua" w:cs="Tahoma"/>
        </w:rPr>
        <w:t>-0.6</w:t>
      </w:r>
      <w:r>
        <w:rPr>
          <w:rFonts w:ascii="Book Antiqua" w:hAnsi="Book Antiqua" w:cs="Tahoma"/>
          <w:lang w:eastAsia="zh-CN"/>
        </w:rPr>
        <w:t>0</w:t>
      </w:r>
      <w:r>
        <w:rPr>
          <w:rFonts w:ascii="Book Antiqua" w:hAnsi="Book Antiqua" w:eastAsia="Book Antiqua" w:cs="Tahoma"/>
        </w:rPr>
        <w:t xml:space="preserve">) </w:t>
      </w:r>
      <w:r>
        <w:rPr>
          <w:rFonts w:ascii="Book Antiqua" w:hAnsi="Book Antiqua" w:cs="Tahoma"/>
          <w:lang w:eastAsia="zh-CN"/>
        </w:rPr>
        <w:t>×</w:t>
      </w:r>
      <w:r>
        <w:rPr>
          <w:rFonts w:ascii="Book Antiqua" w:hAnsi="Book Antiqua" w:eastAsia="Book Antiqua" w:cs="Tahoma"/>
        </w:rPr>
        <w:t xml:space="preserve"> 10</w:t>
      </w:r>
      <w:r>
        <w:rPr>
          <w:rFonts w:ascii="Book Antiqua" w:hAnsi="Book Antiqua" w:eastAsia="Book Antiqua" w:cs="Tahoma"/>
          <w:vertAlign w:val="superscript"/>
        </w:rPr>
        <w:t>9</w:t>
      </w:r>
      <w:r>
        <w:rPr>
          <w:rFonts w:ascii="Book Antiqua" w:hAnsi="Book Antiqua" w:eastAsia="Book Antiqua" w:cs="Tahoma"/>
        </w:rPr>
        <w:t xml:space="preserve">/L; eosinophil count (EOS), 0.00 (0.02-0.52) </w:t>
      </w:r>
      <w:r>
        <w:rPr>
          <w:rFonts w:ascii="Book Antiqua" w:hAnsi="Book Antiqua" w:cs="Tahoma"/>
          <w:lang w:eastAsia="zh-CN"/>
        </w:rPr>
        <w:t>×</w:t>
      </w:r>
      <w:r>
        <w:rPr>
          <w:rFonts w:ascii="Book Antiqua" w:hAnsi="Book Antiqua" w:eastAsia="Book Antiqua" w:cs="Tahoma"/>
        </w:rPr>
        <w:t xml:space="preserve"> 10</w:t>
      </w:r>
      <w:r>
        <w:rPr>
          <w:rFonts w:ascii="Book Antiqua" w:hAnsi="Book Antiqua" w:eastAsia="Book Antiqua" w:cs="Tahoma"/>
          <w:vertAlign w:val="superscript"/>
        </w:rPr>
        <w:t>9</w:t>
      </w:r>
      <w:r>
        <w:rPr>
          <w:rFonts w:ascii="Book Antiqua" w:hAnsi="Book Antiqua" w:eastAsia="Book Antiqua" w:cs="Tahoma"/>
        </w:rPr>
        <w:t>/L; %NEUT, 85.8 (40</w:t>
      </w:r>
      <w:r>
        <w:rPr>
          <w:rFonts w:ascii="Book Antiqua" w:hAnsi="Book Antiqua" w:cs="Tahoma"/>
          <w:lang w:eastAsia="zh-CN"/>
        </w:rPr>
        <w:t>.0</w:t>
      </w:r>
      <w:r>
        <w:rPr>
          <w:rFonts w:ascii="Book Antiqua" w:hAnsi="Book Antiqua" w:eastAsia="Book Antiqua" w:cs="Tahoma"/>
        </w:rPr>
        <w:t>-75</w:t>
      </w:r>
      <w:r>
        <w:rPr>
          <w:rFonts w:ascii="Book Antiqua" w:hAnsi="Book Antiqua" w:cs="Tahoma"/>
          <w:lang w:eastAsia="zh-CN"/>
        </w:rPr>
        <w:t>.0</w:t>
      </w:r>
      <w:r>
        <w:rPr>
          <w:rFonts w:ascii="Book Antiqua" w:hAnsi="Book Antiqua" w:eastAsia="Book Antiqua" w:cs="Tahoma"/>
        </w:rPr>
        <w:t>)%; %LYMPH, 5.50 (20-50)%; %EOS,  0</w:t>
      </w:r>
      <w:r>
        <w:rPr>
          <w:rFonts w:ascii="Book Antiqua" w:hAnsi="Book Antiqua" w:cs="Tahoma"/>
          <w:lang w:eastAsia="zh-CN"/>
        </w:rPr>
        <w:t>.0</w:t>
      </w:r>
      <w:r>
        <w:rPr>
          <w:rFonts w:ascii="Book Antiqua" w:hAnsi="Book Antiqua" w:eastAsia="Book Antiqua" w:cs="Tahoma"/>
        </w:rPr>
        <w:t xml:space="preserve"> (0.4-8</w:t>
      </w:r>
      <w:r>
        <w:rPr>
          <w:rFonts w:ascii="Book Antiqua" w:hAnsi="Book Antiqua" w:cs="Tahoma"/>
          <w:lang w:eastAsia="zh-CN"/>
        </w:rPr>
        <w:t>.0</w:t>
      </w:r>
      <w:r>
        <w:rPr>
          <w:rFonts w:ascii="Book Antiqua" w:hAnsi="Book Antiqua" w:eastAsia="Book Antiqua" w:cs="Tahoma"/>
        </w:rPr>
        <w:t xml:space="preserve">)%; red blood cell count (RBC), 4.0 (4.3-5.8) </w:t>
      </w:r>
      <w:r>
        <w:rPr>
          <w:rFonts w:ascii="Book Antiqua" w:hAnsi="Book Antiqua" w:cs="Tahoma"/>
          <w:lang w:eastAsia="zh-CN"/>
        </w:rPr>
        <w:t>×</w:t>
      </w:r>
      <w:r>
        <w:rPr>
          <w:rFonts w:ascii="Book Antiqua" w:hAnsi="Book Antiqua" w:eastAsia="Book Antiqua" w:cs="Tahoma"/>
        </w:rPr>
        <w:t xml:space="preserve"> 10</w:t>
      </w:r>
      <w:r>
        <w:rPr>
          <w:rFonts w:ascii="Book Antiqua" w:hAnsi="Book Antiqua" w:eastAsia="Book Antiqua" w:cs="Tahoma"/>
          <w:vertAlign w:val="superscript"/>
        </w:rPr>
        <w:t>9</w:t>
      </w:r>
      <w:r>
        <w:rPr>
          <w:rFonts w:ascii="Book Antiqua" w:hAnsi="Book Antiqua" w:eastAsia="Book Antiqua" w:cs="Tahoma"/>
        </w:rPr>
        <w:t>/L; haemoglobin count (HGB), 126 (130-175) g/L; haematocrit, 36.2 (40</w:t>
      </w:r>
      <w:r>
        <w:rPr>
          <w:rFonts w:ascii="Book Antiqua" w:hAnsi="Book Antiqua" w:cs="Tahoma"/>
          <w:lang w:eastAsia="zh-CN"/>
        </w:rPr>
        <w:t>.0</w:t>
      </w:r>
      <w:r>
        <w:rPr>
          <w:rFonts w:ascii="Book Antiqua" w:hAnsi="Book Antiqua" w:eastAsia="Book Antiqua" w:cs="Tahoma"/>
        </w:rPr>
        <w:t>-50</w:t>
      </w:r>
      <w:r>
        <w:rPr>
          <w:rFonts w:ascii="Book Antiqua" w:hAnsi="Book Antiqua" w:cs="Tahoma"/>
          <w:lang w:eastAsia="zh-CN"/>
        </w:rPr>
        <w:t>.0</w:t>
      </w:r>
      <w:r>
        <w:rPr>
          <w:rFonts w:ascii="Book Antiqua" w:hAnsi="Book Antiqua" w:eastAsia="Book Antiqua" w:cs="Tahoma"/>
        </w:rPr>
        <w:t>)%; rheumatoid factors, 22.05 (≤</w:t>
      </w:r>
      <w:r>
        <w:rPr>
          <w:rFonts w:ascii="Book Antiqua" w:hAnsi="Book Antiqua" w:cs="Tahoma"/>
          <w:lang w:eastAsia="zh-CN"/>
        </w:rPr>
        <w:t xml:space="preserve"> </w:t>
      </w:r>
      <w:r>
        <w:rPr>
          <w:rFonts w:ascii="Book Antiqua" w:hAnsi="Book Antiqua" w:eastAsia="Book Antiqua" w:cs="Tahoma"/>
        </w:rPr>
        <w:t>18</w:t>
      </w:r>
      <w:r>
        <w:rPr>
          <w:rFonts w:ascii="Book Antiqua" w:hAnsi="Book Antiqua" w:cs="Tahoma"/>
          <w:lang w:eastAsia="zh-CN"/>
        </w:rPr>
        <w:t>.00</w:t>
      </w:r>
      <w:r>
        <w:rPr>
          <w:rFonts w:ascii="Book Antiqua" w:hAnsi="Book Antiqua" w:eastAsia="Book Antiqua" w:cs="Tahoma"/>
        </w:rPr>
        <w:t>) IU/mL; hypersensitive C-reactive protein, 4.67 (≤</w:t>
      </w:r>
      <w:r>
        <w:rPr>
          <w:rFonts w:ascii="Book Antiqua" w:hAnsi="Book Antiqua" w:cs="Tahoma"/>
          <w:lang w:eastAsia="zh-CN"/>
        </w:rPr>
        <w:t xml:space="preserve"> </w:t>
      </w:r>
      <w:r>
        <w:rPr>
          <w:rFonts w:ascii="Book Antiqua" w:hAnsi="Book Antiqua" w:eastAsia="Book Antiqua" w:cs="Tahoma"/>
        </w:rPr>
        <w:t>4</w:t>
      </w:r>
      <w:r>
        <w:rPr>
          <w:rFonts w:ascii="Book Antiqua" w:hAnsi="Book Antiqua" w:cs="Tahoma"/>
          <w:lang w:eastAsia="zh-CN"/>
        </w:rPr>
        <w:t>.00</w:t>
      </w:r>
      <w:r>
        <w:rPr>
          <w:rFonts w:ascii="Book Antiqua" w:hAnsi="Book Antiqua" w:eastAsia="Book Antiqua" w:cs="Tahoma"/>
        </w:rPr>
        <w:t>) mg/L; uric acid, 463.02 (202</w:t>
      </w:r>
      <w:r>
        <w:rPr>
          <w:rFonts w:ascii="Book Antiqua" w:hAnsi="Book Antiqua" w:cs="Tahoma"/>
          <w:lang w:eastAsia="zh-CN"/>
        </w:rPr>
        <w:t>.00</w:t>
      </w:r>
      <w:r>
        <w:rPr>
          <w:rFonts w:ascii="Book Antiqua" w:hAnsi="Book Antiqua" w:eastAsia="Book Antiqua" w:cs="Tahoma"/>
        </w:rPr>
        <w:t>-416</w:t>
      </w:r>
      <w:r>
        <w:rPr>
          <w:rFonts w:ascii="Book Antiqua" w:hAnsi="Book Antiqua" w:cs="Tahoma"/>
          <w:lang w:eastAsia="zh-CN"/>
        </w:rPr>
        <w:t>.00</w:t>
      </w:r>
      <w:r>
        <w:rPr>
          <w:rFonts w:ascii="Book Antiqua" w:hAnsi="Book Antiqua" w:eastAsia="Book Antiqua" w:cs="Tahoma"/>
        </w:rPr>
        <w:t>) μmol/L; and interferon-γ, 34.21 (≤</w:t>
      </w:r>
      <w:r>
        <w:rPr>
          <w:rFonts w:ascii="Book Antiqua" w:hAnsi="Book Antiqua" w:cs="Tahoma"/>
          <w:lang w:eastAsia="zh-CN"/>
        </w:rPr>
        <w:t xml:space="preserve"> </w:t>
      </w:r>
      <w:r>
        <w:rPr>
          <w:rFonts w:ascii="Book Antiqua" w:hAnsi="Book Antiqua" w:eastAsia="Book Antiqua" w:cs="Tahoma"/>
        </w:rPr>
        <w:t>20.36) pg/mL.</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i/>
        </w:rPr>
        <w:t>Imaging examinations</w:t>
      </w:r>
    </w:p>
    <w:p>
      <w:pPr>
        <w:spacing w:line="360" w:lineRule="auto"/>
        <w:jc w:val="both"/>
        <w:rPr>
          <w:rFonts w:ascii="Book Antiqua" w:hAnsi="Book Antiqua" w:cs="Tahoma"/>
        </w:rPr>
      </w:pPr>
      <w:r>
        <w:rPr>
          <w:rFonts w:ascii="Book Antiqua" w:hAnsi="Book Antiqua" w:eastAsia="Book Antiqua" w:cs="Tahoma"/>
        </w:rPr>
        <w:t>X-rays showed that the bones of the left elbow were regular in shape, with cortical continuity and clear trabecular structures, a normal alignment of the elbow joint with a moderate joint space, and no significant abnormalities in the surrounding soft tissues (Figure 1</w:t>
      </w:r>
      <w:r>
        <w:rPr>
          <w:rFonts w:ascii="Book Antiqua" w:hAnsi="Book Antiqua" w:cs="Tahoma"/>
          <w:lang w:eastAsia="zh-CN"/>
        </w:rPr>
        <w:t>A and B</w:t>
      </w:r>
      <w:r>
        <w:rPr>
          <w:rFonts w:ascii="Book Antiqua" w:hAnsi="Book Antiqua" w:eastAsia="Book Antiqua" w:cs="Tahoma"/>
        </w:rPr>
        <w:t>).</w:t>
      </w:r>
      <w:r>
        <w:rPr>
          <w:rStyle w:val="249"/>
          <w:rFonts w:ascii="Book Antiqua" w:hAnsi="Book Antiqua" w:eastAsia="Book Antiqua" w:cs="Tahoma"/>
        </w:rPr>
        <w:t xml:space="preserve"> </w:t>
      </w:r>
      <w:r>
        <w:rPr>
          <w:rFonts w:ascii="Book Antiqua" w:hAnsi="Book Antiqua" w:eastAsia="Book Antiqua" w:cs="Tahoma"/>
        </w:rPr>
        <w:t>Magnetic resonance imaging (MRI) showed a slightly abnormal left brachial plexus nerve alignment with local thickening, entanglement, and a high signal on compression lipid imaging, while the right brachial plexus nerve bundle alignment was normal with no obvious abnormal signal. There were multiple somewhat large lymph nodes in the neck, with the largest being approximately 0.8 cm in short diameter located in the left carotid sheath area (Figure</w:t>
      </w:r>
      <w:r>
        <w:rPr>
          <w:rFonts w:ascii="Book Antiqua" w:hAnsi="Book Antiqua" w:cs="Tahoma"/>
          <w:lang w:eastAsia="zh-CN"/>
        </w:rPr>
        <w:t xml:space="preserve"> 1C-F</w:t>
      </w:r>
      <w:r>
        <w:rPr>
          <w:rFonts w:ascii="Book Antiqua" w:hAnsi="Book Antiqua" w:eastAsia="Book Antiqua" w:cs="Tahoma"/>
        </w:rPr>
        <w:t>).</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caps/>
          <w:u w:val="single"/>
        </w:rPr>
        <w:t>FINAL DIAGNOSIS</w:t>
      </w:r>
    </w:p>
    <w:p>
      <w:pPr>
        <w:spacing w:line="360" w:lineRule="auto"/>
        <w:jc w:val="both"/>
        <w:rPr>
          <w:rFonts w:ascii="Book Antiqua" w:hAnsi="Book Antiqua" w:cs="Tahoma"/>
        </w:rPr>
      </w:pPr>
      <w:r>
        <w:rPr>
          <w:rFonts w:ascii="Book Antiqua" w:hAnsi="Book Antiqua" w:eastAsia="Book Antiqua" w:cs="Tahoma"/>
        </w:rPr>
        <w:t>MS causing ulnar nerve entrapment.</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caps/>
          <w:u w:val="single"/>
        </w:rPr>
        <w:t>TREATMENT</w:t>
      </w:r>
    </w:p>
    <w:p>
      <w:pPr>
        <w:spacing w:line="360" w:lineRule="auto"/>
        <w:jc w:val="both"/>
        <w:rPr>
          <w:rFonts w:ascii="Book Antiqua" w:hAnsi="Book Antiqua" w:cs="Tahoma"/>
        </w:rPr>
      </w:pPr>
      <w:r>
        <w:rPr>
          <w:rFonts w:ascii="Book Antiqua" w:hAnsi="Book Antiqua" w:eastAsia="Book Antiqua" w:cs="Tahoma"/>
        </w:rPr>
        <w:t>The patient was placed in a supine position, and an upper arm tourniquet was applied. After routine prepping and draping, a longitudinal incision of approximately 20 cm was made on the medial side of the left upper arm. Intraoperatively, the left ulnar nerve was found to be thickened and degenerated, with severe adhesions to the surrounding tissues. Further observation of the ulnar nerve revealed thickening of the epineurium and hyperplasia of the perineurium, trapping the nerve fibres; therefore, interfascicular neurolysis release was performed with careful separation of the hyperplastic tissue between the nerve bundles. In addition, the lymph nodes in the anterior axillary region were cleared and sent for pathological examination. The incision was closed in layers after irrigation and haemostasis.</w:t>
      </w:r>
    </w:p>
    <w:p>
      <w:pPr>
        <w:spacing w:line="360" w:lineRule="auto"/>
        <w:ind w:firstLine="240" w:firstLineChars="100"/>
        <w:jc w:val="both"/>
        <w:rPr>
          <w:rFonts w:ascii="Book Antiqua" w:hAnsi="Book Antiqua" w:cs="Tahoma"/>
        </w:rPr>
      </w:pPr>
      <w:r>
        <w:rPr>
          <w:rFonts w:ascii="Book Antiqua" w:hAnsi="Book Antiqua" w:eastAsia="Book Antiqua" w:cs="Tahoma"/>
        </w:rPr>
        <w:t xml:space="preserve">Postoperative pathological findings were as follows: </w:t>
      </w:r>
      <w:r>
        <w:rPr>
          <w:rFonts w:ascii="Book Antiqua" w:hAnsi="Book Antiqua" w:cs="Tahoma"/>
          <w:lang w:eastAsia="zh-CN"/>
        </w:rPr>
        <w:t>L</w:t>
      </w:r>
      <w:r>
        <w:rPr>
          <w:rFonts w:ascii="Book Antiqua" w:hAnsi="Book Antiqua" w:eastAsia="Book Antiqua" w:cs="Tahoma"/>
        </w:rPr>
        <w:t>ymphohaematopoietic tumour (both neuroepithelial and lymph nodes), combined with immunohistochemical staining results consistent with MS [CD3 (-), CD20 (-), CD21:</w:t>
      </w:r>
      <w:r>
        <w:rPr>
          <w:rFonts w:hint="eastAsia" w:ascii="Book Antiqua" w:hAnsi="Book Antiqua" w:cs="Tahoma"/>
          <w:lang w:eastAsia="zh-CN"/>
        </w:rPr>
        <w:t xml:space="preserve"> </w:t>
      </w:r>
      <w:r>
        <w:rPr>
          <w:rFonts w:ascii="Book Antiqua" w:hAnsi="Book Antiqua" w:eastAsia="Book Antiqua" w:cs="Tahoma"/>
        </w:rPr>
        <w:t>FDC network (+), CD5 (-), Ki-67 (+</w:t>
      </w:r>
      <w:r>
        <w:rPr>
          <w:rFonts w:ascii="Book Antiqua" w:hAnsi="Book Antiqua" w:cs="Tahoma"/>
          <w:lang w:eastAsia="zh-CN"/>
        </w:rPr>
        <w:t xml:space="preserve"> </w:t>
      </w:r>
      <w:r>
        <w:rPr>
          <w:rFonts w:ascii="Book Antiqua" w:hAnsi="Book Antiqua" w:eastAsia="Book Antiqua" w:cs="Tahoma"/>
        </w:rPr>
        <w:t>70%), TdT (-), LCA (+), MPO (+), CD117 (+), and CD34 (+)] (Figure</w:t>
      </w:r>
      <w:r>
        <w:rPr>
          <w:rFonts w:ascii="Book Antiqua" w:hAnsi="Book Antiqua" w:cs="Tahoma"/>
          <w:lang w:eastAsia="zh-CN"/>
        </w:rPr>
        <w:t>s 2 and 3</w:t>
      </w:r>
      <w:r>
        <w:rPr>
          <w:rFonts w:ascii="Book Antiqua" w:hAnsi="Book Antiqua" w:eastAsia="Book Antiqua" w:cs="Tahoma"/>
        </w:rPr>
        <w:t>).</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caps/>
          <w:u w:val="single"/>
        </w:rPr>
        <w:t>OUTCOME AND FOLLOW-UP</w:t>
      </w:r>
    </w:p>
    <w:p>
      <w:pPr>
        <w:spacing w:line="360" w:lineRule="auto"/>
        <w:jc w:val="both"/>
        <w:rPr>
          <w:rFonts w:ascii="Book Antiqua" w:hAnsi="Book Antiqua" w:cs="Tahoma"/>
        </w:rPr>
      </w:pPr>
      <w:r>
        <w:rPr>
          <w:rFonts w:ascii="Book Antiqua" w:hAnsi="Book Antiqua" w:eastAsia="Book Antiqua" w:cs="Tahoma"/>
        </w:rPr>
        <w:t>On the first postoperative day, the patient’s pain and numbness were significantly reduced. After 1 wk of observation, we actively communicated with the patient and his family and transferred him to the external haemato-oncology department for further treatment of the primary disease. Positron emission tomography/computerised tomography (PET/CT) was performed, and the results were consistent with MS as per the pathology report. At the 2-mo follow-up, the patient had recovered well from the hand symptoms, the numbness had disappeared, and the postoperative visual analogue scale (VAS) score of pain had decreased to 1 from 5 preoperatively.</w:t>
      </w:r>
    </w:p>
    <w:p>
      <w:pPr>
        <w:spacing w:line="360" w:lineRule="auto"/>
        <w:jc w:val="both"/>
        <w:rPr>
          <w:rFonts w:ascii="Book Antiqua" w:hAnsi="Book Antiqua" w:cs="Tahoma"/>
          <w:lang w:eastAsia="zh-CN"/>
        </w:rPr>
      </w:pPr>
    </w:p>
    <w:p>
      <w:pPr>
        <w:spacing w:line="360" w:lineRule="auto"/>
        <w:jc w:val="both"/>
        <w:rPr>
          <w:rFonts w:ascii="Book Antiqua" w:hAnsi="Book Antiqua" w:cs="Tahoma"/>
        </w:rPr>
      </w:pPr>
      <w:r>
        <w:rPr>
          <w:rFonts w:ascii="Book Antiqua" w:hAnsi="Book Antiqua" w:eastAsia="Book Antiqua" w:cs="Tahoma"/>
          <w:b/>
          <w:caps/>
          <w:u w:val="single"/>
        </w:rPr>
        <w:t>DISCUSSION</w:t>
      </w:r>
    </w:p>
    <w:p>
      <w:pPr>
        <w:spacing w:line="360" w:lineRule="auto"/>
        <w:jc w:val="both"/>
        <w:rPr>
          <w:rFonts w:ascii="Book Antiqua" w:hAnsi="Book Antiqua" w:eastAsia="Book Antiqua" w:cs="Tahoma"/>
        </w:rPr>
      </w:pPr>
      <w:r>
        <w:rPr>
          <w:rFonts w:ascii="Book Antiqua" w:hAnsi="Book Antiqua" w:eastAsia="Book Antiqua" w:cs="Tahoma"/>
        </w:rPr>
        <w:t>The incidence of MS in acute myeloid leukaemia (AML) patients ranges from 3</w:t>
      </w:r>
      <w:r>
        <w:rPr>
          <w:rFonts w:ascii="Book Antiqua" w:hAnsi="Book Antiqua" w:cs="Tahoma"/>
          <w:lang w:eastAsia="zh-CN"/>
        </w:rPr>
        <w:t>%</w:t>
      </w:r>
      <w:r>
        <w:rPr>
          <w:rFonts w:ascii="Book Antiqua" w:hAnsi="Book Antiqua" w:eastAsia="Book Antiqua" w:cs="Tahoma"/>
        </w:rPr>
        <w:t>-5%</w:t>
      </w:r>
      <w:r>
        <w:rPr>
          <w:rFonts w:ascii="Book Antiqua" w:hAnsi="Book Antiqua" w:cs="Tahoma"/>
          <w:vertAlign w:val="superscript"/>
        </w:rPr>
        <w:t>[8]</w:t>
      </w:r>
      <w:r>
        <w:rPr>
          <w:rFonts w:ascii="Book Antiqua" w:hAnsi="Book Antiqua" w:eastAsia="Book Antiqua" w:cs="Tahoma"/>
        </w:rPr>
        <w:t>. Although the exact pathogenesis of MS is not fully understood, multivariate analysis has demonstrated that the occurrence of MS is significantly associated with intrinsic properties of myeloid tumour cells (</w:t>
      </w:r>
      <w:r>
        <w:rPr>
          <w:rFonts w:ascii="Book Antiqua" w:hAnsi="Book Antiqua" w:eastAsia="Book Antiqua" w:cs="Tahoma"/>
          <w:i/>
        </w:rPr>
        <w:t>e.g.</w:t>
      </w:r>
      <w:r>
        <w:rPr>
          <w:rFonts w:ascii="Book Antiqua" w:hAnsi="Book Antiqua" w:eastAsia="Book Antiqua" w:cs="Tahoma"/>
        </w:rPr>
        <w:t>, cytogenetics)</w:t>
      </w:r>
      <w:r>
        <w:rPr>
          <w:rFonts w:ascii="Book Antiqua" w:hAnsi="Book Antiqua" w:cs="Tahoma"/>
          <w:vertAlign w:val="superscript"/>
        </w:rPr>
        <w:t>[</w:t>
      </w:r>
      <w:r>
        <w:rPr>
          <w:rFonts w:ascii="Book Antiqua" w:hAnsi="Book Antiqua" w:eastAsia="Book Antiqua" w:cs="Tahoma"/>
          <w:vertAlign w:val="superscript"/>
        </w:rPr>
        <w:t>9-11</w:t>
      </w:r>
      <w:r>
        <w:rPr>
          <w:rFonts w:ascii="Book Antiqua" w:hAnsi="Book Antiqua" w:cs="Tahoma"/>
          <w:vertAlign w:val="superscript"/>
        </w:rPr>
        <w:t>]</w:t>
      </w:r>
      <w:r>
        <w:rPr>
          <w:rFonts w:ascii="Book Antiqua" w:hAnsi="Book Antiqua" w:eastAsia="Book Antiqua" w:cs="Tahoma"/>
        </w:rPr>
        <w:t>. MS may manifest in many different parts of the body, including peripheral nerves, and its clinical symptoms depend on the specific location and size of the tumour, making it very difficult for doctors to diagnose based on symptoms alone</w:t>
      </w:r>
      <w:r>
        <w:rPr>
          <w:rFonts w:ascii="Book Antiqua" w:hAnsi="Book Antiqua" w:cs="Tahoma"/>
          <w:vertAlign w:val="superscript"/>
        </w:rPr>
        <w:t>[</w:t>
      </w:r>
      <w:r>
        <w:rPr>
          <w:rFonts w:ascii="Book Antiqua" w:hAnsi="Book Antiqua" w:eastAsia="Book Antiqua" w:cs="Tahoma"/>
          <w:vertAlign w:val="superscript"/>
        </w:rPr>
        <w:t>12-16</w:t>
      </w:r>
      <w:r>
        <w:rPr>
          <w:rFonts w:ascii="Book Antiqua" w:hAnsi="Book Antiqua" w:cs="Tahoma"/>
          <w:vertAlign w:val="superscript"/>
        </w:rPr>
        <w:t>]</w:t>
      </w:r>
      <w:r>
        <w:rPr>
          <w:rFonts w:ascii="Book Antiqua" w:hAnsi="Book Antiqua" w:eastAsia="Book Antiqua" w:cs="Tahoma"/>
        </w:rPr>
        <w:t>.</w:t>
      </w:r>
    </w:p>
    <w:p>
      <w:pPr>
        <w:spacing w:line="360" w:lineRule="auto"/>
        <w:ind w:firstLine="240" w:firstLineChars="100"/>
        <w:jc w:val="both"/>
        <w:rPr>
          <w:rFonts w:ascii="Book Antiqua" w:hAnsi="Book Antiqua" w:cs="Tahoma"/>
        </w:rPr>
      </w:pPr>
      <w:r>
        <w:rPr>
          <w:rFonts w:ascii="Book Antiqua" w:hAnsi="Book Antiqua" w:eastAsia="Book Antiqua" w:cs="Tahoma"/>
        </w:rPr>
        <w:t>For early MS diagnosis, biopsy and PET/CT images are useful, with the maximum standardized uptake value (SUVmax) on PET/CT images for MS detection often in the range of 2.1-9.3, while MRI can only be used to detect tissue abnormalities and not to provide a definitive diagnosis</w:t>
      </w:r>
      <w:r>
        <w:rPr>
          <w:rFonts w:ascii="Book Antiqua" w:hAnsi="Book Antiqua" w:cs="Tahoma"/>
          <w:vertAlign w:val="superscript"/>
        </w:rPr>
        <w:t>[</w:t>
      </w:r>
      <w:r>
        <w:rPr>
          <w:rFonts w:ascii="Book Antiqua" w:hAnsi="Book Antiqua" w:eastAsia="Book Antiqua" w:cs="Tahoma"/>
          <w:vertAlign w:val="superscript"/>
        </w:rPr>
        <w:t>7,17</w:t>
      </w:r>
      <w:r>
        <w:rPr>
          <w:rFonts w:ascii="Book Antiqua" w:hAnsi="Book Antiqua" w:cs="Tahoma"/>
          <w:vertAlign w:val="superscript"/>
        </w:rPr>
        <w:t>]</w:t>
      </w:r>
      <w:r>
        <w:rPr>
          <w:rFonts w:ascii="Book Antiqua" w:hAnsi="Book Antiqua" w:eastAsia="Book Antiqua" w:cs="Tahoma"/>
        </w:rPr>
        <w:t>. Ultrasound of areas affected by MS can also be valuable in the assessment of mass size and borders</w:t>
      </w:r>
      <w:r>
        <w:rPr>
          <w:rFonts w:ascii="Book Antiqua" w:hAnsi="Book Antiqua" w:cs="Tahoma"/>
          <w:vertAlign w:val="superscript"/>
        </w:rPr>
        <w:t>[</w:t>
      </w:r>
      <w:r>
        <w:rPr>
          <w:rFonts w:ascii="Book Antiqua" w:hAnsi="Book Antiqua" w:eastAsia="Book Antiqua" w:cs="Tahoma"/>
          <w:vertAlign w:val="superscript"/>
        </w:rPr>
        <w:t>18</w:t>
      </w:r>
      <w:r>
        <w:rPr>
          <w:rFonts w:ascii="Book Antiqua" w:hAnsi="Book Antiqua" w:cs="Tahoma"/>
          <w:vertAlign w:val="superscript"/>
        </w:rPr>
        <w:t>]</w:t>
      </w:r>
      <w:r>
        <w:rPr>
          <w:rFonts w:ascii="Book Antiqua" w:hAnsi="Book Antiqua" w:eastAsia="Book Antiqua" w:cs="Tahoma"/>
        </w:rPr>
        <w:t>. The aim of tissue biopsy is diagnostic clarification, with cytochemical and immunophenotypic analyses, such as myeloid cell markers, anti-myeloperoxidase, and lysozyme, being particularly helpful in gaining a definitive diagnosis</w:t>
      </w:r>
      <w:r>
        <w:rPr>
          <w:rFonts w:ascii="Book Antiqua" w:hAnsi="Book Antiqua" w:cs="Tahoma"/>
          <w:vertAlign w:val="superscript"/>
        </w:rPr>
        <w:t>[</w:t>
      </w:r>
      <w:r>
        <w:rPr>
          <w:rFonts w:ascii="Book Antiqua" w:hAnsi="Book Antiqua" w:eastAsia="Book Antiqua" w:cs="Tahoma"/>
          <w:vertAlign w:val="superscript"/>
        </w:rPr>
        <w:t>19-23</w:t>
      </w:r>
      <w:r>
        <w:rPr>
          <w:rFonts w:ascii="Book Antiqua" w:hAnsi="Book Antiqua" w:cs="Tahoma"/>
          <w:vertAlign w:val="superscript"/>
        </w:rPr>
        <w:t>]</w:t>
      </w:r>
      <w:r>
        <w:rPr>
          <w:rFonts w:ascii="Book Antiqua" w:hAnsi="Book Antiqua" w:eastAsia="Book Antiqua" w:cs="Tahoma"/>
        </w:rPr>
        <w:t>. Studies have shown that MS is often misdiagnosed as non-Hodgkin’s lymphoma, and in the absence of immunohistochemical results, the misdiagnosis rate is 50</w:t>
      </w:r>
      <w:r>
        <w:rPr>
          <w:rFonts w:ascii="Book Antiqua" w:hAnsi="Book Antiqua" w:cs="Tahoma"/>
          <w:lang w:eastAsia="zh-CN"/>
        </w:rPr>
        <w:t>%</w:t>
      </w:r>
      <w:r>
        <w:rPr>
          <w:rFonts w:ascii="Book Antiqua" w:hAnsi="Book Antiqua" w:eastAsia="Book Antiqua" w:cs="Tahoma"/>
        </w:rPr>
        <w:t>-75%</w:t>
      </w:r>
      <w:r>
        <w:rPr>
          <w:rFonts w:ascii="Book Antiqua" w:hAnsi="Book Antiqua" w:cs="Tahoma"/>
          <w:vertAlign w:val="superscript"/>
        </w:rPr>
        <w:t>[24]</w:t>
      </w:r>
      <w:r>
        <w:rPr>
          <w:rFonts w:ascii="Book Antiqua" w:hAnsi="Book Antiqua" w:eastAsia="Book Antiqua" w:cs="Tahoma"/>
        </w:rPr>
        <w:t>. It has also been shown that 88% of patients with untreated isolated MS progress to AML within 1 year</w:t>
      </w:r>
      <w:r>
        <w:rPr>
          <w:rFonts w:ascii="Book Antiqua" w:hAnsi="Book Antiqua" w:cs="Tahoma"/>
          <w:vertAlign w:val="superscript"/>
        </w:rPr>
        <w:t>[25]</w:t>
      </w:r>
      <w:r>
        <w:rPr>
          <w:rFonts w:ascii="Book Antiqua" w:hAnsi="Book Antiqua" w:eastAsia="Book Antiqua" w:cs="Tahoma"/>
        </w:rPr>
        <w:t xml:space="preserve"> and that MS is a precursor to relapse of the primary disease</w:t>
      </w:r>
      <w:r>
        <w:rPr>
          <w:rFonts w:ascii="Book Antiqua" w:hAnsi="Book Antiqua" w:cs="Tahoma"/>
          <w:vertAlign w:val="superscript"/>
        </w:rPr>
        <w:t>[</w:t>
      </w:r>
      <w:r>
        <w:rPr>
          <w:rFonts w:ascii="Book Antiqua" w:hAnsi="Book Antiqua" w:eastAsia="Book Antiqua" w:cs="Tahoma"/>
          <w:vertAlign w:val="superscript"/>
        </w:rPr>
        <w:t>8,26,27</w:t>
      </w:r>
      <w:r>
        <w:rPr>
          <w:rFonts w:ascii="Book Antiqua" w:hAnsi="Book Antiqua" w:cs="Tahoma"/>
          <w:vertAlign w:val="superscript"/>
        </w:rPr>
        <w:t>]</w:t>
      </w:r>
      <w:r>
        <w:rPr>
          <w:rFonts w:ascii="Book Antiqua" w:hAnsi="Book Antiqua" w:eastAsia="Book Antiqua" w:cs="Tahoma"/>
        </w:rPr>
        <w:t>. Due to its rarity, case reports mostly constitute the literature for MS, and studies on treatment options are mainly retrospective analyses of small sample sizes, with a lack of large randomized prospective studies</w:t>
      </w:r>
      <w:r>
        <w:rPr>
          <w:rFonts w:ascii="Book Antiqua" w:hAnsi="Book Antiqua" w:cs="Tahoma"/>
          <w:vertAlign w:val="superscript"/>
        </w:rPr>
        <w:t>[</w:t>
      </w:r>
      <w:r>
        <w:rPr>
          <w:rFonts w:ascii="Book Antiqua" w:hAnsi="Book Antiqua" w:eastAsia="Book Antiqua" w:cs="Tahoma"/>
          <w:vertAlign w:val="superscript"/>
        </w:rPr>
        <w:t>28-30</w:t>
      </w:r>
      <w:r>
        <w:rPr>
          <w:rFonts w:ascii="Book Antiqua" w:hAnsi="Book Antiqua" w:cs="Tahoma"/>
          <w:vertAlign w:val="superscript"/>
        </w:rPr>
        <w:t>]</w:t>
      </w:r>
      <w:r>
        <w:rPr>
          <w:rFonts w:ascii="Book Antiqua" w:hAnsi="Book Antiqua" w:eastAsia="Book Antiqua" w:cs="Tahoma"/>
        </w:rPr>
        <w:t>. Therefore, a uniform and consistent approach to optimal treatment has not been established. However, given the risk of progression to leukaemia and the poor prognosis, the main aim of treatment is to delay progression and prolong survival as long as possible</w:t>
      </w:r>
      <w:r>
        <w:rPr>
          <w:rFonts w:ascii="Book Antiqua" w:hAnsi="Book Antiqua" w:cs="Tahoma"/>
          <w:vertAlign w:val="superscript"/>
          <w:lang w:eastAsia="zh-CN"/>
        </w:rPr>
        <w:t>[</w:t>
      </w:r>
      <w:r>
        <w:rPr>
          <w:rFonts w:ascii="Book Antiqua" w:hAnsi="Book Antiqua" w:eastAsia="Book Antiqua" w:cs="Tahoma"/>
          <w:vertAlign w:val="superscript"/>
        </w:rPr>
        <w:t>19,31-33</w:t>
      </w:r>
      <w:r>
        <w:rPr>
          <w:rFonts w:ascii="Book Antiqua" w:hAnsi="Book Antiqua" w:cs="Tahoma"/>
          <w:vertAlign w:val="superscript"/>
          <w:lang w:eastAsia="zh-CN"/>
        </w:rPr>
        <w:t>]</w:t>
      </w:r>
      <w:r>
        <w:rPr>
          <w:rFonts w:ascii="Book Antiqua" w:hAnsi="Book Antiqua" w:eastAsia="Book Antiqua" w:cs="Tahoma"/>
        </w:rPr>
        <w:t>.</w:t>
      </w:r>
    </w:p>
    <w:p>
      <w:pPr>
        <w:spacing w:line="360" w:lineRule="auto"/>
        <w:ind w:firstLine="240" w:firstLineChars="100"/>
        <w:jc w:val="both"/>
        <w:rPr>
          <w:rFonts w:ascii="Book Antiqua" w:hAnsi="Book Antiqua" w:eastAsia="Book Antiqua" w:cs="Tahoma"/>
        </w:rPr>
      </w:pPr>
      <w:r>
        <w:rPr>
          <w:rFonts w:ascii="Book Antiqua" w:hAnsi="Book Antiqua" w:eastAsia="Book Antiqua" w:cs="Tahoma"/>
        </w:rPr>
        <w:t>We review cases of peripheral nerve compression due to MS over the last 10 years (Table 1) and found that similar cases were predominantly observed when MS invaded the eye (3 cases) and spine (12 cases), while invasion of the brachial plexus is very rare. Due to the rarity of MS-associated peripheral nerve compression, the resulting misdiagnosis may lead to a delay in optimal MS treatment</w:t>
      </w:r>
      <w:r>
        <w:rPr>
          <w:rFonts w:ascii="Book Antiqua" w:hAnsi="Book Antiqua" w:cs="Tahoma"/>
          <w:vertAlign w:val="superscript"/>
        </w:rPr>
        <w:t>[</w:t>
      </w:r>
      <w:r>
        <w:rPr>
          <w:rFonts w:ascii="Book Antiqua" w:hAnsi="Book Antiqua" w:eastAsia="Book Antiqua" w:cs="Tahoma"/>
          <w:vertAlign w:val="superscript"/>
        </w:rPr>
        <w:t>31,34</w:t>
      </w:r>
      <w:r>
        <w:rPr>
          <w:rFonts w:ascii="Book Antiqua" w:hAnsi="Book Antiqua" w:cs="Tahoma"/>
          <w:vertAlign w:val="superscript"/>
        </w:rPr>
        <w:t>]</w:t>
      </w:r>
      <w:r>
        <w:rPr>
          <w:rFonts w:ascii="Book Antiqua" w:hAnsi="Book Antiqua" w:eastAsia="Book Antiqua" w:cs="Tahoma"/>
        </w:rPr>
        <w:t>.</w:t>
      </w:r>
    </w:p>
    <w:p>
      <w:pPr>
        <w:spacing w:line="360" w:lineRule="auto"/>
        <w:ind w:firstLine="240" w:firstLineChars="100"/>
        <w:jc w:val="both"/>
        <w:rPr>
          <w:rFonts w:ascii="Book Antiqua" w:hAnsi="Book Antiqua" w:cs="Tahoma"/>
        </w:rPr>
      </w:pPr>
      <w:r>
        <w:rPr>
          <w:rFonts w:ascii="Book Antiqua" w:hAnsi="Book Antiqua" w:eastAsia="Book Antiqua" w:cs="Tahoma"/>
        </w:rPr>
        <w:t>The clearest symptom in the present case was ulnar nerve palsy, most typically caused by cubital tunnel syndrome. As our investigations showed that the nerve signal was abnormal, we first explored and released the nerve. This resulted in a significant reduction in the patient’s pain, and numbness was significantly reduced on the first postoperative day. The subsequent pathology results were unexpected, but we were able to expedite referral to haemato-oncology for primary disease treatment.</w:t>
      </w:r>
    </w:p>
    <w:p>
      <w:pPr>
        <w:spacing w:line="360" w:lineRule="auto"/>
        <w:jc w:val="both"/>
        <w:rPr>
          <w:rFonts w:ascii="Book Antiqua" w:hAnsi="Book Antiqua" w:cs="Tahoma"/>
          <w:lang w:eastAsia="zh-CN"/>
        </w:rPr>
      </w:pPr>
    </w:p>
    <w:p>
      <w:pPr>
        <w:spacing w:line="360" w:lineRule="auto"/>
        <w:jc w:val="both"/>
        <w:rPr>
          <w:rFonts w:ascii="Book Antiqua" w:hAnsi="Book Antiqua" w:cs="Tahoma"/>
        </w:rPr>
      </w:pPr>
      <w:r>
        <w:rPr>
          <w:rFonts w:ascii="Book Antiqua" w:hAnsi="Book Antiqua" w:eastAsia="Book Antiqua" w:cs="Tahoma"/>
          <w:b/>
          <w:caps/>
          <w:u w:val="single"/>
        </w:rPr>
        <w:t>CONCLUSION</w:t>
      </w:r>
    </w:p>
    <w:p>
      <w:pPr>
        <w:spacing w:line="360" w:lineRule="auto"/>
        <w:jc w:val="both"/>
        <w:rPr>
          <w:rFonts w:ascii="Book Antiqua" w:hAnsi="Book Antiqua" w:cs="Tahoma"/>
        </w:rPr>
      </w:pPr>
      <w:r>
        <w:rPr>
          <w:rFonts w:ascii="Book Antiqua" w:hAnsi="Book Antiqua" w:eastAsia="Book Antiqua" w:cs="Tahoma"/>
        </w:rPr>
        <w:t>MS causing ulnar nerve entrapment and degeneration through invasion of the brachial plexus is a very rare condition. With a history of ANLL with nerve entrapment features, it is essential to suspect MS and send tissue for pathological analysis, as well as to provide prompt surgical decompression for symptom relief and prevent lasting neurological damage.</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rPr>
        <w:t>REFERENCES</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1 </w:t>
      </w:r>
      <w:r>
        <w:rPr>
          <w:rFonts w:ascii="Book Antiqua" w:hAnsi="Book Antiqua" w:eastAsia="Book Antiqua" w:cs="Tahoma"/>
          <w:b/>
          <w:bCs/>
          <w:lang w:val="en-US"/>
        </w:rPr>
        <w:t>Shahin OA</w:t>
      </w:r>
      <w:r>
        <w:rPr>
          <w:rFonts w:ascii="Book Antiqua" w:hAnsi="Book Antiqua" w:eastAsia="Book Antiqua" w:cs="Tahoma"/>
          <w:lang w:val="en-US"/>
        </w:rPr>
        <w:t xml:space="preserve">, Ravandi F. Myeloid sarcoma. </w:t>
      </w:r>
      <w:r>
        <w:rPr>
          <w:rFonts w:ascii="Book Antiqua" w:hAnsi="Book Antiqua" w:eastAsia="Book Antiqua" w:cs="Tahoma"/>
          <w:i/>
          <w:iCs/>
          <w:lang w:val="en-US"/>
        </w:rPr>
        <w:t>Curr Opin Hematol</w:t>
      </w:r>
      <w:r>
        <w:rPr>
          <w:rFonts w:ascii="Book Antiqua" w:hAnsi="Book Antiqua" w:eastAsia="Book Antiqua" w:cs="Tahoma"/>
          <w:lang w:val="en-US"/>
        </w:rPr>
        <w:t xml:space="preserve"> 2020; </w:t>
      </w:r>
      <w:r>
        <w:rPr>
          <w:rFonts w:ascii="Book Antiqua" w:hAnsi="Book Antiqua" w:eastAsia="Book Antiqua" w:cs="Tahoma"/>
          <w:b/>
          <w:bCs/>
          <w:lang w:val="en-US"/>
        </w:rPr>
        <w:t>27</w:t>
      </w:r>
      <w:r>
        <w:rPr>
          <w:rFonts w:ascii="Book Antiqua" w:hAnsi="Book Antiqua" w:eastAsia="Book Antiqua" w:cs="Tahoma"/>
          <w:lang w:val="en-US"/>
        </w:rPr>
        <w:t>: 88-94 [PMID: 31904666 DOI: 10.1097/MOH.0000000000000571]</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2 </w:t>
      </w:r>
      <w:r>
        <w:rPr>
          <w:rFonts w:ascii="Book Antiqua" w:hAnsi="Book Antiqua" w:eastAsia="Book Antiqua" w:cs="Tahoma"/>
          <w:b/>
          <w:bCs/>
          <w:lang w:val="en-US"/>
        </w:rPr>
        <w:t>Claerhout H</w:t>
      </w:r>
      <w:r>
        <w:rPr>
          <w:rFonts w:ascii="Book Antiqua" w:hAnsi="Book Antiqua" w:eastAsia="Book Antiqua" w:cs="Tahoma"/>
          <w:lang w:val="en-US"/>
        </w:rPr>
        <w:t xml:space="preserve">, Van Aelst S, Melis C, Tousseyn T, Gheysens O, Vandenberghe P, Dierickx D, Boeckx N. Clinicopathological characteristics of de novo and secondary myeloid sarcoma: A monocentric retrospective study. </w:t>
      </w:r>
      <w:r>
        <w:rPr>
          <w:rFonts w:ascii="Book Antiqua" w:hAnsi="Book Antiqua" w:eastAsia="Book Antiqua" w:cs="Tahoma"/>
          <w:i/>
          <w:iCs/>
          <w:lang w:val="en-US"/>
        </w:rPr>
        <w:t>Eur J Haematol</w:t>
      </w:r>
      <w:r>
        <w:rPr>
          <w:rFonts w:ascii="Book Antiqua" w:hAnsi="Book Antiqua" w:eastAsia="Book Antiqua" w:cs="Tahoma"/>
          <w:lang w:val="en-US"/>
        </w:rPr>
        <w:t xml:space="preserve"> 2018; </w:t>
      </w:r>
      <w:r>
        <w:rPr>
          <w:rFonts w:ascii="Book Antiqua" w:hAnsi="Book Antiqua" w:eastAsia="Book Antiqua" w:cs="Tahoma"/>
          <w:b/>
          <w:bCs/>
          <w:lang w:val="en-US"/>
        </w:rPr>
        <w:t>100</w:t>
      </w:r>
      <w:r>
        <w:rPr>
          <w:rFonts w:ascii="Book Antiqua" w:hAnsi="Book Antiqua" w:eastAsia="Book Antiqua" w:cs="Tahoma"/>
          <w:lang w:val="en-US"/>
        </w:rPr>
        <w:t>: 603-612 [PMID: 29532520 DOI: 10.1111/ejh.13056]</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3 </w:t>
      </w:r>
      <w:r>
        <w:rPr>
          <w:rFonts w:ascii="Book Antiqua" w:hAnsi="Book Antiqua" w:eastAsia="Book Antiqua" w:cs="Tahoma"/>
          <w:b/>
          <w:bCs/>
          <w:lang w:val="en-US"/>
        </w:rPr>
        <w:t>Meyer HJ</w:t>
      </w:r>
      <w:r>
        <w:rPr>
          <w:rFonts w:ascii="Book Antiqua" w:hAnsi="Book Antiqua" w:eastAsia="Book Antiqua" w:cs="Tahoma"/>
          <w:lang w:val="en-US"/>
        </w:rPr>
        <w:t xml:space="preserve">, Surov A. [Myeloid sarcoma]. </w:t>
      </w:r>
      <w:r>
        <w:rPr>
          <w:rFonts w:ascii="Book Antiqua" w:hAnsi="Book Antiqua" w:eastAsia="Book Antiqua" w:cs="Tahoma"/>
          <w:i/>
          <w:iCs/>
          <w:lang w:val="en-US"/>
        </w:rPr>
        <w:t>Rofo</w:t>
      </w:r>
      <w:r>
        <w:rPr>
          <w:rFonts w:ascii="Book Antiqua" w:hAnsi="Book Antiqua" w:eastAsia="Book Antiqua" w:cs="Tahoma"/>
          <w:lang w:val="en-US"/>
        </w:rPr>
        <w:t xml:space="preserve"> 2021; </w:t>
      </w:r>
      <w:r>
        <w:rPr>
          <w:rFonts w:ascii="Book Antiqua" w:hAnsi="Book Antiqua" w:eastAsia="Book Antiqua" w:cs="Tahoma"/>
          <w:b/>
          <w:bCs/>
          <w:lang w:val="en-US"/>
        </w:rPr>
        <w:t>193</w:t>
      </w:r>
      <w:r>
        <w:rPr>
          <w:rFonts w:ascii="Book Antiqua" w:hAnsi="Book Antiqua" w:eastAsia="Book Antiqua" w:cs="Tahoma"/>
          <w:lang w:val="en-US"/>
        </w:rPr>
        <w:t>: 7-10 [PMID: 32353885 DOI: 10.1055/a-1150-8131]</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4 </w:t>
      </w:r>
      <w:r>
        <w:rPr>
          <w:rFonts w:ascii="Book Antiqua" w:hAnsi="Book Antiqua" w:eastAsia="Book Antiqua" w:cs="Tahoma"/>
          <w:b/>
          <w:bCs/>
          <w:lang w:val="en-US"/>
        </w:rPr>
        <w:t>Kaur V</w:t>
      </w:r>
      <w:r>
        <w:rPr>
          <w:rFonts w:ascii="Book Antiqua" w:hAnsi="Book Antiqua" w:eastAsia="Book Antiqua" w:cs="Tahoma"/>
          <w:lang w:val="en-US"/>
        </w:rPr>
        <w:t xml:space="preserve">, Swami A, Alapat D, Abdallah AO, Motwani P, Hutchins LF, Jethava Y. Clinical characteristics, molecular profile and outcomes of myeloid sarcoma: a single institution experience over 13 years. </w:t>
      </w:r>
      <w:r>
        <w:rPr>
          <w:rFonts w:ascii="Book Antiqua" w:hAnsi="Book Antiqua" w:eastAsia="Book Antiqua" w:cs="Tahoma"/>
          <w:i/>
          <w:iCs/>
          <w:lang w:val="en-US"/>
        </w:rPr>
        <w:t>Hematology</w:t>
      </w:r>
      <w:r>
        <w:rPr>
          <w:rFonts w:ascii="Book Antiqua" w:hAnsi="Book Antiqua" w:eastAsia="Book Antiqua" w:cs="Tahoma"/>
          <w:lang w:val="en-US"/>
        </w:rPr>
        <w:t xml:space="preserve"> 2018; </w:t>
      </w:r>
      <w:r>
        <w:rPr>
          <w:rFonts w:ascii="Book Antiqua" w:hAnsi="Book Antiqua" w:eastAsia="Book Antiqua" w:cs="Tahoma"/>
          <w:b/>
          <w:bCs/>
          <w:lang w:val="en-US"/>
        </w:rPr>
        <w:t>23</w:t>
      </w:r>
      <w:r>
        <w:rPr>
          <w:rFonts w:ascii="Book Antiqua" w:hAnsi="Book Antiqua" w:eastAsia="Book Antiqua" w:cs="Tahoma"/>
          <w:lang w:val="en-US"/>
        </w:rPr>
        <w:t>: 17-24 [PMID: 28574302 DOI: 10.1080/10245332.2017.1333275]</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5 </w:t>
      </w:r>
      <w:r>
        <w:rPr>
          <w:rFonts w:ascii="Book Antiqua" w:hAnsi="Book Antiqua" w:eastAsia="Book Antiqua" w:cs="Tahoma"/>
          <w:b/>
          <w:bCs/>
          <w:lang w:val="en-US"/>
        </w:rPr>
        <w:t>Meyer HJ</w:t>
      </w:r>
      <w:r>
        <w:rPr>
          <w:rFonts w:ascii="Book Antiqua" w:hAnsi="Book Antiqua" w:eastAsia="Book Antiqua" w:cs="Tahoma"/>
          <w:lang w:val="en-US"/>
        </w:rPr>
        <w:t xml:space="preserve">, Beimler M, Borte G, Pönisch W, Surov A. Radiological and clinical patterns of myeloid sarcoma. </w:t>
      </w:r>
      <w:r>
        <w:rPr>
          <w:rFonts w:ascii="Book Antiqua" w:hAnsi="Book Antiqua" w:eastAsia="Book Antiqua" w:cs="Tahoma"/>
          <w:i/>
          <w:iCs/>
          <w:lang w:val="en-US"/>
        </w:rPr>
        <w:t>Radiol Oncol</w:t>
      </w:r>
      <w:r>
        <w:rPr>
          <w:rFonts w:ascii="Book Antiqua" w:hAnsi="Book Antiqua" w:eastAsia="Book Antiqua" w:cs="Tahoma"/>
          <w:lang w:val="en-US"/>
        </w:rPr>
        <w:t xml:space="preserve"> 2019; </w:t>
      </w:r>
      <w:r>
        <w:rPr>
          <w:rFonts w:ascii="Book Antiqua" w:hAnsi="Book Antiqua" w:eastAsia="Book Antiqua" w:cs="Tahoma"/>
          <w:b/>
          <w:bCs/>
          <w:lang w:val="en-US"/>
        </w:rPr>
        <w:t>53</w:t>
      </w:r>
      <w:r>
        <w:rPr>
          <w:rFonts w:ascii="Book Antiqua" w:hAnsi="Book Antiqua" w:eastAsia="Book Antiqua" w:cs="Tahoma"/>
          <w:lang w:val="en-US"/>
        </w:rPr>
        <w:t>: 213-218 [PMID: 30893056 DOI: 10.2478/raon-2019-0014]</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6 </w:t>
      </w:r>
      <w:r>
        <w:rPr>
          <w:rFonts w:ascii="Book Antiqua" w:hAnsi="Book Antiqua" w:eastAsia="Book Antiqua" w:cs="Tahoma"/>
          <w:b/>
          <w:bCs/>
          <w:lang w:val="en-US"/>
        </w:rPr>
        <w:t>Heckl S</w:t>
      </w:r>
      <w:r>
        <w:rPr>
          <w:rFonts w:ascii="Book Antiqua" w:hAnsi="Book Antiqua" w:eastAsia="Book Antiqua" w:cs="Tahoma"/>
          <w:lang w:val="en-US"/>
        </w:rPr>
        <w:t xml:space="preserve">, Horger M, Faul C, Ebrahimi A, Ioanoviciu SD. [Myeloid sarcoma of nervous plexus - infiltration of the nerve plexus by extramedullary manifestation of acute myeloid leukemia]. </w:t>
      </w:r>
      <w:r>
        <w:rPr>
          <w:rFonts w:ascii="Book Antiqua" w:hAnsi="Book Antiqua" w:eastAsia="Book Antiqua" w:cs="Tahoma"/>
          <w:i/>
          <w:iCs/>
          <w:lang w:val="en-US"/>
        </w:rPr>
        <w:t>Rofo</w:t>
      </w:r>
      <w:r>
        <w:rPr>
          <w:rFonts w:ascii="Book Antiqua" w:hAnsi="Book Antiqua" w:eastAsia="Book Antiqua" w:cs="Tahoma"/>
          <w:lang w:val="en-US"/>
        </w:rPr>
        <w:t xml:space="preserve"> 2014; </w:t>
      </w:r>
      <w:r>
        <w:rPr>
          <w:rFonts w:ascii="Book Antiqua" w:hAnsi="Book Antiqua" w:eastAsia="Book Antiqua" w:cs="Tahoma"/>
          <w:b/>
          <w:bCs/>
          <w:lang w:val="en-US"/>
        </w:rPr>
        <w:t>186</w:t>
      </w:r>
      <w:r>
        <w:rPr>
          <w:rFonts w:ascii="Book Antiqua" w:hAnsi="Book Antiqua" w:eastAsia="Book Antiqua" w:cs="Tahoma"/>
          <w:lang w:val="en-US"/>
        </w:rPr>
        <w:t>: 1059-1062 [PMID: 25423100 DOI: 10.1055/s-0034-1369372]</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7 </w:t>
      </w:r>
      <w:r>
        <w:rPr>
          <w:rFonts w:ascii="Book Antiqua" w:hAnsi="Book Antiqua" w:eastAsia="Book Antiqua" w:cs="Tahoma"/>
          <w:b/>
          <w:bCs/>
          <w:lang w:val="en-US"/>
        </w:rPr>
        <w:t>Das JP</w:t>
      </w:r>
      <w:r>
        <w:rPr>
          <w:rFonts w:ascii="Book Antiqua" w:hAnsi="Book Antiqua" w:eastAsia="Book Antiqua" w:cs="Tahoma"/>
          <w:lang w:val="en-US"/>
        </w:rPr>
        <w:t xml:space="preserve">, Riedl CC, Ulaner GA. 18F-FDG PET/CT Helps Differentiate Peripheral Nerve Myeloid Sarcoma From a Presumed Benign Nerve Sheath Tumor. </w:t>
      </w:r>
      <w:r>
        <w:rPr>
          <w:rFonts w:ascii="Book Antiqua" w:hAnsi="Book Antiqua" w:eastAsia="Book Antiqua" w:cs="Tahoma"/>
          <w:i/>
          <w:iCs/>
          <w:lang w:val="en-US"/>
        </w:rPr>
        <w:t>Clin Nucl Med</w:t>
      </w:r>
      <w:r>
        <w:rPr>
          <w:rFonts w:ascii="Book Antiqua" w:hAnsi="Book Antiqua" w:eastAsia="Book Antiqua" w:cs="Tahoma"/>
          <w:lang w:val="en-US"/>
        </w:rPr>
        <w:t xml:space="preserve"> 2020; </w:t>
      </w:r>
      <w:r>
        <w:rPr>
          <w:rFonts w:ascii="Book Antiqua" w:hAnsi="Book Antiqua" w:eastAsia="Book Antiqua" w:cs="Tahoma"/>
          <w:b/>
          <w:bCs/>
          <w:lang w:val="en-US"/>
        </w:rPr>
        <w:t>45</w:t>
      </w:r>
      <w:r>
        <w:rPr>
          <w:rFonts w:ascii="Book Antiqua" w:hAnsi="Book Antiqua" w:eastAsia="Book Antiqua" w:cs="Tahoma"/>
          <w:lang w:val="en-US"/>
        </w:rPr>
        <w:t>: 989-991 [PMID: 32956122 DOI: 10.1097/RLU.0000000000003299]</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8 </w:t>
      </w:r>
      <w:r>
        <w:rPr>
          <w:rFonts w:ascii="Book Antiqua" w:hAnsi="Book Antiqua" w:eastAsia="Book Antiqua" w:cs="Tahoma"/>
          <w:b/>
          <w:bCs/>
          <w:lang w:val="en-US"/>
        </w:rPr>
        <w:t>Paydas S</w:t>
      </w:r>
      <w:r>
        <w:rPr>
          <w:rFonts w:ascii="Book Antiqua" w:hAnsi="Book Antiqua" w:eastAsia="Book Antiqua" w:cs="Tahoma"/>
          <w:lang w:val="en-US"/>
        </w:rPr>
        <w:t xml:space="preserve">, Zorludemir S, Ergin M. Granulocytic sarcoma: 32 cases and review of the literature. </w:t>
      </w:r>
      <w:r>
        <w:rPr>
          <w:rFonts w:ascii="Book Antiqua" w:hAnsi="Book Antiqua" w:eastAsia="Book Antiqua" w:cs="Tahoma"/>
          <w:i/>
          <w:iCs/>
          <w:lang w:val="en-US"/>
        </w:rPr>
        <w:t>Leuk Lymphoma</w:t>
      </w:r>
      <w:r>
        <w:rPr>
          <w:rFonts w:ascii="Book Antiqua" w:hAnsi="Book Antiqua" w:eastAsia="Book Antiqua" w:cs="Tahoma"/>
          <w:lang w:val="en-US"/>
        </w:rPr>
        <w:t xml:space="preserve"> 2006; </w:t>
      </w:r>
      <w:r>
        <w:rPr>
          <w:rFonts w:ascii="Book Antiqua" w:hAnsi="Book Antiqua" w:eastAsia="Book Antiqua" w:cs="Tahoma"/>
          <w:b/>
          <w:bCs/>
          <w:lang w:val="en-US"/>
        </w:rPr>
        <w:t>47</w:t>
      </w:r>
      <w:r>
        <w:rPr>
          <w:rFonts w:ascii="Book Antiqua" w:hAnsi="Book Antiqua" w:eastAsia="Book Antiqua" w:cs="Tahoma"/>
          <w:lang w:val="en-US"/>
        </w:rPr>
        <w:t>: 2527-2541 [PMID: 17169797 DOI: 10.1080/10428190600967196]</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9 </w:t>
      </w:r>
      <w:r>
        <w:rPr>
          <w:rFonts w:ascii="Book Antiqua" w:hAnsi="Book Antiqua" w:eastAsia="Book Antiqua" w:cs="Tahoma"/>
          <w:b/>
          <w:bCs/>
          <w:lang w:val="en-US"/>
        </w:rPr>
        <w:t>Shi JM</w:t>
      </w:r>
      <w:r>
        <w:rPr>
          <w:rFonts w:ascii="Book Antiqua" w:hAnsi="Book Antiqua" w:eastAsia="Book Antiqua" w:cs="Tahoma"/>
          <w:lang w:val="en-US"/>
        </w:rPr>
        <w:t xml:space="preserve">, Meng XJ, Luo Y, Tan YM, Zhu XL, Zheng GF, He JS, Zheng WY, Xie WZ, Li L, Ye XJ, Zhang J, Cai Z, Lin MF, Huang H. Clinical characteristics and outcome of isolated extramedullary relapse in acute leukemia after allogeneic stem cell transplantation: a single-center analysis. </w:t>
      </w:r>
      <w:r>
        <w:rPr>
          <w:rFonts w:ascii="Book Antiqua" w:hAnsi="Book Antiqua" w:eastAsia="Book Antiqua" w:cs="Tahoma"/>
          <w:i/>
          <w:iCs/>
          <w:lang w:val="en-US"/>
        </w:rPr>
        <w:t>Leuk Res</w:t>
      </w:r>
      <w:r>
        <w:rPr>
          <w:rFonts w:ascii="Book Antiqua" w:hAnsi="Book Antiqua" w:eastAsia="Book Antiqua" w:cs="Tahoma"/>
          <w:lang w:val="en-US"/>
        </w:rPr>
        <w:t xml:space="preserve"> 2013; </w:t>
      </w:r>
      <w:r>
        <w:rPr>
          <w:rFonts w:ascii="Book Antiqua" w:hAnsi="Book Antiqua" w:eastAsia="Book Antiqua" w:cs="Tahoma"/>
          <w:b/>
          <w:bCs/>
          <w:lang w:val="en-US"/>
        </w:rPr>
        <w:t>37</w:t>
      </w:r>
      <w:r>
        <w:rPr>
          <w:rFonts w:ascii="Book Antiqua" w:hAnsi="Book Antiqua" w:eastAsia="Book Antiqua" w:cs="Tahoma"/>
          <w:lang w:val="en-US"/>
        </w:rPr>
        <w:t>: 372-377 [PMID: 23347901 DOI: 10.1016/j.leukres.2012.12.002]</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10 </w:t>
      </w:r>
      <w:r>
        <w:rPr>
          <w:rFonts w:ascii="Book Antiqua" w:hAnsi="Book Antiqua" w:eastAsia="Book Antiqua" w:cs="Tahoma"/>
          <w:b/>
          <w:bCs/>
          <w:lang w:val="en-US"/>
        </w:rPr>
        <w:t>Nagamine M</w:t>
      </w:r>
      <w:r>
        <w:rPr>
          <w:rFonts w:ascii="Book Antiqua" w:hAnsi="Book Antiqua" w:eastAsia="Book Antiqua" w:cs="Tahoma"/>
          <w:lang w:val="en-US"/>
        </w:rPr>
        <w:t xml:space="preserve">, Miyoshi H, Kawamoto K, Takeuchi M, Yamada K, Yanagida E, Kohno K, Ohshima K. Clinicopathological analysis of myeloid sarcoma with megakaryocytic differentiation. </w:t>
      </w:r>
      <w:r>
        <w:rPr>
          <w:rFonts w:ascii="Book Antiqua" w:hAnsi="Book Antiqua" w:eastAsia="Book Antiqua" w:cs="Tahoma"/>
          <w:i/>
          <w:iCs/>
          <w:lang w:val="en-US"/>
        </w:rPr>
        <w:t>Pathology</w:t>
      </w:r>
      <w:r>
        <w:rPr>
          <w:rFonts w:ascii="Book Antiqua" w:hAnsi="Book Antiqua" w:eastAsia="Book Antiqua" w:cs="Tahoma"/>
          <w:lang w:val="en-US"/>
        </w:rPr>
        <w:t xml:space="preserve"> 2022; </w:t>
      </w:r>
      <w:r>
        <w:rPr>
          <w:rFonts w:ascii="Book Antiqua" w:hAnsi="Book Antiqua" w:eastAsia="Book Antiqua" w:cs="Tahoma"/>
          <w:b/>
          <w:bCs/>
          <w:lang w:val="en-US"/>
        </w:rPr>
        <w:t>54</w:t>
      </w:r>
      <w:r>
        <w:rPr>
          <w:rFonts w:ascii="Book Antiqua" w:hAnsi="Book Antiqua" w:eastAsia="Book Antiqua" w:cs="Tahoma"/>
          <w:lang w:val="en-US"/>
        </w:rPr>
        <w:t>: 442-448 [PMID: 34852914 DOI: 10.1016/j.pathol.2021.08.015]</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11 </w:t>
      </w:r>
      <w:r>
        <w:rPr>
          <w:rFonts w:ascii="Book Antiqua" w:hAnsi="Book Antiqua" w:eastAsia="Book Antiqua" w:cs="Tahoma"/>
          <w:b/>
          <w:bCs/>
          <w:lang w:val="en-US"/>
        </w:rPr>
        <w:t>Abbas HA</w:t>
      </w:r>
      <w:r>
        <w:rPr>
          <w:rFonts w:ascii="Book Antiqua" w:hAnsi="Book Antiqua" w:eastAsia="Book Antiqua" w:cs="Tahoma"/>
          <w:lang w:val="en-US"/>
        </w:rPr>
        <w:t xml:space="preserve">, Reville PK, Geppner A, Rausch CR, Pemmaraju N, Ohanian M, Sasaki K, Borthakur G, Daver N, DiNardo C, Bueso-Ramos C, Pierce S, Jabbour E, Garcia-Manero G, Konopleva M, Ravandi F, Kantarjian H, Kadia TM. Clinical and molecular characterization of myeloid sarcoma without medullary leukemia. </w:t>
      </w:r>
      <w:r>
        <w:rPr>
          <w:rFonts w:ascii="Book Antiqua" w:hAnsi="Book Antiqua" w:eastAsia="Book Antiqua" w:cs="Tahoma"/>
          <w:i/>
          <w:iCs/>
          <w:lang w:val="en-US"/>
        </w:rPr>
        <w:t>Leuk Lymphoma</w:t>
      </w:r>
      <w:r>
        <w:rPr>
          <w:rFonts w:ascii="Book Antiqua" w:hAnsi="Book Antiqua" w:eastAsia="Book Antiqua" w:cs="Tahoma"/>
          <w:lang w:val="en-US"/>
        </w:rPr>
        <w:t xml:space="preserve"> 2021; </w:t>
      </w:r>
      <w:r>
        <w:rPr>
          <w:rFonts w:ascii="Book Antiqua" w:hAnsi="Book Antiqua" w:eastAsia="Book Antiqua" w:cs="Tahoma"/>
          <w:b/>
          <w:bCs/>
          <w:lang w:val="en-US"/>
        </w:rPr>
        <w:t>62</w:t>
      </w:r>
      <w:r>
        <w:rPr>
          <w:rFonts w:ascii="Book Antiqua" w:hAnsi="Book Antiqua" w:eastAsia="Book Antiqua" w:cs="Tahoma"/>
          <w:lang w:val="en-US"/>
        </w:rPr>
        <w:t>: 3402-3410 [PMID: 34380367 DOI: 10.1080/10428194.2021.1961235]</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12 </w:t>
      </w:r>
      <w:r>
        <w:rPr>
          <w:rFonts w:ascii="Book Antiqua" w:hAnsi="Book Antiqua" w:eastAsia="Book Antiqua" w:cs="Tahoma"/>
          <w:b/>
          <w:bCs/>
          <w:lang w:val="en-US"/>
        </w:rPr>
        <w:t>Abdelnabi MH</w:t>
      </w:r>
      <w:r>
        <w:rPr>
          <w:rFonts w:ascii="Book Antiqua" w:hAnsi="Book Antiqua" w:eastAsia="Book Antiqua" w:cs="Tahoma"/>
          <w:lang w:val="en-US"/>
        </w:rPr>
        <w:t xml:space="preserve">, Almaghraby A, Saleh Y, ElSharkawy E. Cardiac chloroma or cardiac myeloid sarcoma: Case Report. </w:t>
      </w:r>
      <w:r>
        <w:rPr>
          <w:rFonts w:ascii="Book Antiqua" w:hAnsi="Book Antiqua" w:eastAsia="Book Antiqua" w:cs="Tahoma"/>
          <w:i/>
          <w:iCs/>
          <w:lang w:val="en-US"/>
        </w:rPr>
        <w:t>Echocardiography</w:t>
      </w:r>
      <w:r>
        <w:rPr>
          <w:rFonts w:ascii="Book Antiqua" w:hAnsi="Book Antiqua" w:eastAsia="Book Antiqua" w:cs="Tahoma"/>
          <w:lang w:val="en-US"/>
        </w:rPr>
        <w:t xml:space="preserve"> 2019; </w:t>
      </w:r>
      <w:r>
        <w:rPr>
          <w:rFonts w:ascii="Book Antiqua" w:hAnsi="Book Antiqua" w:eastAsia="Book Antiqua" w:cs="Tahoma"/>
          <w:b/>
          <w:bCs/>
          <w:lang w:val="en-US"/>
        </w:rPr>
        <w:t>36</w:t>
      </w:r>
      <w:r>
        <w:rPr>
          <w:rFonts w:ascii="Book Antiqua" w:hAnsi="Book Antiqua" w:eastAsia="Book Antiqua" w:cs="Tahoma"/>
          <w:lang w:val="en-US"/>
        </w:rPr>
        <w:t>: 1594-1595 [PMID: 31403739 DOI: 10.1111/echo.14443]</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13 </w:t>
      </w:r>
      <w:r>
        <w:rPr>
          <w:rFonts w:ascii="Book Antiqua" w:hAnsi="Book Antiqua" w:eastAsia="Book Antiqua" w:cs="Tahoma"/>
          <w:b/>
          <w:bCs/>
          <w:lang w:val="en-US"/>
        </w:rPr>
        <w:t>Arslantaş E</w:t>
      </w:r>
      <w:r>
        <w:rPr>
          <w:rFonts w:ascii="Book Antiqua" w:hAnsi="Book Antiqua" w:eastAsia="Book Antiqua" w:cs="Tahoma"/>
          <w:lang w:val="en-US"/>
        </w:rPr>
        <w:t xml:space="preserve">, Bayram C, Odaman Al I, Uysalol E, İribaş A, Akı H, Adaletli İ, Ayçicek A, Özdemir N. A Rare Cause of Paraplegia: Myeloid Sarcoma. </w:t>
      </w:r>
      <w:r>
        <w:rPr>
          <w:rFonts w:ascii="Book Antiqua" w:hAnsi="Book Antiqua" w:eastAsia="Book Antiqua" w:cs="Tahoma"/>
          <w:i/>
          <w:iCs/>
          <w:lang w:val="en-US"/>
        </w:rPr>
        <w:t>Turk J Haematol</w:t>
      </w:r>
      <w:r>
        <w:rPr>
          <w:rFonts w:ascii="Book Antiqua" w:hAnsi="Book Antiqua" w:eastAsia="Book Antiqua" w:cs="Tahoma"/>
          <w:lang w:val="en-US"/>
        </w:rPr>
        <w:t xml:space="preserve"> 2018; </w:t>
      </w:r>
      <w:r>
        <w:rPr>
          <w:rFonts w:ascii="Book Antiqua" w:hAnsi="Book Antiqua" w:eastAsia="Book Antiqua" w:cs="Tahoma"/>
          <w:b/>
          <w:bCs/>
          <w:lang w:val="en-US"/>
        </w:rPr>
        <w:t>35</w:t>
      </w:r>
      <w:r>
        <w:rPr>
          <w:rFonts w:ascii="Book Antiqua" w:hAnsi="Book Antiqua" w:eastAsia="Book Antiqua" w:cs="Tahoma"/>
          <w:lang w:val="en-US"/>
        </w:rPr>
        <w:t>: 206-207 [PMID: 29393854 DOI: 10.4274/tjh.2017.0423]</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14 </w:t>
      </w:r>
      <w:r>
        <w:rPr>
          <w:rFonts w:ascii="Book Antiqua" w:hAnsi="Book Antiqua" w:eastAsia="Book Antiqua" w:cs="Tahoma"/>
          <w:b/>
          <w:bCs/>
          <w:lang w:val="en-US"/>
        </w:rPr>
        <w:t>Inoue M</w:t>
      </w:r>
      <w:r>
        <w:rPr>
          <w:rFonts w:ascii="Book Antiqua" w:hAnsi="Book Antiqua" w:eastAsia="Book Antiqua" w:cs="Tahoma"/>
          <w:lang w:val="en-US"/>
        </w:rPr>
        <w:t xml:space="preserve">, Hagihara M, Uchida T, Hua J, Nakajima T, Tajima S, Ota Y. A Rare Monocytic Crisis of Chronic Myelogenous Leukemia Presenting with Unusual Extramedullary Manifestations and an Atypical (14;22)(q24;q11.2) Translocation in the Bone Marrow. </w:t>
      </w:r>
      <w:r>
        <w:rPr>
          <w:rFonts w:ascii="Book Antiqua" w:hAnsi="Book Antiqua" w:eastAsia="Book Antiqua" w:cs="Tahoma"/>
          <w:i/>
          <w:iCs/>
          <w:lang w:val="en-US"/>
        </w:rPr>
        <w:t>Intern Med</w:t>
      </w:r>
      <w:r>
        <w:rPr>
          <w:rFonts w:ascii="Book Antiqua" w:hAnsi="Book Antiqua" w:eastAsia="Book Antiqua" w:cs="Tahoma"/>
          <w:lang w:val="en-US"/>
        </w:rPr>
        <w:t xml:space="preserve"> 2017; </w:t>
      </w:r>
      <w:r>
        <w:rPr>
          <w:rFonts w:ascii="Book Antiqua" w:hAnsi="Book Antiqua" w:eastAsia="Book Antiqua" w:cs="Tahoma"/>
          <w:b/>
          <w:bCs/>
          <w:lang w:val="en-US"/>
        </w:rPr>
        <w:t>56</w:t>
      </w:r>
      <w:r>
        <w:rPr>
          <w:rFonts w:ascii="Book Antiqua" w:hAnsi="Book Antiqua" w:eastAsia="Book Antiqua" w:cs="Tahoma"/>
          <w:lang w:val="en-US"/>
        </w:rPr>
        <w:t>: 3341-3346 [PMID: 29021476 DOI: 10.2169/internalmedicine.8617-16]</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15 </w:t>
      </w:r>
      <w:r>
        <w:rPr>
          <w:rFonts w:ascii="Book Antiqua" w:hAnsi="Book Antiqua" w:eastAsia="Book Antiqua" w:cs="Tahoma"/>
          <w:b/>
          <w:bCs/>
          <w:lang w:val="en-US"/>
        </w:rPr>
        <w:t>Mendez-Hernandez A</w:t>
      </w:r>
      <w:r>
        <w:rPr>
          <w:rFonts w:ascii="Book Antiqua" w:hAnsi="Book Antiqua" w:eastAsia="Book Antiqua" w:cs="Tahoma"/>
          <w:lang w:val="en-US"/>
        </w:rPr>
        <w:t xml:space="preserve">, Andrade XA, Upadhyay S, Parra-Rodriguez LM, Caldeira E, Paz LH, Mann H, Zia M, Sumoza L. Myeloid Sarcomas Causing Unilateral Cranial Nerve Palsies in a Patient with Relapsed Acute Myeloblastic Leukemia. </w:t>
      </w:r>
      <w:r>
        <w:rPr>
          <w:rFonts w:ascii="Book Antiqua" w:hAnsi="Book Antiqua" w:eastAsia="Book Antiqua" w:cs="Tahoma"/>
          <w:i/>
          <w:iCs/>
          <w:lang w:val="en-US"/>
        </w:rPr>
        <w:t>Case Rep Hematol</w:t>
      </w:r>
      <w:r>
        <w:rPr>
          <w:rFonts w:ascii="Book Antiqua" w:hAnsi="Book Antiqua" w:eastAsia="Book Antiqua" w:cs="Tahoma"/>
          <w:lang w:val="en-US"/>
        </w:rPr>
        <w:t xml:space="preserve"> 2020; </w:t>
      </w:r>
      <w:r>
        <w:rPr>
          <w:rFonts w:ascii="Book Antiqua" w:hAnsi="Book Antiqua" w:eastAsia="Book Antiqua" w:cs="Tahoma"/>
          <w:b/>
          <w:bCs/>
          <w:lang w:val="en-US"/>
        </w:rPr>
        <w:t>2020</w:t>
      </w:r>
      <w:r>
        <w:rPr>
          <w:rFonts w:ascii="Book Antiqua" w:hAnsi="Book Antiqua" w:eastAsia="Book Antiqua" w:cs="Tahoma"/>
          <w:lang w:val="en-US"/>
        </w:rPr>
        <w:t>: 3749565 [PMID: 32509360 DOI: 10.1155/2020/3749565]</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16 </w:t>
      </w:r>
      <w:r>
        <w:rPr>
          <w:rFonts w:ascii="Book Antiqua" w:hAnsi="Book Antiqua" w:eastAsia="Book Antiqua" w:cs="Tahoma"/>
          <w:b/>
          <w:bCs/>
          <w:lang w:val="en-US"/>
        </w:rPr>
        <w:t>Lim SH</w:t>
      </w:r>
      <w:r>
        <w:rPr>
          <w:rFonts w:ascii="Book Antiqua" w:hAnsi="Book Antiqua" w:eastAsia="Book Antiqua" w:cs="Tahoma"/>
          <w:lang w:val="en-US"/>
        </w:rPr>
        <w:t xml:space="preserve">, Nam HN, Lim KI, Jeon IS. A case of myeloid sarcoma presenting with an orbital mass, hearing loss, and multiple cranial neuropathies. </w:t>
      </w:r>
      <w:r>
        <w:rPr>
          <w:rFonts w:ascii="Book Antiqua" w:hAnsi="Book Antiqua" w:eastAsia="Book Antiqua" w:cs="Tahoma"/>
          <w:i/>
          <w:iCs/>
          <w:lang w:val="en-US"/>
        </w:rPr>
        <w:t>Turk J Pediatr</w:t>
      </w:r>
      <w:r>
        <w:rPr>
          <w:rFonts w:ascii="Book Antiqua" w:hAnsi="Book Antiqua" w:eastAsia="Book Antiqua" w:cs="Tahoma"/>
          <w:lang w:val="en-US"/>
        </w:rPr>
        <w:t xml:space="preserve"> 2018; </w:t>
      </w:r>
      <w:r>
        <w:rPr>
          <w:rFonts w:ascii="Book Antiqua" w:hAnsi="Book Antiqua" w:eastAsia="Book Antiqua" w:cs="Tahoma"/>
          <w:b/>
          <w:bCs/>
          <w:lang w:val="en-US"/>
        </w:rPr>
        <w:t>60</w:t>
      </w:r>
      <w:r>
        <w:rPr>
          <w:rFonts w:ascii="Book Antiqua" w:hAnsi="Book Antiqua" w:eastAsia="Book Antiqua" w:cs="Tahoma"/>
          <w:lang w:val="en-US"/>
        </w:rPr>
        <w:t>: 322-325 [PMID: 30511548 DOI: 10.24953/turkjped.2018.03.015]</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17 </w:t>
      </w:r>
      <w:r>
        <w:rPr>
          <w:rFonts w:ascii="Book Antiqua" w:hAnsi="Book Antiqua" w:eastAsia="Book Antiqua" w:cs="Tahoma"/>
          <w:b/>
          <w:bCs/>
          <w:lang w:val="en-US"/>
        </w:rPr>
        <w:t>Stölzel F</w:t>
      </w:r>
      <w:r>
        <w:rPr>
          <w:rFonts w:ascii="Book Antiqua" w:hAnsi="Book Antiqua" w:eastAsia="Book Antiqua" w:cs="Tahoma"/>
          <w:lang w:val="en-US"/>
        </w:rPr>
        <w:t>, Röllig C, Radke J, Mohr B, Platzbecker U, Bornhäuser M, Paulus T, Ehninger G, Zöphel K, Schaich M. ¹</w:t>
      </w:r>
      <w:r>
        <w:rPr>
          <w:rFonts w:eastAsia="Book Antiqua"/>
          <w:lang w:val="en-US"/>
        </w:rPr>
        <w:t>⁸</w:t>
      </w:r>
      <w:r>
        <w:rPr>
          <w:rFonts w:ascii="Book Antiqua" w:hAnsi="Book Antiqua" w:eastAsia="Book Antiqua" w:cs="Tahoma"/>
          <w:lang w:val="en-US"/>
        </w:rPr>
        <w:t xml:space="preserve">F-FDG-PET/CT for detection of extramedullary acute myeloid leukemia. </w:t>
      </w:r>
      <w:r>
        <w:rPr>
          <w:rFonts w:ascii="Book Antiqua" w:hAnsi="Book Antiqua" w:eastAsia="Book Antiqua" w:cs="Tahoma"/>
          <w:i/>
          <w:iCs/>
          <w:lang w:val="en-US"/>
        </w:rPr>
        <w:t>Haematologica</w:t>
      </w:r>
      <w:r>
        <w:rPr>
          <w:rFonts w:ascii="Book Antiqua" w:hAnsi="Book Antiqua" w:eastAsia="Book Antiqua" w:cs="Tahoma"/>
          <w:lang w:val="en-US"/>
        </w:rPr>
        <w:t xml:space="preserve"> 2011; </w:t>
      </w:r>
      <w:r>
        <w:rPr>
          <w:rFonts w:ascii="Book Antiqua" w:hAnsi="Book Antiqua" w:eastAsia="Book Antiqua" w:cs="Tahoma"/>
          <w:b/>
          <w:bCs/>
          <w:lang w:val="en-US"/>
        </w:rPr>
        <w:t>96</w:t>
      </w:r>
      <w:r>
        <w:rPr>
          <w:rFonts w:ascii="Book Antiqua" w:hAnsi="Book Antiqua" w:eastAsia="Book Antiqua" w:cs="Tahoma"/>
          <w:lang w:val="en-US"/>
        </w:rPr>
        <w:t>: 1552-1556 [PMID: 21685468 DOI: 10.3324/haematol.2011.045047]</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18 </w:t>
      </w:r>
      <w:r>
        <w:rPr>
          <w:rFonts w:ascii="Book Antiqua" w:hAnsi="Book Antiqua" w:eastAsia="Book Antiqua" w:cs="Tahoma"/>
          <w:b/>
          <w:bCs/>
          <w:lang w:val="en-US"/>
        </w:rPr>
        <w:t>Ozsoy A</w:t>
      </w:r>
      <w:r>
        <w:rPr>
          <w:rFonts w:ascii="Book Antiqua" w:hAnsi="Book Antiqua" w:eastAsia="Book Antiqua" w:cs="Tahoma"/>
          <w:lang w:val="en-US"/>
        </w:rPr>
        <w:t xml:space="preserve">, Akdal Dolek B, Barca N, Aktas H, Araz L, Kulacoglu S. Ultrasound Findings in a Case of Myeloid Sarcoma of the Breast. </w:t>
      </w:r>
      <w:r>
        <w:rPr>
          <w:rFonts w:ascii="Book Antiqua" w:hAnsi="Book Antiqua" w:eastAsia="Book Antiqua" w:cs="Tahoma"/>
          <w:i/>
          <w:iCs/>
          <w:lang w:val="en-US"/>
        </w:rPr>
        <w:t>J Belg Soc Radiol</w:t>
      </w:r>
      <w:r>
        <w:rPr>
          <w:rFonts w:ascii="Book Antiqua" w:hAnsi="Book Antiqua" w:eastAsia="Book Antiqua" w:cs="Tahoma"/>
          <w:lang w:val="en-US"/>
        </w:rPr>
        <w:t xml:space="preserve"> 2016; </w:t>
      </w:r>
      <w:r>
        <w:rPr>
          <w:rFonts w:ascii="Book Antiqua" w:hAnsi="Book Antiqua" w:eastAsia="Book Antiqua" w:cs="Tahoma"/>
          <w:b/>
          <w:bCs/>
          <w:lang w:val="en-US"/>
        </w:rPr>
        <w:t>100</w:t>
      </w:r>
      <w:r>
        <w:rPr>
          <w:rFonts w:ascii="Book Antiqua" w:hAnsi="Book Antiqua" w:eastAsia="Book Antiqua" w:cs="Tahoma"/>
          <w:lang w:val="en-US"/>
        </w:rPr>
        <w:t>: 15 [PMID: 30151441 DOI: 10.5334/jbr-btr.986]</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19 </w:t>
      </w:r>
      <w:r>
        <w:rPr>
          <w:rFonts w:ascii="Book Antiqua" w:hAnsi="Book Antiqua" w:eastAsia="Book Antiqua" w:cs="Tahoma"/>
          <w:b/>
          <w:bCs/>
          <w:lang w:val="en-US"/>
        </w:rPr>
        <w:t>Almond LM</w:t>
      </w:r>
      <w:r>
        <w:rPr>
          <w:rFonts w:ascii="Book Antiqua" w:hAnsi="Book Antiqua" w:eastAsia="Book Antiqua" w:cs="Tahoma"/>
          <w:lang w:val="en-US"/>
        </w:rPr>
        <w:t xml:space="preserve">, Charalampakis M, Ford SJ, Gourevitch D, Desai A. Myeloid Sarcoma: Presentation, Diagnosis, and Treatment. </w:t>
      </w:r>
      <w:r>
        <w:rPr>
          <w:rFonts w:ascii="Book Antiqua" w:hAnsi="Book Antiqua" w:eastAsia="Book Antiqua" w:cs="Tahoma"/>
          <w:i/>
          <w:iCs/>
          <w:lang w:val="en-US"/>
        </w:rPr>
        <w:t>Clin Lymphoma Myeloma Leuk</w:t>
      </w:r>
      <w:r>
        <w:rPr>
          <w:rFonts w:ascii="Book Antiqua" w:hAnsi="Book Antiqua" w:eastAsia="Book Antiqua" w:cs="Tahoma"/>
          <w:lang w:val="en-US"/>
        </w:rPr>
        <w:t xml:space="preserve"> 2017; </w:t>
      </w:r>
      <w:r>
        <w:rPr>
          <w:rFonts w:ascii="Book Antiqua" w:hAnsi="Book Antiqua" w:eastAsia="Book Antiqua" w:cs="Tahoma"/>
          <w:b/>
          <w:bCs/>
          <w:lang w:val="en-US"/>
        </w:rPr>
        <w:t>17</w:t>
      </w:r>
      <w:r>
        <w:rPr>
          <w:rFonts w:ascii="Book Antiqua" w:hAnsi="Book Antiqua" w:eastAsia="Book Antiqua" w:cs="Tahoma"/>
          <w:lang w:val="en-US"/>
        </w:rPr>
        <w:t>: 263-267 [PMID: 28342811 DOI: 10.1016/j.clml.2017.02.027]</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20 </w:t>
      </w:r>
      <w:r>
        <w:rPr>
          <w:rFonts w:ascii="Book Antiqua" w:hAnsi="Book Antiqua" w:eastAsia="Book Antiqua" w:cs="Tahoma"/>
          <w:b/>
          <w:bCs/>
          <w:lang w:val="en-US"/>
        </w:rPr>
        <w:t>Hagen PA</w:t>
      </w:r>
      <w:r>
        <w:rPr>
          <w:rFonts w:ascii="Book Antiqua" w:hAnsi="Book Antiqua" w:eastAsia="Book Antiqua" w:cs="Tahoma"/>
          <w:lang w:val="en-US"/>
        </w:rPr>
        <w:t xml:space="preserve">, Singh C, Hart M, Blaes AH. Differential Diagnosis of Isolated Myeloid Sarcoma: A Case Report and Review of the Literature. </w:t>
      </w:r>
      <w:r>
        <w:rPr>
          <w:rFonts w:ascii="Book Antiqua" w:hAnsi="Book Antiqua" w:eastAsia="Book Antiqua" w:cs="Tahoma"/>
          <w:i/>
          <w:iCs/>
          <w:lang w:val="en-US"/>
        </w:rPr>
        <w:t>Hematol Rep</w:t>
      </w:r>
      <w:r>
        <w:rPr>
          <w:rFonts w:ascii="Book Antiqua" w:hAnsi="Book Antiqua" w:eastAsia="Book Antiqua" w:cs="Tahoma"/>
          <w:lang w:val="en-US"/>
        </w:rPr>
        <w:t xml:space="preserve"> 2015; </w:t>
      </w:r>
      <w:r>
        <w:rPr>
          <w:rFonts w:ascii="Book Antiqua" w:hAnsi="Book Antiqua" w:eastAsia="Book Antiqua" w:cs="Tahoma"/>
          <w:b/>
          <w:bCs/>
          <w:lang w:val="en-US"/>
        </w:rPr>
        <w:t>7</w:t>
      </w:r>
      <w:r>
        <w:rPr>
          <w:rFonts w:ascii="Book Antiqua" w:hAnsi="Book Antiqua" w:eastAsia="Book Antiqua" w:cs="Tahoma"/>
          <w:lang w:val="en-US"/>
        </w:rPr>
        <w:t>: 5709 [PMID: 26330997 DOI: 10.4081/hr.2015.5709]</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21 </w:t>
      </w:r>
      <w:r>
        <w:rPr>
          <w:rFonts w:ascii="Book Antiqua" w:hAnsi="Book Antiqua" w:eastAsia="Book Antiqua" w:cs="Tahoma"/>
          <w:b/>
          <w:bCs/>
          <w:lang w:val="en-US"/>
        </w:rPr>
        <w:t>Coltro G</w:t>
      </w:r>
      <w:r>
        <w:rPr>
          <w:rFonts w:ascii="Book Antiqua" w:hAnsi="Book Antiqua" w:eastAsia="Book Antiqua" w:cs="Tahoma"/>
          <w:lang w:val="en-US"/>
        </w:rPr>
        <w:t xml:space="preserve">, Mannelli F, Vergoni F, Santi R, Massi D, Siliani LM, Marzullo A, Bonifacio S, Pelo E, Pacilli A, Paoli C, Franci A, Calabresi L, Bosi A, Vannucchi AM, Guglielmelli P. Extramedullary blastic transformation of primary myelofibrosis in the form of disseminated myeloid sarcoma: a case report and review of the literature. </w:t>
      </w:r>
      <w:r>
        <w:rPr>
          <w:rFonts w:ascii="Book Antiqua" w:hAnsi="Book Antiqua" w:eastAsia="Book Antiqua" w:cs="Tahoma"/>
          <w:i/>
          <w:iCs/>
          <w:lang w:val="en-US"/>
        </w:rPr>
        <w:t>Clin Exp Med</w:t>
      </w:r>
      <w:r>
        <w:rPr>
          <w:rFonts w:ascii="Book Antiqua" w:hAnsi="Book Antiqua" w:eastAsia="Book Antiqua" w:cs="Tahoma"/>
          <w:lang w:val="en-US"/>
        </w:rPr>
        <w:t xml:space="preserve"> 2020; </w:t>
      </w:r>
      <w:r>
        <w:rPr>
          <w:rFonts w:ascii="Book Antiqua" w:hAnsi="Book Antiqua" w:eastAsia="Book Antiqua" w:cs="Tahoma"/>
          <w:b/>
          <w:bCs/>
          <w:lang w:val="en-US"/>
        </w:rPr>
        <w:t>20</w:t>
      </w:r>
      <w:r>
        <w:rPr>
          <w:rFonts w:ascii="Book Antiqua" w:hAnsi="Book Antiqua" w:eastAsia="Book Antiqua" w:cs="Tahoma"/>
          <w:lang w:val="en-US"/>
        </w:rPr>
        <w:t>: 313-320 [PMID: 32065308 DOI: 10.1007/s10238-020-00616-5]</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22 </w:t>
      </w:r>
      <w:r>
        <w:rPr>
          <w:rFonts w:ascii="Book Antiqua" w:hAnsi="Book Antiqua" w:eastAsia="Book Antiqua" w:cs="Tahoma"/>
          <w:b/>
          <w:bCs/>
          <w:lang w:val="en-US"/>
        </w:rPr>
        <w:t>Xu G</w:t>
      </w:r>
      <w:r>
        <w:rPr>
          <w:rFonts w:ascii="Book Antiqua" w:hAnsi="Book Antiqua" w:eastAsia="Book Antiqua" w:cs="Tahoma"/>
          <w:lang w:val="en-US"/>
        </w:rPr>
        <w:t xml:space="preserve">, Zhang H, Nong W, Li C, Meng L, Liu C, Li F. Isolated Intracranial Myeloid Sarcoma Mimicking Malignant Lymphoma: A Diagnostic Challenge and Literature Reviews. </w:t>
      </w:r>
      <w:r>
        <w:rPr>
          <w:rFonts w:ascii="Book Antiqua" w:hAnsi="Book Antiqua" w:eastAsia="Book Antiqua" w:cs="Tahoma"/>
          <w:i/>
          <w:iCs/>
          <w:lang w:val="en-US"/>
        </w:rPr>
        <w:t>Onco Targets Ther</w:t>
      </w:r>
      <w:r>
        <w:rPr>
          <w:rFonts w:ascii="Book Antiqua" w:hAnsi="Book Antiqua" w:eastAsia="Book Antiqua" w:cs="Tahoma"/>
          <w:lang w:val="en-US"/>
        </w:rPr>
        <w:t xml:space="preserve"> 2020; </w:t>
      </w:r>
      <w:r>
        <w:rPr>
          <w:rFonts w:ascii="Book Antiqua" w:hAnsi="Book Antiqua" w:eastAsia="Book Antiqua" w:cs="Tahoma"/>
          <w:b/>
          <w:bCs/>
          <w:lang w:val="en-US"/>
        </w:rPr>
        <w:t>13</w:t>
      </w:r>
      <w:r>
        <w:rPr>
          <w:rFonts w:ascii="Book Antiqua" w:hAnsi="Book Antiqua" w:eastAsia="Book Antiqua" w:cs="Tahoma"/>
          <w:lang w:val="en-US"/>
        </w:rPr>
        <w:t>: 6085-6092 [PMID: 32612369 DOI: 10.2147/OTT.S245828]</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23 </w:t>
      </w:r>
      <w:r>
        <w:rPr>
          <w:rFonts w:ascii="Book Antiqua" w:hAnsi="Book Antiqua" w:eastAsia="Book Antiqua" w:cs="Tahoma"/>
          <w:b/>
          <w:bCs/>
          <w:lang w:val="en-US"/>
        </w:rPr>
        <w:t>Roy PS</w:t>
      </w:r>
      <w:r>
        <w:rPr>
          <w:rFonts w:ascii="Book Antiqua" w:hAnsi="Book Antiqua" w:eastAsia="Book Antiqua" w:cs="Tahoma"/>
          <w:lang w:val="en-US"/>
        </w:rPr>
        <w:t xml:space="preserve">, Vohra V, Jain R, Singhal KK, Mahajan S, Chatterjee D, Saxena AK, Rohilla M, Bansal D. Isolated Myeloid Sarcoma and Intracardiac Thrombus Resulting in Superior Mediastinal Syndrome. </w:t>
      </w:r>
      <w:r>
        <w:rPr>
          <w:rFonts w:ascii="Book Antiqua" w:hAnsi="Book Antiqua" w:eastAsia="Book Antiqua" w:cs="Tahoma"/>
          <w:i/>
          <w:iCs/>
          <w:lang w:val="en-US"/>
        </w:rPr>
        <w:t>Indian J Pediatr</w:t>
      </w:r>
      <w:r>
        <w:rPr>
          <w:rFonts w:ascii="Book Antiqua" w:hAnsi="Book Antiqua" w:eastAsia="Book Antiqua" w:cs="Tahoma"/>
          <w:lang w:val="en-US"/>
        </w:rPr>
        <w:t xml:space="preserve"> 2022; </w:t>
      </w:r>
      <w:r>
        <w:rPr>
          <w:rFonts w:ascii="Book Antiqua" w:hAnsi="Book Antiqua" w:eastAsia="Book Antiqua" w:cs="Tahoma"/>
          <w:b/>
          <w:bCs/>
          <w:lang w:val="en-US"/>
        </w:rPr>
        <w:t>89</w:t>
      </w:r>
      <w:r>
        <w:rPr>
          <w:rFonts w:ascii="Book Antiqua" w:hAnsi="Book Antiqua" w:eastAsia="Book Antiqua" w:cs="Tahoma"/>
          <w:lang w:val="en-US"/>
        </w:rPr>
        <w:t>: 591-593 [PMID: 35092581 DOI: 10.1007/s12098-021-04056-1]</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24 </w:t>
      </w:r>
      <w:r>
        <w:rPr>
          <w:rFonts w:ascii="Book Antiqua" w:hAnsi="Book Antiqua" w:eastAsia="Book Antiqua" w:cs="Tahoma"/>
          <w:b/>
          <w:bCs/>
          <w:lang w:val="en-US"/>
        </w:rPr>
        <w:t>Bai CR</w:t>
      </w:r>
      <w:r>
        <w:rPr>
          <w:rFonts w:ascii="Book Antiqua" w:hAnsi="Book Antiqua" w:eastAsia="Book Antiqua" w:cs="Tahoma"/>
          <w:lang w:val="en-US"/>
        </w:rPr>
        <w:t xml:space="preserve">, Li X, Wang JS, Li JJ, Liu N, Fei Q, Li D, Yang Y. Diagnosis and surgical treatment of primary isolated aggressive lumbar myeloid sarcoma: a rare case report and review of the literatures. </w:t>
      </w:r>
      <w:r>
        <w:rPr>
          <w:rFonts w:ascii="Book Antiqua" w:hAnsi="Book Antiqua" w:eastAsia="Book Antiqua" w:cs="Tahoma"/>
          <w:i/>
          <w:iCs/>
          <w:lang w:val="en-US"/>
        </w:rPr>
        <w:t>BMC Musculoskelet Disord</w:t>
      </w:r>
      <w:r>
        <w:rPr>
          <w:rFonts w:ascii="Book Antiqua" w:hAnsi="Book Antiqua" w:eastAsia="Book Antiqua" w:cs="Tahoma"/>
          <w:lang w:val="en-US"/>
        </w:rPr>
        <w:t xml:space="preserve"> 2021; </w:t>
      </w:r>
      <w:r>
        <w:rPr>
          <w:rFonts w:ascii="Book Antiqua" w:hAnsi="Book Antiqua" w:eastAsia="Book Antiqua" w:cs="Tahoma"/>
          <w:b/>
          <w:bCs/>
          <w:lang w:val="en-US"/>
        </w:rPr>
        <w:t>22</w:t>
      </w:r>
      <w:r>
        <w:rPr>
          <w:rFonts w:ascii="Book Antiqua" w:hAnsi="Book Antiqua" w:eastAsia="Book Antiqua" w:cs="Tahoma"/>
          <w:lang w:val="en-US"/>
        </w:rPr>
        <w:t>: 220 [PMID: 33627110 DOI: 10.1186/s12891-021-04066-2]</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25 </w:t>
      </w:r>
      <w:r>
        <w:rPr>
          <w:rFonts w:ascii="Book Antiqua" w:hAnsi="Book Antiqua" w:eastAsia="Book Antiqua" w:cs="Tahoma"/>
          <w:b/>
          <w:bCs/>
          <w:lang w:val="en-US"/>
        </w:rPr>
        <w:t>Li X</w:t>
      </w:r>
      <w:r>
        <w:rPr>
          <w:rFonts w:ascii="Book Antiqua" w:hAnsi="Book Antiqua" w:eastAsia="Book Antiqua" w:cs="Tahoma"/>
          <w:lang w:val="en-US"/>
        </w:rPr>
        <w:t xml:space="preserve">, Fu J, Xue Y, Yang Y, Wang Y, Zhang C, Zhuo S, Irani F. Allogeneic Hematopoietic Stem Cell Transplantation as Treatment for Primary Granulocytic Sarcoma of the Breast. </w:t>
      </w:r>
      <w:r>
        <w:rPr>
          <w:rFonts w:ascii="Book Antiqua" w:hAnsi="Book Antiqua" w:eastAsia="Book Antiqua" w:cs="Tahoma"/>
          <w:i/>
          <w:iCs/>
          <w:lang w:val="en-US"/>
        </w:rPr>
        <w:t>Cell Biochem Biophys</w:t>
      </w:r>
      <w:r>
        <w:rPr>
          <w:rFonts w:ascii="Book Antiqua" w:hAnsi="Book Antiqua" w:eastAsia="Book Antiqua" w:cs="Tahoma"/>
          <w:lang w:val="en-US"/>
        </w:rPr>
        <w:t xml:space="preserve"> 2015; </w:t>
      </w:r>
      <w:r>
        <w:rPr>
          <w:rFonts w:ascii="Book Antiqua" w:hAnsi="Book Antiqua" w:eastAsia="Book Antiqua" w:cs="Tahoma"/>
          <w:b/>
          <w:bCs/>
          <w:lang w:val="en-US"/>
        </w:rPr>
        <w:t>72</w:t>
      </w:r>
      <w:r>
        <w:rPr>
          <w:rFonts w:ascii="Book Antiqua" w:hAnsi="Book Antiqua" w:eastAsia="Book Antiqua" w:cs="Tahoma"/>
          <w:lang w:val="en-US"/>
        </w:rPr>
        <w:t>: 791-794 [PMID: 25647745 DOI: 10.1007/s12013-015-0534-7]</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26 </w:t>
      </w:r>
      <w:r>
        <w:rPr>
          <w:rFonts w:ascii="Book Antiqua" w:hAnsi="Book Antiqua" w:eastAsia="Book Antiqua" w:cs="Tahoma"/>
          <w:b/>
          <w:bCs/>
          <w:lang w:val="en-US"/>
        </w:rPr>
        <w:t>Wang L</w:t>
      </w:r>
      <w:r>
        <w:rPr>
          <w:rFonts w:ascii="Book Antiqua" w:hAnsi="Book Antiqua" w:eastAsia="Book Antiqua" w:cs="Tahoma"/>
          <w:lang w:val="en-US"/>
        </w:rPr>
        <w:t xml:space="preserve">, Cai DL, Lin N. Myeloid sarcoma of the colon as initial presentation in acute promyelocytic leukemia: A case report and review of the literature. </w:t>
      </w:r>
      <w:r>
        <w:rPr>
          <w:rFonts w:ascii="Book Antiqua" w:hAnsi="Book Antiqua" w:eastAsia="Book Antiqua" w:cs="Tahoma"/>
          <w:i/>
          <w:iCs/>
          <w:lang w:val="en-US"/>
        </w:rPr>
        <w:t>World J Clin Cases</w:t>
      </w:r>
      <w:r>
        <w:rPr>
          <w:rFonts w:ascii="Book Antiqua" w:hAnsi="Book Antiqua" w:eastAsia="Book Antiqua" w:cs="Tahoma"/>
          <w:lang w:val="en-US"/>
        </w:rPr>
        <w:t xml:space="preserve"> 2021; </w:t>
      </w:r>
      <w:r>
        <w:rPr>
          <w:rFonts w:ascii="Book Antiqua" w:hAnsi="Book Antiqua" w:eastAsia="Book Antiqua" w:cs="Tahoma"/>
          <w:b/>
          <w:bCs/>
          <w:lang w:val="en-US"/>
        </w:rPr>
        <w:t>9</w:t>
      </w:r>
      <w:r>
        <w:rPr>
          <w:rFonts w:ascii="Book Antiqua" w:hAnsi="Book Antiqua" w:eastAsia="Book Antiqua" w:cs="Tahoma"/>
          <w:lang w:val="en-US"/>
        </w:rPr>
        <w:t>: 6017-6025 [PMID: 34368322 DOI: 10.12998/wjcc.v9.i21.6017]</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27 </w:t>
      </w:r>
      <w:r>
        <w:rPr>
          <w:rFonts w:ascii="Book Antiqua" w:hAnsi="Book Antiqua" w:eastAsia="Book Antiqua" w:cs="Tahoma"/>
          <w:b/>
          <w:bCs/>
          <w:lang w:val="en-US"/>
        </w:rPr>
        <w:t>Frietsch JJ</w:t>
      </w:r>
      <w:r>
        <w:rPr>
          <w:rFonts w:ascii="Book Antiqua" w:hAnsi="Book Antiqua" w:eastAsia="Book Antiqua" w:cs="Tahoma"/>
          <w:lang w:val="en-US"/>
        </w:rPr>
        <w:t xml:space="preserve">, Hunstig F, Wittke C, Junghanss C, Franiel T, Scholl S, Hochhaus A, Hilgendorf I. Extra-medullary recurrence of myeloid leukemia as myeloid sarcoma after allogeneic stem cell transplantation: impact of conditioning intensity. </w:t>
      </w:r>
      <w:r>
        <w:rPr>
          <w:rFonts w:ascii="Book Antiqua" w:hAnsi="Book Antiqua" w:eastAsia="Book Antiqua" w:cs="Tahoma"/>
          <w:i/>
          <w:iCs/>
          <w:lang w:val="en-US"/>
        </w:rPr>
        <w:t>Bone Marrow Transplant</w:t>
      </w:r>
      <w:r>
        <w:rPr>
          <w:rFonts w:ascii="Book Antiqua" w:hAnsi="Book Antiqua" w:eastAsia="Book Antiqua" w:cs="Tahoma"/>
          <w:lang w:val="en-US"/>
        </w:rPr>
        <w:t xml:space="preserve"> 2021; </w:t>
      </w:r>
      <w:r>
        <w:rPr>
          <w:rFonts w:ascii="Book Antiqua" w:hAnsi="Book Antiqua" w:eastAsia="Book Antiqua" w:cs="Tahoma"/>
          <w:b/>
          <w:bCs/>
          <w:lang w:val="en-US"/>
        </w:rPr>
        <w:t>56</w:t>
      </w:r>
      <w:r>
        <w:rPr>
          <w:rFonts w:ascii="Book Antiqua" w:hAnsi="Book Antiqua" w:eastAsia="Book Antiqua" w:cs="Tahoma"/>
          <w:lang w:val="en-US"/>
        </w:rPr>
        <w:t>: 101-109 [PMID: 32606455 DOI: 10.1038/s41409-020-0984-4]</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28 </w:t>
      </w:r>
      <w:r>
        <w:rPr>
          <w:rFonts w:ascii="Book Antiqua" w:hAnsi="Book Antiqua" w:eastAsia="Book Antiqua" w:cs="Tahoma"/>
          <w:b/>
          <w:bCs/>
          <w:lang w:val="en-US"/>
        </w:rPr>
        <w:t>Shallis RM</w:t>
      </w:r>
      <w:r>
        <w:rPr>
          <w:rFonts w:ascii="Book Antiqua" w:hAnsi="Book Antiqua" w:eastAsia="Book Antiqua" w:cs="Tahoma"/>
          <w:lang w:val="en-US"/>
        </w:rPr>
        <w:t xml:space="preserve">, Pucar D, Perincheri S, Gore SD, Seropian SE, Podoltsev NA, Zeidan AM. Molecular testing of isolated myeloid sarcoma allows successful FLT3-targeted therapy. </w:t>
      </w:r>
      <w:r>
        <w:rPr>
          <w:rFonts w:ascii="Book Antiqua" w:hAnsi="Book Antiqua" w:eastAsia="Book Antiqua" w:cs="Tahoma"/>
          <w:i/>
          <w:iCs/>
          <w:lang w:val="en-US"/>
        </w:rPr>
        <w:t>Ann Hematol</w:t>
      </w:r>
      <w:r>
        <w:rPr>
          <w:rFonts w:ascii="Book Antiqua" w:hAnsi="Book Antiqua" w:eastAsia="Book Antiqua" w:cs="Tahoma"/>
          <w:lang w:val="en-US"/>
        </w:rPr>
        <w:t xml:space="preserve"> 2022; </w:t>
      </w:r>
      <w:r>
        <w:rPr>
          <w:rFonts w:ascii="Book Antiqua" w:hAnsi="Book Antiqua" w:eastAsia="Book Antiqua" w:cs="Tahoma"/>
          <w:b/>
          <w:bCs/>
          <w:lang w:val="en-US"/>
        </w:rPr>
        <w:t>101</w:t>
      </w:r>
      <w:r>
        <w:rPr>
          <w:rFonts w:ascii="Book Antiqua" w:hAnsi="Book Antiqua" w:eastAsia="Book Antiqua" w:cs="Tahoma"/>
          <w:lang w:val="en-US"/>
        </w:rPr>
        <w:t>: 1145-1147 [PMID: 34686913 DOI: 10.1007/s00277-021-04702-w]</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29 </w:t>
      </w:r>
      <w:r>
        <w:rPr>
          <w:rFonts w:ascii="Book Antiqua" w:hAnsi="Book Antiqua" w:eastAsia="Book Antiqua" w:cs="Tahoma"/>
          <w:b/>
          <w:bCs/>
          <w:lang w:val="en-US"/>
        </w:rPr>
        <w:t>Valent P</w:t>
      </w:r>
      <w:r>
        <w:rPr>
          <w:rFonts w:ascii="Book Antiqua" w:hAnsi="Book Antiqua" w:eastAsia="Book Antiqua" w:cs="Tahoma"/>
          <w:lang w:val="en-US"/>
        </w:rPr>
        <w:t xml:space="preserve">, Sadovnik I, Eisenwort G, Herrmann H, Bauer K, Mueller N, Sperr WR, Wicklein D, Schumacher U. Redistribution, homing and organ-invasion of neoplastic stem cells in myeloid neoplasms. </w:t>
      </w:r>
      <w:r>
        <w:rPr>
          <w:rFonts w:ascii="Book Antiqua" w:hAnsi="Book Antiqua" w:eastAsia="Book Antiqua" w:cs="Tahoma"/>
          <w:i/>
          <w:iCs/>
          <w:lang w:val="en-US"/>
        </w:rPr>
        <w:t>Semin Cancer Biol</w:t>
      </w:r>
      <w:r>
        <w:rPr>
          <w:rFonts w:ascii="Book Antiqua" w:hAnsi="Book Antiqua" w:eastAsia="Book Antiqua" w:cs="Tahoma"/>
          <w:lang w:val="en-US"/>
        </w:rPr>
        <w:t xml:space="preserve"> 2020; </w:t>
      </w:r>
      <w:r>
        <w:rPr>
          <w:rFonts w:ascii="Book Antiqua" w:hAnsi="Book Antiqua" w:eastAsia="Book Antiqua" w:cs="Tahoma"/>
          <w:b/>
          <w:bCs/>
          <w:lang w:val="en-US"/>
        </w:rPr>
        <w:t>60</w:t>
      </w:r>
      <w:r>
        <w:rPr>
          <w:rFonts w:ascii="Book Antiqua" w:hAnsi="Book Antiqua" w:eastAsia="Book Antiqua" w:cs="Tahoma"/>
          <w:lang w:val="en-US"/>
        </w:rPr>
        <w:t>: 191-201 [PMID: 31408723 DOI: 10.1016/j.semcancer.2019.07.025]</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30 </w:t>
      </w:r>
      <w:r>
        <w:rPr>
          <w:rFonts w:ascii="Book Antiqua" w:hAnsi="Book Antiqua" w:eastAsia="Book Antiqua" w:cs="Tahoma"/>
          <w:b/>
          <w:bCs/>
          <w:lang w:val="en-US"/>
        </w:rPr>
        <w:t>Shu X</w:t>
      </w:r>
      <w:r>
        <w:rPr>
          <w:rFonts w:ascii="Book Antiqua" w:hAnsi="Book Antiqua" w:eastAsia="Book Antiqua" w:cs="Tahoma"/>
          <w:lang w:val="en-US"/>
        </w:rPr>
        <w:t xml:space="preserve">, Wu Q, Guo T, Yin H, Liu J. Acute Promyelocytic Leukemia Presenting With a Myeloid Sarcoma of the Spine: A Case Report and Literature Review. </w:t>
      </w:r>
      <w:r>
        <w:rPr>
          <w:rFonts w:ascii="Book Antiqua" w:hAnsi="Book Antiqua" w:eastAsia="Book Antiqua" w:cs="Tahoma"/>
          <w:i/>
          <w:iCs/>
          <w:lang w:val="en-US"/>
        </w:rPr>
        <w:t>Front Oncol</w:t>
      </w:r>
      <w:r>
        <w:rPr>
          <w:rFonts w:ascii="Book Antiqua" w:hAnsi="Book Antiqua" w:eastAsia="Book Antiqua" w:cs="Tahoma"/>
          <w:lang w:val="en-US"/>
        </w:rPr>
        <w:t xml:space="preserve"> 2022; </w:t>
      </w:r>
      <w:r>
        <w:rPr>
          <w:rFonts w:ascii="Book Antiqua" w:hAnsi="Book Antiqua" w:eastAsia="Book Antiqua" w:cs="Tahoma"/>
          <w:b/>
          <w:bCs/>
          <w:lang w:val="en-US"/>
        </w:rPr>
        <w:t>12</w:t>
      </w:r>
      <w:r>
        <w:rPr>
          <w:rFonts w:ascii="Book Antiqua" w:hAnsi="Book Antiqua" w:eastAsia="Book Antiqua" w:cs="Tahoma"/>
          <w:lang w:val="en-US"/>
        </w:rPr>
        <w:t>: 851406 [PMID: 35311073 DOI: 10.3389/fonc.2022.851406]</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31 </w:t>
      </w:r>
      <w:r>
        <w:rPr>
          <w:rFonts w:ascii="Book Antiqua" w:hAnsi="Book Antiqua" w:eastAsia="Book Antiqua" w:cs="Tahoma"/>
          <w:b/>
          <w:bCs/>
          <w:lang w:val="en-US"/>
        </w:rPr>
        <w:t>Slouma M</w:t>
      </w:r>
      <w:r>
        <w:rPr>
          <w:rFonts w:ascii="Book Antiqua" w:hAnsi="Book Antiqua" w:eastAsia="Book Antiqua" w:cs="Tahoma"/>
          <w:lang w:val="en-US"/>
        </w:rPr>
        <w:t xml:space="preserve">, Rahmouni S, Dhahri R, Khayati Y, Zriba S, Amorri W, Gharsallah I, Metoui L, Louzir B. Epidural myeloid sarcoma as the presenting symptom of chronic myeloid leukemia blast crisis. </w:t>
      </w:r>
      <w:r>
        <w:rPr>
          <w:rFonts w:ascii="Book Antiqua" w:hAnsi="Book Antiqua" w:eastAsia="Book Antiqua" w:cs="Tahoma"/>
          <w:i/>
          <w:iCs/>
          <w:lang w:val="en-US"/>
        </w:rPr>
        <w:t>Clin Rheumatol</w:t>
      </w:r>
      <w:r>
        <w:rPr>
          <w:rFonts w:ascii="Book Antiqua" w:hAnsi="Book Antiqua" w:eastAsia="Book Antiqua" w:cs="Tahoma"/>
          <w:lang w:val="en-US"/>
        </w:rPr>
        <w:t xml:space="preserve"> 2020; </w:t>
      </w:r>
      <w:r>
        <w:rPr>
          <w:rFonts w:ascii="Book Antiqua" w:hAnsi="Book Antiqua" w:eastAsia="Book Antiqua" w:cs="Tahoma"/>
          <w:b/>
          <w:bCs/>
          <w:lang w:val="en-US"/>
        </w:rPr>
        <w:t>39</w:t>
      </w:r>
      <w:r>
        <w:rPr>
          <w:rFonts w:ascii="Book Antiqua" w:hAnsi="Book Antiqua" w:eastAsia="Book Antiqua" w:cs="Tahoma"/>
          <w:lang w:val="en-US"/>
        </w:rPr>
        <w:t>: 2453-2459 [PMID: 32458246 DOI: 10.1007/s10067-020-05167-4]</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32 </w:t>
      </w:r>
      <w:r>
        <w:rPr>
          <w:rFonts w:ascii="Book Antiqua" w:hAnsi="Book Antiqua" w:eastAsia="Book Antiqua" w:cs="Tahoma"/>
          <w:b/>
          <w:bCs/>
          <w:lang w:val="en-US"/>
        </w:rPr>
        <w:t>Palejwala AH</w:t>
      </w:r>
      <w:r>
        <w:rPr>
          <w:rFonts w:ascii="Book Antiqua" w:hAnsi="Book Antiqua" w:eastAsia="Book Antiqua" w:cs="Tahoma"/>
          <w:lang w:val="en-US"/>
        </w:rPr>
        <w:t xml:space="preserve">, O'Connor KP, Shi H, Villeneuve L, Scordino T, Glenn CA. Chronic myeloid leukemia manifested as myeloid sarcoma: Review of literature and case report. </w:t>
      </w:r>
      <w:r>
        <w:rPr>
          <w:rFonts w:ascii="Book Antiqua" w:hAnsi="Book Antiqua" w:eastAsia="Book Antiqua" w:cs="Tahoma"/>
          <w:i/>
          <w:iCs/>
          <w:lang w:val="en-US"/>
        </w:rPr>
        <w:t>J Clin Neurosci</w:t>
      </w:r>
      <w:r>
        <w:rPr>
          <w:rFonts w:ascii="Book Antiqua" w:hAnsi="Book Antiqua" w:eastAsia="Book Antiqua" w:cs="Tahoma"/>
          <w:lang w:val="en-US"/>
        </w:rPr>
        <w:t xml:space="preserve"> 2019; </w:t>
      </w:r>
      <w:r>
        <w:rPr>
          <w:rFonts w:ascii="Book Antiqua" w:hAnsi="Book Antiqua" w:eastAsia="Book Antiqua" w:cs="Tahoma"/>
          <w:b/>
          <w:bCs/>
          <w:lang w:val="en-US"/>
        </w:rPr>
        <w:t>64</w:t>
      </w:r>
      <w:r>
        <w:rPr>
          <w:rFonts w:ascii="Book Antiqua" w:hAnsi="Book Antiqua" w:eastAsia="Book Antiqua" w:cs="Tahoma"/>
          <w:lang w:val="en-US"/>
        </w:rPr>
        <w:t>: 269-276 [PMID: 31029526 DOI: 10.1016/j.jocn.2019.04.011]</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33 </w:t>
      </w:r>
      <w:r>
        <w:rPr>
          <w:rFonts w:ascii="Book Antiqua" w:hAnsi="Book Antiqua" w:eastAsia="Book Antiqua" w:cs="Tahoma"/>
          <w:b/>
          <w:bCs/>
          <w:lang w:val="en-US"/>
        </w:rPr>
        <w:t>Magdy M</w:t>
      </w:r>
      <w:r>
        <w:rPr>
          <w:rFonts w:ascii="Book Antiqua" w:hAnsi="Book Antiqua" w:eastAsia="Book Antiqua" w:cs="Tahoma"/>
          <w:lang w:val="en-US"/>
        </w:rPr>
        <w:t xml:space="preserve">, Abdel Karim N, Eldessouki I, Gaber O, Rahouma M, Ghareeb M. Myeloid Sarcoma. </w:t>
      </w:r>
      <w:r>
        <w:rPr>
          <w:rFonts w:ascii="Book Antiqua" w:hAnsi="Book Antiqua" w:eastAsia="Book Antiqua" w:cs="Tahoma"/>
          <w:i/>
          <w:iCs/>
          <w:lang w:val="en-US"/>
        </w:rPr>
        <w:t>Oncol Res Treat</w:t>
      </w:r>
      <w:r>
        <w:rPr>
          <w:rFonts w:ascii="Book Antiqua" w:hAnsi="Book Antiqua" w:eastAsia="Book Antiqua" w:cs="Tahoma"/>
          <w:lang w:val="en-US"/>
        </w:rPr>
        <w:t xml:space="preserve"> 2019; </w:t>
      </w:r>
      <w:r>
        <w:rPr>
          <w:rFonts w:ascii="Book Antiqua" w:hAnsi="Book Antiqua" w:eastAsia="Book Antiqua" w:cs="Tahoma"/>
          <w:b/>
          <w:bCs/>
          <w:lang w:val="en-US"/>
        </w:rPr>
        <w:t>42</w:t>
      </w:r>
      <w:r>
        <w:rPr>
          <w:rFonts w:ascii="Book Antiqua" w:hAnsi="Book Antiqua" w:eastAsia="Book Antiqua" w:cs="Tahoma"/>
          <w:lang w:val="en-US"/>
        </w:rPr>
        <w:t>: 224-229 [PMID: 30840960 DOI: 10.1159/000497210]</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34 </w:t>
      </w:r>
      <w:r>
        <w:rPr>
          <w:rFonts w:ascii="Book Antiqua" w:hAnsi="Book Antiqua" w:eastAsia="Book Antiqua" w:cs="Tahoma"/>
          <w:b/>
          <w:bCs/>
          <w:lang w:val="en-US"/>
        </w:rPr>
        <w:t>Ha Y</w:t>
      </w:r>
      <w:r>
        <w:rPr>
          <w:rFonts w:ascii="Book Antiqua" w:hAnsi="Book Antiqua" w:eastAsia="Book Antiqua" w:cs="Tahoma"/>
          <w:lang w:val="en-US"/>
        </w:rPr>
        <w:t xml:space="preserve">, Sung DH, Park Y, Kim du H. Brachial Plexopathy due to Myeloid Sarcoma in a Patient With Acute Myeloid Leukemia After Allogenic Peripheral Blood Stem Cell Transplantation. </w:t>
      </w:r>
      <w:r>
        <w:rPr>
          <w:rFonts w:ascii="Book Antiqua" w:hAnsi="Book Antiqua" w:eastAsia="Book Antiqua" w:cs="Tahoma"/>
          <w:i/>
          <w:iCs/>
          <w:lang w:val="en-US"/>
        </w:rPr>
        <w:t>Ann Rehabil Med</w:t>
      </w:r>
      <w:r>
        <w:rPr>
          <w:rFonts w:ascii="Book Antiqua" w:hAnsi="Book Antiqua" w:eastAsia="Book Antiqua" w:cs="Tahoma"/>
          <w:lang w:val="en-US"/>
        </w:rPr>
        <w:t xml:space="preserve"> 2013; </w:t>
      </w:r>
      <w:r>
        <w:rPr>
          <w:rFonts w:ascii="Book Antiqua" w:hAnsi="Book Antiqua" w:eastAsia="Book Antiqua" w:cs="Tahoma"/>
          <w:b/>
          <w:bCs/>
          <w:lang w:val="en-US"/>
        </w:rPr>
        <w:t>37</w:t>
      </w:r>
      <w:r>
        <w:rPr>
          <w:rFonts w:ascii="Book Antiqua" w:hAnsi="Book Antiqua" w:eastAsia="Book Antiqua" w:cs="Tahoma"/>
          <w:lang w:val="en-US"/>
        </w:rPr>
        <w:t>: 280-285 [PMID: 23705126 DOI: 10.5535/arm.2013.37.2.280]</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35 </w:t>
      </w:r>
      <w:r>
        <w:rPr>
          <w:rFonts w:ascii="Book Antiqua" w:hAnsi="Book Antiqua" w:eastAsia="Book Antiqua" w:cs="Tahoma"/>
          <w:b/>
          <w:bCs/>
          <w:lang w:val="en-US"/>
        </w:rPr>
        <w:t>McCarty SM</w:t>
      </w:r>
      <w:r>
        <w:rPr>
          <w:rFonts w:ascii="Book Antiqua" w:hAnsi="Book Antiqua" w:eastAsia="Book Antiqua" w:cs="Tahoma"/>
          <w:lang w:val="en-US"/>
        </w:rPr>
        <w:t xml:space="preserve">, Kuo DJ. Persistent sacral chloroma in refractory acute myelogenous leukaemia. </w:t>
      </w:r>
      <w:r>
        <w:rPr>
          <w:rFonts w:ascii="Book Antiqua" w:hAnsi="Book Antiqua" w:eastAsia="Book Antiqua" w:cs="Tahoma"/>
          <w:i/>
          <w:iCs/>
          <w:lang w:val="en-US"/>
        </w:rPr>
        <w:t>BMJ Case Rep</w:t>
      </w:r>
      <w:r>
        <w:rPr>
          <w:rFonts w:ascii="Book Antiqua" w:hAnsi="Book Antiqua" w:eastAsia="Book Antiqua" w:cs="Tahoma"/>
          <w:lang w:val="en-US"/>
        </w:rPr>
        <w:t xml:space="preserve"> 2017; </w:t>
      </w:r>
      <w:r>
        <w:rPr>
          <w:rFonts w:ascii="Book Antiqua" w:hAnsi="Book Antiqua" w:eastAsia="Book Antiqua" w:cs="Tahoma"/>
          <w:b/>
          <w:bCs/>
          <w:lang w:val="en-US"/>
        </w:rPr>
        <w:t>2017</w:t>
      </w:r>
      <w:r>
        <w:rPr>
          <w:rFonts w:ascii="Book Antiqua" w:hAnsi="Book Antiqua" w:eastAsia="Book Antiqua" w:cs="Tahoma"/>
          <w:lang w:val="en-US"/>
        </w:rPr>
        <w:t xml:space="preserve"> [PMID: 28687689 DOI: 10.1136/bcr-2017-219936]</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36 </w:t>
      </w:r>
      <w:r>
        <w:rPr>
          <w:rFonts w:ascii="Book Antiqua" w:hAnsi="Book Antiqua" w:eastAsia="Book Antiqua" w:cs="Tahoma"/>
          <w:b/>
          <w:bCs/>
          <w:lang w:val="en-US"/>
        </w:rPr>
        <w:t>Zhu T</w:t>
      </w:r>
      <w:r>
        <w:rPr>
          <w:rFonts w:ascii="Book Antiqua" w:hAnsi="Book Antiqua" w:eastAsia="Book Antiqua" w:cs="Tahoma"/>
          <w:lang w:val="en-US"/>
        </w:rPr>
        <w:t xml:space="preserve">, Xi XY, Dong HJ. Isolated myeloid sarcoma in the pancreas and orbit: A case report and review of literature. </w:t>
      </w:r>
      <w:r>
        <w:rPr>
          <w:rFonts w:ascii="Book Antiqua" w:hAnsi="Book Antiqua" w:eastAsia="Book Antiqua" w:cs="Tahoma"/>
          <w:i/>
          <w:iCs/>
          <w:lang w:val="en-US"/>
        </w:rPr>
        <w:t>World J Clin Cases</w:t>
      </w:r>
      <w:r>
        <w:rPr>
          <w:rFonts w:ascii="Book Antiqua" w:hAnsi="Book Antiqua" w:eastAsia="Book Antiqua" w:cs="Tahoma"/>
          <w:lang w:val="en-US"/>
        </w:rPr>
        <w:t xml:space="preserve"> 2018; </w:t>
      </w:r>
      <w:r>
        <w:rPr>
          <w:rFonts w:ascii="Book Antiqua" w:hAnsi="Book Antiqua" w:eastAsia="Book Antiqua" w:cs="Tahoma"/>
          <w:b/>
          <w:bCs/>
          <w:lang w:val="en-US"/>
        </w:rPr>
        <w:t>6</w:t>
      </w:r>
      <w:r>
        <w:rPr>
          <w:rFonts w:ascii="Book Antiqua" w:hAnsi="Book Antiqua" w:eastAsia="Book Antiqua" w:cs="Tahoma"/>
          <w:lang w:val="en-US"/>
        </w:rPr>
        <w:t>: 477-482 [PMID: 30294614 DOI: 10.12998/wjcc.v6.i11.477]</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37 </w:t>
      </w:r>
      <w:r>
        <w:rPr>
          <w:rFonts w:ascii="Book Antiqua" w:hAnsi="Book Antiqua" w:eastAsia="Book Antiqua" w:cs="Tahoma"/>
          <w:b/>
          <w:bCs/>
          <w:lang w:val="en-US"/>
        </w:rPr>
        <w:t>Valsamis EM</w:t>
      </w:r>
      <w:r>
        <w:rPr>
          <w:rFonts w:ascii="Book Antiqua" w:hAnsi="Book Antiqua" w:eastAsia="Book Antiqua" w:cs="Tahoma"/>
          <w:lang w:val="en-US"/>
        </w:rPr>
        <w:t xml:space="preserve">, Glover TE. Granulocytic sarcoma: a rare cause of sciatica. </w:t>
      </w:r>
      <w:r>
        <w:rPr>
          <w:rFonts w:ascii="Book Antiqua" w:hAnsi="Book Antiqua" w:eastAsia="Book Antiqua" w:cs="Tahoma"/>
          <w:i/>
          <w:iCs/>
          <w:lang w:val="en-US"/>
        </w:rPr>
        <w:t>BMJ Case Rep</w:t>
      </w:r>
      <w:r>
        <w:rPr>
          <w:rFonts w:ascii="Book Antiqua" w:hAnsi="Book Antiqua" w:eastAsia="Book Antiqua" w:cs="Tahoma"/>
          <w:lang w:val="en-US"/>
        </w:rPr>
        <w:t xml:space="preserve"> 2017; </w:t>
      </w:r>
      <w:r>
        <w:rPr>
          <w:rFonts w:ascii="Book Antiqua" w:hAnsi="Book Antiqua" w:eastAsia="Book Antiqua" w:cs="Tahoma"/>
          <w:b/>
          <w:bCs/>
          <w:lang w:val="en-US"/>
        </w:rPr>
        <w:t>2017</w:t>
      </w:r>
      <w:r>
        <w:rPr>
          <w:rFonts w:ascii="Book Antiqua" w:hAnsi="Book Antiqua" w:eastAsia="Book Antiqua" w:cs="Tahoma"/>
          <w:lang w:val="en-US"/>
        </w:rPr>
        <w:t xml:space="preserve"> [PMID: 28202486 DOI: 10.1136/bcr-2016-219009]</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38 </w:t>
      </w:r>
      <w:r>
        <w:rPr>
          <w:rFonts w:ascii="Book Antiqua" w:hAnsi="Book Antiqua" w:eastAsia="Book Antiqua" w:cs="Tahoma"/>
          <w:b/>
          <w:bCs/>
          <w:lang w:val="en-US"/>
        </w:rPr>
        <w:t>Pandey S</w:t>
      </w:r>
      <w:r>
        <w:rPr>
          <w:rFonts w:ascii="Book Antiqua" w:hAnsi="Book Antiqua" w:eastAsia="Book Antiqua" w:cs="Tahoma"/>
          <w:lang w:val="en-US"/>
        </w:rPr>
        <w:t xml:space="preserve">, Gokden M, Kazemi NJ, Post GR. Hematolymphoid Malignancies Presenting with Spinal Epidural Mass and Spinal Cord Compression: A Case Series with Rare Entities. </w:t>
      </w:r>
      <w:r>
        <w:rPr>
          <w:rFonts w:ascii="Book Antiqua" w:hAnsi="Book Antiqua" w:eastAsia="Book Antiqua" w:cs="Tahoma"/>
          <w:i/>
          <w:iCs/>
          <w:lang w:val="en-US"/>
        </w:rPr>
        <w:t>Ann Clin Lab Sci</w:t>
      </w:r>
      <w:r>
        <w:rPr>
          <w:rFonts w:ascii="Book Antiqua" w:hAnsi="Book Antiqua" w:eastAsia="Book Antiqua" w:cs="Tahoma"/>
          <w:lang w:val="en-US"/>
        </w:rPr>
        <w:t xml:space="preserve"> 2019; </w:t>
      </w:r>
      <w:r>
        <w:rPr>
          <w:rFonts w:ascii="Book Antiqua" w:hAnsi="Book Antiqua" w:eastAsia="Book Antiqua" w:cs="Tahoma"/>
          <w:b/>
          <w:bCs/>
          <w:lang w:val="en-US"/>
        </w:rPr>
        <w:t>49</w:t>
      </w:r>
      <w:r>
        <w:rPr>
          <w:rFonts w:ascii="Book Antiqua" w:hAnsi="Book Antiqua" w:eastAsia="Book Antiqua" w:cs="Tahoma"/>
          <w:lang w:val="en-US"/>
        </w:rPr>
        <w:t>: 818-828 [PMID: 31882434]</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39 </w:t>
      </w:r>
      <w:r>
        <w:rPr>
          <w:rFonts w:ascii="Book Antiqua" w:hAnsi="Book Antiqua" w:eastAsia="Book Antiqua" w:cs="Tahoma"/>
          <w:b/>
          <w:bCs/>
          <w:lang w:val="en-US"/>
        </w:rPr>
        <w:t>Snoj Ž</w:t>
      </w:r>
      <w:r>
        <w:rPr>
          <w:rFonts w:ascii="Book Antiqua" w:hAnsi="Book Antiqua" w:eastAsia="Book Antiqua" w:cs="Tahoma"/>
          <w:lang w:val="en-US"/>
        </w:rPr>
        <w:t xml:space="preserve">, Riegler G, Moritz T, Bodner G. Brachial plexus ultrasound in a patient with myelodysplastic syndrome and myelosarcoma. </w:t>
      </w:r>
      <w:r>
        <w:rPr>
          <w:rFonts w:ascii="Book Antiqua" w:hAnsi="Book Antiqua" w:eastAsia="Book Antiqua" w:cs="Tahoma"/>
          <w:i/>
          <w:iCs/>
          <w:lang w:val="en-US"/>
        </w:rPr>
        <w:t>Muscle Nerve</w:t>
      </w:r>
      <w:r>
        <w:rPr>
          <w:rFonts w:ascii="Book Antiqua" w:hAnsi="Book Antiqua" w:eastAsia="Book Antiqua" w:cs="Tahoma"/>
          <w:lang w:val="en-US"/>
        </w:rPr>
        <w:t xml:space="preserve"> 2017; </w:t>
      </w:r>
      <w:r>
        <w:rPr>
          <w:rFonts w:ascii="Book Antiqua" w:hAnsi="Book Antiqua" w:eastAsia="Book Antiqua" w:cs="Tahoma"/>
          <w:b/>
          <w:bCs/>
          <w:lang w:val="en-US"/>
        </w:rPr>
        <w:t>56</w:t>
      </w:r>
      <w:r>
        <w:rPr>
          <w:rFonts w:ascii="Book Antiqua" w:hAnsi="Book Antiqua" w:eastAsia="Book Antiqua" w:cs="Tahoma"/>
          <w:lang w:val="en-US"/>
        </w:rPr>
        <w:t>: E170-E172 [PMID: 28749531 DOI: 10.1002/mus.25753]</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40 </w:t>
      </w:r>
      <w:r>
        <w:rPr>
          <w:rFonts w:ascii="Book Antiqua" w:hAnsi="Book Antiqua" w:eastAsia="Book Antiqua" w:cs="Tahoma"/>
          <w:b/>
          <w:bCs/>
          <w:lang w:val="en-US"/>
        </w:rPr>
        <w:t>Yamamoto H</w:t>
      </w:r>
      <w:r>
        <w:rPr>
          <w:rFonts w:ascii="Book Antiqua" w:hAnsi="Book Antiqua" w:eastAsia="Book Antiqua" w:cs="Tahoma"/>
          <w:lang w:val="en-US"/>
        </w:rPr>
        <w:t xml:space="preserve">, Yamamoto M, Omoto E, Kato T, Tajima K. An isolated myeloid blast crisis presenting as optic nerve sarcoma in a patient with chronic myeloid leukaemia treated with imatinib. </w:t>
      </w:r>
      <w:r>
        <w:rPr>
          <w:rFonts w:ascii="Book Antiqua" w:hAnsi="Book Antiqua" w:eastAsia="Book Antiqua" w:cs="Tahoma"/>
          <w:i/>
          <w:iCs/>
          <w:lang w:val="en-US"/>
        </w:rPr>
        <w:t>Br J Haematol</w:t>
      </w:r>
      <w:r>
        <w:rPr>
          <w:rFonts w:ascii="Book Antiqua" w:hAnsi="Book Antiqua" w:eastAsia="Book Antiqua" w:cs="Tahoma"/>
          <w:lang w:val="en-US"/>
        </w:rPr>
        <w:t xml:space="preserve"> 2015; </w:t>
      </w:r>
      <w:r>
        <w:rPr>
          <w:rFonts w:ascii="Book Antiqua" w:hAnsi="Book Antiqua" w:eastAsia="Book Antiqua" w:cs="Tahoma"/>
          <w:b/>
          <w:bCs/>
          <w:lang w:val="en-US"/>
        </w:rPr>
        <w:t>170</w:t>
      </w:r>
      <w:r>
        <w:rPr>
          <w:rFonts w:ascii="Book Antiqua" w:hAnsi="Book Antiqua" w:eastAsia="Book Antiqua" w:cs="Tahoma"/>
          <w:lang w:val="en-US"/>
        </w:rPr>
        <w:t>: 290 [PMID: 26032918 DOI: 10.1111/bjh.13503.]</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41 </w:t>
      </w:r>
      <w:r>
        <w:rPr>
          <w:rFonts w:ascii="Book Antiqua" w:hAnsi="Book Antiqua" w:eastAsia="Book Antiqua" w:cs="Tahoma"/>
          <w:b/>
          <w:bCs/>
          <w:lang w:val="en-US"/>
        </w:rPr>
        <w:t>Koh HJ</w:t>
      </w:r>
      <w:r>
        <w:rPr>
          <w:rFonts w:ascii="Book Antiqua" w:hAnsi="Book Antiqua" w:eastAsia="Book Antiqua" w:cs="Tahoma"/>
          <w:lang w:val="en-US"/>
        </w:rPr>
        <w:t xml:space="preserve">, Baek J, Lee MS, Park HJ. Epidural chloroma and spinal cord compression. </w:t>
      </w:r>
      <w:r>
        <w:rPr>
          <w:rFonts w:ascii="Book Antiqua" w:hAnsi="Book Antiqua" w:eastAsia="Book Antiqua" w:cs="Tahoma"/>
          <w:i/>
          <w:iCs/>
          <w:lang w:val="en-US"/>
        </w:rPr>
        <w:t>Chin Med J (Engl)</w:t>
      </w:r>
      <w:r>
        <w:rPr>
          <w:rFonts w:ascii="Book Antiqua" w:hAnsi="Book Antiqua" w:eastAsia="Book Antiqua" w:cs="Tahoma"/>
          <w:lang w:val="en-US"/>
        </w:rPr>
        <w:t xml:space="preserve"> 2019; </w:t>
      </w:r>
      <w:r>
        <w:rPr>
          <w:rFonts w:ascii="Book Antiqua" w:hAnsi="Book Antiqua" w:eastAsia="Book Antiqua" w:cs="Tahoma"/>
          <w:b/>
          <w:bCs/>
          <w:lang w:val="en-US"/>
        </w:rPr>
        <w:t>132</w:t>
      </w:r>
      <w:r>
        <w:rPr>
          <w:rFonts w:ascii="Book Antiqua" w:hAnsi="Book Antiqua" w:eastAsia="Book Antiqua" w:cs="Tahoma"/>
          <w:lang w:val="en-US"/>
        </w:rPr>
        <w:t>: 853-855 [PMID: 30672746 DOI: 10.1097/CM9.0000000000000081]</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42 </w:t>
      </w:r>
      <w:r>
        <w:rPr>
          <w:rFonts w:ascii="Book Antiqua" w:hAnsi="Book Antiqua" w:eastAsia="Book Antiqua" w:cs="Tahoma"/>
          <w:b/>
          <w:bCs/>
          <w:lang w:val="en-US"/>
        </w:rPr>
        <w:t>Kim J</w:t>
      </w:r>
      <w:r>
        <w:rPr>
          <w:rFonts w:ascii="Book Antiqua" w:hAnsi="Book Antiqua" w:eastAsia="Book Antiqua" w:cs="Tahoma"/>
          <w:lang w:val="en-US"/>
        </w:rPr>
        <w:t xml:space="preserve">, Park HJ, Levin J, Won SJ. Neuromuscular Ultrasound for Myeloid Sarcoma Affecting the Sciatic Nerve: A Case Report. </w:t>
      </w:r>
      <w:r>
        <w:rPr>
          <w:rFonts w:ascii="Book Antiqua" w:hAnsi="Book Antiqua" w:eastAsia="Book Antiqua" w:cs="Tahoma"/>
          <w:i/>
          <w:iCs/>
          <w:lang w:val="en-US"/>
        </w:rPr>
        <w:t>Ultraschall Med</w:t>
      </w:r>
      <w:r>
        <w:rPr>
          <w:rFonts w:ascii="Book Antiqua" w:hAnsi="Book Antiqua" w:eastAsia="Book Antiqua" w:cs="Tahoma"/>
          <w:lang w:val="en-US"/>
        </w:rPr>
        <w:t xml:space="preserve"> 2021; </w:t>
      </w:r>
      <w:r>
        <w:rPr>
          <w:rFonts w:ascii="Book Antiqua" w:hAnsi="Book Antiqua" w:eastAsia="Book Antiqua" w:cs="Tahoma"/>
          <w:b/>
          <w:bCs/>
          <w:lang w:val="en-US"/>
        </w:rPr>
        <w:t>42</w:t>
      </w:r>
      <w:r>
        <w:rPr>
          <w:rFonts w:ascii="Book Antiqua" w:hAnsi="Book Antiqua" w:eastAsia="Book Antiqua" w:cs="Tahoma"/>
          <w:lang w:val="en-US"/>
        </w:rPr>
        <w:t>: 654-655 [PMID: 33142332 DOI: 10.1055/a-1288-0256]</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43 </w:t>
      </w:r>
      <w:r>
        <w:rPr>
          <w:rFonts w:ascii="Book Antiqua" w:hAnsi="Book Antiqua" w:eastAsia="Book Antiqua" w:cs="Tahoma"/>
          <w:b/>
          <w:bCs/>
          <w:lang w:val="en-US"/>
        </w:rPr>
        <w:t>Rambeloson R</w:t>
      </w:r>
      <w:r>
        <w:rPr>
          <w:rFonts w:ascii="Book Antiqua" w:hAnsi="Book Antiqua" w:eastAsia="Book Antiqua" w:cs="Tahoma"/>
          <w:lang w:val="en-US"/>
        </w:rPr>
        <w:t xml:space="preserve">, Ranoasy NF, Randrianjafisamindrakotroka O, Andriamiadanalisoa AO, Raobela L. [Bilateral orbital myeloid sarcoma: the circumstance of the discovery of acute myeloid leukemia (a case report)]. </w:t>
      </w:r>
      <w:r>
        <w:rPr>
          <w:rFonts w:ascii="Book Antiqua" w:hAnsi="Book Antiqua" w:eastAsia="Book Antiqua" w:cs="Tahoma"/>
          <w:i/>
          <w:iCs/>
          <w:lang w:val="en-US"/>
        </w:rPr>
        <w:t>Pan Afr Med J</w:t>
      </w:r>
      <w:r>
        <w:rPr>
          <w:rFonts w:ascii="Book Antiqua" w:hAnsi="Book Antiqua" w:eastAsia="Book Antiqua" w:cs="Tahoma"/>
          <w:lang w:val="en-US"/>
        </w:rPr>
        <w:t xml:space="preserve"> 2021; </w:t>
      </w:r>
      <w:r>
        <w:rPr>
          <w:rFonts w:ascii="Book Antiqua" w:hAnsi="Book Antiqua" w:eastAsia="Book Antiqua" w:cs="Tahoma"/>
          <w:b/>
          <w:bCs/>
          <w:lang w:val="en-US"/>
        </w:rPr>
        <w:t>39</w:t>
      </w:r>
      <w:r>
        <w:rPr>
          <w:rFonts w:ascii="Book Antiqua" w:hAnsi="Book Antiqua" w:eastAsia="Book Antiqua" w:cs="Tahoma"/>
          <w:lang w:val="en-US"/>
        </w:rPr>
        <w:t>: 145 [PMID: 34527161 DOI: 10.11604/pamj.2021.39.145.25242]</w:t>
      </w:r>
    </w:p>
    <w:p>
      <w:pPr>
        <w:spacing w:line="360" w:lineRule="auto"/>
        <w:jc w:val="both"/>
        <w:rPr>
          <w:rFonts w:ascii="Book Antiqua" w:hAnsi="Book Antiqua" w:eastAsia="Book Antiqua" w:cs="Tahoma"/>
          <w:lang w:val="en-US"/>
        </w:rPr>
      </w:pPr>
      <w:r>
        <w:rPr>
          <w:rFonts w:ascii="Book Antiqua" w:hAnsi="Book Antiqua" w:eastAsia="Book Antiqua" w:cs="Tahoma"/>
          <w:lang w:val="en-US"/>
        </w:rPr>
        <w:t xml:space="preserve">44 </w:t>
      </w:r>
      <w:r>
        <w:rPr>
          <w:rFonts w:ascii="Book Antiqua" w:hAnsi="Book Antiqua" w:eastAsia="Book Antiqua" w:cs="Tahoma"/>
          <w:b/>
          <w:bCs/>
          <w:lang w:val="en-US"/>
        </w:rPr>
        <w:t>Anqi X</w:t>
      </w:r>
      <w:r>
        <w:rPr>
          <w:rFonts w:ascii="Book Antiqua" w:hAnsi="Book Antiqua" w:eastAsia="Book Antiqua" w:cs="Tahoma"/>
          <w:lang w:val="en-US"/>
        </w:rPr>
        <w:t xml:space="preserve">, Siqing H, Zhenlin L, Chao Y. Sacral canal myeloid sarcoma as initial manifestation of granulocytic leukemia: MRI features and differential diagnosis (with a case report). </w:t>
      </w:r>
      <w:r>
        <w:rPr>
          <w:rFonts w:ascii="Book Antiqua" w:hAnsi="Book Antiqua" w:eastAsia="Book Antiqua" w:cs="Tahoma"/>
          <w:i/>
          <w:iCs/>
          <w:lang w:val="en-US"/>
        </w:rPr>
        <w:t>Turk Neurosurg</w:t>
      </w:r>
      <w:r>
        <w:rPr>
          <w:rFonts w:ascii="Book Antiqua" w:hAnsi="Book Antiqua" w:eastAsia="Book Antiqua" w:cs="Tahoma"/>
          <w:lang w:val="en-US"/>
        </w:rPr>
        <w:t xml:space="preserve"> 2014; </w:t>
      </w:r>
      <w:r>
        <w:rPr>
          <w:rFonts w:ascii="Book Antiqua" w:hAnsi="Book Antiqua" w:eastAsia="Book Antiqua" w:cs="Tahoma"/>
          <w:b/>
          <w:bCs/>
          <w:lang w:val="en-US"/>
        </w:rPr>
        <w:t>24</w:t>
      </w:r>
      <w:r>
        <w:rPr>
          <w:rFonts w:ascii="Book Antiqua" w:hAnsi="Book Antiqua" w:eastAsia="Book Antiqua" w:cs="Tahoma"/>
          <w:lang w:val="en-US"/>
        </w:rPr>
        <w:t>: 281-283 [PMID: 24831376 DOI: 10.5137/1019-5149.JTN.7125-12.1]</w:t>
      </w:r>
    </w:p>
    <w:p>
      <w:pPr>
        <w:spacing w:line="360" w:lineRule="auto"/>
        <w:jc w:val="both"/>
        <w:rPr>
          <w:rFonts w:ascii="Book Antiqua" w:hAnsi="Book Antiqua" w:cs="Tahom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Tahoma"/>
        </w:rPr>
      </w:pPr>
      <w:r>
        <w:rPr>
          <w:rFonts w:ascii="Book Antiqua" w:hAnsi="Book Antiqua" w:eastAsia="Book Antiqua" w:cs="Tahoma"/>
          <w:b/>
        </w:rPr>
        <w:t>Footnotes</w:t>
      </w:r>
    </w:p>
    <w:p>
      <w:pPr>
        <w:spacing w:line="360" w:lineRule="auto"/>
        <w:jc w:val="both"/>
        <w:rPr>
          <w:rFonts w:ascii="Book Antiqua" w:hAnsi="Book Antiqua" w:cs="Tahoma"/>
        </w:rPr>
      </w:pPr>
      <w:r>
        <w:rPr>
          <w:rFonts w:ascii="Book Antiqua" w:hAnsi="Book Antiqua" w:eastAsia="Book Antiqua" w:cs="Tahoma"/>
          <w:b/>
          <w:bCs/>
        </w:rPr>
        <w:t xml:space="preserve">Informed consent statement: </w:t>
      </w:r>
      <w:r>
        <w:rPr>
          <w:rFonts w:ascii="Book Antiqua" w:hAnsi="Book Antiqua"/>
          <w:lang w:val="en-IE"/>
        </w:rPr>
        <w:t>Informed written consent was obtained from the patient for the publication of this report and any accompanying images.</w:t>
      </w:r>
    </w:p>
    <w:p>
      <w:pPr>
        <w:spacing w:line="360" w:lineRule="auto"/>
        <w:jc w:val="both"/>
        <w:rPr>
          <w:rFonts w:ascii="Book Antiqua" w:hAnsi="Book Antiqua" w:cs="Tahoma"/>
        </w:rPr>
      </w:pPr>
    </w:p>
    <w:p>
      <w:pPr>
        <w:spacing w:line="360" w:lineRule="auto"/>
        <w:jc w:val="both"/>
        <w:rPr>
          <w:rFonts w:ascii="Book Antiqua" w:hAnsi="Book Antiqua"/>
          <w:lang w:val="en-IE" w:eastAsia="zh-CN"/>
        </w:rPr>
      </w:pPr>
      <w:r>
        <w:rPr>
          <w:rFonts w:ascii="Book Antiqua" w:hAnsi="Book Antiqua" w:eastAsia="Book Antiqua" w:cs="Tahoma"/>
          <w:b/>
          <w:bCs/>
        </w:rPr>
        <w:t xml:space="preserve">Conflict-of-interest statement: </w:t>
      </w:r>
      <w:r>
        <w:rPr>
          <w:rFonts w:ascii="Book Antiqua" w:hAnsi="Book Antiqua"/>
          <w:lang w:val="en-IE"/>
        </w:rPr>
        <w:t>The authors declare that they have no conflict of interest to disclose.</w:t>
      </w:r>
    </w:p>
    <w:p>
      <w:pPr>
        <w:spacing w:line="360" w:lineRule="auto"/>
        <w:jc w:val="both"/>
        <w:rPr>
          <w:rFonts w:ascii="Book Antiqua" w:hAnsi="Book Antiqua" w:cs="Tahoma"/>
          <w:lang w:eastAsia="zh-CN"/>
        </w:rPr>
      </w:pPr>
    </w:p>
    <w:p>
      <w:pPr>
        <w:spacing w:line="360" w:lineRule="auto"/>
        <w:jc w:val="both"/>
        <w:rPr>
          <w:rFonts w:ascii="Book Antiqua" w:hAnsi="Book Antiqua" w:cs="Tahoma"/>
        </w:rPr>
      </w:pPr>
      <w:r>
        <w:rPr>
          <w:rFonts w:ascii="Book Antiqua" w:hAnsi="Book Antiqua" w:eastAsia="Book Antiqua" w:cs="Tahoma"/>
          <w:b/>
          <w:bCs/>
        </w:rPr>
        <w:t xml:space="preserve">CARE Checklist (2016) statement: </w:t>
      </w:r>
      <w:r>
        <w:rPr>
          <w:rFonts w:ascii="Book Antiqua" w:hAnsi="Book Antiqua"/>
          <w:lang w:val="en-IE"/>
        </w:rPr>
        <w:t>The authors have read the CARE Checklist (2016), and the manuscript was prepared and revised according to the CARE Checklist (2016).</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bCs/>
        </w:rPr>
        <w:t xml:space="preserve">Open-Access: </w:t>
      </w:r>
      <w:r>
        <w:rPr>
          <w:rFonts w:ascii="Book Antiqua" w:hAnsi="Book Antiqua" w:eastAsia="Book Antiqua" w:cs="Tahom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rPr>
        <w:t xml:space="preserve">Provenance and peer review: </w:t>
      </w:r>
      <w:r>
        <w:rPr>
          <w:rFonts w:ascii="Book Antiqua" w:hAnsi="Book Antiqua" w:eastAsia="Book Antiqua" w:cs="Tahoma"/>
        </w:rPr>
        <w:t>Unsolicited article; Externally peer reviewed.</w:t>
      </w:r>
    </w:p>
    <w:p>
      <w:pPr>
        <w:spacing w:line="360" w:lineRule="auto"/>
        <w:jc w:val="both"/>
        <w:rPr>
          <w:rFonts w:ascii="Book Antiqua" w:hAnsi="Book Antiqua" w:cs="Tahoma"/>
        </w:rPr>
      </w:pPr>
      <w:r>
        <w:rPr>
          <w:rFonts w:ascii="Book Antiqua" w:hAnsi="Book Antiqua" w:eastAsia="Book Antiqua" w:cs="Tahoma"/>
          <w:b/>
        </w:rPr>
        <w:t xml:space="preserve">Peer-review model: </w:t>
      </w:r>
      <w:r>
        <w:rPr>
          <w:rFonts w:ascii="Book Antiqua" w:hAnsi="Book Antiqua" w:eastAsia="Book Antiqua" w:cs="Tahoma"/>
        </w:rPr>
        <w:t>Single blind</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rPr>
        <w:t xml:space="preserve">Peer-review started: </w:t>
      </w:r>
      <w:r>
        <w:rPr>
          <w:rFonts w:ascii="Book Antiqua" w:hAnsi="Book Antiqua" w:eastAsia="Book Antiqua" w:cs="Tahoma"/>
        </w:rPr>
        <w:t>April 28, 2022</w:t>
      </w:r>
    </w:p>
    <w:p>
      <w:pPr>
        <w:spacing w:line="360" w:lineRule="auto"/>
        <w:jc w:val="both"/>
        <w:rPr>
          <w:rFonts w:ascii="Book Antiqua" w:hAnsi="Book Antiqua" w:cs="Tahoma"/>
        </w:rPr>
      </w:pPr>
      <w:r>
        <w:rPr>
          <w:rFonts w:ascii="Book Antiqua" w:hAnsi="Book Antiqua" w:eastAsia="Book Antiqua" w:cs="Tahoma"/>
          <w:b/>
        </w:rPr>
        <w:t xml:space="preserve">First decision: </w:t>
      </w:r>
      <w:r>
        <w:rPr>
          <w:rFonts w:ascii="Book Antiqua" w:hAnsi="Book Antiqua" w:eastAsia="Book Antiqua" w:cs="Tahoma"/>
        </w:rPr>
        <w:t>June 16, 2022</w:t>
      </w:r>
    </w:p>
    <w:p>
      <w:pPr>
        <w:spacing w:line="360" w:lineRule="auto"/>
        <w:jc w:val="both"/>
        <w:rPr>
          <w:rFonts w:ascii="Book Antiqua" w:hAnsi="Book Antiqua" w:cs="Tahoma"/>
          <w:lang w:eastAsia="zh-CN"/>
        </w:rPr>
      </w:pPr>
      <w:r>
        <w:rPr>
          <w:rFonts w:ascii="Book Antiqua" w:hAnsi="Book Antiqua" w:eastAsia="Book Antiqua" w:cs="Tahoma"/>
          <w:b/>
        </w:rPr>
        <w:t>Article in press:</w:t>
      </w:r>
      <w:r>
        <w:rPr>
          <w:rFonts w:hint="eastAsia" w:ascii="Book Antiqua" w:hAnsi="Book Antiqua" w:cs="Tahoma"/>
          <w:b/>
          <w:lang w:eastAsia="zh-CN"/>
        </w:rPr>
        <w:t xml:space="preserve"> </w:t>
      </w:r>
      <w:r>
        <w:rPr>
          <w:rFonts w:ascii="Book Antiqua" w:hAnsi="Book Antiqua" w:eastAsia="Book Antiqua" w:cs="Tahoma"/>
        </w:rPr>
        <w:t>August 23, 2022</w:t>
      </w:r>
      <w:r>
        <w:rPr>
          <w:rFonts w:ascii="Book Antiqua" w:hAnsi="Book Antiqua" w:eastAsia="Book Antiqua" w:cs="Tahoma"/>
          <w:b/>
        </w:rPr>
        <w:t xml:space="preserve"> </w:t>
      </w:r>
    </w:p>
    <w:p>
      <w:pPr>
        <w:spacing w:line="360" w:lineRule="auto"/>
        <w:jc w:val="both"/>
        <w:rPr>
          <w:rFonts w:ascii="Book Antiqua" w:hAnsi="Book Antiqua" w:cs="Tahoma"/>
        </w:rPr>
      </w:pPr>
    </w:p>
    <w:p>
      <w:pPr>
        <w:spacing w:line="360" w:lineRule="auto"/>
        <w:jc w:val="both"/>
        <w:rPr>
          <w:rFonts w:ascii="Book Antiqua" w:hAnsi="Book Antiqua" w:cs="Tahoma"/>
        </w:rPr>
      </w:pPr>
      <w:r>
        <w:rPr>
          <w:rFonts w:ascii="Book Antiqua" w:hAnsi="Book Antiqua" w:eastAsia="Book Antiqua" w:cs="Tahoma"/>
          <w:b/>
        </w:rPr>
        <w:t xml:space="preserve">Specialty type: </w:t>
      </w:r>
      <w:r>
        <w:rPr>
          <w:rFonts w:ascii="Book Antiqua" w:hAnsi="Book Antiqua" w:eastAsia="Book Antiqua" w:cs="Tahoma"/>
        </w:rPr>
        <w:t>Radiology, nuclear medicine and medical imaging</w:t>
      </w:r>
    </w:p>
    <w:p>
      <w:pPr>
        <w:spacing w:line="360" w:lineRule="auto"/>
        <w:jc w:val="both"/>
        <w:rPr>
          <w:rFonts w:ascii="Book Antiqua" w:hAnsi="Book Antiqua" w:cs="Tahoma"/>
        </w:rPr>
      </w:pPr>
      <w:r>
        <w:rPr>
          <w:rFonts w:ascii="Book Antiqua" w:hAnsi="Book Antiqua" w:eastAsia="Book Antiqua" w:cs="Tahoma"/>
          <w:b/>
        </w:rPr>
        <w:t xml:space="preserve">Country/Territory of origin: </w:t>
      </w:r>
      <w:r>
        <w:rPr>
          <w:rFonts w:ascii="Book Antiqua" w:hAnsi="Book Antiqua" w:eastAsia="Book Antiqua" w:cs="Tahoma"/>
        </w:rPr>
        <w:t>China</w:t>
      </w:r>
    </w:p>
    <w:p>
      <w:pPr>
        <w:spacing w:line="360" w:lineRule="auto"/>
        <w:jc w:val="both"/>
        <w:rPr>
          <w:rFonts w:ascii="Book Antiqua" w:hAnsi="Book Antiqua" w:cs="Tahoma"/>
        </w:rPr>
      </w:pPr>
      <w:r>
        <w:rPr>
          <w:rFonts w:ascii="Book Antiqua" w:hAnsi="Book Antiqua" w:eastAsia="Book Antiqua" w:cs="Tahoma"/>
          <w:b/>
        </w:rPr>
        <w:t>Peer-review report’s scientific quality classification</w:t>
      </w:r>
    </w:p>
    <w:p>
      <w:pPr>
        <w:spacing w:line="360" w:lineRule="auto"/>
        <w:jc w:val="both"/>
        <w:rPr>
          <w:rFonts w:ascii="Book Antiqua" w:hAnsi="Book Antiqua" w:cs="Tahoma"/>
        </w:rPr>
      </w:pPr>
      <w:r>
        <w:rPr>
          <w:rFonts w:ascii="Book Antiqua" w:hAnsi="Book Antiqua" w:eastAsia="Book Antiqua" w:cs="Tahoma"/>
        </w:rPr>
        <w:t>Grade A (Excellent): A</w:t>
      </w:r>
    </w:p>
    <w:p>
      <w:pPr>
        <w:spacing w:line="360" w:lineRule="auto"/>
        <w:jc w:val="both"/>
        <w:rPr>
          <w:rFonts w:ascii="Book Antiqua" w:hAnsi="Book Antiqua" w:cs="Tahoma"/>
          <w:lang w:eastAsia="zh-CN"/>
        </w:rPr>
      </w:pPr>
      <w:r>
        <w:rPr>
          <w:rFonts w:ascii="Book Antiqua" w:hAnsi="Book Antiqua" w:eastAsia="Book Antiqua" w:cs="Tahoma"/>
        </w:rPr>
        <w:t>Grade B (Very good): B</w:t>
      </w:r>
      <w:r>
        <w:rPr>
          <w:rFonts w:ascii="Book Antiqua" w:hAnsi="Book Antiqua" w:cs="Tahoma"/>
          <w:lang w:eastAsia="zh-CN"/>
        </w:rPr>
        <w:t>, B</w:t>
      </w:r>
    </w:p>
    <w:p>
      <w:pPr>
        <w:spacing w:line="360" w:lineRule="auto"/>
        <w:jc w:val="both"/>
        <w:rPr>
          <w:rFonts w:ascii="Book Antiqua" w:hAnsi="Book Antiqua" w:cs="Tahoma"/>
          <w:lang w:eastAsia="zh-CN"/>
        </w:rPr>
      </w:pPr>
      <w:r>
        <w:rPr>
          <w:rFonts w:ascii="Book Antiqua" w:hAnsi="Book Antiqua" w:eastAsia="Book Antiqua" w:cs="Tahoma"/>
        </w:rPr>
        <w:t>Grade C (Good): C</w:t>
      </w:r>
      <w:r>
        <w:rPr>
          <w:rFonts w:ascii="Book Antiqua" w:hAnsi="Book Antiqua" w:cs="Tahoma"/>
          <w:lang w:eastAsia="zh-CN"/>
        </w:rPr>
        <w:t>, C</w:t>
      </w:r>
    </w:p>
    <w:p>
      <w:pPr>
        <w:spacing w:line="360" w:lineRule="auto"/>
        <w:jc w:val="both"/>
        <w:rPr>
          <w:rFonts w:ascii="Book Antiqua" w:hAnsi="Book Antiqua" w:cs="Tahoma"/>
        </w:rPr>
      </w:pPr>
      <w:r>
        <w:rPr>
          <w:rFonts w:ascii="Book Antiqua" w:hAnsi="Book Antiqua" w:eastAsia="Book Antiqua" w:cs="Tahoma"/>
        </w:rPr>
        <w:t>Grade D (Fair): D</w:t>
      </w:r>
    </w:p>
    <w:p>
      <w:pPr>
        <w:spacing w:line="360" w:lineRule="auto"/>
        <w:jc w:val="both"/>
        <w:rPr>
          <w:rFonts w:ascii="Book Antiqua" w:hAnsi="Book Antiqua" w:cs="Tahoma"/>
        </w:rPr>
      </w:pPr>
      <w:r>
        <w:rPr>
          <w:rFonts w:ascii="Book Antiqua" w:hAnsi="Book Antiqua" w:eastAsia="Book Antiqua" w:cs="Tahoma"/>
        </w:rPr>
        <w:t>Grade E (Poor): 0</w:t>
      </w:r>
    </w:p>
    <w:p>
      <w:pPr>
        <w:spacing w:line="360" w:lineRule="auto"/>
        <w:jc w:val="both"/>
        <w:rPr>
          <w:rFonts w:ascii="Book Antiqua" w:hAnsi="Book Antiqua" w:cs="Tahoma"/>
        </w:rPr>
      </w:pPr>
    </w:p>
    <w:p>
      <w:pPr>
        <w:spacing w:line="360" w:lineRule="auto"/>
        <w:jc w:val="both"/>
        <w:rPr>
          <w:rFonts w:ascii="Book Antiqua" w:hAnsi="Book Antiqua" w:eastAsia="Book Antiqua" w:cs="Tahoma"/>
          <w:b/>
        </w:rPr>
        <w:sectPr>
          <w:pgSz w:w="12240" w:h="15840"/>
          <w:pgMar w:top="1440" w:right="1440" w:bottom="1440" w:left="1440" w:header="720" w:footer="720" w:gutter="0"/>
          <w:cols w:space="720" w:num="1"/>
          <w:docGrid w:linePitch="360" w:charSpace="0"/>
        </w:sectPr>
      </w:pPr>
      <w:r>
        <w:rPr>
          <w:rFonts w:ascii="Book Antiqua" w:hAnsi="Book Antiqua" w:eastAsia="Book Antiqua" w:cs="Tahoma"/>
          <w:b/>
        </w:rPr>
        <w:t xml:space="preserve">P-Reviewer: </w:t>
      </w:r>
      <w:r>
        <w:rPr>
          <w:rFonts w:ascii="Book Antiqua" w:hAnsi="Book Antiqua" w:eastAsia="Book Antiqua" w:cs="Tahoma"/>
        </w:rPr>
        <w:t>Al-Ani RM, Iraq; Chiu CC, Taiwan; Fakhradiyev I, Kazakhstan; Govindarajan KK, India</w:t>
      </w:r>
      <w:r>
        <w:rPr>
          <w:rFonts w:ascii="Book Antiqua" w:hAnsi="Book Antiqua" w:eastAsia="Book Antiqua" w:cs="Tahoma"/>
          <w:b/>
        </w:rPr>
        <w:t xml:space="preserve"> S-Editor: </w:t>
      </w:r>
      <w:r>
        <w:rPr>
          <w:rFonts w:ascii="Book Antiqua" w:hAnsi="Book Antiqua" w:cs="Tahoma"/>
          <w:lang w:eastAsia="zh-CN"/>
        </w:rPr>
        <w:t>Chen YL</w:t>
      </w:r>
      <w:r>
        <w:rPr>
          <w:rFonts w:ascii="Book Antiqua" w:hAnsi="Book Antiqua" w:eastAsia="Book Antiqua" w:cs="Tahoma"/>
          <w:b/>
        </w:rPr>
        <w:t xml:space="preserve"> L-Editor: </w:t>
      </w:r>
      <w:r>
        <w:rPr>
          <w:rFonts w:ascii="Book Antiqua" w:hAnsi="Book Antiqua" w:eastAsia="Book Antiqua" w:cs="Tahoma"/>
        </w:rPr>
        <w:t>Wang TQ</w:t>
      </w:r>
      <w:r>
        <w:rPr>
          <w:rFonts w:ascii="Book Antiqua" w:hAnsi="Book Antiqua" w:eastAsia="Book Antiqua" w:cs="Tahoma"/>
          <w:b/>
        </w:rPr>
        <w:t xml:space="preserve"> P-Editor:</w:t>
      </w:r>
      <w:r>
        <w:rPr>
          <w:rFonts w:ascii="Book Antiqua" w:hAnsi="Book Antiqua" w:cs="Tahoma"/>
          <w:b/>
          <w:lang w:eastAsia="zh-CN"/>
        </w:rPr>
        <w:t xml:space="preserve"> </w:t>
      </w:r>
      <w:r>
        <w:rPr>
          <w:rFonts w:ascii="Book Antiqua" w:hAnsi="Book Antiqua" w:cs="Tahoma"/>
          <w:lang w:eastAsia="zh-CN"/>
        </w:rPr>
        <w:t>Chen YL</w:t>
      </w:r>
      <w:r>
        <w:rPr>
          <w:rFonts w:ascii="Book Antiqua" w:hAnsi="Book Antiqua" w:eastAsia="Book Antiqua" w:cs="Tahoma"/>
          <w:b/>
        </w:rPr>
        <w:t xml:space="preserve"> </w:t>
      </w:r>
    </w:p>
    <w:p>
      <w:pPr>
        <w:spacing w:line="360" w:lineRule="auto"/>
        <w:jc w:val="both"/>
        <w:rPr>
          <w:rFonts w:ascii="Book Antiqua" w:hAnsi="Book Antiqua" w:cs="Tahoma"/>
          <w:b/>
          <w:lang w:eastAsia="zh-CN"/>
        </w:rPr>
      </w:pPr>
      <w:r>
        <w:rPr>
          <w:rFonts w:ascii="Book Antiqua" w:hAnsi="Book Antiqua" w:cs="Tahoma"/>
          <w:b/>
          <w:lang w:eastAsia="zh-CN"/>
        </w:rPr>
        <w:t>Figure Legends</w:t>
      </w:r>
    </w:p>
    <w:p>
      <w:pPr>
        <w:spacing w:line="360" w:lineRule="auto"/>
        <w:jc w:val="both"/>
        <w:rPr>
          <w:rFonts w:ascii="Book Antiqua" w:hAnsi="Book Antiqua" w:cs="Tahoma"/>
          <w:b/>
          <w:lang w:eastAsia="zh-CN"/>
        </w:rPr>
      </w:pPr>
      <w:r>
        <w:rPr>
          <w:rFonts w:ascii="Book Antiqua" w:hAnsi="Book Antiqua" w:cs="Tahoma"/>
          <w:b/>
          <w:lang w:eastAsia="zh-CN"/>
        </w:rPr>
        <w:drawing>
          <wp:inline distT="0" distB="0" distL="114300" distR="114300">
            <wp:extent cx="5937885" cy="4338955"/>
            <wp:effectExtent l="0" t="0" r="5715" b="4445"/>
            <wp:docPr id="1" name="图片 1" descr="WJCC-10-1022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10227-g001"/>
                    <pic:cNvPicPr>
                      <a:picLocks noChangeAspect="1"/>
                    </pic:cNvPicPr>
                  </pic:nvPicPr>
                  <pic:blipFill>
                    <a:blip r:embed="rId5"/>
                    <a:stretch>
                      <a:fillRect/>
                    </a:stretch>
                  </pic:blipFill>
                  <pic:spPr>
                    <a:xfrm>
                      <a:off x="0" y="0"/>
                      <a:ext cx="5937885" cy="4338955"/>
                    </a:xfrm>
                    <a:prstGeom prst="rect">
                      <a:avLst/>
                    </a:prstGeom>
                  </pic:spPr>
                </pic:pic>
              </a:graphicData>
            </a:graphic>
          </wp:inline>
        </w:drawing>
      </w:r>
    </w:p>
    <w:p>
      <w:pPr>
        <w:spacing w:line="360" w:lineRule="auto"/>
        <w:jc w:val="both"/>
        <w:rPr>
          <w:rFonts w:ascii="Book Antiqua" w:hAnsi="Book Antiqua" w:cs="Tahoma"/>
          <w:lang w:eastAsia="zh-CN"/>
        </w:rPr>
      </w:pPr>
      <w:r>
        <w:rPr>
          <w:rFonts w:ascii="Book Antiqua" w:hAnsi="Book Antiqua" w:cs="Tahoma"/>
          <w:b/>
          <w:lang w:eastAsia="zh-CN"/>
        </w:rPr>
        <w:t xml:space="preserve">Figure 1 X-ray and magnetic resonance images. </w:t>
      </w:r>
      <w:r>
        <w:rPr>
          <w:rFonts w:ascii="Book Antiqua" w:hAnsi="Book Antiqua" w:cs="Tahoma"/>
          <w:lang w:eastAsia="zh-CN"/>
        </w:rPr>
        <w:t xml:space="preserve">A and B: No significant abnormality on antero-posterior (A) and lateral (B) X-rays of the left elbow joint; </w:t>
      </w:r>
      <w:r>
        <w:rPr>
          <w:rFonts w:ascii="Book Antiqua" w:hAnsi="Book Antiqua" w:cs="Tahoma"/>
          <w:lang w:val="en-US" w:eastAsia="zh-CN"/>
        </w:rPr>
        <w:t>C and D: Sagittal (C) and coronal (D) magnetic resonance images (MRI) showing significant abnormal signal in the left brachial plexus; E and F: Coronal MRI showing significant abnormal signal in the left brachial plexus. The red arrow points to the lesion.</w:t>
      </w:r>
    </w:p>
    <w:p>
      <w:pPr>
        <w:spacing w:line="360" w:lineRule="auto"/>
        <w:jc w:val="both"/>
        <w:rPr>
          <w:rFonts w:ascii="Book Antiqua" w:hAnsi="Book Antiqua" w:cs="Tahoma"/>
          <w:b/>
          <w:lang w:eastAsia="zh-CN"/>
        </w:rPr>
      </w:pPr>
      <w:r>
        <w:rPr>
          <w:rFonts w:ascii="Book Antiqua" w:hAnsi="Book Antiqua" w:cs="Tahoma"/>
          <w:b/>
          <w:lang w:eastAsia="zh-CN"/>
        </w:rPr>
        <w:drawing>
          <wp:inline distT="0" distB="0" distL="114300" distR="114300">
            <wp:extent cx="5938520" cy="2366010"/>
            <wp:effectExtent l="0" t="0" r="5080" b="11430"/>
            <wp:docPr id="2" name="图片 2" descr="WJCC-10-1022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10227-g002"/>
                    <pic:cNvPicPr>
                      <a:picLocks noChangeAspect="1"/>
                    </pic:cNvPicPr>
                  </pic:nvPicPr>
                  <pic:blipFill>
                    <a:blip r:embed="rId6"/>
                    <a:stretch>
                      <a:fillRect/>
                    </a:stretch>
                  </pic:blipFill>
                  <pic:spPr>
                    <a:xfrm>
                      <a:off x="0" y="0"/>
                      <a:ext cx="5938520" cy="2366010"/>
                    </a:xfrm>
                    <a:prstGeom prst="rect">
                      <a:avLst/>
                    </a:prstGeom>
                  </pic:spPr>
                </pic:pic>
              </a:graphicData>
            </a:graphic>
          </wp:inline>
        </w:drawing>
      </w:r>
    </w:p>
    <w:p>
      <w:pPr>
        <w:spacing w:line="360" w:lineRule="auto"/>
        <w:jc w:val="both"/>
        <w:rPr>
          <w:rFonts w:ascii="Book Antiqua" w:hAnsi="Book Antiqua" w:cs="Tahoma"/>
          <w:lang w:val="en-US" w:eastAsia="zh-CN"/>
        </w:rPr>
      </w:pPr>
      <w:r>
        <w:rPr>
          <w:rFonts w:ascii="Book Antiqua" w:hAnsi="Book Antiqua" w:cs="Tahoma"/>
          <w:b/>
          <w:lang w:val="en-US" w:eastAsia="zh-CN"/>
        </w:rPr>
        <w:t>Figure 2 Intraoperative and histological images.</w:t>
      </w:r>
      <w:r>
        <w:rPr>
          <w:rFonts w:ascii="Book Antiqua" w:hAnsi="Book Antiqua" w:cs="Tahoma"/>
          <w:lang w:val="en-US" w:eastAsia="zh-CN"/>
        </w:rPr>
        <w:t xml:space="preserve"> A: Intraoperative thickening and degeneration of the left ulnar nerve; B: Hematoxylin and eosin-stained section showing neuroepithelial and lymph node pathology.</w:t>
      </w:r>
    </w:p>
    <w:p>
      <w:pPr>
        <w:spacing w:line="360" w:lineRule="auto"/>
        <w:jc w:val="both"/>
        <w:rPr>
          <w:rFonts w:ascii="Book Antiqua" w:hAnsi="Book Antiqua" w:cs="Tahoma"/>
          <w:b/>
          <w:lang w:val="en-US" w:eastAsia="zh-CN"/>
        </w:rPr>
      </w:pPr>
    </w:p>
    <w:p>
      <w:pPr>
        <w:spacing w:line="360" w:lineRule="auto"/>
        <w:jc w:val="both"/>
        <w:rPr>
          <w:rFonts w:ascii="Book Antiqua" w:hAnsi="Book Antiqua" w:cs="Tahoma"/>
          <w:b/>
          <w:lang w:val="en-US" w:eastAsia="zh-CN"/>
        </w:rPr>
      </w:pPr>
      <w:bookmarkStart w:id="0" w:name="_GoBack"/>
      <w:r>
        <w:rPr>
          <w:rFonts w:ascii="Book Antiqua" w:hAnsi="Book Antiqua" w:cs="Tahoma"/>
          <w:b/>
          <w:lang w:val="en-US" w:eastAsia="zh-CN"/>
        </w:rPr>
        <w:drawing>
          <wp:inline distT="0" distB="0" distL="114300" distR="114300">
            <wp:extent cx="5937885" cy="2899410"/>
            <wp:effectExtent l="0" t="0" r="5715" b="11430"/>
            <wp:docPr id="3" name="图片 3" descr="WJCC-10-1022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227-g003"/>
                    <pic:cNvPicPr>
                      <a:picLocks noChangeAspect="1"/>
                    </pic:cNvPicPr>
                  </pic:nvPicPr>
                  <pic:blipFill>
                    <a:blip r:embed="rId7"/>
                    <a:stretch>
                      <a:fillRect/>
                    </a:stretch>
                  </pic:blipFill>
                  <pic:spPr>
                    <a:xfrm>
                      <a:off x="0" y="0"/>
                      <a:ext cx="5937885" cy="2899410"/>
                    </a:xfrm>
                    <a:prstGeom prst="rect">
                      <a:avLst/>
                    </a:prstGeom>
                  </pic:spPr>
                </pic:pic>
              </a:graphicData>
            </a:graphic>
          </wp:inline>
        </w:drawing>
      </w:r>
      <w:bookmarkEnd w:id="0"/>
    </w:p>
    <w:p>
      <w:pPr>
        <w:spacing w:line="360" w:lineRule="auto"/>
        <w:jc w:val="both"/>
        <w:rPr>
          <w:rFonts w:ascii="Book Antiqua" w:hAnsi="Book Antiqua" w:cs="Tahoma"/>
          <w:lang w:eastAsia="zh-CN"/>
        </w:rPr>
      </w:pPr>
      <w:r>
        <w:rPr>
          <w:rFonts w:ascii="Book Antiqua" w:hAnsi="Book Antiqua" w:cs="Tahoma"/>
          <w:b/>
          <w:lang w:eastAsia="zh-CN"/>
        </w:rPr>
        <w:t xml:space="preserve">Figure 3 Histopathology of myeloid sarcoma. </w:t>
      </w:r>
      <w:r>
        <w:rPr>
          <w:rFonts w:ascii="Book Antiqua" w:hAnsi="Book Antiqua" w:cs="Tahoma"/>
          <w:lang w:eastAsia="zh-CN"/>
        </w:rPr>
        <w:t>Immunopathological examination shows tissue of lymphohaematopoietic lineage. A:  CD21; B: Ki-67; C: LCA; D: MPO; E: CD117; F: CD34.</w:t>
      </w:r>
    </w:p>
    <w:p>
      <w:pPr>
        <w:spacing w:line="360" w:lineRule="auto"/>
        <w:jc w:val="both"/>
        <w:rPr>
          <w:rFonts w:ascii="Book Antiqua" w:hAnsi="Book Antiqua" w:cs="Tahoma"/>
          <w:b/>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Tahoma"/>
          <w:b/>
          <w:lang w:eastAsia="zh-CN"/>
        </w:rPr>
      </w:pPr>
      <w:r>
        <w:rPr>
          <w:rFonts w:ascii="Book Antiqua" w:hAnsi="Book Antiqua" w:cs="Tahoma"/>
          <w:b/>
          <w:lang w:eastAsia="zh-CN"/>
        </w:rPr>
        <w:t>Table 1 Cases of peripheral nerve compression due to myeloid sarcoma over the last 10 years</w:t>
      </w:r>
    </w:p>
    <w:tbl>
      <w:tblPr>
        <w:tblStyle w:val="8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75"/>
        <w:gridCol w:w="1047"/>
        <w:gridCol w:w="1061"/>
        <w:gridCol w:w="1405"/>
        <w:gridCol w:w="1118"/>
        <w:gridCol w:w="1127"/>
        <w:gridCol w:w="1063"/>
        <w:gridCol w:w="887"/>
        <w:gridCol w:w="1207"/>
        <w:gridCol w:w="1297"/>
        <w:gridCol w:w="18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81" w:type="dxa"/>
            <w:tcBorders>
              <w:top w:val="single" w:color="auto" w:sz="4" w:space="0"/>
              <w:bottom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b/>
                <w:lang w:val="en-US" w:eastAsia="zh-CN"/>
              </w:rPr>
              <w:t>Ref.</w:t>
            </w:r>
          </w:p>
        </w:tc>
        <w:tc>
          <w:tcPr>
            <w:tcW w:w="1803" w:type="dxa"/>
            <w:tcBorders>
              <w:top w:val="single" w:color="auto" w:sz="4" w:space="0"/>
              <w:bottom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b/>
                <w:lang w:val="en-US" w:eastAsia="zh-CN"/>
              </w:rPr>
              <w:t>Gender/age (yr)</w:t>
            </w:r>
          </w:p>
        </w:tc>
        <w:tc>
          <w:tcPr>
            <w:tcW w:w="1809" w:type="dxa"/>
            <w:tcBorders>
              <w:top w:val="single" w:color="auto" w:sz="4" w:space="0"/>
              <w:bottom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b/>
                <w:lang w:val="en-US" w:eastAsia="zh-CN"/>
              </w:rPr>
              <w:t>Leukaemia-Yes (type)/No</w:t>
            </w:r>
          </w:p>
        </w:tc>
        <w:tc>
          <w:tcPr>
            <w:tcW w:w="2035" w:type="dxa"/>
            <w:tcBorders>
              <w:top w:val="single" w:color="auto" w:sz="4" w:space="0"/>
              <w:bottom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b/>
                <w:lang w:val="en-US" w:eastAsia="zh-CN"/>
              </w:rPr>
              <w:t>Symptoms</w:t>
            </w:r>
          </w:p>
        </w:tc>
        <w:tc>
          <w:tcPr>
            <w:tcW w:w="1815" w:type="dxa"/>
            <w:tcBorders>
              <w:top w:val="single" w:color="auto" w:sz="4" w:space="0"/>
              <w:bottom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b/>
                <w:lang w:val="en-US" w:eastAsia="zh-CN"/>
              </w:rPr>
              <w:t>Involved segment</w:t>
            </w:r>
          </w:p>
        </w:tc>
        <w:tc>
          <w:tcPr>
            <w:tcW w:w="1826" w:type="dxa"/>
            <w:tcBorders>
              <w:top w:val="single" w:color="auto" w:sz="4" w:space="0"/>
              <w:bottom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b/>
                <w:lang w:val="en-US" w:eastAsia="zh-CN"/>
              </w:rPr>
              <w:t>Lesion invasion site</w:t>
            </w:r>
          </w:p>
        </w:tc>
        <w:tc>
          <w:tcPr>
            <w:tcW w:w="1805" w:type="dxa"/>
            <w:tcBorders>
              <w:top w:val="single" w:color="auto" w:sz="4" w:space="0"/>
              <w:bottom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b/>
                <w:lang w:val="en-US" w:eastAsia="zh-CN"/>
              </w:rPr>
              <w:t>Imaging</w:t>
            </w:r>
          </w:p>
        </w:tc>
        <w:tc>
          <w:tcPr>
            <w:tcW w:w="1737" w:type="dxa"/>
            <w:tcBorders>
              <w:top w:val="single" w:color="auto" w:sz="4" w:space="0"/>
              <w:bottom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b/>
                <w:lang w:val="en-US" w:eastAsia="zh-CN"/>
              </w:rPr>
              <w:t>Bone marrow biopsy</w:t>
            </w:r>
          </w:p>
        </w:tc>
        <w:tc>
          <w:tcPr>
            <w:tcW w:w="1871" w:type="dxa"/>
            <w:tcBorders>
              <w:top w:val="single" w:color="auto" w:sz="4" w:space="0"/>
              <w:bottom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b/>
                <w:lang w:val="en-US" w:eastAsia="zh-CN"/>
              </w:rPr>
              <w:t>Laboratory test findings</w:t>
            </w:r>
          </w:p>
        </w:tc>
        <w:tc>
          <w:tcPr>
            <w:tcW w:w="1892" w:type="dxa"/>
            <w:tcBorders>
              <w:top w:val="single" w:color="auto" w:sz="4" w:space="0"/>
              <w:bottom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b/>
                <w:lang w:val="en-US" w:eastAsia="zh-CN"/>
              </w:rPr>
              <w:t>Treatment regimens</w:t>
            </w:r>
          </w:p>
        </w:tc>
        <w:tc>
          <w:tcPr>
            <w:tcW w:w="2776" w:type="dxa"/>
            <w:tcBorders>
              <w:top w:val="single" w:color="auto" w:sz="4" w:space="0"/>
              <w:bottom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b/>
                <w:lang w:val="en-US" w:eastAsia="zh-CN"/>
              </w:rPr>
              <w:t>Pathology and immunohistochemistry examination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81" w:type="dxa"/>
            <w:tcBorders>
              <w:top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lang w:val="en-US" w:eastAsia="zh-CN"/>
              </w:rPr>
              <w:t xml:space="preserve">McCarty </w:t>
            </w:r>
            <w:r>
              <w:rPr>
                <w:rFonts w:ascii="Book Antiqua" w:hAnsi="Book Antiqua" w:eastAsia="等线" w:cs="Tahoma"/>
                <w:i/>
                <w:iCs/>
                <w:lang w:val="en-US" w:eastAsia="zh-CN"/>
              </w:rPr>
              <w:t>et al</w:t>
            </w:r>
            <w:r>
              <w:rPr>
                <w:rFonts w:ascii="Book Antiqua" w:hAnsi="Book Antiqua" w:eastAsia="等线" w:cs="Tahoma"/>
                <w:iCs/>
                <w:vertAlign w:val="superscript"/>
                <w:lang w:val="en-US" w:eastAsia="zh-CN"/>
              </w:rPr>
              <w:t>[</w:t>
            </w:r>
            <w:r>
              <w:rPr>
                <w:rFonts w:ascii="Book Antiqua" w:hAnsi="Book Antiqua" w:eastAsia="等线" w:cs="Tahoma"/>
                <w:vertAlign w:val="superscript"/>
                <w:lang w:val="en-US" w:eastAsia="zh-CN"/>
              </w:rPr>
              <w:t>35]</w:t>
            </w:r>
          </w:p>
        </w:tc>
        <w:tc>
          <w:tcPr>
            <w:tcW w:w="1803" w:type="dxa"/>
            <w:tcBorders>
              <w:top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lang w:val="en-US" w:eastAsia="zh-CN"/>
              </w:rPr>
              <w:t>M/14</w:t>
            </w:r>
          </w:p>
        </w:tc>
        <w:tc>
          <w:tcPr>
            <w:tcW w:w="1809" w:type="dxa"/>
            <w:tcBorders>
              <w:top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lang w:val="en-US" w:eastAsia="zh-CN"/>
              </w:rPr>
              <w:t>No</w:t>
            </w:r>
          </w:p>
        </w:tc>
        <w:tc>
          <w:tcPr>
            <w:tcW w:w="2035" w:type="dxa"/>
            <w:tcBorders>
              <w:top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lang w:val="en-US" w:eastAsia="zh-CN"/>
              </w:rPr>
              <w:t>Headaches, urinary incontinence</w:t>
            </w:r>
          </w:p>
        </w:tc>
        <w:tc>
          <w:tcPr>
            <w:tcW w:w="1815" w:type="dxa"/>
            <w:tcBorders>
              <w:top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lang w:val="en-US" w:eastAsia="zh-CN"/>
              </w:rPr>
              <w:t>Intracranial, extracranial, sacral spine</w:t>
            </w:r>
          </w:p>
        </w:tc>
        <w:tc>
          <w:tcPr>
            <w:tcW w:w="1826" w:type="dxa"/>
            <w:tcBorders>
              <w:top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lang w:val="en-US" w:eastAsia="zh-CN"/>
              </w:rPr>
              <w:t>Cerebral nerve, sacral nerve root</w:t>
            </w:r>
          </w:p>
        </w:tc>
        <w:tc>
          <w:tcPr>
            <w:tcW w:w="1805" w:type="dxa"/>
            <w:tcBorders>
              <w:top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lang w:val="en-US" w:eastAsia="zh-CN"/>
              </w:rPr>
              <w:t>MRI</w:t>
            </w:r>
          </w:p>
        </w:tc>
        <w:tc>
          <w:tcPr>
            <w:tcW w:w="1737" w:type="dxa"/>
            <w:tcBorders>
              <w:top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lang w:val="en-US" w:eastAsia="zh-CN"/>
              </w:rPr>
              <w:t>Positive</w:t>
            </w:r>
          </w:p>
        </w:tc>
        <w:tc>
          <w:tcPr>
            <w:tcW w:w="1871" w:type="dxa"/>
            <w:tcBorders>
              <w:top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lang w:val="en-US" w:eastAsia="zh-CN"/>
              </w:rPr>
              <w:t>WBC: 51</w:t>
            </w:r>
            <w:r>
              <w:rPr>
                <w:rFonts w:eastAsia="MS Gothic"/>
                <w:lang w:val="en-US" w:eastAsia="zh-CN"/>
              </w:rPr>
              <w:t> </w:t>
            </w:r>
            <w:r>
              <w:rPr>
                <w:rFonts w:ascii="Book Antiqua" w:hAnsi="Book Antiqua" w:eastAsia="等线" w:cs="Tahoma"/>
                <w:lang w:val="en-US" w:eastAsia="zh-CN"/>
              </w:rPr>
              <w:t>× 10</w:t>
            </w:r>
            <w:r>
              <w:rPr>
                <w:rFonts w:ascii="Book Antiqua" w:hAnsi="Book Antiqua" w:eastAsia="等线" w:cs="Tahoma"/>
                <w:vertAlign w:val="superscript"/>
                <w:lang w:val="en-US" w:eastAsia="zh-CN"/>
              </w:rPr>
              <w:t>9</w:t>
            </w:r>
            <w:r>
              <w:rPr>
                <w:rFonts w:ascii="Book Antiqua" w:hAnsi="Book Antiqua" w:eastAsia="等线" w:cs="Tahoma"/>
                <w:lang w:val="en-US" w:eastAsia="zh-CN"/>
              </w:rPr>
              <w:t>/L; HGB: 113</w:t>
            </w:r>
            <w:r>
              <w:rPr>
                <w:rFonts w:eastAsia="MS Gothic"/>
                <w:lang w:val="en-US" w:eastAsia="zh-CN"/>
              </w:rPr>
              <w:t> </w:t>
            </w:r>
            <w:r>
              <w:rPr>
                <w:rFonts w:ascii="Book Antiqua" w:hAnsi="Book Antiqua" w:eastAsia="等线" w:cs="Tahoma"/>
                <w:lang w:val="en-US" w:eastAsia="zh-CN"/>
              </w:rPr>
              <w:t>g/L; platelets: 130</w:t>
            </w:r>
            <w:r>
              <w:rPr>
                <w:rFonts w:eastAsia="MS Gothic"/>
                <w:lang w:val="en-US" w:eastAsia="zh-CN"/>
              </w:rPr>
              <w:t> </w:t>
            </w:r>
            <w:r>
              <w:rPr>
                <w:rFonts w:ascii="Book Antiqua" w:hAnsi="Book Antiqua" w:eastAsia="等线" w:cs="Tahoma"/>
                <w:lang w:val="en-US" w:eastAsia="zh-CN"/>
              </w:rPr>
              <w:t>× 10</w:t>
            </w:r>
            <w:r>
              <w:rPr>
                <w:rFonts w:ascii="Book Antiqua" w:hAnsi="Book Antiqua" w:eastAsia="等线" w:cs="Tahoma"/>
                <w:vertAlign w:val="superscript"/>
                <w:lang w:val="en-US" w:eastAsia="zh-CN"/>
              </w:rPr>
              <w:t>9</w:t>
            </w:r>
            <w:r>
              <w:rPr>
                <w:rFonts w:ascii="Book Antiqua" w:hAnsi="Book Antiqua" w:eastAsia="等线" w:cs="Tahoma"/>
                <w:lang w:val="en-US" w:eastAsia="zh-CN"/>
              </w:rPr>
              <w:t>/L</w:t>
            </w:r>
          </w:p>
        </w:tc>
        <w:tc>
          <w:tcPr>
            <w:tcW w:w="1892" w:type="dxa"/>
            <w:tcBorders>
              <w:top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lang w:val="en-US" w:eastAsia="zh-CN"/>
              </w:rPr>
              <w:t>Radiotherapy, chemotherapy</w:t>
            </w:r>
          </w:p>
        </w:tc>
        <w:tc>
          <w:tcPr>
            <w:tcW w:w="2776" w:type="dxa"/>
            <w:tcBorders>
              <w:top w:val="single" w:color="auto" w:sz="4" w:space="0"/>
            </w:tcBorders>
          </w:tcPr>
          <w:p>
            <w:pPr>
              <w:spacing w:line="360" w:lineRule="auto"/>
              <w:jc w:val="both"/>
              <w:rPr>
                <w:rFonts w:ascii="Book Antiqua" w:hAnsi="Book Antiqua" w:cs="Tahoma"/>
                <w:b/>
                <w:lang w:eastAsia="zh-CN"/>
              </w:rPr>
            </w:pPr>
            <w:r>
              <w:rPr>
                <w:rFonts w:ascii="Book Antiqua" w:hAnsi="Book Antiqua" w:eastAsia="等线" w:cs="Tahoma"/>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81" w:type="dxa"/>
          </w:tcPr>
          <w:p>
            <w:pPr>
              <w:spacing w:line="360" w:lineRule="auto"/>
              <w:jc w:val="both"/>
              <w:rPr>
                <w:rFonts w:ascii="Book Antiqua" w:hAnsi="Book Antiqua" w:cs="Tahoma"/>
                <w:b/>
                <w:lang w:eastAsia="zh-CN"/>
              </w:rPr>
            </w:pPr>
            <w:r>
              <w:rPr>
                <w:rFonts w:ascii="Book Antiqua" w:hAnsi="Book Antiqua" w:eastAsia="等线" w:cs="Tahoma"/>
                <w:lang w:val="en-US" w:eastAsia="zh-CN"/>
              </w:rPr>
              <w:t xml:space="preserve">Zhu </w:t>
            </w:r>
            <w:r>
              <w:rPr>
                <w:rFonts w:ascii="Book Antiqua" w:hAnsi="Book Antiqua" w:eastAsia="等线" w:cs="Tahoma"/>
                <w:i/>
                <w:iCs/>
                <w:lang w:val="en-US" w:eastAsia="zh-CN"/>
              </w:rPr>
              <w:t>et al</w:t>
            </w:r>
            <w:r>
              <w:rPr>
                <w:rFonts w:ascii="Book Antiqua" w:hAnsi="Book Antiqua" w:eastAsia="等线" w:cs="Tahoma"/>
                <w:iCs/>
                <w:vertAlign w:val="superscript"/>
                <w:lang w:val="en-US" w:eastAsia="zh-CN"/>
              </w:rPr>
              <w:t>[</w:t>
            </w:r>
            <w:r>
              <w:rPr>
                <w:rFonts w:ascii="Book Antiqua" w:hAnsi="Book Antiqua" w:eastAsia="等线" w:cs="Tahoma"/>
                <w:vertAlign w:val="superscript"/>
                <w:lang w:val="en-US" w:eastAsia="zh-CN"/>
              </w:rPr>
              <w:t>36]</w:t>
            </w:r>
          </w:p>
        </w:tc>
        <w:tc>
          <w:tcPr>
            <w:tcW w:w="1803" w:type="dxa"/>
          </w:tcPr>
          <w:p>
            <w:pPr>
              <w:spacing w:line="360" w:lineRule="auto"/>
              <w:jc w:val="both"/>
              <w:rPr>
                <w:rFonts w:ascii="Book Antiqua" w:hAnsi="Book Antiqua" w:cs="Tahoma"/>
                <w:b/>
                <w:lang w:eastAsia="zh-CN"/>
              </w:rPr>
            </w:pPr>
            <w:r>
              <w:rPr>
                <w:rFonts w:ascii="Book Antiqua" w:hAnsi="Book Antiqua" w:eastAsia="等线" w:cs="Tahoma"/>
                <w:lang w:val="en-US" w:eastAsia="zh-CN"/>
              </w:rPr>
              <w:t>M/36</w:t>
            </w:r>
          </w:p>
        </w:tc>
        <w:tc>
          <w:tcPr>
            <w:tcW w:w="1809" w:type="dxa"/>
          </w:tcPr>
          <w:p>
            <w:pPr>
              <w:spacing w:line="360" w:lineRule="auto"/>
              <w:jc w:val="both"/>
              <w:rPr>
                <w:rFonts w:ascii="Book Antiqua" w:hAnsi="Book Antiqua" w:cs="Tahoma"/>
                <w:b/>
                <w:lang w:eastAsia="zh-CN"/>
              </w:rPr>
            </w:pPr>
            <w:r>
              <w:rPr>
                <w:rFonts w:ascii="Book Antiqua" w:hAnsi="Book Antiqua" w:eastAsia="等线" w:cs="Tahoma"/>
                <w:lang w:val="en-US" w:eastAsia="zh-CN"/>
              </w:rPr>
              <w:t>No</w:t>
            </w:r>
          </w:p>
        </w:tc>
        <w:tc>
          <w:tcPr>
            <w:tcW w:w="203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Abdominal pain, pain in right eye, eye protrusion with inability to close</w:t>
            </w:r>
          </w:p>
        </w:tc>
        <w:tc>
          <w:tcPr>
            <w:tcW w:w="181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Pancreas, right eye</w:t>
            </w:r>
          </w:p>
        </w:tc>
        <w:tc>
          <w:tcPr>
            <w:tcW w:w="1826" w:type="dxa"/>
          </w:tcPr>
          <w:p>
            <w:pPr>
              <w:spacing w:line="360" w:lineRule="auto"/>
              <w:jc w:val="both"/>
              <w:rPr>
                <w:rFonts w:ascii="Book Antiqua" w:hAnsi="Book Antiqua" w:cs="Tahoma"/>
                <w:b/>
                <w:lang w:eastAsia="zh-CN"/>
              </w:rPr>
            </w:pPr>
            <w:r>
              <w:rPr>
                <w:rFonts w:ascii="Book Antiqua" w:hAnsi="Book Antiqua" w:eastAsia="等线" w:cs="Tahoma"/>
                <w:lang w:val="en-US" w:eastAsia="zh-CN"/>
              </w:rPr>
              <w:t>Pancreas, right optic nerve</w:t>
            </w:r>
          </w:p>
        </w:tc>
        <w:tc>
          <w:tcPr>
            <w:tcW w:w="180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CT, MRI, PET-CT</w:t>
            </w:r>
          </w:p>
        </w:tc>
        <w:tc>
          <w:tcPr>
            <w:tcW w:w="1737" w:type="dxa"/>
          </w:tcPr>
          <w:p>
            <w:pPr>
              <w:spacing w:line="360" w:lineRule="auto"/>
              <w:jc w:val="both"/>
              <w:rPr>
                <w:rFonts w:ascii="Book Antiqua" w:hAnsi="Book Antiqua" w:cs="Tahoma"/>
                <w:b/>
                <w:lang w:eastAsia="zh-CN"/>
              </w:rPr>
            </w:pPr>
            <w:r>
              <w:rPr>
                <w:rFonts w:ascii="Book Antiqua" w:hAnsi="Book Antiqua" w:eastAsia="等线" w:cs="Tahoma"/>
                <w:lang w:val="en-US" w:eastAsia="zh-CN"/>
              </w:rPr>
              <w:t>Negative</w:t>
            </w:r>
          </w:p>
        </w:tc>
        <w:tc>
          <w:tcPr>
            <w:tcW w:w="1871" w:type="dxa"/>
          </w:tcPr>
          <w:p>
            <w:pPr>
              <w:spacing w:line="360" w:lineRule="auto"/>
              <w:jc w:val="both"/>
              <w:rPr>
                <w:rFonts w:ascii="Book Antiqua" w:hAnsi="Book Antiqua" w:cs="Tahoma"/>
                <w:b/>
                <w:lang w:eastAsia="zh-CN"/>
              </w:rPr>
            </w:pPr>
            <w:r>
              <w:rPr>
                <w:rFonts w:ascii="Book Antiqua" w:hAnsi="Book Antiqua" w:eastAsia="等线" w:cs="Tahoma"/>
                <w:lang w:val="en-US" w:eastAsia="zh-CN"/>
              </w:rPr>
              <w:t>Mildly elevated liver and pancreatic enzymes</w:t>
            </w:r>
          </w:p>
        </w:tc>
        <w:tc>
          <w:tcPr>
            <w:tcW w:w="1892" w:type="dxa"/>
          </w:tcPr>
          <w:p>
            <w:pPr>
              <w:spacing w:line="360" w:lineRule="auto"/>
              <w:jc w:val="both"/>
              <w:rPr>
                <w:rFonts w:ascii="Book Antiqua" w:hAnsi="Book Antiqua" w:cs="Tahoma"/>
                <w:b/>
                <w:lang w:eastAsia="zh-CN"/>
              </w:rPr>
            </w:pPr>
            <w:r>
              <w:rPr>
                <w:rFonts w:ascii="Book Antiqua" w:hAnsi="Book Antiqua" w:eastAsia="等线" w:cs="Tahoma"/>
                <w:lang w:val="en-US" w:eastAsia="zh-CN"/>
              </w:rPr>
              <w:t>Radiotherapy, chemotherapy</w:t>
            </w:r>
          </w:p>
        </w:tc>
        <w:tc>
          <w:tcPr>
            <w:tcW w:w="2776" w:type="dxa"/>
          </w:tcPr>
          <w:p>
            <w:pPr>
              <w:spacing w:line="360" w:lineRule="auto"/>
              <w:jc w:val="both"/>
              <w:rPr>
                <w:rFonts w:ascii="Book Antiqua" w:hAnsi="Book Antiqua" w:cs="Tahoma"/>
                <w:b/>
                <w:lang w:eastAsia="zh-CN"/>
              </w:rPr>
            </w:pPr>
            <w:r>
              <w:rPr>
                <w:rFonts w:ascii="Book Antiqua" w:hAnsi="Book Antiqua" w:eastAsia="等线" w:cs="Tahoma"/>
                <w:lang w:val="en-US" w:eastAsia="zh-CN"/>
              </w:rPr>
              <w:t>Ki-67 (+ 80%), P53 (approximately 50%), CD43 (+), MPO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81" w:type="dxa"/>
          </w:tcPr>
          <w:p>
            <w:pPr>
              <w:spacing w:line="360" w:lineRule="auto"/>
              <w:jc w:val="both"/>
              <w:rPr>
                <w:rFonts w:ascii="Book Antiqua" w:hAnsi="Book Antiqua" w:cs="Tahoma"/>
                <w:b/>
                <w:lang w:eastAsia="zh-CN"/>
              </w:rPr>
            </w:pPr>
            <w:r>
              <w:rPr>
                <w:rFonts w:ascii="Book Antiqua" w:hAnsi="Book Antiqua" w:eastAsia="等线" w:cs="Tahoma"/>
                <w:lang w:val="en-US" w:eastAsia="zh-CN"/>
              </w:rPr>
              <w:t xml:space="preserve">Bai </w:t>
            </w:r>
            <w:r>
              <w:rPr>
                <w:rFonts w:ascii="Book Antiqua" w:hAnsi="Book Antiqua" w:eastAsia="等线" w:cs="Tahoma"/>
                <w:i/>
                <w:iCs/>
                <w:lang w:val="en-US" w:eastAsia="zh-CN"/>
              </w:rPr>
              <w:t>et al</w:t>
            </w:r>
            <w:r>
              <w:rPr>
                <w:rFonts w:ascii="Book Antiqua" w:hAnsi="Book Antiqua" w:eastAsia="等线" w:cs="Tahoma"/>
                <w:iCs/>
                <w:vertAlign w:val="superscript"/>
                <w:lang w:val="en-US" w:eastAsia="zh-CN"/>
              </w:rPr>
              <w:t>[</w:t>
            </w:r>
            <w:r>
              <w:rPr>
                <w:rFonts w:ascii="Book Antiqua" w:hAnsi="Book Antiqua" w:eastAsia="等线" w:cs="Tahoma"/>
                <w:vertAlign w:val="superscript"/>
                <w:lang w:val="en-US" w:eastAsia="zh-CN"/>
              </w:rPr>
              <w:t>24]</w:t>
            </w:r>
          </w:p>
        </w:tc>
        <w:tc>
          <w:tcPr>
            <w:tcW w:w="1803" w:type="dxa"/>
          </w:tcPr>
          <w:p>
            <w:pPr>
              <w:spacing w:line="360" w:lineRule="auto"/>
              <w:jc w:val="both"/>
              <w:rPr>
                <w:rFonts w:ascii="Book Antiqua" w:hAnsi="Book Antiqua" w:cs="Tahoma"/>
                <w:b/>
                <w:lang w:eastAsia="zh-CN"/>
              </w:rPr>
            </w:pPr>
            <w:r>
              <w:rPr>
                <w:rFonts w:ascii="Book Antiqua" w:hAnsi="Book Antiqua" w:eastAsia="等线" w:cs="Tahoma"/>
                <w:lang w:val="en-US" w:eastAsia="zh-CN"/>
              </w:rPr>
              <w:t>M/29</w:t>
            </w:r>
          </w:p>
        </w:tc>
        <w:tc>
          <w:tcPr>
            <w:tcW w:w="1809" w:type="dxa"/>
          </w:tcPr>
          <w:p>
            <w:pPr>
              <w:spacing w:line="360" w:lineRule="auto"/>
              <w:jc w:val="both"/>
              <w:rPr>
                <w:rFonts w:ascii="Book Antiqua" w:hAnsi="Book Antiqua" w:cs="Tahoma"/>
                <w:b/>
                <w:lang w:eastAsia="zh-CN"/>
              </w:rPr>
            </w:pPr>
            <w:r>
              <w:rPr>
                <w:rFonts w:ascii="Book Antiqua" w:hAnsi="Book Antiqua" w:eastAsia="等线" w:cs="Tahoma"/>
                <w:lang w:val="en-US" w:eastAsia="zh-CN"/>
              </w:rPr>
              <w:t>No</w:t>
            </w:r>
          </w:p>
        </w:tc>
        <w:tc>
          <w:tcPr>
            <w:tcW w:w="203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Severe radiating pain in lower limbs, moderate difficulty in urination</w:t>
            </w:r>
          </w:p>
        </w:tc>
        <w:tc>
          <w:tcPr>
            <w:tcW w:w="181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Waist</w:t>
            </w:r>
          </w:p>
        </w:tc>
        <w:tc>
          <w:tcPr>
            <w:tcW w:w="1826" w:type="dxa"/>
          </w:tcPr>
          <w:p>
            <w:pPr>
              <w:spacing w:line="360" w:lineRule="auto"/>
              <w:jc w:val="both"/>
              <w:rPr>
                <w:rFonts w:ascii="Book Antiqua" w:hAnsi="Book Antiqua" w:cs="Tahoma"/>
                <w:b/>
                <w:lang w:eastAsia="zh-CN"/>
              </w:rPr>
            </w:pPr>
            <w:r>
              <w:rPr>
                <w:rFonts w:ascii="Book Antiqua" w:hAnsi="Book Antiqua" w:eastAsia="等线" w:cs="Tahoma"/>
                <w:lang w:val="en-US" w:eastAsia="zh-CN"/>
              </w:rPr>
              <w:t>Lumbar spine attachment, spinal cord</w:t>
            </w:r>
          </w:p>
        </w:tc>
        <w:tc>
          <w:tcPr>
            <w:tcW w:w="180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CT, MRI, SPECT</w:t>
            </w:r>
          </w:p>
        </w:tc>
        <w:tc>
          <w:tcPr>
            <w:tcW w:w="1737" w:type="dxa"/>
          </w:tcPr>
          <w:p>
            <w:pPr>
              <w:spacing w:line="360" w:lineRule="auto"/>
              <w:jc w:val="both"/>
              <w:rPr>
                <w:rFonts w:ascii="Book Antiqua" w:hAnsi="Book Antiqua" w:cs="Tahoma"/>
                <w:b/>
                <w:lang w:eastAsia="zh-CN"/>
              </w:rPr>
            </w:pPr>
            <w:r>
              <w:rPr>
                <w:rFonts w:ascii="Book Antiqua" w:hAnsi="Book Antiqua" w:eastAsia="等线" w:cs="Tahoma"/>
                <w:lang w:val="en-US" w:eastAsia="zh-CN"/>
              </w:rPr>
              <w:t>Negative</w:t>
            </w:r>
          </w:p>
        </w:tc>
        <w:tc>
          <w:tcPr>
            <w:tcW w:w="1871" w:type="dxa"/>
          </w:tcPr>
          <w:p>
            <w:pPr>
              <w:spacing w:line="360" w:lineRule="auto"/>
              <w:jc w:val="both"/>
              <w:rPr>
                <w:rFonts w:ascii="Book Antiqua" w:hAnsi="Book Antiqua" w:cs="Tahoma"/>
                <w:b/>
                <w:lang w:eastAsia="zh-CN"/>
              </w:rPr>
            </w:pPr>
            <w:r>
              <w:rPr>
                <w:rFonts w:ascii="Book Antiqua" w:hAnsi="Book Antiqua" w:eastAsia="等线" w:cs="Tahoma"/>
                <w:lang w:val="en-US" w:eastAsia="zh-CN"/>
              </w:rPr>
              <w:t>WBC: 6.01</w:t>
            </w:r>
            <w:r>
              <w:rPr>
                <w:rFonts w:eastAsia="MS Gothic"/>
                <w:lang w:val="en-US" w:eastAsia="zh-CN"/>
              </w:rPr>
              <w:t> </w:t>
            </w:r>
            <w:r>
              <w:rPr>
                <w:rFonts w:ascii="Book Antiqua" w:hAnsi="Book Antiqua" w:eastAsia="等线" w:cs="Tahoma"/>
                <w:lang w:val="en-US" w:eastAsia="zh-CN"/>
              </w:rPr>
              <w:t>×</w:t>
            </w:r>
            <w:r>
              <w:rPr>
                <w:rFonts w:eastAsia="MS Gothic"/>
                <w:lang w:val="en-US" w:eastAsia="zh-CN"/>
              </w:rPr>
              <w:t> </w:t>
            </w:r>
            <w:r>
              <w:rPr>
                <w:rFonts w:ascii="Book Antiqua" w:hAnsi="Book Antiqua" w:eastAsia="等线" w:cs="Tahoma"/>
                <w:lang w:val="en-US" w:eastAsia="zh-CN"/>
              </w:rPr>
              <w:t>10</w:t>
            </w:r>
            <w:r>
              <w:rPr>
                <w:rFonts w:ascii="Book Antiqua" w:hAnsi="Book Antiqua" w:eastAsia="等线" w:cs="Tahoma"/>
                <w:vertAlign w:val="superscript"/>
                <w:lang w:val="en-US" w:eastAsia="zh-CN"/>
              </w:rPr>
              <w:t>9</w:t>
            </w:r>
            <w:r>
              <w:rPr>
                <w:rFonts w:ascii="Book Antiqua" w:hAnsi="Book Antiqua" w:eastAsia="等线" w:cs="Tahoma"/>
                <w:lang w:val="en-US" w:eastAsia="zh-CN"/>
              </w:rPr>
              <w:t>/L; RBC:  5.00</w:t>
            </w:r>
            <w:r>
              <w:rPr>
                <w:rFonts w:eastAsia="MS Gothic"/>
                <w:lang w:val="en-US" w:eastAsia="zh-CN"/>
              </w:rPr>
              <w:t> </w:t>
            </w:r>
            <w:r>
              <w:rPr>
                <w:rFonts w:ascii="Book Antiqua" w:hAnsi="Book Antiqua" w:eastAsia="等线" w:cs="Tahoma"/>
                <w:lang w:val="en-US" w:eastAsia="zh-CN"/>
              </w:rPr>
              <w:t>×</w:t>
            </w:r>
            <w:r>
              <w:rPr>
                <w:rFonts w:eastAsia="MS Gothic"/>
                <w:lang w:val="en-US" w:eastAsia="zh-CN"/>
              </w:rPr>
              <w:t> </w:t>
            </w:r>
            <w:r>
              <w:rPr>
                <w:rFonts w:ascii="Book Antiqua" w:hAnsi="Book Antiqua" w:eastAsia="等线" w:cs="Tahoma"/>
                <w:lang w:val="en-US" w:eastAsia="zh-CN"/>
              </w:rPr>
              <w:t>10</w:t>
            </w:r>
            <w:r>
              <w:rPr>
                <w:rFonts w:ascii="Book Antiqua" w:hAnsi="Book Antiqua" w:eastAsia="等线" w:cs="Tahoma"/>
                <w:vertAlign w:val="superscript"/>
                <w:lang w:val="en-US" w:eastAsia="zh-CN"/>
              </w:rPr>
              <w:t>12</w:t>
            </w:r>
            <w:r>
              <w:rPr>
                <w:rFonts w:ascii="Book Antiqua" w:hAnsi="Book Antiqua" w:eastAsia="等线" w:cs="Tahoma"/>
                <w:lang w:val="en-US" w:eastAsia="zh-CN"/>
              </w:rPr>
              <w:t>/L; HGB: 158</w:t>
            </w:r>
            <w:r>
              <w:rPr>
                <w:rFonts w:eastAsia="MS Gothic"/>
                <w:lang w:val="en-US" w:eastAsia="zh-CN"/>
              </w:rPr>
              <w:t> </w:t>
            </w:r>
            <w:r>
              <w:rPr>
                <w:rFonts w:ascii="Book Antiqua" w:hAnsi="Book Antiqua" w:eastAsia="等线" w:cs="Tahoma"/>
                <w:lang w:val="en-US" w:eastAsia="zh-CN"/>
              </w:rPr>
              <w:t>g/L; platelets: 236</w:t>
            </w:r>
            <w:r>
              <w:rPr>
                <w:rFonts w:eastAsia="MS Gothic"/>
                <w:lang w:val="en-US" w:eastAsia="zh-CN"/>
              </w:rPr>
              <w:t> </w:t>
            </w:r>
            <w:r>
              <w:rPr>
                <w:rFonts w:ascii="Book Antiqua" w:hAnsi="Book Antiqua" w:eastAsia="等线" w:cs="Tahoma"/>
                <w:lang w:val="en-US" w:eastAsia="zh-CN"/>
              </w:rPr>
              <w:t>× 10</w:t>
            </w:r>
            <w:r>
              <w:rPr>
                <w:rFonts w:ascii="Book Antiqua" w:hAnsi="Book Antiqua" w:eastAsia="等线" w:cs="Tahoma"/>
                <w:vertAlign w:val="superscript"/>
                <w:lang w:val="en-US" w:eastAsia="zh-CN"/>
              </w:rPr>
              <w:t>9</w:t>
            </w:r>
            <w:r>
              <w:rPr>
                <w:rFonts w:ascii="Book Antiqua" w:hAnsi="Book Antiqua" w:eastAsia="等线" w:cs="Tahoma"/>
                <w:lang w:val="en-US" w:eastAsia="zh-CN"/>
              </w:rPr>
              <w:t>/L; CRP: 2</w:t>
            </w:r>
            <w:r>
              <w:rPr>
                <w:rFonts w:eastAsia="MS Gothic"/>
                <w:lang w:val="en-US" w:eastAsia="zh-CN"/>
              </w:rPr>
              <w:t> </w:t>
            </w:r>
            <w:r>
              <w:rPr>
                <w:rFonts w:ascii="Book Antiqua" w:hAnsi="Book Antiqua" w:eastAsia="等线" w:cs="Tahoma"/>
                <w:lang w:val="en-US" w:eastAsia="zh-CN"/>
              </w:rPr>
              <w:t>mg/L; rrythrocyte sedimentation rate (ESR): 4</w:t>
            </w:r>
            <w:r>
              <w:rPr>
                <w:rFonts w:ascii="Book Antiqua" w:hAnsi="Book Antiqua"/>
                <w:lang w:val="en-US" w:eastAsia="zh-CN"/>
              </w:rPr>
              <w:t xml:space="preserve"> </w:t>
            </w:r>
            <w:r>
              <w:rPr>
                <w:rFonts w:ascii="Book Antiqua" w:hAnsi="Book Antiqua" w:eastAsia="等线" w:cs="Tahoma"/>
                <w:lang w:val="en-US" w:eastAsia="zh-CN"/>
              </w:rPr>
              <w:t>mm/1</w:t>
            </w:r>
            <w:r>
              <w:rPr>
                <w:rFonts w:eastAsia="MS Gothic"/>
                <w:lang w:val="en-US" w:eastAsia="zh-CN"/>
              </w:rPr>
              <w:t> </w:t>
            </w:r>
            <w:r>
              <w:rPr>
                <w:rFonts w:ascii="Book Antiqua" w:hAnsi="Book Antiqua" w:eastAsia="等线" w:cs="Tahoma"/>
                <w:lang w:val="en-US" w:eastAsia="zh-CN"/>
              </w:rPr>
              <w:t>h; procalcitonin (PCT): 0.27</w:t>
            </w:r>
            <w:r>
              <w:rPr>
                <w:rFonts w:eastAsia="MS Gothic"/>
                <w:lang w:val="en-US" w:eastAsia="zh-CN"/>
              </w:rPr>
              <w:t> </w:t>
            </w:r>
            <w:r>
              <w:rPr>
                <w:rFonts w:ascii="Book Antiqua" w:hAnsi="Book Antiqua" w:eastAsia="等线" w:cs="Tahoma"/>
                <w:lang w:val="en-US" w:eastAsia="zh-CN"/>
              </w:rPr>
              <w:t>ng/mL</w:t>
            </w:r>
          </w:p>
        </w:tc>
        <w:tc>
          <w:tcPr>
            <w:tcW w:w="1892" w:type="dxa"/>
          </w:tcPr>
          <w:p>
            <w:pPr>
              <w:spacing w:line="360" w:lineRule="auto"/>
              <w:jc w:val="both"/>
              <w:rPr>
                <w:rFonts w:ascii="Book Antiqua" w:hAnsi="Book Antiqua" w:cs="Tahoma"/>
                <w:b/>
                <w:lang w:eastAsia="zh-CN"/>
              </w:rPr>
            </w:pPr>
            <w:r>
              <w:rPr>
                <w:rFonts w:ascii="Book Antiqua" w:hAnsi="Book Antiqua" w:eastAsia="等线" w:cs="Tahoma"/>
                <w:lang w:val="en-US" w:eastAsia="zh-CN"/>
              </w:rPr>
              <w:t>Lesion excision, chemotherapy</w:t>
            </w:r>
          </w:p>
        </w:tc>
        <w:tc>
          <w:tcPr>
            <w:tcW w:w="2776" w:type="dxa"/>
          </w:tcPr>
          <w:p>
            <w:pPr>
              <w:spacing w:line="360" w:lineRule="auto"/>
              <w:jc w:val="both"/>
              <w:rPr>
                <w:rFonts w:ascii="Book Antiqua" w:hAnsi="Book Antiqua" w:cs="Tahoma"/>
                <w:b/>
                <w:lang w:eastAsia="zh-CN"/>
              </w:rPr>
            </w:pPr>
            <w:r>
              <w:rPr>
                <w:rFonts w:ascii="Book Antiqua" w:hAnsi="Book Antiqua" w:eastAsia="等线" w:cs="Tahoma"/>
                <w:lang w:val="en-US" w:eastAsia="zh-CN"/>
              </w:rPr>
              <w:t>CD33 (+), MPO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81" w:type="dxa"/>
          </w:tcPr>
          <w:p>
            <w:pPr>
              <w:spacing w:line="360" w:lineRule="auto"/>
              <w:jc w:val="both"/>
              <w:rPr>
                <w:rFonts w:ascii="Book Antiqua" w:hAnsi="Book Antiqua" w:cs="Tahoma"/>
                <w:b/>
                <w:lang w:eastAsia="zh-CN"/>
              </w:rPr>
            </w:pPr>
            <w:r>
              <w:rPr>
                <w:rFonts w:ascii="Book Antiqua" w:hAnsi="Book Antiqua" w:eastAsia="等线" w:cs="Tahoma"/>
                <w:lang w:val="en-US" w:eastAsia="zh-CN"/>
              </w:rPr>
              <w:t>Valsamis</w:t>
            </w:r>
            <w:r>
              <w:rPr>
                <w:rFonts w:ascii="Book Antiqua" w:hAnsi="Book Antiqua" w:eastAsia="等线" w:cs="Tahoma"/>
                <w:i/>
                <w:iCs/>
                <w:lang w:val="en-US" w:eastAsia="zh-CN"/>
              </w:rPr>
              <w:t xml:space="preserve"> et al</w:t>
            </w:r>
            <w:r>
              <w:rPr>
                <w:rFonts w:ascii="Book Antiqua" w:hAnsi="Book Antiqua" w:eastAsia="等线" w:cs="Tahoma"/>
                <w:iCs/>
                <w:vertAlign w:val="superscript"/>
                <w:lang w:val="en-US" w:eastAsia="zh-CN"/>
              </w:rPr>
              <w:t>[</w:t>
            </w:r>
            <w:r>
              <w:rPr>
                <w:rFonts w:ascii="Book Antiqua" w:hAnsi="Book Antiqua" w:eastAsia="等线" w:cs="Tahoma"/>
                <w:vertAlign w:val="superscript"/>
                <w:lang w:val="en-US" w:eastAsia="zh-CN"/>
              </w:rPr>
              <w:t>37]</w:t>
            </w:r>
          </w:p>
        </w:tc>
        <w:tc>
          <w:tcPr>
            <w:tcW w:w="1803" w:type="dxa"/>
          </w:tcPr>
          <w:p>
            <w:pPr>
              <w:spacing w:line="360" w:lineRule="auto"/>
              <w:jc w:val="both"/>
              <w:rPr>
                <w:rFonts w:ascii="Book Antiqua" w:hAnsi="Book Antiqua" w:cs="Tahoma"/>
                <w:b/>
                <w:lang w:eastAsia="zh-CN"/>
              </w:rPr>
            </w:pPr>
            <w:r>
              <w:rPr>
                <w:rFonts w:ascii="Book Antiqua" w:hAnsi="Book Antiqua" w:eastAsia="等线" w:cs="Tahoma"/>
                <w:lang w:val="en-US" w:eastAsia="zh-CN"/>
              </w:rPr>
              <w:t>M/56</w:t>
            </w:r>
          </w:p>
        </w:tc>
        <w:tc>
          <w:tcPr>
            <w:tcW w:w="1809" w:type="dxa"/>
          </w:tcPr>
          <w:p>
            <w:pPr>
              <w:spacing w:line="360" w:lineRule="auto"/>
              <w:jc w:val="both"/>
              <w:rPr>
                <w:rFonts w:ascii="Book Antiqua" w:hAnsi="Book Antiqua" w:cs="Tahoma"/>
                <w:b/>
                <w:lang w:eastAsia="zh-CN"/>
              </w:rPr>
            </w:pPr>
            <w:r>
              <w:rPr>
                <w:rFonts w:ascii="Book Antiqua" w:hAnsi="Book Antiqua" w:eastAsia="等线" w:cs="Tahoma"/>
                <w:lang w:val="en-US" w:eastAsia="zh-CN"/>
              </w:rPr>
              <w:t>No</w:t>
            </w:r>
          </w:p>
        </w:tc>
        <w:tc>
          <w:tcPr>
            <w:tcW w:w="203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Pain in right hip radiating down right leg</w:t>
            </w:r>
          </w:p>
        </w:tc>
        <w:tc>
          <w:tcPr>
            <w:tcW w:w="181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Right hip</w:t>
            </w:r>
          </w:p>
        </w:tc>
        <w:tc>
          <w:tcPr>
            <w:tcW w:w="1826" w:type="dxa"/>
          </w:tcPr>
          <w:p>
            <w:pPr>
              <w:spacing w:line="360" w:lineRule="auto"/>
              <w:jc w:val="both"/>
              <w:rPr>
                <w:rFonts w:ascii="Book Antiqua" w:hAnsi="Book Antiqua" w:cs="Tahoma"/>
                <w:b/>
                <w:lang w:eastAsia="zh-CN"/>
              </w:rPr>
            </w:pPr>
            <w:r>
              <w:rPr>
                <w:rFonts w:ascii="Book Antiqua" w:hAnsi="Book Antiqua" w:eastAsia="等线" w:cs="Tahoma"/>
                <w:lang w:val="en-US" w:eastAsia="zh-CN"/>
              </w:rPr>
              <w:t>Right sciatic nerve, lumbosacral plexus</w:t>
            </w:r>
          </w:p>
        </w:tc>
        <w:tc>
          <w:tcPr>
            <w:tcW w:w="180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Ultrasound, MRI</w:t>
            </w:r>
          </w:p>
        </w:tc>
        <w:tc>
          <w:tcPr>
            <w:tcW w:w="1737" w:type="dxa"/>
          </w:tcPr>
          <w:p>
            <w:pPr>
              <w:spacing w:line="360" w:lineRule="auto"/>
              <w:jc w:val="both"/>
              <w:rPr>
                <w:rFonts w:ascii="Book Antiqua" w:hAnsi="Book Antiqua" w:cs="Tahoma"/>
                <w:b/>
                <w:lang w:eastAsia="zh-CN"/>
              </w:rPr>
            </w:pPr>
            <w:r>
              <w:rPr>
                <w:rFonts w:ascii="Book Antiqua" w:hAnsi="Book Antiqua" w:eastAsia="等线" w:cs="Tahoma"/>
                <w:lang w:val="en-US" w:eastAsia="zh-CN"/>
              </w:rPr>
              <w:t>-</w:t>
            </w:r>
          </w:p>
        </w:tc>
        <w:tc>
          <w:tcPr>
            <w:tcW w:w="1871" w:type="dxa"/>
          </w:tcPr>
          <w:p>
            <w:pPr>
              <w:spacing w:line="360" w:lineRule="auto"/>
              <w:jc w:val="both"/>
              <w:rPr>
                <w:rFonts w:ascii="Book Antiqua" w:hAnsi="Book Antiqua" w:cs="Tahoma"/>
                <w:b/>
                <w:lang w:eastAsia="zh-CN"/>
              </w:rPr>
            </w:pPr>
            <w:r>
              <w:rPr>
                <w:rFonts w:ascii="Book Antiqua" w:hAnsi="Book Antiqua" w:eastAsia="等线" w:cs="Tahoma"/>
                <w:lang w:val="en-US" w:eastAsia="zh-CN"/>
              </w:rPr>
              <w:t>MONO: 0.9 × 10</w:t>
            </w:r>
            <w:r>
              <w:rPr>
                <w:rFonts w:ascii="Book Antiqua" w:hAnsi="Book Antiqua" w:eastAsia="等线" w:cs="Tahoma"/>
                <w:vertAlign w:val="superscript"/>
                <w:lang w:val="en-US" w:eastAsia="zh-CN"/>
              </w:rPr>
              <w:t>9</w:t>
            </w:r>
            <w:r>
              <w:rPr>
                <w:rFonts w:ascii="Book Antiqua" w:hAnsi="Book Antiqua" w:eastAsia="等线" w:cs="Tahoma"/>
                <w:lang w:val="en-US" w:eastAsia="zh-CN"/>
              </w:rPr>
              <w:t>/L; RBC: 3.56 × 10</w:t>
            </w:r>
            <w:r>
              <w:rPr>
                <w:rFonts w:ascii="Book Antiqua" w:hAnsi="Book Antiqua" w:eastAsia="等线" w:cs="Tahoma"/>
                <w:vertAlign w:val="superscript"/>
                <w:lang w:val="en-US" w:eastAsia="zh-CN"/>
              </w:rPr>
              <w:t>12</w:t>
            </w:r>
            <w:r>
              <w:rPr>
                <w:rFonts w:ascii="Book Antiqua" w:hAnsi="Book Antiqua" w:eastAsia="等线" w:cs="Tahoma"/>
                <w:lang w:val="en-US" w:eastAsia="zh-CN"/>
              </w:rPr>
              <w:t>/L; HGB: 116 g/L; mean cell volume: 102 fL; CRP: 13  mg/L</w:t>
            </w:r>
          </w:p>
        </w:tc>
        <w:tc>
          <w:tcPr>
            <w:tcW w:w="1892" w:type="dxa"/>
          </w:tcPr>
          <w:p>
            <w:pPr>
              <w:spacing w:line="360" w:lineRule="auto"/>
              <w:jc w:val="both"/>
              <w:rPr>
                <w:rFonts w:ascii="Book Antiqua" w:hAnsi="Book Antiqua" w:cs="Tahoma"/>
                <w:b/>
                <w:lang w:eastAsia="zh-CN"/>
              </w:rPr>
            </w:pPr>
            <w:r>
              <w:rPr>
                <w:rFonts w:ascii="Book Antiqua" w:hAnsi="Book Antiqua" w:eastAsia="等线" w:cs="Tahoma"/>
                <w:lang w:val="en-US" w:eastAsia="zh-CN"/>
              </w:rPr>
              <w:t>-</w:t>
            </w:r>
          </w:p>
        </w:tc>
        <w:tc>
          <w:tcPr>
            <w:tcW w:w="2776" w:type="dxa"/>
          </w:tcPr>
          <w:p>
            <w:pPr>
              <w:spacing w:line="360" w:lineRule="auto"/>
              <w:jc w:val="both"/>
              <w:rPr>
                <w:rFonts w:ascii="Book Antiqua" w:hAnsi="Book Antiqua" w:cs="Tahoma"/>
                <w:b/>
                <w:lang w:eastAsia="zh-CN"/>
              </w:rPr>
            </w:pPr>
            <w:r>
              <w:rPr>
                <w:rFonts w:ascii="Book Antiqua" w:hAnsi="Book Antiqua" w:eastAsia="等线" w:cs="Tahoma"/>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81" w:type="dxa"/>
          </w:tcPr>
          <w:p>
            <w:pPr>
              <w:spacing w:line="360" w:lineRule="auto"/>
              <w:jc w:val="both"/>
              <w:rPr>
                <w:rFonts w:ascii="Book Antiqua" w:hAnsi="Book Antiqua" w:cs="Tahoma"/>
                <w:b/>
                <w:lang w:eastAsia="zh-CN"/>
              </w:rPr>
            </w:pPr>
            <w:r>
              <w:rPr>
                <w:rFonts w:ascii="Book Antiqua" w:hAnsi="Book Antiqua" w:eastAsia="等线" w:cs="Tahoma"/>
                <w:lang w:val="en-US" w:eastAsia="zh-CN"/>
              </w:rPr>
              <w:t>Pandey</w:t>
            </w:r>
            <w:r>
              <w:rPr>
                <w:rFonts w:ascii="Book Antiqua" w:hAnsi="Book Antiqua" w:eastAsia="等线" w:cs="Tahoma"/>
                <w:i/>
                <w:iCs/>
                <w:lang w:val="en-US" w:eastAsia="zh-CN"/>
              </w:rPr>
              <w:t xml:space="preserve"> et al</w:t>
            </w:r>
            <w:r>
              <w:rPr>
                <w:rFonts w:ascii="Book Antiqua" w:hAnsi="Book Antiqua" w:eastAsia="等线" w:cs="Tahoma"/>
                <w:iCs/>
                <w:vertAlign w:val="superscript"/>
                <w:lang w:val="en-US" w:eastAsia="zh-CN"/>
              </w:rPr>
              <w:t>[</w:t>
            </w:r>
            <w:r>
              <w:rPr>
                <w:rFonts w:ascii="Book Antiqua" w:hAnsi="Book Antiqua" w:eastAsia="等线" w:cs="Tahoma"/>
                <w:vertAlign w:val="superscript"/>
                <w:lang w:val="en-US" w:eastAsia="zh-CN"/>
              </w:rPr>
              <w:t>38]</w:t>
            </w:r>
          </w:p>
        </w:tc>
        <w:tc>
          <w:tcPr>
            <w:tcW w:w="1803" w:type="dxa"/>
          </w:tcPr>
          <w:p>
            <w:pPr>
              <w:spacing w:line="360" w:lineRule="auto"/>
              <w:jc w:val="both"/>
              <w:rPr>
                <w:rFonts w:ascii="Book Antiqua" w:hAnsi="Book Antiqua" w:cs="Tahoma"/>
                <w:b/>
                <w:lang w:eastAsia="zh-CN"/>
              </w:rPr>
            </w:pPr>
            <w:r>
              <w:rPr>
                <w:rFonts w:ascii="Book Antiqua" w:hAnsi="Book Antiqua" w:eastAsia="等线" w:cs="Tahoma"/>
                <w:lang w:val="en-US" w:eastAsia="zh-CN"/>
              </w:rPr>
              <w:t>(1) F/44; (2) F/16; (3) F/63; (4) M/53</w:t>
            </w:r>
          </w:p>
        </w:tc>
        <w:tc>
          <w:tcPr>
            <w:tcW w:w="1809" w:type="dxa"/>
          </w:tcPr>
          <w:p>
            <w:pPr>
              <w:spacing w:line="360" w:lineRule="auto"/>
              <w:jc w:val="both"/>
              <w:rPr>
                <w:rFonts w:ascii="Book Antiqua" w:hAnsi="Book Antiqua" w:cs="Tahoma"/>
                <w:b/>
                <w:lang w:eastAsia="zh-CN"/>
              </w:rPr>
            </w:pPr>
            <w:r>
              <w:rPr>
                <w:rFonts w:ascii="Book Antiqua" w:hAnsi="Book Antiqua" w:eastAsia="等线" w:cs="Tahoma"/>
                <w:lang w:val="en-US" w:eastAsia="zh-CN"/>
              </w:rPr>
              <w:t>(1,2,4) No; (3) Yes (AML)</w:t>
            </w:r>
          </w:p>
        </w:tc>
        <w:tc>
          <w:tcPr>
            <w:tcW w:w="203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(1) Neck  pain, right arm weakness, and muscle wasting; (2) back pain, bilateral lower extremity tingling, and weakness; (3) lower back pain, bilateral lower extremity weakness, and bowel incontinence; and (4) lower back pain, hip pain, lower extremity weakness, and muscle pain</w:t>
            </w:r>
          </w:p>
        </w:tc>
        <w:tc>
          <w:tcPr>
            <w:tcW w:w="181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(1) Cervical spine; (2) thoracic spine; (3) thoracic spine; and (4) lumbar spine</w:t>
            </w:r>
          </w:p>
        </w:tc>
        <w:tc>
          <w:tcPr>
            <w:tcW w:w="1826" w:type="dxa"/>
          </w:tcPr>
          <w:p>
            <w:pPr>
              <w:spacing w:line="360" w:lineRule="auto"/>
              <w:jc w:val="both"/>
              <w:rPr>
                <w:rFonts w:ascii="Book Antiqua" w:hAnsi="Book Antiqua" w:cs="Tahoma"/>
                <w:b/>
                <w:lang w:eastAsia="zh-CN"/>
              </w:rPr>
            </w:pPr>
            <w:r>
              <w:rPr>
                <w:rFonts w:ascii="Book Antiqua" w:hAnsi="Book Antiqua" w:eastAsia="等线" w:cs="Tahoma"/>
                <w:lang w:val="en-US" w:eastAsia="zh-CN"/>
              </w:rPr>
              <w:t>Spinal cord compression</w:t>
            </w:r>
          </w:p>
        </w:tc>
        <w:tc>
          <w:tcPr>
            <w:tcW w:w="180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w:t>
            </w:r>
          </w:p>
        </w:tc>
        <w:tc>
          <w:tcPr>
            <w:tcW w:w="1737" w:type="dxa"/>
          </w:tcPr>
          <w:p>
            <w:pPr>
              <w:spacing w:line="360" w:lineRule="auto"/>
              <w:jc w:val="both"/>
              <w:rPr>
                <w:rFonts w:ascii="Book Antiqua" w:hAnsi="Book Antiqua" w:cs="Tahoma"/>
                <w:b/>
                <w:lang w:eastAsia="zh-CN"/>
              </w:rPr>
            </w:pPr>
            <w:r>
              <w:rPr>
                <w:rFonts w:ascii="Book Antiqua" w:hAnsi="Book Antiqua" w:eastAsia="等线" w:cs="Tahoma"/>
                <w:lang w:val="en-US" w:eastAsia="zh-CN"/>
              </w:rPr>
              <w:t>(1) Negative; (2) positive; (3) negative; and (4) positive</w:t>
            </w:r>
          </w:p>
        </w:tc>
        <w:tc>
          <w:tcPr>
            <w:tcW w:w="1871" w:type="dxa"/>
          </w:tcPr>
          <w:p>
            <w:pPr>
              <w:spacing w:line="360" w:lineRule="auto"/>
              <w:jc w:val="both"/>
              <w:rPr>
                <w:rFonts w:ascii="Book Antiqua" w:hAnsi="Book Antiqua" w:cs="Tahoma"/>
                <w:b/>
                <w:lang w:eastAsia="zh-CN"/>
              </w:rPr>
            </w:pPr>
            <w:r>
              <w:rPr>
                <w:rFonts w:ascii="Book Antiqua" w:hAnsi="Book Antiqua" w:eastAsia="等线" w:cs="Tahoma"/>
                <w:lang w:val="en-US" w:eastAsia="zh-CN"/>
              </w:rPr>
              <w:t>(1) and (3) Negative; (2) and (4) high WBC</w:t>
            </w:r>
          </w:p>
        </w:tc>
        <w:tc>
          <w:tcPr>
            <w:tcW w:w="1892" w:type="dxa"/>
          </w:tcPr>
          <w:p>
            <w:pPr>
              <w:spacing w:line="360" w:lineRule="auto"/>
              <w:jc w:val="both"/>
              <w:rPr>
                <w:rFonts w:ascii="Book Antiqua" w:hAnsi="Book Antiqua" w:cs="Tahoma"/>
                <w:b/>
                <w:lang w:eastAsia="zh-CN"/>
              </w:rPr>
            </w:pPr>
            <w:r>
              <w:rPr>
                <w:rFonts w:ascii="Book Antiqua" w:hAnsi="Book Antiqua" w:eastAsia="等线" w:cs="Tahoma"/>
                <w:lang w:val="en-US" w:eastAsia="zh-CN"/>
              </w:rPr>
              <w:t>Lesion excision</w:t>
            </w:r>
          </w:p>
        </w:tc>
        <w:tc>
          <w:tcPr>
            <w:tcW w:w="2776" w:type="dxa"/>
          </w:tcPr>
          <w:p>
            <w:pPr>
              <w:spacing w:line="360" w:lineRule="auto"/>
              <w:jc w:val="both"/>
              <w:rPr>
                <w:rFonts w:ascii="Book Antiqua" w:hAnsi="Book Antiqua" w:cs="Tahoma"/>
                <w:b/>
                <w:lang w:eastAsia="zh-CN"/>
              </w:rPr>
            </w:pPr>
            <w:r>
              <w:rPr>
                <w:rFonts w:ascii="Book Antiqua" w:hAnsi="Book Antiqua" w:eastAsia="等线" w:cs="Tahoma"/>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81" w:type="dxa"/>
          </w:tcPr>
          <w:p>
            <w:pPr>
              <w:spacing w:line="360" w:lineRule="auto"/>
              <w:jc w:val="both"/>
              <w:rPr>
                <w:rFonts w:ascii="Book Antiqua" w:hAnsi="Book Antiqua" w:cs="Tahoma"/>
                <w:b/>
                <w:lang w:eastAsia="zh-CN"/>
              </w:rPr>
            </w:pPr>
            <w:r>
              <w:rPr>
                <w:rFonts w:ascii="Book Antiqua" w:hAnsi="Book Antiqua" w:eastAsia="等线" w:cs="Tahoma"/>
                <w:lang w:val="en-US" w:eastAsia="zh-CN"/>
              </w:rPr>
              <w:t xml:space="preserve">Snoj </w:t>
            </w:r>
            <w:r>
              <w:rPr>
                <w:rFonts w:ascii="Book Antiqua" w:hAnsi="Book Antiqua" w:eastAsia="等线" w:cs="Tahoma"/>
                <w:i/>
                <w:iCs/>
                <w:lang w:val="en-US" w:eastAsia="zh-CN"/>
              </w:rPr>
              <w:t>et al</w:t>
            </w:r>
            <w:r>
              <w:rPr>
                <w:rFonts w:ascii="Book Antiqua" w:hAnsi="Book Antiqua" w:eastAsia="等线" w:cs="Tahoma"/>
                <w:iCs/>
                <w:vertAlign w:val="superscript"/>
                <w:lang w:val="en-US" w:eastAsia="zh-CN"/>
              </w:rPr>
              <w:t>[</w:t>
            </w:r>
            <w:r>
              <w:rPr>
                <w:rFonts w:ascii="Book Antiqua" w:hAnsi="Book Antiqua" w:eastAsia="等线" w:cs="Tahoma"/>
                <w:vertAlign w:val="superscript"/>
                <w:lang w:val="en-US" w:eastAsia="zh-CN"/>
              </w:rPr>
              <w:t>39]</w:t>
            </w:r>
          </w:p>
        </w:tc>
        <w:tc>
          <w:tcPr>
            <w:tcW w:w="1803" w:type="dxa"/>
          </w:tcPr>
          <w:p>
            <w:pPr>
              <w:spacing w:line="360" w:lineRule="auto"/>
              <w:jc w:val="both"/>
              <w:rPr>
                <w:rFonts w:ascii="Book Antiqua" w:hAnsi="Book Antiqua" w:cs="Tahoma"/>
                <w:b/>
                <w:lang w:eastAsia="zh-CN"/>
              </w:rPr>
            </w:pPr>
            <w:r>
              <w:rPr>
                <w:rFonts w:ascii="Book Antiqua" w:hAnsi="Book Antiqua" w:eastAsia="等线" w:cs="Tahoma"/>
                <w:lang w:val="en-US" w:eastAsia="zh-CN"/>
              </w:rPr>
              <w:t>F/49</w:t>
            </w:r>
          </w:p>
        </w:tc>
        <w:tc>
          <w:tcPr>
            <w:tcW w:w="1809" w:type="dxa"/>
          </w:tcPr>
          <w:p>
            <w:pPr>
              <w:spacing w:line="360" w:lineRule="auto"/>
              <w:jc w:val="both"/>
              <w:rPr>
                <w:rFonts w:ascii="Book Antiqua" w:hAnsi="Book Antiqua" w:cs="Tahoma"/>
                <w:b/>
                <w:lang w:eastAsia="zh-CN"/>
              </w:rPr>
            </w:pPr>
            <w:r>
              <w:rPr>
                <w:rFonts w:ascii="Book Antiqua" w:hAnsi="Book Antiqua" w:eastAsia="等线" w:cs="Tahoma"/>
                <w:lang w:val="en-US" w:eastAsia="zh-CN"/>
              </w:rPr>
              <w:t>Yes [MDS (refractory anaemia with excess blasts)]</w:t>
            </w:r>
          </w:p>
        </w:tc>
        <w:tc>
          <w:tcPr>
            <w:tcW w:w="203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Weakness and decreased sensation in right arm, right supraclavicular mass</w:t>
            </w:r>
          </w:p>
        </w:tc>
        <w:tc>
          <w:tcPr>
            <w:tcW w:w="181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Left upper limb</w:t>
            </w:r>
          </w:p>
        </w:tc>
        <w:tc>
          <w:tcPr>
            <w:tcW w:w="1826" w:type="dxa"/>
          </w:tcPr>
          <w:p>
            <w:pPr>
              <w:spacing w:line="360" w:lineRule="auto"/>
              <w:jc w:val="both"/>
              <w:rPr>
                <w:rFonts w:ascii="Book Antiqua" w:hAnsi="Book Antiqua" w:cs="Tahoma"/>
                <w:b/>
                <w:lang w:eastAsia="zh-CN"/>
              </w:rPr>
            </w:pPr>
            <w:r>
              <w:rPr>
                <w:rFonts w:ascii="Book Antiqua" w:hAnsi="Book Antiqua" w:eastAsia="等线" w:cs="Tahoma"/>
                <w:lang w:val="en-US" w:eastAsia="zh-CN"/>
              </w:rPr>
              <w:t>Left brachial plexus</w:t>
            </w:r>
          </w:p>
        </w:tc>
        <w:tc>
          <w:tcPr>
            <w:tcW w:w="180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Ultrasound, MRI</w:t>
            </w:r>
          </w:p>
        </w:tc>
        <w:tc>
          <w:tcPr>
            <w:tcW w:w="1737" w:type="dxa"/>
          </w:tcPr>
          <w:p>
            <w:pPr>
              <w:spacing w:line="360" w:lineRule="auto"/>
              <w:jc w:val="both"/>
              <w:rPr>
                <w:rFonts w:ascii="Book Antiqua" w:hAnsi="Book Antiqua" w:cs="Tahoma"/>
                <w:b/>
                <w:lang w:eastAsia="zh-CN"/>
              </w:rPr>
            </w:pPr>
            <w:r>
              <w:rPr>
                <w:rFonts w:ascii="Book Antiqua" w:hAnsi="Book Antiqua" w:eastAsia="等线" w:cs="Tahoma"/>
                <w:lang w:val="en-US" w:eastAsia="zh-CN"/>
              </w:rPr>
              <w:t>-</w:t>
            </w:r>
          </w:p>
        </w:tc>
        <w:tc>
          <w:tcPr>
            <w:tcW w:w="1871" w:type="dxa"/>
          </w:tcPr>
          <w:p>
            <w:pPr>
              <w:spacing w:line="360" w:lineRule="auto"/>
              <w:jc w:val="both"/>
              <w:rPr>
                <w:rFonts w:ascii="Book Antiqua" w:hAnsi="Book Antiqua" w:cs="Tahoma"/>
                <w:b/>
                <w:lang w:eastAsia="zh-CN"/>
              </w:rPr>
            </w:pPr>
            <w:r>
              <w:rPr>
                <w:rFonts w:ascii="Book Antiqua" w:hAnsi="Book Antiqua" w:eastAsia="等线" w:cs="Tahoma"/>
                <w:lang w:val="en-US" w:eastAsia="zh-CN"/>
              </w:rPr>
              <w:t>-</w:t>
            </w:r>
          </w:p>
        </w:tc>
        <w:tc>
          <w:tcPr>
            <w:tcW w:w="1892" w:type="dxa"/>
          </w:tcPr>
          <w:p>
            <w:pPr>
              <w:spacing w:line="360" w:lineRule="auto"/>
              <w:jc w:val="both"/>
              <w:rPr>
                <w:rFonts w:ascii="Book Antiqua" w:hAnsi="Book Antiqua" w:cs="Tahoma"/>
                <w:b/>
                <w:lang w:eastAsia="zh-CN"/>
              </w:rPr>
            </w:pPr>
            <w:r>
              <w:rPr>
                <w:rFonts w:ascii="Book Antiqua" w:hAnsi="Book Antiqua" w:eastAsia="等线" w:cs="Tahoma"/>
                <w:lang w:val="en-US" w:eastAsia="zh-CN"/>
              </w:rPr>
              <w:t>Radiotherapy, chemotherapy</w:t>
            </w:r>
          </w:p>
        </w:tc>
        <w:tc>
          <w:tcPr>
            <w:tcW w:w="2776" w:type="dxa"/>
          </w:tcPr>
          <w:p>
            <w:pPr>
              <w:spacing w:line="360" w:lineRule="auto"/>
              <w:jc w:val="both"/>
              <w:rPr>
                <w:rFonts w:ascii="Book Antiqua" w:hAnsi="Book Antiqua" w:cs="Tahoma"/>
                <w:b/>
                <w:lang w:eastAsia="zh-CN"/>
              </w:rPr>
            </w:pPr>
            <w:r>
              <w:rPr>
                <w:rFonts w:ascii="Book Antiqua" w:hAnsi="Book Antiqua" w:eastAsia="等线" w:cs="Tahoma"/>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81" w:type="dxa"/>
          </w:tcPr>
          <w:p>
            <w:pPr>
              <w:spacing w:line="360" w:lineRule="auto"/>
              <w:jc w:val="both"/>
              <w:rPr>
                <w:rFonts w:ascii="Book Antiqua" w:hAnsi="Book Antiqua" w:cs="Tahoma"/>
                <w:b/>
                <w:lang w:eastAsia="zh-CN"/>
              </w:rPr>
            </w:pPr>
            <w:r>
              <w:rPr>
                <w:rFonts w:ascii="Book Antiqua" w:hAnsi="Book Antiqua" w:eastAsia="等线" w:cs="Tahoma"/>
                <w:lang w:val="en-US" w:eastAsia="zh-CN"/>
              </w:rPr>
              <w:t>Yamamoto</w:t>
            </w:r>
            <w:r>
              <w:rPr>
                <w:rFonts w:ascii="Book Antiqua" w:hAnsi="Book Antiqua" w:eastAsia="等线" w:cs="Tahoma"/>
                <w:i/>
                <w:iCs/>
                <w:lang w:val="en-US" w:eastAsia="zh-CN"/>
              </w:rPr>
              <w:t xml:space="preserve"> et al</w:t>
            </w:r>
            <w:r>
              <w:rPr>
                <w:rFonts w:ascii="Book Antiqua" w:hAnsi="Book Antiqua" w:eastAsia="等线" w:cs="Tahoma"/>
                <w:iCs/>
                <w:vertAlign w:val="superscript"/>
                <w:lang w:val="en-US" w:eastAsia="zh-CN"/>
              </w:rPr>
              <w:t>[</w:t>
            </w:r>
            <w:r>
              <w:rPr>
                <w:rFonts w:ascii="Book Antiqua" w:hAnsi="Book Antiqua" w:eastAsia="等线" w:cs="Tahoma"/>
                <w:vertAlign w:val="superscript"/>
                <w:lang w:val="en-US" w:eastAsia="zh-CN"/>
              </w:rPr>
              <w:t>40]</w:t>
            </w:r>
          </w:p>
        </w:tc>
        <w:tc>
          <w:tcPr>
            <w:tcW w:w="1803" w:type="dxa"/>
          </w:tcPr>
          <w:p>
            <w:pPr>
              <w:spacing w:line="360" w:lineRule="auto"/>
              <w:jc w:val="both"/>
              <w:rPr>
                <w:rFonts w:ascii="Book Antiqua" w:hAnsi="Book Antiqua" w:cs="Tahoma"/>
                <w:b/>
                <w:lang w:eastAsia="zh-CN"/>
              </w:rPr>
            </w:pPr>
            <w:r>
              <w:rPr>
                <w:rFonts w:ascii="Book Antiqua" w:hAnsi="Book Antiqua" w:eastAsia="等线" w:cs="Tahoma"/>
                <w:lang w:val="en-US" w:eastAsia="zh-CN"/>
              </w:rPr>
              <w:t>F/34</w:t>
            </w:r>
          </w:p>
        </w:tc>
        <w:tc>
          <w:tcPr>
            <w:tcW w:w="1809" w:type="dxa"/>
          </w:tcPr>
          <w:p>
            <w:pPr>
              <w:spacing w:line="360" w:lineRule="auto"/>
              <w:jc w:val="both"/>
              <w:rPr>
                <w:rFonts w:ascii="Book Antiqua" w:hAnsi="Book Antiqua" w:cs="Tahoma"/>
                <w:b/>
                <w:lang w:eastAsia="zh-CN"/>
              </w:rPr>
            </w:pPr>
            <w:r>
              <w:rPr>
                <w:rFonts w:ascii="Book Antiqua" w:hAnsi="Book Antiqua" w:eastAsia="等线" w:cs="Tahoma"/>
                <w:lang w:val="en-US" w:eastAsia="zh-CN"/>
              </w:rPr>
              <w:t>Yes (Chronic phase chronic myeloid leukaemia)</w:t>
            </w:r>
          </w:p>
        </w:tc>
        <w:tc>
          <w:tcPr>
            <w:tcW w:w="203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Pain in left eye, protrusion of eyeball, blurred vision with headache, and vomiting</w:t>
            </w:r>
          </w:p>
        </w:tc>
        <w:tc>
          <w:tcPr>
            <w:tcW w:w="181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Left eye</w:t>
            </w:r>
          </w:p>
        </w:tc>
        <w:tc>
          <w:tcPr>
            <w:tcW w:w="1826" w:type="dxa"/>
          </w:tcPr>
          <w:p>
            <w:pPr>
              <w:spacing w:line="360" w:lineRule="auto"/>
              <w:jc w:val="both"/>
              <w:rPr>
                <w:rFonts w:ascii="Book Antiqua" w:hAnsi="Book Antiqua" w:cs="Tahoma"/>
                <w:b/>
                <w:lang w:eastAsia="zh-CN"/>
              </w:rPr>
            </w:pPr>
            <w:r>
              <w:rPr>
                <w:rFonts w:ascii="Book Antiqua" w:hAnsi="Book Antiqua" w:eastAsia="等线" w:cs="Tahoma"/>
                <w:lang w:val="en-US" w:eastAsia="zh-CN"/>
              </w:rPr>
              <w:t>Left optic nerve</w:t>
            </w:r>
          </w:p>
        </w:tc>
        <w:tc>
          <w:tcPr>
            <w:tcW w:w="180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MRI</w:t>
            </w:r>
          </w:p>
        </w:tc>
        <w:tc>
          <w:tcPr>
            <w:tcW w:w="1737" w:type="dxa"/>
          </w:tcPr>
          <w:p>
            <w:pPr>
              <w:spacing w:line="360" w:lineRule="auto"/>
              <w:jc w:val="both"/>
              <w:rPr>
                <w:rFonts w:ascii="Book Antiqua" w:hAnsi="Book Antiqua" w:cs="Tahoma"/>
                <w:b/>
                <w:lang w:eastAsia="zh-CN"/>
              </w:rPr>
            </w:pPr>
            <w:r>
              <w:rPr>
                <w:rFonts w:ascii="Book Antiqua" w:hAnsi="Book Antiqua" w:eastAsia="等线" w:cs="Tahoma"/>
                <w:lang w:val="en-US" w:eastAsia="zh-CN"/>
              </w:rPr>
              <w:t>-</w:t>
            </w:r>
          </w:p>
        </w:tc>
        <w:tc>
          <w:tcPr>
            <w:tcW w:w="1871" w:type="dxa"/>
          </w:tcPr>
          <w:p>
            <w:pPr>
              <w:spacing w:line="360" w:lineRule="auto"/>
              <w:jc w:val="both"/>
              <w:rPr>
                <w:rFonts w:ascii="Book Antiqua" w:hAnsi="Book Antiqua" w:cs="Tahoma"/>
                <w:b/>
                <w:lang w:eastAsia="zh-CN"/>
              </w:rPr>
            </w:pPr>
            <w:r>
              <w:rPr>
                <w:rFonts w:ascii="Book Antiqua" w:hAnsi="Book Antiqua" w:eastAsia="等线" w:cs="Tahoma"/>
                <w:lang w:val="en-US" w:eastAsia="zh-CN"/>
              </w:rPr>
              <w:t>-</w:t>
            </w:r>
          </w:p>
        </w:tc>
        <w:tc>
          <w:tcPr>
            <w:tcW w:w="1892" w:type="dxa"/>
          </w:tcPr>
          <w:p>
            <w:pPr>
              <w:spacing w:line="360" w:lineRule="auto"/>
              <w:jc w:val="both"/>
              <w:rPr>
                <w:rFonts w:ascii="Book Antiqua" w:hAnsi="Book Antiqua" w:cs="Tahoma"/>
                <w:b/>
                <w:lang w:eastAsia="zh-CN"/>
              </w:rPr>
            </w:pPr>
            <w:r>
              <w:rPr>
                <w:rFonts w:ascii="Book Antiqua" w:hAnsi="Book Antiqua" w:eastAsia="等线" w:cs="Tahoma"/>
                <w:lang w:val="en-US" w:eastAsia="zh-CN"/>
              </w:rPr>
              <w:t>-</w:t>
            </w:r>
          </w:p>
        </w:tc>
        <w:tc>
          <w:tcPr>
            <w:tcW w:w="2776" w:type="dxa"/>
          </w:tcPr>
          <w:p>
            <w:pPr>
              <w:spacing w:line="360" w:lineRule="auto"/>
              <w:jc w:val="both"/>
              <w:rPr>
                <w:rFonts w:ascii="Book Antiqua" w:hAnsi="Book Antiqua" w:cs="Tahoma"/>
                <w:b/>
                <w:lang w:eastAsia="zh-CN"/>
              </w:rPr>
            </w:pPr>
            <w:r>
              <w:rPr>
                <w:rFonts w:ascii="Book Antiqua" w:hAnsi="Book Antiqua" w:eastAsia="等线" w:cs="Tahoma"/>
                <w:lang w:val="en-US" w:eastAsia="zh-CN"/>
              </w:rPr>
              <w:t>CD13 (+), CD33 (+), CD117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81" w:type="dxa"/>
          </w:tcPr>
          <w:p>
            <w:pPr>
              <w:spacing w:line="360" w:lineRule="auto"/>
              <w:jc w:val="both"/>
              <w:rPr>
                <w:rFonts w:ascii="Book Antiqua" w:hAnsi="Book Antiqua" w:cs="Tahoma"/>
                <w:b/>
                <w:lang w:eastAsia="zh-CN"/>
              </w:rPr>
            </w:pPr>
            <w:r>
              <w:rPr>
                <w:rFonts w:ascii="Book Antiqua" w:hAnsi="Book Antiqua" w:eastAsia="等线" w:cs="Tahoma"/>
                <w:lang w:val="en-US" w:eastAsia="zh-CN"/>
              </w:rPr>
              <w:t>Koh</w:t>
            </w:r>
            <w:r>
              <w:rPr>
                <w:rFonts w:ascii="Book Antiqua" w:hAnsi="Book Antiqua" w:eastAsia="等线" w:cs="Tahoma"/>
                <w:i/>
                <w:iCs/>
                <w:lang w:val="en-US" w:eastAsia="zh-CN"/>
              </w:rPr>
              <w:t xml:space="preserve"> et al</w:t>
            </w:r>
            <w:r>
              <w:rPr>
                <w:rFonts w:ascii="Book Antiqua" w:hAnsi="Book Antiqua" w:eastAsia="等线" w:cs="Tahoma"/>
                <w:iCs/>
                <w:vertAlign w:val="superscript"/>
                <w:lang w:val="en-US" w:eastAsia="zh-CN"/>
              </w:rPr>
              <w:t>[</w:t>
            </w:r>
            <w:r>
              <w:rPr>
                <w:rFonts w:ascii="Book Antiqua" w:hAnsi="Book Antiqua" w:eastAsia="等线" w:cs="Tahoma"/>
                <w:vertAlign w:val="superscript"/>
                <w:lang w:val="en-US" w:eastAsia="zh-CN"/>
              </w:rPr>
              <w:t>41]</w:t>
            </w:r>
          </w:p>
        </w:tc>
        <w:tc>
          <w:tcPr>
            <w:tcW w:w="1803" w:type="dxa"/>
          </w:tcPr>
          <w:p>
            <w:pPr>
              <w:spacing w:line="360" w:lineRule="auto"/>
              <w:jc w:val="both"/>
              <w:rPr>
                <w:rFonts w:ascii="Book Antiqua" w:hAnsi="Book Antiqua" w:cs="Tahoma"/>
                <w:b/>
                <w:lang w:eastAsia="zh-CN"/>
              </w:rPr>
            </w:pPr>
            <w:r>
              <w:rPr>
                <w:rFonts w:ascii="Book Antiqua" w:hAnsi="Book Antiqua" w:eastAsia="等线" w:cs="Tahoma"/>
                <w:lang w:val="en-US" w:eastAsia="zh-CN"/>
              </w:rPr>
              <w:t>M/68</w:t>
            </w:r>
          </w:p>
        </w:tc>
        <w:tc>
          <w:tcPr>
            <w:tcW w:w="1809" w:type="dxa"/>
          </w:tcPr>
          <w:p>
            <w:pPr>
              <w:spacing w:line="360" w:lineRule="auto"/>
              <w:jc w:val="both"/>
              <w:rPr>
                <w:rFonts w:ascii="Book Antiqua" w:hAnsi="Book Antiqua" w:cs="Tahoma"/>
                <w:b/>
                <w:lang w:eastAsia="zh-CN"/>
              </w:rPr>
            </w:pPr>
            <w:r>
              <w:rPr>
                <w:rFonts w:ascii="Book Antiqua" w:hAnsi="Book Antiqua" w:eastAsia="等线" w:cs="Tahoma"/>
                <w:lang w:val="en-US" w:eastAsia="zh-CN"/>
              </w:rPr>
              <w:t>Yes (chronic myeloid leukemia)</w:t>
            </w:r>
          </w:p>
        </w:tc>
        <w:tc>
          <w:tcPr>
            <w:tcW w:w="203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Low back pain and numbness in both legs with radiating pain</w:t>
            </w:r>
          </w:p>
        </w:tc>
        <w:tc>
          <w:tcPr>
            <w:tcW w:w="181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Thoracic and sacral spine</w:t>
            </w:r>
          </w:p>
        </w:tc>
        <w:tc>
          <w:tcPr>
            <w:tcW w:w="1826" w:type="dxa"/>
          </w:tcPr>
          <w:p>
            <w:pPr>
              <w:spacing w:line="360" w:lineRule="auto"/>
              <w:jc w:val="both"/>
              <w:rPr>
                <w:rFonts w:ascii="Book Antiqua" w:hAnsi="Book Antiqua" w:cs="Tahoma"/>
                <w:b/>
                <w:lang w:eastAsia="zh-CN"/>
              </w:rPr>
            </w:pPr>
            <w:r>
              <w:rPr>
                <w:rFonts w:ascii="Book Antiqua" w:hAnsi="Book Antiqua" w:eastAsia="等线" w:cs="Tahoma"/>
                <w:lang w:val="en-US" w:eastAsia="zh-CN"/>
              </w:rPr>
              <w:t>Spinal cord</w:t>
            </w:r>
          </w:p>
        </w:tc>
        <w:tc>
          <w:tcPr>
            <w:tcW w:w="1805" w:type="dxa"/>
          </w:tcPr>
          <w:p>
            <w:pPr>
              <w:spacing w:line="360" w:lineRule="auto"/>
              <w:jc w:val="both"/>
              <w:rPr>
                <w:rFonts w:ascii="Book Antiqua" w:hAnsi="Book Antiqua" w:cs="Tahoma"/>
                <w:b/>
                <w:lang w:eastAsia="zh-CN"/>
              </w:rPr>
            </w:pPr>
            <w:r>
              <w:rPr>
                <w:rFonts w:ascii="Book Antiqua" w:hAnsi="Book Antiqua" w:eastAsia="等线" w:cs="Tahoma"/>
                <w:lang w:val="en-US" w:eastAsia="zh-CN"/>
              </w:rPr>
              <w:t>MRI, CT</w:t>
            </w:r>
          </w:p>
        </w:tc>
        <w:tc>
          <w:tcPr>
            <w:tcW w:w="1737" w:type="dxa"/>
          </w:tcPr>
          <w:p>
            <w:pPr>
              <w:spacing w:line="360" w:lineRule="auto"/>
              <w:jc w:val="both"/>
              <w:rPr>
                <w:rFonts w:ascii="Book Antiqua" w:hAnsi="Book Antiqua" w:cs="Tahoma"/>
                <w:b/>
                <w:lang w:eastAsia="zh-CN"/>
              </w:rPr>
            </w:pPr>
            <w:r>
              <w:rPr>
                <w:rFonts w:ascii="Book Antiqua" w:hAnsi="Book Antiqua" w:eastAsia="等线" w:cs="Tahoma"/>
                <w:lang w:val="en-US" w:eastAsia="zh-CN"/>
              </w:rPr>
              <w:t>-</w:t>
            </w:r>
          </w:p>
        </w:tc>
        <w:tc>
          <w:tcPr>
            <w:tcW w:w="1871" w:type="dxa"/>
          </w:tcPr>
          <w:p>
            <w:pPr>
              <w:spacing w:line="360" w:lineRule="auto"/>
              <w:jc w:val="both"/>
              <w:rPr>
                <w:rFonts w:ascii="Book Antiqua" w:hAnsi="Book Antiqua" w:cs="Tahoma"/>
                <w:b/>
                <w:lang w:eastAsia="zh-CN"/>
              </w:rPr>
            </w:pPr>
            <w:r>
              <w:rPr>
                <w:rFonts w:ascii="Book Antiqua" w:hAnsi="Book Antiqua" w:eastAsia="等线" w:cs="Tahoma"/>
                <w:lang w:val="en-US" w:eastAsia="zh-CN"/>
              </w:rPr>
              <w:t>-</w:t>
            </w:r>
          </w:p>
        </w:tc>
        <w:tc>
          <w:tcPr>
            <w:tcW w:w="1892" w:type="dxa"/>
          </w:tcPr>
          <w:p>
            <w:pPr>
              <w:spacing w:line="360" w:lineRule="auto"/>
              <w:jc w:val="both"/>
              <w:rPr>
                <w:rFonts w:ascii="Book Antiqua" w:hAnsi="Book Antiqua" w:cs="Tahoma"/>
                <w:b/>
                <w:lang w:eastAsia="zh-CN"/>
              </w:rPr>
            </w:pPr>
            <w:r>
              <w:rPr>
                <w:rFonts w:ascii="Book Antiqua" w:hAnsi="Book Antiqua" w:eastAsia="等线" w:cs="Tahoma"/>
                <w:lang w:val="en-US" w:eastAsia="zh-CN"/>
              </w:rPr>
              <w:t>Chemotherapy</w:t>
            </w:r>
          </w:p>
        </w:tc>
        <w:tc>
          <w:tcPr>
            <w:tcW w:w="2776" w:type="dxa"/>
          </w:tcPr>
          <w:p>
            <w:pPr>
              <w:spacing w:line="360" w:lineRule="auto"/>
              <w:jc w:val="both"/>
              <w:rPr>
                <w:rFonts w:ascii="Book Antiqua" w:hAnsi="Book Antiqua" w:cs="Tahoma"/>
                <w:b/>
                <w:lang w:eastAsia="zh-CN"/>
              </w:rPr>
            </w:pPr>
            <w:r>
              <w:rPr>
                <w:rFonts w:ascii="Book Antiqua" w:hAnsi="Book Antiqua" w:eastAsia="等线" w:cs="Tahoma"/>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81"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 xml:space="preserve">Kim </w:t>
            </w:r>
            <w:r>
              <w:rPr>
                <w:rFonts w:ascii="Book Antiqua" w:hAnsi="Book Antiqua" w:eastAsia="等线" w:cs="Tahoma"/>
                <w:i/>
                <w:iCs/>
                <w:lang w:val="en-US" w:eastAsia="zh-CN"/>
              </w:rPr>
              <w:t>et al</w:t>
            </w:r>
            <w:r>
              <w:rPr>
                <w:rFonts w:ascii="Book Antiqua" w:hAnsi="Book Antiqua" w:eastAsia="等线" w:cs="Tahoma"/>
                <w:iCs/>
                <w:vertAlign w:val="superscript"/>
                <w:lang w:val="en-US" w:eastAsia="zh-CN"/>
              </w:rPr>
              <w:t>[</w:t>
            </w:r>
            <w:r>
              <w:rPr>
                <w:rFonts w:ascii="Book Antiqua" w:hAnsi="Book Antiqua" w:eastAsia="等线" w:cs="Tahoma"/>
                <w:vertAlign w:val="superscript"/>
                <w:lang w:val="en-US" w:eastAsia="zh-CN"/>
              </w:rPr>
              <w:t>42]</w:t>
            </w:r>
          </w:p>
        </w:tc>
        <w:tc>
          <w:tcPr>
            <w:tcW w:w="1803"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M/62</w:t>
            </w:r>
          </w:p>
        </w:tc>
        <w:tc>
          <w:tcPr>
            <w:tcW w:w="1809"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Yes (acute myeloid leukaemia, M2)</w:t>
            </w:r>
          </w:p>
        </w:tc>
        <w:tc>
          <w:tcPr>
            <w:tcW w:w="2035"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Abnormal sensation and weakness of ankle flexion in posterior aspect of left calf and foot</w:t>
            </w:r>
          </w:p>
        </w:tc>
        <w:tc>
          <w:tcPr>
            <w:tcW w:w="1815"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Lower left limb</w:t>
            </w:r>
          </w:p>
        </w:tc>
        <w:tc>
          <w:tcPr>
            <w:tcW w:w="1826"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Sciatic nerve</w:t>
            </w:r>
          </w:p>
        </w:tc>
        <w:tc>
          <w:tcPr>
            <w:tcW w:w="1805"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Ultrasound, MRI</w:t>
            </w:r>
          </w:p>
        </w:tc>
        <w:tc>
          <w:tcPr>
            <w:tcW w:w="1737"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w:t>
            </w:r>
          </w:p>
        </w:tc>
        <w:tc>
          <w:tcPr>
            <w:tcW w:w="1871"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w:t>
            </w:r>
          </w:p>
        </w:tc>
        <w:tc>
          <w:tcPr>
            <w:tcW w:w="1892"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w:t>
            </w:r>
          </w:p>
        </w:tc>
        <w:tc>
          <w:tcPr>
            <w:tcW w:w="2776"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MPO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81"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 xml:space="preserve">Rambeloson </w:t>
            </w:r>
            <w:r>
              <w:rPr>
                <w:rFonts w:ascii="Book Antiqua" w:hAnsi="Book Antiqua" w:eastAsia="等线" w:cs="Tahoma"/>
                <w:i/>
                <w:iCs/>
                <w:lang w:val="en-US" w:eastAsia="zh-CN"/>
              </w:rPr>
              <w:t>et al</w:t>
            </w:r>
            <w:r>
              <w:rPr>
                <w:rFonts w:ascii="Book Antiqua" w:hAnsi="Book Antiqua" w:eastAsia="等线" w:cs="Tahoma"/>
                <w:iCs/>
                <w:vertAlign w:val="superscript"/>
                <w:lang w:val="en-US" w:eastAsia="zh-CN"/>
              </w:rPr>
              <w:t>[</w:t>
            </w:r>
            <w:r>
              <w:rPr>
                <w:rFonts w:ascii="Book Antiqua" w:hAnsi="Book Antiqua" w:eastAsia="等线" w:cs="Tahoma"/>
                <w:vertAlign w:val="superscript"/>
                <w:lang w:val="en-US" w:eastAsia="zh-CN"/>
              </w:rPr>
              <w:t>43]</w:t>
            </w:r>
          </w:p>
        </w:tc>
        <w:tc>
          <w:tcPr>
            <w:tcW w:w="1803"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M/1</w:t>
            </w:r>
          </w:p>
        </w:tc>
        <w:tc>
          <w:tcPr>
            <w:tcW w:w="1809"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No</w:t>
            </w:r>
          </w:p>
        </w:tc>
        <w:tc>
          <w:tcPr>
            <w:tcW w:w="2035"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Bilateral ophthalmoplegia with loss of vision</w:t>
            </w:r>
          </w:p>
        </w:tc>
        <w:tc>
          <w:tcPr>
            <w:tcW w:w="1815"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Bilateral eye</w:t>
            </w:r>
          </w:p>
        </w:tc>
        <w:tc>
          <w:tcPr>
            <w:tcW w:w="1826"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Occulomotor nerve</w:t>
            </w:r>
          </w:p>
        </w:tc>
        <w:tc>
          <w:tcPr>
            <w:tcW w:w="1805"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Myelogram, CT</w:t>
            </w:r>
          </w:p>
        </w:tc>
        <w:tc>
          <w:tcPr>
            <w:tcW w:w="1737"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w:t>
            </w:r>
          </w:p>
        </w:tc>
        <w:tc>
          <w:tcPr>
            <w:tcW w:w="1871"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w:t>
            </w:r>
          </w:p>
        </w:tc>
        <w:tc>
          <w:tcPr>
            <w:tcW w:w="1892"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w:t>
            </w:r>
          </w:p>
        </w:tc>
        <w:tc>
          <w:tcPr>
            <w:tcW w:w="2776"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81"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Slouma</w:t>
            </w:r>
            <w:r>
              <w:rPr>
                <w:rFonts w:ascii="Book Antiqua" w:hAnsi="Book Antiqua" w:eastAsia="等线" w:cs="Tahoma"/>
                <w:i/>
                <w:iCs/>
                <w:lang w:val="en-US" w:eastAsia="zh-CN"/>
              </w:rPr>
              <w:t xml:space="preserve"> et al</w:t>
            </w:r>
            <w:r>
              <w:rPr>
                <w:rFonts w:ascii="Book Antiqua" w:hAnsi="Book Antiqua" w:eastAsia="等线" w:cs="Tahoma"/>
                <w:iCs/>
                <w:vertAlign w:val="superscript"/>
                <w:lang w:val="en-US" w:eastAsia="zh-CN"/>
              </w:rPr>
              <w:t>[</w:t>
            </w:r>
            <w:r>
              <w:rPr>
                <w:rFonts w:ascii="Book Antiqua" w:hAnsi="Book Antiqua" w:eastAsia="等线" w:cs="Tahoma"/>
                <w:vertAlign w:val="superscript"/>
                <w:lang w:val="en-US" w:eastAsia="zh-CN"/>
              </w:rPr>
              <w:t>31]</w:t>
            </w:r>
          </w:p>
        </w:tc>
        <w:tc>
          <w:tcPr>
            <w:tcW w:w="1803"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M/56</w:t>
            </w:r>
          </w:p>
        </w:tc>
        <w:tc>
          <w:tcPr>
            <w:tcW w:w="1809"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No</w:t>
            </w:r>
          </w:p>
        </w:tc>
        <w:tc>
          <w:tcPr>
            <w:tcW w:w="2035"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Progressive back pain and bilateral sciatica</w:t>
            </w:r>
          </w:p>
        </w:tc>
        <w:tc>
          <w:tcPr>
            <w:tcW w:w="1815"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Waist</w:t>
            </w:r>
          </w:p>
        </w:tc>
        <w:tc>
          <w:tcPr>
            <w:tcW w:w="1826"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Lumbar 5</w:t>
            </w:r>
            <w:r>
              <w:rPr>
                <w:rFonts w:ascii="Book Antiqua" w:hAnsi="Book Antiqua" w:eastAsia="等线" w:cs="Tahoma"/>
                <w:vertAlign w:val="superscript"/>
                <w:lang w:val="en-US" w:eastAsia="zh-CN"/>
              </w:rPr>
              <w:t>th</w:t>
            </w:r>
            <w:r>
              <w:rPr>
                <w:rFonts w:ascii="Book Antiqua" w:hAnsi="Book Antiqua" w:eastAsia="等线" w:cs="Tahoma"/>
                <w:lang w:val="en-US" w:eastAsia="zh-CN"/>
              </w:rPr>
              <w:t xml:space="preserve"> nerve root</w:t>
            </w:r>
          </w:p>
        </w:tc>
        <w:tc>
          <w:tcPr>
            <w:tcW w:w="1805"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MRI</w:t>
            </w:r>
          </w:p>
        </w:tc>
        <w:tc>
          <w:tcPr>
            <w:tcW w:w="1737"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w:t>
            </w:r>
          </w:p>
        </w:tc>
        <w:tc>
          <w:tcPr>
            <w:tcW w:w="1871"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WBC: 83 × 10</w:t>
            </w:r>
            <w:r>
              <w:rPr>
                <w:rFonts w:ascii="Book Antiqua" w:hAnsi="Book Antiqua" w:eastAsia="等线" w:cs="Tahoma"/>
                <w:vertAlign w:val="superscript"/>
                <w:lang w:val="en-US" w:eastAsia="zh-CN"/>
              </w:rPr>
              <w:t>9</w:t>
            </w:r>
            <w:r>
              <w:rPr>
                <w:rFonts w:ascii="Book Antiqua" w:hAnsi="Book Antiqua" w:eastAsia="等线" w:cs="Tahoma"/>
                <w:lang w:val="en-US" w:eastAsia="zh-CN"/>
              </w:rPr>
              <w:t>/L; absolute neutrophil count: 60 × 10</w:t>
            </w:r>
            <w:r>
              <w:rPr>
                <w:rFonts w:ascii="Book Antiqua" w:hAnsi="Book Antiqua" w:eastAsia="等线" w:cs="Tahoma"/>
                <w:vertAlign w:val="superscript"/>
                <w:lang w:val="en-US" w:eastAsia="zh-CN"/>
              </w:rPr>
              <w:t>9</w:t>
            </w:r>
            <w:r>
              <w:rPr>
                <w:rFonts w:ascii="Book Antiqua" w:hAnsi="Book Antiqua" w:eastAsia="等线" w:cs="Tahoma"/>
                <w:lang w:val="en-US" w:eastAsia="zh-CN"/>
              </w:rPr>
              <w:t>/L</w:t>
            </w:r>
          </w:p>
        </w:tc>
        <w:tc>
          <w:tcPr>
            <w:tcW w:w="1892"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Chemotherapy</w:t>
            </w:r>
          </w:p>
        </w:tc>
        <w:tc>
          <w:tcPr>
            <w:tcW w:w="2776"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MPO (+), CD13 (+), CD33 (+), CD14 (+), CD4 (+), CD46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81"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 xml:space="preserve">Anqi </w:t>
            </w:r>
            <w:r>
              <w:rPr>
                <w:rFonts w:ascii="Book Antiqua" w:hAnsi="Book Antiqua" w:eastAsia="等线" w:cs="Tahoma"/>
                <w:i/>
                <w:iCs/>
                <w:lang w:val="en-US" w:eastAsia="zh-CN"/>
              </w:rPr>
              <w:t>et al</w:t>
            </w:r>
            <w:r>
              <w:rPr>
                <w:rFonts w:ascii="Book Antiqua" w:hAnsi="Book Antiqua" w:eastAsia="等线" w:cs="Tahoma"/>
                <w:iCs/>
                <w:vertAlign w:val="superscript"/>
                <w:lang w:val="en-US" w:eastAsia="zh-CN"/>
              </w:rPr>
              <w:t>[</w:t>
            </w:r>
            <w:r>
              <w:rPr>
                <w:rFonts w:ascii="Book Antiqua" w:hAnsi="Book Antiqua" w:eastAsia="等线" w:cs="Tahoma"/>
                <w:vertAlign w:val="superscript"/>
                <w:lang w:val="en-US" w:eastAsia="zh-CN"/>
              </w:rPr>
              <w:t>44]</w:t>
            </w:r>
          </w:p>
        </w:tc>
        <w:tc>
          <w:tcPr>
            <w:tcW w:w="1803"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M/24</w:t>
            </w:r>
          </w:p>
        </w:tc>
        <w:tc>
          <w:tcPr>
            <w:tcW w:w="1809"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No</w:t>
            </w:r>
          </w:p>
        </w:tc>
        <w:tc>
          <w:tcPr>
            <w:tcW w:w="2035"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Limp, numbness in right lower limb, mild urinary frequency, urinary and faecal incontinence</w:t>
            </w:r>
          </w:p>
        </w:tc>
        <w:tc>
          <w:tcPr>
            <w:tcW w:w="1815"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Lumbosacral region</w:t>
            </w:r>
          </w:p>
        </w:tc>
        <w:tc>
          <w:tcPr>
            <w:tcW w:w="1826"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Lumbar and sacral spine</w:t>
            </w:r>
          </w:p>
        </w:tc>
        <w:tc>
          <w:tcPr>
            <w:tcW w:w="1805"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MRI</w:t>
            </w:r>
          </w:p>
        </w:tc>
        <w:tc>
          <w:tcPr>
            <w:tcW w:w="1737"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w:t>
            </w:r>
          </w:p>
        </w:tc>
        <w:tc>
          <w:tcPr>
            <w:tcW w:w="1871"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Normal</w:t>
            </w:r>
          </w:p>
        </w:tc>
        <w:tc>
          <w:tcPr>
            <w:tcW w:w="1892"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Lesion excision, chemotherapy</w:t>
            </w:r>
          </w:p>
        </w:tc>
        <w:tc>
          <w:tcPr>
            <w:tcW w:w="2776" w:type="dxa"/>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MPO, CD34, CD43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81" w:type="dxa"/>
            <w:tcBorders>
              <w:bottom w:val="single" w:color="auto" w:sz="4" w:space="0"/>
            </w:tcBorders>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 xml:space="preserve">Ha </w:t>
            </w:r>
            <w:r>
              <w:rPr>
                <w:rFonts w:ascii="Book Antiqua" w:hAnsi="Book Antiqua" w:eastAsia="等线" w:cs="Tahoma"/>
                <w:i/>
                <w:iCs/>
                <w:lang w:val="en-US" w:eastAsia="zh-CN"/>
              </w:rPr>
              <w:t>et al</w:t>
            </w:r>
            <w:r>
              <w:rPr>
                <w:rFonts w:ascii="Book Antiqua" w:hAnsi="Book Antiqua" w:eastAsia="等线" w:cs="Tahoma"/>
                <w:iCs/>
                <w:vertAlign w:val="superscript"/>
                <w:lang w:val="en-US" w:eastAsia="zh-CN"/>
              </w:rPr>
              <w:t>[</w:t>
            </w:r>
            <w:r>
              <w:rPr>
                <w:rFonts w:ascii="Book Antiqua" w:hAnsi="Book Antiqua" w:eastAsia="等线" w:cs="Tahoma"/>
                <w:vertAlign w:val="superscript"/>
                <w:lang w:val="en-US" w:eastAsia="zh-CN"/>
              </w:rPr>
              <w:t>34]</w:t>
            </w:r>
          </w:p>
        </w:tc>
        <w:tc>
          <w:tcPr>
            <w:tcW w:w="1803" w:type="dxa"/>
            <w:tcBorders>
              <w:bottom w:val="single" w:color="auto" w:sz="4" w:space="0"/>
            </w:tcBorders>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F/38</w:t>
            </w:r>
          </w:p>
        </w:tc>
        <w:tc>
          <w:tcPr>
            <w:tcW w:w="1809" w:type="dxa"/>
            <w:tcBorders>
              <w:bottom w:val="single" w:color="auto" w:sz="4" w:space="0"/>
            </w:tcBorders>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Yes (AML)</w:t>
            </w:r>
          </w:p>
        </w:tc>
        <w:tc>
          <w:tcPr>
            <w:tcW w:w="2035" w:type="dxa"/>
            <w:tcBorders>
              <w:bottom w:val="single" w:color="auto" w:sz="4" w:space="0"/>
            </w:tcBorders>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Subacute radiating pain in right upper limb, weakness</w:t>
            </w:r>
          </w:p>
        </w:tc>
        <w:tc>
          <w:tcPr>
            <w:tcW w:w="1815" w:type="dxa"/>
            <w:tcBorders>
              <w:bottom w:val="single" w:color="auto" w:sz="4" w:space="0"/>
            </w:tcBorders>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Right upper limb</w:t>
            </w:r>
          </w:p>
        </w:tc>
        <w:tc>
          <w:tcPr>
            <w:tcW w:w="1826" w:type="dxa"/>
            <w:tcBorders>
              <w:bottom w:val="single" w:color="auto" w:sz="4" w:space="0"/>
            </w:tcBorders>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Right brachial plexus</w:t>
            </w:r>
          </w:p>
        </w:tc>
        <w:tc>
          <w:tcPr>
            <w:tcW w:w="1805" w:type="dxa"/>
            <w:tcBorders>
              <w:bottom w:val="single" w:color="auto" w:sz="4" w:space="0"/>
            </w:tcBorders>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MRI, PET/CT</w:t>
            </w:r>
          </w:p>
        </w:tc>
        <w:tc>
          <w:tcPr>
            <w:tcW w:w="1737" w:type="dxa"/>
            <w:tcBorders>
              <w:bottom w:val="single" w:color="auto" w:sz="4" w:space="0"/>
            </w:tcBorders>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w:t>
            </w:r>
          </w:p>
        </w:tc>
        <w:tc>
          <w:tcPr>
            <w:tcW w:w="1871" w:type="dxa"/>
            <w:tcBorders>
              <w:bottom w:val="single" w:color="auto" w:sz="4" w:space="0"/>
            </w:tcBorders>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w:t>
            </w:r>
          </w:p>
        </w:tc>
        <w:tc>
          <w:tcPr>
            <w:tcW w:w="1892" w:type="dxa"/>
            <w:tcBorders>
              <w:bottom w:val="single" w:color="auto" w:sz="4" w:space="0"/>
            </w:tcBorders>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Chemotherapy, hormone shock therapy</w:t>
            </w:r>
          </w:p>
        </w:tc>
        <w:tc>
          <w:tcPr>
            <w:tcW w:w="2776" w:type="dxa"/>
            <w:tcBorders>
              <w:bottom w:val="single" w:color="auto" w:sz="4" w:space="0"/>
            </w:tcBorders>
          </w:tcPr>
          <w:p>
            <w:pPr>
              <w:spacing w:line="360" w:lineRule="auto"/>
              <w:jc w:val="both"/>
              <w:rPr>
                <w:rFonts w:ascii="Book Antiqua" w:hAnsi="Book Antiqua" w:eastAsia="等线" w:cs="Tahoma"/>
                <w:lang w:val="en-US" w:eastAsia="zh-CN"/>
              </w:rPr>
            </w:pPr>
            <w:r>
              <w:rPr>
                <w:rFonts w:ascii="Book Antiqua" w:hAnsi="Book Antiqua" w:eastAsia="等线" w:cs="Tahoma"/>
                <w:lang w:val="en-US" w:eastAsia="zh-CN"/>
              </w:rPr>
              <w:t>CD13(+),  CD14 (+) ,CD15 (+), CD33 (+), CD54 (+), CD64 (+), CD117 (+) , MPO (+)</w:t>
            </w:r>
          </w:p>
        </w:tc>
      </w:tr>
    </w:tbl>
    <w:p>
      <w:pPr>
        <w:spacing w:line="360" w:lineRule="auto"/>
        <w:jc w:val="both"/>
        <w:rPr>
          <w:rFonts w:ascii="Book Antiqua" w:hAnsi="Book Antiqua" w:cs="Tahoma"/>
          <w:lang w:val="en-US" w:eastAsia="zh-CN"/>
        </w:rPr>
        <w:sectPr>
          <w:pgSz w:w="15840" w:h="12240" w:orient="landscape"/>
          <w:pgMar w:top="1440" w:right="1440" w:bottom="1440" w:left="1440" w:header="720" w:footer="720" w:gutter="0"/>
          <w:cols w:space="720" w:num="1"/>
          <w:docGrid w:linePitch="360" w:charSpace="0"/>
        </w:sectPr>
      </w:pPr>
      <w:r>
        <w:rPr>
          <w:rFonts w:ascii="Book Antiqua" w:hAnsi="Book Antiqua" w:cs="Tahoma"/>
          <w:lang w:val="en-US" w:eastAsia="zh-CN"/>
        </w:rPr>
        <w:t xml:space="preserve">SPECT: </w:t>
      </w:r>
      <w:r>
        <w:rPr>
          <w:rFonts w:ascii="Book Antiqua" w:hAnsi="Book Antiqua" w:eastAsia="等线" w:cs="Tahoma"/>
          <w:lang w:val="en-US" w:eastAsia="zh-CN"/>
        </w:rPr>
        <w:t>Single-photon emission computed tomography;</w:t>
      </w:r>
      <w:r>
        <w:rPr>
          <w:rFonts w:ascii="Book Antiqua" w:hAnsi="Book Antiqua" w:cs="Tahoma"/>
          <w:lang w:val="en-US" w:eastAsia="zh-CN"/>
        </w:rPr>
        <w:t xml:space="preserve"> WBC: </w:t>
      </w:r>
      <w:r>
        <w:rPr>
          <w:rFonts w:ascii="Book Antiqua" w:hAnsi="Book Antiqua" w:cs="Tahoma"/>
          <w:lang w:eastAsia="zh-CN"/>
        </w:rPr>
        <w:t>W</w:t>
      </w:r>
      <w:r>
        <w:rPr>
          <w:rFonts w:ascii="Book Antiqua" w:hAnsi="Book Antiqua" w:eastAsia="Book Antiqua" w:cs="Tahoma"/>
        </w:rPr>
        <w:t>hite blood cell count</w:t>
      </w:r>
      <w:r>
        <w:rPr>
          <w:rFonts w:ascii="Book Antiqua" w:hAnsi="Book Antiqua" w:cs="Tahoma"/>
          <w:lang w:eastAsia="zh-CN"/>
        </w:rPr>
        <w:t>;</w:t>
      </w:r>
      <w:r>
        <w:rPr>
          <w:rFonts w:ascii="Book Antiqua" w:hAnsi="Book Antiqua" w:cs="Tahoma"/>
          <w:lang w:val="en-US" w:eastAsia="zh-CN"/>
        </w:rPr>
        <w:t xml:space="preserve"> RBC: Red </w:t>
      </w:r>
      <w:r>
        <w:rPr>
          <w:rFonts w:ascii="Book Antiqua" w:hAnsi="Book Antiqua" w:eastAsia="Book Antiqua" w:cs="Tahoma"/>
        </w:rPr>
        <w:t>blood cell count</w:t>
      </w:r>
      <w:r>
        <w:rPr>
          <w:rFonts w:ascii="Book Antiqua" w:hAnsi="Book Antiqua" w:cs="Tahoma"/>
          <w:lang w:eastAsia="zh-CN"/>
        </w:rPr>
        <w:t xml:space="preserve">; </w:t>
      </w:r>
      <w:r>
        <w:rPr>
          <w:rFonts w:ascii="Book Antiqua" w:hAnsi="Book Antiqua" w:cs="Tahoma"/>
          <w:lang w:val="en-US" w:eastAsia="zh-CN"/>
        </w:rPr>
        <w:t xml:space="preserve">MRI: </w:t>
      </w:r>
      <w:r>
        <w:rPr>
          <w:rFonts w:ascii="Book Antiqua" w:hAnsi="Book Antiqua" w:eastAsia="Book Antiqua" w:cs="Tahoma"/>
        </w:rPr>
        <w:t>Magnetic resonance imaging</w:t>
      </w:r>
      <w:r>
        <w:rPr>
          <w:rFonts w:ascii="Book Antiqua" w:hAnsi="Book Antiqua" w:cs="Tahoma"/>
          <w:lang w:eastAsia="zh-CN"/>
        </w:rPr>
        <w:t>;</w:t>
      </w:r>
      <w:r>
        <w:rPr>
          <w:rFonts w:ascii="Book Antiqua" w:hAnsi="Book Antiqua" w:cs="Tahoma"/>
          <w:lang w:val="en-US" w:eastAsia="zh-CN"/>
        </w:rPr>
        <w:t xml:space="preserve"> MS: </w:t>
      </w:r>
      <w:r>
        <w:rPr>
          <w:rFonts w:ascii="Book Antiqua" w:hAnsi="Book Antiqua" w:eastAsia="Book Antiqua" w:cs="Tahoma"/>
        </w:rPr>
        <w:t>Myeloid sarcoma</w:t>
      </w:r>
      <w:r>
        <w:rPr>
          <w:rFonts w:ascii="Book Antiqua" w:hAnsi="Book Antiqua" w:cs="Tahoma"/>
          <w:lang w:eastAsia="zh-CN"/>
        </w:rPr>
        <w:t>;</w:t>
      </w:r>
      <w:r>
        <w:rPr>
          <w:rFonts w:ascii="Book Antiqua" w:hAnsi="Book Antiqua" w:cs="Tahoma"/>
          <w:lang w:val="en-US" w:eastAsia="zh-CN"/>
        </w:rPr>
        <w:t xml:space="preserve"> PET/CT: </w:t>
      </w:r>
      <w:r>
        <w:rPr>
          <w:rFonts w:ascii="Book Antiqua" w:hAnsi="Book Antiqua" w:eastAsia="Book Antiqua" w:cs="Tahoma"/>
        </w:rPr>
        <w:t>Positron emission tomography/computerised tomography</w:t>
      </w:r>
      <w:r>
        <w:rPr>
          <w:rFonts w:ascii="Book Antiqua" w:hAnsi="Book Antiqua" w:cs="Tahoma"/>
          <w:lang w:eastAsia="zh-CN"/>
        </w:rPr>
        <w:t>;</w:t>
      </w:r>
      <w:r>
        <w:rPr>
          <w:rFonts w:ascii="Book Antiqua" w:hAnsi="Book Antiqua" w:eastAsia="等线" w:cs="Tahoma"/>
          <w:lang w:val="en-US" w:eastAsia="zh-CN"/>
        </w:rPr>
        <w:t xml:space="preserve"> CRP: C-reactive protein; </w:t>
      </w:r>
      <w:r>
        <w:rPr>
          <w:rFonts w:ascii="Book Antiqua" w:hAnsi="Book Antiqua" w:eastAsia="Book Antiqua" w:cs="Tahoma"/>
        </w:rPr>
        <w:t>AML</w:t>
      </w:r>
      <w:r>
        <w:rPr>
          <w:rFonts w:ascii="Book Antiqua" w:hAnsi="Book Antiqua" w:cs="Tahoma"/>
          <w:lang w:eastAsia="zh-CN"/>
        </w:rPr>
        <w:t>:</w:t>
      </w:r>
      <w:r>
        <w:rPr>
          <w:rFonts w:ascii="Book Antiqua" w:hAnsi="Book Antiqua" w:eastAsia="Book Antiqua" w:cs="Tahoma"/>
        </w:rPr>
        <w:t xml:space="preserve"> </w:t>
      </w:r>
      <w:r>
        <w:rPr>
          <w:rFonts w:ascii="Book Antiqua" w:hAnsi="Book Antiqua" w:cs="Tahoma"/>
          <w:lang w:eastAsia="zh-CN"/>
        </w:rPr>
        <w:t>A</w:t>
      </w:r>
      <w:r>
        <w:rPr>
          <w:rFonts w:ascii="Book Antiqua" w:hAnsi="Book Antiqua" w:eastAsia="Book Antiqua" w:cs="Tahoma"/>
        </w:rPr>
        <w:t>cute myeloid leukaemia</w:t>
      </w:r>
      <w:r>
        <w:rPr>
          <w:rFonts w:ascii="Book Antiqua" w:hAnsi="Book Antiqua" w:cs="Tahoma"/>
          <w:lang w:eastAsia="zh-CN"/>
        </w:rPr>
        <w:t xml:space="preserve">; </w:t>
      </w:r>
      <w:r>
        <w:rPr>
          <w:rFonts w:ascii="Book Antiqua" w:hAnsi="Book Antiqua" w:cs="Tahoma"/>
          <w:lang w:val="en-US" w:eastAsia="zh-CN"/>
        </w:rPr>
        <w:t xml:space="preserve">HGB: </w:t>
      </w:r>
      <w:r>
        <w:rPr>
          <w:rFonts w:ascii="Book Antiqua" w:hAnsi="Book Antiqua" w:cs="Tahoma"/>
          <w:lang w:eastAsia="zh-CN"/>
        </w:rPr>
        <w:t>H</w:t>
      </w:r>
      <w:r>
        <w:rPr>
          <w:rFonts w:ascii="Book Antiqua" w:hAnsi="Book Antiqua" w:eastAsia="Book Antiqua" w:cs="Tahoma"/>
        </w:rPr>
        <w:t>aemoglobin count</w:t>
      </w:r>
      <w:r>
        <w:rPr>
          <w:rFonts w:ascii="Book Antiqua" w:hAnsi="Book Antiqua" w:cs="Tahoma"/>
          <w:lang w:eastAsia="zh-CN"/>
        </w:rPr>
        <w:t>;</w:t>
      </w:r>
      <w:r>
        <w:rPr>
          <w:rFonts w:ascii="Book Antiqua" w:hAnsi="Book Antiqua" w:cs="Tahoma"/>
          <w:lang w:val="en-US" w:eastAsia="zh-CN"/>
        </w:rPr>
        <w:t xml:space="preserve"> ESR: Erythrocyte sedimentation rate; PCT: Procalcitonin.</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Tahom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5335118"/>
      <w:docPartObj>
        <w:docPartGallery w:val="autotext"/>
      </w:docPartObj>
    </w:sdtPr>
    <w:sdtContent>
      <w:sdt>
        <w:sdtPr>
          <w:id w:val="860082579"/>
          <w:docPartObj>
            <w:docPartGallery w:val="autotext"/>
          </w:docPartObj>
        </w:sdtPr>
        <w:sdtContent>
          <w:p>
            <w:pPr>
              <w:pStyle w:val="55"/>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27</w:t>
            </w:r>
            <w:r>
              <w:rPr>
                <w:b/>
                <w:bCs/>
                <w:sz w:val="24"/>
                <w:szCs w:val="24"/>
              </w:rPr>
              <w:fldChar w:fldCharType="end"/>
            </w:r>
          </w:p>
        </w:sdtContent>
      </w:sdt>
    </w:sdtContent>
  </w:sdt>
  <w:p>
    <w:pPr>
      <w:pStyle w:val="5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1800"/>
        </w:tabs>
        <w:ind w:left="1800" w:hanging="360"/>
      </w:pPr>
    </w:lvl>
  </w:abstractNum>
  <w:abstractNum w:abstractNumId="1">
    <w:nsid w:val="FFFFFF7D"/>
    <w:multiLevelType w:val="singleLevel"/>
    <w:tmpl w:val="FFFFFF7D"/>
    <w:lvl w:ilvl="0" w:tentative="0">
      <w:start w:val="1"/>
      <w:numFmt w:val="decimal"/>
      <w:pStyle w:val="47"/>
      <w:lvlText w:val="%1."/>
      <w:lvlJc w:val="left"/>
      <w:pPr>
        <w:tabs>
          <w:tab w:val="left" w:pos="1440"/>
        </w:tabs>
        <w:ind w:left="1440" w:hanging="360"/>
      </w:pPr>
    </w:lvl>
  </w:abstractNum>
  <w:abstractNum w:abstractNumId="2">
    <w:nsid w:val="FFFFFF7E"/>
    <w:multiLevelType w:val="singleLevel"/>
    <w:tmpl w:val="FFFFFF7E"/>
    <w:lvl w:ilvl="0" w:tentative="0">
      <w:start w:val="1"/>
      <w:numFmt w:val="decimal"/>
      <w:pStyle w:val="36"/>
      <w:lvlText w:val="%1."/>
      <w:lvlJc w:val="left"/>
      <w:pPr>
        <w:tabs>
          <w:tab w:val="left" w:pos="1080"/>
        </w:tabs>
        <w:ind w:left="1080" w:hanging="360"/>
      </w:pPr>
    </w:lvl>
  </w:abstractNum>
  <w:abstractNum w:abstractNumId="3">
    <w:nsid w:val="FFFFFF7F"/>
    <w:multiLevelType w:val="singleLevel"/>
    <w:tmpl w:val="FFFFFF7F"/>
    <w:lvl w:ilvl="0" w:tentative="0">
      <w:start w:val="1"/>
      <w:numFmt w:val="decimal"/>
      <w:pStyle w:val="14"/>
      <w:lvlText w:val="%1."/>
      <w:lvlJc w:val="left"/>
      <w:pPr>
        <w:tabs>
          <w:tab w:val="left" w:pos="720"/>
        </w:tabs>
        <w:ind w:left="720" w:hanging="360"/>
      </w:pPr>
    </w:lvl>
  </w:abstractNum>
  <w:abstractNum w:abstractNumId="4">
    <w:nsid w:val="FFFFFF80"/>
    <w:multiLevelType w:val="singleLevel"/>
    <w:tmpl w:val="FFFFFF80"/>
    <w:lvl w:ilvl="0" w:tentative="0">
      <w:start w:val="1"/>
      <w:numFmt w:val="bullet"/>
      <w:pStyle w:val="46"/>
      <w:lvlText w:val=""/>
      <w:lvlJc w:val="left"/>
      <w:pPr>
        <w:tabs>
          <w:tab w:val="left" w:pos="1800"/>
        </w:tabs>
        <w:ind w:left="1800" w:hanging="360"/>
      </w:pPr>
      <w:rPr>
        <w:rFonts w:hint="default" w:ascii="Symbol" w:hAnsi="Symbol"/>
      </w:rPr>
    </w:lvl>
  </w:abstractNum>
  <w:abstractNum w:abstractNumId="5">
    <w:nsid w:val="FFFFFF81"/>
    <w:multiLevelType w:val="singleLevel"/>
    <w:tmpl w:val="FFFFFF81"/>
    <w:lvl w:ilvl="0" w:tentative="0">
      <w:start w:val="1"/>
      <w:numFmt w:val="bullet"/>
      <w:pStyle w:val="17"/>
      <w:lvlText w:val=""/>
      <w:lvlJc w:val="left"/>
      <w:pPr>
        <w:tabs>
          <w:tab w:val="left" w:pos="1440"/>
        </w:tabs>
        <w:ind w:left="1440" w:hanging="360"/>
      </w:pPr>
      <w:rPr>
        <w:rFonts w:hint="default" w:ascii="Symbol" w:hAnsi="Symbol"/>
      </w:rPr>
    </w:lvl>
  </w:abstractNum>
  <w:abstractNum w:abstractNumId="6">
    <w:nsid w:val="FFFFFF82"/>
    <w:multiLevelType w:val="singleLevel"/>
    <w:tmpl w:val="FFFFFF82"/>
    <w:lvl w:ilvl="0" w:tentative="0">
      <w:start w:val="1"/>
      <w:numFmt w:val="bullet"/>
      <w:pStyle w:val="33"/>
      <w:lvlText w:val=""/>
      <w:lvlJc w:val="left"/>
      <w:pPr>
        <w:tabs>
          <w:tab w:val="left" w:pos="1080"/>
        </w:tabs>
        <w:ind w:left="1080" w:hanging="360"/>
      </w:pPr>
      <w:rPr>
        <w:rFonts w:hint="default" w:ascii="Symbol" w:hAnsi="Symbol"/>
      </w:rPr>
    </w:lvl>
  </w:abstractNum>
  <w:abstractNum w:abstractNumId="7">
    <w:nsid w:val="FFFFFF83"/>
    <w:multiLevelType w:val="singleLevel"/>
    <w:tmpl w:val="FFFFFF83"/>
    <w:lvl w:ilvl="0" w:tentative="0">
      <w:start w:val="1"/>
      <w:numFmt w:val="bullet"/>
      <w:pStyle w:val="40"/>
      <w:lvlText w:val=""/>
      <w:lvlJc w:val="left"/>
      <w:pPr>
        <w:tabs>
          <w:tab w:val="left" w:pos="720"/>
        </w:tabs>
        <w:ind w:left="720" w:hanging="360"/>
      </w:pPr>
      <w:rPr>
        <w:rFonts w:hint="default" w:ascii="Symbol" w:hAnsi="Symbol"/>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pPr>
      <w:rPr>
        <w:rFonts w:hint="default" w:ascii="Symbol" w:hAnsi="Symbol"/>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 w:name="EN.InstantFormat" w:val="&lt;ENInstantFormat&gt;&lt;Enabled&gt;1&lt;/Enabled&gt;&lt;ScanUnformatted&gt;1&lt;/ScanUnformatted&gt;&lt;ScanChanges&gt;1&lt;/ScanChanges&gt;&lt;Suspended&gt;0&lt;/Suspended&gt;&lt;/ENInstantFormat&gt;"/>
    <w:docVar w:name="EN.Layout" w:val="&lt;ENLayout&gt;&lt;Style&gt;TF-Standard NL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dep5fw0xrw5bexr59pp90zrvsxpdd50wrf&quot;&gt;我的EndNote库-Converted&lt;record-ids&gt;&lt;item&gt;858&lt;/item&gt;&lt;/record-ids&gt;&lt;/item&gt;&lt;/Libraries&gt;"/>
  </w:docVars>
  <w:rsids>
    <w:rsidRoot w:val="00A77B3E"/>
    <w:rsid w:val="00040201"/>
    <w:rsid w:val="00053FE2"/>
    <w:rsid w:val="0006410E"/>
    <w:rsid w:val="00087D3B"/>
    <w:rsid w:val="000A1062"/>
    <w:rsid w:val="000B0B0E"/>
    <w:rsid w:val="000B7FC4"/>
    <w:rsid w:val="000C53BE"/>
    <w:rsid w:val="000E40FE"/>
    <w:rsid w:val="0010469F"/>
    <w:rsid w:val="00114736"/>
    <w:rsid w:val="00151F1B"/>
    <w:rsid w:val="00155FB2"/>
    <w:rsid w:val="00192707"/>
    <w:rsid w:val="001A0858"/>
    <w:rsid w:val="001B10F8"/>
    <w:rsid w:val="001B1A18"/>
    <w:rsid w:val="001C1449"/>
    <w:rsid w:val="001D25B8"/>
    <w:rsid w:val="00222B97"/>
    <w:rsid w:val="00223015"/>
    <w:rsid w:val="002719F4"/>
    <w:rsid w:val="002C1A6C"/>
    <w:rsid w:val="002D75CC"/>
    <w:rsid w:val="002F0483"/>
    <w:rsid w:val="002F7A34"/>
    <w:rsid w:val="00343F35"/>
    <w:rsid w:val="00370B29"/>
    <w:rsid w:val="00381067"/>
    <w:rsid w:val="00382722"/>
    <w:rsid w:val="00393B5B"/>
    <w:rsid w:val="003A1BD4"/>
    <w:rsid w:val="003B1E91"/>
    <w:rsid w:val="003B3442"/>
    <w:rsid w:val="00402CB2"/>
    <w:rsid w:val="00426E95"/>
    <w:rsid w:val="004516FD"/>
    <w:rsid w:val="0046475A"/>
    <w:rsid w:val="004C5CE6"/>
    <w:rsid w:val="004D473B"/>
    <w:rsid w:val="00533DDD"/>
    <w:rsid w:val="0054768E"/>
    <w:rsid w:val="005872F1"/>
    <w:rsid w:val="005B4A3F"/>
    <w:rsid w:val="005E458E"/>
    <w:rsid w:val="006104E6"/>
    <w:rsid w:val="00635790"/>
    <w:rsid w:val="00642EFF"/>
    <w:rsid w:val="00675D4A"/>
    <w:rsid w:val="006775D2"/>
    <w:rsid w:val="006E2511"/>
    <w:rsid w:val="006E25D6"/>
    <w:rsid w:val="0070127A"/>
    <w:rsid w:val="00705C09"/>
    <w:rsid w:val="00716FED"/>
    <w:rsid w:val="00734E56"/>
    <w:rsid w:val="00754C51"/>
    <w:rsid w:val="007666A7"/>
    <w:rsid w:val="00766894"/>
    <w:rsid w:val="00766E80"/>
    <w:rsid w:val="007704E3"/>
    <w:rsid w:val="00771BDC"/>
    <w:rsid w:val="007812D8"/>
    <w:rsid w:val="007A6CED"/>
    <w:rsid w:val="007B0948"/>
    <w:rsid w:val="007B7053"/>
    <w:rsid w:val="007C378F"/>
    <w:rsid w:val="007F0B1B"/>
    <w:rsid w:val="007F2429"/>
    <w:rsid w:val="00807B03"/>
    <w:rsid w:val="00807E67"/>
    <w:rsid w:val="00826857"/>
    <w:rsid w:val="00896666"/>
    <w:rsid w:val="008B0DD9"/>
    <w:rsid w:val="008B7DE7"/>
    <w:rsid w:val="008C4872"/>
    <w:rsid w:val="008D2206"/>
    <w:rsid w:val="008E2FB0"/>
    <w:rsid w:val="008F31DF"/>
    <w:rsid w:val="0090313B"/>
    <w:rsid w:val="00905563"/>
    <w:rsid w:val="00964C03"/>
    <w:rsid w:val="009E6891"/>
    <w:rsid w:val="009F1CC1"/>
    <w:rsid w:val="00A01AE7"/>
    <w:rsid w:val="00A24904"/>
    <w:rsid w:val="00A5366E"/>
    <w:rsid w:val="00A634CE"/>
    <w:rsid w:val="00A724B2"/>
    <w:rsid w:val="00A77B3E"/>
    <w:rsid w:val="00AC5161"/>
    <w:rsid w:val="00AD1DE0"/>
    <w:rsid w:val="00AE04FF"/>
    <w:rsid w:val="00AE692B"/>
    <w:rsid w:val="00AF6355"/>
    <w:rsid w:val="00B52ACC"/>
    <w:rsid w:val="00B56CBD"/>
    <w:rsid w:val="00B9166E"/>
    <w:rsid w:val="00BB7BEA"/>
    <w:rsid w:val="00BE7BDF"/>
    <w:rsid w:val="00C03DA1"/>
    <w:rsid w:val="00C213A2"/>
    <w:rsid w:val="00C27442"/>
    <w:rsid w:val="00C507ED"/>
    <w:rsid w:val="00C60921"/>
    <w:rsid w:val="00C66B4A"/>
    <w:rsid w:val="00C73388"/>
    <w:rsid w:val="00C825A5"/>
    <w:rsid w:val="00CA2A55"/>
    <w:rsid w:val="00CB6D08"/>
    <w:rsid w:val="00CC1ABE"/>
    <w:rsid w:val="00CC3E01"/>
    <w:rsid w:val="00CC3F08"/>
    <w:rsid w:val="00CE5B99"/>
    <w:rsid w:val="00CF09E2"/>
    <w:rsid w:val="00D26869"/>
    <w:rsid w:val="00D54A1B"/>
    <w:rsid w:val="00D64A7D"/>
    <w:rsid w:val="00D66A8E"/>
    <w:rsid w:val="00D67022"/>
    <w:rsid w:val="00D84206"/>
    <w:rsid w:val="00D911A9"/>
    <w:rsid w:val="00DB7F9D"/>
    <w:rsid w:val="00DF26F1"/>
    <w:rsid w:val="00DF2C65"/>
    <w:rsid w:val="00DF3D8E"/>
    <w:rsid w:val="00DF4343"/>
    <w:rsid w:val="00DF4CE9"/>
    <w:rsid w:val="00DF70B3"/>
    <w:rsid w:val="00E506E5"/>
    <w:rsid w:val="00EC784F"/>
    <w:rsid w:val="00ED4235"/>
    <w:rsid w:val="00EE1C91"/>
    <w:rsid w:val="00F600B2"/>
    <w:rsid w:val="00F71451"/>
    <w:rsid w:val="00F8351D"/>
    <w:rsid w:val="00FE0104"/>
    <w:rsid w:val="00FF3A82"/>
    <w:rsid w:val="00FF5E9D"/>
    <w:rsid w:val="01782314"/>
    <w:rsid w:val="0C2132EC"/>
    <w:rsid w:val="480921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name="index 1"/>
    <w:lsdException w:qFormat="1" w:uiPriority="0" w:name="index 2"/>
    <w:lsdException w:qFormat="1" w:uiPriority="0" w:name="index 3"/>
    <w:lsdException w:qFormat="1" w:uiPriority="0" w:name="index 4"/>
    <w:lsdException w:qFormat="1" w:uiPriority="0" w:name="index 5"/>
    <w:lsdException w:qFormat="1" w:uiPriority="0" w:name="index 6"/>
    <w:lsdException w:qFormat="1" w:uiPriority="0" w:name="index 7"/>
    <w:lsdException w:uiPriority="0" w:name="index 8"/>
    <w:lsdException w:qFormat="1" w:uiPriority="0" w:name="index 9"/>
    <w:lsdException w:qFormat="1" w:uiPriority="0" w:name="toc 1"/>
    <w:lsdException w:qFormat="1" w:uiPriority="0" w:name="toc 2"/>
    <w:lsdException w:uiPriority="0" w:name="toc 3"/>
    <w:lsdException w:qFormat="1" w:uiPriority="0" w:name="toc 4"/>
    <w:lsdException w:qFormat="1" w:uiPriority="0" w:name="toc 5"/>
    <w:lsdException w:qFormat="1" w:uiPriority="0" w:name="toc 6"/>
    <w:lsdException w:qFormat="1" w:uiPriority="0" w:name="toc 7"/>
    <w:lsdException w:qFormat="1" w:uiPriority="0" w:name="toc 8"/>
    <w:lsdException w:qFormat="1" w:uiPriority="0" w:name="toc 9"/>
    <w:lsdException w:qFormat="1" w:uiPriority="0" w:name="Normal Indent"/>
    <w:lsdException w:qFormat="1" w:uiPriority="0" w:name="footnote text"/>
    <w:lsdException w:qFormat="1" w:unhideWhenUsed="0" w:uiPriority="0" w:semiHidden="0" w:name="annotation text"/>
    <w:lsdException w:qFormat="1" w:uiPriority="0" w:semiHidden="0" w:name="header"/>
    <w:lsdException w:qFormat="1" w:uiPriority="99" w:semiHidden="0" w:name="footer"/>
    <w:lsdException w:qFormat="1" w:uiPriority="0" w:name="index heading"/>
    <w:lsdException w:qFormat="1" w:uiPriority="0" w:name="caption"/>
    <w:lsdException w:qFormat="1" w:uiPriority="0" w:name="table of figures"/>
    <w:lsdException w:qFormat="1" w:uiPriority="0" w:name="envelope address"/>
    <w:lsdException w:qFormat="1" w:uiPriority="0" w:name="envelope return"/>
    <w:lsdException w:qFormat="1" w:uiPriority="0" w:name="footnote reference"/>
    <w:lsdException w:qFormat="1" w:unhideWhenUsed="0" w:uiPriority="0" w:semiHidden="0" w:name="annotation reference"/>
    <w:lsdException w:qFormat="1" w:uiPriority="0" w:name="line number"/>
    <w:lsdException w:qFormat="1" w:uiPriority="0" w:name="page number"/>
    <w:lsdException w:qFormat="1" w:uiPriority="0" w:name="endnote reference"/>
    <w:lsdException w:qFormat="1" w:uiPriority="0" w:name="endnote text"/>
    <w:lsdException w:qFormat="1" w:uiPriority="0" w:name="table of authorities"/>
    <w:lsdException w:qFormat="1" w:unhideWhenUsed="0" w:uiPriority="0" w:semiHidden="0" w:name="macro"/>
    <w:lsdException w:qFormat="1" w:uiPriority="0" w:name="toa heading"/>
    <w:lsdException w:qFormat="1" w:uiPriority="0" w:name="List"/>
    <w:lsdException w:qFormat="1" w:unhideWhenUsed="0" w:uiPriority="0" w:semiHidden="0" w:name="List Bullet"/>
    <w:lsdException w:qFormat="1" w:unhideWhenUsed="0" w:uiPriority="0" w:semiHidden="0" w:name="List Number"/>
    <w:lsdException w:qFormat="1" w:uiPriority="0" w:name="List 2"/>
    <w:lsdException w:qFormat="1" w:uiPriority="0" w:name="List 3"/>
    <w:lsdException w:qFormat="1" w:uiPriority="0" w:name="List 4"/>
    <w:lsdException w:uiPriority="0" w:name="List 5"/>
    <w:lsdException w:uiPriority="0" w:name="List Bullet 2"/>
    <w:lsdException w:qFormat="1" w:uiPriority="0" w:name="List Bullet 3"/>
    <w:lsdException w:qFormat="1" w:uiPriority="0" w:name="List Bullet 4"/>
    <w:lsdException w:uiPriority="0" w:name="List Bullet 5"/>
    <w:lsdException w:qFormat="1" w:uiPriority="0" w:name="List Number 2"/>
    <w:lsdException w:uiPriority="0" w:name="List Number 3"/>
    <w:lsdException w:qFormat="1" w:uiPriority="0" w:name="List Number 4"/>
    <w:lsdException w:qFormat="1" w:uiPriority="0" w:name="List Number 5"/>
    <w:lsdException w:qFormat="1" w:unhideWhenUsed="0" w:uiPriority="0" w:semiHidden="0" w:name="Title"/>
    <w:lsdException w:qFormat="1" w:uiPriority="0" w:name="Closing"/>
    <w:lsdException w:qFormat="1" w:uiPriority="0" w:name="Signature"/>
    <w:lsdException w:qFormat="1" w:uiPriority="1" w:name="Default Paragraph Font"/>
    <w:lsdException w:qFormat="1" w:uiPriority="0" w:name="Body Text"/>
    <w:lsdException w:qFormat="1" w:uiPriority="0" w:name="Body Text Indent"/>
    <w:lsdException w:uiPriority="0" w:name="List Continue"/>
    <w:lsdException w:qFormat="1" w:uiPriority="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iPriority="0" w:name="Salutation"/>
    <w:lsdException w:qFormat="1" w:uiPriority="0" w:name="Date"/>
    <w:lsdException w:qFormat="1" w:uiPriority="0" w:name="Body Text First Indent"/>
    <w:lsdException w:qFormat="1" w:uiPriority="0" w:name="Body Text First Indent 2"/>
    <w:lsdException w:qFormat="1" w:uiPriority="0" w:name="Note Heading"/>
    <w:lsdException w:qFormat="1" w:uiPriority="0" w:name="Body Text 2"/>
    <w:lsdException w:uiPriority="0" w:name="Body Text 3"/>
    <w:lsdException w:uiPriority="0" w:name="Body Text Indent 2"/>
    <w:lsdException w:qFormat="1" w:uiPriority="0" w:name="Body Text Indent 3"/>
    <w:lsdException w:qFormat="1" w:uiPriority="0" w:name="Block Text"/>
    <w:lsdException w:qFormat="1" w:uiPriority="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qFormat="1" w:uiPriority="0" w:name="Plain Text"/>
    <w:lsdException w:qFormat="1" w:uiPriority="0" w:name="E-mail Signature"/>
    <w:lsdException w:qFormat="1" w:uiPriority="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iPriority="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0" w:semiHidden="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name="Table Elegant"/>
    <w:lsdException w:uiPriority="0" w:name="Table Professional"/>
    <w:lsdException w:qFormat="1" w:uiPriority="0" w:name="Table Subtle 1"/>
    <w:lsdException w:qFormat="1" w:uiPriority="0" w:name="Table Subtle 2"/>
    <w:lsdException w:qFormat="1" w:uiPriority="0" w:name="Table Web 1"/>
    <w:lsdException w:qFormat="1" w:uiPriority="0" w:name="Table Web 2"/>
    <w:lsdException w:qFormat="1"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qFormat="1" w:uiPriority="60" w:name="Light Shading"/>
    <w:lsdException w:uiPriority="61" w:name="Light List"/>
    <w:lsdException w:uiPriority="62" w:name="Light Grid"/>
    <w:lsdException w:qFormat="1" w:uiPriority="63" w:name="Medium Shading 1"/>
    <w:lsdException w:qFormat="1" w:uiPriority="64" w:name="Medium Shading 2"/>
    <w:lsdException w:qFormat="1" w:uiPriority="65" w:name="Medium List 1"/>
    <w:lsdException w:qFormat="1" w:uiPriority="66" w:name="Medium List 2"/>
    <w:lsdException w:qFormat="1" w:uiPriority="67" w:name="Medium Grid 1"/>
    <w:lsdException w:qFormat="1" w:uiPriority="68" w:name="Medium Grid 2"/>
    <w:lsdException w:qFormat="1" w:uiPriority="69" w:name="Medium Grid 3"/>
    <w:lsdException w:qFormat="1" w:uiPriority="70" w:name="Dark List"/>
    <w:lsdException w:qFormat="1" w:uiPriority="71" w:name="Colorful Shading"/>
    <w:lsdException w:qFormat="1" w:uiPriority="72" w:name="Colorful List"/>
    <w:lsdException w:qFormat="1" w:uiPriority="73" w:name="Colorful Grid"/>
    <w:lsdException w:uiPriority="60" w:name="Light Shading Accent 1"/>
    <w:lsdException w:qFormat="1" w:uiPriority="61" w:name="Light List Accent 1"/>
    <w:lsdException w:qFormat="1" w:uiPriority="62" w:name="Light Grid Accent 1"/>
    <w:lsdException w:qFormat="1" w:uiPriority="63" w:name="Medium Shading 1 Accent 1"/>
    <w:lsdException w:qFormat="1" w:uiPriority="64"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iPriority="66" w:name="Medium List 2 Accent 1"/>
    <w:lsdException w:qFormat="1" w:uiPriority="67" w:name="Medium Grid 1 Accent 1"/>
    <w:lsdException w:uiPriority="68" w:name="Medium Grid 2 Accent 1"/>
    <w:lsdException w:qFormat="1" w:uiPriority="69" w:name="Medium Grid 3 Accent 1"/>
    <w:lsdException w:qFormat="1" w:uiPriority="70" w:name="Dark List Accent 1"/>
    <w:lsdException w:uiPriority="71" w:name="Colorful Shading Accent 1"/>
    <w:lsdException w:qFormat="1" w:uiPriority="72" w:name="Colorful List Accent 1"/>
    <w:lsdException w:qFormat="1" w:uiPriority="73" w:name="Colorful Grid Accent 1"/>
    <w:lsdException w:qFormat="1" w:uiPriority="60" w:name="Light Shading Accent 2"/>
    <w:lsdException w:qFormat="1" w:uiPriority="61" w:name="Light List Accent 2"/>
    <w:lsdException w:qFormat="1" w:uiPriority="62" w:name="Light Grid Accent 2"/>
    <w:lsdException w:qFormat="1" w:uiPriority="63" w:name="Medium Shading 1 Accent 2"/>
    <w:lsdException w:uiPriority="64" w:name="Medium Shading 2 Accent 2"/>
    <w:lsdException w:qFormat="1" w:uiPriority="65" w:name="Medium List 1 Accent 2"/>
    <w:lsdException w:qFormat="1" w:uiPriority="66" w:name="Medium List 2 Accent 2"/>
    <w:lsdException w:qFormat="1" w:uiPriority="67" w:name="Medium Grid 1 Accent 2"/>
    <w:lsdException w:qFormat="1" w:uiPriority="68" w:name="Medium Grid 2 Accent 2"/>
    <w:lsdException w:qFormat="1" w:uiPriority="69" w:name="Medium Grid 3 Accent 2"/>
    <w:lsdException w:qFormat="1" w:uiPriority="70" w:name="Dark List Accent 2"/>
    <w:lsdException w:uiPriority="71" w:name="Colorful Shading Accent 2"/>
    <w:lsdException w:qFormat="1" w:uiPriority="72" w:name="Colorful List Accent 2"/>
    <w:lsdException w:qFormat="1" w:uiPriority="73" w:name="Colorful Grid Accent 2"/>
    <w:lsdException w:qFormat="1" w:uiPriority="60" w:name="Light Shading Accent 3"/>
    <w:lsdException w:qFormat="1" w:uiPriority="61" w:name="Light List Accent 3"/>
    <w:lsdException w:uiPriority="62" w:name="Light Grid Accent 3"/>
    <w:lsdException w:qFormat="1" w:uiPriority="63" w:name="Medium Shading 1 Accent 3"/>
    <w:lsdException w:uiPriority="64" w:name="Medium Shading 2 Accent 3"/>
    <w:lsdException w:qFormat="1" w:uiPriority="65" w:name="Medium List 1 Accent 3"/>
    <w:lsdException w:qFormat="1" w:uiPriority="66" w:name="Medium List 2 Accent 3"/>
    <w:lsdException w:qFormat="1" w:uiPriority="67" w:name="Medium Grid 1 Accent 3"/>
    <w:lsdException w:qFormat="1" w:uiPriority="68" w:name="Medium Grid 2 Accent 3"/>
    <w:lsdException w:qFormat="1" w:uiPriority="69" w:name="Medium Grid 3 Accent 3"/>
    <w:lsdException w:uiPriority="70" w:name="Dark List Accent 3"/>
    <w:lsdException w:qFormat="1" w:uiPriority="71" w:name="Colorful Shading Accent 3"/>
    <w:lsdException w:qFormat="1" w:uiPriority="72" w:name="Colorful List Accent 3"/>
    <w:lsdException w:qFormat="1" w:uiPriority="73" w:name="Colorful Grid Accent 3"/>
    <w:lsdException w:uiPriority="60" w:name="Light Shading Accent 4"/>
    <w:lsdException w:qFormat="1" w:uiPriority="61" w:name="Light List Accent 4"/>
    <w:lsdException w:qFormat="1" w:uiPriority="62" w:name="Light Grid Accent 4"/>
    <w:lsdException w:qFormat="1" w:uiPriority="63" w:name="Medium Shading 1 Accent 4"/>
    <w:lsdException w:qFormat="1" w:uiPriority="64" w:name="Medium Shading 2 Accent 4"/>
    <w:lsdException w:qFormat="1" w:uiPriority="65" w:name="Medium List 1 Accent 4"/>
    <w:lsdException w:qFormat="1" w:uiPriority="66" w:name="Medium List 2 Accent 4"/>
    <w:lsdException w:qFormat="1" w:uiPriority="67" w:name="Medium Grid 1 Accent 4"/>
    <w:lsdException w:qFormat="1" w:uiPriority="68" w:name="Medium Grid 2 Accent 4"/>
    <w:lsdException w:qFormat="1" w:uiPriority="69" w:name="Medium Grid 3 Accent 4"/>
    <w:lsdException w:uiPriority="70" w:name="Dark List Accent 4"/>
    <w:lsdException w:uiPriority="71" w:name="Colorful Shading Accent 4"/>
    <w:lsdException w:qFormat="1" w:uiPriority="72" w:name="Colorful List Accent 4"/>
    <w:lsdException w:qFormat="1" w:uiPriority="73" w:name="Colorful Grid Accent 4"/>
    <w:lsdException w:uiPriority="60" w:name="Light Shading Accent 5"/>
    <w:lsdException w:uiPriority="61" w:name="Light List Accent 5"/>
    <w:lsdException w:qFormat="1" w:uiPriority="62" w:name="Light Grid Accent 5"/>
    <w:lsdException w:qFormat="1" w:uiPriority="63" w:name="Medium Shading 1 Accent 5"/>
    <w:lsdException w:uiPriority="64" w:name="Medium Shading 2 Accent 5"/>
    <w:lsdException w:qFormat="1" w:uiPriority="65" w:name="Medium List 1 Accent 5"/>
    <w:lsdException w:qFormat="1" w:uiPriority="66" w:name="Medium List 2 Accent 5"/>
    <w:lsdException w:qFormat="1" w:uiPriority="67" w:name="Medium Grid 1 Accent 5"/>
    <w:lsdException w:uiPriority="68" w:name="Medium Grid 2 Accent 5"/>
    <w:lsdException w:uiPriority="69" w:name="Medium Grid 3 Accent 5"/>
    <w:lsdException w:uiPriority="70" w:name="Dark List Accent 5"/>
    <w:lsdException w:qFormat="1" w:uiPriority="71" w:name="Colorful Shading Accent 5"/>
    <w:lsdException w:qFormat="1" w:uiPriority="72" w:name="Colorful List Accent 5"/>
    <w:lsdException w:qFormat="1" w:uiPriority="73" w:name="Colorful Grid Accent 5"/>
    <w:lsdException w:qFormat="1" w:uiPriority="60" w:name="Light Shading Accent 6"/>
    <w:lsdException w:qFormat="1" w:uiPriority="61" w:name="Light List Accent 6"/>
    <w:lsdException w:qFormat="1" w:uiPriority="62" w:name="Light Grid Accent 6"/>
    <w:lsdException w:qFormat="1" w:uiPriority="63" w:name="Medium Shading 1 Accent 6"/>
    <w:lsdException w:uiPriority="64" w:name="Medium Shading 2 Accent 6"/>
    <w:lsdException w:qFormat="1" w:uiPriority="65" w:name="Medium List 1 Accent 6"/>
    <w:lsdException w:qFormat="1" w:uiPriority="66" w:name="Medium List 2 Accent 6"/>
    <w:lsdException w:qFormat="1" w:uiPriority="67" w:name="Medium Grid 1 Accent 6"/>
    <w:lsdException w:qFormat="1" w:uiPriority="68" w:name="Medium Grid 2 Accent 6"/>
    <w:lsdException w:qFormat="1" w:uiPriority="69" w:name="Medium Grid 3 Accent 6"/>
    <w:lsdException w:qFormat="1" w:uiPriority="70" w:name="Dark List Accent 6"/>
    <w:lsdException w:qFormat="1" w:uiPriority="71" w:name="Colorful Shading Accent 6"/>
    <w:lsdException w:qFormat="1" w:uiPriority="72" w:name="Colorful List Accent 6"/>
    <w:lsdException w:qFormat="1"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GB" w:eastAsia="en-US" w:bidi="ar-SA"/>
    </w:rPr>
  </w:style>
  <w:style w:type="paragraph" w:styleId="3">
    <w:name w:val="heading 1"/>
    <w:basedOn w:val="1"/>
    <w:next w:val="1"/>
    <w:link w:val="261"/>
    <w:qFormat/>
    <w:uiPriority w:val="0"/>
    <w:pPr>
      <w:keepNext/>
      <w:keepLines/>
      <w:spacing w:before="240"/>
      <w:outlineLvl w:val="0"/>
    </w:pPr>
    <w:rPr>
      <w:rFonts w:asciiTheme="majorHAnsi" w:hAnsiTheme="majorHAnsi" w:eastAsiaTheme="majorEastAsia" w:cstheme="majorBidi"/>
      <w:color w:val="376092" w:themeColor="accent1" w:themeShade="BF"/>
      <w:sz w:val="32"/>
      <w:szCs w:val="32"/>
    </w:rPr>
  </w:style>
  <w:style w:type="paragraph" w:styleId="4">
    <w:name w:val="heading 2"/>
    <w:basedOn w:val="1"/>
    <w:next w:val="1"/>
    <w:link w:val="262"/>
    <w:semiHidden/>
    <w:unhideWhenUsed/>
    <w:qFormat/>
    <w:uiPriority w:val="0"/>
    <w:pPr>
      <w:keepNext/>
      <w:keepLines/>
      <w:spacing w:before="40"/>
      <w:outlineLvl w:val="1"/>
    </w:pPr>
    <w:rPr>
      <w:rFonts w:asciiTheme="majorHAnsi" w:hAnsiTheme="majorHAnsi" w:eastAsiaTheme="majorEastAsia" w:cstheme="majorBidi"/>
      <w:color w:val="376092" w:themeColor="accent1" w:themeShade="BF"/>
      <w:sz w:val="26"/>
      <w:szCs w:val="26"/>
    </w:rPr>
  </w:style>
  <w:style w:type="paragraph" w:styleId="5">
    <w:name w:val="heading 3"/>
    <w:basedOn w:val="1"/>
    <w:next w:val="1"/>
    <w:link w:val="263"/>
    <w:semiHidden/>
    <w:unhideWhenUsed/>
    <w:qFormat/>
    <w:uiPriority w:val="0"/>
    <w:pPr>
      <w:keepNext/>
      <w:keepLines/>
      <w:spacing w:before="40"/>
      <w:outlineLvl w:val="2"/>
    </w:pPr>
    <w:rPr>
      <w:rFonts w:asciiTheme="majorHAnsi" w:hAnsiTheme="majorHAnsi" w:eastAsiaTheme="majorEastAsia" w:cstheme="majorBidi"/>
      <w:color w:val="254061" w:themeColor="accent1" w:themeShade="80"/>
    </w:rPr>
  </w:style>
  <w:style w:type="paragraph" w:styleId="6">
    <w:name w:val="heading 4"/>
    <w:basedOn w:val="1"/>
    <w:next w:val="1"/>
    <w:link w:val="264"/>
    <w:semiHidden/>
    <w:unhideWhenUsed/>
    <w:qFormat/>
    <w:uiPriority w:val="0"/>
    <w:pPr>
      <w:keepNext/>
      <w:keepLines/>
      <w:spacing w:before="40"/>
      <w:outlineLvl w:val="3"/>
    </w:pPr>
    <w:rPr>
      <w:rFonts w:asciiTheme="majorHAnsi" w:hAnsiTheme="majorHAnsi" w:eastAsiaTheme="majorEastAsia" w:cstheme="majorBidi"/>
      <w:i/>
      <w:iCs/>
      <w:color w:val="376092" w:themeColor="accent1" w:themeShade="BF"/>
    </w:rPr>
  </w:style>
  <w:style w:type="paragraph" w:styleId="7">
    <w:name w:val="heading 5"/>
    <w:basedOn w:val="1"/>
    <w:next w:val="1"/>
    <w:link w:val="265"/>
    <w:semiHidden/>
    <w:unhideWhenUsed/>
    <w:qFormat/>
    <w:uiPriority w:val="0"/>
    <w:pPr>
      <w:keepNext/>
      <w:keepLines/>
      <w:spacing w:before="40"/>
      <w:outlineLvl w:val="4"/>
    </w:pPr>
    <w:rPr>
      <w:rFonts w:asciiTheme="majorHAnsi" w:hAnsiTheme="majorHAnsi" w:eastAsiaTheme="majorEastAsia" w:cstheme="majorBidi"/>
      <w:color w:val="376092" w:themeColor="accent1" w:themeShade="BF"/>
    </w:rPr>
  </w:style>
  <w:style w:type="paragraph" w:styleId="8">
    <w:name w:val="heading 6"/>
    <w:basedOn w:val="1"/>
    <w:next w:val="1"/>
    <w:link w:val="266"/>
    <w:semiHidden/>
    <w:unhideWhenUsed/>
    <w:qFormat/>
    <w:uiPriority w:val="0"/>
    <w:pPr>
      <w:keepNext/>
      <w:keepLines/>
      <w:spacing w:before="40"/>
      <w:outlineLvl w:val="5"/>
    </w:pPr>
    <w:rPr>
      <w:rFonts w:asciiTheme="majorHAnsi" w:hAnsiTheme="majorHAnsi" w:eastAsiaTheme="majorEastAsia" w:cstheme="majorBidi"/>
      <w:color w:val="254061" w:themeColor="accent1" w:themeShade="80"/>
    </w:rPr>
  </w:style>
  <w:style w:type="paragraph" w:styleId="9">
    <w:name w:val="heading 7"/>
    <w:basedOn w:val="1"/>
    <w:next w:val="1"/>
    <w:link w:val="267"/>
    <w:semiHidden/>
    <w:unhideWhenUsed/>
    <w:qFormat/>
    <w:uiPriority w:val="0"/>
    <w:pPr>
      <w:keepNext/>
      <w:keepLines/>
      <w:spacing w:before="40"/>
      <w:outlineLvl w:val="6"/>
    </w:pPr>
    <w:rPr>
      <w:rFonts w:asciiTheme="majorHAnsi" w:hAnsiTheme="majorHAnsi" w:eastAsiaTheme="majorEastAsia" w:cstheme="majorBidi"/>
      <w:i/>
      <w:iCs/>
      <w:color w:val="254061" w:themeColor="accent1" w:themeShade="80"/>
    </w:rPr>
  </w:style>
  <w:style w:type="paragraph" w:styleId="10">
    <w:name w:val="heading 8"/>
    <w:basedOn w:val="1"/>
    <w:next w:val="1"/>
    <w:link w:val="268"/>
    <w:semiHidden/>
    <w:unhideWhenUsed/>
    <w:qFormat/>
    <w:uiPriority w:val="0"/>
    <w:pPr>
      <w:keepNext/>
      <w:keepLines/>
      <w:spacing w:before="4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1">
    <w:name w:val="heading 9"/>
    <w:basedOn w:val="1"/>
    <w:next w:val="1"/>
    <w:link w:val="269"/>
    <w:semiHidden/>
    <w:unhideWhenUsed/>
    <w:qFormat/>
    <w:uiPriority w:val="0"/>
    <w:pPr>
      <w:keepNext/>
      <w:keepLines/>
      <w:spacing w:before="4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231">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391"/>
    <w:qFormat/>
    <w:uiPriority w:val="0"/>
    <w:pPr>
      <w:tabs>
        <w:tab w:val="left" w:pos="480"/>
        <w:tab w:val="left" w:pos="960"/>
        <w:tab w:val="left" w:pos="1440"/>
        <w:tab w:val="left" w:pos="1920"/>
        <w:tab w:val="left" w:pos="2400"/>
        <w:tab w:val="left" w:pos="2880"/>
        <w:tab w:val="left" w:pos="3360"/>
        <w:tab w:val="left" w:pos="3840"/>
        <w:tab w:val="left" w:pos="4320"/>
      </w:tabs>
    </w:pPr>
    <w:rPr>
      <w:rFonts w:ascii="Consolas" w:hAnsi="Consolas" w:cs="Times New Roman" w:eastAsiaTheme="minorEastAsia"/>
      <w:lang w:val="en-GB" w:eastAsia="en-US" w:bidi="ar-SA"/>
    </w:rPr>
  </w:style>
  <w:style w:type="paragraph" w:styleId="12">
    <w:name w:val="List 3"/>
    <w:basedOn w:val="1"/>
    <w:semiHidden/>
    <w:unhideWhenUsed/>
    <w:qFormat/>
    <w:uiPriority w:val="0"/>
    <w:pPr>
      <w:ind w:left="1080" w:hanging="360"/>
      <w:contextualSpacing/>
    </w:pPr>
  </w:style>
  <w:style w:type="paragraph" w:styleId="13">
    <w:name w:val="toc 7"/>
    <w:basedOn w:val="1"/>
    <w:next w:val="1"/>
    <w:semiHidden/>
    <w:unhideWhenUsed/>
    <w:qFormat/>
    <w:uiPriority w:val="0"/>
    <w:pPr>
      <w:spacing w:after="100"/>
      <w:ind w:left="1440"/>
    </w:pPr>
  </w:style>
  <w:style w:type="paragraph" w:styleId="14">
    <w:name w:val="List Number 2"/>
    <w:basedOn w:val="1"/>
    <w:semiHidden/>
    <w:unhideWhenUsed/>
    <w:qFormat/>
    <w:uiPriority w:val="0"/>
    <w:pPr>
      <w:numPr>
        <w:ilvl w:val="0"/>
        <w:numId w:val="1"/>
      </w:numPr>
      <w:contextualSpacing/>
    </w:pPr>
  </w:style>
  <w:style w:type="paragraph" w:styleId="15">
    <w:name w:val="table of authorities"/>
    <w:basedOn w:val="1"/>
    <w:next w:val="1"/>
    <w:semiHidden/>
    <w:unhideWhenUsed/>
    <w:qFormat/>
    <w:uiPriority w:val="0"/>
    <w:pPr>
      <w:ind w:left="240" w:hanging="240"/>
    </w:pPr>
  </w:style>
  <w:style w:type="paragraph" w:styleId="16">
    <w:name w:val="Note Heading"/>
    <w:basedOn w:val="1"/>
    <w:next w:val="1"/>
    <w:link w:val="395"/>
    <w:semiHidden/>
    <w:unhideWhenUsed/>
    <w:qFormat/>
    <w:uiPriority w:val="0"/>
  </w:style>
  <w:style w:type="paragraph" w:styleId="17">
    <w:name w:val="List Bullet 4"/>
    <w:basedOn w:val="1"/>
    <w:semiHidden/>
    <w:unhideWhenUsed/>
    <w:qFormat/>
    <w:uiPriority w:val="0"/>
    <w:pPr>
      <w:numPr>
        <w:ilvl w:val="0"/>
        <w:numId w:val="2"/>
      </w:numPr>
      <w:contextualSpacing/>
    </w:pPr>
  </w:style>
  <w:style w:type="paragraph" w:styleId="18">
    <w:name w:val="index 8"/>
    <w:basedOn w:val="1"/>
    <w:next w:val="1"/>
    <w:semiHidden/>
    <w:unhideWhenUsed/>
    <w:uiPriority w:val="0"/>
    <w:pPr>
      <w:ind w:left="1920" w:hanging="240"/>
    </w:pPr>
  </w:style>
  <w:style w:type="paragraph" w:styleId="19">
    <w:name w:val="E-mail Signature"/>
    <w:basedOn w:val="1"/>
    <w:link w:val="283"/>
    <w:semiHidden/>
    <w:unhideWhenUsed/>
    <w:qFormat/>
    <w:uiPriority w:val="0"/>
  </w:style>
  <w:style w:type="paragraph" w:styleId="20">
    <w:name w:val="List Number"/>
    <w:basedOn w:val="1"/>
    <w:qFormat/>
    <w:uiPriority w:val="0"/>
    <w:pPr>
      <w:numPr>
        <w:ilvl w:val="0"/>
        <w:numId w:val="3"/>
      </w:numPr>
      <w:contextualSpacing/>
    </w:pPr>
  </w:style>
  <w:style w:type="paragraph" w:styleId="21">
    <w:name w:val="Normal Indent"/>
    <w:basedOn w:val="1"/>
    <w:semiHidden/>
    <w:unhideWhenUsed/>
    <w:qFormat/>
    <w:uiPriority w:val="0"/>
    <w:pPr>
      <w:ind w:left="720"/>
    </w:pPr>
  </w:style>
  <w:style w:type="paragraph" w:styleId="22">
    <w:name w:val="caption"/>
    <w:basedOn w:val="1"/>
    <w:next w:val="1"/>
    <w:semiHidden/>
    <w:unhideWhenUsed/>
    <w:qFormat/>
    <w:uiPriority w:val="0"/>
    <w:pPr>
      <w:spacing w:after="200"/>
    </w:pPr>
    <w:rPr>
      <w:i/>
      <w:iCs/>
      <w:color w:val="1F497D" w:themeColor="text2"/>
      <w:sz w:val="18"/>
      <w:szCs w:val="18"/>
      <w14:textFill>
        <w14:solidFill>
          <w14:schemeClr w14:val="tx2"/>
        </w14:solidFill>
      </w14:textFill>
    </w:rPr>
  </w:style>
  <w:style w:type="paragraph" w:styleId="23">
    <w:name w:val="index 5"/>
    <w:basedOn w:val="1"/>
    <w:next w:val="1"/>
    <w:semiHidden/>
    <w:unhideWhenUsed/>
    <w:qFormat/>
    <w:uiPriority w:val="0"/>
    <w:pPr>
      <w:ind w:left="1200" w:hanging="240"/>
    </w:pPr>
  </w:style>
  <w:style w:type="paragraph" w:styleId="24">
    <w:name w:val="List Bullet"/>
    <w:basedOn w:val="1"/>
    <w:qFormat/>
    <w:uiPriority w:val="0"/>
    <w:pPr>
      <w:numPr>
        <w:ilvl w:val="0"/>
        <w:numId w:val="4"/>
      </w:numPr>
      <w:contextualSpacing/>
    </w:pPr>
  </w:style>
  <w:style w:type="paragraph" w:styleId="25">
    <w:name w:val="envelope address"/>
    <w:basedOn w:val="1"/>
    <w:semiHidden/>
    <w:unhideWhenUsed/>
    <w:qFormat/>
    <w:uiPriority w:val="0"/>
    <w:pPr>
      <w:framePr w:w="7920" w:h="1980" w:hRule="exact" w:hSpace="180" w:wrap="auto" w:vAnchor="margin" w:hAnchor="page" w:xAlign="center" w:yAlign="bottom"/>
      <w:ind w:left="2880"/>
    </w:pPr>
    <w:rPr>
      <w:rFonts w:asciiTheme="majorHAnsi" w:hAnsiTheme="majorHAnsi" w:eastAsiaTheme="majorEastAsia" w:cstheme="majorBidi"/>
    </w:rPr>
  </w:style>
  <w:style w:type="paragraph" w:styleId="26">
    <w:name w:val="Document Map"/>
    <w:basedOn w:val="1"/>
    <w:link w:val="282"/>
    <w:semiHidden/>
    <w:unhideWhenUsed/>
    <w:uiPriority w:val="0"/>
    <w:rPr>
      <w:rFonts w:ascii="Segoe UI" w:hAnsi="Segoe UI" w:cs="Segoe UI"/>
      <w:sz w:val="16"/>
      <w:szCs w:val="16"/>
    </w:rPr>
  </w:style>
  <w:style w:type="paragraph" w:styleId="27">
    <w:name w:val="toa heading"/>
    <w:basedOn w:val="1"/>
    <w:next w:val="1"/>
    <w:semiHidden/>
    <w:unhideWhenUsed/>
    <w:qFormat/>
    <w:uiPriority w:val="0"/>
    <w:pPr>
      <w:spacing w:before="120"/>
    </w:pPr>
    <w:rPr>
      <w:rFonts w:asciiTheme="majorHAnsi" w:hAnsiTheme="majorHAnsi" w:eastAsiaTheme="majorEastAsia" w:cstheme="majorBidi"/>
      <w:b/>
      <w:bCs/>
    </w:rPr>
  </w:style>
  <w:style w:type="paragraph" w:styleId="28">
    <w:name w:val="annotation text"/>
    <w:basedOn w:val="1"/>
    <w:link w:val="250"/>
    <w:qFormat/>
    <w:uiPriority w:val="0"/>
    <w:rPr>
      <w:rFonts w:ascii="Tahoma" w:hAnsi="Tahoma" w:cs="Tahoma"/>
      <w:sz w:val="16"/>
      <w:szCs w:val="20"/>
      <w:lang w:val="en-US"/>
    </w:rPr>
  </w:style>
  <w:style w:type="paragraph" w:styleId="29">
    <w:name w:val="index 6"/>
    <w:basedOn w:val="1"/>
    <w:next w:val="1"/>
    <w:semiHidden/>
    <w:unhideWhenUsed/>
    <w:qFormat/>
    <w:uiPriority w:val="0"/>
    <w:pPr>
      <w:ind w:left="1440" w:hanging="240"/>
    </w:pPr>
  </w:style>
  <w:style w:type="paragraph" w:styleId="30">
    <w:name w:val="Salutation"/>
    <w:basedOn w:val="1"/>
    <w:next w:val="1"/>
    <w:link w:val="405"/>
    <w:semiHidden/>
    <w:unhideWhenUsed/>
    <w:qFormat/>
    <w:uiPriority w:val="0"/>
  </w:style>
  <w:style w:type="paragraph" w:styleId="31">
    <w:name w:val="Body Text 3"/>
    <w:basedOn w:val="1"/>
    <w:link w:val="273"/>
    <w:semiHidden/>
    <w:unhideWhenUsed/>
    <w:uiPriority w:val="0"/>
    <w:pPr>
      <w:spacing w:after="120"/>
    </w:pPr>
    <w:rPr>
      <w:sz w:val="16"/>
      <w:szCs w:val="16"/>
    </w:rPr>
  </w:style>
  <w:style w:type="paragraph" w:styleId="32">
    <w:name w:val="Closing"/>
    <w:basedOn w:val="1"/>
    <w:link w:val="280"/>
    <w:semiHidden/>
    <w:unhideWhenUsed/>
    <w:qFormat/>
    <w:uiPriority w:val="0"/>
    <w:pPr>
      <w:ind w:left="4320"/>
    </w:pPr>
  </w:style>
  <w:style w:type="paragraph" w:styleId="33">
    <w:name w:val="List Bullet 3"/>
    <w:basedOn w:val="1"/>
    <w:semiHidden/>
    <w:unhideWhenUsed/>
    <w:qFormat/>
    <w:uiPriority w:val="0"/>
    <w:pPr>
      <w:numPr>
        <w:ilvl w:val="0"/>
        <w:numId w:val="5"/>
      </w:numPr>
      <w:contextualSpacing/>
    </w:pPr>
  </w:style>
  <w:style w:type="paragraph" w:styleId="34">
    <w:name w:val="Body Text"/>
    <w:basedOn w:val="1"/>
    <w:link w:val="271"/>
    <w:semiHidden/>
    <w:unhideWhenUsed/>
    <w:qFormat/>
    <w:uiPriority w:val="0"/>
    <w:pPr>
      <w:spacing w:after="120"/>
    </w:pPr>
  </w:style>
  <w:style w:type="paragraph" w:styleId="35">
    <w:name w:val="Body Text Indent"/>
    <w:basedOn w:val="1"/>
    <w:link w:val="275"/>
    <w:semiHidden/>
    <w:unhideWhenUsed/>
    <w:qFormat/>
    <w:uiPriority w:val="0"/>
    <w:pPr>
      <w:spacing w:after="120"/>
      <w:ind w:left="360"/>
    </w:pPr>
  </w:style>
  <w:style w:type="paragraph" w:styleId="36">
    <w:name w:val="List Number 3"/>
    <w:basedOn w:val="1"/>
    <w:semiHidden/>
    <w:unhideWhenUsed/>
    <w:uiPriority w:val="0"/>
    <w:pPr>
      <w:numPr>
        <w:ilvl w:val="0"/>
        <w:numId w:val="6"/>
      </w:numPr>
      <w:contextualSpacing/>
    </w:pPr>
  </w:style>
  <w:style w:type="paragraph" w:styleId="37">
    <w:name w:val="List 2"/>
    <w:basedOn w:val="1"/>
    <w:semiHidden/>
    <w:unhideWhenUsed/>
    <w:qFormat/>
    <w:uiPriority w:val="0"/>
    <w:pPr>
      <w:ind w:left="720" w:hanging="360"/>
      <w:contextualSpacing/>
    </w:pPr>
  </w:style>
  <w:style w:type="paragraph" w:styleId="38">
    <w:name w:val="List Continue"/>
    <w:basedOn w:val="1"/>
    <w:semiHidden/>
    <w:unhideWhenUsed/>
    <w:uiPriority w:val="0"/>
    <w:pPr>
      <w:spacing w:after="120"/>
      <w:ind w:left="360"/>
      <w:contextualSpacing/>
    </w:pPr>
  </w:style>
  <w:style w:type="paragraph" w:styleId="39">
    <w:name w:val="Block Text"/>
    <w:basedOn w:val="1"/>
    <w:semiHidden/>
    <w:unhideWhenUsed/>
    <w:qFormat/>
    <w:uiPriority w:val="0"/>
    <w:pPr>
      <w:pBdr>
        <w:top w:val="single" w:color="4F81BD" w:themeColor="accent1" w:sz="2" w:space="10"/>
        <w:left w:val="single" w:color="4F81BD" w:themeColor="accent1" w:sz="2" w:space="10"/>
        <w:bottom w:val="single" w:color="4F81BD" w:themeColor="accent1" w:sz="2" w:space="10"/>
        <w:right w:val="single" w:color="4F81BD" w:themeColor="accent1" w:sz="2" w:space="10"/>
      </w:pBdr>
      <w:ind w:left="1152" w:right="1152"/>
    </w:pPr>
    <w:rPr>
      <w:rFonts w:asciiTheme="minorHAnsi" w:hAnsiTheme="minorHAnsi" w:cstheme="minorBidi"/>
      <w:i/>
      <w:iCs/>
      <w:color w:val="4F81BD" w:themeColor="accent1"/>
      <w14:textFill>
        <w14:solidFill>
          <w14:schemeClr w14:val="accent1"/>
        </w14:solidFill>
      </w14:textFill>
    </w:rPr>
  </w:style>
  <w:style w:type="paragraph" w:styleId="40">
    <w:name w:val="List Bullet 2"/>
    <w:basedOn w:val="1"/>
    <w:semiHidden/>
    <w:unhideWhenUsed/>
    <w:uiPriority w:val="0"/>
    <w:pPr>
      <w:numPr>
        <w:ilvl w:val="0"/>
        <w:numId w:val="7"/>
      </w:numPr>
      <w:contextualSpacing/>
    </w:pPr>
  </w:style>
  <w:style w:type="paragraph" w:styleId="41">
    <w:name w:val="HTML Address"/>
    <w:basedOn w:val="1"/>
    <w:link w:val="336"/>
    <w:semiHidden/>
    <w:unhideWhenUsed/>
    <w:uiPriority w:val="0"/>
    <w:rPr>
      <w:i/>
      <w:iCs/>
    </w:rPr>
  </w:style>
  <w:style w:type="paragraph" w:styleId="42">
    <w:name w:val="index 4"/>
    <w:basedOn w:val="1"/>
    <w:next w:val="1"/>
    <w:semiHidden/>
    <w:unhideWhenUsed/>
    <w:qFormat/>
    <w:uiPriority w:val="0"/>
    <w:pPr>
      <w:ind w:left="960" w:hanging="240"/>
    </w:pPr>
  </w:style>
  <w:style w:type="paragraph" w:styleId="43">
    <w:name w:val="toc 5"/>
    <w:basedOn w:val="1"/>
    <w:next w:val="1"/>
    <w:semiHidden/>
    <w:unhideWhenUsed/>
    <w:qFormat/>
    <w:uiPriority w:val="0"/>
    <w:pPr>
      <w:spacing w:after="100"/>
      <w:ind w:left="960"/>
    </w:pPr>
  </w:style>
  <w:style w:type="paragraph" w:styleId="44">
    <w:name w:val="toc 3"/>
    <w:basedOn w:val="1"/>
    <w:next w:val="1"/>
    <w:semiHidden/>
    <w:unhideWhenUsed/>
    <w:uiPriority w:val="0"/>
    <w:pPr>
      <w:spacing w:after="100"/>
      <w:ind w:left="480"/>
    </w:pPr>
  </w:style>
  <w:style w:type="paragraph" w:styleId="45">
    <w:name w:val="Plain Text"/>
    <w:basedOn w:val="1"/>
    <w:link w:val="402"/>
    <w:semiHidden/>
    <w:unhideWhenUsed/>
    <w:qFormat/>
    <w:uiPriority w:val="0"/>
    <w:rPr>
      <w:rFonts w:ascii="Consolas" w:hAnsi="Consolas"/>
      <w:sz w:val="21"/>
      <w:szCs w:val="21"/>
    </w:rPr>
  </w:style>
  <w:style w:type="paragraph" w:styleId="46">
    <w:name w:val="List Bullet 5"/>
    <w:basedOn w:val="1"/>
    <w:semiHidden/>
    <w:unhideWhenUsed/>
    <w:uiPriority w:val="0"/>
    <w:pPr>
      <w:numPr>
        <w:ilvl w:val="0"/>
        <w:numId w:val="8"/>
      </w:numPr>
      <w:contextualSpacing/>
    </w:pPr>
  </w:style>
  <w:style w:type="paragraph" w:styleId="47">
    <w:name w:val="List Number 4"/>
    <w:basedOn w:val="1"/>
    <w:semiHidden/>
    <w:unhideWhenUsed/>
    <w:qFormat/>
    <w:uiPriority w:val="0"/>
    <w:pPr>
      <w:numPr>
        <w:ilvl w:val="0"/>
        <w:numId w:val="9"/>
      </w:numPr>
      <w:contextualSpacing/>
    </w:pPr>
  </w:style>
  <w:style w:type="paragraph" w:styleId="48">
    <w:name w:val="toc 8"/>
    <w:basedOn w:val="1"/>
    <w:next w:val="1"/>
    <w:semiHidden/>
    <w:unhideWhenUsed/>
    <w:qFormat/>
    <w:uiPriority w:val="0"/>
    <w:pPr>
      <w:spacing w:after="100"/>
      <w:ind w:left="1680"/>
    </w:pPr>
  </w:style>
  <w:style w:type="paragraph" w:styleId="49">
    <w:name w:val="index 3"/>
    <w:basedOn w:val="1"/>
    <w:next w:val="1"/>
    <w:semiHidden/>
    <w:unhideWhenUsed/>
    <w:qFormat/>
    <w:uiPriority w:val="0"/>
    <w:pPr>
      <w:ind w:left="720" w:hanging="240"/>
    </w:pPr>
  </w:style>
  <w:style w:type="paragraph" w:styleId="50">
    <w:name w:val="Date"/>
    <w:basedOn w:val="1"/>
    <w:next w:val="1"/>
    <w:link w:val="281"/>
    <w:semiHidden/>
    <w:unhideWhenUsed/>
    <w:qFormat/>
    <w:uiPriority w:val="0"/>
  </w:style>
  <w:style w:type="paragraph" w:styleId="51">
    <w:name w:val="Body Text Indent 2"/>
    <w:basedOn w:val="1"/>
    <w:link w:val="277"/>
    <w:semiHidden/>
    <w:unhideWhenUsed/>
    <w:uiPriority w:val="0"/>
    <w:pPr>
      <w:spacing w:after="120" w:line="480" w:lineRule="auto"/>
      <w:ind w:left="360"/>
    </w:pPr>
  </w:style>
  <w:style w:type="paragraph" w:styleId="52">
    <w:name w:val="endnote text"/>
    <w:basedOn w:val="1"/>
    <w:link w:val="284"/>
    <w:semiHidden/>
    <w:unhideWhenUsed/>
    <w:qFormat/>
    <w:uiPriority w:val="0"/>
    <w:rPr>
      <w:sz w:val="20"/>
      <w:szCs w:val="20"/>
    </w:rPr>
  </w:style>
  <w:style w:type="paragraph" w:styleId="53">
    <w:name w:val="List Continue 5"/>
    <w:basedOn w:val="1"/>
    <w:qFormat/>
    <w:uiPriority w:val="0"/>
    <w:pPr>
      <w:spacing w:after="120"/>
      <w:ind w:left="1800"/>
      <w:contextualSpacing/>
    </w:pPr>
  </w:style>
  <w:style w:type="paragraph" w:styleId="54">
    <w:name w:val="Balloon Text"/>
    <w:basedOn w:val="1"/>
    <w:link w:val="252"/>
    <w:uiPriority w:val="0"/>
    <w:rPr>
      <w:rFonts w:ascii="Tahoma" w:hAnsi="Tahoma" w:cs="Tahoma"/>
      <w:sz w:val="16"/>
      <w:szCs w:val="16"/>
      <w:lang w:val="en-US"/>
    </w:rPr>
  </w:style>
  <w:style w:type="paragraph" w:styleId="55">
    <w:name w:val="footer"/>
    <w:basedOn w:val="1"/>
    <w:link w:val="258"/>
    <w:unhideWhenUsed/>
    <w:qFormat/>
    <w:uiPriority w:val="99"/>
    <w:pPr>
      <w:tabs>
        <w:tab w:val="center" w:pos="4153"/>
        <w:tab w:val="right" w:pos="8306"/>
      </w:tabs>
      <w:snapToGrid w:val="0"/>
    </w:pPr>
    <w:rPr>
      <w:sz w:val="18"/>
      <w:szCs w:val="18"/>
    </w:rPr>
  </w:style>
  <w:style w:type="paragraph" w:styleId="56">
    <w:name w:val="envelope return"/>
    <w:basedOn w:val="1"/>
    <w:semiHidden/>
    <w:unhideWhenUsed/>
    <w:qFormat/>
    <w:uiPriority w:val="0"/>
    <w:rPr>
      <w:rFonts w:asciiTheme="majorHAnsi" w:hAnsiTheme="majorHAnsi" w:eastAsiaTheme="majorEastAsia" w:cstheme="majorBidi"/>
      <w:sz w:val="20"/>
      <w:szCs w:val="20"/>
    </w:rPr>
  </w:style>
  <w:style w:type="paragraph" w:styleId="57">
    <w:name w:val="header"/>
    <w:basedOn w:val="1"/>
    <w:link w:val="257"/>
    <w:unhideWhenUsed/>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link w:val="406"/>
    <w:semiHidden/>
    <w:unhideWhenUsed/>
    <w:qFormat/>
    <w:uiPriority w:val="0"/>
    <w:pPr>
      <w:ind w:left="4320"/>
    </w:pPr>
  </w:style>
  <w:style w:type="paragraph" w:styleId="59">
    <w:name w:val="toc 1"/>
    <w:basedOn w:val="1"/>
    <w:next w:val="1"/>
    <w:semiHidden/>
    <w:unhideWhenUsed/>
    <w:qFormat/>
    <w:uiPriority w:val="0"/>
    <w:pPr>
      <w:spacing w:after="100"/>
    </w:pPr>
  </w:style>
  <w:style w:type="paragraph" w:styleId="60">
    <w:name w:val="List Continue 4"/>
    <w:basedOn w:val="1"/>
    <w:qFormat/>
    <w:uiPriority w:val="0"/>
    <w:pPr>
      <w:spacing w:after="120"/>
      <w:ind w:left="1440"/>
      <w:contextualSpacing/>
    </w:pPr>
  </w:style>
  <w:style w:type="paragraph" w:styleId="61">
    <w:name w:val="toc 4"/>
    <w:basedOn w:val="1"/>
    <w:next w:val="1"/>
    <w:semiHidden/>
    <w:unhideWhenUsed/>
    <w:qFormat/>
    <w:uiPriority w:val="0"/>
    <w:pPr>
      <w:spacing w:after="100"/>
      <w:ind w:left="720"/>
    </w:pPr>
  </w:style>
  <w:style w:type="paragraph" w:styleId="62">
    <w:name w:val="index heading"/>
    <w:basedOn w:val="1"/>
    <w:next w:val="63"/>
    <w:semiHidden/>
    <w:unhideWhenUsed/>
    <w:qFormat/>
    <w:uiPriority w:val="0"/>
    <w:rPr>
      <w:rFonts w:asciiTheme="majorHAnsi" w:hAnsiTheme="majorHAnsi" w:eastAsiaTheme="majorEastAsia" w:cstheme="majorBidi"/>
      <w:b/>
      <w:bCs/>
    </w:rPr>
  </w:style>
  <w:style w:type="paragraph" w:styleId="63">
    <w:name w:val="index 1"/>
    <w:basedOn w:val="1"/>
    <w:next w:val="1"/>
    <w:semiHidden/>
    <w:unhideWhenUsed/>
    <w:qFormat/>
    <w:uiPriority w:val="0"/>
    <w:pPr>
      <w:ind w:left="240" w:hanging="240"/>
    </w:pPr>
  </w:style>
  <w:style w:type="paragraph" w:styleId="64">
    <w:name w:val="Subtitle"/>
    <w:basedOn w:val="1"/>
    <w:next w:val="1"/>
    <w:link w:val="409"/>
    <w:qFormat/>
    <w:uiPriority w:val="0"/>
    <w:pPr>
      <w:spacing w:after="160"/>
    </w:pPr>
    <w:rPr>
      <w:rFonts w:asciiTheme="minorHAnsi" w:hAnsiTheme="minorHAnsi" w:cstheme="minorBidi"/>
      <w:color w:val="595959" w:themeColor="text1" w:themeTint="A6"/>
      <w:spacing w:val="15"/>
      <w:sz w:val="22"/>
      <w:szCs w:val="22"/>
      <w14:textFill>
        <w14:solidFill>
          <w14:schemeClr w14:val="tx1">
            <w14:lumMod w14:val="65000"/>
            <w14:lumOff w14:val="35000"/>
          </w14:schemeClr>
        </w14:solidFill>
      </w14:textFill>
    </w:rPr>
  </w:style>
  <w:style w:type="paragraph" w:styleId="65">
    <w:name w:val="List Number 5"/>
    <w:basedOn w:val="1"/>
    <w:semiHidden/>
    <w:unhideWhenUsed/>
    <w:qFormat/>
    <w:uiPriority w:val="0"/>
    <w:pPr>
      <w:numPr>
        <w:ilvl w:val="0"/>
        <w:numId w:val="10"/>
      </w:numPr>
      <w:contextualSpacing/>
    </w:pPr>
  </w:style>
  <w:style w:type="paragraph" w:styleId="66">
    <w:name w:val="List"/>
    <w:basedOn w:val="1"/>
    <w:semiHidden/>
    <w:unhideWhenUsed/>
    <w:qFormat/>
    <w:uiPriority w:val="0"/>
    <w:pPr>
      <w:ind w:left="360" w:hanging="360"/>
      <w:contextualSpacing/>
    </w:pPr>
  </w:style>
  <w:style w:type="paragraph" w:styleId="67">
    <w:name w:val="footnote text"/>
    <w:basedOn w:val="1"/>
    <w:link w:val="285"/>
    <w:semiHidden/>
    <w:unhideWhenUsed/>
    <w:qFormat/>
    <w:uiPriority w:val="0"/>
    <w:rPr>
      <w:sz w:val="20"/>
      <w:szCs w:val="20"/>
    </w:rPr>
  </w:style>
  <w:style w:type="paragraph" w:styleId="68">
    <w:name w:val="toc 6"/>
    <w:basedOn w:val="1"/>
    <w:next w:val="1"/>
    <w:semiHidden/>
    <w:unhideWhenUsed/>
    <w:qFormat/>
    <w:uiPriority w:val="0"/>
    <w:pPr>
      <w:spacing w:after="100"/>
      <w:ind w:left="1200"/>
    </w:pPr>
  </w:style>
  <w:style w:type="paragraph" w:styleId="69">
    <w:name w:val="List 5"/>
    <w:basedOn w:val="1"/>
    <w:semiHidden/>
    <w:unhideWhenUsed/>
    <w:uiPriority w:val="0"/>
    <w:pPr>
      <w:ind w:left="1800" w:hanging="360"/>
      <w:contextualSpacing/>
    </w:pPr>
  </w:style>
  <w:style w:type="paragraph" w:styleId="70">
    <w:name w:val="Body Text Indent 3"/>
    <w:basedOn w:val="1"/>
    <w:link w:val="278"/>
    <w:semiHidden/>
    <w:unhideWhenUsed/>
    <w:qFormat/>
    <w:uiPriority w:val="0"/>
    <w:pPr>
      <w:spacing w:after="120"/>
      <w:ind w:left="360"/>
    </w:pPr>
    <w:rPr>
      <w:sz w:val="16"/>
      <w:szCs w:val="16"/>
    </w:rPr>
  </w:style>
  <w:style w:type="paragraph" w:styleId="71">
    <w:name w:val="index 7"/>
    <w:basedOn w:val="1"/>
    <w:next w:val="1"/>
    <w:semiHidden/>
    <w:unhideWhenUsed/>
    <w:qFormat/>
    <w:uiPriority w:val="0"/>
    <w:pPr>
      <w:ind w:left="1680" w:hanging="240"/>
    </w:pPr>
  </w:style>
  <w:style w:type="paragraph" w:styleId="72">
    <w:name w:val="index 9"/>
    <w:basedOn w:val="1"/>
    <w:next w:val="1"/>
    <w:semiHidden/>
    <w:unhideWhenUsed/>
    <w:qFormat/>
    <w:uiPriority w:val="0"/>
    <w:pPr>
      <w:ind w:left="2160" w:hanging="240"/>
    </w:pPr>
  </w:style>
  <w:style w:type="paragraph" w:styleId="73">
    <w:name w:val="table of figures"/>
    <w:basedOn w:val="1"/>
    <w:next w:val="1"/>
    <w:semiHidden/>
    <w:unhideWhenUsed/>
    <w:qFormat/>
    <w:uiPriority w:val="0"/>
  </w:style>
  <w:style w:type="paragraph" w:styleId="74">
    <w:name w:val="toc 2"/>
    <w:basedOn w:val="1"/>
    <w:next w:val="1"/>
    <w:semiHidden/>
    <w:unhideWhenUsed/>
    <w:qFormat/>
    <w:uiPriority w:val="0"/>
    <w:pPr>
      <w:spacing w:after="100"/>
      <w:ind w:left="240"/>
    </w:pPr>
  </w:style>
  <w:style w:type="paragraph" w:styleId="75">
    <w:name w:val="toc 9"/>
    <w:basedOn w:val="1"/>
    <w:next w:val="1"/>
    <w:semiHidden/>
    <w:unhideWhenUsed/>
    <w:qFormat/>
    <w:uiPriority w:val="0"/>
    <w:pPr>
      <w:spacing w:after="100"/>
      <w:ind w:left="1920"/>
    </w:pPr>
  </w:style>
  <w:style w:type="paragraph" w:styleId="76">
    <w:name w:val="Body Text 2"/>
    <w:basedOn w:val="1"/>
    <w:link w:val="272"/>
    <w:semiHidden/>
    <w:unhideWhenUsed/>
    <w:qFormat/>
    <w:uiPriority w:val="0"/>
    <w:pPr>
      <w:spacing w:after="120" w:line="480" w:lineRule="auto"/>
    </w:pPr>
  </w:style>
  <w:style w:type="paragraph" w:styleId="77">
    <w:name w:val="List 4"/>
    <w:basedOn w:val="1"/>
    <w:semiHidden/>
    <w:unhideWhenUsed/>
    <w:qFormat/>
    <w:uiPriority w:val="0"/>
    <w:pPr>
      <w:ind w:left="1440" w:hanging="360"/>
      <w:contextualSpacing/>
    </w:pPr>
  </w:style>
  <w:style w:type="paragraph" w:styleId="78">
    <w:name w:val="List Continue 2"/>
    <w:basedOn w:val="1"/>
    <w:semiHidden/>
    <w:unhideWhenUsed/>
    <w:qFormat/>
    <w:uiPriority w:val="0"/>
    <w:pPr>
      <w:spacing w:after="120"/>
      <w:ind w:left="720"/>
      <w:contextualSpacing/>
    </w:pPr>
  </w:style>
  <w:style w:type="paragraph" w:styleId="79">
    <w:name w:val="Message Header"/>
    <w:basedOn w:val="1"/>
    <w:link w:val="393"/>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Theme="majorHAnsi" w:hAnsiTheme="majorHAnsi" w:eastAsiaTheme="majorEastAsia" w:cstheme="majorBidi"/>
    </w:rPr>
  </w:style>
  <w:style w:type="paragraph" w:styleId="80">
    <w:name w:val="HTML Preformatted"/>
    <w:basedOn w:val="1"/>
    <w:link w:val="337"/>
    <w:semiHidden/>
    <w:unhideWhenUsed/>
    <w:qFormat/>
    <w:uiPriority w:val="0"/>
    <w:rPr>
      <w:rFonts w:ascii="Consolas" w:hAnsi="Consolas"/>
      <w:sz w:val="20"/>
      <w:szCs w:val="20"/>
    </w:rPr>
  </w:style>
  <w:style w:type="paragraph" w:styleId="81">
    <w:name w:val="Normal (Web)"/>
    <w:basedOn w:val="1"/>
    <w:semiHidden/>
    <w:unhideWhenUsed/>
    <w:qFormat/>
    <w:uiPriority w:val="0"/>
  </w:style>
  <w:style w:type="paragraph" w:styleId="82">
    <w:name w:val="List Continue 3"/>
    <w:basedOn w:val="1"/>
    <w:qFormat/>
    <w:uiPriority w:val="0"/>
    <w:pPr>
      <w:spacing w:after="120"/>
      <w:ind w:left="1080"/>
      <w:contextualSpacing/>
    </w:pPr>
  </w:style>
  <w:style w:type="paragraph" w:styleId="83">
    <w:name w:val="index 2"/>
    <w:basedOn w:val="1"/>
    <w:next w:val="1"/>
    <w:semiHidden/>
    <w:unhideWhenUsed/>
    <w:qFormat/>
    <w:uiPriority w:val="0"/>
    <w:pPr>
      <w:ind w:left="480" w:hanging="240"/>
    </w:pPr>
  </w:style>
  <w:style w:type="paragraph" w:styleId="84">
    <w:name w:val="Title"/>
    <w:basedOn w:val="1"/>
    <w:next w:val="1"/>
    <w:link w:val="413"/>
    <w:qFormat/>
    <w:uiPriority w:val="0"/>
    <w:pPr>
      <w:contextualSpacing/>
    </w:pPr>
    <w:rPr>
      <w:rFonts w:asciiTheme="majorHAnsi" w:hAnsiTheme="majorHAnsi" w:eastAsiaTheme="majorEastAsia" w:cstheme="majorBidi"/>
      <w:spacing w:val="-10"/>
      <w:kern w:val="28"/>
      <w:sz w:val="56"/>
      <w:szCs w:val="56"/>
    </w:rPr>
  </w:style>
  <w:style w:type="paragraph" w:styleId="85">
    <w:name w:val="annotation subject"/>
    <w:basedOn w:val="28"/>
    <w:next w:val="28"/>
    <w:link w:val="251"/>
    <w:qFormat/>
    <w:uiPriority w:val="0"/>
    <w:rPr>
      <w:b/>
      <w:bCs/>
    </w:rPr>
  </w:style>
  <w:style w:type="paragraph" w:styleId="86">
    <w:name w:val="Body Text First Indent"/>
    <w:basedOn w:val="34"/>
    <w:link w:val="274"/>
    <w:semiHidden/>
    <w:unhideWhenUsed/>
    <w:qFormat/>
    <w:uiPriority w:val="0"/>
    <w:pPr>
      <w:spacing w:after="0"/>
      <w:ind w:firstLine="360"/>
    </w:pPr>
  </w:style>
  <w:style w:type="paragraph" w:styleId="87">
    <w:name w:val="Body Text First Indent 2"/>
    <w:basedOn w:val="35"/>
    <w:link w:val="276"/>
    <w:semiHidden/>
    <w:unhideWhenUsed/>
    <w:qFormat/>
    <w:uiPriority w:val="0"/>
    <w:pPr>
      <w:spacing w:after="0"/>
      <w:ind w:firstLine="360"/>
    </w:pPr>
  </w:style>
  <w:style w:type="table" w:styleId="89">
    <w:name w:val="Table Grid"/>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Theme"/>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Colorful 1"/>
    <w:basedOn w:val="88"/>
    <w:semiHidden/>
    <w:unhideWhenUsed/>
    <w:qFormat/>
    <w:uiPriority w:val="0"/>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semiHidden/>
    <w:unhideWhenUsed/>
    <w:qFormat/>
    <w:uiPriority w:val="0"/>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semiHidden/>
    <w:unhideWhenUsed/>
    <w:qFormat/>
    <w:uiPriority w:val="0"/>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semiHidden/>
    <w:unhideWhenUsed/>
    <w:qFormat/>
    <w:uiPriority w:val="0"/>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5">
    <w:name w:val="Table Classic 1"/>
    <w:basedOn w:val="88"/>
    <w:semiHidden/>
    <w:unhideWhenUsed/>
    <w:qFormat/>
    <w:uiPriority w:val="0"/>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semiHidden/>
    <w:unhideWhenUsed/>
    <w:qFormat/>
    <w:uiPriority w:val="0"/>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semiHidden/>
    <w:unhideWhenUsed/>
    <w:qFormat/>
    <w:uiPriority w:val="0"/>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semiHidden/>
    <w:unhideWhenUsed/>
    <w:qFormat/>
    <w:uiPriority w:val="0"/>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semiHidden/>
    <w:unhideWhenUsed/>
    <w:qFormat/>
    <w:uiPriority w:val="0"/>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semiHidden/>
    <w:unhideWhenUsed/>
    <w:qFormat/>
    <w:uiPriority w:val="0"/>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semiHidden/>
    <w:unhideWhenUsed/>
    <w:qFormat/>
    <w:uiPriority w:val="0"/>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semiHidden/>
    <w:unhideWhenUsed/>
    <w:qFormat/>
    <w:uiPriority w:val="0"/>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semiHidden/>
    <w:unhideWhenUsed/>
    <w:qFormat/>
    <w:uiPriority w:val="0"/>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semiHidden/>
    <w:unhideWhenUsed/>
    <w:qFormat/>
    <w:uiPriority w:val="0"/>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semiHidden/>
    <w:unhideWhenUsed/>
    <w:qFormat/>
    <w:uiPriority w:val="0"/>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semiHidden/>
    <w:unhideWhenUsed/>
    <w:qFormat/>
    <w:uiPriority w:val="0"/>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semiHidden/>
    <w:unhideWhenUsed/>
    <w:qFormat/>
    <w:uiPriority w:val="0"/>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semiHidden/>
    <w:unhideWhenUsed/>
    <w:qFormat/>
    <w:uiPriority w:val="0"/>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semiHidden/>
    <w:unhideWhenUsed/>
    <w:qFormat/>
    <w:uiPriority w:val="0"/>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semiHidden/>
    <w:unhideWhenUsed/>
    <w:qFormat/>
    <w:uiPriority w:val="0"/>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semiHidden/>
    <w:unhideWhenUsed/>
    <w:qFormat/>
    <w:uiPriority w:val="0"/>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semiHidden/>
    <w:unhideWhenUsed/>
    <w:qFormat/>
    <w:uiPriority w:val="0"/>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semiHidden/>
    <w:unhideWhenUsed/>
    <w:qFormat/>
    <w:uiPriority w:val="0"/>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semiHidden/>
    <w:unhideWhenUsed/>
    <w:qFormat/>
    <w:uiPriority w:val="0"/>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semiHidden/>
    <w:unhideWhenUsed/>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semiHidden/>
    <w:unhideWhenUsed/>
    <w:qFormat/>
    <w:uiPriority w:val="0"/>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semiHidden/>
    <w:unhideWhenUsed/>
    <w:qFormat/>
    <w:uiPriority w:val="0"/>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semiHidden/>
    <w:unhideWhenUsed/>
    <w:qFormat/>
    <w:uiPriority w:val="0"/>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semiHidden/>
    <w:unhideWhenUsed/>
    <w:qFormat/>
    <w:uiPriority w:val="0"/>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semiHidden/>
    <w:unhideWhenUsed/>
    <w:qFormat/>
    <w:uiPriority w:val="0"/>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semiHidden/>
    <w:unhideWhenUsed/>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semiHidden/>
    <w:unhideWhenUsed/>
    <w:qFormat/>
    <w:uiPriority w:val="0"/>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semiHidden/>
    <w:unhideWhenUsed/>
    <w:uiPriority w:val="0"/>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semiHidden/>
    <w:unhideWhenUsed/>
    <w:qFormat/>
    <w:uiPriority w:val="0"/>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semiHidden/>
    <w:unhideWhenUsed/>
    <w:qFormat/>
    <w:uiPriority w:val="0"/>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semiHidden/>
    <w:unhideWhenUsed/>
    <w:qFormat/>
    <w:uiPriority w:val="0"/>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semiHidden/>
    <w:unhideWhenUsed/>
    <w:qFormat/>
    <w:uiPriority w:val="0"/>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semiHidden/>
    <w:unhideWhenUsed/>
    <w:qFormat/>
    <w:uiPriority w:val="0"/>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semiHidden/>
    <w:unhideWhenUsed/>
    <w:qFormat/>
    <w:uiPriority w:val="0"/>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semiHidden/>
    <w:unhideWhenUsed/>
    <w:qFormat/>
    <w:uiPriority w:val="0"/>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qFormat/>
    <w:uiPriority w:val="0"/>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semiHidden/>
    <w:unhideWhenUsed/>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133">
    <w:name w:val="Light Shading"/>
    <w:basedOn w:val="88"/>
    <w:semiHidden/>
    <w:unhideWhenUsed/>
    <w:qFormat/>
    <w:uiPriority w:val="60"/>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34">
    <w:name w:val="Light Shading Accent 1"/>
    <w:basedOn w:val="88"/>
    <w:semiHidden/>
    <w:unhideWhenUsed/>
    <w:uiPriority w:val="60"/>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5">
    <w:name w:val="Light Shading Accent 2"/>
    <w:basedOn w:val="88"/>
    <w:semiHidden/>
    <w:unhideWhenUsed/>
    <w:qFormat/>
    <w:uiPriority w:val="60"/>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136">
    <w:name w:val="Light Shading Accent 3"/>
    <w:basedOn w:val="88"/>
    <w:semiHidden/>
    <w:unhideWhenUsed/>
    <w:qFormat/>
    <w:uiPriority w:val="60"/>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7">
    <w:name w:val="Light Shading Accent 4"/>
    <w:basedOn w:val="88"/>
    <w:semiHidden/>
    <w:unhideWhenUsed/>
    <w:uiPriority w:val="60"/>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38">
    <w:name w:val="Light Shading Accent 5"/>
    <w:basedOn w:val="88"/>
    <w:semiHidden/>
    <w:unhideWhenUsed/>
    <w:uiPriority w:val="60"/>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139">
    <w:name w:val="Light Shading Accent 6"/>
    <w:basedOn w:val="88"/>
    <w:semiHidden/>
    <w:unhideWhenUsed/>
    <w:qFormat/>
    <w:uiPriority w:val="60"/>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140">
    <w:name w:val="Light List"/>
    <w:basedOn w:val="88"/>
    <w:semiHidden/>
    <w:unhideWhenUsed/>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41">
    <w:name w:val="Light List Accent 1"/>
    <w:basedOn w:val="88"/>
    <w:semiHidden/>
    <w:unhideWhenUsed/>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142">
    <w:name w:val="Light List Accent 2"/>
    <w:basedOn w:val="88"/>
    <w:semiHidden/>
    <w:unhideWhenUsed/>
    <w:qFormat/>
    <w:uiPriority w:val="61"/>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143">
    <w:name w:val="Light List Accent 3"/>
    <w:basedOn w:val="88"/>
    <w:semiHidden/>
    <w:unhideWhenUsed/>
    <w:qFormat/>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144">
    <w:name w:val="Light List Accent 4"/>
    <w:basedOn w:val="88"/>
    <w:semiHidden/>
    <w:unhideWhenUsed/>
    <w:qFormat/>
    <w:uiPriority w:val="61"/>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145">
    <w:name w:val="Light List Accent 5"/>
    <w:basedOn w:val="88"/>
    <w:semiHidden/>
    <w:unhideWhenUsed/>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146">
    <w:name w:val="Light List Accent 6"/>
    <w:basedOn w:val="88"/>
    <w:semiHidden/>
    <w:unhideWhenUsed/>
    <w:qFormat/>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147">
    <w:name w:val="Light Grid"/>
    <w:basedOn w:val="88"/>
    <w:semiHidden/>
    <w:unhideWhenUsed/>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48">
    <w:name w:val="Light Grid Accent 1"/>
    <w:basedOn w:val="88"/>
    <w:semiHidden/>
    <w:unhideWhenUsed/>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149">
    <w:name w:val="Light Grid Accent 2"/>
    <w:basedOn w:val="88"/>
    <w:semiHidden/>
    <w:unhideWhenUsed/>
    <w:qFormat/>
    <w:uiPriority w:val="62"/>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150">
    <w:name w:val="Light Grid Accent 3"/>
    <w:basedOn w:val="88"/>
    <w:semiHidden/>
    <w:unhideWhenUsed/>
    <w:uiPriority w:val="62"/>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151">
    <w:name w:val="Light Grid Accent 4"/>
    <w:basedOn w:val="88"/>
    <w:semiHidden/>
    <w:unhideWhenUsed/>
    <w:qFormat/>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152">
    <w:name w:val="Light Grid Accent 5"/>
    <w:basedOn w:val="88"/>
    <w:semiHidden/>
    <w:unhideWhenUsed/>
    <w:qFormat/>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153">
    <w:name w:val="Light Grid Accent 6"/>
    <w:basedOn w:val="88"/>
    <w:semiHidden/>
    <w:unhideWhenUsed/>
    <w:qFormat/>
    <w:uiPriority w:val="62"/>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154">
    <w:name w:val="Medium Shading 1"/>
    <w:basedOn w:val="88"/>
    <w:semiHidden/>
    <w:unhideWhenUsed/>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55">
    <w:name w:val="Medium Shading 1 Accent 1"/>
    <w:basedOn w:val="88"/>
    <w:semiHidden/>
    <w:unhideWhenUsed/>
    <w:qFormat/>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56">
    <w:name w:val="Medium Shading 1 Accent 2"/>
    <w:basedOn w:val="88"/>
    <w:semiHidden/>
    <w:unhideWhenUsed/>
    <w:qFormat/>
    <w:uiPriority w:val="63"/>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157">
    <w:name w:val="Medium Shading 1 Accent 3"/>
    <w:basedOn w:val="88"/>
    <w:semiHidden/>
    <w:unhideWhenUsed/>
    <w:qFormat/>
    <w:uiPriority w:val="63"/>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58">
    <w:name w:val="Medium Shading 1 Accent 4"/>
    <w:basedOn w:val="88"/>
    <w:semiHidden/>
    <w:unhideWhenUsed/>
    <w:qFormat/>
    <w:uiPriority w:val="63"/>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9">
    <w:name w:val="Medium Shading 1 Accent 5"/>
    <w:basedOn w:val="88"/>
    <w:semiHidden/>
    <w:unhideWhenUsed/>
    <w:qFormat/>
    <w:uiPriority w:val="63"/>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160">
    <w:name w:val="Medium Shading 1 Accent 6"/>
    <w:basedOn w:val="88"/>
    <w:semiHidden/>
    <w:unhideWhenUsed/>
    <w:qFormat/>
    <w:uiPriority w:val="63"/>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161">
    <w:name w:val="Medium Shading 2"/>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2">
    <w:name w:val="Medium Shading 2 Accent 1"/>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3">
    <w:name w:val="Medium Shading 2 Accent 2"/>
    <w:basedOn w:val="88"/>
    <w:semiHidden/>
    <w:unhideWhenUsed/>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4">
    <w:name w:val="Medium Shading 2 Accent 3"/>
    <w:basedOn w:val="88"/>
    <w:semiHidden/>
    <w:unhideWhenUsed/>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5">
    <w:name w:val="Medium Shading 2 Accent 4"/>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6">
    <w:name w:val="Medium Shading 2 Accent 5"/>
    <w:basedOn w:val="88"/>
    <w:semiHidden/>
    <w:unhideWhenUsed/>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7">
    <w:name w:val="Medium Shading 2 Accent 6"/>
    <w:basedOn w:val="88"/>
    <w:semiHidden/>
    <w:unhideWhenUsed/>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8">
    <w:name w:val="Medium List 1"/>
    <w:basedOn w:val="88"/>
    <w:semiHidden/>
    <w:unhideWhenUsed/>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69">
    <w:name w:val="Medium List 1 Accent 1"/>
    <w:basedOn w:val="88"/>
    <w:qFormat/>
    <w:uiPriority w:val="65"/>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70">
    <w:name w:val="Medium List 1 Accent 2"/>
    <w:basedOn w:val="88"/>
    <w:semiHidden/>
    <w:unhideWhenUsed/>
    <w:qFormat/>
    <w:uiPriority w:val="65"/>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171">
    <w:name w:val="Medium List 1 Accent 3"/>
    <w:basedOn w:val="88"/>
    <w:semiHidden/>
    <w:unhideWhenUsed/>
    <w:qFormat/>
    <w:uiPriority w:val="65"/>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72">
    <w:name w:val="Medium List 1 Accent 4"/>
    <w:basedOn w:val="88"/>
    <w:semiHidden/>
    <w:unhideWhenUsed/>
    <w:qFormat/>
    <w:uiPriority w:val="65"/>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73">
    <w:name w:val="Medium List 1 Accent 5"/>
    <w:basedOn w:val="88"/>
    <w:semiHidden/>
    <w:unhideWhenUsed/>
    <w:qFormat/>
    <w:uiPriority w:val="65"/>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174">
    <w:name w:val="Medium List 1 Accent 6"/>
    <w:basedOn w:val="88"/>
    <w:semiHidden/>
    <w:unhideWhenUsed/>
    <w:qFormat/>
    <w:uiPriority w:val="65"/>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175">
    <w:name w:val="Medium List 2"/>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76">
    <w:name w:val="Medium List 2 Accent 1"/>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77">
    <w:name w:val="Medium List 2 Accent 2"/>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78">
    <w:name w:val="Medium List 2 Accent 3"/>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79">
    <w:name w:val="Medium List 2 Accent 4"/>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80">
    <w:name w:val="Medium List 2 Accent 5"/>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81">
    <w:name w:val="Medium List 2 Accent 6"/>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2">
    <w:name w:val="Medium Grid 1"/>
    <w:basedOn w:val="88"/>
    <w:semiHidden/>
    <w:unhideWhenUsed/>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83">
    <w:name w:val="Medium Grid 1 Accent 1"/>
    <w:basedOn w:val="88"/>
    <w:semiHidden/>
    <w:unhideWhenUsed/>
    <w:qFormat/>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84">
    <w:name w:val="Medium Grid 1 Accent 2"/>
    <w:basedOn w:val="88"/>
    <w:semiHidden/>
    <w:unhideWhenUsed/>
    <w:qFormat/>
    <w:uiPriority w:val="67"/>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85">
    <w:name w:val="Medium Grid 1 Accent 3"/>
    <w:basedOn w:val="88"/>
    <w:semiHidden/>
    <w:unhideWhenUsed/>
    <w:qFormat/>
    <w:uiPriority w:val="67"/>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86">
    <w:name w:val="Medium Grid 1 Accent 4"/>
    <w:basedOn w:val="88"/>
    <w:semiHidden/>
    <w:unhideWhenUsed/>
    <w:qFormat/>
    <w:uiPriority w:val="67"/>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87">
    <w:name w:val="Medium Grid 1 Accent 5"/>
    <w:basedOn w:val="88"/>
    <w:semiHidden/>
    <w:unhideWhenUsed/>
    <w:qFormat/>
    <w:uiPriority w:val="67"/>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88">
    <w:name w:val="Medium Grid 1 Accent 6"/>
    <w:basedOn w:val="88"/>
    <w:semiHidden/>
    <w:unhideWhenUsed/>
    <w:qFormat/>
    <w:uiPriority w:val="67"/>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89">
    <w:name w:val="Medium Grid 2"/>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190">
    <w:name w:val="Medium Grid 2 Accent 1"/>
    <w:basedOn w:val="88"/>
    <w:semiHidden/>
    <w:unhideWhenUsed/>
    <w:uiPriority w:val="68"/>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191">
    <w:name w:val="Medium Grid 2 Accent 2"/>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192">
    <w:name w:val="Medium Grid 2 Accent 3"/>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193">
    <w:name w:val="Medium Grid 2 Accent 4"/>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194">
    <w:name w:val="Medium Grid 2 Accent 5"/>
    <w:basedOn w:val="88"/>
    <w:semiHidden/>
    <w:unhideWhenUsed/>
    <w:uiPriority w:val="68"/>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195">
    <w:name w:val="Medium Grid 2 Accent 6"/>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96">
    <w:name w:val="Medium Grid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97">
    <w:name w:val="Medium Grid 3 Accent 1"/>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98">
    <w:name w:val="Medium Grid 3 Accent 2"/>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99">
    <w:name w:val="Medium Grid 3 Accent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200">
    <w:name w:val="Medium Grid 3 Accent 4"/>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201">
    <w:name w:val="Medium Grid 3 Accent 5"/>
    <w:basedOn w:val="88"/>
    <w:semiHidden/>
    <w:unhideWhenUsed/>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202">
    <w:name w:val="Medium Grid 3 Accent 6"/>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203">
    <w:name w:val="Dark List"/>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04">
    <w:name w:val="Dark List Accent 1"/>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205">
    <w:name w:val="Dark List Accent 2"/>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206">
    <w:name w:val="Dark List Accent 3"/>
    <w:basedOn w:val="88"/>
    <w:semiHidden/>
    <w:unhideWhenUsed/>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07">
    <w:name w:val="Dark List Accent 4"/>
    <w:basedOn w:val="88"/>
    <w:semiHidden/>
    <w:unhideWhenUsed/>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208">
    <w:name w:val="Dark List Accent 5"/>
    <w:basedOn w:val="88"/>
    <w:semiHidden/>
    <w:unhideWhenUsed/>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209">
    <w:name w:val="Dark List Accent 6"/>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210">
    <w:name w:val="Colorful Shading"/>
    <w:basedOn w:val="88"/>
    <w:semiHidden/>
    <w:unhideWhenUsed/>
    <w:qFormat/>
    <w:uiPriority w:val="71"/>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1">
    <w:name w:val="Colorful Shading Accent 1"/>
    <w:basedOn w:val="88"/>
    <w:semiHidden/>
    <w:unhideWhenUsed/>
    <w:uiPriority w:val="71"/>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2">
    <w:name w:val="Colorful Shading Accent 2"/>
    <w:basedOn w:val="88"/>
    <w:semiHidden/>
    <w:unhideWhenUsed/>
    <w:uiPriority w:val="71"/>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3">
    <w:name w:val="Colorful Shading Accent 3"/>
    <w:basedOn w:val="88"/>
    <w:semiHidden/>
    <w:unhideWhenUsed/>
    <w:qFormat/>
    <w:uiPriority w:val="71"/>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14">
    <w:name w:val="Colorful Shading Accent 4"/>
    <w:basedOn w:val="88"/>
    <w:semiHidden/>
    <w:unhideWhenUsed/>
    <w:uiPriority w:val="71"/>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5">
    <w:name w:val="Colorful Shading Accent 5"/>
    <w:basedOn w:val="88"/>
    <w:semiHidden/>
    <w:unhideWhenUsed/>
    <w:qFormat/>
    <w:uiPriority w:val="71"/>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6">
    <w:name w:val="Colorful Shading Accent 6"/>
    <w:basedOn w:val="88"/>
    <w:semiHidden/>
    <w:unhideWhenUsed/>
    <w:qFormat/>
    <w:uiPriority w:val="71"/>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7">
    <w:name w:val="Colorful List"/>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18">
    <w:name w:val="Colorful List Accent 1"/>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19">
    <w:name w:val="Colorful List Accent 2"/>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220">
    <w:name w:val="Colorful List Accent 3"/>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21">
    <w:name w:val="Colorful List Accent 4"/>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222">
    <w:name w:val="Colorful List Accent 5"/>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223">
    <w:name w:val="Colorful List Accent 6"/>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224">
    <w:name w:val="Colorful Grid"/>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25">
    <w:name w:val="Colorful Grid Accent 1"/>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226">
    <w:name w:val="Colorful Grid Accent 2"/>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227">
    <w:name w:val="Colorful Grid Accent 3"/>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28">
    <w:name w:val="Colorful Grid Accent 4"/>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29">
    <w:name w:val="Colorful Grid Accent 5"/>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30">
    <w:name w:val="Colorful Grid Accent 6"/>
    <w:basedOn w:val="88"/>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232">
    <w:name w:val="Strong"/>
    <w:basedOn w:val="231"/>
    <w:qFormat/>
    <w:uiPriority w:val="0"/>
    <w:rPr>
      <w:b/>
      <w:bCs/>
    </w:rPr>
  </w:style>
  <w:style w:type="character" w:styleId="233">
    <w:name w:val="endnote reference"/>
    <w:basedOn w:val="231"/>
    <w:semiHidden/>
    <w:unhideWhenUsed/>
    <w:qFormat/>
    <w:uiPriority w:val="0"/>
    <w:rPr>
      <w:vertAlign w:val="superscript"/>
    </w:rPr>
  </w:style>
  <w:style w:type="character" w:styleId="234">
    <w:name w:val="page number"/>
    <w:basedOn w:val="231"/>
    <w:semiHidden/>
    <w:unhideWhenUsed/>
    <w:qFormat/>
    <w:uiPriority w:val="0"/>
  </w:style>
  <w:style w:type="character" w:styleId="235">
    <w:name w:val="FollowedHyperlink"/>
    <w:basedOn w:val="231"/>
    <w:semiHidden/>
    <w:unhideWhenUsed/>
    <w:qFormat/>
    <w:uiPriority w:val="0"/>
    <w:rPr>
      <w:color w:val="800080" w:themeColor="followedHyperlink"/>
      <w:u w:val="single"/>
      <w14:textFill>
        <w14:solidFill>
          <w14:schemeClr w14:val="folHlink"/>
        </w14:solidFill>
      </w14:textFill>
    </w:rPr>
  </w:style>
  <w:style w:type="character" w:styleId="236">
    <w:name w:val="Emphasis"/>
    <w:basedOn w:val="231"/>
    <w:qFormat/>
    <w:uiPriority w:val="0"/>
    <w:rPr>
      <w:i/>
      <w:iCs/>
    </w:rPr>
  </w:style>
  <w:style w:type="character" w:styleId="237">
    <w:name w:val="line number"/>
    <w:basedOn w:val="231"/>
    <w:semiHidden/>
    <w:unhideWhenUsed/>
    <w:qFormat/>
    <w:uiPriority w:val="0"/>
  </w:style>
  <w:style w:type="character" w:styleId="238">
    <w:name w:val="HTML Definition"/>
    <w:basedOn w:val="231"/>
    <w:semiHidden/>
    <w:unhideWhenUsed/>
    <w:qFormat/>
    <w:uiPriority w:val="0"/>
    <w:rPr>
      <w:i/>
      <w:iCs/>
    </w:rPr>
  </w:style>
  <w:style w:type="character" w:styleId="239">
    <w:name w:val="HTML Typewriter"/>
    <w:basedOn w:val="231"/>
    <w:semiHidden/>
    <w:unhideWhenUsed/>
    <w:qFormat/>
    <w:uiPriority w:val="0"/>
    <w:rPr>
      <w:rFonts w:ascii="Consolas" w:hAnsi="Consolas"/>
      <w:sz w:val="20"/>
      <w:szCs w:val="20"/>
    </w:rPr>
  </w:style>
  <w:style w:type="character" w:styleId="240">
    <w:name w:val="HTML Acronym"/>
    <w:basedOn w:val="231"/>
    <w:semiHidden/>
    <w:unhideWhenUsed/>
    <w:qFormat/>
    <w:uiPriority w:val="0"/>
  </w:style>
  <w:style w:type="character" w:styleId="241">
    <w:name w:val="HTML Variable"/>
    <w:basedOn w:val="231"/>
    <w:semiHidden/>
    <w:unhideWhenUsed/>
    <w:qFormat/>
    <w:uiPriority w:val="0"/>
    <w:rPr>
      <w:i/>
      <w:iCs/>
    </w:rPr>
  </w:style>
  <w:style w:type="character" w:styleId="242">
    <w:name w:val="Hyperlink"/>
    <w:basedOn w:val="231"/>
    <w:semiHidden/>
    <w:unhideWhenUsed/>
    <w:qFormat/>
    <w:uiPriority w:val="0"/>
    <w:rPr>
      <w:color w:val="0000FF" w:themeColor="hyperlink"/>
      <w:u w:val="single"/>
      <w14:textFill>
        <w14:solidFill>
          <w14:schemeClr w14:val="hlink"/>
        </w14:solidFill>
      </w14:textFill>
    </w:rPr>
  </w:style>
  <w:style w:type="character" w:styleId="243">
    <w:name w:val="HTML Code"/>
    <w:basedOn w:val="231"/>
    <w:semiHidden/>
    <w:unhideWhenUsed/>
    <w:qFormat/>
    <w:uiPriority w:val="0"/>
    <w:rPr>
      <w:rFonts w:ascii="Consolas" w:hAnsi="Consolas"/>
      <w:sz w:val="20"/>
      <w:szCs w:val="20"/>
    </w:rPr>
  </w:style>
  <w:style w:type="character" w:styleId="244">
    <w:name w:val="annotation reference"/>
    <w:basedOn w:val="231"/>
    <w:qFormat/>
    <w:uiPriority w:val="0"/>
    <w:rPr>
      <w:sz w:val="16"/>
      <w:szCs w:val="16"/>
    </w:rPr>
  </w:style>
  <w:style w:type="character" w:styleId="245">
    <w:name w:val="HTML Cite"/>
    <w:basedOn w:val="231"/>
    <w:semiHidden/>
    <w:unhideWhenUsed/>
    <w:qFormat/>
    <w:uiPriority w:val="0"/>
    <w:rPr>
      <w:i/>
      <w:iCs/>
    </w:rPr>
  </w:style>
  <w:style w:type="character" w:styleId="246">
    <w:name w:val="footnote reference"/>
    <w:basedOn w:val="231"/>
    <w:semiHidden/>
    <w:unhideWhenUsed/>
    <w:qFormat/>
    <w:uiPriority w:val="0"/>
    <w:rPr>
      <w:vertAlign w:val="superscript"/>
    </w:rPr>
  </w:style>
  <w:style w:type="character" w:styleId="247">
    <w:name w:val="HTML Keyboard"/>
    <w:basedOn w:val="231"/>
    <w:semiHidden/>
    <w:unhideWhenUsed/>
    <w:qFormat/>
    <w:uiPriority w:val="0"/>
    <w:rPr>
      <w:rFonts w:ascii="Consolas" w:hAnsi="Consolas"/>
      <w:sz w:val="20"/>
      <w:szCs w:val="20"/>
    </w:rPr>
  </w:style>
  <w:style w:type="character" w:styleId="248">
    <w:name w:val="HTML Sample"/>
    <w:basedOn w:val="231"/>
    <w:semiHidden/>
    <w:unhideWhenUsed/>
    <w:qFormat/>
    <w:uiPriority w:val="0"/>
    <w:rPr>
      <w:rFonts w:ascii="Consolas" w:hAnsi="Consolas"/>
      <w:sz w:val="24"/>
      <w:szCs w:val="24"/>
    </w:rPr>
  </w:style>
  <w:style w:type="character" w:customStyle="1" w:styleId="249">
    <w:name w:val="MsoCommentReference"/>
    <w:basedOn w:val="231"/>
    <w:qFormat/>
    <w:uiPriority w:val="0"/>
  </w:style>
  <w:style w:type="character" w:customStyle="1" w:styleId="250">
    <w:name w:val="批注文字 Char"/>
    <w:basedOn w:val="231"/>
    <w:link w:val="28"/>
    <w:qFormat/>
    <w:uiPriority w:val="0"/>
    <w:rPr>
      <w:rFonts w:ascii="Tahoma" w:hAnsi="Tahoma" w:cs="Tahoma"/>
      <w:sz w:val="16"/>
    </w:rPr>
  </w:style>
  <w:style w:type="character" w:customStyle="1" w:styleId="251">
    <w:name w:val="批注主题 Char"/>
    <w:basedOn w:val="250"/>
    <w:link w:val="85"/>
    <w:qFormat/>
    <w:uiPriority w:val="0"/>
    <w:rPr>
      <w:rFonts w:ascii="Tahoma" w:hAnsi="Tahoma" w:cs="Tahoma"/>
      <w:b/>
      <w:bCs/>
      <w:sz w:val="16"/>
    </w:rPr>
  </w:style>
  <w:style w:type="character" w:customStyle="1" w:styleId="252">
    <w:name w:val="批注框文本 Char"/>
    <w:basedOn w:val="231"/>
    <w:link w:val="54"/>
    <w:uiPriority w:val="0"/>
    <w:rPr>
      <w:rFonts w:ascii="Tahoma" w:hAnsi="Tahoma" w:cs="Tahoma"/>
      <w:sz w:val="16"/>
      <w:szCs w:val="16"/>
    </w:rPr>
  </w:style>
  <w:style w:type="paragraph" w:customStyle="1" w:styleId="253">
    <w:name w:val="EndNote Bibliography Title"/>
    <w:basedOn w:val="1"/>
    <w:link w:val="254"/>
    <w:qFormat/>
    <w:uiPriority w:val="0"/>
    <w:pPr>
      <w:jc w:val="center"/>
    </w:pPr>
  </w:style>
  <w:style w:type="character" w:customStyle="1" w:styleId="254">
    <w:name w:val="EndNote Bibliography Title 字符"/>
    <w:basedOn w:val="231"/>
    <w:link w:val="253"/>
    <w:uiPriority w:val="0"/>
    <w:rPr>
      <w:sz w:val="24"/>
      <w:szCs w:val="24"/>
    </w:rPr>
  </w:style>
  <w:style w:type="paragraph" w:customStyle="1" w:styleId="255">
    <w:name w:val="EndNote Bibliography"/>
    <w:basedOn w:val="1"/>
    <w:link w:val="256"/>
    <w:qFormat/>
    <w:uiPriority w:val="0"/>
    <w:pPr>
      <w:jc w:val="both"/>
    </w:pPr>
  </w:style>
  <w:style w:type="character" w:customStyle="1" w:styleId="256">
    <w:name w:val="EndNote Bibliography 字符"/>
    <w:basedOn w:val="231"/>
    <w:link w:val="255"/>
    <w:qFormat/>
    <w:uiPriority w:val="0"/>
    <w:rPr>
      <w:sz w:val="24"/>
      <w:szCs w:val="24"/>
    </w:rPr>
  </w:style>
  <w:style w:type="character" w:customStyle="1" w:styleId="257">
    <w:name w:val="页眉 Char"/>
    <w:basedOn w:val="231"/>
    <w:link w:val="57"/>
    <w:qFormat/>
    <w:uiPriority w:val="0"/>
    <w:rPr>
      <w:sz w:val="18"/>
      <w:szCs w:val="18"/>
    </w:rPr>
  </w:style>
  <w:style w:type="character" w:customStyle="1" w:styleId="258">
    <w:name w:val="页脚 Char"/>
    <w:basedOn w:val="231"/>
    <w:link w:val="55"/>
    <w:qFormat/>
    <w:uiPriority w:val="99"/>
    <w:rPr>
      <w:sz w:val="18"/>
      <w:szCs w:val="18"/>
    </w:rPr>
  </w:style>
  <w:style w:type="paragraph" w:styleId="259">
    <w:name w:val="List Paragraph"/>
    <w:basedOn w:val="1"/>
    <w:qFormat/>
    <w:uiPriority w:val="34"/>
    <w:pPr>
      <w:ind w:firstLine="420" w:firstLineChars="200"/>
    </w:pPr>
  </w:style>
  <w:style w:type="paragraph" w:customStyle="1" w:styleId="260">
    <w:name w:val="Revision"/>
    <w:hidden/>
    <w:semiHidden/>
    <w:qFormat/>
    <w:uiPriority w:val="99"/>
    <w:rPr>
      <w:rFonts w:ascii="Times New Roman" w:hAnsi="Times New Roman" w:cs="Times New Roman" w:eastAsiaTheme="minorEastAsia"/>
      <w:sz w:val="24"/>
      <w:szCs w:val="24"/>
      <w:lang w:val="en-GB" w:eastAsia="en-US" w:bidi="ar-SA"/>
    </w:rPr>
  </w:style>
  <w:style w:type="character" w:customStyle="1" w:styleId="261">
    <w:name w:val="标题 1 Char"/>
    <w:basedOn w:val="231"/>
    <w:link w:val="3"/>
    <w:qFormat/>
    <w:uiPriority w:val="0"/>
    <w:rPr>
      <w:rFonts w:asciiTheme="majorHAnsi" w:hAnsiTheme="majorHAnsi" w:eastAsiaTheme="majorEastAsia" w:cstheme="majorBidi"/>
      <w:color w:val="376092" w:themeColor="accent1" w:themeShade="BF"/>
      <w:sz w:val="32"/>
      <w:szCs w:val="32"/>
      <w:lang w:val="en-GB"/>
    </w:rPr>
  </w:style>
  <w:style w:type="character" w:customStyle="1" w:styleId="262">
    <w:name w:val="标题 2 Char"/>
    <w:basedOn w:val="231"/>
    <w:link w:val="4"/>
    <w:semiHidden/>
    <w:qFormat/>
    <w:uiPriority w:val="0"/>
    <w:rPr>
      <w:rFonts w:asciiTheme="majorHAnsi" w:hAnsiTheme="majorHAnsi" w:eastAsiaTheme="majorEastAsia" w:cstheme="majorBidi"/>
      <w:color w:val="376092" w:themeColor="accent1" w:themeShade="BF"/>
      <w:sz w:val="26"/>
      <w:szCs w:val="26"/>
      <w:lang w:val="en-GB"/>
    </w:rPr>
  </w:style>
  <w:style w:type="character" w:customStyle="1" w:styleId="263">
    <w:name w:val="标题 3 Char"/>
    <w:basedOn w:val="231"/>
    <w:link w:val="5"/>
    <w:semiHidden/>
    <w:qFormat/>
    <w:uiPriority w:val="0"/>
    <w:rPr>
      <w:rFonts w:asciiTheme="majorHAnsi" w:hAnsiTheme="majorHAnsi" w:eastAsiaTheme="majorEastAsia" w:cstheme="majorBidi"/>
      <w:color w:val="254061" w:themeColor="accent1" w:themeShade="80"/>
      <w:sz w:val="24"/>
      <w:szCs w:val="24"/>
      <w:lang w:val="en-GB"/>
    </w:rPr>
  </w:style>
  <w:style w:type="character" w:customStyle="1" w:styleId="264">
    <w:name w:val="标题 4 Char"/>
    <w:basedOn w:val="231"/>
    <w:link w:val="6"/>
    <w:semiHidden/>
    <w:qFormat/>
    <w:uiPriority w:val="0"/>
    <w:rPr>
      <w:rFonts w:asciiTheme="majorHAnsi" w:hAnsiTheme="majorHAnsi" w:eastAsiaTheme="majorEastAsia" w:cstheme="majorBidi"/>
      <w:i/>
      <w:iCs/>
      <w:color w:val="376092" w:themeColor="accent1" w:themeShade="BF"/>
      <w:sz w:val="24"/>
      <w:szCs w:val="24"/>
      <w:lang w:val="en-GB"/>
    </w:rPr>
  </w:style>
  <w:style w:type="character" w:customStyle="1" w:styleId="265">
    <w:name w:val="标题 5 Char"/>
    <w:basedOn w:val="231"/>
    <w:link w:val="7"/>
    <w:semiHidden/>
    <w:qFormat/>
    <w:uiPriority w:val="0"/>
    <w:rPr>
      <w:rFonts w:asciiTheme="majorHAnsi" w:hAnsiTheme="majorHAnsi" w:eastAsiaTheme="majorEastAsia" w:cstheme="majorBidi"/>
      <w:color w:val="376092" w:themeColor="accent1" w:themeShade="BF"/>
      <w:sz w:val="24"/>
      <w:szCs w:val="24"/>
      <w:lang w:val="en-GB"/>
    </w:rPr>
  </w:style>
  <w:style w:type="character" w:customStyle="1" w:styleId="266">
    <w:name w:val="标题 6 Char"/>
    <w:basedOn w:val="231"/>
    <w:link w:val="8"/>
    <w:semiHidden/>
    <w:qFormat/>
    <w:uiPriority w:val="0"/>
    <w:rPr>
      <w:rFonts w:asciiTheme="majorHAnsi" w:hAnsiTheme="majorHAnsi" w:eastAsiaTheme="majorEastAsia" w:cstheme="majorBidi"/>
      <w:color w:val="254061" w:themeColor="accent1" w:themeShade="80"/>
      <w:sz w:val="24"/>
      <w:szCs w:val="24"/>
      <w:lang w:val="en-GB"/>
    </w:rPr>
  </w:style>
  <w:style w:type="character" w:customStyle="1" w:styleId="267">
    <w:name w:val="标题 7 Char"/>
    <w:basedOn w:val="231"/>
    <w:link w:val="9"/>
    <w:semiHidden/>
    <w:qFormat/>
    <w:uiPriority w:val="0"/>
    <w:rPr>
      <w:rFonts w:asciiTheme="majorHAnsi" w:hAnsiTheme="majorHAnsi" w:eastAsiaTheme="majorEastAsia" w:cstheme="majorBidi"/>
      <w:i/>
      <w:iCs/>
      <w:color w:val="254061" w:themeColor="accent1" w:themeShade="80"/>
      <w:sz w:val="24"/>
      <w:szCs w:val="24"/>
      <w:lang w:val="en-GB"/>
    </w:rPr>
  </w:style>
  <w:style w:type="character" w:customStyle="1" w:styleId="268">
    <w:name w:val="标题 8 Char"/>
    <w:basedOn w:val="231"/>
    <w:link w:val="10"/>
    <w:semiHidden/>
    <w:qFormat/>
    <w:uiPriority w:val="0"/>
    <w:rPr>
      <w:rFonts w:asciiTheme="majorHAnsi" w:hAnsiTheme="majorHAnsi" w:eastAsiaTheme="majorEastAsia" w:cstheme="majorBidi"/>
      <w:color w:val="262626" w:themeColor="text1" w:themeTint="D9"/>
      <w:sz w:val="21"/>
      <w:szCs w:val="21"/>
      <w:lang w:val="en-GB"/>
      <w14:textFill>
        <w14:solidFill>
          <w14:schemeClr w14:val="tx1">
            <w14:lumMod w14:val="85000"/>
            <w14:lumOff w14:val="15000"/>
          </w14:schemeClr>
        </w14:solidFill>
      </w14:textFill>
    </w:rPr>
  </w:style>
  <w:style w:type="character" w:customStyle="1" w:styleId="269">
    <w:name w:val="标题 9 Char"/>
    <w:basedOn w:val="231"/>
    <w:link w:val="11"/>
    <w:semiHidden/>
    <w:qFormat/>
    <w:uiPriority w:val="0"/>
    <w:rPr>
      <w:rFonts w:asciiTheme="majorHAnsi" w:hAnsiTheme="majorHAnsi" w:eastAsiaTheme="majorEastAsia" w:cstheme="majorBidi"/>
      <w:i/>
      <w:iCs/>
      <w:color w:val="262626" w:themeColor="text1" w:themeTint="D9"/>
      <w:sz w:val="21"/>
      <w:szCs w:val="21"/>
      <w:lang w:val="en-GB"/>
      <w14:textFill>
        <w14:solidFill>
          <w14:schemeClr w14:val="tx1">
            <w14:lumMod w14:val="85000"/>
            <w14:lumOff w14:val="15000"/>
          </w14:schemeClr>
        </w14:solidFill>
      </w14:textFill>
    </w:rPr>
  </w:style>
  <w:style w:type="paragraph" w:customStyle="1" w:styleId="270">
    <w:name w:val="Bibliography"/>
    <w:basedOn w:val="1"/>
    <w:next w:val="1"/>
    <w:semiHidden/>
    <w:unhideWhenUsed/>
    <w:qFormat/>
    <w:uiPriority w:val="37"/>
  </w:style>
  <w:style w:type="character" w:customStyle="1" w:styleId="271">
    <w:name w:val="正文文本 Char"/>
    <w:basedOn w:val="231"/>
    <w:link w:val="34"/>
    <w:semiHidden/>
    <w:qFormat/>
    <w:uiPriority w:val="0"/>
    <w:rPr>
      <w:sz w:val="24"/>
      <w:szCs w:val="24"/>
      <w:lang w:val="en-GB"/>
    </w:rPr>
  </w:style>
  <w:style w:type="character" w:customStyle="1" w:styleId="272">
    <w:name w:val="正文文本 2 Char"/>
    <w:basedOn w:val="231"/>
    <w:link w:val="76"/>
    <w:semiHidden/>
    <w:qFormat/>
    <w:uiPriority w:val="0"/>
    <w:rPr>
      <w:sz w:val="24"/>
      <w:szCs w:val="24"/>
      <w:lang w:val="en-GB"/>
    </w:rPr>
  </w:style>
  <w:style w:type="character" w:customStyle="1" w:styleId="273">
    <w:name w:val="正文文本 3 Char"/>
    <w:basedOn w:val="231"/>
    <w:link w:val="31"/>
    <w:semiHidden/>
    <w:qFormat/>
    <w:uiPriority w:val="0"/>
    <w:rPr>
      <w:sz w:val="16"/>
      <w:szCs w:val="16"/>
      <w:lang w:val="en-GB"/>
    </w:rPr>
  </w:style>
  <w:style w:type="character" w:customStyle="1" w:styleId="274">
    <w:name w:val="正文首行缩进 Char"/>
    <w:basedOn w:val="271"/>
    <w:link w:val="86"/>
    <w:semiHidden/>
    <w:qFormat/>
    <w:uiPriority w:val="0"/>
    <w:rPr>
      <w:sz w:val="24"/>
      <w:szCs w:val="24"/>
      <w:lang w:val="en-GB"/>
    </w:rPr>
  </w:style>
  <w:style w:type="character" w:customStyle="1" w:styleId="275">
    <w:name w:val="正文文本缩进 Char"/>
    <w:basedOn w:val="231"/>
    <w:link w:val="35"/>
    <w:semiHidden/>
    <w:uiPriority w:val="0"/>
    <w:rPr>
      <w:sz w:val="24"/>
      <w:szCs w:val="24"/>
      <w:lang w:val="en-GB"/>
    </w:rPr>
  </w:style>
  <w:style w:type="character" w:customStyle="1" w:styleId="276">
    <w:name w:val="正文首行缩进 2 Char"/>
    <w:basedOn w:val="275"/>
    <w:link w:val="87"/>
    <w:semiHidden/>
    <w:qFormat/>
    <w:uiPriority w:val="0"/>
    <w:rPr>
      <w:sz w:val="24"/>
      <w:szCs w:val="24"/>
      <w:lang w:val="en-GB"/>
    </w:rPr>
  </w:style>
  <w:style w:type="character" w:customStyle="1" w:styleId="277">
    <w:name w:val="正文文本缩进 2 Char"/>
    <w:basedOn w:val="231"/>
    <w:link w:val="51"/>
    <w:semiHidden/>
    <w:qFormat/>
    <w:uiPriority w:val="0"/>
    <w:rPr>
      <w:sz w:val="24"/>
      <w:szCs w:val="24"/>
      <w:lang w:val="en-GB"/>
    </w:rPr>
  </w:style>
  <w:style w:type="character" w:customStyle="1" w:styleId="278">
    <w:name w:val="正文文本缩进 3 Char"/>
    <w:basedOn w:val="231"/>
    <w:link w:val="70"/>
    <w:semiHidden/>
    <w:qFormat/>
    <w:uiPriority w:val="0"/>
    <w:rPr>
      <w:sz w:val="16"/>
      <w:szCs w:val="16"/>
      <w:lang w:val="en-GB"/>
    </w:rPr>
  </w:style>
  <w:style w:type="character" w:customStyle="1" w:styleId="279">
    <w:name w:val="Book Title"/>
    <w:basedOn w:val="231"/>
    <w:qFormat/>
    <w:uiPriority w:val="33"/>
    <w:rPr>
      <w:b/>
      <w:bCs/>
      <w:i/>
      <w:iCs/>
      <w:spacing w:val="5"/>
    </w:rPr>
  </w:style>
  <w:style w:type="character" w:customStyle="1" w:styleId="280">
    <w:name w:val="结束语 Char"/>
    <w:basedOn w:val="231"/>
    <w:link w:val="32"/>
    <w:semiHidden/>
    <w:qFormat/>
    <w:uiPriority w:val="0"/>
    <w:rPr>
      <w:sz w:val="24"/>
      <w:szCs w:val="24"/>
      <w:lang w:val="en-GB"/>
    </w:rPr>
  </w:style>
  <w:style w:type="character" w:customStyle="1" w:styleId="281">
    <w:name w:val="日期 Char"/>
    <w:basedOn w:val="231"/>
    <w:link w:val="50"/>
    <w:semiHidden/>
    <w:qFormat/>
    <w:uiPriority w:val="0"/>
    <w:rPr>
      <w:sz w:val="24"/>
      <w:szCs w:val="24"/>
      <w:lang w:val="en-GB"/>
    </w:rPr>
  </w:style>
  <w:style w:type="character" w:customStyle="1" w:styleId="282">
    <w:name w:val="文档结构图 Char"/>
    <w:basedOn w:val="231"/>
    <w:link w:val="26"/>
    <w:semiHidden/>
    <w:qFormat/>
    <w:uiPriority w:val="0"/>
    <w:rPr>
      <w:rFonts w:ascii="Segoe UI" w:hAnsi="Segoe UI" w:cs="Segoe UI"/>
      <w:sz w:val="16"/>
      <w:szCs w:val="16"/>
      <w:lang w:val="en-GB"/>
    </w:rPr>
  </w:style>
  <w:style w:type="character" w:customStyle="1" w:styleId="283">
    <w:name w:val="电子邮件签名 Char"/>
    <w:basedOn w:val="231"/>
    <w:link w:val="19"/>
    <w:semiHidden/>
    <w:qFormat/>
    <w:uiPriority w:val="0"/>
    <w:rPr>
      <w:sz w:val="24"/>
      <w:szCs w:val="24"/>
      <w:lang w:val="en-GB"/>
    </w:rPr>
  </w:style>
  <w:style w:type="character" w:customStyle="1" w:styleId="284">
    <w:name w:val="尾注文本 Char"/>
    <w:basedOn w:val="231"/>
    <w:link w:val="52"/>
    <w:semiHidden/>
    <w:qFormat/>
    <w:uiPriority w:val="0"/>
    <w:rPr>
      <w:lang w:val="en-GB"/>
    </w:rPr>
  </w:style>
  <w:style w:type="character" w:customStyle="1" w:styleId="285">
    <w:name w:val="脚注文本 Char"/>
    <w:basedOn w:val="231"/>
    <w:link w:val="67"/>
    <w:semiHidden/>
    <w:qFormat/>
    <w:uiPriority w:val="0"/>
    <w:rPr>
      <w:lang w:val="en-GB"/>
    </w:rPr>
  </w:style>
  <w:style w:type="table" w:customStyle="1" w:styleId="286">
    <w:name w:val="网格表 1 浅色1"/>
    <w:basedOn w:val="88"/>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287">
    <w:name w:val="网格表 1 浅色 - 着色 11"/>
    <w:basedOn w:val="88"/>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288">
    <w:name w:val="网格表 1 浅色 - 着色 21"/>
    <w:basedOn w:val="88"/>
    <w:qFormat/>
    <w:uiPriority w:val="46"/>
    <w:tblPr>
      <w:tblBorders>
        <w:top w:val="single" w:color="E5B8B7" w:themeColor="accent2" w:themeTint="66" w:sz="4" w:space="0"/>
        <w:left w:val="single" w:color="E5B8B7" w:themeColor="accent2" w:themeTint="66" w:sz="4" w:space="0"/>
        <w:bottom w:val="single" w:color="E5B8B7" w:themeColor="accent2" w:themeTint="66" w:sz="4" w:space="0"/>
        <w:right w:val="single" w:color="E5B8B7" w:themeColor="accent2" w:themeTint="66" w:sz="4" w:space="0"/>
        <w:insideH w:val="single" w:color="E5B8B7" w:themeColor="accent2" w:themeTint="66" w:sz="4" w:space="0"/>
        <w:insideV w:val="single" w:color="E5B8B7" w:themeColor="accent2" w:themeTint="66" w:sz="4" w:space="0"/>
      </w:tblBorders>
      <w:tblCellMar>
        <w:top w:w="0" w:type="dxa"/>
        <w:left w:w="108" w:type="dxa"/>
        <w:bottom w:w="0" w:type="dxa"/>
        <w:right w:w="108" w:type="dxa"/>
      </w:tblCellMar>
    </w:tblPr>
    <w:tblStylePr w:type="firstRow">
      <w:rPr>
        <w:b/>
        <w:bCs/>
      </w:rPr>
      <w:tcPr>
        <w:tcBorders>
          <w:bottom w:val="single" w:color="D99594" w:themeColor="accent2" w:themeTint="99" w:sz="12" w:space="0"/>
        </w:tcBorders>
      </w:tcPr>
    </w:tblStylePr>
    <w:tblStylePr w:type="lastRow">
      <w:rPr>
        <w:b/>
        <w:bCs/>
      </w:rPr>
      <w:tcPr>
        <w:tcBorders>
          <w:top w:val="double" w:color="D99594" w:themeColor="accent2" w:themeTint="99" w:sz="2" w:space="0"/>
        </w:tcBorders>
      </w:tcPr>
    </w:tblStylePr>
    <w:tblStylePr w:type="firstCol">
      <w:rPr>
        <w:b/>
        <w:bCs/>
      </w:rPr>
    </w:tblStylePr>
    <w:tblStylePr w:type="lastCol">
      <w:rPr>
        <w:b/>
        <w:bCs/>
      </w:rPr>
    </w:tblStylePr>
  </w:style>
  <w:style w:type="table" w:customStyle="1" w:styleId="289">
    <w:name w:val="网格表 1 浅色 - 着色 31"/>
    <w:basedOn w:val="88"/>
    <w:qFormat/>
    <w:uiPriority w:val="46"/>
    <w:tblPr>
      <w:tblBorders>
        <w:top w:val="single" w:color="D6E3BC" w:themeColor="accent3" w:themeTint="66" w:sz="4" w:space="0"/>
        <w:left w:val="single" w:color="D6E3BC" w:themeColor="accent3" w:themeTint="66" w:sz="4" w:space="0"/>
        <w:bottom w:val="single" w:color="D6E3BC" w:themeColor="accent3" w:themeTint="66" w:sz="4" w:space="0"/>
        <w:right w:val="single" w:color="D6E3BC" w:themeColor="accent3" w:themeTint="66" w:sz="4" w:space="0"/>
        <w:insideH w:val="single" w:color="D6E3BC" w:themeColor="accent3" w:themeTint="66" w:sz="4" w:space="0"/>
        <w:insideV w:val="single" w:color="D6E3BC" w:themeColor="accent3" w:themeTint="66" w:sz="4" w:space="0"/>
      </w:tblBorders>
      <w:tblCellMar>
        <w:top w:w="0" w:type="dxa"/>
        <w:left w:w="108" w:type="dxa"/>
        <w:bottom w:w="0" w:type="dxa"/>
        <w:right w:w="108" w:type="dxa"/>
      </w:tblCellMar>
    </w:tblPr>
    <w:tblStylePr w:type="firstRow">
      <w:rPr>
        <w:b/>
        <w:bCs/>
      </w:rPr>
      <w:tcPr>
        <w:tcBorders>
          <w:bottom w:val="single" w:color="C2D69B" w:themeColor="accent3" w:themeTint="99" w:sz="12" w:space="0"/>
        </w:tcBorders>
      </w:tcPr>
    </w:tblStylePr>
    <w:tblStylePr w:type="lastRow">
      <w:rPr>
        <w:b/>
        <w:bCs/>
      </w:rPr>
      <w:tcPr>
        <w:tcBorders>
          <w:top w:val="double" w:color="C2D69B" w:themeColor="accent3" w:themeTint="99" w:sz="2" w:space="0"/>
        </w:tcBorders>
      </w:tcPr>
    </w:tblStylePr>
    <w:tblStylePr w:type="firstCol">
      <w:rPr>
        <w:b/>
        <w:bCs/>
      </w:rPr>
    </w:tblStylePr>
    <w:tblStylePr w:type="lastCol">
      <w:rPr>
        <w:b/>
        <w:bCs/>
      </w:rPr>
    </w:tblStylePr>
  </w:style>
  <w:style w:type="table" w:customStyle="1" w:styleId="290">
    <w:name w:val="网格表 1 浅色 - 着色 41"/>
    <w:basedOn w:val="88"/>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291">
    <w:name w:val="网格表 1 浅色 - 着色 51"/>
    <w:basedOn w:val="88"/>
    <w:qFormat/>
    <w:uiPriority w:val="46"/>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CellMar>
        <w:top w:w="0" w:type="dxa"/>
        <w:left w:w="108" w:type="dxa"/>
        <w:bottom w:w="0" w:type="dxa"/>
        <w:right w:w="108" w:type="dxa"/>
      </w:tblCellMar>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292">
    <w:name w:val="网格表 1 浅色 - 着色 61"/>
    <w:basedOn w:val="88"/>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table" w:customStyle="1" w:styleId="293">
    <w:name w:val="网格表 21"/>
    <w:basedOn w:val="88"/>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CellMar>
        <w:top w:w="0" w:type="dxa"/>
        <w:left w:w="108" w:type="dxa"/>
        <w:bottom w:w="0" w:type="dxa"/>
        <w:right w:w="108" w:type="dxa"/>
      </w:tblCellMar>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294">
    <w:name w:val="网格表 2 - 着色 11"/>
    <w:basedOn w:val="88"/>
    <w:qFormat/>
    <w:uiPriority w:val="47"/>
    <w:tblPr>
      <w:tblBorders>
        <w:top w:val="single" w:color="95B3D7" w:themeColor="accent1" w:themeTint="99" w:sz="2" w:space="0"/>
        <w:bottom w:val="single" w:color="95B3D7" w:themeColor="accent1" w:themeTint="99" w:sz="2" w:space="0"/>
        <w:insideH w:val="single" w:color="95B3D7" w:themeColor="accent1" w:themeTint="99" w:sz="2" w:space="0"/>
        <w:insideV w:val="single" w:color="95B3D7" w:themeColor="accent1" w:themeTint="99" w:sz="2" w:space="0"/>
      </w:tblBorders>
      <w:tblCellMar>
        <w:top w:w="0" w:type="dxa"/>
        <w:left w:w="108" w:type="dxa"/>
        <w:bottom w:w="0" w:type="dxa"/>
        <w:right w:w="108" w:type="dxa"/>
      </w:tblCellMar>
    </w:tblPr>
    <w:tblStylePr w:type="firstRow">
      <w:rPr>
        <w:b/>
        <w:bCs/>
      </w:rPr>
      <w:tcPr>
        <w:tcBorders>
          <w:top w:val="nil"/>
          <w:bottom w:val="single" w:color="95B3D7" w:themeColor="accent1" w:themeTint="99" w:sz="12" w:space="0"/>
          <w:insideH w:val="nil"/>
          <w:insideV w:val="nil"/>
        </w:tcBorders>
        <w:shd w:val="clear" w:color="auto" w:fill="FFFFFF" w:themeFill="background1"/>
      </w:tcPr>
    </w:tblStylePr>
    <w:tblStylePr w:type="lastRow">
      <w:rPr>
        <w:b/>
        <w:bCs/>
      </w:rPr>
      <w:tcPr>
        <w:tcBorders>
          <w:top w:val="double" w:color="95B3D7"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295">
    <w:name w:val="网格表 2 - 着色 21"/>
    <w:basedOn w:val="88"/>
    <w:qFormat/>
    <w:uiPriority w:val="47"/>
    <w:tblPr>
      <w:tblBorders>
        <w:top w:val="single" w:color="D99594" w:themeColor="accent2" w:themeTint="99" w:sz="2" w:space="0"/>
        <w:bottom w:val="single" w:color="D99594" w:themeColor="accent2" w:themeTint="99" w:sz="2" w:space="0"/>
        <w:insideH w:val="single" w:color="D99594" w:themeColor="accent2" w:themeTint="99" w:sz="2" w:space="0"/>
        <w:insideV w:val="single" w:color="D99594" w:themeColor="accent2" w:themeTint="99" w:sz="2" w:space="0"/>
      </w:tblBorders>
      <w:tblCellMar>
        <w:top w:w="0" w:type="dxa"/>
        <w:left w:w="108" w:type="dxa"/>
        <w:bottom w:w="0" w:type="dxa"/>
        <w:right w:w="108" w:type="dxa"/>
      </w:tblCellMar>
    </w:tblPr>
    <w:tblStylePr w:type="firstRow">
      <w:rPr>
        <w:b/>
        <w:bCs/>
      </w:rPr>
      <w:tcPr>
        <w:tcBorders>
          <w:top w:val="nil"/>
          <w:bottom w:val="single" w:color="D99594" w:themeColor="accent2" w:themeTint="99" w:sz="12" w:space="0"/>
          <w:insideH w:val="nil"/>
          <w:insideV w:val="nil"/>
        </w:tcBorders>
        <w:shd w:val="clear" w:color="auto" w:fill="FFFFFF" w:themeFill="background1"/>
      </w:tcPr>
    </w:tblStylePr>
    <w:tblStylePr w:type="lastRow">
      <w:rPr>
        <w:b/>
        <w:bCs/>
      </w:rPr>
      <w:tcPr>
        <w:tcBorders>
          <w:top w:val="double" w:color="D99594"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296">
    <w:name w:val="网格表 2 - 着色 31"/>
    <w:basedOn w:val="88"/>
    <w:qFormat/>
    <w:uiPriority w:val="47"/>
    <w:tblPr>
      <w:tblBorders>
        <w:top w:val="single" w:color="C2D69B" w:themeColor="accent3" w:themeTint="99" w:sz="2" w:space="0"/>
        <w:bottom w:val="single" w:color="C2D69B" w:themeColor="accent3" w:themeTint="99" w:sz="2" w:space="0"/>
        <w:insideH w:val="single" w:color="C2D69B" w:themeColor="accent3" w:themeTint="99" w:sz="2" w:space="0"/>
        <w:insideV w:val="single" w:color="C2D69B" w:themeColor="accent3" w:themeTint="99" w:sz="2" w:space="0"/>
      </w:tblBorders>
      <w:tblCellMar>
        <w:top w:w="0" w:type="dxa"/>
        <w:left w:w="108" w:type="dxa"/>
        <w:bottom w:w="0" w:type="dxa"/>
        <w:right w:w="108" w:type="dxa"/>
      </w:tblCellMar>
    </w:tblPr>
    <w:tblStylePr w:type="firstRow">
      <w:rPr>
        <w:b/>
        <w:bCs/>
      </w:rPr>
      <w:tcPr>
        <w:tcBorders>
          <w:top w:val="nil"/>
          <w:bottom w:val="single" w:color="C2D69B" w:themeColor="accent3" w:themeTint="99" w:sz="12" w:space="0"/>
          <w:insideH w:val="nil"/>
          <w:insideV w:val="nil"/>
        </w:tcBorders>
        <w:shd w:val="clear" w:color="auto" w:fill="FFFFFF" w:themeFill="background1"/>
      </w:tcPr>
    </w:tblStylePr>
    <w:tblStylePr w:type="lastRow">
      <w:rPr>
        <w:b/>
        <w:bCs/>
      </w:rPr>
      <w:tcPr>
        <w:tcBorders>
          <w:top w:val="double" w:color="C2D69B"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297">
    <w:name w:val="网格表 2 - 着色 41"/>
    <w:basedOn w:val="88"/>
    <w:qFormat/>
    <w:uiPriority w:val="47"/>
    <w:tblPr>
      <w:tblBorders>
        <w:top w:val="single" w:color="B2A1C7" w:themeColor="accent4" w:themeTint="99" w:sz="2" w:space="0"/>
        <w:bottom w:val="single" w:color="B2A1C7" w:themeColor="accent4" w:themeTint="99" w:sz="2" w:space="0"/>
        <w:insideH w:val="single" w:color="B2A1C7" w:themeColor="accent4" w:themeTint="99" w:sz="2" w:space="0"/>
        <w:insideV w:val="single" w:color="B2A1C7" w:themeColor="accent4" w:themeTint="99" w:sz="2" w:space="0"/>
      </w:tblBorders>
      <w:tblCellMar>
        <w:top w:w="0" w:type="dxa"/>
        <w:left w:w="108" w:type="dxa"/>
        <w:bottom w:w="0" w:type="dxa"/>
        <w:right w:w="108" w:type="dxa"/>
      </w:tblCellMar>
    </w:tblPr>
    <w:tblStylePr w:type="firstRow">
      <w:rPr>
        <w:b/>
        <w:bCs/>
      </w:rPr>
      <w:tcPr>
        <w:tcBorders>
          <w:top w:val="nil"/>
          <w:bottom w:val="single" w:color="B2A1C7" w:themeColor="accent4" w:themeTint="99" w:sz="12" w:space="0"/>
          <w:insideH w:val="nil"/>
          <w:insideV w:val="nil"/>
        </w:tcBorders>
        <w:shd w:val="clear" w:color="auto" w:fill="FFFFFF" w:themeFill="background1"/>
      </w:tcPr>
    </w:tblStylePr>
    <w:tblStylePr w:type="lastRow">
      <w:rPr>
        <w:b/>
        <w:bCs/>
      </w:rPr>
      <w:tcPr>
        <w:tcBorders>
          <w:top w:val="double" w:color="B2A1C7"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298">
    <w:name w:val="网格表 2 - 着色 51"/>
    <w:basedOn w:val="88"/>
    <w:qFormat/>
    <w:uiPriority w:val="47"/>
    <w:tblPr>
      <w:tblBorders>
        <w:top w:val="single" w:color="92CDDC" w:themeColor="accent5" w:themeTint="99" w:sz="2" w:space="0"/>
        <w:bottom w:val="single" w:color="92CDDC" w:themeColor="accent5" w:themeTint="99" w:sz="2" w:space="0"/>
        <w:insideH w:val="single" w:color="92CDDC" w:themeColor="accent5" w:themeTint="99" w:sz="2" w:space="0"/>
        <w:insideV w:val="single" w:color="92CDDC" w:themeColor="accent5" w:themeTint="99" w:sz="2" w:space="0"/>
      </w:tblBorders>
      <w:tblCellMar>
        <w:top w:w="0" w:type="dxa"/>
        <w:left w:w="108" w:type="dxa"/>
        <w:bottom w:w="0" w:type="dxa"/>
        <w:right w:w="108" w:type="dxa"/>
      </w:tblCellMar>
    </w:tblPr>
    <w:tblStylePr w:type="firstRow">
      <w:rPr>
        <w:b/>
        <w:bCs/>
      </w:rPr>
      <w:tcPr>
        <w:tcBorders>
          <w:top w:val="nil"/>
          <w:bottom w:val="single" w:color="92CDDC" w:themeColor="accent5" w:themeTint="99" w:sz="12" w:space="0"/>
          <w:insideH w:val="nil"/>
          <w:insideV w:val="nil"/>
        </w:tcBorders>
        <w:shd w:val="clear" w:color="auto" w:fill="FFFFFF" w:themeFill="background1"/>
      </w:tcPr>
    </w:tblStylePr>
    <w:tblStylePr w:type="lastRow">
      <w:rPr>
        <w:b/>
        <w:bCs/>
      </w:rPr>
      <w:tcPr>
        <w:tcBorders>
          <w:top w:val="double" w:color="92CDDC"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299">
    <w:name w:val="网格表 2 - 着色 61"/>
    <w:basedOn w:val="88"/>
    <w:qFormat/>
    <w:uiPriority w:val="47"/>
    <w:tblPr>
      <w:tblBorders>
        <w:top w:val="single" w:color="FABF8F" w:themeColor="accent6" w:themeTint="99" w:sz="2" w:space="0"/>
        <w:bottom w:val="single" w:color="FABF8F" w:themeColor="accent6" w:themeTint="99" w:sz="2" w:space="0"/>
        <w:insideH w:val="single" w:color="FABF8F" w:themeColor="accent6" w:themeTint="99" w:sz="2" w:space="0"/>
        <w:insideV w:val="single" w:color="FABF8F" w:themeColor="accent6" w:themeTint="99" w:sz="2" w:space="0"/>
      </w:tblBorders>
      <w:tblCellMar>
        <w:top w:w="0" w:type="dxa"/>
        <w:left w:w="108" w:type="dxa"/>
        <w:bottom w:w="0" w:type="dxa"/>
        <w:right w:w="108" w:type="dxa"/>
      </w:tblCellMar>
    </w:tblPr>
    <w:tblStylePr w:type="firstRow">
      <w:rPr>
        <w:b/>
        <w:bCs/>
      </w:rPr>
      <w:tcPr>
        <w:tcBorders>
          <w:top w:val="nil"/>
          <w:bottom w:val="single" w:color="FABF8F" w:themeColor="accent6" w:themeTint="99" w:sz="12" w:space="0"/>
          <w:insideH w:val="nil"/>
          <w:insideV w:val="nil"/>
        </w:tcBorders>
        <w:shd w:val="clear" w:color="auto" w:fill="FFFFFF" w:themeFill="background1"/>
      </w:tcPr>
    </w:tblStylePr>
    <w:tblStylePr w:type="lastRow">
      <w:rPr>
        <w:b/>
        <w:bCs/>
      </w:rPr>
      <w:tcPr>
        <w:tcBorders>
          <w:top w:val="double" w:color="FABF8F"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300">
    <w:name w:val="网格表 31"/>
    <w:basedOn w:val="88"/>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01">
    <w:name w:val="网格表 3 - 着色 11"/>
    <w:basedOn w:val="88"/>
    <w:qFormat/>
    <w:uiPriority w:val="48"/>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bottom w:val="single" w:color="95B3D7" w:themeColor="accent1" w:themeTint="99" w:sz="4" w:space="0"/>
        </w:tcBorders>
      </w:tcPr>
    </w:tblStylePr>
    <w:tblStylePr w:type="nwCell">
      <w:tcPr>
        <w:tcBorders>
          <w:bottom w:val="single" w:color="95B3D7" w:themeColor="accent1" w:themeTint="99" w:sz="4" w:space="0"/>
        </w:tcBorders>
      </w:tcPr>
    </w:tblStylePr>
    <w:tblStylePr w:type="seCell">
      <w:tcPr>
        <w:tcBorders>
          <w:top w:val="single" w:color="95B3D7" w:themeColor="accent1" w:themeTint="99" w:sz="4" w:space="0"/>
        </w:tcBorders>
      </w:tcPr>
    </w:tblStylePr>
    <w:tblStylePr w:type="swCell">
      <w:tcPr>
        <w:tcBorders>
          <w:top w:val="single" w:color="95B3D7" w:themeColor="accent1" w:themeTint="99" w:sz="4" w:space="0"/>
        </w:tcBorders>
      </w:tcPr>
    </w:tblStylePr>
  </w:style>
  <w:style w:type="table" w:customStyle="1" w:styleId="302">
    <w:name w:val="网格表 3 - 着色 21"/>
    <w:basedOn w:val="88"/>
    <w:qFormat/>
    <w:uiPriority w:val="48"/>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2DBDB" w:themeFill="accent2" w:themeFillTint="33"/>
      </w:tcPr>
    </w:tblStylePr>
    <w:tblStylePr w:type="band1Horz">
      <w:tcPr>
        <w:shd w:val="clear" w:color="auto" w:fill="F2DBDB" w:themeFill="accent2" w:themeFillTint="33"/>
      </w:tcPr>
    </w:tblStylePr>
    <w:tblStylePr w:type="neCell">
      <w:tcPr>
        <w:tcBorders>
          <w:bottom w:val="single" w:color="D99594" w:themeColor="accent2" w:themeTint="99" w:sz="4" w:space="0"/>
        </w:tcBorders>
      </w:tcPr>
    </w:tblStylePr>
    <w:tblStylePr w:type="nwCell">
      <w:tcPr>
        <w:tcBorders>
          <w:bottom w:val="single" w:color="D99594" w:themeColor="accent2" w:themeTint="99" w:sz="4" w:space="0"/>
        </w:tcBorders>
      </w:tcPr>
    </w:tblStylePr>
    <w:tblStylePr w:type="seCell">
      <w:tcPr>
        <w:tcBorders>
          <w:top w:val="single" w:color="D99594" w:themeColor="accent2" w:themeTint="99" w:sz="4" w:space="0"/>
        </w:tcBorders>
      </w:tcPr>
    </w:tblStylePr>
    <w:tblStylePr w:type="swCell">
      <w:tcPr>
        <w:tcBorders>
          <w:top w:val="single" w:color="D99594" w:themeColor="accent2" w:themeTint="99" w:sz="4" w:space="0"/>
        </w:tcBorders>
      </w:tcPr>
    </w:tblStylePr>
  </w:style>
  <w:style w:type="table" w:customStyle="1" w:styleId="303">
    <w:name w:val="网格表 3 - 着色 31"/>
    <w:basedOn w:val="88"/>
    <w:uiPriority w:val="48"/>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AF1DD" w:themeFill="accent3" w:themeFillTint="33"/>
      </w:tcPr>
    </w:tblStylePr>
    <w:tblStylePr w:type="band1Horz">
      <w:tcPr>
        <w:shd w:val="clear" w:color="auto" w:fill="EAF1DD" w:themeFill="accent3" w:themeFillTint="33"/>
      </w:tcPr>
    </w:tblStylePr>
    <w:tblStylePr w:type="neCell">
      <w:tcPr>
        <w:tcBorders>
          <w:bottom w:val="single" w:color="C2D69B" w:themeColor="accent3" w:themeTint="99" w:sz="4" w:space="0"/>
        </w:tcBorders>
      </w:tcPr>
    </w:tblStylePr>
    <w:tblStylePr w:type="nwCell">
      <w:tcPr>
        <w:tcBorders>
          <w:bottom w:val="single" w:color="C2D69B" w:themeColor="accent3" w:themeTint="99" w:sz="4" w:space="0"/>
        </w:tcBorders>
      </w:tcPr>
    </w:tblStylePr>
    <w:tblStylePr w:type="seCell">
      <w:tcPr>
        <w:tcBorders>
          <w:top w:val="single" w:color="C2D69B" w:themeColor="accent3" w:themeTint="99" w:sz="4" w:space="0"/>
        </w:tcBorders>
      </w:tcPr>
    </w:tblStylePr>
    <w:tblStylePr w:type="swCell">
      <w:tcPr>
        <w:tcBorders>
          <w:top w:val="single" w:color="C2D69B" w:themeColor="accent3" w:themeTint="99" w:sz="4" w:space="0"/>
        </w:tcBorders>
      </w:tcPr>
    </w:tblStylePr>
  </w:style>
  <w:style w:type="table" w:customStyle="1" w:styleId="304">
    <w:name w:val="网格表 3 - 着色 41"/>
    <w:basedOn w:val="88"/>
    <w:qFormat/>
    <w:uiPriority w:val="48"/>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5DFEC" w:themeFill="accent4" w:themeFillTint="33"/>
      </w:tcPr>
    </w:tblStylePr>
    <w:tblStylePr w:type="band1Horz">
      <w:tcPr>
        <w:shd w:val="clear" w:color="auto" w:fill="E5DFEC" w:themeFill="accent4" w:themeFillTint="33"/>
      </w:tcPr>
    </w:tblStylePr>
    <w:tblStylePr w:type="neCell">
      <w:tcPr>
        <w:tcBorders>
          <w:bottom w:val="single" w:color="B2A1C7" w:themeColor="accent4" w:themeTint="99" w:sz="4" w:space="0"/>
        </w:tcBorders>
      </w:tcPr>
    </w:tblStylePr>
    <w:tblStylePr w:type="nwCell">
      <w:tcPr>
        <w:tcBorders>
          <w:bottom w:val="single" w:color="B2A1C7" w:themeColor="accent4" w:themeTint="99" w:sz="4" w:space="0"/>
        </w:tcBorders>
      </w:tcPr>
    </w:tblStylePr>
    <w:tblStylePr w:type="seCell">
      <w:tcPr>
        <w:tcBorders>
          <w:top w:val="single" w:color="B2A1C7" w:themeColor="accent4" w:themeTint="99" w:sz="4" w:space="0"/>
        </w:tcBorders>
      </w:tcPr>
    </w:tblStylePr>
    <w:tblStylePr w:type="swCell">
      <w:tcPr>
        <w:tcBorders>
          <w:top w:val="single" w:color="B2A1C7" w:themeColor="accent4" w:themeTint="99" w:sz="4" w:space="0"/>
        </w:tcBorders>
      </w:tcPr>
    </w:tblStylePr>
  </w:style>
  <w:style w:type="table" w:customStyle="1" w:styleId="305">
    <w:name w:val="网格表 3 - 着色 51"/>
    <w:basedOn w:val="88"/>
    <w:qFormat/>
    <w:uiPriority w:val="48"/>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AEEF3" w:themeFill="accent5" w:themeFillTint="33"/>
      </w:tcPr>
    </w:tblStylePr>
    <w:tblStylePr w:type="band1Horz">
      <w:tcPr>
        <w:shd w:val="clear" w:color="auto" w:fill="DAEEF3" w:themeFill="accent5" w:themeFillTint="33"/>
      </w:tcPr>
    </w:tblStylePr>
    <w:tblStylePr w:type="neCell">
      <w:tcPr>
        <w:tcBorders>
          <w:bottom w:val="single" w:color="92CDDC" w:themeColor="accent5" w:themeTint="99" w:sz="4" w:space="0"/>
        </w:tcBorders>
      </w:tcPr>
    </w:tblStylePr>
    <w:tblStylePr w:type="nwCell">
      <w:tcPr>
        <w:tcBorders>
          <w:bottom w:val="single" w:color="92CDDC" w:themeColor="accent5" w:themeTint="99" w:sz="4" w:space="0"/>
        </w:tcBorders>
      </w:tcPr>
    </w:tblStylePr>
    <w:tblStylePr w:type="seCell">
      <w:tcPr>
        <w:tcBorders>
          <w:top w:val="single" w:color="92CDDC" w:themeColor="accent5" w:themeTint="99" w:sz="4" w:space="0"/>
        </w:tcBorders>
      </w:tcPr>
    </w:tblStylePr>
    <w:tblStylePr w:type="swCell">
      <w:tcPr>
        <w:tcBorders>
          <w:top w:val="single" w:color="92CDDC" w:themeColor="accent5" w:themeTint="99" w:sz="4" w:space="0"/>
        </w:tcBorders>
      </w:tcPr>
    </w:tblStylePr>
  </w:style>
  <w:style w:type="table" w:customStyle="1" w:styleId="306">
    <w:name w:val="网格表 3 - 着色 61"/>
    <w:basedOn w:val="88"/>
    <w:qFormat/>
    <w:uiPriority w:val="48"/>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table" w:customStyle="1" w:styleId="307">
    <w:name w:val="网格表 41"/>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08">
    <w:name w:val="网格表 4 - 着色 11"/>
    <w:basedOn w:val="88"/>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09">
    <w:name w:val="网格表 4 - 着色 21"/>
    <w:basedOn w:val="88"/>
    <w:uiPriority w:val="49"/>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310">
    <w:name w:val="网格表 4 - 着色 31"/>
    <w:basedOn w:val="88"/>
    <w:qFormat/>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11">
    <w:name w:val="网格表 4 - 着色 41"/>
    <w:basedOn w:val="88"/>
    <w:qFormat/>
    <w:uiPriority w:val="49"/>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cPr>
        <w:tcBorders>
          <w:top w:val="double" w:color="8064A2" w:themeColor="accent4"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312">
    <w:name w:val="网格表 4 - 着色 51"/>
    <w:basedOn w:val="88"/>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313">
    <w:name w:val="网格表 4 - 着色 61"/>
    <w:basedOn w:val="88"/>
    <w:uiPriority w:val="49"/>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314">
    <w:name w:val="网格表 5 深色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315">
    <w:name w:val="网格表 5 深色 - 着色 11"/>
    <w:basedOn w:val="88"/>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cPr>
        <w:shd w:val="clear" w:color="auto" w:fill="B8CCE4" w:themeFill="accent1" w:themeFillTint="66"/>
      </w:tcPr>
    </w:tblStylePr>
    <w:tblStylePr w:type="band1Horz">
      <w:tcPr>
        <w:shd w:val="clear" w:color="auto" w:fill="B8CCE4" w:themeFill="accent1" w:themeFillTint="66"/>
      </w:tcPr>
    </w:tblStylePr>
  </w:style>
  <w:style w:type="table" w:customStyle="1" w:styleId="316">
    <w:name w:val="网格表 5 深色 - 着色 2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0504D"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0504D"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C0504D"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0504D" w:themeFill="accent2"/>
      </w:tcPr>
    </w:tblStylePr>
    <w:tblStylePr w:type="band1Vert">
      <w:tcPr>
        <w:shd w:val="clear" w:color="auto" w:fill="E5B8B7" w:themeFill="accent2" w:themeFillTint="66"/>
      </w:tcPr>
    </w:tblStylePr>
    <w:tblStylePr w:type="band1Horz">
      <w:tcPr>
        <w:shd w:val="clear" w:color="auto" w:fill="E5B8B7" w:themeFill="accent2" w:themeFillTint="66"/>
      </w:tcPr>
    </w:tblStylePr>
  </w:style>
  <w:style w:type="table" w:customStyle="1" w:styleId="317">
    <w:name w:val="网格表 5 深色 - 着色 3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cPr>
        <w:shd w:val="clear" w:color="auto" w:fill="D6E3BC" w:themeFill="accent3" w:themeFillTint="66"/>
      </w:tcPr>
    </w:tblStylePr>
    <w:tblStylePr w:type="band1Horz">
      <w:tcPr>
        <w:shd w:val="clear" w:color="auto" w:fill="D6E3BC" w:themeFill="accent3" w:themeFillTint="66"/>
      </w:tcPr>
    </w:tblStylePr>
  </w:style>
  <w:style w:type="table" w:customStyle="1" w:styleId="318">
    <w:name w:val="网格表 5 深色 - 着色 4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064A2"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064A2"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8064A2"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064A2" w:themeFill="accent4"/>
      </w:tcPr>
    </w:tblStylePr>
    <w:tblStylePr w:type="band1Vert">
      <w:tcPr>
        <w:shd w:val="clear" w:color="auto" w:fill="CCC0D9" w:themeFill="accent4" w:themeFillTint="66"/>
      </w:tcPr>
    </w:tblStylePr>
    <w:tblStylePr w:type="band1Horz">
      <w:tcPr>
        <w:shd w:val="clear" w:color="auto" w:fill="CCC0D9" w:themeFill="accent4" w:themeFillTint="66"/>
      </w:tcPr>
    </w:tblStylePr>
  </w:style>
  <w:style w:type="table" w:customStyle="1" w:styleId="319">
    <w:name w:val="网格表 5 深色 - 着色 5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cPr>
        <w:shd w:val="clear" w:color="auto" w:fill="B6DDE8" w:themeFill="accent5" w:themeFillTint="66"/>
      </w:tcPr>
    </w:tblStylePr>
    <w:tblStylePr w:type="band1Horz">
      <w:tcPr>
        <w:shd w:val="clear" w:color="auto" w:fill="B6DDE8" w:themeFill="accent5" w:themeFillTint="66"/>
      </w:tcPr>
    </w:tblStylePr>
  </w:style>
  <w:style w:type="table" w:customStyle="1" w:styleId="320">
    <w:name w:val="网格表 5 深色 - 着色 6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79646"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79646"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79646"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79646" w:themeFill="accent6"/>
      </w:tcPr>
    </w:tblStylePr>
    <w:tblStylePr w:type="band1Vert">
      <w:tcPr>
        <w:shd w:val="clear" w:color="auto" w:fill="FBD4B4" w:themeFill="accent6" w:themeFillTint="66"/>
      </w:tcPr>
    </w:tblStylePr>
    <w:tblStylePr w:type="band1Horz">
      <w:tcPr>
        <w:shd w:val="clear" w:color="auto" w:fill="FBD4B4" w:themeFill="accent6" w:themeFillTint="66"/>
      </w:tcPr>
    </w:tblStylePr>
  </w:style>
  <w:style w:type="table" w:customStyle="1" w:styleId="321">
    <w:name w:val="网格表 6 彩色1"/>
    <w:basedOn w:val="88"/>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22">
    <w:name w:val="网格表 6 彩色 - 着色 11"/>
    <w:basedOn w:val="88"/>
    <w:qFormat/>
    <w:uiPriority w:val="51"/>
    <w:rPr>
      <w:color w:val="376092" w:themeColor="accent1" w:themeShade="BF"/>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23">
    <w:name w:val="网格表 6 彩色 - 着色 21"/>
    <w:basedOn w:val="88"/>
    <w:qFormat/>
    <w:uiPriority w:val="51"/>
    <w:rPr>
      <w:color w:val="953735" w:themeColor="accent2" w:themeShade="BF"/>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CellMar>
        <w:top w:w="0" w:type="dxa"/>
        <w:left w:w="108" w:type="dxa"/>
        <w:bottom w:w="0" w:type="dxa"/>
        <w:right w:w="108" w:type="dxa"/>
      </w:tblCellMar>
    </w:tblPr>
    <w:tblStylePr w:type="firstRow">
      <w:rPr>
        <w:b/>
        <w:bCs/>
      </w:rPr>
      <w:tcPr>
        <w:tcBorders>
          <w:bottom w:val="single" w:color="D99594" w:themeColor="accent2" w:themeTint="99" w:sz="12" w:space="0"/>
        </w:tcBorders>
      </w:tcPr>
    </w:tblStylePr>
    <w:tblStylePr w:type="lastRow">
      <w:rPr>
        <w:b/>
        <w:bCs/>
      </w:rPr>
      <w:tcPr>
        <w:tcBorders>
          <w:top w:val="double" w:color="D99594" w:themeColor="accent2" w:themeTint="99"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324">
    <w:name w:val="网格表 6 彩色 - 着色 31"/>
    <w:basedOn w:val="88"/>
    <w:qFormat/>
    <w:uiPriority w:val="51"/>
    <w:rPr>
      <w:color w:val="77933C" w:themeColor="accent3" w:themeShade="BF"/>
    </w:rPr>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
    <w:tblStylePr w:type="firstRow">
      <w:rPr>
        <w:b/>
        <w:bCs/>
      </w:rPr>
      <w:tcPr>
        <w:tcBorders>
          <w:bottom w:val="single" w:color="C2D69B" w:themeColor="accent3" w:themeTint="99" w:sz="12" w:space="0"/>
        </w:tcBorders>
      </w:tcPr>
    </w:tblStylePr>
    <w:tblStylePr w:type="lastRow">
      <w:rPr>
        <w:b/>
        <w:bCs/>
      </w:rPr>
      <w:tcPr>
        <w:tcBorders>
          <w:top w:val="double" w:color="C2D69B" w:themeColor="accent3" w:themeTint="99"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25">
    <w:name w:val="网格表 6 彩色 - 着色 41"/>
    <w:basedOn w:val="88"/>
    <w:qFormat/>
    <w:uiPriority w:val="51"/>
    <w:rPr>
      <w:color w:val="604A7B" w:themeColor="accent4" w:themeShade="BF"/>
    </w:rPr>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326">
    <w:name w:val="网格表 6 彩色 - 着色 51"/>
    <w:basedOn w:val="88"/>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327">
    <w:name w:val="网格表 6 彩色 - 着色 61"/>
    <w:basedOn w:val="88"/>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328">
    <w:name w:val="网格表 7 彩色1"/>
    <w:basedOn w:val="88"/>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29">
    <w:name w:val="网格表 7 彩色 - 着色 11"/>
    <w:basedOn w:val="88"/>
    <w:qFormat/>
    <w:uiPriority w:val="52"/>
    <w:rPr>
      <w:color w:val="376092" w:themeColor="accent1" w:themeShade="BF"/>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bottom w:val="single" w:color="95B3D7" w:themeColor="accent1" w:themeTint="99" w:sz="4" w:space="0"/>
        </w:tcBorders>
      </w:tcPr>
    </w:tblStylePr>
    <w:tblStylePr w:type="nwCell">
      <w:tcPr>
        <w:tcBorders>
          <w:bottom w:val="single" w:color="95B3D7" w:themeColor="accent1" w:themeTint="99" w:sz="4" w:space="0"/>
        </w:tcBorders>
      </w:tcPr>
    </w:tblStylePr>
    <w:tblStylePr w:type="seCell">
      <w:tcPr>
        <w:tcBorders>
          <w:top w:val="single" w:color="95B3D7" w:themeColor="accent1" w:themeTint="99" w:sz="4" w:space="0"/>
        </w:tcBorders>
      </w:tcPr>
    </w:tblStylePr>
    <w:tblStylePr w:type="swCell">
      <w:tcPr>
        <w:tcBorders>
          <w:top w:val="single" w:color="95B3D7" w:themeColor="accent1" w:themeTint="99" w:sz="4" w:space="0"/>
        </w:tcBorders>
      </w:tcPr>
    </w:tblStylePr>
  </w:style>
  <w:style w:type="table" w:customStyle="1" w:styleId="330">
    <w:name w:val="网格表 7 彩色 - 着色 21"/>
    <w:basedOn w:val="88"/>
    <w:qFormat/>
    <w:uiPriority w:val="52"/>
    <w:rPr>
      <w:color w:val="953735" w:themeColor="accent2" w:themeShade="BF"/>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2DBDB" w:themeFill="accent2" w:themeFillTint="33"/>
      </w:tcPr>
    </w:tblStylePr>
    <w:tblStylePr w:type="band1Horz">
      <w:tcPr>
        <w:shd w:val="clear" w:color="auto" w:fill="F2DBDB" w:themeFill="accent2" w:themeFillTint="33"/>
      </w:tcPr>
    </w:tblStylePr>
    <w:tblStylePr w:type="neCell">
      <w:tcPr>
        <w:tcBorders>
          <w:bottom w:val="single" w:color="D99594" w:themeColor="accent2" w:themeTint="99" w:sz="4" w:space="0"/>
        </w:tcBorders>
      </w:tcPr>
    </w:tblStylePr>
    <w:tblStylePr w:type="nwCell">
      <w:tcPr>
        <w:tcBorders>
          <w:bottom w:val="single" w:color="D99594" w:themeColor="accent2" w:themeTint="99" w:sz="4" w:space="0"/>
        </w:tcBorders>
      </w:tcPr>
    </w:tblStylePr>
    <w:tblStylePr w:type="seCell">
      <w:tcPr>
        <w:tcBorders>
          <w:top w:val="single" w:color="D99594" w:themeColor="accent2" w:themeTint="99" w:sz="4" w:space="0"/>
        </w:tcBorders>
      </w:tcPr>
    </w:tblStylePr>
    <w:tblStylePr w:type="swCell">
      <w:tcPr>
        <w:tcBorders>
          <w:top w:val="single" w:color="D99594" w:themeColor="accent2" w:themeTint="99" w:sz="4" w:space="0"/>
        </w:tcBorders>
      </w:tcPr>
    </w:tblStylePr>
  </w:style>
  <w:style w:type="table" w:customStyle="1" w:styleId="331">
    <w:name w:val="网格表 7 彩色 - 着色 31"/>
    <w:basedOn w:val="88"/>
    <w:qFormat/>
    <w:uiPriority w:val="52"/>
    <w:rPr>
      <w:color w:val="77933C" w:themeColor="accent3" w:themeShade="BF"/>
    </w:rPr>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AF1DD" w:themeFill="accent3" w:themeFillTint="33"/>
      </w:tcPr>
    </w:tblStylePr>
    <w:tblStylePr w:type="band1Horz">
      <w:tcPr>
        <w:shd w:val="clear" w:color="auto" w:fill="EAF1DD" w:themeFill="accent3" w:themeFillTint="33"/>
      </w:tcPr>
    </w:tblStylePr>
    <w:tblStylePr w:type="neCell">
      <w:tcPr>
        <w:tcBorders>
          <w:bottom w:val="single" w:color="C2D69B" w:themeColor="accent3" w:themeTint="99" w:sz="4" w:space="0"/>
        </w:tcBorders>
      </w:tcPr>
    </w:tblStylePr>
    <w:tblStylePr w:type="nwCell">
      <w:tcPr>
        <w:tcBorders>
          <w:bottom w:val="single" w:color="C2D69B" w:themeColor="accent3" w:themeTint="99" w:sz="4" w:space="0"/>
        </w:tcBorders>
      </w:tcPr>
    </w:tblStylePr>
    <w:tblStylePr w:type="seCell">
      <w:tcPr>
        <w:tcBorders>
          <w:top w:val="single" w:color="C2D69B" w:themeColor="accent3" w:themeTint="99" w:sz="4" w:space="0"/>
        </w:tcBorders>
      </w:tcPr>
    </w:tblStylePr>
    <w:tblStylePr w:type="swCell">
      <w:tcPr>
        <w:tcBorders>
          <w:top w:val="single" w:color="C2D69B" w:themeColor="accent3" w:themeTint="99" w:sz="4" w:space="0"/>
        </w:tcBorders>
      </w:tcPr>
    </w:tblStylePr>
  </w:style>
  <w:style w:type="table" w:customStyle="1" w:styleId="332">
    <w:name w:val="网格表 7 彩色 - 着色 41"/>
    <w:basedOn w:val="88"/>
    <w:qFormat/>
    <w:uiPriority w:val="52"/>
    <w:rPr>
      <w:color w:val="604A7B" w:themeColor="accent4" w:themeShade="BF"/>
    </w:rPr>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5DFEC" w:themeFill="accent4" w:themeFillTint="33"/>
      </w:tcPr>
    </w:tblStylePr>
    <w:tblStylePr w:type="band1Horz">
      <w:tcPr>
        <w:shd w:val="clear" w:color="auto" w:fill="E5DFEC" w:themeFill="accent4" w:themeFillTint="33"/>
      </w:tcPr>
    </w:tblStylePr>
    <w:tblStylePr w:type="neCell">
      <w:tcPr>
        <w:tcBorders>
          <w:bottom w:val="single" w:color="B2A1C7" w:themeColor="accent4" w:themeTint="99" w:sz="4" w:space="0"/>
        </w:tcBorders>
      </w:tcPr>
    </w:tblStylePr>
    <w:tblStylePr w:type="nwCell">
      <w:tcPr>
        <w:tcBorders>
          <w:bottom w:val="single" w:color="B2A1C7" w:themeColor="accent4" w:themeTint="99" w:sz="4" w:space="0"/>
        </w:tcBorders>
      </w:tcPr>
    </w:tblStylePr>
    <w:tblStylePr w:type="seCell">
      <w:tcPr>
        <w:tcBorders>
          <w:top w:val="single" w:color="B2A1C7" w:themeColor="accent4" w:themeTint="99" w:sz="4" w:space="0"/>
        </w:tcBorders>
      </w:tcPr>
    </w:tblStylePr>
    <w:tblStylePr w:type="swCell">
      <w:tcPr>
        <w:tcBorders>
          <w:top w:val="single" w:color="B2A1C7" w:themeColor="accent4" w:themeTint="99" w:sz="4" w:space="0"/>
        </w:tcBorders>
      </w:tcPr>
    </w:tblStylePr>
  </w:style>
  <w:style w:type="table" w:customStyle="1" w:styleId="333">
    <w:name w:val="网格表 7 彩色 - 着色 51"/>
    <w:basedOn w:val="88"/>
    <w:qFormat/>
    <w:uiPriority w:val="52"/>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AEEF3" w:themeFill="accent5" w:themeFillTint="33"/>
      </w:tcPr>
    </w:tblStylePr>
    <w:tblStylePr w:type="band1Horz">
      <w:tcPr>
        <w:shd w:val="clear" w:color="auto" w:fill="DAEEF3" w:themeFill="accent5" w:themeFillTint="33"/>
      </w:tcPr>
    </w:tblStylePr>
    <w:tblStylePr w:type="neCell">
      <w:tcPr>
        <w:tcBorders>
          <w:bottom w:val="single" w:color="92CDDC" w:themeColor="accent5" w:themeTint="99" w:sz="4" w:space="0"/>
        </w:tcBorders>
      </w:tcPr>
    </w:tblStylePr>
    <w:tblStylePr w:type="nwCell">
      <w:tcPr>
        <w:tcBorders>
          <w:bottom w:val="single" w:color="92CDDC" w:themeColor="accent5" w:themeTint="99" w:sz="4" w:space="0"/>
        </w:tcBorders>
      </w:tcPr>
    </w:tblStylePr>
    <w:tblStylePr w:type="seCell">
      <w:tcPr>
        <w:tcBorders>
          <w:top w:val="single" w:color="92CDDC" w:themeColor="accent5" w:themeTint="99" w:sz="4" w:space="0"/>
        </w:tcBorders>
      </w:tcPr>
    </w:tblStylePr>
    <w:tblStylePr w:type="swCell">
      <w:tcPr>
        <w:tcBorders>
          <w:top w:val="single" w:color="92CDDC" w:themeColor="accent5" w:themeTint="99" w:sz="4" w:space="0"/>
        </w:tcBorders>
      </w:tcPr>
    </w:tblStylePr>
  </w:style>
  <w:style w:type="table" w:customStyle="1" w:styleId="334">
    <w:name w:val="网格表 7 彩色 - 着色 61"/>
    <w:basedOn w:val="88"/>
    <w:qFormat/>
    <w:uiPriority w:val="52"/>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character" w:customStyle="1" w:styleId="335">
    <w:name w:val="Hashtag1"/>
    <w:basedOn w:val="231"/>
    <w:qFormat/>
    <w:uiPriority w:val="0"/>
    <w:rPr>
      <w:color w:val="2B579A"/>
      <w:shd w:val="clear" w:color="auto" w:fill="E1DFDD"/>
    </w:rPr>
  </w:style>
  <w:style w:type="character" w:customStyle="1" w:styleId="336">
    <w:name w:val="HTML 地址 Char"/>
    <w:basedOn w:val="231"/>
    <w:link w:val="41"/>
    <w:semiHidden/>
    <w:qFormat/>
    <w:uiPriority w:val="0"/>
    <w:rPr>
      <w:i/>
      <w:iCs/>
      <w:sz w:val="24"/>
      <w:szCs w:val="24"/>
      <w:lang w:val="en-GB"/>
    </w:rPr>
  </w:style>
  <w:style w:type="character" w:customStyle="1" w:styleId="337">
    <w:name w:val="HTML 预设格式 Char"/>
    <w:basedOn w:val="231"/>
    <w:link w:val="80"/>
    <w:semiHidden/>
    <w:uiPriority w:val="0"/>
    <w:rPr>
      <w:rFonts w:ascii="Consolas" w:hAnsi="Consolas"/>
      <w:lang w:val="en-GB"/>
    </w:rPr>
  </w:style>
  <w:style w:type="character" w:customStyle="1" w:styleId="338">
    <w:name w:val="Intense Emphasis"/>
    <w:basedOn w:val="231"/>
    <w:qFormat/>
    <w:uiPriority w:val="21"/>
    <w:rPr>
      <w:i/>
      <w:iCs/>
      <w:color w:val="4F81BD" w:themeColor="accent1"/>
      <w14:textFill>
        <w14:solidFill>
          <w14:schemeClr w14:val="accent1"/>
        </w14:solidFill>
      </w14:textFill>
    </w:rPr>
  </w:style>
  <w:style w:type="paragraph" w:styleId="339">
    <w:name w:val="Intense Quote"/>
    <w:basedOn w:val="1"/>
    <w:next w:val="1"/>
    <w:link w:val="340"/>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340">
    <w:name w:val="明显引用 Char"/>
    <w:basedOn w:val="231"/>
    <w:link w:val="339"/>
    <w:uiPriority w:val="30"/>
    <w:rPr>
      <w:i/>
      <w:iCs/>
      <w:color w:val="4F81BD" w:themeColor="accent1"/>
      <w:sz w:val="24"/>
      <w:szCs w:val="24"/>
      <w:lang w:val="en-GB"/>
      <w14:textFill>
        <w14:solidFill>
          <w14:schemeClr w14:val="accent1"/>
        </w14:solidFill>
      </w14:textFill>
    </w:rPr>
  </w:style>
  <w:style w:type="character" w:customStyle="1" w:styleId="341">
    <w:name w:val="Intense Reference"/>
    <w:basedOn w:val="231"/>
    <w:qFormat/>
    <w:uiPriority w:val="32"/>
    <w:rPr>
      <w:b/>
      <w:bCs/>
      <w:smallCaps/>
      <w:color w:val="4F81BD" w:themeColor="accent1"/>
      <w:spacing w:val="5"/>
      <w14:textFill>
        <w14:solidFill>
          <w14:schemeClr w14:val="accent1"/>
        </w14:solidFill>
      </w14:textFill>
    </w:rPr>
  </w:style>
  <w:style w:type="table" w:customStyle="1" w:styleId="342">
    <w:name w:val="清单表 1 浅色1"/>
    <w:basedOn w:val="88"/>
    <w:qFormat/>
    <w:uiPriority w:val="46"/>
    <w:tblPr>
      <w:tblCellMar>
        <w:top w:w="0" w:type="dxa"/>
        <w:left w:w="108" w:type="dxa"/>
        <w:bottom w:w="0" w:type="dxa"/>
        <w:right w:w="108" w:type="dxa"/>
      </w:tblCellMar>
    </w:tblPr>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43">
    <w:name w:val="清单表 1 浅色 - 着色 11"/>
    <w:basedOn w:val="88"/>
    <w:qFormat/>
    <w:uiPriority w:val="46"/>
    <w:tblPr>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44">
    <w:name w:val="清单表 1 浅色 - 着色 21"/>
    <w:basedOn w:val="88"/>
    <w:qFormat/>
    <w:uiPriority w:val="46"/>
    <w:tblPr>
      <w:tblCellMar>
        <w:top w:w="0" w:type="dxa"/>
        <w:left w:w="108" w:type="dxa"/>
        <w:bottom w:w="0" w:type="dxa"/>
        <w:right w:w="108" w:type="dxa"/>
      </w:tblCellMar>
    </w:tblPr>
    <w:tblStylePr w:type="firstRow">
      <w:rPr>
        <w:b/>
        <w:bCs/>
      </w:rPr>
      <w:tcPr>
        <w:tcBorders>
          <w:bottom w:val="single" w:color="D99594" w:themeColor="accent2" w:themeTint="99" w:sz="4" w:space="0"/>
        </w:tcBorders>
      </w:tcPr>
    </w:tblStylePr>
    <w:tblStylePr w:type="lastRow">
      <w:rPr>
        <w:b/>
        <w:bCs/>
      </w:rPr>
      <w:tcPr>
        <w:tcBorders>
          <w:top w:val="single" w:color="D99594" w:themeColor="accent2" w:themeTint="99"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345">
    <w:name w:val="清单表 1 浅色 - 着色 31"/>
    <w:basedOn w:val="88"/>
    <w:qFormat/>
    <w:uiPriority w:val="46"/>
    <w:tblPr>
      <w:tblCellMar>
        <w:top w:w="0" w:type="dxa"/>
        <w:left w:w="108" w:type="dxa"/>
        <w:bottom w:w="0" w:type="dxa"/>
        <w:right w:w="108" w:type="dxa"/>
      </w:tblCellMar>
    </w:tblPr>
    <w:tblStylePr w:type="firstRow">
      <w:rPr>
        <w:b/>
        <w:bCs/>
      </w:rPr>
      <w:tcPr>
        <w:tcBorders>
          <w:bottom w:val="single" w:color="C2D69B" w:themeColor="accent3" w:themeTint="99" w:sz="4" w:space="0"/>
        </w:tcBorders>
      </w:tcPr>
    </w:tblStylePr>
    <w:tblStylePr w:type="lastRow">
      <w:rPr>
        <w:b/>
        <w:bCs/>
      </w:rPr>
      <w:tcPr>
        <w:tcBorders>
          <w:top w:val="single" w:color="C2D69B" w:themeColor="accent3" w:themeTint="99"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46">
    <w:name w:val="清单表 1 浅色 - 着色 41"/>
    <w:basedOn w:val="88"/>
    <w:qFormat/>
    <w:uiPriority w:val="46"/>
    <w:tblPr>
      <w:tblCellMar>
        <w:top w:w="0" w:type="dxa"/>
        <w:left w:w="108" w:type="dxa"/>
        <w:bottom w:w="0" w:type="dxa"/>
        <w:right w:w="108" w:type="dxa"/>
      </w:tblCellMar>
    </w:tblPr>
    <w:tblStylePr w:type="firstRow">
      <w:rPr>
        <w:b/>
        <w:bCs/>
      </w:rPr>
      <w:tcPr>
        <w:tcBorders>
          <w:bottom w:val="single" w:color="B2A1C7" w:themeColor="accent4" w:themeTint="99" w:sz="4" w:space="0"/>
        </w:tcBorders>
      </w:tcPr>
    </w:tblStylePr>
    <w:tblStylePr w:type="lastRow">
      <w:rPr>
        <w:b/>
        <w:bCs/>
      </w:rPr>
      <w:tcPr>
        <w:tcBorders>
          <w:top w:val="single" w:color="B2A1C7" w:themeColor="accent4" w:themeTint="99"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347">
    <w:name w:val="清单表 1 浅色 - 着色 51"/>
    <w:basedOn w:val="88"/>
    <w:uiPriority w:val="46"/>
    <w:tblPr>
      <w:tblCellMar>
        <w:top w:w="0" w:type="dxa"/>
        <w:left w:w="108" w:type="dxa"/>
        <w:bottom w:w="0" w:type="dxa"/>
        <w:right w:w="108" w:type="dxa"/>
      </w:tblCellMar>
    </w:tblPr>
    <w:tblStylePr w:type="firstRow">
      <w:rPr>
        <w:b/>
        <w:bCs/>
      </w:rPr>
      <w:tcPr>
        <w:tcBorders>
          <w:bottom w:val="single" w:color="92CDDC" w:themeColor="accent5" w:themeTint="99" w:sz="4" w:space="0"/>
        </w:tcBorders>
      </w:tcPr>
    </w:tblStylePr>
    <w:tblStylePr w:type="lastRow">
      <w:rPr>
        <w:b/>
        <w:bCs/>
      </w:rPr>
      <w:tcPr>
        <w:tcBorders>
          <w:top w:val="sing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348">
    <w:name w:val="清单表 1 浅色 - 着色 61"/>
    <w:basedOn w:val="88"/>
    <w:qFormat/>
    <w:uiPriority w:val="46"/>
    <w:tblPr>
      <w:tblCellMar>
        <w:top w:w="0" w:type="dxa"/>
        <w:left w:w="108" w:type="dxa"/>
        <w:bottom w:w="0" w:type="dxa"/>
        <w:right w:w="108" w:type="dxa"/>
      </w:tblCellMar>
    </w:tblPr>
    <w:tblStylePr w:type="firstRow">
      <w:rPr>
        <w:b/>
        <w:bCs/>
      </w:rPr>
      <w:tcPr>
        <w:tcBorders>
          <w:bottom w:val="single" w:color="FABF8F" w:themeColor="accent6" w:themeTint="99" w:sz="4" w:space="0"/>
        </w:tcBorders>
      </w:tcPr>
    </w:tblStylePr>
    <w:tblStylePr w:type="lastRow">
      <w:rPr>
        <w:b/>
        <w:bCs/>
      </w:rPr>
      <w:tcPr>
        <w:tcBorders>
          <w:top w:val="sing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349">
    <w:name w:val="清单表 21"/>
    <w:basedOn w:val="88"/>
    <w:uiPriority w:val="47"/>
    <w:tblPr>
      <w:tblBorders>
        <w:top w:val="single" w:color="666666" w:themeColor="text1" w:themeTint="99" w:sz="4" w:space="0"/>
        <w:bottom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50">
    <w:name w:val="清单表 2 - 着色 11"/>
    <w:basedOn w:val="88"/>
    <w:qFormat/>
    <w:uiPriority w:val="47"/>
    <w:tblPr>
      <w:tblBorders>
        <w:top w:val="single" w:color="95B3D7" w:themeColor="accent1" w:themeTint="99" w:sz="4" w:space="0"/>
        <w:bottom w:val="single" w:color="95B3D7" w:themeColor="accent1" w:themeTint="99" w:sz="4" w:space="0"/>
        <w:insideH w:val="single" w:color="95B3D7" w:themeColor="accen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51">
    <w:name w:val="清单表 2 - 着色 21"/>
    <w:basedOn w:val="88"/>
    <w:qFormat/>
    <w:uiPriority w:val="47"/>
    <w:tblPr>
      <w:tblBorders>
        <w:top w:val="single" w:color="D99594" w:themeColor="accent2" w:themeTint="99" w:sz="4" w:space="0"/>
        <w:bottom w:val="single" w:color="D99594" w:themeColor="accent2" w:themeTint="99" w:sz="4" w:space="0"/>
        <w:insideH w:val="single" w:color="D99594" w:themeColor="accent2"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352">
    <w:name w:val="清单表 2 - 着色 31"/>
    <w:basedOn w:val="88"/>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53">
    <w:name w:val="清单表 2 - 着色 41"/>
    <w:basedOn w:val="88"/>
    <w:qFormat/>
    <w:uiPriority w:val="47"/>
    <w:tblPr>
      <w:tblBorders>
        <w:top w:val="single" w:color="B2A1C7" w:themeColor="accent4" w:themeTint="99" w:sz="4" w:space="0"/>
        <w:bottom w:val="single" w:color="B2A1C7" w:themeColor="accent4" w:themeTint="99" w:sz="4" w:space="0"/>
        <w:insideH w:val="single" w:color="B2A1C7" w:themeColor="accent4"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354">
    <w:name w:val="清单表 2 - 着色 51"/>
    <w:basedOn w:val="88"/>
    <w:qFormat/>
    <w:uiPriority w:val="47"/>
    <w:tblPr>
      <w:tblBorders>
        <w:top w:val="single" w:color="92CDDC" w:themeColor="accent5" w:themeTint="99" w:sz="4" w:space="0"/>
        <w:bottom w:val="single" w:color="92CDDC" w:themeColor="accent5" w:themeTint="99" w:sz="4" w:space="0"/>
        <w:insideH w:val="single" w:color="92CDDC" w:themeColor="accent5"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355">
    <w:name w:val="清单表 2 - 着色 61"/>
    <w:basedOn w:val="88"/>
    <w:qFormat/>
    <w:uiPriority w:val="47"/>
    <w:tblPr>
      <w:tblBorders>
        <w:top w:val="single" w:color="FABF8F" w:themeColor="accent6" w:themeTint="99" w:sz="4" w:space="0"/>
        <w:bottom w:val="single" w:color="FABF8F" w:themeColor="accent6" w:themeTint="99" w:sz="4" w:space="0"/>
        <w:insideH w:val="single" w:color="FABF8F" w:themeColor="accent6"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356">
    <w:name w:val="清单表 31"/>
    <w:basedOn w:val="88"/>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57">
    <w:name w:val="清单表 3 - 着色 11"/>
    <w:basedOn w:val="88"/>
    <w:qFormat/>
    <w:uiPriority w:val="48"/>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4F81BD" w:themeFill="accent1"/>
      </w:tcPr>
    </w:tblStylePr>
    <w:tblStylePr w:type="lastRow">
      <w:rPr>
        <w:b/>
        <w:bCs/>
      </w:rPr>
      <w:tcPr>
        <w:tcBorders>
          <w:top w:val="double" w:color="4F81BD"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F81BD" w:themeColor="accent1" w:sz="4" w:space="0"/>
          <w:right w:val="single" w:color="4F81BD" w:themeColor="accent1" w:sz="4" w:space="0"/>
        </w:tcBorders>
      </w:tcPr>
    </w:tblStylePr>
    <w:tblStylePr w:type="band1Horz">
      <w:tcPr>
        <w:tcBorders>
          <w:top w:val="single" w:color="4F81BD" w:themeColor="accent1" w:sz="4" w:space="0"/>
          <w:bottom w:val="single" w:color="4F81BD"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F81BD" w:themeColor="accent1" w:sz="4" w:space="0"/>
          <w:left w:val="nil"/>
        </w:tcBorders>
      </w:tcPr>
    </w:tblStylePr>
    <w:tblStylePr w:type="swCell">
      <w:tcPr>
        <w:tcBorders>
          <w:top w:val="double" w:color="4F81BD" w:themeColor="accent1" w:sz="4" w:space="0"/>
          <w:right w:val="nil"/>
        </w:tcBorders>
      </w:tcPr>
    </w:tblStylePr>
  </w:style>
  <w:style w:type="table" w:customStyle="1" w:styleId="358">
    <w:name w:val="清单表 3 - 着色 21"/>
    <w:basedOn w:val="88"/>
    <w:qFormat/>
    <w:uiPriority w:val="48"/>
    <w:tblPr>
      <w:tblBorders>
        <w:top w:val="single" w:color="C0504D" w:themeColor="accent2" w:sz="4" w:space="0"/>
        <w:left w:val="single" w:color="C0504D" w:themeColor="accent2" w:sz="4" w:space="0"/>
        <w:bottom w:val="single" w:color="C0504D" w:themeColor="accent2" w:sz="4" w:space="0"/>
        <w:right w:val="single" w:color="C0504D" w:themeColor="accent2"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C0504D" w:themeFill="accent2"/>
      </w:tcPr>
    </w:tblStylePr>
    <w:tblStylePr w:type="lastRow">
      <w:rPr>
        <w:b/>
        <w:bCs/>
      </w:rPr>
      <w:tcPr>
        <w:tcBorders>
          <w:top w:val="double" w:color="C0504D"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C0504D" w:themeColor="accent2" w:sz="4" w:space="0"/>
          <w:right w:val="single" w:color="C0504D" w:themeColor="accent2" w:sz="4" w:space="0"/>
        </w:tcBorders>
      </w:tcPr>
    </w:tblStylePr>
    <w:tblStylePr w:type="band1Horz">
      <w:tcPr>
        <w:tcBorders>
          <w:top w:val="single" w:color="C0504D" w:themeColor="accent2" w:sz="4" w:space="0"/>
          <w:bottom w:val="single" w:color="C0504D"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C0504D" w:themeColor="accent2" w:sz="4" w:space="0"/>
          <w:left w:val="nil"/>
        </w:tcBorders>
      </w:tcPr>
    </w:tblStylePr>
    <w:tblStylePr w:type="swCell">
      <w:tcPr>
        <w:tcBorders>
          <w:top w:val="double" w:color="C0504D" w:themeColor="accent2" w:sz="4" w:space="0"/>
          <w:right w:val="nil"/>
        </w:tcBorders>
      </w:tcPr>
    </w:tblStylePr>
  </w:style>
  <w:style w:type="table" w:customStyle="1" w:styleId="359">
    <w:name w:val="清单表 3 - 着色 31"/>
    <w:basedOn w:val="88"/>
    <w:qFormat/>
    <w:uiPriority w:val="48"/>
    <w:tblPr>
      <w:tblBorders>
        <w:top w:val="single" w:color="9BBB59" w:themeColor="accent3" w:sz="4" w:space="0"/>
        <w:left w:val="single" w:color="9BBB59" w:themeColor="accent3" w:sz="4" w:space="0"/>
        <w:bottom w:val="single" w:color="9BBB59" w:themeColor="accent3" w:sz="4" w:space="0"/>
        <w:right w:val="single" w:color="9BBB59" w:themeColor="accent3"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9BBB59" w:themeFill="accent3"/>
      </w:tcPr>
    </w:tblStylePr>
    <w:tblStylePr w:type="lastRow">
      <w:rPr>
        <w:b/>
        <w:bCs/>
      </w:rPr>
      <w:tcPr>
        <w:tcBorders>
          <w:top w:val="double" w:color="9BBB59"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9BBB59" w:themeColor="accent3" w:sz="4" w:space="0"/>
          <w:right w:val="single" w:color="9BBB59" w:themeColor="accent3" w:sz="4" w:space="0"/>
        </w:tcBorders>
      </w:tcPr>
    </w:tblStylePr>
    <w:tblStylePr w:type="band1Horz">
      <w:tcPr>
        <w:tcBorders>
          <w:top w:val="single" w:color="9BBB59" w:themeColor="accent3" w:sz="4" w:space="0"/>
          <w:bottom w:val="single" w:color="9BBB59"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9BBB59" w:themeColor="accent3" w:sz="4" w:space="0"/>
          <w:left w:val="nil"/>
        </w:tcBorders>
      </w:tcPr>
    </w:tblStylePr>
    <w:tblStylePr w:type="swCell">
      <w:tcPr>
        <w:tcBorders>
          <w:top w:val="double" w:color="9BBB59" w:themeColor="accent3" w:sz="4" w:space="0"/>
          <w:right w:val="nil"/>
        </w:tcBorders>
      </w:tcPr>
    </w:tblStylePr>
  </w:style>
  <w:style w:type="table" w:customStyle="1" w:styleId="360">
    <w:name w:val="清单表 3 - 着色 41"/>
    <w:basedOn w:val="88"/>
    <w:qFormat/>
    <w:uiPriority w:val="48"/>
    <w:tblPr>
      <w:tblBorders>
        <w:top w:val="single" w:color="8064A2" w:themeColor="accent4" w:sz="4" w:space="0"/>
        <w:left w:val="single" w:color="8064A2" w:themeColor="accent4" w:sz="4" w:space="0"/>
        <w:bottom w:val="single" w:color="8064A2" w:themeColor="accent4" w:sz="4" w:space="0"/>
        <w:right w:val="single" w:color="8064A2" w:themeColor="accent4"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8064A2" w:themeFill="accent4"/>
      </w:tcPr>
    </w:tblStylePr>
    <w:tblStylePr w:type="lastRow">
      <w:rPr>
        <w:b/>
        <w:bCs/>
      </w:rPr>
      <w:tcPr>
        <w:tcBorders>
          <w:top w:val="double" w:color="8064A2"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8064A2" w:themeColor="accent4" w:sz="4" w:space="0"/>
          <w:right w:val="single" w:color="8064A2" w:themeColor="accent4" w:sz="4" w:space="0"/>
        </w:tcBorders>
      </w:tcPr>
    </w:tblStylePr>
    <w:tblStylePr w:type="band1Horz">
      <w:tcPr>
        <w:tcBorders>
          <w:top w:val="single" w:color="8064A2" w:themeColor="accent4" w:sz="4" w:space="0"/>
          <w:bottom w:val="single" w:color="8064A2"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8064A2" w:themeColor="accent4" w:sz="4" w:space="0"/>
          <w:left w:val="nil"/>
        </w:tcBorders>
      </w:tcPr>
    </w:tblStylePr>
    <w:tblStylePr w:type="swCell">
      <w:tcPr>
        <w:tcBorders>
          <w:top w:val="double" w:color="8064A2" w:themeColor="accent4" w:sz="4" w:space="0"/>
          <w:right w:val="nil"/>
        </w:tcBorders>
      </w:tcPr>
    </w:tblStylePr>
  </w:style>
  <w:style w:type="table" w:customStyle="1" w:styleId="361">
    <w:name w:val="清单表 3 - 着色 51"/>
    <w:basedOn w:val="88"/>
    <w:qFormat/>
    <w:uiPriority w:val="48"/>
    <w:tblPr>
      <w:tblBorders>
        <w:top w:val="single" w:color="4BACC6" w:themeColor="accent5" w:sz="4" w:space="0"/>
        <w:left w:val="single" w:color="4BACC6" w:themeColor="accent5" w:sz="4" w:space="0"/>
        <w:bottom w:val="single" w:color="4BACC6" w:themeColor="accent5" w:sz="4" w:space="0"/>
        <w:right w:val="single" w:color="4BACC6" w:themeColor="accent5"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4BACC6" w:themeFill="accent5"/>
      </w:tcPr>
    </w:tblStylePr>
    <w:tblStylePr w:type="lastRow">
      <w:rPr>
        <w:b/>
        <w:bCs/>
      </w:rPr>
      <w:tcPr>
        <w:tcBorders>
          <w:top w:val="double" w:color="4BACC6"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BACC6" w:themeColor="accent5" w:sz="4" w:space="0"/>
          <w:right w:val="single" w:color="4BACC6" w:themeColor="accent5" w:sz="4" w:space="0"/>
        </w:tcBorders>
      </w:tcPr>
    </w:tblStylePr>
    <w:tblStylePr w:type="band1Horz">
      <w:tcPr>
        <w:tcBorders>
          <w:top w:val="single" w:color="4BACC6" w:themeColor="accent5" w:sz="4" w:space="0"/>
          <w:bottom w:val="single" w:color="4BACC6"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BACC6" w:themeColor="accent5" w:sz="4" w:space="0"/>
          <w:left w:val="nil"/>
        </w:tcBorders>
      </w:tcPr>
    </w:tblStylePr>
    <w:tblStylePr w:type="swCell">
      <w:tcPr>
        <w:tcBorders>
          <w:top w:val="double" w:color="4BACC6" w:themeColor="accent5" w:sz="4" w:space="0"/>
          <w:right w:val="nil"/>
        </w:tcBorders>
      </w:tcPr>
    </w:tblStylePr>
  </w:style>
  <w:style w:type="table" w:customStyle="1" w:styleId="362">
    <w:name w:val="清单表 3 - 着色 61"/>
    <w:basedOn w:val="88"/>
    <w:qFormat/>
    <w:uiPriority w:val="48"/>
    <w:tblPr>
      <w:tblBorders>
        <w:top w:val="single" w:color="F79646" w:themeColor="accent6" w:sz="4" w:space="0"/>
        <w:left w:val="single" w:color="F79646" w:themeColor="accent6" w:sz="4" w:space="0"/>
        <w:bottom w:val="single" w:color="F79646" w:themeColor="accent6" w:sz="4" w:space="0"/>
        <w:right w:val="single" w:color="F79646" w:themeColor="accent6"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F79646" w:themeFill="accent6"/>
      </w:tcPr>
    </w:tblStylePr>
    <w:tblStylePr w:type="lastRow">
      <w:rPr>
        <w:b/>
        <w:bCs/>
      </w:rPr>
      <w:tcPr>
        <w:tcBorders>
          <w:top w:val="double" w:color="F79646"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79646" w:themeColor="accent6" w:sz="4" w:space="0"/>
          <w:right w:val="single" w:color="F79646" w:themeColor="accent6" w:sz="4" w:space="0"/>
        </w:tcBorders>
      </w:tcPr>
    </w:tblStylePr>
    <w:tblStylePr w:type="band1Horz">
      <w:tcPr>
        <w:tcBorders>
          <w:top w:val="single" w:color="F79646" w:themeColor="accent6" w:sz="4" w:space="0"/>
          <w:bottom w:val="single" w:color="F79646"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79646" w:themeColor="accent6" w:sz="4" w:space="0"/>
          <w:left w:val="nil"/>
        </w:tcBorders>
      </w:tcPr>
    </w:tblStylePr>
    <w:tblStylePr w:type="swCell">
      <w:tcPr>
        <w:tcBorders>
          <w:top w:val="double" w:color="F79646" w:themeColor="accent6" w:sz="4" w:space="0"/>
          <w:right w:val="nil"/>
        </w:tcBorders>
      </w:tcPr>
    </w:tblStylePr>
  </w:style>
  <w:style w:type="table" w:customStyle="1" w:styleId="363">
    <w:name w:val="清单表 41"/>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64">
    <w:name w:val="清单表 4 - 着色 11"/>
    <w:basedOn w:val="88"/>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65">
    <w:name w:val="清单表 4 - 着色 21"/>
    <w:basedOn w:val="88"/>
    <w:uiPriority w:val="49"/>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tcBorders>
        <w:shd w:val="clear" w:color="auto" w:fill="C0504D" w:themeFill="accent2"/>
      </w:tcPr>
    </w:tblStylePr>
    <w:tblStylePr w:type="lastRow">
      <w:rPr>
        <w:b/>
        <w:bCs/>
      </w:rPr>
      <w:tcPr>
        <w:tcBorders>
          <w:top w:val="double" w:color="D99594" w:themeColor="accent2" w:themeTint="99"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366">
    <w:name w:val="清单表 4 - 着色 31"/>
    <w:basedOn w:val="88"/>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tcBorders>
        <w:shd w:val="clear" w:color="auto" w:fill="9BBB59" w:themeFill="accent3"/>
      </w:tcPr>
    </w:tblStylePr>
    <w:tblStylePr w:type="lastRow">
      <w:rPr>
        <w:b/>
        <w:bCs/>
      </w:rPr>
      <w:tcPr>
        <w:tcBorders>
          <w:top w:val="double" w:color="C2D69B" w:themeColor="accent3" w:themeTint="99"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67">
    <w:name w:val="清单表 4 - 着色 41"/>
    <w:basedOn w:val="88"/>
    <w:qFormat/>
    <w:uiPriority w:val="49"/>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tcBorders>
        <w:shd w:val="clear" w:color="auto" w:fill="8064A2" w:themeFill="accent4"/>
      </w:tcPr>
    </w:tblStylePr>
    <w:tblStylePr w:type="lastRow">
      <w:rPr>
        <w:b/>
        <w:bCs/>
      </w:rPr>
      <w:tcPr>
        <w:tcBorders>
          <w:top w:val="double" w:color="B2A1C7" w:themeColor="accent4" w:themeTint="99"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368">
    <w:name w:val="清单表 4 - 着色 51"/>
    <w:basedOn w:val="88"/>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tcBorders>
        <w:shd w:val="clear" w:color="auto" w:fill="4BACC6" w:themeFill="accent5"/>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369">
    <w:name w:val="清单表 4 - 着色 61"/>
    <w:basedOn w:val="88"/>
    <w:uiPriority w:val="49"/>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tcBorders>
        <w:shd w:val="clear" w:color="auto" w:fill="F79646" w:themeFill="accent6"/>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370">
    <w:name w:val="清单表 5 深色1"/>
    <w:basedOn w:val="88"/>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CellMar>
        <w:top w:w="0" w:type="dxa"/>
        <w:left w:w="108" w:type="dxa"/>
        <w:bottom w:w="0" w:type="dxa"/>
        <w:right w:w="108" w:type="dxa"/>
      </w:tblCellMar>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1">
    <w:name w:val="清单表 5 深色 - 着色 11"/>
    <w:basedOn w:val="88"/>
    <w:qFormat/>
    <w:uiPriority w:val="50"/>
    <w:rPr>
      <w:color w:val="FFFFFF" w:themeColor="background1"/>
      <w14:textFill>
        <w14:solidFill>
          <w14:schemeClr w14:val="bg1"/>
        </w14:solidFill>
      </w14:textFill>
    </w:rPr>
    <w:tblPr>
      <w:tblBorders>
        <w:top w:val="single" w:color="4F81BD" w:themeColor="accent1" w:sz="24" w:space="0"/>
        <w:left w:val="single" w:color="4F81BD" w:themeColor="accent1" w:sz="24" w:space="0"/>
        <w:bottom w:val="single" w:color="4F81BD" w:themeColor="accent1" w:sz="24" w:space="0"/>
        <w:right w:val="single" w:color="4F81BD" w:themeColor="accent1" w:sz="24" w:space="0"/>
      </w:tblBorders>
      <w:tblCellMar>
        <w:top w:w="0" w:type="dxa"/>
        <w:left w:w="108" w:type="dxa"/>
        <w:bottom w:w="0" w:type="dxa"/>
        <w:right w:w="108" w:type="dxa"/>
      </w:tblCellMar>
    </w:tblPr>
    <w:tcPr>
      <w:shd w:val="clear" w:color="auto" w:fill="4F81BD"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2">
    <w:name w:val="清单表 5 深色 - 着色 21"/>
    <w:basedOn w:val="88"/>
    <w:uiPriority w:val="50"/>
    <w:rPr>
      <w:color w:val="FFFFFF" w:themeColor="background1"/>
      <w14:textFill>
        <w14:solidFill>
          <w14:schemeClr w14:val="bg1"/>
        </w14:solidFill>
      </w14:textFill>
    </w:rPr>
    <w:tblPr>
      <w:tblBorders>
        <w:top w:val="single" w:color="C0504D" w:themeColor="accent2" w:sz="24" w:space="0"/>
        <w:left w:val="single" w:color="C0504D" w:themeColor="accent2" w:sz="24" w:space="0"/>
        <w:bottom w:val="single" w:color="C0504D" w:themeColor="accent2" w:sz="24" w:space="0"/>
        <w:right w:val="single" w:color="C0504D" w:themeColor="accent2" w:sz="24" w:space="0"/>
      </w:tblBorders>
      <w:tblCellMar>
        <w:top w:w="0" w:type="dxa"/>
        <w:left w:w="108" w:type="dxa"/>
        <w:bottom w:w="0" w:type="dxa"/>
        <w:right w:w="108" w:type="dxa"/>
      </w:tblCellMar>
    </w:tblPr>
    <w:tcPr>
      <w:shd w:val="clear" w:color="auto" w:fill="C0504D"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3">
    <w:name w:val="清单表 5 深色 - 着色 31"/>
    <w:basedOn w:val="88"/>
    <w:qFormat/>
    <w:uiPriority w:val="50"/>
    <w:rPr>
      <w:color w:val="FFFFFF" w:themeColor="background1"/>
      <w14:textFill>
        <w14:solidFill>
          <w14:schemeClr w14:val="bg1"/>
        </w14:solidFill>
      </w14:textFill>
    </w:rPr>
    <w:tblPr>
      <w:tblBorders>
        <w:top w:val="single" w:color="9BBB59" w:themeColor="accent3" w:sz="24" w:space="0"/>
        <w:left w:val="single" w:color="9BBB59" w:themeColor="accent3" w:sz="24" w:space="0"/>
        <w:bottom w:val="single" w:color="9BBB59" w:themeColor="accent3" w:sz="24" w:space="0"/>
        <w:right w:val="single" w:color="9BBB59" w:themeColor="accent3" w:sz="24" w:space="0"/>
      </w:tblBorders>
      <w:tblCellMar>
        <w:top w:w="0" w:type="dxa"/>
        <w:left w:w="108" w:type="dxa"/>
        <w:bottom w:w="0" w:type="dxa"/>
        <w:right w:w="108" w:type="dxa"/>
      </w:tblCellMar>
    </w:tblPr>
    <w:tcPr>
      <w:shd w:val="clear" w:color="auto" w:fill="9BBB59"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4">
    <w:name w:val="清单表 5 深色 - 着色 41"/>
    <w:basedOn w:val="88"/>
    <w:uiPriority w:val="50"/>
    <w:rPr>
      <w:color w:val="FFFFFF" w:themeColor="background1"/>
      <w14:textFill>
        <w14:solidFill>
          <w14:schemeClr w14:val="bg1"/>
        </w14:solidFill>
      </w14:textFill>
    </w:rPr>
    <w:tblPr>
      <w:tblBorders>
        <w:top w:val="single" w:color="8064A2" w:themeColor="accent4" w:sz="24" w:space="0"/>
        <w:left w:val="single" w:color="8064A2" w:themeColor="accent4" w:sz="24" w:space="0"/>
        <w:bottom w:val="single" w:color="8064A2" w:themeColor="accent4" w:sz="24" w:space="0"/>
        <w:right w:val="single" w:color="8064A2" w:themeColor="accent4" w:sz="24" w:space="0"/>
      </w:tblBorders>
      <w:tblCellMar>
        <w:top w:w="0" w:type="dxa"/>
        <w:left w:w="108" w:type="dxa"/>
        <w:bottom w:w="0" w:type="dxa"/>
        <w:right w:w="108" w:type="dxa"/>
      </w:tblCellMar>
    </w:tblPr>
    <w:tcPr>
      <w:shd w:val="clear" w:color="auto" w:fill="8064A2"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5">
    <w:name w:val="清单表 5 深色 - 着色 51"/>
    <w:basedOn w:val="88"/>
    <w:uiPriority w:val="50"/>
    <w:rPr>
      <w:color w:val="FFFFFF" w:themeColor="background1"/>
      <w14:textFill>
        <w14:solidFill>
          <w14:schemeClr w14:val="bg1"/>
        </w14:solidFill>
      </w14:textFill>
    </w:rPr>
    <w:tblPr>
      <w:tblBorders>
        <w:top w:val="single" w:color="4BACC6" w:themeColor="accent5" w:sz="24" w:space="0"/>
        <w:left w:val="single" w:color="4BACC6" w:themeColor="accent5" w:sz="24" w:space="0"/>
        <w:bottom w:val="single" w:color="4BACC6" w:themeColor="accent5" w:sz="24" w:space="0"/>
        <w:right w:val="single" w:color="4BACC6" w:themeColor="accent5" w:sz="24" w:space="0"/>
      </w:tblBorders>
      <w:tblCellMar>
        <w:top w:w="0" w:type="dxa"/>
        <w:left w:w="108" w:type="dxa"/>
        <w:bottom w:w="0" w:type="dxa"/>
        <w:right w:w="108" w:type="dxa"/>
      </w:tblCellMar>
    </w:tblPr>
    <w:tcPr>
      <w:shd w:val="clear" w:color="auto" w:fill="4BACC6"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6">
    <w:name w:val="清单表 5 深色 - 着色 61"/>
    <w:basedOn w:val="88"/>
    <w:qFormat/>
    <w:uiPriority w:val="50"/>
    <w:rPr>
      <w:color w:val="FFFFFF" w:themeColor="background1"/>
      <w14:textFill>
        <w14:solidFill>
          <w14:schemeClr w14:val="bg1"/>
        </w14:solidFill>
      </w14:textFill>
    </w:rPr>
    <w:tblPr>
      <w:tblBorders>
        <w:top w:val="single" w:color="F79646" w:themeColor="accent6" w:sz="24" w:space="0"/>
        <w:left w:val="single" w:color="F79646" w:themeColor="accent6" w:sz="24" w:space="0"/>
        <w:bottom w:val="single" w:color="F79646" w:themeColor="accent6" w:sz="24" w:space="0"/>
        <w:right w:val="single" w:color="F79646" w:themeColor="accent6" w:sz="24" w:space="0"/>
      </w:tblBorders>
      <w:tblCellMar>
        <w:top w:w="0" w:type="dxa"/>
        <w:left w:w="108" w:type="dxa"/>
        <w:bottom w:w="0" w:type="dxa"/>
        <w:right w:w="108" w:type="dxa"/>
      </w:tblCellMar>
    </w:tblPr>
    <w:tcPr>
      <w:shd w:val="clear" w:color="auto" w:fill="F79646"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7">
    <w:name w:val="清单表 6 彩色1"/>
    <w:basedOn w:val="88"/>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8">
    <w:name w:val="清单表 6 彩色 - 着色 11"/>
    <w:basedOn w:val="88"/>
    <w:qFormat/>
    <w:uiPriority w:val="51"/>
    <w:rPr>
      <w:color w:val="376092" w:themeColor="accent1" w:themeShade="BF"/>
    </w:rPr>
    <w:tblPr>
      <w:tblBorders>
        <w:top w:val="single" w:color="4F81BD" w:themeColor="accent1" w:sz="4" w:space="0"/>
        <w:bottom w:val="single" w:color="4F81BD" w:themeColor="accent1" w:sz="4" w:space="0"/>
      </w:tblBorders>
      <w:tblCellMar>
        <w:top w:w="0" w:type="dxa"/>
        <w:left w:w="108" w:type="dxa"/>
        <w:bottom w:w="0" w:type="dxa"/>
        <w:right w:w="108" w:type="dxa"/>
      </w:tblCellMar>
    </w:tblPr>
    <w:tblStylePr w:type="firstRow">
      <w:rPr>
        <w:b/>
        <w:bCs/>
      </w:rPr>
      <w:tcPr>
        <w:tcBorders>
          <w:bottom w:val="single" w:color="4F81BD" w:themeColor="accent1" w:sz="4" w:space="0"/>
        </w:tcBorders>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79">
    <w:name w:val="清单表 6 彩色 - 着色 21"/>
    <w:basedOn w:val="88"/>
    <w:qFormat/>
    <w:uiPriority w:val="51"/>
    <w:rPr>
      <w:color w:val="953735" w:themeColor="accent2" w:themeShade="BF"/>
    </w:rPr>
    <w:tblPr>
      <w:tblBorders>
        <w:top w:val="single" w:color="C0504D" w:themeColor="accent2" w:sz="4" w:space="0"/>
        <w:bottom w:val="single" w:color="C0504D" w:themeColor="accent2" w:sz="4" w:space="0"/>
      </w:tblBorders>
      <w:tblCellMar>
        <w:top w:w="0" w:type="dxa"/>
        <w:left w:w="108" w:type="dxa"/>
        <w:bottom w:w="0" w:type="dxa"/>
        <w:right w:w="108" w:type="dxa"/>
      </w:tblCellMar>
    </w:tblPr>
    <w:tblStylePr w:type="firstRow">
      <w:rPr>
        <w:b/>
        <w:bCs/>
      </w:rPr>
      <w:tcPr>
        <w:tcBorders>
          <w:bottom w:val="single" w:color="C0504D" w:themeColor="accent2" w:sz="4" w:space="0"/>
        </w:tcBorders>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380">
    <w:name w:val="清单表 6 彩色 - 着色 31"/>
    <w:basedOn w:val="88"/>
    <w:uiPriority w:val="51"/>
    <w:rPr>
      <w:color w:val="77933C" w:themeColor="accent3" w:themeShade="BF"/>
    </w:rPr>
    <w:tblPr>
      <w:tblBorders>
        <w:top w:val="single" w:color="9BBB59" w:themeColor="accent3" w:sz="4" w:space="0"/>
        <w:bottom w:val="single" w:color="9BBB59" w:themeColor="accent3" w:sz="4" w:space="0"/>
      </w:tblBorders>
      <w:tblCellMar>
        <w:top w:w="0" w:type="dxa"/>
        <w:left w:w="108" w:type="dxa"/>
        <w:bottom w:w="0" w:type="dxa"/>
        <w:right w:w="108" w:type="dxa"/>
      </w:tblCellMar>
    </w:tblPr>
    <w:tblStylePr w:type="firstRow">
      <w:rPr>
        <w:b/>
        <w:bCs/>
      </w:rPr>
      <w:tcPr>
        <w:tcBorders>
          <w:bottom w:val="single" w:color="9BBB59" w:themeColor="accent3" w:sz="4" w:space="0"/>
        </w:tcBorders>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81">
    <w:name w:val="清单表 6 彩色 - 着色 41"/>
    <w:basedOn w:val="88"/>
    <w:qFormat/>
    <w:uiPriority w:val="51"/>
    <w:rPr>
      <w:color w:val="604A7B" w:themeColor="accent4" w:themeShade="BF"/>
    </w:rPr>
    <w:tblPr>
      <w:tblBorders>
        <w:top w:val="single" w:color="8064A2" w:themeColor="accent4" w:sz="4" w:space="0"/>
        <w:bottom w:val="single" w:color="8064A2" w:themeColor="accent4" w:sz="4" w:space="0"/>
      </w:tblBorders>
      <w:tblCellMar>
        <w:top w:w="0" w:type="dxa"/>
        <w:left w:w="108" w:type="dxa"/>
        <w:bottom w:w="0" w:type="dxa"/>
        <w:right w:w="108" w:type="dxa"/>
      </w:tblCellMar>
    </w:tblPr>
    <w:tblStylePr w:type="firstRow">
      <w:rPr>
        <w:b/>
        <w:bCs/>
      </w:rPr>
      <w:tcPr>
        <w:tcBorders>
          <w:bottom w:val="single" w:color="8064A2" w:themeColor="accent4" w:sz="4" w:space="0"/>
        </w:tcBorders>
      </w:tcPr>
    </w:tblStylePr>
    <w:tblStylePr w:type="lastRow">
      <w:rPr>
        <w:b/>
        <w:bCs/>
      </w:rPr>
      <w:tcPr>
        <w:tcBorders>
          <w:top w:val="double" w:color="8064A2" w:themeColor="accent4"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382">
    <w:name w:val="清单表 6 彩色 - 着色 51"/>
    <w:basedOn w:val="88"/>
    <w:qFormat/>
    <w:uiPriority w:val="51"/>
    <w:rPr>
      <w:color w:val="31859C" w:themeColor="accent5" w:themeShade="BF"/>
    </w:rPr>
    <w:tblPr>
      <w:tblBorders>
        <w:top w:val="single" w:color="4BACC6" w:themeColor="accent5" w:sz="4" w:space="0"/>
        <w:bottom w:val="single" w:color="4BACC6" w:themeColor="accent5" w:sz="4" w:space="0"/>
      </w:tblBorders>
      <w:tblCellMar>
        <w:top w:w="0" w:type="dxa"/>
        <w:left w:w="108" w:type="dxa"/>
        <w:bottom w:w="0" w:type="dxa"/>
        <w:right w:w="108" w:type="dxa"/>
      </w:tblCellMar>
    </w:tblPr>
    <w:tblStylePr w:type="firstRow">
      <w:rPr>
        <w:b/>
        <w:bCs/>
      </w:rPr>
      <w:tcPr>
        <w:tcBorders>
          <w:bottom w:val="single" w:color="4BACC6" w:themeColor="accent5" w:sz="4" w:space="0"/>
        </w:tcBorders>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383">
    <w:name w:val="清单表 6 彩色 - 着色 61"/>
    <w:basedOn w:val="88"/>
    <w:qFormat/>
    <w:uiPriority w:val="51"/>
    <w:rPr>
      <w:color w:val="E46C0A" w:themeColor="accent6" w:themeShade="BF"/>
    </w:rPr>
    <w:tblPr>
      <w:tblBorders>
        <w:top w:val="single" w:color="F79646" w:themeColor="accent6" w:sz="4" w:space="0"/>
        <w:bottom w:val="single" w:color="F79646" w:themeColor="accent6" w:sz="4" w:space="0"/>
      </w:tblBorders>
      <w:tblCellMar>
        <w:top w:w="0" w:type="dxa"/>
        <w:left w:w="108" w:type="dxa"/>
        <w:bottom w:w="0" w:type="dxa"/>
        <w:right w:w="108" w:type="dxa"/>
      </w:tblCellMar>
    </w:tblPr>
    <w:tblStylePr w:type="firstRow">
      <w:rPr>
        <w:b/>
        <w:bCs/>
      </w:rPr>
      <w:tcPr>
        <w:tcBorders>
          <w:bottom w:val="single" w:color="F79646" w:themeColor="accent6" w:sz="4" w:space="0"/>
        </w:tcBorders>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384">
    <w:name w:val="清单表 7 彩色1"/>
    <w:basedOn w:val="88"/>
    <w:uiPriority w:val="52"/>
    <w:rPr>
      <w:color w:val="000000" w:themeColor="text1"/>
      <w14:textFill>
        <w14:solidFill>
          <w14:schemeClr w14:val="tx1"/>
        </w14:solidFill>
      </w14:textFill>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5">
    <w:name w:val="清单表 7 彩色 - 着色 11"/>
    <w:basedOn w:val="88"/>
    <w:qFormat/>
    <w:uiPriority w:val="52"/>
    <w:rPr>
      <w:color w:val="376092" w:themeColor="accent1"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4F81BD"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F81BD"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F81BD"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F81BD" w:themeColor="accent1" w:sz="4" w:space="0"/>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6">
    <w:name w:val="清单表 7 彩色 - 着色 21"/>
    <w:basedOn w:val="88"/>
    <w:qFormat/>
    <w:uiPriority w:val="52"/>
    <w:rPr>
      <w:color w:val="953735" w:themeColor="accent2"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C0504D"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C0504D"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C0504D"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C0504D" w:themeColor="accent2" w:sz="4" w:space="0"/>
        </w:tcBorders>
        <w:shd w:val="clear" w:color="auto" w:fill="FFFFFF" w:themeFill="background1"/>
      </w:tcPr>
    </w:tblStylePr>
    <w:tblStylePr w:type="band1Vert">
      <w:tcPr>
        <w:shd w:val="clear" w:color="auto" w:fill="F2DBDB" w:themeFill="accent2" w:themeFillTint="33"/>
      </w:tcPr>
    </w:tblStylePr>
    <w:tblStylePr w:type="band1Horz">
      <w:tcPr>
        <w:shd w:val="clear" w:color="auto" w:fill="F2DBDB"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7">
    <w:name w:val="清单表 7 彩色 - 着色 31"/>
    <w:basedOn w:val="88"/>
    <w:qFormat/>
    <w:uiPriority w:val="52"/>
    <w:rPr>
      <w:color w:val="77933C" w:themeColor="accent3"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9BBB59"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9BBB59"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9BBB59"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9BBB59" w:themeColor="accent3" w:sz="4" w:space="0"/>
        </w:tcBorders>
        <w:shd w:val="clear" w:color="auto" w:fill="FFFFFF" w:themeFill="background1"/>
      </w:tcPr>
    </w:tblStylePr>
    <w:tblStylePr w:type="band1Vert">
      <w:tcPr>
        <w:shd w:val="clear" w:color="auto" w:fill="EAF1DD" w:themeFill="accent3" w:themeFillTint="33"/>
      </w:tcPr>
    </w:tblStylePr>
    <w:tblStylePr w:type="band1Horz">
      <w:tcPr>
        <w:shd w:val="clear" w:color="auto" w:fill="EAF1DD"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8">
    <w:name w:val="清单表 7 彩色 - 着色 41"/>
    <w:basedOn w:val="88"/>
    <w:qFormat/>
    <w:uiPriority w:val="52"/>
    <w:rPr>
      <w:color w:val="604A7B" w:themeColor="accent4"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8064A2"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8064A2"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8064A2"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8064A2" w:themeColor="accent4" w:sz="4" w:space="0"/>
        </w:tcBorders>
        <w:shd w:val="clear" w:color="auto" w:fill="FFFFFF" w:themeFill="background1"/>
      </w:tcPr>
    </w:tblStylePr>
    <w:tblStylePr w:type="band1Vert">
      <w:tcPr>
        <w:shd w:val="clear" w:color="auto" w:fill="E5DFEC" w:themeFill="accent4" w:themeFillTint="33"/>
      </w:tcPr>
    </w:tblStylePr>
    <w:tblStylePr w:type="band1Horz">
      <w:tcPr>
        <w:shd w:val="clear" w:color="auto" w:fill="E5DFE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9">
    <w:name w:val="清单表 7 彩色 - 着色 51"/>
    <w:basedOn w:val="88"/>
    <w:qFormat/>
    <w:uiPriority w:val="52"/>
    <w:rPr>
      <w:color w:val="31859C" w:themeColor="accent5"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4BACC6"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BACC6"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BACC6"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BACC6" w:themeColor="accent5" w:sz="4" w:space="0"/>
        </w:tcBorders>
        <w:shd w:val="clear" w:color="auto" w:fill="FFFFFF" w:themeFill="background1"/>
      </w:tcPr>
    </w:tblStylePr>
    <w:tblStylePr w:type="band1Vert">
      <w:tcPr>
        <w:shd w:val="clear" w:color="auto" w:fill="DAEEF3" w:themeFill="accent5" w:themeFillTint="33"/>
      </w:tcPr>
    </w:tblStylePr>
    <w:tblStylePr w:type="band1Horz">
      <w:tcPr>
        <w:shd w:val="clear" w:color="auto" w:fill="DAEE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0">
    <w:name w:val="清单表 7 彩色 - 着色 61"/>
    <w:basedOn w:val="88"/>
    <w:qFormat/>
    <w:uiPriority w:val="52"/>
    <w:rPr>
      <w:color w:val="E46C0A" w:themeColor="accent6"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F79646"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79646"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79646"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79646" w:themeColor="accent6" w:sz="4" w:space="0"/>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391">
    <w:name w:val="宏文本 Char"/>
    <w:basedOn w:val="231"/>
    <w:link w:val="2"/>
    <w:qFormat/>
    <w:uiPriority w:val="0"/>
    <w:rPr>
      <w:rFonts w:ascii="Consolas" w:hAnsi="Consolas"/>
      <w:lang w:val="en-GB"/>
    </w:rPr>
  </w:style>
  <w:style w:type="character" w:customStyle="1" w:styleId="392">
    <w:name w:val="Mention1"/>
    <w:basedOn w:val="231"/>
    <w:qFormat/>
    <w:uiPriority w:val="0"/>
    <w:rPr>
      <w:color w:val="2B579A"/>
      <w:shd w:val="clear" w:color="auto" w:fill="E1DFDD"/>
    </w:rPr>
  </w:style>
  <w:style w:type="character" w:customStyle="1" w:styleId="393">
    <w:name w:val="信息标题 Char"/>
    <w:basedOn w:val="231"/>
    <w:link w:val="79"/>
    <w:uiPriority w:val="0"/>
    <w:rPr>
      <w:rFonts w:asciiTheme="majorHAnsi" w:hAnsiTheme="majorHAnsi" w:eastAsiaTheme="majorEastAsia" w:cstheme="majorBidi"/>
      <w:sz w:val="24"/>
      <w:szCs w:val="24"/>
      <w:shd w:val="pct20" w:color="auto" w:fill="auto"/>
      <w:lang w:val="en-GB"/>
    </w:rPr>
  </w:style>
  <w:style w:type="paragraph" w:styleId="394">
    <w:name w:val="No Spacing"/>
    <w:qFormat/>
    <w:uiPriority w:val="1"/>
    <w:rPr>
      <w:rFonts w:ascii="Times New Roman" w:hAnsi="Times New Roman" w:cs="Times New Roman" w:eastAsiaTheme="minorEastAsia"/>
      <w:sz w:val="24"/>
      <w:szCs w:val="24"/>
      <w:lang w:val="en-GB" w:eastAsia="en-US" w:bidi="ar-SA"/>
    </w:rPr>
  </w:style>
  <w:style w:type="character" w:customStyle="1" w:styleId="395">
    <w:name w:val="注释标题 Char"/>
    <w:basedOn w:val="231"/>
    <w:link w:val="16"/>
    <w:semiHidden/>
    <w:qFormat/>
    <w:uiPriority w:val="0"/>
    <w:rPr>
      <w:sz w:val="24"/>
      <w:szCs w:val="24"/>
      <w:lang w:val="en-GB"/>
    </w:rPr>
  </w:style>
  <w:style w:type="character" w:styleId="396">
    <w:name w:val="Placeholder Text"/>
    <w:basedOn w:val="231"/>
    <w:semiHidden/>
    <w:qFormat/>
    <w:uiPriority w:val="99"/>
    <w:rPr>
      <w:color w:val="808080"/>
    </w:rPr>
  </w:style>
  <w:style w:type="table" w:customStyle="1" w:styleId="397">
    <w:name w:val="无格式表格 11"/>
    <w:basedOn w:val="88"/>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98">
    <w:name w:val="无格式表格 21"/>
    <w:basedOn w:val="88"/>
    <w:qFormat/>
    <w:uiPriority w:val="42"/>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399">
    <w:name w:val="无格式表格 31"/>
    <w:basedOn w:val="88"/>
    <w:uiPriority w:val="43"/>
    <w:tblPr>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00">
    <w:name w:val="无格式表格 41"/>
    <w:basedOn w:val="88"/>
    <w:uiPriority w:val="44"/>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01">
    <w:name w:val="无格式表格 51"/>
    <w:basedOn w:val="88"/>
    <w:qFormat/>
    <w:uiPriority w:val="45"/>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402">
    <w:name w:val="纯文本 Char"/>
    <w:basedOn w:val="231"/>
    <w:link w:val="45"/>
    <w:semiHidden/>
    <w:qFormat/>
    <w:uiPriority w:val="0"/>
    <w:rPr>
      <w:rFonts w:ascii="Consolas" w:hAnsi="Consolas"/>
      <w:sz w:val="21"/>
      <w:szCs w:val="21"/>
      <w:lang w:val="en-GB"/>
    </w:rPr>
  </w:style>
  <w:style w:type="paragraph" w:styleId="403">
    <w:name w:val="Quote"/>
    <w:basedOn w:val="1"/>
    <w:next w:val="1"/>
    <w:link w:val="404"/>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04">
    <w:name w:val="引用 Char"/>
    <w:basedOn w:val="231"/>
    <w:link w:val="403"/>
    <w:qFormat/>
    <w:uiPriority w:val="29"/>
    <w:rPr>
      <w:i/>
      <w:iCs/>
      <w:color w:val="404040" w:themeColor="text1" w:themeTint="BF"/>
      <w:sz w:val="24"/>
      <w:szCs w:val="24"/>
      <w:lang w:val="en-GB"/>
      <w14:textFill>
        <w14:solidFill>
          <w14:schemeClr w14:val="tx1">
            <w14:lumMod w14:val="75000"/>
            <w14:lumOff w14:val="25000"/>
          </w14:schemeClr>
        </w14:solidFill>
      </w14:textFill>
    </w:rPr>
  </w:style>
  <w:style w:type="character" w:customStyle="1" w:styleId="405">
    <w:name w:val="称呼 Char"/>
    <w:basedOn w:val="231"/>
    <w:link w:val="30"/>
    <w:semiHidden/>
    <w:qFormat/>
    <w:uiPriority w:val="0"/>
    <w:rPr>
      <w:sz w:val="24"/>
      <w:szCs w:val="24"/>
      <w:lang w:val="en-GB"/>
    </w:rPr>
  </w:style>
  <w:style w:type="character" w:customStyle="1" w:styleId="406">
    <w:name w:val="签名 Char"/>
    <w:basedOn w:val="231"/>
    <w:link w:val="58"/>
    <w:semiHidden/>
    <w:uiPriority w:val="0"/>
    <w:rPr>
      <w:sz w:val="24"/>
      <w:szCs w:val="24"/>
      <w:lang w:val="en-GB"/>
    </w:rPr>
  </w:style>
  <w:style w:type="character" w:customStyle="1" w:styleId="407">
    <w:name w:val="Smart Hyperlink1"/>
    <w:basedOn w:val="231"/>
    <w:uiPriority w:val="0"/>
    <w:rPr>
      <w:u w:val="dotted"/>
    </w:rPr>
  </w:style>
  <w:style w:type="character" w:customStyle="1" w:styleId="408">
    <w:name w:val="SmartLink1"/>
    <w:basedOn w:val="231"/>
    <w:semiHidden/>
    <w:unhideWhenUsed/>
    <w:qFormat/>
    <w:uiPriority w:val="99"/>
    <w:rPr>
      <w:color w:val="0000FF"/>
      <w:u w:val="single"/>
      <w:shd w:val="clear" w:color="auto" w:fill="F3F2F1"/>
    </w:rPr>
  </w:style>
  <w:style w:type="character" w:customStyle="1" w:styleId="409">
    <w:name w:val="副标题 Char"/>
    <w:basedOn w:val="231"/>
    <w:link w:val="64"/>
    <w:qFormat/>
    <w:uiPriority w:val="0"/>
    <w:rPr>
      <w:rFonts w:asciiTheme="minorHAnsi" w:hAnsiTheme="minorHAnsi" w:cstheme="minorBidi"/>
      <w:color w:val="595959" w:themeColor="text1" w:themeTint="A6"/>
      <w:spacing w:val="15"/>
      <w:sz w:val="22"/>
      <w:szCs w:val="22"/>
      <w:lang w:val="en-GB"/>
      <w14:textFill>
        <w14:solidFill>
          <w14:schemeClr w14:val="tx1">
            <w14:lumMod w14:val="65000"/>
            <w14:lumOff w14:val="35000"/>
          </w14:schemeClr>
        </w14:solidFill>
      </w14:textFill>
    </w:rPr>
  </w:style>
  <w:style w:type="character" w:customStyle="1" w:styleId="410">
    <w:name w:val="Subtle Emphasis"/>
    <w:basedOn w:val="231"/>
    <w:qFormat/>
    <w:uiPriority w:val="19"/>
    <w:rPr>
      <w:i/>
      <w:iCs/>
      <w:color w:val="404040" w:themeColor="text1" w:themeTint="BF"/>
      <w14:textFill>
        <w14:solidFill>
          <w14:schemeClr w14:val="tx1">
            <w14:lumMod w14:val="75000"/>
            <w14:lumOff w14:val="25000"/>
          </w14:schemeClr>
        </w14:solidFill>
      </w14:textFill>
    </w:rPr>
  </w:style>
  <w:style w:type="character" w:customStyle="1" w:styleId="411">
    <w:name w:val="Subtle Reference"/>
    <w:basedOn w:val="231"/>
    <w:qFormat/>
    <w:uiPriority w:val="31"/>
    <w:rPr>
      <w:smallCaps/>
      <w:color w:val="595959" w:themeColor="text1" w:themeTint="A6"/>
      <w14:textFill>
        <w14:solidFill>
          <w14:schemeClr w14:val="tx1">
            <w14:lumMod w14:val="65000"/>
            <w14:lumOff w14:val="35000"/>
          </w14:schemeClr>
        </w14:solidFill>
      </w14:textFill>
    </w:rPr>
  </w:style>
  <w:style w:type="table" w:customStyle="1" w:styleId="412">
    <w:name w:val="网格型浅色1"/>
    <w:basedOn w:val="8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413">
    <w:name w:val="标题 Char"/>
    <w:basedOn w:val="231"/>
    <w:link w:val="84"/>
    <w:uiPriority w:val="0"/>
    <w:rPr>
      <w:rFonts w:asciiTheme="majorHAnsi" w:hAnsiTheme="majorHAnsi" w:eastAsiaTheme="majorEastAsia" w:cstheme="majorBidi"/>
      <w:spacing w:val="-10"/>
      <w:kern w:val="28"/>
      <w:sz w:val="56"/>
      <w:szCs w:val="56"/>
      <w:lang w:val="en-GB"/>
    </w:rPr>
  </w:style>
  <w:style w:type="paragraph" w:customStyle="1" w:styleId="414">
    <w:name w:val="TOC Heading"/>
    <w:basedOn w:val="3"/>
    <w:next w:val="1"/>
    <w:semiHidden/>
    <w:unhideWhenUsed/>
    <w:qFormat/>
    <w:uiPriority w:val="39"/>
    <w:pPr>
      <w:outlineLvl w:val="9"/>
    </w:pPr>
  </w:style>
  <w:style w:type="character" w:customStyle="1" w:styleId="415">
    <w:name w:val="Unresolved Mention1"/>
    <w:basedOn w:val="231"/>
    <w:qFormat/>
    <w:uiPriority w:val="0"/>
    <w:rPr>
      <w:color w:val="605E5C"/>
      <w:shd w:val="clear" w:color="auto" w:fill="E1DFDD"/>
    </w:rPr>
  </w:style>
  <w:style w:type="table" w:customStyle="1" w:styleId="416">
    <w:name w:val="Grid Table 1 Light1"/>
    <w:basedOn w:val="88"/>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417">
    <w:name w:val="Grid Table 1 Light - Accent 11"/>
    <w:basedOn w:val="88"/>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418">
    <w:name w:val="Grid Table 1 Light - Accent 21"/>
    <w:basedOn w:val="88"/>
    <w:qFormat/>
    <w:uiPriority w:val="46"/>
    <w:tblPr>
      <w:tblBorders>
        <w:top w:val="single" w:color="E5B8B7" w:themeColor="accent2" w:themeTint="66" w:sz="4" w:space="0"/>
        <w:left w:val="single" w:color="E5B8B7" w:themeColor="accent2" w:themeTint="66" w:sz="4" w:space="0"/>
        <w:bottom w:val="single" w:color="E5B8B7" w:themeColor="accent2" w:themeTint="66" w:sz="4" w:space="0"/>
        <w:right w:val="single" w:color="E5B8B7" w:themeColor="accent2" w:themeTint="66" w:sz="4" w:space="0"/>
        <w:insideH w:val="single" w:color="E5B8B7" w:themeColor="accent2" w:themeTint="66" w:sz="4" w:space="0"/>
        <w:insideV w:val="single" w:color="E5B8B7" w:themeColor="accent2" w:themeTint="66" w:sz="4" w:space="0"/>
      </w:tblBorders>
      <w:tblCellMar>
        <w:top w:w="0" w:type="dxa"/>
        <w:left w:w="108" w:type="dxa"/>
        <w:bottom w:w="0" w:type="dxa"/>
        <w:right w:w="108" w:type="dxa"/>
      </w:tblCellMar>
    </w:tblPr>
    <w:tblStylePr w:type="firstRow">
      <w:rPr>
        <w:b/>
        <w:bCs/>
      </w:rPr>
      <w:tcPr>
        <w:tcBorders>
          <w:bottom w:val="single" w:color="D99594" w:themeColor="accent2" w:themeTint="99" w:sz="12" w:space="0"/>
        </w:tcBorders>
      </w:tcPr>
    </w:tblStylePr>
    <w:tblStylePr w:type="lastRow">
      <w:rPr>
        <w:b/>
        <w:bCs/>
      </w:rPr>
      <w:tcPr>
        <w:tcBorders>
          <w:top w:val="double" w:color="D99594" w:themeColor="accent2" w:themeTint="99" w:sz="2" w:space="0"/>
        </w:tcBorders>
      </w:tcPr>
    </w:tblStylePr>
    <w:tblStylePr w:type="firstCol">
      <w:rPr>
        <w:b/>
        <w:bCs/>
      </w:rPr>
    </w:tblStylePr>
    <w:tblStylePr w:type="lastCol">
      <w:rPr>
        <w:b/>
        <w:bCs/>
      </w:rPr>
    </w:tblStylePr>
  </w:style>
  <w:style w:type="table" w:customStyle="1" w:styleId="419">
    <w:name w:val="Grid Table 1 Light - Accent 31"/>
    <w:basedOn w:val="88"/>
    <w:uiPriority w:val="46"/>
    <w:tblPr>
      <w:tblBorders>
        <w:top w:val="single" w:color="D6E3BC" w:themeColor="accent3" w:themeTint="66" w:sz="4" w:space="0"/>
        <w:left w:val="single" w:color="D6E3BC" w:themeColor="accent3" w:themeTint="66" w:sz="4" w:space="0"/>
        <w:bottom w:val="single" w:color="D6E3BC" w:themeColor="accent3" w:themeTint="66" w:sz="4" w:space="0"/>
        <w:right w:val="single" w:color="D6E3BC" w:themeColor="accent3" w:themeTint="66" w:sz="4" w:space="0"/>
        <w:insideH w:val="single" w:color="D6E3BC" w:themeColor="accent3" w:themeTint="66" w:sz="4" w:space="0"/>
        <w:insideV w:val="single" w:color="D6E3BC" w:themeColor="accent3" w:themeTint="66" w:sz="4" w:space="0"/>
      </w:tblBorders>
      <w:tblCellMar>
        <w:top w:w="0" w:type="dxa"/>
        <w:left w:w="108" w:type="dxa"/>
        <w:bottom w:w="0" w:type="dxa"/>
        <w:right w:w="108" w:type="dxa"/>
      </w:tblCellMar>
    </w:tblPr>
    <w:tblStylePr w:type="firstRow">
      <w:rPr>
        <w:b/>
        <w:bCs/>
      </w:rPr>
      <w:tcPr>
        <w:tcBorders>
          <w:bottom w:val="single" w:color="C2D69B" w:themeColor="accent3" w:themeTint="99" w:sz="12" w:space="0"/>
        </w:tcBorders>
      </w:tcPr>
    </w:tblStylePr>
    <w:tblStylePr w:type="lastRow">
      <w:rPr>
        <w:b/>
        <w:bCs/>
      </w:rPr>
      <w:tcPr>
        <w:tcBorders>
          <w:top w:val="double" w:color="C2D69B" w:themeColor="accent3" w:themeTint="99" w:sz="2" w:space="0"/>
        </w:tcBorders>
      </w:tcPr>
    </w:tblStylePr>
    <w:tblStylePr w:type="firstCol">
      <w:rPr>
        <w:b/>
        <w:bCs/>
      </w:rPr>
    </w:tblStylePr>
    <w:tblStylePr w:type="lastCol">
      <w:rPr>
        <w:b/>
        <w:bCs/>
      </w:rPr>
    </w:tblStylePr>
  </w:style>
  <w:style w:type="table" w:customStyle="1" w:styleId="420">
    <w:name w:val="Grid Table 1 Light - Accent 41"/>
    <w:basedOn w:val="88"/>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421">
    <w:name w:val="Grid Table 1 Light - Accent 51"/>
    <w:basedOn w:val="88"/>
    <w:qFormat/>
    <w:uiPriority w:val="46"/>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CellMar>
        <w:top w:w="0" w:type="dxa"/>
        <w:left w:w="108" w:type="dxa"/>
        <w:bottom w:w="0" w:type="dxa"/>
        <w:right w:w="108" w:type="dxa"/>
      </w:tblCellMar>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422">
    <w:name w:val="Grid Table 1 Light - Accent 61"/>
    <w:basedOn w:val="88"/>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table" w:customStyle="1" w:styleId="423">
    <w:name w:val="Grid Table 21"/>
    <w:basedOn w:val="88"/>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CellMar>
        <w:top w:w="0" w:type="dxa"/>
        <w:left w:w="108" w:type="dxa"/>
        <w:bottom w:w="0" w:type="dxa"/>
        <w:right w:w="108" w:type="dxa"/>
      </w:tblCellMar>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24">
    <w:name w:val="Grid Table 2 - Accent 11"/>
    <w:basedOn w:val="88"/>
    <w:qFormat/>
    <w:uiPriority w:val="47"/>
    <w:tblPr>
      <w:tblBorders>
        <w:top w:val="single" w:color="95B3D7" w:themeColor="accent1" w:themeTint="99" w:sz="2" w:space="0"/>
        <w:bottom w:val="single" w:color="95B3D7" w:themeColor="accent1" w:themeTint="99" w:sz="2" w:space="0"/>
        <w:insideH w:val="single" w:color="95B3D7" w:themeColor="accent1" w:themeTint="99" w:sz="2" w:space="0"/>
        <w:insideV w:val="single" w:color="95B3D7" w:themeColor="accent1" w:themeTint="99" w:sz="2" w:space="0"/>
      </w:tblBorders>
      <w:tblCellMar>
        <w:top w:w="0" w:type="dxa"/>
        <w:left w:w="108" w:type="dxa"/>
        <w:bottom w:w="0" w:type="dxa"/>
        <w:right w:w="108" w:type="dxa"/>
      </w:tblCellMar>
    </w:tblPr>
    <w:tblStylePr w:type="firstRow">
      <w:rPr>
        <w:b/>
        <w:bCs/>
      </w:rPr>
      <w:tcPr>
        <w:tcBorders>
          <w:top w:val="nil"/>
          <w:bottom w:val="single" w:color="95B3D7" w:themeColor="accent1" w:themeTint="99" w:sz="12" w:space="0"/>
          <w:insideH w:val="nil"/>
          <w:insideV w:val="nil"/>
        </w:tcBorders>
        <w:shd w:val="clear" w:color="auto" w:fill="FFFFFF" w:themeFill="background1"/>
      </w:tcPr>
    </w:tblStylePr>
    <w:tblStylePr w:type="lastRow">
      <w:rPr>
        <w:b/>
        <w:bCs/>
      </w:rPr>
      <w:tcPr>
        <w:tcBorders>
          <w:top w:val="double" w:color="95B3D7"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425">
    <w:name w:val="Grid Table 2 - Accent 21"/>
    <w:basedOn w:val="88"/>
    <w:uiPriority w:val="47"/>
    <w:tblPr>
      <w:tblBorders>
        <w:top w:val="single" w:color="D99594" w:themeColor="accent2" w:themeTint="99" w:sz="2" w:space="0"/>
        <w:bottom w:val="single" w:color="D99594" w:themeColor="accent2" w:themeTint="99" w:sz="2" w:space="0"/>
        <w:insideH w:val="single" w:color="D99594" w:themeColor="accent2" w:themeTint="99" w:sz="2" w:space="0"/>
        <w:insideV w:val="single" w:color="D99594" w:themeColor="accent2" w:themeTint="99" w:sz="2" w:space="0"/>
      </w:tblBorders>
      <w:tblCellMar>
        <w:top w:w="0" w:type="dxa"/>
        <w:left w:w="108" w:type="dxa"/>
        <w:bottom w:w="0" w:type="dxa"/>
        <w:right w:w="108" w:type="dxa"/>
      </w:tblCellMar>
    </w:tblPr>
    <w:tblStylePr w:type="firstRow">
      <w:rPr>
        <w:b/>
        <w:bCs/>
      </w:rPr>
      <w:tcPr>
        <w:tcBorders>
          <w:top w:val="nil"/>
          <w:bottom w:val="single" w:color="D99594" w:themeColor="accent2" w:themeTint="99" w:sz="12" w:space="0"/>
          <w:insideH w:val="nil"/>
          <w:insideV w:val="nil"/>
        </w:tcBorders>
        <w:shd w:val="clear" w:color="auto" w:fill="FFFFFF" w:themeFill="background1"/>
      </w:tcPr>
    </w:tblStylePr>
    <w:tblStylePr w:type="lastRow">
      <w:rPr>
        <w:b/>
        <w:bCs/>
      </w:rPr>
      <w:tcPr>
        <w:tcBorders>
          <w:top w:val="double" w:color="D99594"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426">
    <w:name w:val="Grid Table 2 - Accent 31"/>
    <w:basedOn w:val="88"/>
    <w:uiPriority w:val="47"/>
    <w:tblPr>
      <w:tblBorders>
        <w:top w:val="single" w:color="C2D69B" w:themeColor="accent3" w:themeTint="99" w:sz="2" w:space="0"/>
        <w:bottom w:val="single" w:color="C2D69B" w:themeColor="accent3" w:themeTint="99" w:sz="2" w:space="0"/>
        <w:insideH w:val="single" w:color="C2D69B" w:themeColor="accent3" w:themeTint="99" w:sz="2" w:space="0"/>
        <w:insideV w:val="single" w:color="C2D69B" w:themeColor="accent3" w:themeTint="99" w:sz="2" w:space="0"/>
      </w:tblBorders>
      <w:tblCellMar>
        <w:top w:w="0" w:type="dxa"/>
        <w:left w:w="108" w:type="dxa"/>
        <w:bottom w:w="0" w:type="dxa"/>
        <w:right w:w="108" w:type="dxa"/>
      </w:tblCellMar>
    </w:tblPr>
    <w:tblStylePr w:type="firstRow">
      <w:rPr>
        <w:b/>
        <w:bCs/>
      </w:rPr>
      <w:tcPr>
        <w:tcBorders>
          <w:top w:val="nil"/>
          <w:bottom w:val="single" w:color="C2D69B" w:themeColor="accent3" w:themeTint="99" w:sz="12" w:space="0"/>
          <w:insideH w:val="nil"/>
          <w:insideV w:val="nil"/>
        </w:tcBorders>
        <w:shd w:val="clear" w:color="auto" w:fill="FFFFFF" w:themeFill="background1"/>
      </w:tcPr>
    </w:tblStylePr>
    <w:tblStylePr w:type="lastRow">
      <w:rPr>
        <w:b/>
        <w:bCs/>
      </w:rPr>
      <w:tcPr>
        <w:tcBorders>
          <w:top w:val="double" w:color="C2D69B"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427">
    <w:name w:val="Grid Table 2 - Accent 41"/>
    <w:basedOn w:val="88"/>
    <w:qFormat/>
    <w:uiPriority w:val="47"/>
    <w:tblPr>
      <w:tblBorders>
        <w:top w:val="single" w:color="B2A1C7" w:themeColor="accent4" w:themeTint="99" w:sz="2" w:space="0"/>
        <w:bottom w:val="single" w:color="B2A1C7" w:themeColor="accent4" w:themeTint="99" w:sz="2" w:space="0"/>
        <w:insideH w:val="single" w:color="B2A1C7" w:themeColor="accent4" w:themeTint="99" w:sz="2" w:space="0"/>
        <w:insideV w:val="single" w:color="B2A1C7" w:themeColor="accent4" w:themeTint="99" w:sz="2" w:space="0"/>
      </w:tblBorders>
      <w:tblCellMar>
        <w:top w:w="0" w:type="dxa"/>
        <w:left w:w="108" w:type="dxa"/>
        <w:bottom w:w="0" w:type="dxa"/>
        <w:right w:w="108" w:type="dxa"/>
      </w:tblCellMar>
    </w:tblPr>
    <w:tblStylePr w:type="firstRow">
      <w:rPr>
        <w:b/>
        <w:bCs/>
      </w:rPr>
      <w:tcPr>
        <w:tcBorders>
          <w:top w:val="nil"/>
          <w:bottom w:val="single" w:color="B2A1C7" w:themeColor="accent4" w:themeTint="99" w:sz="12" w:space="0"/>
          <w:insideH w:val="nil"/>
          <w:insideV w:val="nil"/>
        </w:tcBorders>
        <w:shd w:val="clear" w:color="auto" w:fill="FFFFFF" w:themeFill="background1"/>
      </w:tcPr>
    </w:tblStylePr>
    <w:tblStylePr w:type="lastRow">
      <w:rPr>
        <w:b/>
        <w:bCs/>
      </w:rPr>
      <w:tcPr>
        <w:tcBorders>
          <w:top w:val="double" w:color="B2A1C7"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428">
    <w:name w:val="Grid Table 2 - Accent 51"/>
    <w:basedOn w:val="88"/>
    <w:qFormat/>
    <w:uiPriority w:val="47"/>
    <w:tblPr>
      <w:tblBorders>
        <w:top w:val="single" w:color="92CDDC" w:themeColor="accent5" w:themeTint="99" w:sz="2" w:space="0"/>
        <w:bottom w:val="single" w:color="92CDDC" w:themeColor="accent5" w:themeTint="99" w:sz="2" w:space="0"/>
        <w:insideH w:val="single" w:color="92CDDC" w:themeColor="accent5" w:themeTint="99" w:sz="2" w:space="0"/>
        <w:insideV w:val="single" w:color="92CDDC" w:themeColor="accent5" w:themeTint="99" w:sz="2" w:space="0"/>
      </w:tblBorders>
      <w:tblCellMar>
        <w:top w:w="0" w:type="dxa"/>
        <w:left w:w="108" w:type="dxa"/>
        <w:bottom w:w="0" w:type="dxa"/>
        <w:right w:w="108" w:type="dxa"/>
      </w:tblCellMar>
    </w:tblPr>
    <w:tblStylePr w:type="firstRow">
      <w:rPr>
        <w:b/>
        <w:bCs/>
      </w:rPr>
      <w:tcPr>
        <w:tcBorders>
          <w:top w:val="nil"/>
          <w:bottom w:val="single" w:color="92CDDC" w:themeColor="accent5" w:themeTint="99" w:sz="12" w:space="0"/>
          <w:insideH w:val="nil"/>
          <w:insideV w:val="nil"/>
        </w:tcBorders>
        <w:shd w:val="clear" w:color="auto" w:fill="FFFFFF" w:themeFill="background1"/>
      </w:tcPr>
    </w:tblStylePr>
    <w:tblStylePr w:type="lastRow">
      <w:rPr>
        <w:b/>
        <w:bCs/>
      </w:rPr>
      <w:tcPr>
        <w:tcBorders>
          <w:top w:val="double" w:color="92CDDC"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429">
    <w:name w:val="Grid Table 2 - Accent 61"/>
    <w:basedOn w:val="88"/>
    <w:uiPriority w:val="47"/>
    <w:tblPr>
      <w:tblBorders>
        <w:top w:val="single" w:color="FABF8F" w:themeColor="accent6" w:themeTint="99" w:sz="2" w:space="0"/>
        <w:bottom w:val="single" w:color="FABF8F" w:themeColor="accent6" w:themeTint="99" w:sz="2" w:space="0"/>
        <w:insideH w:val="single" w:color="FABF8F" w:themeColor="accent6" w:themeTint="99" w:sz="2" w:space="0"/>
        <w:insideV w:val="single" w:color="FABF8F" w:themeColor="accent6" w:themeTint="99" w:sz="2" w:space="0"/>
      </w:tblBorders>
      <w:tblCellMar>
        <w:top w:w="0" w:type="dxa"/>
        <w:left w:w="108" w:type="dxa"/>
        <w:bottom w:w="0" w:type="dxa"/>
        <w:right w:w="108" w:type="dxa"/>
      </w:tblCellMar>
    </w:tblPr>
    <w:tblStylePr w:type="firstRow">
      <w:rPr>
        <w:b/>
        <w:bCs/>
      </w:rPr>
      <w:tcPr>
        <w:tcBorders>
          <w:top w:val="nil"/>
          <w:bottom w:val="single" w:color="FABF8F" w:themeColor="accent6" w:themeTint="99" w:sz="12" w:space="0"/>
          <w:insideH w:val="nil"/>
          <w:insideV w:val="nil"/>
        </w:tcBorders>
        <w:shd w:val="clear" w:color="auto" w:fill="FFFFFF" w:themeFill="background1"/>
      </w:tcPr>
    </w:tblStylePr>
    <w:tblStylePr w:type="lastRow">
      <w:rPr>
        <w:b/>
        <w:bCs/>
      </w:rPr>
      <w:tcPr>
        <w:tcBorders>
          <w:top w:val="double" w:color="FABF8F"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430">
    <w:name w:val="Grid Table 31"/>
    <w:basedOn w:val="88"/>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31">
    <w:name w:val="Grid Table 3 - Accent 11"/>
    <w:basedOn w:val="88"/>
    <w:qFormat/>
    <w:uiPriority w:val="48"/>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bottom w:val="single" w:color="95B3D7" w:themeColor="accent1" w:themeTint="99" w:sz="4" w:space="0"/>
        </w:tcBorders>
      </w:tcPr>
    </w:tblStylePr>
    <w:tblStylePr w:type="nwCell">
      <w:tcPr>
        <w:tcBorders>
          <w:bottom w:val="single" w:color="95B3D7" w:themeColor="accent1" w:themeTint="99" w:sz="4" w:space="0"/>
        </w:tcBorders>
      </w:tcPr>
    </w:tblStylePr>
    <w:tblStylePr w:type="seCell">
      <w:tcPr>
        <w:tcBorders>
          <w:top w:val="single" w:color="95B3D7" w:themeColor="accent1" w:themeTint="99" w:sz="4" w:space="0"/>
        </w:tcBorders>
      </w:tcPr>
    </w:tblStylePr>
    <w:tblStylePr w:type="swCell">
      <w:tcPr>
        <w:tcBorders>
          <w:top w:val="single" w:color="95B3D7" w:themeColor="accent1" w:themeTint="99" w:sz="4" w:space="0"/>
        </w:tcBorders>
      </w:tcPr>
    </w:tblStylePr>
  </w:style>
  <w:style w:type="table" w:customStyle="1" w:styleId="432">
    <w:name w:val="Grid Table 3 - Accent 21"/>
    <w:basedOn w:val="88"/>
    <w:qFormat/>
    <w:uiPriority w:val="48"/>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2DBDB" w:themeFill="accent2" w:themeFillTint="33"/>
      </w:tcPr>
    </w:tblStylePr>
    <w:tblStylePr w:type="band1Horz">
      <w:tcPr>
        <w:shd w:val="clear" w:color="auto" w:fill="F2DBDB" w:themeFill="accent2" w:themeFillTint="33"/>
      </w:tcPr>
    </w:tblStylePr>
    <w:tblStylePr w:type="neCell">
      <w:tcPr>
        <w:tcBorders>
          <w:bottom w:val="single" w:color="D99594" w:themeColor="accent2" w:themeTint="99" w:sz="4" w:space="0"/>
        </w:tcBorders>
      </w:tcPr>
    </w:tblStylePr>
    <w:tblStylePr w:type="nwCell">
      <w:tcPr>
        <w:tcBorders>
          <w:bottom w:val="single" w:color="D99594" w:themeColor="accent2" w:themeTint="99" w:sz="4" w:space="0"/>
        </w:tcBorders>
      </w:tcPr>
    </w:tblStylePr>
    <w:tblStylePr w:type="seCell">
      <w:tcPr>
        <w:tcBorders>
          <w:top w:val="single" w:color="D99594" w:themeColor="accent2" w:themeTint="99" w:sz="4" w:space="0"/>
        </w:tcBorders>
      </w:tcPr>
    </w:tblStylePr>
    <w:tblStylePr w:type="swCell">
      <w:tcPr>
        <w:tcBorders>
          <w:top w:val="single" w:color="D99594" w:themeColor="accent2" w:themeTint="99" w:sz="4" w:space="0"/>
        </w:tcBorders>
      </w:tcPr>
    </w:tblStylePr>
  </w:style>
  <w:style w:type="table" w:customStyle="1" w:styleId="433">
    <w:name w:val="Grid Table 3 - Accent 31"/>
    <w:basedOn w:val="88"/>
    <w:qFormat/>
    <w:uiPriority w:val="48"/>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AF1DD" w:themeFill="accent3" w:themeFillTint="33"/>
      </w:tcPr>
    </w:tblStylePr>
    <w:tblStylePr w:type="band1Horz">
      <w:tcPr>
        <w:shd w:val="clear" w:color="auto" w:fill="EAF1DD" w:themeFill="accent3" w:themeFillTint="33"/>
      </w:tcPr>
    </w:tblStylePr>
    <w:tblStylePr w:type="neCell">
      <w:tcPr>
        <w:tcBorders>
          <w:bottom w:val="single" w:color="C2D69B" w:themeColor="accent3" w:themeTint="99" w:sz="4" w:space="0"/>
        </w:tcBorders>
      </w:tcPr>
    </w:tblStylePr>
    <w:tblStylePr w:type="nwCell">
      <w:tcPr>
        <w:tcBorders>
          <w:bottom w:val="single" w:color="C2D69B" w:themeColor="accent3" w:themeTint="99" w:sz="4" w:space="0"/>
        </w:tcBorders>
      </w:tcPr>
    </w:tblStylePr>
    <w:tblStylePr w:type="seCell">
      <w:tcPr>
        <w:tcBorders>
          <w:top w:val="single" w:color="C2D69B" w:themeColor="accent3" w:themeTint="99" w:sz="4" w:space="0"/>
        </w:tcBorders>
      </w:tcPr>
    </w:tblStylePr>
    <w:tblStylePr w:type="swCell">
      <w:tcPr>
        <w:tcBorders>
          <w:top w:val="single" w:color="C2D69B" w:themeColor="accent3" w:themeTint="99" w:sz="4" w:space="0"/>
        </w:tcBorders>
      </w:tcPr>
    </w:tblStylePr>
  </w:style>
  <w:style w:type="table" w:customStyle="1" w:styleId="434">
    <w:name w:val="Grid Table 3 - Accent 41"/>
    <w:basedOn w:val="88"/>
    <w:uiPriority w:val="48"/>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5DFEC" w:themeFill="accent4" w:themeFillTint="33"/>
      </w:tcPr>
    </w:tblStylePr>
    <w:tblStylePr w:type="band1Horz">
      <w:tcPr>
        <w:shd w:val="clear" w:color="auto" w:fill="E5DFEC" w:themeFill="accent4" w:themeFillTint="33"/>
      </w:tcPr>
    </w:tblStylePr>
    <w:tblStylePr w:type="neCell">
      <w:tcPr>
        <w:tcBorders>
          <w:bottom w:val="single" w:color="B2A1C7" w:themeColor="accent4" w:themeTint="99" w:sz="4" w:space="0"/>
        </w:tcBorders>
      </w:tcPr>
    </w:tblStylePr>
    <w:tblStylePr w:type="nwCell">
      <w:tcPr>
        <w:tcBorders>
          <w:bottom w:val="single" w:color="B2A1C7" w:themeColor="accent4" w:themeTint="99" w:sz="4" w:space="0"/>
        </w:tcBorders>
      </w:tcPr>
    </w:tblStylePr>
    <w:tblStylePr w:type="seCell">
      <w:tcPr>
        <w:tcBorders>
          <w:top w:val="single" w:color="B2A1C7" w:themeColor="accent4" w:themeTint="99" w:sz="4" w:space="0"/>
        </w:tcBorders>
      </w:tcPr>
    </w:tblStylePr>
    <w:tblStylePr w:type="swCell">
      <w:tcPr>
        <w:tcBorders>
          <w:top w:val="single" w:color="B2A1C7" w:themeColor="accent4" w:themeTint="99" w:sz="4" w:space="0"/>
        </w:tcBorders>
      </w:tcPr>
    </w:tblStylePr>
  </w:style>
  <w:style w:type="table" w:customStyle="1" w:styleId="435">
    <w:name w:val="Grid Table 3 - Accent 51"/>
    <w:basedOn w:val="88"/>
    <w:uiPriority w:val="48"/>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AEEF3" w:themeFill="accent5" w:themeFillTint="33"/>
      </w:tcPr>
    </w:tblStylePr>
    <w:tblStylePr w:type="band1Horz">
      <w:tcPr>
        <w:shd w:val="clear" w:color="auto" w:fill="DAEEF3" w:themeFill="accent5" w:themeFillTint="33"/>
      </w:tcPr>
    </w:tblStylePr>
    <w:tblStylePr w:type="neCell">
      <w:tcPr>
        <w:tcBorders>
          <w:bottom w:val="single" w:color="92CDDC" w:themeColor="accent5" w:themeTint="99" w:sz="4" w:space="0"/>
        </w:tcBorders>
      </w:tcPr>
    </w:tblStylePr>
    <w:tblStylePr w:type="nwCell">
      <w:tcPr>
        <w:tcBorders>
          <w:bottom w:val="single" w:color="92CDDC" w:themeColor="accent5" w:themeTint="99" w:sz="4" w:space="0"/>
        </w:tcBorders>
      </w:tcPr>
    </w:tblStylePr>
    <w:tblStylePr w:type="seCell">
      <w:tcPr>
        <w:tcBorders>
          <w:top w:val="single" w:color="92CDDC" w:themeColor="accent5" w:themeTint="99" w:sz="4" w:space="0"/>
        </w:tcBorders>
      </w:tcPr>
    </w:tblStylePr>
    <w:tblStylePr w:type="swCell">
      <w:tcPr>
        <w:tcBorders>
          <w:top w:val="single" w:color="92CDDC" w:themeColor="accent5" w:themeTint="99" w:sz="4" w:space="0"/>
        </w:tcBorders>
      </w:tcPr>
    </w:tblStylePr>
  </w:style>
  <w:style w:type="table" w:customStyle="1" w:styleId="436">
    <w:name w:val="Grid Table 3 - Accent 61"/>
    <w:basedOn w:val="88"/>
    <w:uiPriority w:val="48"/>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table" w:customStyle="1" w:styleId="437">
    <w:name w:val="Grid Table 41"/>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38">
    <w:name w:val="Grid Table 4 - Accent 11"/>
    <w:basedOn w:val="88"/>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439">
    <w:name w:val="Grid Table 4 - Accent 21"/>
    <w:basedOn w:val="88"/>
    <w:qFormat/>
    <w:uiPriority w:val="49"/>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440">
    <w:name w:val="Grid Table 4 - Accent 31"/>
    <w:basedOn w:val="88"/>
    <w:qFormat/>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441">
    <w:name w:val="Grid Table 4 - Accent 41"/>
    <w:basedOn w:val="88"/>
    <w:qFormat/>
    <w:uiPriority w:val="49"/>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cPr>
        <w:tcBorders>
          <w:top w:val="double" w:color="8064A2" w:themeColor="accent4"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442">
    <w:name w:val="Grid Table 4 - Accent 51"/>
    <w:basedOn w:val="88"/>
    <w:qFormat/>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443">
    <w:name w:val="Grid Table 4 - Accent 61"/>
    <w:basedOn w:val="88"/>
    <w:qFormat/>
    <w:uiPriority w:val="49"/>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444">
    <w:name w:val="Grid Table 5 Dark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445">
    <w:name w:val="Grid Table 5 Dark - Accent 1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cPr>
        <w:shd w:val="clear" w:color="auto" w:fill="B8CCE4" w:themeFill="accent1" w:themeFillTint="66"/>
      </w:tcPr>
    </w:tblStylePr>
    <w:tblStylePr w:type="band1Horz">
      <w:tcPr>
        <w:shd w:val="clear" w:color="auto" w:fill="B8CCE4" w:themeFill="accent1" w:themeFillTint="66"/>
      </w:tcPr>
    </w:tblStylePr>
  </w:style>
  <w:style w:type="table" w:customStyle="1" w:styleId="446">
    <w:name w:val="Grid Table 5 Dark - Accent 2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0504D"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0504D"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C0504D"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0504D" w:themeFill="accent2"/>
      </w:tcPr>
    </w:tblStylePr>
    <w:tblStylePr w:type="band1Vert">
      <w:tcPr>
        <w:shd w:val="clear" w:color="auto" w:fill="E5B8B7" w:themeFill="accent2" w:themeFillTint="66"/>
      </w:tcPr>
    </w:tblStylePr>
    <w:tblStylePr w:type="band1Horz">
      <w:tcPr>
        <w:shd w:val="clear" w:color="auto" w:fill="E5B8B7" w:themeFill="accent2" w:themeFillTint="66"/>
      </w:tcPr>
    </w:tblStylePr>
  </w:style>
  <w:style w:type="table" w:customStyle="1" w:styleId="447">
    <w:name w:val="Grid Table 5 Dark - Accent 3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cPr>
        <w:shd w:val="clear" w:color="auto" w:fill="D6E3BC" w:themeFill="accent3" w:themeFillTint="66"/>
      </w:tcPr>
    </w:tblStylePr>
    <w:tblStylePr w:type="band1Horz">
      <w:tcPr>
        <w:shd w:val="clear" w:color="auto" w:fill="D6E3BC" w:themeFill="accent3" w:themeFillTint="66"/>
      </w:tcPr>
    </w:tblStylePr>
  </w:style>
  <w:style w:type="table" w:customStyle="1" w:styleId="448">
    <w:name w:val="Grid Table 5 Dark - Accent 4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064A2"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064A2"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8064A2"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064A2" w:themeFill="accent4"/>
      </w:tcPr>
    </w:tblStylePr>
    <w:tblStylePr w:type="band1Vert">
      <w:tcPr>
        <w:shd w:val="clear" w:color="auto" w:fill="CCC0D9" w:themeFill="accent4" w:themeFillTint="66"/>
      </w:tcPr>
    </w:tblStylePr>
    <w:tblStylePr w:type="band1Horz">
      <w:tcPr>
        <w:shd w:val="clear" w:color="auto" w:fill="CCC0D9" w:themeFill="accent4" w:themeFillTint="66"/>
      </w:tcPr>
    </w:tblStylePr>
  </w:style>
  <w:style w:type="table" w:customStyle="1" w:styleId="449">
    <w:name w:val="Grid Table 5 Dark - Accent 5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cPr>
        <w:shd w:val="clear" w:color="auto" w:fill="B6DDE8" w:themeFill="accent5" w:themeFillTint="66"/>
      </w:tcPr>
    </w:tblStylePr>
    <w:tblStylePr w:type="band1Horz">
      <w:tcPr>
        <w:shd w:val="clear" w:color="auto" w:fill="B6DDE8" w:themeFill="accent5" w:themeFillTint="66"/>
      </w:tcPr>
    </w:tblStylePr>
  </w:style>
  <w:style w:type="table" w:customStyle="1" w:styleId="450">
    <w:name w:val="Grid Table 5 Dark - Accent 6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79646"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79646"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79646"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79646" w:themeFill="accent6"/>
      </w:tcPr>
    </w:tblStylePr>
    <w:tblStylePr w:type="band1Vert">
      <w:tcPr>
        <w:shd w:val="clear" w:color="auto" w:fill="FBD4B4" w:themeFill="accent6" w:themeFillTint="66"/>
      </w:tcPr>
    </w:tblStylePr>
    <w:tblStylePr w:type="band1Horz">
      <w:tcPr>
        <w:shd w:val="clear" w:color="auto" w:fill="FBD4B4" w:themeFill="accent6" w:themeFillTint="66"/>
      </w:tcPr>
    </w:tblStylePr>
  </w:style>
  <w:style w:type="table" w:customStyle="1" w:styleId="451">
    <w:name w:val="Grid Table 6 Colorful1"/>
    <w:basedOn w:val="88"/>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52">
    <w:name w:val="Grid Table 6 Colorful - Accent 11"/>
    <w:basedOn w:val="88"/>
    <w:qFormat/>
    <w:uiPriority w:val="51"/>
    <w:rPr>
      <w:color w:val="376092" w:themeColor="accent1" w:themeShade="BF"/>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453">
    <w:name w:val="Grid Table 6 Colorful - Accent 21"/>
    <w:basedOn w:val="88"/>
    <w:qFormat/>
    <w:uiPriority w:val="51"/>
    <w:rPr>
      <w:color w:val="953735" w:themeColor="accent2" w:themeShade="BF"/>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CellMar>
        <w:top w:w="0" w:type="dxa"/>
        <w:left w:w="108" w:type="dxa"/>
        <w:bottom w:w="0" w:type="dxa"/>
        <w:right w:w="108" w:type="dxa"/>
      </w:tblCellMar>
    </w:tblPr>
    <w:tblStylePr w:type="firstRow">
      <w:rPr>
        <w:b/>
        <w:bCs/>
      </w:rPr>
      <w:tcPr>
        <w:tcBorders>
          <w:bottom w:val="single" w:color="D99594" w:themeColor="accent2" w:themeTint="99" w:sz="12" w:space="0"/>
        </w:tcBorders>
      </w:tcPr>
    </w:tblStylePr>
    <w:tblStylePr w:type="lastRow">
      <w:rPr>
        <w:b/>
        <w:bCs/>
      </w:rPr>
      <w:tcPr>
        <w:tcBorders>
          <w:top w:val="double" w:color="D99594" w:themeColor="accent2" w:themeTint="99"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454">
    <w:name w:val="Grid Table 6 Colorful - Accent 31"/>
    <w:basedOn w:val="88"/>
    <w:qFormat/>
    <w:uiPriority w:val="51"/>
    <w:rPr>
      <w:color w:val="77933C" w:themeColor="accent3" w:themeShade="BF"/>
    </w:rPr>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
    <w:tblStylePr w:type="firstRow">
      <w:rPr>
        <w:b/>
        <w:bCs/>
      </w:rPr>
      <w:tcPr>
        <w:tcBorders>
          <w:bottom w:val="single" w:color="C2D69B" w:themeColor="accent3" w:themeTint="99" w:sz="12" w:space="0"/>
        </w:tcBorders>
      </w:tcPr>
    </w:tblStylePr>
    <w:tblStylePr w:type="lastRow">
      <w:rPr>
        <w:b/>
        <w:bCs/>
      </w:rPr>
      <w:tcPr>
        <w:tcBorders>
          <w:top w:val="double" w:color="C2D69B" w:themeColor="accent3" w:themeTint="99"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455">
    <w:name w:val="Grid Table 6 Colorful - Accent 41"/>
    <w:basedOn w:val="88"/>
    <w:qFormat/>
    <w:uiPriority w:val="51"/>
    <w:rPr>
      <w:color w:val="604A7B" w:themeColor="accent4" w:themeShade="BF"/>
    </w:rPr>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456">
    <w:name w:val="Grid Table 6 Colorful - Accent 51"/>
    <w:basedOn w:val="88"/>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457">
    <w:name w:val="Grid Table 6 Colorful - Accent 61"/>
    <w:basedOn w:val="88"/>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458">
    <w:name w:val="Grid Table 7 Colorful1"/>
    <w:basedOn w:val="88"/>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59">
    <w:name w:val="Grid Table 7 Colorful - Accent 11"/>
    <w:basedOn w:val="88"/>
    <w:qFormat/>
    <w:uiPriority w:val="52"/>
    <w:rPr>
      <w:color w:val="376092" w:themeColor="accent1" w:themeShade="BF"/>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bottom w:val="single" w:color="95B3D7" w:themeColor="accent1" w:themeTint="99" w:sz="4" w:space="0"/>
        </w:tcBorders>
      </w:tcPr>
    </w:tblStylePr>
    <w:tblStylePr w:type="nwCell">
      <w:tcPr>
        <w:tcBorders>
          <w:bottom w:val="single" w:color="95B3D7" w:themeColor="accent1" w:themeTint="99" w:sz="4" w:space="0"/>
        </w:tcBorders>
      </w:tcPr>
    </w:tblStylePr>
    <w:tblStylePr w:type="seCell">
      <w:tcPr>
        <w:tcBorders>
          <w:top w:val="single" w:color="95B3D7" w:themeColor="accent1" w:themeTint="99" w:sz="4" w:space="0"/>
        </w:tcBorders>
      </w:tcPr>
    </w:tblStylePr>
    <w:tblStylePr w:type="swCell">
      <w:tcPr>
        <w:tcBorders>
          <w:top w:val="single" w:color="95B3D7" w:themeColor="accent1" w:themeTint="99" w:sz="4" w:space="0"/>
        </w:tcBorders>
      </w:tcPr>
    </w:tblStylePr>
  </w:style>
  <w:style w:type="table" w:customStyle="1" w:styleId="460">
    <w:name w:val="Grid Table 7 Colorful - Accent 21"/>
    <w:basedOn w:val="88"/>
    <w:qFormat/>
    <w:uiPriority w:val="52"/>
    <w:rPr>
      <w:color w:val="953735" w:themeColor="accent2" w:themeShade="BF"/>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2DBDB" w:themeFill="accent2" w:themeFillTint="33"/>
      </w:tcPr>
    </w:tblStylePr>
    <w:tblStylePr w:type="band1Horz">
      <w:tcPr>
        <w:shd w:val="clear" w:color="auto" w:fill="F2DBDB" w:themeFill="accent2" w:themeFillTint="33"/>
      </w:tcPr>
    </w:tblStylePr>
    <w:tblStylePr w:type="neCell">
      <w:tcPr>
        <w:tcBorders>
          <w:bottom w:val="single" w:color="D99594" w:themeColor="accent2" w:themeTint="99" w:sz="4" w:space="0"/>
        </w:tcBorders>
      </w:tcPr>
    </w:tblStylePr>
    <w:tblStylePr w:type="nwCell">
      <w:tcPr>
        <w:tcBorders>
          <w:bottom w:val="single" w:color="D99594" w:themeColor="accent2" w:themeTint="99" w:sz="4" w:space="0"/>
        </w:tcBorders>
      </w:tcPr>
    </w:tblStylePr>
    <w:tblStylePr w:type="seCell">
      <w:tcPr>
        <w:tcBorders>
          <w:top w:val="single" w:color="D99594" w:themeColor="accent2" w:themeTint="99" w:sz="4" w:space="0"/>
        </w:tcBorders>
      </w:tcPr>
    </w:tblStylePr>
    <w:tblStylePr w:type="swCell">
      <w:tcPr>
        <w:tcBorders>
          <w:top w:val="single" w:color="D99594" w:themeColor="accent2" w:themeTint="99" w:sz="4" w:space="0"/>
        </w:tcBorders>
      </w:tcPr>
    </w:tblStylePr>
  </w:style>
  <w:style w:type="table" w:customStyle="1" w:styleId="461">
    <w:name w:val="Grid Table 7 Colorful - Accent 31"/>
    <w:basedOn w:val="88"/>
    <w:qFormat/>
    <w:uiPriority w:val="52"/>
    <w:rPr>
      <w:color w:val="77933C" w:themeColor="accent3" w:themeShade="BF"/>
    </w:rPr>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AF1DD" w:themeFill="accent3" w:themeFillTint="33"/>
      </w:tcPr>
    </w:tblStylePr>
    <w:tblStylePr w:type="band1Horz">
      <w:tcPr>
        <w:shd w:val="clear" w:color="auto" w:fill="EAF1DD" w:themeFill="accent3" w:themeFillTint="33"/>
      </w:tcPr>
    </w:tblStylePr>
    <w:tblStylePr w:type="neCell">
      <w:tcPr>
        <w:tcBorders>
          <w:bottom w:val="single" w:color="C2D69B" w:themeColor="accent3" w:themeTint="99" w:sz="4" w:space="0"/>
        </w:tcBorders>
      </w:tcPr>
    </w:tblStylePr>
    <w:tblStylePr w:type="nwCell">
      <w:tcPr>
        <w:tcBorders>
          <w:bottom w:val="single" w:color="C2D69B" w:themeColor="accent3" w:themeTint="99" w:sz="4" w:space="0"/>
        </w:tcBorders>
      </w:tcPr>
    </w:tblStylePr>
    <w:tblStylePr w:type="seCell">
      <w:tcPr>
        <w:tcBorders>
          <w:top w:val="single" w:color="C2D69B" w:themeColor="accent3" w:themeTint="99" w:sz="4" w:space="0"/>
        </w:tcBorders>
      </w:tcPr>
    </w:tblStylePr>
    <w:tblStylePr w:type="swCell">
      <w:tcPr>
        <w:tcBorders>
          <w:top w:val="single" w:color="C2D69B" w:themeColor="accent3" w:themeTint="99" w:sz="4" w:space="0"/>
        </w:tcBorders>
      </w:tcPr>
    </w:tblStylePr>
  </w:style>
  <w:style w:type="table" w:customStyle="1" w:styleId="462">
    <w:name w:val="Grid Table 7 Colorful - Accent 41"/>
    <w:basedOn w:val="88"/>
    <w:uiPriority w:val="52"/>
    <w:rPr>
      <w:color w:val="604A7B" w:themeColor="accent4" w:themeShade="BF"/>
    </w:rPr>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5DFEC" w:themeFill="accent4" w:themeFillTint="33"/>
      </w:tcPr>
    </w:tblStylePr>
    <w:tblStylePr w:type="band1Horz">
      <w:tcPr>
        <w:shd w:val="clear" w:color="auto" w:fill="E5DFEC" w:themeFill="accent4" w:themeFillTint="33"/>
      </w:tcPr>
    </w:tblStylePr>
    <w:tblStylePr w:type="neCell">
      <w:tcPr>
        <w:tcBorders>
          <w:bottom w:val="single" w:color="B2A1C7" w:themeColor="accent4" w:themeTint="99" w:sz="4" w:space="0"/>
        </w:tcBorders>
      </w:tcPr>
    </w:tblStylePr>
    <w:tblStylePr w:type="nwCell">
      <w:tcPr>
        <w:tcBorders>
          <w:bottom w:val="single" w:color="B2A1C7" w:themeColor="accent4" w:themeTint="99" w:sz="4" w:space="0"/>
        </w:tcBorders>
      </w:tcPr>
    </w:tblStylePr>
    <w:tblStylePr w:type="seCell">
      <w:tcPr>
        <w:tcBorders>
          <w:top w:val="single" w:color="B2A1C7" w:themeColor="accent4" w:themeTint="99" w:sz="4" w:space="0"/>
        </w:tcBorders>
      </w:tcPr>
    </w:tblStylePr>
    <w:tblStylePr w:type="swCell">
      <w:tcPr>
        <w:tcBorders>
          <w:top w:val="single" w:color="B2A1C7" w:themeColor="accent4" w:themeTint="99" w:sz="4" w:space="0"/>
        </w:tcBorders>
      </w:tcPr>
    </w:tblStylePr>
  </w:style>
  <w:style w:type="table" w:customStyle="1" w:styleId="463">
    <w:name w:val="Grid Table 7 Colorful - Accent 51"/>
    <w:basedOn w:val="88"/>
    <w:qFormat/>
    <w:uiPriority w:val="52"/>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AEEF3" w:themeFill="accent5" w:themeFillTint="33"/>
      </w:tcPr>
    </w:tblStylePr>
    <w:tblStylePr w:type="band1Horz">
      <w:tcPr>
        <w:shd w:val="clear" w:color="auto" w:fill="DAEEF3" w:themeFill="accent5" w:themeFillTint="33"/>
      </w:tcPr>
    </w:tblStylePr>
    <w:tblStylePr w:type="neCell">
      <w:tcPr>
        <w:tcBorders>
          <w:bottom w:val="single" w:color="92CDDC" w:themeColor="accent5" w:themeTint="99" w:sz="4" w:space="0"/>
        </w:tcBorders>
      </w:tcPr>
    </w:tblStylePr>
    <w:tblStylePr w:type="nwCell">
      <w:tcPr>
        <w:tcBorders>
          <w:bottom w:val="single" w:color="92CDDC" w:themeColor="accent5" w:themeTint="99" w:sz="4" w:space="0"/>
        </w:tcBorders>
      </w:tcPr>
    </w:tblStylePr>
    <w:tblStylePr w:type="seCell">
      <w:tcPr>
        <w:tcBorders>
          <w:top w:val="single" w:color="92CDDC" w:themeColor="accent5" w:themeTint="99" w:sz="4" w:space="0"/>
        </w:tcBorders>
      </w:tcPr>
    </w:tblStylePr>
    <w:tblStylePr w:type="swCell">
      <w:tcPr>
        <w:tcBorders>
          <w:top w:val="single" w:color="92CDDC" w:themeColor="accent5" w:themeTint="99" w:sz="4" w:space="0"/>
        </w:tcBorders>
      </w:tcPr>
    </w:tblStylePr>
  </w:style>
  <w:style w:type="table" w:customStyle="1" w:styleId="464">
    <w:name w:val="Grid Table 7 Colorful - Accent 61"/>
    <w:basedOn w:val="88"/>
    <w:qFormat/>
    <w:uiPriority w:val="52"/>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character" w:customStyle="1" w:styleId="465">
    <w:name w:val="Hashtag2"/>
    <w:basedOn w:val="231"/>
    <w:uiPriority w:val="0"/>
    <w:rPr>
      <w:color w:val="2B579A"/>
      <w:shd w:val="clear" w:color="auto" w:fill="E1DFDD"/>
    </w:rPr>
  </w:style>
  <w:style w:type="table" w:customStyle="1" w:styleId="466">
    <w:name w:val="List Table 1 Light1"/>
    <w:basedOn w:val="88"/>
    <w:qFormat/>
    <w:uiPriority w:val="46"/>
    <w:tblPr>
      <w:tblCellMar>
        <w:top w:w="0" w:type="dxa"/>
        <w:left w:w="108" w:type="dxa"/>
        <w:bottom w:w="0" w:type="dxa"/>
        <w:right w:w="108" w:type="dxa"/>
      </w:tblCellMar>
    </w:tblPr>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67">
    <w:name w:val="List Table 1 Light - Accent 11"/>
    <w:basedOn w:val="88"/>
    <w:uiPriority w:val="46"/>
    <w:tblPr>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468">
    <w:name w:val="List Table 1 Light - Accent 21"/>
    <w:basedOn w:val="88"/>
    <w:qFormat/>
    <w:uiPriority w:val="46"/>
    <w:tblPr>
      <w:tblCellMar>
        <w:top w:w="0" w:type="dxa"/>
        <w:left w:w="108" w:type="dxa"/>
        <w:bottom w:w="0" w:type="dxa"/>
        <w:right w:w="108" w:type="dxa"/>
      </w:tblCellMar>
    </w:tblPr>
    <w:tblStylePr w:type="firstRow">
      <w:rPr>
        <w:b/>
        <w:bCs/>
      </w:rPr>
      <w:tcPr>
        <w:tcBorders>
          <w:bottom w:val="single" w:color="D99594" w:themeColor="accent2" w:themeTint="99" w:sz="4" w:space="0"/>
        </w:tcBorders>
      </w:tcPr>
    </w:tblStylePr>
    <w:tblStylePr w:type="lastRow">
      <w:rPr>
        <w:b/>
        <w:bCs/>
      </w:rPr>
      <w:tcPr>
        <w:tcBorders>
          <w:top w:val="single" w:color="D99594" w:themeColor="accent2" w:themeTint="99"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469">
    <w:name w:val="List Table 1 Light - Accent 31"/>
    <w:basedOn w:val="88"/>
    <w:uiPriority w:val="46"/>
    <w:tblPr>
      <w:tblCellMar>
        <w:top w:w="0" w:type="dxa"/>
        <w:left w:w="108" w:type="dxa"/>
        <w:bottom w:w="0" w:type="dxa"/>
        <w:right w:w="108" w:type="dxa"/>
      </w:tblCellMar>
    </w:tblPr>
    <w:tblStylePr w:type="firstRow">
      <w:rPr>
        <w:b/>
        <w:bCs/>
      </w:rPr>
      <w:tcPr>
        <w:tcBorders>
          <w:bottom w:val="single" w:color="C2D69B" w:themeColor="accent3" w:themeTint="99" w:sz="4" w:space="0"/>
        </w:tcBorders>
      </w:tcPr>
    </w:tblStylePr>
    <w:tblStylePr w:type="lastRow">
      <w:rPr>
        <w:b/>
        <w:bCs/>
      </w:rPr>
      <w:tcPr>
        <w:tcBorders>
          <w:top w:val="single" w:color="C2D69B" w:themeColor="accent3" w:themeTint="99"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470">
    <w:name w:val="List Table 1 Light - Accent 41"/>
    <w:basedOn w:val="88"/>
    <w:qFormat/>
    <w:uiPriority w:val="46"/>
    <w:tblPr>
      <w:tblCellMar>
        <w:top w:w="0" w:type="dxa"/>
        <w:left w:w="108" w:type="dxa"/>
        <w:bottom w:w="0" w:type="dxa"/>
        <w:right w:w="108" w:type="dxa"/>
      </w:tblCellMar>
    </w:tblPr>
    <w:tblStylePr w:type="firstRow">
      <w:rPr>
        <w:b/>
        <w:bCs/>
      </w:rPr>
      <w:tcPr>
        <w:tcBorders>
          <w:bottom w:val="single" w:color="B2A1C7" w:themeColor="accent4" w:themeTint="99" w:sz="4" w:space="0"/>
        </w:tcBorders>
      </w:tcPr>
    </w:tblStylePr>
    <w:tblStylePr w:type="lastRow">
      <w:rPr>
        <w:b/>
        <w:bCs/>
      </w:rPr>
      <w:tcPr>
        <w:tcBorders>
          <w:top w:val="single" w:color="B2A1C7" w:themeColor="accent4" w:themeTint="99"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471">
    <w:name w:val="List Table 1 Light - Accent 51"/>
    <w:basedOn w:val="88"/>
    <w:uiPriority w:val="46"/>
    <w:tblPr>
      <w:tblCellMar>
        <w:top w:w="0" w:type="dxa"/>
        <w:left w:w="108" w:type="dxa"/>
        <w:bottom w:w="0" w:type="dxa"/>
        <w:right w:w="108" w:type="dxa"/>
      </w:tblCellMar>
    </w:tblPr>
    <w:tblStylePr w:type="firstRow">
      <w:rPr>
        <w:b/>
        <w:bCs/>
      </w:rPr>
      <w:tcPr>
        <w:tcBorders>
          <w:bottom w:val="single" w:color="92CDDC" w:themeColor="accent5" w:themeTint="99" w:sz="4" w:space="0"/>
        </w:tcBorders>
      </w:tcPr>
    </w:tblStylePr>
    <w:tblStylePr w:type="lastRow">
      <w:rPr>
        <w:b/>
        <w:bCs/>
      </w:rPr>
      <w:tcPr>
        <w:tcBorders>
          <w:top w:val="sing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472">
    <w:name w:val="List Table 1 Light - Accent 61"/>
    <w:basedOn w:val="88"/>
    <w:uiPriority w:val="46"/>
    <w:tblPr>
      <w:tblCellMar>
        <w:top w:w="0" w:type="dxa"/>
        <w:left w:w="108" w:type="dxa"/>
        <w:bottom w:w="0" w:type="dxa"/>
        <w:right w:w="108" w:type="dxa"/>
      </w:tblCellMar>
    </w:tblPr>
    <w:tblStylePr w:type="firstRow">
      <w:rPr>
        <w:b/>
        <w:bCs/>
      </w:rPr>
      <w:tcPr>
        <w:tcBorders>
          <w:bottom w:val="single" w:color="FABF8F" w:themeColor="accent6" w:themeTint="99" w:sz="4" w:space="0"/>
        </w:tcBorders>
      </w:tcPr>
    </w:tblStylePr>
    <w:tblStylePr w:type="lastRow">
      <w:rPr>
        <w:b/>
        <w:bCs/>
      </w:rPr>
      <w:tcPr>
        <w:tcBorders>
          <w:top w:val="sing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473">
    <w:name w:val="List Table 21"/>
    <w:basedOn w:val="88"/>
    <w:uiPriority w:val="47"/>
    <w:tblPr>
      <w:tblBorders>
        <w:top w:val="single" w:color="666666" w:themeColor="text1" w:themeTint="99" w:sz="4" w:space="0"/>
        <w:bottom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74">
    <w:name w:val="List Table 2 - Accent 11"/>
    <w:basedOn w:val="88"/>
    <w:uiPriority w:val="47"/>
    <w:tblPr>
      <w:tblBorders>
        <w:top w:val="single" w:color="95B3D7" w:themeColor="accent1" w:themeTint="99" w:sz="4" w:space="0"/>
        <w:bottom w:val="single" w:color="95B3D7" w:themeColor="accent1" w:themeTint="99" w:sz="4" w:space="0"/>
        <w:insideH w:val="single" w:color="95B3D7" w:themeColor="accen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475">
    <w:name w:val="List Table 2 - Accent 21"/>
    <w:basedOn w:val="88"/>
    <w:uiPriority w:val="47"/>
    <w:tblPr>
      <w:tblBorders>
        <w:top w:val="single" w:color="D99594" w:themeColor="accent2" w:themeTint="99" w:sz="4" w:space="0"/>
        <w:bottom w:val="single" w:color="D99594" w:themeColor="accent2" w:themeTint="99" w:sz="4" w:space="0"/>
        <w:insideH w:val="single" w:color="D99594" w:themeColor="accent2"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476">
    <w:name w:val="List Table 2 - Accent 31"/>
    <w:basedOn w:val="88"/>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477">
    <w:name w:val="List Table 2 - Accent 41"/>
    <w:basedOn w:val="88"/>
    <w:uiPriority w:val="47"/>
    <w:tblPr>
      <w:tblBorders>
        <w:top w:val="single" w:color="B2A1C7" w:themeColor="accent4" w:themeTint="99" w:sz="4" w:space="0"/>
        <w:bottom w:val="single" w:color="B2A1C7" w:themeColor="accent4" w:themeTint="99" w:sz="4" w:space="0"/>
        <w:insideH w:val="single" w:color="B2A1C7" w:themeColor="accent4"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478">
    <w:name w:val="List Table 2 - Accent 51"/>
    <w:basedOn w:val="88"/>
    <w:uiPriority w:val="47"/>
    <w:tblPr>
      <w:tblBorders>
        <w:top w:val="single" w:color="92CDDC" w:themeColor="accent5" w:themeTint="99" w:sz="4" w:space="0"/>
        <w:bottom w:val="single" w:color="92CDDC" w:themeColor="accent5" w:themeTint="99" w:sz="4" w:space="0"/>
        <w:insideH w:val="single" w:color="92CDDC" w:themeColor="accent5"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479">
    <w:name w:val="List Table 2 - Accent 61"/>
    <w:basedOn w:val="88"/>
    <w:uiPriority w:val="47"/>
    <w:tblPr>
      <w:tblBorders>
        <w:top w:val="single" w:color="FABF8F" w:themeColor="accent6" w:themeTint="99" w:sz="4" w:space="0"/>
        <w:bottom w:val="single" w:color="FABF8F" w:themeColor="accent6" w:themeTint="99" w:sz="4" w:space="0"/>
        <w:insideH w:val="single" w:color="FABF8F" w:themeColor="accent6"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480">
    <w:name w:val="List Table 31"/>
    <w:basedOn w:val="88"/>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481">
    <w:name w:val="List Table 3 - Accent 11"/>
    <w:basedOn w:val="88"/>
    <w:uiPriority w:val="48"/>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4F81BD" w:themeFill="accent1"/>
      </w:tcPr>
    </w:tblStylePr>
    <w:tblStylePr w:type="lastRow">
      <w:rPr>
        <w:b/>
        <w:bCs/>
      </w:rPr>
      <w:tcPr>
        <w:tcBorders>
          <w:top w:val="double" w:color="4F81BD"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F81BD" w:themeColor="accent1" w:sz="4" w:space="0"/>
          <w:right w:val="single" w:color="4F81BD" w:themeColor="accent1" w:sz="4" w:space="0"/>
        </w:tcBorders>
      </w:tcPr>
    </w:tblStylePr>
    <w:tblStylePr w:type="band1Horz">
      <w:tcPr>
        <w:tcBorders>
          <w:top w:val="single" w:color="4F81BD" w:themeColor="accent1" w:sz="4" w:space="0"/>
          <w:bottom w:val="single" w:color="4F81BD"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F81BD" w:themeColor="accent1" w:sz="4" w:space="0"/>
          <w:left w:val="nil"/>
        </w:tcBorders>
      </w:tcPr>
    </w:tblStylePr>
    <w:tblStylePr w:type="swCell">
      <w:tcPr>
        <w:tcBorders>
          <w:top w:val="double" w:color="4F81BD" w:themeColor="accent1" w:sz="4" w:space="0"/>
          <w:right w:val="nil"/>
        </w:tcBorders>
      </w:tcPr>
    </w:tblStylePr>
  </w:style>
  <w:style w:type="table" w:customStyle="1" w:styleId="482">
    <w:name w:val="List Table 3 - Accent 21"/>
    <w:basedOn w:val="88"/>
    <w:uiPriority w:val="48"/>
    <w:tblPr>
      <w:tblBorders>
        <w:top w:val="single" w:color="C0504D" w:themeColor="accent2" w:sz="4" w:space="0"/>
        <w:left w:val="single" w:color="C0504D" w:themeColor="accent2" w:sz="4" w:space="0"/>
        <w:bottom w:val="single" w:color="C0504D" w:themeColor="accent2" w:sz="4" w:space="0"/>
        <w:right w:val="single" w:color="C0504D" w:themeColor="accent2"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C0504D" w:themeFill="accent2"/>
      </w:tcPr>
    </w:tblStylePr>
    <w:tblStylePr w:type="lastRow">
      <w:rPr>
        <w:b/>
        <w:bCs/>
      </w:rPr>
      <w:tcPr>
        <w:tcBorders>
          <w:top w:val="double" w:color="C0504D"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C0504D" w:themeColor="accent2" w:sz="4" w:space="0"/>
          <w:right w:val="single" w:color="C0504D" w:themeColor="accent2" w:sz="4" w:space="0"/>
        </w:tcBorders>
      </w:tcPr>
    </w:tblStylePr>
    <w:tblStylePr w:type="band1Horz">
      <w:tcPr>
        <w:tcBorders>
          <w:top w:val="single" w:color="C0504D" w:themeColor="accent2" w:sz="4" w:space="0"/>
          <w:bottom w:val="single" w:color="C0504D"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C0504D" w:themeColor="accent2" w:sz="4" w:space="0"/>
          <w:left w:val="nil"/>
        </w:tcBorders>
      </w:tcPr>
    </w:tblStylePr>
    <w:tblStylePr w:type="swCell">
      <w:tcPr>
        <w:tcBorders>
          <w:top w:val="double" w:color="C0504D" w:themeColor="accent2" w:sz="4" w:space="0"/>
          <w:right w:val="nil"/>
        </w:tcBorders>
      </w:tcPr>
    </w:tblStylePr>
  </w:style>
  <w:style w:type="table" w:customStyle="1" w:styleId="483">
    <w:name w:val="List Table 3 - Accent 31"/>
    <w:basedOn w:val="88"/>
    <w:uiPriority w:val="48"/>
    <w:tblPr>
      <w:tblBorders>
        <w:top w:val="single" w:color="9BBB59" w:themeColor="accent3" w:sz="4" w:space="0"/>
        <w:left w:val="single" w:color="9BBB59" w:themeColor="accent3" w:sz="4" w:space="0"/>
        <w:bottom w:val="single" w:color="9BBB59" w:themeColor="accent3" w:sz="4" w:space="0"/>
        <w:right w:val="single" w:color="9BBB59" w:themeColor="accent3"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9BBB59" w:themeFill="accent3"/>
      </w:tcPr>
    </w:tblStylePr>
    <w:tblStylePr w:type="lastRow">
      <w:rPr>
        <w:b/>
        <w:bCs/>
      </w:rPr>
      <w:tcPr>
        <w:tcBorders>
          <w:top w:val="double" w:color="9BBB59"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9BBB59" w:themeColor="accent3" w:sz="4" w:space="0"/>
          <w:right w:val="single" w:color="9BBB59" w:themeColor="accent3" w:sz="4" w:space="0"/>
        </w:tcBorders>
      </w:tcPr>
    </w:tblStylePr>
    <w:tblStylePr w:type="band1Horz">
      <w:tcPr>
        <w:tcBorders>
          <w:top w:val="single" w:color="9BBB59" w:themeColor="accent3" w:sz="4" w:space="0"/>
          <w:bottom w:val="single" w:color="9BBB59"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9BBB59" w:themeColor="accent3" w:sz="4" w:space="0"/>
          <w:left w:val="nil"/>
        </w:tcBorders>
      </w:tcPr>
    </w:tblStylePr>
    <w:tblStylePr w:type="swCell">
      <w:tcPr>
        <w:tcBorders>
          <w:top w:val="double" w:color="9BBB59" w:themeColor="accent3" w:sz="4" w:space="0"/>
          <w:right w:val="nil"/>
        </w:tcBorders>
      </w:tcPr>
    </w:tblStylePr>
  </w:style>
  <w:style w:type="table" w:customStyle="1" w:styleId="484">
    <w:name w:val="List Table 3 - Accent 41"/>
    <w:basedOn w:val="88"/>
    <w:uiPriority w:val="48"/>
    <w:tblPr>
      <w:tblBorders>
        <w:top w:val="single" w:color="8064A2" w:themeColor="accent4" w:sz="4" w:space="0"/>
        <w:left w:val="single" w:color="8064A2" w:themeColor="accent4" w:sz="4" w:space="0"/>
        <w:bottom w:val="single" w:color="8064A2" w:themeColor="accent4" w:sz="4" w:space="0"/>
        <w:right w:val="single" w:color="8064A2" w:themeColor="accent4"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8064A2" w:themeFill="accent4"/>
      </w:tcPr>
    </w:tblStylePr>
    <w:tblStylePr w:type="lastRow">
      <w:rPr>
        <w:b/>
        <w:bCs/>
      </w:rPr>
      <w:tcPr>
        <w:tcBorders>
          <w:top w:val="double" w:color="8064A2"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8064A2" w:themeColor="accent4" w:sz="4" w:space="0"/>
          <w:right w:val="single" w:color="8064A2" w:themeColor="accent4" w:sz="4" w:space="0"/>
        </w:tcBorders>
      </w:tcPr>
    </w:tblStylePr>
    <w:tblStylePr w:type="band1Horz">
      <w:tcPr>
        <w:tcBorders>
          <w:top w:val="single" w:color="8064A2" w:themeColor="accent4" w:sz="4" w:space="0"/>
          <w:bottom w:val="single" w:color="8064A2"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8064A2" w:themeColor="accent4" w:sz="4" w:space="0"/>
          <w:left w:val="nil"/>
        </w:tcBorders>
      </w:tcPr>
    </w:tblStylePr>
    <w:tblStylePr w:type="swCell">
      <w:tcPr>
        <w:tcBorders>
          <w:top w:val="double" w:color="8064A2" w:themeColor="accent4" w:sz="4" w:space="0"/>
          <w:right w:val="nil"/>
        </w:tcBorders>
      </w:tcPr>
    </w:tblStylePr>
  </w:style>
  <w:style w:type="table" w:customStyle="1" w:styleId="485">
    <w:name w:val="List Table 3 - Accent 51"/>
    <w:basedOn w:val="88"/>
    <w:uiPriority w:val="48"/>
    <w:tblPr>
      <w:tblBorders>
        <w:top w:val="single" w:color="4BACC6" w:themeColor="accent5" w:sz="4" w:space="0"/>
        <w:left w:val="single" w:color="4BACC6" w:themeColor="accent5" w:sz="4" w:space="0"/>
        <w:bottom w:val="single" w:color="4BACC6" w:themeColor="accent5" w:sz="4" w:space="0"/>
        <w:right w:val="single" w:color="4BACC6" w:themeColor="accent5"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4BACC6" w:themeFill="accent5"/>
      </w:tcPr>
    </w:tblStylePr>
    <w:tblStylePr w:type="lastRow">
      <w:rPr>
        <w:b/>
        <w:bCs/>
      </w:rPr>
      <w:tcPr>
        <w:tcBorders>
          <w:top w:val="double" w:color="4BACC6"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BACC6" w:themeColor="accent5" w:sz="4" w:space="0"/>
          <w:right w:val="single" w:color="4BACC6" w:themeColor="accent5" w:sz="4" w:space="0"/>
        </w:tcBorders>
      </w:tcPr>
    </w:tblStylePr>
    <w:tblStylePr w:type="band1Horz">
      <w:tcPr>
        <w:tcBorders>
          <w:top w:val="single" w:color="4BACC6" w:themeColor="accent5" w:sz="4" w:space="0"/>
          <w:bottom w:val="single" w:color="4BACC6"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BACC6" w:themeColor="accent5" w:sz="4" w:space="0"/>
          <w:left w:val="nil"/>
        </w:tcBorders>
      </w:tcPr>
    </w:tblStylePr>
    <w:tblStylePr w:type="swCell">
      <w:tcPr>
        <w:tcBorders>
          <w:top w:val="double" w:color="4BACC6" w:themeColor="accent5" w:sz="4" w:space="0"/>
          <w:right w:val="nil"/>
        </w:tcBorders>
      </w:tcPr>
    </w:tblStylePr>
  </w:style>
  <w:style w:type="table" w:customStyle="1" w:styleId="486">
    <w:name w:val="List Table 3 - Accent 61"/>
    <w:basedOn w:val="88"/>
    <w:uiPriority w:val="48"/>
    <w:tblPr>
      <w:tblBorders>
        <w:top w:val="single" w:color="F79646" w:themeColor="accent6" w:sz="4" w:space="0"/>
        <w:left w:val="single" w:color="F79646" w:themeColor="accent6" w:sz="4" w:space="0"/>
        <w:bottom w:val="single" w:color="F79646" w:themeColor="accent6" w:sz="4" w:space="0"/>
        <w:right w:val="single" w:color="F79646" w:themeColor="accent6"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F79646" w:themeFill="accent6"/>
      </w:tcPr>
    </w:tblStylePr>
    <w:tblStylePr w:type="lastRow">
      <w:rPr>
        <w:b/>
        <w:bCs/>
      </w:rPr>
      <w:tcPr>
        <w:tcBorders>
          <w:top w:val="double" w:color="F79646"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79646" w:themeColor="accent6" w:sz="4" w:space="0"/>
          <w:right w:val="single" w:color="F79646" w:themeColor="accent6" w:sz="4" w:space="0"/>
        </w:tcBorders>
      </w:tcPr>
    </w:tblStylePr>
    <w:tblStylePr w:type="band1Horz">
      <w:tcPr>
        <w:tcBorders>
          <w:top w:val="single" w:color="F79646" w:themeColor="accent6" w:sz="4" w:space="0"/>
          <w:bottom w:val="single" w:color="F79646"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79646" w:themeColor="accent6" w:sz="4" w:space="0"/>
          <w:left w:val="nil"/>
        </w:tcBorders>
      </w:tcPr>
    </w:tblStylePr>
    <w:tblStylePr w:type="swCell">
      <w:tcPr>
        <w:tcBorders>
          <w:top w:val="double" w:color="F79646" w:themeColor="accent6" w:sz="4" w:space="0"/>
          <w:right w:val="nil"/>
        </w:tcBorders>
      </w:tcPr>
    </w:tblStylePr>
  </w:style>
  <w:style w:type="table" w:customStyle="1" w:styleId="487">
    <w:name w:val="List Table 41"/>
    <w:basedOn w:val="88"/>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88">
    <w:name w:val="List Table 4 - Accent 11"/>
    <w:basedOn w:val="88"/>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489">
    <w:name w:val="List Table 4 - Accent 21"/>
    <w:basedOn w:val="88"/>
    <w:qFormat/>
    <w:uiPriority w:val="49"/>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tcBorders>
        <w:shd w:val="clear" w:color="auto" w:fill="C0504D" w:themeFill="accent2"/>
      </w:tcPr>
    </w:tblStylePr>
    <w:tblStylePr w:type="lastRow">
      <w:rPr>
        <w:b/>
        <w:bCs/>
      </w:rPr>
      <w:tcPr>
        <w:tcBorders>
          <w:top w:val="double" w:color="D99594" w:themeColor="accent2" w:themeTint="99"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490">
    <w:name w:val="List Table 4 - Accent 31"/>
    <w:basedOn w:val="88"/>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tcBorders>
        <w:shd w:val="clear" w:color="auto" w:fill="9BBB59" w:themeFill="accent3"/>
      </w:tcPr>
    </w:tblStylePr>
    <w:tblStylePr w:type="lastRow">
      <w:rPr>
        <w:b/>
        <w:bCs/>
      </w:rPr>
      <w:tcPr>
        <w:tcBorders>
          <w:top w:val="double" w:color="C2D69B" w:themeColor="accent3" w:themeTint="99"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491">
    <w:name w:val="List Table 4 - Accent 41"/>
    <w:basedOn w:val="88"/>
    <w:uiPriority w:val="49"/>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tcBorders>
        <w:shd w:val="clear" w:color="auto" w:fill="8064A2" w:themeFill="accent4"/>
      </w:tcPr>
    </w:tblStylePr>
    <w:tblStylePr w:type="lastRow">
      <w:rPr>
        <w:b/>
        <w:bCs/>
      </w:rPr>
      <w:tcPr>
        <w:tcBorders>
          <w:top w:val="double" w:color="B2A1C7" w:themeColor="accent4" w:themeTint="99"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492">
    <w:name w:val="List Table 4 - Accent 51"/>
    <w:basedOn w:val="88"/>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tcBorders>
        <w:shd w:val="clear" w:color="auto" w:fill="4BACC6" w:themeFill="accent5"/>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493">
    <w:name w:val="List Table 4 - Accent 61"/>
    <w:basedOn w:val="88"/>
    <w:qFormat/>
    <w:uiPriority w:val="49"/>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tcBorders>
        <w:shd w:val="clear" w:color="auto" w:fill="F79646" w:themeFill="accent6"/>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494">
    <w:name w:val="List Table 5 Dark1"/>
    <w:basedOn w:val="88"/>
    <w:qFormat/>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CellMar>
        <w:top w:w="0" w:type="dxa"/>
        <w:left w:w="108" w:type="dxa"/>
        <w:bottom w:w="0" w:type="dxa"/>
        <w:right w:w="108" w:type="dxa"/>
      </w:tblCellMar>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95">
    <w:name w:val="List Table 5 Dark - Accent 11"/>
    <w:basedOn w:val="88"/>
    <w:qFormat/>
    <w:uiPriority w:val="50"/>
    <w:rPr>
      <w:color w:val="FFFFFF" w:themeColor="background1"/>
      <w14:textFill>
        <w14:solidFill>
          <w14:schemeClr w14:val="bg1"/>
        </w14:solidFill>
      </w14:textFill>
    </w:rPr>
    <w:tblPr>
      <w:tblBorders>
        <w:top w:val="single" w:color="4F81BD" w:themeColor="accent1" w:sz="24" w:space="0"/>
        <w:left w:val="single" w:color="4F81BD" w:themeColor="accent1" w:sz="24" w:space="0"/>
        <w:bottom w:val="single" w:color="4F81BD" w:themeColor="accent1" w:sz="24" w:space="0"/>
        <w:right w:val="single" w:color="4F81BD" w:themeColor="accent1" w:sz="24" w:space="0"/>
      </w:tblBorders>
      <w:tblCellMar>
        <w:top w:w="0" w:type="dxa"/>
        <w:left w:w="108" w:type="dxa"/>
        <w:bottom w:w="0" w:type="dxa"/>
        <w:right w:w="108" w:type="dxa"/>
      </w:tblCellMar>
    </w:tblPr>
    <w:tcPr>
      <w:shd w:val="clear" w:color="auto" w:fill="4F81BD"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96">
    <w:name w:val="List Table 5 Dark - Accent 21"/>
    <w:basedOn w:val="88"/>
    <w:qFormat/>
    <w:uiPriority w:val="50"/>
    <w:rPr>
      <w:color w:val="FFFFFF" w:themeColor="background1"/>
      <w14:textFill>
        <w14:solidFill>
          <w14:schemeClr w14:val="bg1"/>
        </w14:solidFill>
      </w14:textFill>
    </w:rPr>
    <w:tblPr>
      <w:tblBorders>
        <w:top w:val="single" w:color="C0504D" w:themeColor="accent2" w:sz="24" w:space="0"/>
        <w:left w:val="single" w:color="C0504D" w:themeColor="accent2" w:sz="24" w:space="0"/>
        <w:bottom w:val="single" w:color="C0504D" w:themeColor="accent2" w:sz="24" w:space="0"/>
        <w:right w:val="single" w:color="C0504D" w:themeColor="accent2" w:sz="24" w:space="0"/>
      </w:tblBorders>
      <w:tblCellMar>
        <w:top w:w="0" w:type="dxa"/>
        <w:left w:w="108" w:type="dxa"/>
        <w:bottom w:w="0" w:type="dxa"/>
        <w:right w:w="108" w:type="dxa"/>
      </w:tblCellMar>
    </w:tblPr>
    <w:tcPr>
      <w:shd w:val="clear" w:color="auto" w:fill="C0504D"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97">
    <w:name w:val="List Table 5 Dark - Accent 31"/>
    <w:basedOn w:val="88"/>
    <w:qFormat/>
    <w:uiPriority w:val="50"/>
    <w:rPr>
      <w:color w:val="FFFFFF" w:themeColor="background1"/>
      <w14:textFill>
        <w14:solidFill>
          <w14:schemeClr w14:val="bg1"/>
        </w14:solidFill>
      </w14:textFill>
    </w:rPr>
    <w:tblPr>
      <w:tblBorders>
        <w:top w:val="single" w:color="9BBB59" w:themeColor="accent3" w:sz="24" w:space="0"/>
        <w:left w:val="single" w:color="9BBB59" w:themeColor="accent3" w:sz="24" w:space="0"/>
        <w:bottom w:val="single" w:color="9BBB59" w:themeColor="accent3" w:sz="24" w:space="0"/>
        <w:right w:val="single" w:color="9BBB59" w:themeColor="accent3" w:sz="24" w:space="0"/>
      </w:tblBorders>
      <w:tblCellMar>
        <w:top w:w="0" w:type="dxa"/>
        <w:left w:w="108" w:type="dxa"/>
        <w:bottom w:w="0" w:type="dxa"/>
        <w:right w:w="108" w:type="dxa"/>
      </w:tblCellMar>
    </w:tblPr>
    <w:tcPr>
      <w:shd w:val="clear" w:color="auto" w:fill="9BBB59"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98">
    <w:name w:val="List Table 5 Dark - Accent 41"/>
    <w:basedOn w:val="88"/>
    <w:qFormat/>
    <w:uiPriority w:val="50"/>
    <w:rPr>
      <w:color w:val="FFFFFF" w:themeColor="background1"/>
      <w14:textFill>
        <w14:solidFill>
          <w14:schemeClr w14:val="bg1"/>
        </w14:solidFill>
      </w14:textFill>
    </w:rPr>
    <w:tblPr>
      <w:tblBorders>
        <w:top w:val="single" w:color="8064A2" w:themeColor="accent4" w:sz="24" w:space="0"/>
        <w:left w:val="single" w:color="8064A2" w:themeColor="accent4" w:sz="24" w:space="0"/>
        <w:bottom w:val="single" w:color="8064A2" w:themeColor="accent4" w:sz="24" w:space="0"/>
        <w:right w:val="single" w:color="8064A2" w:themeColor="accent4" w:sz="24" w:space="0"/>
      </w:tblBorders>
      <w:tblCellMar>
        <w:top w:w="0" w:type="dxa"/>
        <w:left w:w="108" w:type="dxa"/>
        <w:bottom w:w="0" w:type="dxa"/>
        <w:right w:w="108" w:type="dxa"/>
      </w:tblCellMar>
    </w:tblPr>
    <w:tcPr>
      <w:shd w:val="clear" w:color="auto" w:fill="8064A2"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99">
    <w:name w:val="List Table 5 Dark - Accent 51"/>
    <w:basedOn w:val="88"/>
    <w:qFormat/>
    <w:uiPriority w:val="50"/>
    <w:rPr>
      <w:color w:val="FFFFFF" w:themeColor="background1"/>
      <w14:textFill>
        <w14:solidFill>
          <w14:schemeClr w14:val="bg1"/>
        </w14:solidFill>
      </w14:textFill>
    </w:rPr>
    <w:tblPr>
      <w:tblBorders>
        <w:top w:val="single" w:color="4BACC6" w:themeColor="accent5" w:sz="24" w:space="0"/>
        <w:left w:val="single" w:color="4BACC6" w:themeColor="accent5" w:sz="24" w:space="0"/>
        <w:bottom w:val="single" w:color="4BACC6" w:themeColor="accent5" w:sz="24" w:space="0"/>
        <w:right w:val="single" w:color="4BACC6" w:themeColor="accent5" w:sz="24" w:space="0"/>
      </w:tblBorders>
      <w:tblCellMar>
        <w:top w:w="0" w:type="dxa"/>
        <w:left w:w="108" w:type="dxa"/>
        <w:bottom w:w="0" w:type="dxa"/>
        <w:right w:w="108" w:type="dxa"/>
      </w:tblCellMar>
    </w:tblPr>
    <w:tcPr>
      <w:shd w:val="clear" w:color="auto" w:fill="4BACC6"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500">
    <w:name w:val="List Table 5 Dark - Accent 61"/>
    <w:basedOn w:val="88"/>
    <w:uiPriority w:val="50"/>
    <w:rPr>
      <w:color w:val="FFFFFF" w:themeColor="background1"/>
      <w14:textFill>
        <w14:solidFill>
          <w14:schemeClr w14:val="bg1"/>
        </w14:solidFill>
      </w14:textFill>
    </w:rPr>
    <w:tblPr>
      <w:tblBorders>
        <w:top w:val="single" w:color="F79646" w:themeColor="accent6" w:sz="24" w:space="0"/>
        <w:left w:val="single" w:color="F79646" w:themeColor="accent6" w:sz="24" w:space="0"/>
        <w:bottom w:val="single" w:color="F79646" w:themeColor="accent6" w:sz="24" w:space="0"/>
        <w:right w:val="single" w:color="F79646" w:themeColor="accent6" w:sz="24" w:space="0"/>
      </w:tblBorders>
      <w:tblCellMar>
        <w:top w:w="0" w:type="dxa"/>
        <w:left w:w="108" w:type="dxa"/>
        <w:bottom w:w="0" w:type="dxa"/>
        <w:right w:w="108" w:type="dxa"/>
      </w:tblCellMar>
    </w:tblPr>
    <w:tcPr>
      <w:shd w:val="clear" w:color="auto" w:fill="F79646"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501">
    <w:name w:val="List Table 6 Colorful1"/>
    <w:basedOn w:val="88"/>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502">
    <w:name w:val="List Table 6 Colorful - Accent 11"/>
    <w:basedOn w:val="88"/>
    <w:qFormat/>
    <w:uiPriority w:val="51"/>
    <w:rPr>
      <w:color w:val="376092" w:themeColor="accent1" w:themeShade="BF"/>
    </w:rPr>
    <w:tblPr>
      <w:tblBorders>
        <w:top w:val="single" w:color="4F81BD" w:themeColor="accent1" w:sz="4" w:space="0"/>
        <w:bottom w:val="single" w:color="4F81BD" w:themeColor="accent1" w:sz="4" w:space="0"/>
      </w:tblBorders>
      <w:tblCellMar>
        <w:top w:w="0" w:type="dxa"/>
        <w:left w:w="108" w:type="dxa"/>
        <w:bottom w:w="0" w:type="dxa"/>
        <w:right w:w="108" w:type="dxa"/>
      </w:tblCellMar>
    </w:tblPr>
    <w:tblStylePr w:type="firstRow">
      <w:rPr>
        <w:b/>
        <w:bCs/>
      </w:rPr>
      <w:tcPr>
        <w:tcBorders>
          <w:bottom w:val="single" w:color="4F81BD" w:themeColor="accent1" w:sz="4" w:space="0"/>
        </w:tcBorders>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503">
    <w:name w:val="List Table 6 Colorful - Accent 21"/>
    <w:basedOn w:val="88"/>
    <w:qFormat/>
    <w:uiPriority w:val="51"/>
    <w:rPr>
      <w:color w:val="953735" w:themeColor="accent2" w:themeShade="BF"/>
    </w:rPr>
    <w:tblPr>
      <w:tblBorders>
        <w:top w:val="single" w:color="C0504D" w:themeColor="accent2" w:sz="4" w:space="0"/>
        <w:bottom w:val="single" w:color="C0504D" w:themeColor="accent2" w:sz="4" w:space="0"/>
      </w:tblBorders>
      <w:tblCellMar>
        <w:top w:w="0" w:type="dxa"/>
        <w:left w:w="108" w:type="dxa"/>
        <w:bottom w:w="0" w:type="dxa"/>
        <w:right w:w="108" w:type="dxa"/>
      </w:tblCellMar>
    </w:tblPr>
    <w:tblStylePr w:type="firstRow">
      <w:rPr>
        <w:b/>
        <w:bCs/>
      </w:rPr>
      <w:tcPr>
        <w:tcBorders>
          <w:bottom w:val="single" w:color="C0504D" w:themeColor="accent2" w:sz="4" w:space="0"/>
        </w:tcBorders>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504">
    <w:name w:val="List Table 6 Colorful - Accent 31"/>
    <w:basedOn w:val="88"/>
    <w:qFormat/>
    <w:uiPriority w:val="51"/>
    <w:rPr>
      <w:color w:val="77933C" w:themeColor="accent3" w:themeShade="BF"/>
    </w:rPr>
    <w:tblPr>
      <w:tblBorders>
        <w:top w:val="single" w:color="9BBB59" w:themeColor="accent3" w:sz="4" w:space="0"/>
        <w:bottom w:val="single" w:color="9BBB59" w:themeColor="accent3" w:sz="4" w:space="0"/>
      </w:tblBorders>
      <w:tblCellMar>
        <w:top w:w="0" w:type="dxa"/>
        <w:left w:w="108" w:type="dxa"/>
        <w:bottom w:w="0" w:type="dxa"/>
        <w:right w:w="108" w:type="dxa"/>
      </w:tblCellMar>
    </w:tblPr>
    <w:tblStylePr w:type="firstRow">
      <w:rPr>
        <w:b/>
        <w:bCs/>
      </w:rPr>
      <w:tcPr>
        <w:tcBorders>
          <w:bottom w:val="single" w:color="9BBB59" w:themeColor="accent3" w:sz="4" w:space="0"/>
        </w:tcBorders>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505">
    <w:name w:val="List Table 6 Colorful - Accent 41"/>
    <w:basedOn w:val="88"/>
    <w:uiPriority w:val="51"/>
    <w:rPr>
      <w:color w:val="604A7B" w:themeColor="accent4" w:themeShade="BF"/>
    </w:rPr>
    <w:tblPr>
      <w:tblBorders>
        <w:top w:val="single" w:color="8064A2" w:themeColor="accent4" w:sz="4" w:space="0"/>
        <w:bottom w:val="single" w:color="8064A2" w:themeColor="accent4" w:sz="4" w:space="0"/>
      </w:tblBorders>
      <w:tblCellMar>
        <w:top w:w="0" w:type="dxa"/>
        <w:left w:w="108" w:type="dxa"/>
        <w:bottom w:w="0" w:type="dxa"/>
        <w:right w:w="108" w:type="dxa"/>
      </w:tblCellMar>
    </w:tblPr>
    <w:tblStylePr w:type="firstRow">
      <w:rPr>
        <w:b/>
        <w:bCs/>
      </w:rPr>
      <w:tcPr>
        <w:tcBorders>
          <w:bottom w:val="single" w:color="8064A2" w:themeColor="accent4" w:sz="4" w:space="0"/>
        </w:tcBorders>
      </w:tcPr>
    </w:tblStylePr>
    <w:tblStylePr w:type="lastRow">
      <w:rPr>
        <w:b/>
        <w:bCs/>
      </w:rPr>
      <w:tcPr>
        <w:tcBorders>
          <w:top w:val="double" w:color="8064A2" w:themeColor="accent4"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506">
    <w:name w:val="List Table 6 Colorful - Accent 51"/>
    <w:basedOn w:val="88"/>
    <w:qFormat/>
    <w:uiPriority w:val="51"/>
    <w:rPr>
      <w:color w:val="31859C" w:themeColor="accent5" w:themeShade="BF"/>
    </w:rPr>
    <w:tblPr>
      <w:tblBorders>
        <w:top w:val="single" w:color="4BACC6" w:themeColor="accent5" w:sz="4" w:space="0"/>
        <w:bottom w:val="single" w:color="4BACC6" w:themeColor="accent5" w:sz="4" w:space="0"/>
      </w:tblBorders>
      <w:tblCellMar>
        <w:top w:w="0" w:type="dxa"/>
        <w:left w:w="108" w:type="dxa"/>
        <w:bottom w:w="0" w:type="dxa"/>
        <w:right w:w="108" w:type="dxa"/>
      </w:tblCellMar>
    </w:tblPr>
    <w:tblStylePr w:type="firstRow">
      <w:rPr>
        <w:b/>
        <w:bCs/>
      </w:rPr>
      <w:tcPr>
        <w:tcBorders>
          <w:bottom w:val="single" w:color="4BACC6" w:themeColor="accent5" w:sz="4" w:space="0"/>
        </w:tcBorders>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507">
    <w:name w:val="List Table 6 Colorful - Accent 61"/>
    <w:basedOn w:val="88"/>
    <w:qFormat/>
    <w:uiPriority w:val="51"/>
    <w:rPr>
      <w:color w:val="E46C0A" w:themeColor="accent6" w:themeShade="BF"/>
    </w:rPr>
    <w:tblPr>
      <w:tblBorders>
        <w:top w:val="single" w:color="F79646" w:themeColor="accent6" w:sz="4" w:space="0"/>
        <w:bottom w:val="single" w:color="F79646" w:themeColor="accent6" w:sz="4" w:space="0"/>
      </w:tblBorders>
      <w:tblCellMar>
        <w:top w:w="0" w:type="dxa"/>
        <w:left w:w="108" w:type="dxa"/>
        <w:bottom w:w="0" w:type="dxa"/>
        <w:right w:w="108" w:type="dxa"/>
      </w:tblCellMar>
    </w:tblPr>
    <w:tblStylePr w:type="firstRow">
      <w:rPr>
        <w:b/>
        <w:bCs/>
      </w:rPr>
      <w:tcPr>
        <w:tcBorders>
          <w:bottom w:val="single" w:color="F79646" w:themeColor="accent6" w:sz="4" w:space="0"/>
        </w:tcBorders>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508">
    <w:name w:val="List Table 7 Colorful1"/>
    <w:basedOn w:val="88"/>
    <w:qFormat/>
    <w:uiPriority w:val="52"/>
    <w:rPr>
      <w:color w:val="000000" w:themeColor="text1"/>
      <w14:textFill>
        <w14:solidFill>
          <w14:schemeClr w14:val="tx1"/>
        </w14:solidFill>
      </w14:textFill>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509">
    <w:name w:val="List Table 7 Colorful - Accent 11"/>
    <w:basedOn w:val="88"/>
    <w:qFormat/>
    <w:uiPriority w:val="52"/>
    <w:rPr>
      <w:color w:val="376092" w:themeColor="accent1"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4F81BD"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F81BD"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F81BD"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F81BD" w:themeColor="accent1" w:sz="4" w:space="0"/>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510">
    <w:name w:val="List Table 7 Colorful - Accent 21"/>
    <w:basedOn w:val="88"/>
    <w:uiPriority w:val="52"/>
    <w:rPr>
      <w:color w:val="953735" w:themeColor="accent2"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C0504D"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C0504D"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C0504D"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C0504D" w:themeColor="accent2" w:sz="4" w:space="0"/>
        </w:tcBorders>
        <w:shd w:val="clear" w:color="auto" w:fill="FFFFFF" w:themeFill="background1"/>
      </w:tcPr>
    </w:tblStylePr>
    <w:tblStylePr w:type="band1Vert">
      <w:tcPr>
        <w:shd w:val="clear" w:color="auto" w:fill="F2DBDB" w:themeFill="accent2" w:themeFillTint="33"/>
      </w:tcPr>
    </w:tblStylePr>
    <w:tblStylePr w:type="band1Horz">
      <w:tcPr>
        <w:shd w:val="clear" w:color="auto" w:fill="F2DBDB"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511">
    <w:name w:val="List Table 7 Colorful - Accent 31"/>
    <w:basedOn w:val="88"/>
    <w:qFormat/>
    <w:uiPriority w:val="52"/>
    <w:rPr>
      <w:color w:val="77933C" w:themeColor="accent3"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9BBB59"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9BBB59"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9BBB59"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9BBB59" w:themeColor="accent3" w:sz="4" w:space="0"/>
        </w:tcBorders>
        <w:shd w:val="clear" w:color="auto" w:fill="FFFFFF" w:themeFill="background1"/>
      </w:tcPr>
    </w:tblStylePr>
    <w:tblStylePr w:type="band1Vert">
      <w:tcPr>
        <w:shd w:val="clear" w:color="auto" w:fill="EAF1DD" w:themeFill="accent3" w:themeFillTint="33"/>
      </w:tcPr>
    </w:tblStylePr>
    <w:tblStylePr w:type="band1Horz">
      <w:tcPr>
        <w:shd w:val="clear" w:color="auto" w:fill="EAF1DD"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512">
    <w:name w:val="List Table 7 Colorful - Accent 41"/>
    <w:basedOn w:val="88"/>
    <w:qFormat/>
    <w:uiPriority w:val="52"/>
    <w:rPr>
      <w:color w:val="604A7B" w:themeColor="accent4"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8064A2"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8064A2"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8064A2"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8064A2" w:themeColor="accent4" w:sz="4" w:space="0"/>
        </w:tcBorders>
        <w:shd w:val="clear" w:color="auto" w:fill="FFFFFF" w:themeFill="background1"/>
      </w:tcPr>
    </w:tblStylePr>
    <w:tblStylePr w:type="band1Vert">
      <w:tcPr>
        <w:shd w:val="clear" w:color="auto" w:fill="E5DFEC" w:themeFill="accent4" w:themeFillTint="33"/>
      </w:tcPr>
    </w:tblStylePr>
    <w:tblStylePr w:type="band1Horz">
      <w:tcPr>
        <w:shd w:val="clear" w:color="auto" w:fill="E5DFE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513">
    <w:name w:val="List Table 7 Colorful - Accent 51"/>
    <w:basedOn w:val="88"/>
    <w:qFormat/>
    <w:uiPriority w:val="52"/>
    <w:rPr>
      <w:color w:val="31859C" w:themeColor="accent5"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4BACC6"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BACC6"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BACC6"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BACC6" w:themeColor="accent5" w:sz="4" w:space="0"/>
        </w:tcBorders>
        <w:shd w:val="clear" w:color="auto" w:fill="FFFFFF" w:themeFill="background1"/>
      </w:tcPr>
    </w:tblStylePr>
    <w:tblStylePr w:type="band1Vert">
      <w:tcPr>
        <w:shd w:val="clear" w:color="auto" w:fill="DAEEF3" w:themeFill="accent5" w:themeFillTint="33"/>
      </w:tcPr>
    </w:tblStylePr>
    <w:tblStylePr w:type="band1Horz">
      <w:tcPr>
        <w:shd w:val="clear" w:color="auto" w:fill="DAEE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514">
    <w:name w:val="List Table 7 Colorful - Accent 61"/>
    <w:basedOn w:val="88"/>
    <w:qFormat/>
    <w:uiPriority w:val="52"/>
    <w:rPr>
      <w:color w:val="E46C0A" w:themeColor="accent6"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F79646"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79646"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79646"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79646" w:themeColor="accent6" w:sz="4" w:space="0"/>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515">
    <w:name w:val="Mention2"/>
    <w:basedOn w:val="231"/>
    <w:qFormat/>
    <w:uiPriority w:val="0"/>
    <w:rPr>
      <w:color w:val="2B579A"/>
      <w:shd w:val="clear" w:color="auto" w:fill="E1DFDD"/>
    </w:rPr>
  </w:style>
  <w:style w:type="table" w:customStyle="1" w:styleId="516">
    <w:name w:val="Plain Table 11"/>
    <w:basedOn w:val="88"/>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517">
    <w:name w:val="Plain Table 21"/>
    <w:basedOn w:val="88"/>
    <w:uiPriority w:val="42"/>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518">
    <w:name w:val="Plain Table 31"/>
    <w:basedOn w:val="88"/>
    <w:uiPriority w:val="43"/>
    <w:tblPr>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519">
    <w:name w:val="Plain Table 41"/>
    <w:basedOn w:val="88"/>
    <w:qFormat/>
    <w:uiPriority w:val="44"/>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520">
    <w:name w:val="Plain Table 51"/>
    <w:basedOn w:val="88"/>
    <w:qFormat/>
    <w:uiPriority w:val="45"/>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521">
    <w:name w:val="Smart Hyperlink2"/>
    <w:basedOn w:val="231"/>
    <w:qFormat/>
    <w:uiPriority w:val="0"/>
    <w:rPr>
      <w:u w:val="dotted"/>
    </w:rPr>
  </w:style>
  <w:style w:type="character" w:customStyle="1" w:styleId="522">
    <w:name w:val="SmartLink2"/>
    <w:basedOn w:val="231"/>
    <w:semiHidden/>
    <w:unhideWhenUsed/>
    <w:qFormat/>
    <w:uiPriority w:val="99"/>
    <w:rPr>
      <w:color w:val="0000FF"/>
      <w:u w:val="single"/>
      <w:shd w:val="clear" w:color="auto" w:fill="F3F2F1"/>
    </w:rPr>
  </w:style>
  <w:style w:type="table" w:customStyle="1" w:styleId="523">
    <w:name w:val="Table Grid Light1"/>
    <w:basedOn w:val="8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524">
    <w:name w:val="Unresolved Mention2"/>
    <w:basedOn w:val="231"/>
    <w:qFormat/>
    <w:uiPriority w:val="0"/>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28</Pages>
  <Words>4610</Words>
  <Characters>26404</Characters>
  <Lines>217</Lines>
  <Paragraphs>61</Paragraphs>
  <TotalTime>0</TotalTime>
  <ScaleCrop>false</ScaleCrop>
  <LinksUpToDate>false</LinksUpToDate>
  <CharactersWithSpaces>30730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2022-08-23T16:14:00Z</dcterms:created>
  <dc:creator>Henry</dc:creator>
  <cp:lastModifiedBy>晓晨</cp:lastModifiedBy>
  <dcterms:modified xsi:type="dcterms:W3CDTF">2022-09-27T08:30:36Z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2022-07-26T17:01:25Z</vt:filetime>
  </property>
  <property fmtid="{D5CDD505-2E9C-101B-9397-08002B2CF9AE}" pid="3" name="ReminderText">
    <vt:lpwstr>_HZTL82S2</vt:lpwstr>
  </property>
  <property fmtid="{D5CDD505-2E9C-101B-9397-08002B2CF9AE}" pid="4" name="KSOProductBuildVer">
    <vt:lpwstr>2052-11.1.0.12358</vt:lpwstr>
  </property>
  <property fmtid="{D5CDD505-2E9C-101B-9397-08002B2CF9AE}" pid="5" name="ICV">
    <vt:lpwstr>67A0ADC6E1724F19842A2374A04E0253</vt:lpwstr>
  </property>
</Properties>
</file>