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77177</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LETTER TO THE EDITOR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Are pregnancy-associated hypertensive disorders so sweet?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Thomopoulos C </w:t>
      </w:r>
      <w:r>
        <w:rPr>
          <w:rFonts w:ascii="Book Antiqua" w:hAnsi="Book Antiqua" w:eastAsia="Book Antiqua" w:cs="Book Antiqua"/>
          <w:i/>
          <w:iCs/>
          <w:color w:val="000000"/>
        </w:rPr>
        <w:t>et al</w:t>
      </w:r>
      <w:r>
        <w:rPr>
          <w:rFonts w:ascii="Book Antiqua" w:hAnsi="Book Antiqua" w:eastAsia="Book Antiqua" w:cs="Book Antiqua"/>
          <w:color w:val="000000"/>
        </w:rPr>
        <w:t>. Pregnancy-associated hypertension and diabetes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Costas Thomopoulos, Ioannis Ilias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Costas Thomopoulos, </w:t>
      </w:r>
      <w:r>
        <w:rPr>
          <w:rFonts w:ascii="Book Antiqua" w:hAnsi="Book Antiqua" w:eastAsia="Book Antiqua" w:cs="Book Antiqua"/>
          <w:color w:val="000000"/>
        </w:rPr>
        <w:t>Department of Cardiology, Elena Venizelou General and Maternity Hospital, Athens GR-11521, Greece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Ioannis Ilias, </w:t>
      </w:r>
      <w:r>
        <w:rPr>
          <w:rFonts w:ascii="Book Antiqua" w:hAnsi="Book Antiqua" w:eastAsia="Book Antiqua" w:cs="Book Antiqua"/>
          <w:color w:val="000000"/>
        </w:rPr>
        <w:t>Department of Endocrinology, Elena Venizelou General and Maternity Hospital, Athens GR-11521, Greece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Both Authors conceived, wrote and revised this submission.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Ioannis Ilias, MD, PhD, Consultant Physician-Scientist, </w:t>
      </w:r>
      <w:r>
        <w:rPr>
          <w:rFonts w:ascii="Book Antiqua" w:hAnsi="Book Antiqua" w:eastAsia="Book Antiqua" w:cs="Book Antiqua"/>
          <w:color w:val="000000"/>
        </w:rPr>
        <w:t>Department of Endocrinology, Elena Venizelou General and Maternity Hospital, 2, Elena Venizelou Square, Athens GR-11521, Greece. iiliasmd@yahoo.com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April 18, 2022</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June 10,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August 17,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color w:val="000000"/>
          <w:shd w:val="clear" w:color="auto" w:fill="FFFFFF"/>
        </w:rPr>
        <w:t>October 6, 2022</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rPr>
        <w:t>Abstract</w:t>
      </w:r>
    </w:p>
    <w:p>
      <w:pPr>
        <w:spacing w:line="360" w:lineRule="auto"/>
        <w:jc w:val="both"/>
        <w:rPr>
          <w:rFonts w:ascii="Book Antiqua" w:hAnsi="Book Antiqua" w:eastAsia="Book Antiqua" w:cs="Book Antiqua"/>
        </w:rPr>
      </w:pPr>
      <w:r>
        <w:rPr>
          <w:rFonts w:ascii="Book Antiqua" w:hAnsi="Book Antiqua" w:eastAsia="Book Antiqua" w:cs="Book Antiqua"/>
        </w:rPr>
        <w:t>Worldwide, one in seven pregnancies is complicated by some form of diabetes, with a rising trend. Additionally, hypertension is one of the main causes of morbidity and mortality for both the pregnant woman and the fetus and also contributes to premature birth. In a cohort study of pregnant women with diabetes, which was recently published in this journal, at least 84.5% of the subjects had hypertension. This rate of hypertension might be among the highest reported thus far. In the medical literature, approximately 20% of women with diabetes during pregnancy have various pregnancy-associated hypertensive disorders. Racial/ethnic differences, apparently, were not implicated in this elevated rate of hypertension: although black and Hispanic women have a twofold higher rate of hypertension in pregnancy compared to white women, 75% of the subjects in the study in question were white. Thus, the impressive finding delivered by this large study, merits additional clarifications.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Pregnancy; Hypertension; Pre-eclampsia; Diabetes; Gestational diabetes; Human</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Thomopoulos C, Ilias I. Are pregnancy-associated hypertensive disorders so sweet?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10(2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 xml:space="preserve">): </w:t>
      </w:r>
      <w:r>
        <w:rPr>
          <w:rFonts w:hint="default" w:ascii="Book Antiqua" w:hAnsi="Book Antiqua" w:eastAsia="宋体" w:cs="Book Antiqua"/>
          <w:i w:val="0"/>
          <w:iCs w:val="0"/>
          <w:color w:val="000000"/>
          <w:kern w:val="0"/>
          <w:sz w:val="24"/>
          <w:szCs w:val="24"/>
          <w:u w:val="none"/>
          <w:lang w:val="en-US" w:eastAsia="zh-CN" w:bidi="ar"/>
        </w:rPr>
        <w:t>10384-10386</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b w:val="0"/>
          <w:bCs w:val="0"/>
          <w:color w:val="000000"/>
        </w:rPr>
        <w:t>:</w:t>
      </w:r>
      <w:r>
        <w:rPr>
          <w:rFonts w:hint="eastAsia" w:ascii="Book Antiqua" w:hAnsi="Book Antiqua" w:eastAsia="Book Antiqua" w:cs="Book Antiqua"/>
          <w:color w:val="000000"/>
        </w:rPr>
        <w:t xml:space="preserve"> https://www.wjgnet.com/2307-8960/full/v10/i2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w:t>
      </w:r>
      <w:r>
        <w:rPr>
          <w:rFonts w:hint="default" w:ascii="Book Antiqua" w:hAnsi="Book Antiqua" w:eastAsia="宋体" w:cs="Book Antiqua"/>
          <w:i w:val="0"/>
          <w:iCs w:val="0"/>
          <w:color w:val="000000"/>
          <w:kern w:val="0"/>
          <w:sz w:val="24"/>
          <w:szCs w:val="24"/>
          <w:u w:val="none"/>
          <w:lang w:val="en-US" w:eastAsia="zh-CN" w:bidi="ar"/>
        </w:rPr>
        <w:t>10384</w:t>
      </w:r>
      <w:r>
        <w:rPr>
          <w:rFonts w:hint="eastAsia" w:ascii="Book Antiqua" w:hAnsi="Book Antiqua" w:eastAsia="Book Antiqua" w:cs="Book Antiqua"/>
          <w:color w:val="000000"/>
        </w:rPr>
        <w:t>.htm</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b w:val="0"/>
          <w:bCs w:val="0"/>
          <w:color w:val="000000"/>
        </w:rPr>
        <w:t>:</w:t>
      </w:r>
      <w:r>
        <w:rPr>
          <w:rFonts w:hint="eastAsia" w:ascii="Book Antiqua" w:hAnsi="Book Antiqua" w:eastAsia="Book Antiqua" w:cs="Book Antiqua"/>
          <w:color w:val="000000"/>
        </w:rPr>
        <w:t xml:space="preserve"> https://dx.doi.org/10.12998/wjcc.v10.i2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w:t>
      </w:r>
      <w:r>
        <w:rPr>
          <w:rFonts w:hint="default" w:ascii="Book Antiqua" w:hAnsi="Book Antiqua" w:eastAsia="宋体" w:cs="Book Antiqua"/>
          <w:i w:val="0"/>
          <w:iCs w:val="0"/>
          <w:color w:val="000000"/>
          <w:kern w:val="0"/>
          <w:sz w:val="24"/>
          <w:szCs w:val="24"/>
          <w:u w:val="none"/>
          <w:lang w:val="en-US" w:eastAsia="zh-CN" w:bidi="ar"/>
        </w:rPr>
        <w:t>10384</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In a recent large study of pregnant women with diabetes, more than 84.5% of the subjects had hypertension, a rate which is fourfold higher than in the literature. Such a finding merits additional clarification.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TO THE EDITOR</w:t>
      </w:r>
    </w:p>
    <w:p>
      <w:pPr>
        <w:spacing w:line="360" w:lineRule="auto"/>
        <w:jc w:val="both"/>
        <w:rPr>
          <w:rFonts w:ascii="Book Antiqua" w:hAnsi="Book Antiqua"/>
        </w:rPr>
      </w:pPr>
      <w:r>
        <w:rPr>
          <w:rFonts w:ascii="Book Antiqua" w:hAnsi="Book Antiqua" w:eastAsia="Book Antiqua" w:cs="Book Antiqua"/>
          <w:color w:val="000000"/>
        </w:rPr>
        <w:t xml:space="preserve">We read with interest the paper by Xaverius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focusing on the association between different phenotypes of diabetic pregnancies and birth outcomes. In this paper, the authors considered</w:t>
      </w:r>
      <w:r>
        <w:rPr>
          <w:rFonts w:ascii="Book Antiqua" w:hAnsi="Book Antiqua" w:eastAsia="Book Antiqua" w:cs="Book Antiqua"/>
        </w:rPr>
        <w:t xml:space="preserve">, </w:t>
      </w:r>
      <w:r>
        <w:rPr>
          <w:rFonts w:ascii="Book Antiqua" w:hAnsi="Book Antiqua" w:eastAsia="Book Antiqua" w:cs="Book Antiqua"/>
          <w:color w:val="000000"/>
        </w:rPr>
        <w:t>reasonably</w:t>
      </w:r>
      <w:r>
        <w:rPr>
          <w:rFonts w:ascii="Book Antiqua" w:hAnsi="Book Antiqua" w:eastAsia="Book Antiqua" w:cs="Book Antiqua"/>
        </w:rPr>
        <w:t xml:space="preserve">, </w:t>
      </w:r>
      <w:r>
        <w:rPr>
          <w:rFonts w:ascii="Book Antiqua" w:hAnsi="Book Antiqua" w:eastAsia="Book Antiqua" w:cs="Book Antiqua"/>
          <w:color w:val="000000"/>
        </w:rPr>
        <w:t>gestational or chronic hypertension to be a confounding factor, because hypertension in pregnancy was related to both the predictor and outcome of their investigation. It is striking that most pregnant women with diabetes included in this study had hypertension (with rates ranging from 84.5% to 95.0%)</w:t>
      </w:r>
      <w:r>
        <w:rPr>
          <w:rFonts w:ascii="Book Antiqua" w:hAnsi="Book Antiqua" w:eastAsia="Book Antiqua" w:cs="Book Antiqua"/>
          <w:color w:val="000000"/>
          <w:vertAlign w:val="superscript"/>
        </w:rPr>
        <w:t>[1]</w:t>
      </w:r>
      <w:r>
        <w:rPr>
          <w:rFonts w:ascii="Book Antiqua" w:hAnsi="Book Antiqua" w:eastAsia="Book Antiqua" w:cs="Book Antiqua"/>
          <w:color w:val="000000"/>
        </w:rPr>
        <w:t>. To the best of our knowledge, this rate of hypertension might be among the highest reported thus far. A tentative explanation could be that racial/ethnic differences were implicated in this elevated rate of hypertension: black and Hispanic women have a twofold higher rate of hypertension in pregnancy compared to white women</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Nevertheless, approximately 75% of the population which was included in the study by Xaverius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were white. In the Control of Hypertension in Pregnancy Study (CHIPS), which included women with gestational or chronic hypertension</w:t>
      </w:r>
      <w:r>
        <w:rPr>
          <w:rFonts w:ascii="Book Antiqua" w:hAnsi="Book Antiqua" w:eastAsia="Book Antiqua" w:cs="Book Antiqua"/>
          <w:color w:val="000000"/>
          <w:vertAlign w:val="superscript"/>
        </w:rPr>
        <w:t>[3]</w:t>
      </w:r>
      <w:r>
        <w:rPr>
          <w:rFonts w:ascii="Book Antiqua" w:hAnsi="Book Antiqua" w:eastAsia="Book Antiqua" w:cs="Book Antiqua"/>
          <w:color w:val="000000"/>
        </w:rPr>
        <w:t>, only 6% had gestational diabetes at enrollment, while in the recent Chronic Hypertension and Pregnancy (CHAP) trial, which included only women with chronic hypertension</w:t>
      </w:r>
      <w:r>
        <w:rPr>
          <w:rFonts w:ascii="Book Antiqua" w:hAnsi="Book Antiqua" w:eastAsia="Book Antiqua" w:cs="Book Antiqua"/>
          <w:color w:val="000000"/>
          <w:vertAlign w:val="superscript"/>
        </w:rPr>
        <w:t>[4]</w:t>
      </w:r>
      <w:r>
        <w:rPr>
          <w:rFonts w:ascii="Book Antiqua" w:hAnsi="Book Antiqua" w:eastAsia="Book Antiqua" w:cs="Book Antiqua"/>
          <w:color w:val="000000"/>
        </w:rPr>
        <w:t>, the reported gestational diabetes rate was 15%. Additionally, in the literature, approximately 20% of women with diabetes during pregnancy have various pregnancy-associated hypertensive disorders</w:t>
      </w:r>
      <w:r>
        <w:rPr>
          <w:rFonts w:ascii="Book Antiqua" w:hAnsi="Book Antiqua" w:eastAsia="Book Antiqua" w:cs="Book Antiqua"/>
          <w:color w:val="000000"/>
          <w:vertAlign w:val="superscript"/>
        </w:rPr>
        <w:t>[5-7]</w:t>
      </w:r>
      <w:r>
        <w:rPr>
          <w:rFonts w:ascii="Book Antiqua" w:hAnsi="Book Antiqua" w:eastAsia="Book Antiqua" w:cs="Book Antiqua"/>
          <w:color w:val="000000"/>
        </w:rPr>
        <w:t xml:space="preserve">. Thus, in the study by Xaverius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the rate of hypertension in pregnancy is fourfold higher than in the literature. This impressive finding, delivered by this large pregnancy cohort</w:t>
      </w:r>
      <w:r>
        <w:rPr>
          <w:rFonts w:ascii="Book Antiqua" w:hAnsi="Book Antiqua" w:eastAsia="Book Antiqua" w:cs="Book Antiqua"/>
          <w:color w:val="000000"/>
          <w:vertAlign w:val="superscript"/>
        </w:rPr>
        <w:t>[1]</w:t>
      </w:r>
      <w:r>
        <w:rPr>
          <w:rFonts w:ascii="Book Antiqua" w:hAnsi="Book Antiqua" w:eastAsia="Book Antiqua" w:cs="Book Antiqua"/>
          <w:color w:val="000000"/>
        </w:rPr>
        <w:t>, merits additional clarifications.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Xaverius PK</w:t>
      </w:r>
      <w:r>
        <w:rPr>
          <w:rFonts w:ascii="Book Antiqua" w:hAnsi="Book Antiqua" w:eastAsia="Book Antiqua" w:cs="Book Antiqua"/>
          <w:color w:val="000000"/>
        </w:rPr>
        <w:t xml:space="preserve">, Howard SW, Kiel D, Thurman JE, Wankum E, Carter C, Fang C, Carriere R. Association of types of diabetes and insulin dependency on birth outcomes.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w:t>
      </w:r>
      <w:r>
        <w:rPr>
          <w:rFonts w:ascii="Book Antiqua" w:hAnsi="Book Antiqua" w:eastAsia="Book Antiqua" w:cs="Book Antiqua"/>
          <w:b/>
          <w:bCs/>
          <w:color w:val="000000"/>
        </w:rPr>
        <w:t>10</w:t>
      </w:r>
      <w:r>
        <w:rPr>
          <w:rFonts w:ascii="Book Antiqua" w:hAnsi="Book Antiqua" w:eastAsia="Book Antiqua" w:cs="Book Antiqua"/>
          <w:color w:val="000000"/>
        </w:rPr>
        <w:t>: 2147-2158 [PMID: 35321178 DOI: 10.12998/wjcc.v10.i7.2147]</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Miller EC,</w:t>
      </w:r>
      <w:r>
        <w:rPr>
          <w:rFonts w:ascii="Book Antiqua" w:hAnsi="Book Antiqua" w:eastAsia="Book Antiqua" w:cs="Book Antiqua"/>
          <w:color w:val="000000"/>
        </w:rPr>
        <w:t xml:space="preserve"> Zambrano Espinoza MD, Huang Y, Friedman AM, Boehme AK, Bello NA, Cleary KL, Wright JD, D'Alton ME. Maternal Race/Ethnicity, Hypertension, and Risk for Stroke During Delivery Admission. </w:t>
      </w:r>
      <w:r>
        <w:rPr>
          <w:rFonts w:ascii="Book Antiqua" w:hAnsi="Book Antiqua" w:eastAsia="Book Antiqua" w:cs="Book Antiqua"/>
          <w:i/>
          <w:iCs/>
          <w:color w:val="000000"/>
        </w:rPr>
        <w:t>J Am Heart Assoc</w:t>
      </w:r>
      <w:r>
        <w:rPr>
          <w:rFonts w:ascii="Book Antiqua" w:hAnsi="Book Antiqua" w:eastAsia="Book Antiqua" w:cs="Book Antiqua"/>
          <w:color w:val="000000"/>
        </w:rPr>
        <w:t xml:space="preserve"> 2020; </w:t>
      </w:r>
      <w:r>
        <w:rPr>
          <w:rFonts w:ascii="Book Antiqua" w:hAnsi="Book Antiqua" w:eastAsia="Book Antiqua" w:cs="Book Antiqua"/>
          <w:b/>
          <w:bCs/>
          <w:color w:val="000000"/>
        </w:rPr>
        <w:t>9</w:t>
      </w:r>
      <w:r>
        <w:rPr>
          <w:rFonts w:ascii="Book Antiqua" w:hAnsi="Book Antiqua" w:eastAsia="Book Antiqua" w:cs="Book Antiqua"/>
          <w:color w:val="000000"/>
        </w:rPr>
        <w:t>: e014775 [PMID: 31973601 DOI: 10.1161/JAHA.119.014775]</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Magee LA</w:t>
      </w:r>
      <w:r>
        <w:rPr>
          <w:rFonts w:ascii="Book Antiqua" w:hAnsi="Book Antiqua" w:eastAsia="Book Antiqua" w:cs="Book Antiqua"/>
          <w:color w:val="000000"/>
        </w:rPr>
        <w:t xml:space="preserve">, von Dadelszen P, Rey E, Ross S, Asztalos E, Murphy KE, Menzies J, Sanchez J, Singer J, Gafni A, Gruslin A, Helewa M, Hutton E, Lee SK, Lee T, Logan AG, Ganzevoort W, Welch R, Thornton JG, Moutquin JM. Less-tight </w:t>
      </w:r>
      <w:r>
        <w:rPr>
          <w:rFonts w:ascii="Book Antiqua" w:hAnsi="Book Antiqua" w:eastAsia="Book Antiqua" w:cs="Book Antiqua"/>
          <w:i/>
          <w:iCs/>
          <w:color w:val="000000"/>
        </w:rPr>
        <w:t>vs</w:t>
      </w:r>
      <w:r>
        <w:rPr>
          <w:rFonts w:ascii="Book Antiqua" w:hAnsi="Book Antiqua" w:eastAsia="Book Antiqua" w:cs="Book Antiqua"/>
          <w:color w:val="000000"/>
        </w:rPr>
        <w:t xml:space="preserve"> tight control of hypertension in pregnancy.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2015; </w:t>
      </w:r>
      <w:r>
        <w:rPr>
          <w:rFonts w:ascii="Book Antiqua" w:hAnsi="Book Antiqua" w:eastAsia="Book Antiqua" w:cs="Book Antiqua"/>
          <w:b/>
          <w:bCs/>
          <w:color w:val="000000"/>
        </w:rPr>
        <w:t>372</w:t>
      </w:r>
      <w:r>
        <w:rPr>
          <w:rFonts w:ascii="Book Antiqua" w:hAnsi="Book Antiqua" w:eastAsia="Book Antiqua" w:cs="Book Antiqua"/>
          <w:color w:val="000000"/>
        </w:rPr>
        <w:t>: 407-417 [PMID: 25629739 DOI: 10.1056/NEJMoa1404595]</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Tita AT</w:t>
      </w:r>
      <w:r>
        <w:rPr>
          <w:rFonts w:ascii="Book Antiqua" w:hAnsi="Book Antiqua" w:eastAsia="Book Antiqua" w:cs="Book Antiqua"/>
          <w:color w:val="000000"/>
        </w:rPr>
        <w:t xml:space="preserve">, Szychowski JM, Boggess K, Dugoff L, Sibai B, Lawrence K, Hughes BL, Bell J, Aagaard K, Edwards RK, Gibson K, Haas DM, Plante L, Metz T, Casey B, Esplin S, Longo S, Hoffman M, Saade GR, Hoppe KK, Foroutan J, Tuuli M, Owens MY, Simhan HN, Frey H, Rosen T, Palatnik A, Baker S, August P, Reddy UM, Kinzler W, Su E, Krishna I, Nguyen N, Norton ME, Skupski D, El-Sayed YY, Ogunyemi D, Galis ZS, Harper L, Ambalavanan N, Geller NL, Oparil S, Cutter GR, Andrews WW; Chronic Hypertension and Pregnancy (CHAP) Trial Consortium. Treatment for Mild Chronic Hypertension during Pregnancy.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2022; </w:t>
      </w:r>
      <w:r>
        <w:rPr>
          <w:rFonts w:ascii="Book Antiqua" w:hAnsi="Book Antiqua" w:eastAsia="Book Antiqua" w:cs="Book Antiqua"/>
          <w:b/>
          <w:bCs/>
          <w:color w:val="000000"/>
        </w:rPr>
        <w:t>386</w:t>
      </w:r>
      <w:r>
        <w:rPr>
          <w:rFonts w:ascii="Book Antiqua" w:hAnsi="Book Antiqua" w:eastAsia="Book Antiqua" w:cs="Book Antiqua"/>
          <w:color w:val="000000"/>
        </w:rPr>
        <w:t>: 1781-1792 [PMID: 35363951 DOI: 10.1056/NEJMoa2201295]</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Garovic VD</w:t>
      </w:r>
      <w:r>
        <w:rPr>
          <w:rFonts w:ascii="Book Antiqua" w:hAnsi="Book Antiqua" w:eastAsia="Book Antiqua" w:cs="Book Antiqua"/>
          <w:color w:val="000000"/>
        </w:rPr>
        <w:t xml:space="preserve">, Dechend R, Easterling T, Karumanchi SA, McMurtry Baird S, Magee LA, Rana S, Vermunt JV, August P; American Heart Association Council on Hypertension; Council on the Kidney in Cardiovascular Disease, Kidney in Heart Disease Science Committee; Council on Arteriosclerosis, Thrombosis and Vascular Biology; Council on Lifestyle and Cardiometabolic Health; Council on Peripheral Vascular Disease; and Stroke Council. Hypertension in Pregnancy: Diagnosis, Blood Pressure Goals, and Pharmacotherapy: A Scientific Statement From the American Heart Association. </w:t>
      </w:r>
      <w:r>
        <w:rPr>
          <w:rFonts w:ascii="Book Antiqua" w:hAnsi="Book Antiqua" w:eastAsia="Book Antiqua" w:cs="Book Antiqua"/>
          <w:i/>
          <w:iCs/>
          <w:color w:val="000000"/>
        </w:rPr>
        <w:t>Hypertension</w:t>
      </w:r>
      <w:r>
        <w:rPr>
          <w:rFonts w:ascii="Book Antiqua" w:hAnsi="Book Antiqua" w:eastAsia="Book Antiqua" w:cs="Book Antiqua"/>
          <w:color w:val="000000"/>
        </w:rPr>
        <w:t xml:space="preserve"> 2022; </w:t>
      </w:r>
      <w:r>
        <w:rPr>
          <w:rFonts w:ascii="Book Antiqua" w:hAnsi="Book Antiqua" w:eastAsia="Book Antiqua" w:cs="Book Antiqua"/>
          <w:b/>
          <w:bCs/>
          <w:color w:val="000000"/>
        </w:rPr>
        <w:t>79</w:t>
      </w:r>
      <w:r>
        <w:rPr>
          <w:rFonts w:ascii="Book Antiqua" w:hAnsi="Book Antiqua" w:eastAsia="Book Antiqua" w:cs="Book Antiqua"/>
          <w:color w:val="000000"/>
        </w:rPr>
        <w:t>: e21-e41 [PMID: 34905954 DOI: 10.1161/HYP.0000000000000208]</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Sullivan SD</w:t>
      </w:r>
      <w:r>
        <w:rPr>
          <w:rFonts w:ascii="Book Antiqua" w:hAnsi="Book Antiqua" w:eastAsia="Book Antiqua" w:cs="Book Antiqua"/>
          <w:color w:val="000000"/>
        </w:rPr>
        <w:t xml:space="preserve">, Umans JG, Ratner R. Hypertension complicating diabetic pregnancies: pathophysiology, management, and controversies. </w:t>
      </w:r>
      <w:r>
        <w:rPr>
          <w:rFonts w:ascii="Book Antiqua" w:hAnsi="Book Antiqua" w:eastAsia="Book Antiqua" w:cs="Book Antiqua"/>
          <w:i/>
          <w:iCs/>
          <w:color w:val="000000"/>
        </w:rPr>
        <w:t>J Clin Hypertens (Greenwich)</w:t>
      </w:r>
      <w:r>
        <w:rPr>
          <w:rFonts w:ascii="Book Antiqua" w:hAnsi="Book Antiqua" w:eastAsia="Book Antiqua" w:cs="Book Antiqua"/>
          <w:color w:val="000000"/>
        </w:rPr>
        <w:t xml:space="preserve"> 2011; </w:t>
      </w:r>
      <w:r>
        <w:rPr>
          <w:rFonts w:ascii="Book Antiqua" w:hAnsi="Book Antiqua" w:eastAsia="Book Antiqua" w:cs="Book Antiqua"/>
          <w:b/>
          <w:bCs/>
          <w:color w:val="000000"/>
        </w:rPr>
        <w:t>13</w:t>
      </w:r>
      <w:r>
        <w:rPr>
          <w:rFonts w:ascii="Book Antiqua" w:hAnsi="Book Antiqua" w:eastAsia="Book Antiqua" w:cs="Book Antiqua"/>
          <w:color w:val="000000"/>
        </w:rPr>
        <w:t>: 275-284 [PMID: 21466626 DOI: 10.1111/j.1751-7176.2011.00440.x]</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Umesawa M,</w:t>
      </w:r>
      <w:r>
        <w:rPr>
          <w:rFonts w:ascii="Book Antiqua" w:hAnsi="Book Antiqua" w:eastAsia="Book Antiqua" w:cs="Book Antiqua"/>
          <w:color w:val="000000"/>
        </w:rPr>
        <w:t xml:space="preserve"> Kobashi G. Epidemiology of hypertensive disorders in pregnancy: prevalence, risk factors, predictors and prognosis. </w:t>
      </w:r>
      <w:r>
        <w:rPr>
          <w:rFonts w:ascii="Book Antiqua" w:hAnsi="Book Antiqua" w:eastAsia="Book Antiqua" w:cs="Book Antiqua"/>
          <w:i/>
          <w:iCs/>
          <w:color w:val="000000"/>
        </w:rPr>
        <w:t>Hypertens Res</w:t>
      </w:r>
      <w:r>
        <w:rPr>
          <w:rFonts w:ascii="Book Antiqua" w:hAnsi="Book Antiqua" w:eastAsia="Book Antiqua" w:cs="Book Antiqua"/>
          <w:color w:val="000000"/>
        </w:rPr>
        <w:t xml:space="preserve"> 2017; </w:t>
      </w:r>
      <w:r>
        <w:rPr>
          <w:rFonts w:ascii="Book Antiqua" w:hAnsi="Book Antiqua" w:eastAsia="Book Antiqua" w:cs="Book Antiqua"/>
          <w:b/>
          <w:bCs/>
          <w:color w:val="000000"/>
        </w:rPr>
        <w:t>40</w:t>
      </w:r>
      <w:r>
        <w:rPr>
          <w:rFonts w:ascii="Book Antiqua" w:hAnsi="Book Antiqua" w:eastAsia="Book Antiqua" w:cs="Book Antiqua"/>
          <w:color w:val="000000"/>
        </w:rPr>
        <w:t>: 213-220 [PMID: 27682655 DOI: 10.1038/hr.2016.126]</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Both Authors declare that they have no conflict of interest to report.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April 18,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7,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August 17,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Endocrinology and Metabolism</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Greece</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A</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D</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numPr>
          <w:numId w:val="0"/>
        </w:numPr>
        <w:spacing w:line="360" w:lineRule="auto"/>
        <w:jc w:val="both"/>
        <w:rPr>
          <w:rFonts w:ascii="Book Antiqua" w:hAnsi="Book Antiqua" w:eastAsia="Book Antiqua" w:cs="Book Antiqua"/>
          <w:bCs/>
          <w:color w:val="000000"/>
        </w:rPr>
      </w:pPr>
      <w:r>
        <w:rPr>
          <w:rFonts w:hint="eastAsia" w:ascii="Book Antiqua" w:hAnsi="Book Antiqua" w:eastAsia="宋体" w:cs="Book Antiqua"/>
          <w:b/>
          <w:color w:val="000000"/>
          <w:lang w:val="en-US" w:eastAsia="zh-CN"/>
        </w:rPr>
        <w:t>P-</w:t>
      </w:r>
      <w:r>
        <w:rPr>
          <w:rFonts w:ascii="Book Antiqua" w:hAnsi="Book Antiqua" w:eastAsia="Book Antiqua" w:cs="Book Antiqua"/>
          <w:b/>
          <w:color w:val="000000"/>
        </w:rPr>
        <w:t xml:space="preserve">Reviewer: </w:t>
      </w:r>
      <w:r>
        <w:rPr>
          <w:rFonts w:ascii="Book Antiqua" w:hAnsi="Book Antiqua" w:eastAsia="Book Antiqua" w:cs="Book Antiqua"/>
          <w:color w:val="000000"/>
        </w:rPr>
        <w:t>He Z, China; Razzaque MS, United States; Tolunay HE, Turkey</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Chang KL</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Kerr C</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Chang KL</w:t>
      </w:r>
    </w:p>
    <w:p>
      <w:pPr>
        <w:numPr>
          <w:numId w:val="0"/>
        </w:numPr>
        <w:spacing w:line="360" w:lineRule="auto"/>
        <w:jc w:val="both"/>
        <w:rPr>
          <w:rFonts w:ascii="Book Antiqua" w:hAnsi="Book Antiqua" w:eastAsia="Book Antiqua" w:cs="Book Antiqua"/>
          <w:bCs/>
          <w:color w:val="000000"/>
        </w:rPr>
      </w:pPr>
    </w:p>
    <w:p>
      <w:pPr>
        <w:numPr>
          <w:numId w:val="0"/>
        </w:numPr>
        <w:spacing w:line="360" w:lineRule="auto"/>
        <w:jc w:val="both"/>
        <w:rPr>
          <w:rFonts w:ascii="Book Antiqua" w:hAnsi="Book Antiqua" w:eastAsia="Book Antiqua" w:cs="Book Antiqua"/>
          <w:bCs/>
          <w:color w:val="000000"/>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numPr>
          <w:numId w:val="0"/>
        </w:numPr>
        <w:spacing w:line="360" w:lineRule="auto"/>
        <w:jc w:val="both"/>
        <w:rPr>
          <w:rFonts w:ascii="Book Antiqua" w:hAnsi="Book Antiqua" w:eastAsia="Book Antiqua" w:cs="Book Antiqua"/>
          <w:bCs/>
          <w:color w:val="00000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03FB5"/>
    <w:rsid w:val="00011DFA"/>
    <w:rsid w:val="000552E7"/>
    <w:rsid w:val="00062EBE"/>
    <w:rsid w:val="00163E2B"/>
    <w:rsid w:val="0024504E"/>
    <w:rsid w:val="00440B45"/>
    <w:rsid w:val="004B2F73"/>
    <w:rsid w:val="004D5954"/>
    <w:rsid w:val="004D6E8D"/>
    <w:rsid w:val="0060407C"/>
    <w:rsid w:val="006C4B35"/>
    <w:rsid w:val="006E3294"/>
    <w:rsid w:val="006E5C2F"/>
    <w:rsid w:val="008409DE"/>
    <w:rsid w:val="0087452C"/>
    <w:rsid w:val="00880B46"/>
    <w:rsid w:val="00A569AE"/>
    <w:rsid w:val="00A6294E"/>
    <w:rsid w:val="00A77B3E"/>
    <w:rsid w:val="00C104C2"/>
    <w:rsid w:val="00C6085F"/>
    <w:rsid w:val="00CA2A55"/>
    <w:rsid w:val="00CE029B"/>
    <w:rsid w:val="00D17819"/>
    <w:rsid w:val="00D979D7"/>
    <w:rsid w:val="00DA2696"/>
    <w:rsid w:val="00E619E5"/>
    <w:rsid w:val="00F50FC9"/>
    <w:rsid w:val="00F67397"/>
    <w:rsid w:val="162668F8"/>
  </w:rsids>
  <m:mathPr>
    <m:mathFont m:val="Cambria Math"/>
    <m:brkBin m:val="before"/>
    <m:brkBinSub m:val="--"/>
    <m:smallFrac m:val="1"/>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semiHidden="0" w:name="annotation text"/>
    <w:lsdException w:uiPriority="0" w:semiHidden="0" w:name="header"/>
    <w:lsdException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unhideWhenUsed/>
    <w:uiPriority w:val="0"/>
  </w:style>
  <w:style w:type="paragraph" w:styleId="3">
    <w:name w:val="Balloon Text"/>
    <w:basedOn w:val="1"/>
    <w:link w:val="14"/>
    <w:uiPriority w:val="0"/>
    <w:rPr>
      <w:rFonts w:ascii="Tahoma" w:hAnsi="Tahoma" w:cs="Tahoma"/>
      <w:sz w:val="16"/>
      <w:szCs w:val="16"/>
    </w:rPr>
  </w:style>
  <w:style w:type="paragraph" w:styleId="4">
    <w:name w:val="footer"/>
    <w:basedOn w:val="1"/>
    <w:link w:val="11"/>
    <w:unhideWhenUsed/>
    <w:uiPriority w:val="0"/>
    <w:pPr>
      <w:tabs>
        <w:tab w:val="center" w:pos="4153"/>
        <w:tab w:val="right" w:pos="8306"/>
      </w:tabs>
      <w:snapToGrid w:val="0"/>
    </w:pPr>
    <w:rPr>
      <w:sz w:val="18"/>
      <w:szCs w:val="18"/>
    </w:rPr>
  </w:style>
  <w:style w:type="paragraph" w:styleId="5">
    <w:name w:val="header"/>
    <w:basedOn w:val="1"/>
    <w:link w:val="10"/>
    <w:unhideWhenUsed/>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uiPriority w:val="0"/>
    <w:rPr>
      <w:b/>
      <w:bCs/>
    </w:rPr>
  </w:style>
  <w:style w:type="character" w:styleId="9">
    <w:name w:val="annotation reference"/>
    <w:basedOn w:val="8"/>
    <w:semiHidden/>
    <w:unhideWhenUsed/>
    <w:qFormat/>
    <w:uiPriority w:val="0"/>
    <w:rPr>
      <w:sz w:val="21"/>
      <w:szCs w:val="21"/>
    </w:rPr>
  </w:style>
  <w:style w:type="character" w:customStyle="1" w:styleId="10">
    <w:name w:val="页眉 字符"/>
    <w:basedOn w:val="8"/>
    <w:link w:val="5"/>
    <w:uiPriority w:val="0"/>
    <w:rPr>
      <w:sz w:val="18"/>
      <w:szCs w:val="18"/>
    </w:rPr>
  </w:style>
  <w:style w:type="character" w:customStyle="1" w:styleId="11">
    <w:name w:val="页脚 字符"/>
    <w:basedOn w:val="8"/>
    <w:link w:val="4"/>
    <w:uiPriority w:val="0"/>
    <w:rPr>
      <w:sz w:val="18"/>
      <w:szCs w:val="18"/>
    </w:rPr>
  </w:style>
  <w:style w:type="character" w:customStyle="1" w:styleId="12">
    <w:name w:val="批注文字 字符"/>
    <w:basedOn w:val="8"/>
    <w:link w:val="2"/>
    <w:uiPriority w:val="0"/>
    <w:rPr>
      <w:sz w:val="24"/>
      <w:szCs w:val="24"/>
    </w:rPr>
  </w:style>
  <w:style w:type="character" w:customStyle="1" w:styleId="13">
    <w:name w:val="批注主题 字符"/>
    <w:basedOn w:val="12"/>
    <w:link w:val="6"/>
    <w:semiHidden/>
    <w:uiPriority w:val="0"/>
    <w:rPr>
      <w:b/>
      <w:bCs/>
      <w:sz w:val="24"/>
      <w:szCs w:val="24"/>
    </w:rPr>
  </w:style>
  <w:style w:type="character" w:customStyle="1" w:styleId="14">
    <w:name w:val="批注框文本 字符"/>
    <w:basedOn w:val="8"/>
    <w:link w:val="3"/>
    <w:uiPriority w:val="0"/>
    <w:rPr>
      <w:rFonts w:ascii="Tahoma" w:hAnsi="Tahoma" w:cs="Tahoma"/>
      <w:sz w:val="16"/>
      <w:szCs w:val="16"/>
    </w:rPr>
  </w:style>
  <w:style w:type="paragraph" w:customStyle="1" w:styleId="15">
    <w:name w:val="Revision"/>
    <w:hidden/>
    <w:semiHidden/>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1139</Words>
  <Characters>6853</Characters>
  <Lines>56</Lines>
  <Paragraphs>15</Paragraphs>
  <TotalTime>0</TotalTime>
  <ScaleCrop>false</ScaleCrop>
  <LinksUpToDate>false</LinksUpToDate>
  <CharactersWithSpaces>7946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2022-08-29T14:59:00Z</dcterms:created>
  <dc:creator>梅长苏</dc:creator>
  <cp:lastModifiedBy>晓晨</cp:lastModifiedBy>
  <dcterms:modified xsi:type="dcterms:W3CDTF">2022-09-26T05:29:08Z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197239A100994B2CA0FE67C9B4226F43</vt:lpwstr>
  </property>
</Properties>
</file>