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F0457"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rPr>
        <w:t xml:space="preserve">Name of Journal: </w:t>
      </w:r>
      <w:r w:rsidRPr="00ED7E26">
        <w:rPr>
          <w:rFonts w:ascii="Book Antiqua" w:eastAsia="Book Antiqua" w:hAnsi="Book Antiqua" w:cs="Book Antiqua"/>
          <w:i/>
        </w:rPr>
        <w:t>World Journal of Clinical Cases</w:t>
      </w:r>
    </w:p>
    <w:p w14:paraId="54E66288"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rPr>
        <w:t xml:space="preserve">Manuscript NO: </w:t>
      </w:r>
      <w:r w:rsidRPr="00ED7E26">
        <w:rPr>
          <w:rFonts w:ascii="Book Antiqua" w:eastAsia="Book Antiqua" w:hAnsi="Book Antiqua" w:cs="Book Antiqua"/>
        </w:rPr>
        <w:t>82037</w:t>
      </w:r>
    </w:p>
    <w:p w14:paraId="255EEEF3"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rPr>
        <w:t xml:space="preserve">Manuscript Type: </w:t>
      </w:r>
      <w:r w:rsidRPr="00ED7E26">
        <w:rPr>
          <w:rFonts w:ascii="Book Antiqua" w:eastAsia="Book Antiqua" w:hAnsi="Book Antiqua" w:cs="Book Antiqua"/>
        </w:rPr>
        <w:t>CASE REPORT</w:t>
      </w:r>
    </w:p>
    <w:p w14:paraId="46019733" w14:textId="77777777" w:rsidR="00A77B3E" w:rsidRPr="00ED7E26" w:rsidRDefault="00A77B3E" w:rsidP="002508B1">
      <w:pPr>
        <w:spacing w:line="360" w:lineRule="auto"/>
        <w:jc w:val="both"/>
        <w:rPr>
          <w:rFonts w:ascii="Book Antiqua" w:hAnsi="Book Antiqua"/>
        </w:rPr>
      </w:pPr>
    </w:p>
    <w:p w14:paraId="46125ED6"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color w:val="000000"/>
        </w:rPr>
        <w:t>Immune checkpoint inhibitor therapy-induced autoimmune polyendocrine syndrome type II and Crohn’s disease: A case report</w:t>
      </w:r>
    </w:p>
    <w:p w14:paraId="49CD1361" w14:textId="77777777" w:rsidR="00A77B3E" w:rsidRPr="00ED7E26" w:rsidRDefault="00A77B3E" w:rsidP="002508B1">
      <w:pPr>
        <w:spacing w:line="360" w:lineRule="auto"/>
        <w:jc w:val="both"/>
        <w:rPr>
          <w:rFonts w:ascii="Book Antiqua" w:hAnsi="Book Antiqua"/>
        </w:rPr>
      </w:pPr>
    </w:p>
    <w:p w14:paraId="5B6D4FB2" w14:textId="5F93A751" w:rsidR="00A77B3E" w:rsidRPr="00ED7E26" w:rsidRDefault="008E1FE5" w:rsidP="002508B1">
      <w:pPr>
        <w:spacing w:line="360" w:lineRule="auto"/>
        <w:jc w:val="both"/>
        <w:rPr>
          <w:rFonts w:ascii="Book Antiqua" w:hAnsi="Book Antiqua"/>
        </w:rPr>
      </w:pPr>
      <w:r w:rsidRPr="00ED7E26">
        <w:rPr>
          <w:rFonts w:ascii="Book Antiqua" w:eastAsia="Book Antiqua" w:hAnsi="Book Antiqua" w:cs="Book Antiqua"/>
          <w:color w:val="000000"/>
        </w:rPr>
        <w:t>Gao</w:t>
      </w:r>
      <w:r w:rsidR="006B0E54" w:rsidRPr="00ED7E26">
        <w:rPr>
          <w:rFonts w:ascii="Book Antiqua" w:eastAsia="Book Antiqua" w:hAnsi="Book Antiqua" w:cs="Book Antiqua"/>
          <w:color w:val="000000"/>
        </w:rPr>
        <w:t xml:space="preserve"> MJ</w:t>
      </w:r>
      <w:r w:rsidRPr="00ED7E26">
        <w:rPr>
          <w:rFonts w:ascii="Book Antiqua" w:eastAsia="Book Antiqua" w:hAnsi="Book Antiqua" w:cs="Book Antiqua"/>
          <w:color w:val="000000"/>
        </w:rPr>
        <w:t xml:space="preserve"> </w:t>
      </w:r>
      <w:r w:rsidRPr="00ED7E26">
        <w:rPr>
          <w:rFonts w:ascii="Book Antiqua" w:eastAsia="Book Antiqua" w:hAnsi="Book Antiqua" w:cs="Book Antiqua"/>
          <w:i/>
          <w:iCs/>
          <w:color w:val="000000"/>
        </w:rPr>
        <w:t>et al</w:t>
      </w:r>
      <w:r w:rsidRPr="00ED7E26">
        <w:rPr>
          <w:rFonts w:ascii="Book Antiqua" w:eastAsia="Book Antiqua" w:hAnsi="Book Antiqua" w:cs="Book Antiqua"/>
          <w:color w:val="000000"/>
        </w:rPr>
        <w:t>. ICI-induced APS-2 and CD</w:t>
      </w:r>
    </w:p>
    <w:p w14:paraId="0B97493E" w14:textId="77777777" w:rsidR="00A77B3E" w:rsidRPr="00ED7E26" w:rsidRDefault="00A77B3E" w:rsidP="002508B1">
      <w:pPr>
        <w:spacing w:line="360" w:lineRule="auto"/>
        <w:jc w:val="both"/>
        <w:rPr>
          <w:rFonts w:ascii="Book Antiqua" w:hAnsi="Book Antiqua"/>
        </w:rPr>
      </w:pPr>
    </w:p>
    <w:p w14:paraId="45E18060" w14:textId="77777777" w:rsidR="00A77B3E" w:rsidRPr="00ED7E26" w:rsidRDefault="00000000" w:rsidP="002508B1">
      <w:pPr>
        <w:spacing w:line="360" w:lineRule="auto"/>
        <w:jc w:val="both"/>
        <w:rPr>
          <w:rFonts w:ascii="Book Antiqua" w:hAnsi="Book Antiqua"/>
          <w:lang w:val="es-MX"/>
        </w:rPr>
      </w:pPr>
      <w:r w:rsidRPr="00ED7E26">
        <w:rPr>
          <w:rFonts w:ascii="Book Antiqua" w:eastAsia="Book Antiqua" w:hAnsi="Book Antiqua" w:cs="Book Antiqua"/>
          <w:color w:val="000000"/>
          <w:lang w:val="es-MX"/>
        </w:rPr>
        <w:t>Mei-Juan Gao, Yan Xu, Wen-Bo Wang</w:t>
      </w:r>
    </w:p>
    <w:p w14:paraId="7706CD32" w14:textId="77777777" w:rsidR="00A77B3E" w:rsidRPr="00ED7E26" w:rsidRDefault="00A77B3E" w:rsidP="002508B1">
      <w:pPr>
        <w:spacing w:line="360" w:lineRule="auto"/>
        <w:jc w:val="both"/>
        <w:rPr>
          <w:rFonts w:ascii="Book Antiqua" w:hAnsi="Book Antiqua"/>
          <w:lang w:val="es-MX"/>
        </w:rPr>
      </w:pPr>
    </w:p>
    <w:p w14:paraId="5AFAEDB3" w14:textId="13EF94D2"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color w:val="000000"/>
        </w:rPr>
        <w:t xml:space="preserve">Mei-Juan Gao, </w:t>
      </w:r>
      <w:r w:rsidR="003A5B94" w:rsidRPr="00ED7E26">
        <w:rPr>
          <w:rFonts w:ascii="Book Antiqua" w:eastAsia="Book Antiqua" w:hAnsi="Book Antiqua" w:cs="Book Antiqua"/>
          <w:b/>
          <w:bCs/>
          <w:color w:val="000000"/>
        </w:rPr>
        <w:t xml:space="preserve">Yan Xu, </w:t>
      </w:r>
      <w:r w:rsidRPr="00ED7E26">
        <w:rPr>
          <w:rFonts w:ascii="Book Antiqua" w:eastAsia="Book Antiqua" w:hAnsi="Book Antiqua" w:cs="Book Antiqua"/>
          <w:b/>
          <w:bCs/>
          <w:color w:val="000000"/>
        </w:rPr>
        <w:t xml:space="preserve">Wen-Bo Wang, </w:t>
      </w:r>
      <w:r w:rsidRPr="00ED7E26">
        <w:rPr>
          <w:rFonts w:ascii="Book Antiqua" w:eastAsia="Book Antiqua" w:hAnsi="Book Antiqua" w:cs="Book Antiqua"/>
          <w:color w:val="000000"/>
        </w:rPr>
        <w:t xml:space="preserve">Department of Endocrinology, Peking University </w:t>
      </w:r>
      <w:proofErr w:type="spellStart"/>
      <w:r w:rsidRPr="00ED7E26">
        <w:rPr>
          <w:rFonts w:ascii="Book Antiqua" w:eastAsia="Book Antiqua" w:hAnsi="Book Antiqua" w:cs="Book Antiqua"/>
          <w:color w:val="000000"/>
        </w:rPr>
        <w:t>Shougang</w:t>
      </w:r>
      <w:proofErr w:type="spellEnd"/>
      <w:r w:rsidRPr="00ED7E26">
        <w:rPr>
          <w:rFonts w:ascii="Book Antiqua" w:eastAsia="Book Antiqua" w:hAnsi="Book Antiqua" w:cs="Book Antiqua"/>
          <w:color w:val="000000"/>
        </w:rPr>
        <w:t xml:space="preserve"> Hospital, Beijing 100041, China</w:t>
      </w:r>
    </w:p>
    <w:p w14:paraId="677DD3A7" w14:textId="77777777" w:rsidR="00A77B3E" w:rsidRPr="00ED7E26" w:rsidRDefault="00A77B3E" w:rsidP="002508B1">
      <w:pPr>
        <w:spacing w:line="360" w:lineRule="auto"/>
        <w:jc w:val="both"/>
        <w:rPr>
          <w:rFonts w:ascii="Book Antiqua" w:hAnsi="Book Antiqua"/>
        </w:rPr>
      </w:pPr>
    </w:p>
    <w:p w14:paraId="7B0B2E3E" w14:textId="52EAC64D"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color w:val="000000"/>
        </w:rPr>
        <w:t xml:space="preserve">Author contributions: </w:t>
      </w:r>
      <w:r w:rsidRPr="00ED7E26">
        <w:rPr>
          <w:rFonts w:ascii="Book Antiqua" w:eastAsia="Book Antiqua" w:hAnsi="Book Antiqua" w:cs="Book Antiqua"/>
          <w:color w:val="000000"/>
        </w:rPr>
        <w:t>Gao M</w:t>
      </w:r>
      <w:r w:rsidR="00C436A6" w:rsidRPr="00ED7E26">
        <w:rPr>
          <w:rFonts w:ascii="Book Antiqua" w:eastAsia="Book Antiqua" w:hAnsi="Book Antiqua" w:cs="Book Antiqua"/>
          <w:color w:val="000000"/>
        </w:rPr>
        <w:t>J</w:t>
      </w:r>
      <w:r w:rsidRPr="00ED7E26">
        <w:rPr>
          <w:rFonts w:ascii="Book Antiqua" w:eastAsia="Book Antiqua" w:hAnsi="Book Antiqua" w:cs="Book Antiqua"/>
          <w:color w:val="000000"/>
        </w:rPr>
        <w:t xml:space="preserve"> and Xu Y provided clinical care for the patient</w:t>
      </w:r>
      <w:r w:rsidR="00C436A6"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Gao M</w:t>
      </w:r>
      <w:r w:rsidR="00C436A6" w:rsidRPr="00ED7E26">
        <w:rPr>
          <w:rFonts w:ascii="Book Antiqua" w:eastAsia="Book Antiqua" w:hAnsi="Book Antiqua" w:cs="Book Antiqua"/>
          <w:color w:val="000000"/>
        </w:rPr>
        <w:t>J</w:t>
      </w:r>
      <w:r w:rsidRPr="00ED7E26">
        <w:rPr>
          <w:rFonts w:ascii="Book Antiqua" w:eastAsia="Book Antiqua" w:hAnsi="Book Antiqua" w:cs="Book Antiqua"/>
          <w:color w:val="000000"/>
        </w:rPr>
        <w:t xml:space="preserve"> wrote the manuscript</w:t>
      </w:r>
      <w:r w:rsidR="00C436A6"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Wang W</w:t>
      </w:r>
      <w:r w:rsidR="00C436A6" w:rsidRPr="00ED7E26">
        <w:rPr>
          <w:rFonts w:ascii="Book Antiqua" w:eastAsia="Book Antiqua" w:hAnsi="Book Antiqua" w:cs="Book Antiqua"/>
          <w:color w:val="000000"/>
        </w:rPr>
        <w:t>B</w:t>
      </w:r>
      <w:r w:rsidRPr="00ED7E26">
        <w:rPr>
          <w:rFonts w:ascii="Book Antiqua" w:eastAsia="Book Antiqua" w:hAnsi="Book Antiqua" w:cs="Book Antiqua"/>
          <w:color w:val="000000"/>
        </w:rPr>
        <w:t xml:space="preserve"> was the attending </w:t>
      </w:r>
      <w:r w:rsidR="00EA4974" w:rsidRPr="00ED7E26">
        <w:rPr>
          <w:rFonts w:ascii="Book Antiqua" w:eastAsia="Book Antiqua" w:hAnsi="Book Antiqua" w:cs="Book Antiqua"/>
          <w:color w:val="000000"/>
        </w:rPr>
        <w:t>consultant,</w:t>
      </w:r>
      <w:r w:rsidRPr="00ED7E26">
        <w:rPr>
          <w:rFonts w:ascii="Book Antiqua" w:eastAsia="Book Antiqua" w:hAnsi="Book Antiqua" w:cs="Book Antiqua"/>
          <w:color w:val="000000"/>
        </w:rPr>
        <w:t xml:space="preserve"> and he reviewed the final draft of the manuscript</w:t>
      </w:r>
      <w:r w:rsidR="00C436A6"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All authors contributed to the writing, editing, and review of the manuscript.</w:t>
      </w:r>
    </w:p>
    <w:p w14:paraId="76F9F6D5" w14:textId="77777777" w:rsidR="00A77B3E" w:rsidRPr="00ED7E26" w:rsidRDefault="00A77B3E" w:rsidP="002508B1">
      <w:pPr>
        <w:spacing w:line="360" w:lineRule="auto"/>
        <w:jc w:val="both"/>
        <w:rPr>
          <w:rFonts w:ascii="Book Antiqua" w:hAnsi="Book Antiqua"/>
        </w:rPr>
      </w:pPr>
    </w:p>
    <w:p w14:paraId="6E7F4263" w14:textId="2BAB340D"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color w:val="000000"/>
        </w:rPr>
        <w:t xml:space="preserve">Corresponding author: Mei-Juan Gao, MD, Chief Physician, </w:t>
      </w:r>
      <w:r w:rsidRPr="00ED7E26">
        <w:rPr>
          <w:rFonts w:ascii="Book Antiqua" w:eastAsia="Book Antiqua" w:hAnsi="Book Antiqua" w:cs="Book Antiqua"/>
          <w:color w:val="000000"/>
        </w:rPr>
        <w:t xml:space="preserve">Department of Endocrinology, Peking University </w:t>
      </w:r>
      <w:proofErr w:type="spellStart"/>
      <w:r w:rsidRPr="00ED7E26">
        <w:rPr>
          <w:rFonts w:ascii="Book Antiqua" w:eastAsia="Book Antiqua" w:hAnsi="Book Antiqua" w:cs="Book Antiqua"/>
          <w:color w:val="000000"/>
        </w:rPr>
        <w:t>Shougang</w:t>
      </w:r>
      <w:proofErr w:type="spellEnd"/>
      <w:r w:rsidRPr="00ED7E26">
        <w:rPr>
          <w:rFonts w:ascii="Book Antiqua" w:eastAsia="Book Antiqua" w:hAnsi="Book Antiqua" w:cs="Book Antiqua"/>
          <w:color w:val="000000"/>
        </w:rPr>
        <w:t xml:space="preserve"> Hospital, No. 9 </w:t>
      </w:r>
      <w:proofErr w:type="spellStart"/>
      <w:r w:rsidR="004A6FE3" w:rsidRPr="00ED7E26">
        <w:rPr>
          <w:rFonts w:ascii="Book Antiqua" w:eastAsia="Book Antiqua" w:hAnsi="Book Antiqua" w:cs="Book Antiqua"/>
          <w:color w:val="000000"/>
        </w:rPr>
        <w:t>J</w:t>
      </w:r>
      <w:r w:rsidRPr="00ED7E26">
        <w:rPr>
          <w:rFonts w:ascii="Book Antiqua" w:eastAsia="Book Antiqua" w:hAnsi="Book Antiqua" w:cs="Book Antiqua"/>
          <w:color w:val="000000"/>
        </w:rPr>
        <w:t>inyuanzhuang</w:t>
      </w:r>
      <w:proofErr w:type="spellEnd"/>
      <w:r w:rsidRPr="00ED7E26">
        <w:rPr>
          <w:rFonts w:ascii="Book Antiqua" w:eastAsia="Book Antiqua" w:hAnsi="Book Antiqua" w:cs="Book Antiqua"/>
          <w:color w:val="000000"/>
        </w:rPr>
        <w:t xml:space="preserve"> Road, Beijing 100041, China. gmjluhe@163.com</w:t>
      </w:r>
    </w:p>
    <w:p w14:paraId="2322B74B" w14:textId="77777777" w:rsidR="00A77B3E" w:rsidRPr="00ED7E26" w:rsidRDefault="00A77B3E" w:rsidP="002508B1">
      <w:pPr>
        <w:spacing w:line="360" w:lineRule="auto"/>
        <w:jc w:val="both"/>
        <w:rPr>
          <w:rFonts w:ascii="Book Antiqua" w:hAnsi="Book Antiqua"/>
        </w:rPr>
      </w:pPr>
    </w:p>
    <w:p w14:paraId="05DE7E4F"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Received: </w:t>
      </w:r>
      <w:r w:rsidRPr="00ED7E26">
        <w:rPr>
          <w:rFonts w:ascii="Book Antiqua" w:eastAsia="Book Antiqua" w:hAnsi="Book Antiqua" w:cs="Book Antiqua"/>
        </w:rPr>
        <w:t>December 4, 2022</w:t>
      </w:r>
    </w:p>
    <w:p w14:paraId="43A049CE"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Revised: </w:t>
      </w:r>
      <w:r w:rsidRPr="00ED7E26">
        <w:rPr>
          <w:rFonts w:ascii="Book Antiqua" w:eastAsia="Book Antiqua" w:hAnsi="Book Antiqua" w:cs="Book Antiqua"/>
        </w:rPr>
        <w:t>February 17, 2023</w:t>
      </w:r>
    </w:p>
    <w:p w14:paraId="773C4B02" w14:textId="7EE6F441"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Accepted: </w:t>
      </w:r>
      <w:r w:rsidR="00401F1D" w:rsidRPr="00ED7E26">
        <w:rPr>
          <w:rFonts w:ascii="Book Antiqua" w:eastAsia="Book Antiqua" w:hAnsi="Book Antiqua" w:cs="Book Antiqua"/>
        </w:rPr>
        <w:t>April 6, 2023</w:t>
      </w:r>
    </w:p>
    <w:p w14:paraId="5F16907F" w14:textId="4594F99E"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Published online: </w:t>
      </w:r>
      <w:r w:rsidR="00C7408F" w:rsidRPr="00ED7E26">
        <w:rPr>
          <w:rFonts w:ascii="Book Antiqua" w:eastAsia="Book Antiqua" w:hAnsi="Book Antiqua" w:cs="Book Antiqua"/>
        </w:rPr>
        <w:t>May 16, 2023</w:t>
      </w:r>
    </w:p>
    <w:p w14:paraId="7FB2533E" w14:textId="77777777" w:rsidR="00A77B3E" w:rsidRPr="00ED7E26" w:rsidRDefault="00A77B3E" w:rsidP="002508B1">
      <w:pPr>
        <w:spacing w:line="360" w:lineRule="auto"/>
        <w:jc w:val="both"/>
        <w:rPr>
          <w:rFonts w:ascii="Book Antiqua" w:hAnsi="Book Antiqua"/>
        </w:rPr>
        <w:sectPr w:rsidR="00A77B3E" w:rsidRPr="00ED7E26">
          <w:footerReference w:type="default" r:id="rId6"/>
          <w:pgSz w:w="12240" w:h="15840"/>
          <w:pgMar w:top="1440" w:right="1440" w:bottom="1440" w:left="1440" w:header="720" w:footer="720" w:gutter="0"/>
          <w:cols w:space="720"/>
          <w:docGrid w:linePitch="360"/>
        </w:sectPr>
      </w:pPr>
    </w:p>
    <w:p w14:paraId="77305C12"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lastRenderedPageBreak/>
        <w:t>Abstract</w:t>
      </w:r>
    </w:p>
    <w:p w14:paraId="154903C5"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BACKGROUND</w:t>
      </w:r>
    </w:p>
    <w:p w14:paraId="2D225F54" w14:textId="098158C2"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The development of immune</w:t>
      </w:r>
      <w:r w:rsidR="00507E40"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checkpoint inhibitors (ICIs) has heralded a new era in cancer treatment, enabling the possibility of long-term survival in patients with metastatic disease. Unfortunately, ICIs are increasingly implicated in the development of autoimmune diseases.</w:t>
      </w:r>
    </w:p>
    <w:p w14:paraId="1AAFED4A" w14:textId="77777777" w:rsidR="00A77B3E" w:rsidRPr="00ED7E26" w:rsidRDefault="00A77B3E" w:rsidP="002508B1">
      <w:pPr>
        <w:spacing w:line="360" w:lineRule="auto"/>
        <w:jc w:val="both"/>
        <w:rPr>
          <w:rFonts w:ascii="Book Antiqua" w:hAnsi="Book Antiqua"/>
        </w:rPr>
      </w:pPr>
    </w:p>
    <w:p w14:paraId="6A2EE634"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CASE SUMMARY</w:t>
      </w:r>
    </w:p>
    <w:p w14:paraId="24424D2E" w14:textId="383A9EAD"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 xml:space="preserve">We present a man with squamous cell carcinoma of the oropharynx on a combination of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docetaxel, and cisplatin therapy who developed autoimmune polyendocrine syndrome type II (APS-2) including thyroiditis and type 1 diabetes mellitus and Crohn’s </w:t>
      </w:r>
      <w:r w:rsidR="00507E40" w:rsidRPr="00ED7E26">
        <w:rPr>
          <w:rFonts w:ascii="Book Antiqua" w:eastAsia="Book Antiqua" w:hAnsi="Book Antiqua" w:cs="Book Antiqua"/>
          <w:color w:val="000000"/>
        </w:rPr>
        <w:t>d</w:t>
      </w:r>
      <w:r w:rsidRPr="00ED7E26">
        <w:rPr>
          <w:rFonts w:ascii="Book Antiqua" w:eastAsia="Book Antiqua" w:hAnsi="Book Antiqua" w:cs="Book Antiqua"/>
          <w:color w:val="000000"/>
        </w:rPr>
        <w:t xml:space="preserve">isease (CD). He developed thirst, abdominal pain, and fatigue after two-week treatment with the </w:t>
      </w:r>
      <w:r w:rsidR="00507E40" w:rsidRPr="00ED7E26">
        <w:rPr>
          <w:rFonts w:ascii="Book Antiqua" w:eastAsia="Book Antiqua" w:hAnsi="Book Antiqua" w:cs="Book Antiqua"/>
          <w:color w:val="000000"/>
        </w:rPr>
        <w:t>protein</w:t>
      </w:r>
      <w:r w:rsidR="00325A24" w:rsidRPr="00ED7E26">
        <w:rPr>
          <w:rFonts w:ascii="Book Antiqua" w:eastAsia="Book Antiqua" w:hAnsi="Book Antiqua" w:cs="Book Antiqua"/>
          <w:color w:val="000000"/>
        </w:rPr>
        <w:t xml:space="preserve"> 1</w:t>
      </w:r>
      <w:r w:rsidR="00507E40" w:rsidRPr="00ED7E26">
        <w:rPr>
          <w:rFonts w:ascii="Book Antiqua" w:eastAsia="Book Antiqua" w:hAnsi="Book Antiqua" w:cs="Book Antiqua"/>
          <w:color w:val="000000"/>
        </w:rPr>
        <w:t xml:space="preserve"> ligand </w:t>
      </w:r>
      <w:r w:rsidRPr="00ED7E26">
        <w:rPr>
          <w:rFonts w:ascii="Book Antiqua" w:eastAsia="Book Antiqua" w:hAnsi="Book Antiqua" w:cs="Book Antiqua"/>
          <w:color w:val="000000"/>
        </w:rPr>
        <w:t xml:space="preserve">inhibitor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Biochemistry confirmed APS-2 and thyrotoxicosis. He was commenced on an insulin infusion. However, his abdominal pain persisted. Follow-up surgery confirmed </w:t>
      </w:r>
      <w:r w:rsidR="00507E40" w:rsidRPr="00ED7E26">
        <w:rPr>
          <w:rFonts w:ascii="Book Antiqua" w:eastAsia="Book Antiqua" w:hAnsi="Book Antiqua" w:cs="Book Antiqua"/>
          <w:color w:val="000000"/>
        </w:rPr>
        <w:t>CD</w:t>
      </w:r>
      <w:r w:rsidRPr="00ED7E26">
        <w:rPr>
          <w:rFonts w:ascii="Book Antiqua" w:eastAsia="Book Antiqua" w:hAnsi="Book Antiqua" w:cs="Book Antiqua"/>
          <w:color w:val="000000"/>
        </w:rPr>
        <w:t xml:space="preserve"> and his abdominal pain was relieved by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He was continued on insulin and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therapy.</w:t>
      </w:r>
    </w:p>
    <w:p w14:paraId="1E97B3F5" w14:textId="77777777" w:rsidR="00A77B3E" w:rsidRPr="00ED7E26" w:rsidRDefault="00A77B3E" w:rsidP="002508B1">
      <w:pPr>
        <w:spacing w:line="360" w:lineRule="auto"/>
        <w:jc w:val="both"/>
        <w:rPr>
          <w:rFonts w:ascii="Book Antiqua" w:hAnsi="Book Antiqua"/>
        </w:rPr>
      </w:pPr>
    </w:p>
    <w:p w14:paraId="3CDF741A"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CONCLUSION</w:t>
      </w:r>
    </w:p>
    <w:p w14:paraId="6375E8D4"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color w:val="000000"/>
        </w:rPr>
        <w:t>Immunotherapy can affect all kinds of organs. When clinical symptoms cannot be explained by a single disease, clinicians should consider the possibility of multisystem damage.</w:t>
      </w:r>
    </w:p>
    <w:p w14:paraId="3D71EF9F" w14:textId="77777777" w:rsidR="00A77B3E" w:rsidRPr="00ED7E26" w:rsidRDefault="00A77B3E" w:rsidP="002508B1">
      <w:pPr>
        <w:spacing w:line="360" w:lineRule="auto"/>
        <w:jc w:val="both"/>
        <w:rPr>
          <w:rFonts w:ascii="Book Antiqua" w:hAnsi="Book Antiqua"/>
        </w:rPr>
      </w:pPr>
    </w:p>
    <w:p w14:paraId="57028219" w14:textId="1C3F7D4B"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Key Words: </w:t>
      </w:r>
      <w:r w:rsidRPr="00ED7E26">
        <w:rPr>
          <w:rFonts w:ascii="Book Antiqua" w:eastAsia="Book Antiqua" w:hAnsi="Book Antiqua" w:cs="Book Antiqua"/>
          <w:color w:val="000000"/>
        </w:rPr>
        <w:t>Immune checkpoint inhibitor</w:t>
      </w:r>
      <w:r w:rsidR="004A6FE3"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w:t>
      </w:r>
      <w:r w:rsidR="004A6FE3" w:rsidRPr="00ED7E26">
        <w:rPr>
          <w:rFonts w:ascii="Book Antiqua" w:eastAsia="Book Antiqua" w:hAnsi="Book Antiqua" w:cs="Book Antiqua"/>
          <w:color w:val="000000"/>
        </w:rPr>
        <w:t>P</w:t>
      </w:r>
      <w:r w:rsidRPr="00ED7E26">
        <w:rPr>
          <w:rFonts w:ascii="Book Antiqua" w:eastAsia="Book Antiqua" w:hAnsi="Book Antiqua" w:cs="Book Antiqua"/>
          <w:color w:val="000000"/>
        </w:rPr>
        <w:t>rogrammed cell death protein 1 ligand</w:t>
      </w:r>
      <w:r w:rsidR="004A6FE3"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w:t>
      </w:r>
      <w:r w:rsidR="004A6FE3" w:rsidRPr="00ED7E26">
        <w:rPr>
          <w:rFonts w:ascii="Book Antiqua" w:eastAsia="Book Antiqua" w:hAnsi="Book Antiqua" w:cs="Book Antiqua"/>
          <w:color w:val="000000"/>
        </w:rPr>
        <w:t>A</w:t>
      </w:r>
      <w:r w:rsidRPr="00ED7E26">
        <w:rPr>
          <w:rFonts w:ascii="Book Antiqua" w:eastAsia="Book Antiqua" w:hAnsi="Book Antiqua" w:cs="Book Antiqua"/>
          <w:color w:val="000000"/>
        </w:rPr>
        <w:t>utoimmune polyendocrine syndrome type II</w:t>
      </w:r>
      <w:r w:rsidR="004A6FE3"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Type 1 </w:t>
      </w:r>
      <w:r w:rsidR="004A6FE3" w:rsidRPr="00ED7E26">
        <w:rPr>
          <w:rFonts w:ascii="Book Antiqua" w:eastAsia="Book Antiqua" w:hAnsi="Book Antiqua" w:cs="Book Antiqua"/>
          <w:color w:val="000000"/>
        </w:rPr>
        <w:t>d</w:t>
      </w:r>
      <w:r w:rsidRPr="00ED7E26">
        <w:rPr>
          <w:rFonts w:ascii="Book Antiqua" w:eastAsia="Book Antiqua" w:hAnsi="Book Antiqua" w:cs="Book Antiqua"/>
          <w:color w:val="000000"/>
        </w:rPr>
        <w:t>iabetes mellitus</w:t>
      </w:r>
      <w:r w:rsidR="004A6FE3"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Thyroiditis</w:t>
      </w:r>
      <w:r w:rsidR="004A6FE3"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 Crohn’s disease</w:t>
      </w:r>
      <w:r w:rsidR="00E97A62" w:rsidRPr="00ED7E26">
        <w:rPr>
          <w:rFonts w:ascii="Book Antiqua" w:eastAsia="Book Antiqua" w:hAnsi="Book Antiqua" w:cs="Book Antiqua"/>
          <w:color w:val="000000"/>
        </w:rPr>
        <w:t>; Case report</w:t>
      </w:r>
    </w:p>
    <w:p w14:paraId="1645E309" w14:textId="77777777" w:rsidR="00A77B3E" w:rsidRPr="00ED7E26" w:rsidRDefault="00A77B3E" w:rsidP="002508B1">
      <w:pPr>
        <w:spacing w:line="360" w:lineRule="auto"/>
        <w:jc w:val="both"/>
        <w:rPr>
          <w:rFonts w:ascii="Book Antiqua" w:hAnsi="Book Antiqua"/>
        </w:rPr>
      </w:pPr>
    </w:p>
    <w:p w14:paraId="567ABCF5" w14:textId="77777777" w:rsidR="00ED7E26" w:rsidRPr="00ED7E26" w:rsidRDefault="00ED7E26" w:rsidP="00ED7E2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D7E26">
        <w:rPr>
          <w:rFonts w:ascii="Book Antiqua" w:eastAsia="Book Antiqua" w:hAnsi="Book Antiqua" w:cs="Book Antiqua" w:hint="eastAsia"/>
          <w:b/>
          <w:color w:val="000000"/>
        </w:rPr>
        <w:t>©</w:t>
      </w:r>
      <w:r w:rsidRPr="00ED7E26">
        <w:rPr>
          <w:rFonts w:ascii="Book Antiqua" w:eastAsia="Book Antiqua" w:hAnsi="Book Antiqua" w:cs="Book Antiqua"/>
          <w:b/>
          <w:color w:val="000000"/>
        </w:rPr>
        <w:t>The</w:t>
      </w:r>
      <w:r w:rsidRPr="00ED7E26">
        <w:rPr>
          <w:rFonts w:ascii="Book Antiqua" w:eastAsia="Book Antiqua" w:hAnsi="Book Antiqua" w:cs="Book Antiqua"/>
          <w:color w:val="000000"/>
        </w:rPr>
        <w:t xml:space="preserve"> </w:t>
      </w:r>
      <w:r w:rsidRPr="00ED7E26">
        <w:rPr>
          <w:rFonts w:ascii="Book Antiqua" w:eastAsia="Book Antiqua" w:hAnsi="Book Antiqua" w:cs="Book Antiqua"/>
          <w:b/>
          <w:color w:val="000000"/>
        </w:rPr>
        <w:t xml:space="preserve">Author(s) 2023. </w:t>
      </w:r>
      <w:r w:rsidRPr="00ED7E26">
        <w:rPr>
          <w:rFonts w:ascii="Book Antiqua" w:eastAsia="Book Antiqua" w:hAnsi="Book Antiqua" w:cs="Book Antiqua"/>
          <w:color w:val="000000"/>
        </w:rPr>
        <w:t xml:space="preserve">Published by </w:t>
      </w:r>
      <w:proofErr w:type="spellStart"/>
      <w:r w:rsidRPr="00ED7E26">
        <w:rPr>
          <w:rFonts w:ascii="Book Antiqua" w:eastAsia="Book Antiqua" w:hAnsi="Book Antiqua" w:cs="Book Antiqua"/>
          <w:color w:val="000000"/>
        </w:rPr>
        <w:t>Baishideng</w:t>
      </w:r>
      <w:proofErr w:type="spellEnd"/>
      <w:r w:rsidRPr="00ED7E26">
        <w:rPr>
          <w:rFonts w:ascii="Book Antiqua" w:eastAsia="Book Antiqua" w:hAnsi="Book Antiqua" w:cs="Book Antiqua"/>
          <w:color w:val="000000"/>
        </w:rPr>
        <w:t xml:space="preserve"> Publishing Group Inc. All rights reserved.</w:t>
      </w:r>
      <w:bookmarkEnd w:id="0"/>
      <w:r w:rsidRPr="00ED7E26">
        <w:rPr>
          <w:rFonts w:ascii="Book Antiqua" w:eastAsia="Book Antiqua" w:hAnsi="Book Antiqua" w:cs="Book Antiqua"/>
          <w:color w:val="000000"/>
        </w:rPr>
        <w:t xml:space="preserve"> </w:t>
      </w:r>
    </w:p>
    <w:bookmarkEnd w:id="1"/>
    <w:p w14:paraId="3DAFE875" w14:textId="77777777" w:rsidR="00ED7E26" w:rsidRPr="00ED7E26" w:rsidRDefault="00ED7E26" w:rsidP="00ED7E26">
      <w:pPr>
        <w:spacing w:line="360" w:lineRule="auto"/>
        <w:jc w:val="both"/>
        <w:rPr>
          <w:lang w:eastAsia="zh-CN"/>
        </w:rPr>
      </w:pPr>
    </w:p>
    <w:p w14:paraId="2A6E1CD6" w14:textId="77777777" w:rsidR="00ED7E26" w:rsidRPr="00ED7E26" w:rsidRDefault="00ED7E26" w:rsidP="00ED7E26">
      <w:pPr>
        <w:spacing w:line="360" w:lineRule="auto"/>
        <w:jc w:val="both"/>
        <w:rPr>
          <w:rFonts w:ascii="Book Antiqua" w:eastAsia="Book Antiqua" w:hAnsi="Book Antiqua" w:cs="Book Antiqua"/>
        </w:rPr>
      </w:pPr>
      <w:bookmarkStart w:id="4" w:name="_Hlk88512899"/>
      <w:bookmarkStart w:id="5" w:name="_Hlk88512352"/>
      <w:bookmarkEnd w:id="2"/>
      <w:r w:rsidRPr="00ED7E26">
        <w:rPr>
          <w:rFonts w:ascii="Book Antiqua" w:hAnsi="Book Antiqua" w:cs="Book Antiqua" w:hint="eastAsia"/>
          <w:b/>
          <w:color w:val="000000"/>
          <w:lang w:eastAsia="zh-CN"/>
        </w:rPr>
        <w:lastRenderedPageBreak/>
        <w:t>Citation:</w:t>
      </w:r>
      <w:bookmarkEnd w:id="3"/>
      <w:bookmarkEnd w:id="4"/>
      <w:r w:rsidRPr="00ED7E26">
        <w:rPr>
          <w:rFonts w:ascii="Book Antiqua" w:hAnsi="Book Antiqua" w:cs="Book Antiqua" w:hint="eastAsia"/>
          <w:color w:val="000000"/>
          <w:lang w:eastAsia="zh-CN"/>
        </w:rPr>
        <w:t xml:space="preserve"> </w:t>
      </w:r>
      <w:bookmarkEnd w:id="5"/>
      <w:r w:rsidRPr="00ED7E26">
        <w:rPr>
          <w:rFonts w:ascii="Book Antiqua" w:eastAsia="Book Antiqua" w:hAnsi="Book Antiqua" w:cs="Book Antiqua"/>
        </w:rPr>
        <w:t xml:space="preserve">Gao MJ, Xu Y, Wang WB. Immune checkpoint inhibitor therapy-induced autoimmune polyendocrine syndrome type II and Crohn’s disease: A case report. </w:t>
      </w:r>
      <w:r w:rsidRPr="00ED7E26">
        <w:rPr>
          <w:rFonts w:ascii="Book Antiqua" w:eastAsia="Book Antiqua" w:hAnsi="Book Antiqua" w:cs="Book Antiqua"/>
          <w:i/>
          <w:iCs/>
        </w:rPr>
        <w:t>World J Clin Cases</w:t>
      </w:r>
      <w:r w:rsidRPr="00ED7E26">
        <w:rPr>
          <w:rFonts w:ascii="Book Antiqua" w:eastAsia="Book Antiqua" w:hAnsi="Book Antiqua" w:cs="Book Antiqua"/>
        </w:rPr>
        <w:t xml:space="preserve"> 2023;</w:t>
      </w:r>
      <w:r w:rsidR="000E23B6" w:rsidRPr="00ED7E26">
        <w:t xml:space="preserve"> </w:t>
      </w:r>
      <w:r w:rsidR="000E23B6" w:rsidRPr="00ED7E26">
        <w:rPr>
          <w:rFonts w:ascii="Book Antiqua" w:eastAsia="Book Antiqua" w:hAnsi="Book Antiqua" w:cs="Book Antiqua"/>
        </w:rPr>
        <w:t xml:space="preserve">11(14): </w:t>
      </w:r>
      <w:r w:rsidRPr="00ED7E26">
        <w:rPr>
          <w:rFonts w:ascii="Book Antiqua" w:eastAsia="Book Antiqua" w:hAnsi="Book Antiqua" w:cs="Book Antiqua"/>
        </w:rPr>
        <w:t>3267</w:t>
      </w:r>
      <w:r w:rsidR="000E23B6" w:rsidRPr="00ED7E26">
        <w:rPr>
          <w:rFonts w:ascii="Book Antiqua" w:eastAsia="Book Antiqua" w:hAnsi="Book Antiqua" w:cs="Book Antiqua"/>
        </w:rPr>
        <w:t>-</w:t>
      </w:r>
      <w:r w:rsidRPr="00ED7E26">
        <w:rPr>
          <w:rFonts w:ascii="Book Antiqua" w:eastAsia="Book Antiqua" w:hAnsi="Book Antiqua" w:cs="Book Antiqua"/>
        </w:rPr>
        <w:t>3274</w:t>
      </w:r>
    </w:p>
    <w:p w14:paraId="4AB1CC28" w14:textId="183EDC66" w:rsidR="00ED7E26" w:rsidRPr="00ED7E26" w:rsidRDefault="000E23B6" w:rsidP="00ED7E26">
      <w:pPr>
        <w:spacing w:line="360" w:lineRule="auto"/>
        <w:jc w:val="both"/>
        <w:rPr>
          <w:rFonts w:ascii="Book Antiqua" w:eastAsia="Book Antiqua" w:hAnsi="Book Antiqua" w:cs="Book Antiqua"/>
        </w:rPr>
      </w:pPr>
      <w:r w:rsidRPr="00ED7E26">
        <w:rPr>
          <w:rFonts w:ascii="Book Antiqua" w:eastAsia="Book Antiqua" w:hAnsi="Book Antiqua" w:cs="Book Antiqua"/>
          <w:b/>
          <w:bCs/>
        </w:rPr>
        <w:t xml:space="preserve">URL: </w:t>
      </w:r>
      <w:hyperlink r:id="rId7" w:history="1">
        <w:r w:rsidR="00ED7E26" w:rsidRPr="00ED7E26">
          <w:rPr>
            <w:rStyle w:val="ae"/>
            <w:rFonts w:ascii="Book Antiqua" w:eastAsia="Book Antiqua" w:hAnsi="Book Antiqua" w:cs="Book Antiqua"/>
          </w:rPr>
          <w:t>https://www.wjgnet.com/2307-8960/full/v11/i14/3267.htm</w:t>
        </w:r>
      </w:hyperlink>
    </w:p>
    <w:p w14:paraId="12237D9B" w14:textId="1F4C3C4B" w:rsidR="00A77B3E" w:rsidRPr="00ED7E26" w:rsidRDefault="000E23B6" w:rsidP="00ED7E26">
      <w:pPr>
        <w:spacing w:line="360" w:lineRule="auto"/>
        <w:jc w:val="both"/>
        <w:rPr>
          <w:rFonts w:ascii="Book Antiqua" w:hAnsi="Book Antiqua"/>
        </w:rPr>
      </w:pPr>
      <w:r w:rsidRPr="00ED7E26">
        <w:rPr>
          <w:rFonts w:ascii="Book Antiqua" w:eastAsia="Book Antiqua" w:hAnsi="Book Antiqua" w:cs="Book Antiqua"/>
          <w:b/>
          <w:bCs/>
        </w:rPr>
        <w:t xml:space="preserve">DOI: </w:t>
      </w:r>
      <w:r w:rsidRPr="00ED7E26">
        <w:rPr>
          <w:rFonts w:ascii="Book Antiqua" w:eastAsia="Book Antiqua" w:hAnsi="Book Antiqua" w:cs="Book Antiqua"/>
        </w:rPr>
        <w:t>https://dx.doi.org/10.12998/wjcc.v11.i14.</w:t>
      </w:r>
      <w:r w:rsidR="00ED7E26" w:rsidRPr="00ED7E26">
        <w:rPr>
          <w:rFonts w:ascii="Book Antiqua" w:eastAsia="Book Antiqua" w:hAnsi="Book Antiqua" w:cs="Book Antiqua"/>
        </w:rPr>
        <w:t>3267</w:t>
      </w:r>
    </w:p>
    <w:p w14:paraId="769652A9" w14:textId="77777777" w:rsidR="00A77B3E" w:rsidRPr="00ED7E26" w:rsidRDefault="00A77B3E" w:rsidP="002508B1">
      <w:pPr>
        <w:spacing w:line="360" w:lineRule="auto"/>
        <w:jc w:val="both"/>
        <w:rPr>
          <w:rFonts w:ascii="Book Antiqua" w:hAnsi="Book Antiqua"/>
        </w:rPr>
      </w:pPr>
    </w:p>
    <w:p w14:paraId="7FEE15CD" w14:textId="77DCF3CB"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Core Tip: </w:t>
      </w:r>
      <w:r w:rsidRPr="00ED7E26">
        <w:rPr>
          <w:rFonts w:ascii="Book Antiqua" w:eastAsia="Book Antiqua" w:hAnsi="Book Antiqua" w:cs="Book Antiqua"/>
          <w:color w:val="000000"/>
        </w:rPr>
        <w:t xml:space="preserve">We report a rare case of multi-system damage induced by cancer therapy with </w:t>
      </w:r>
      <w:r w:rsidR="00507E40" w:rsidRPr="00ED7E26">
        <w:rPr>
          <w:rFonts w:ascii="Book Antiqua" w:eastAsia="Book Antiqua" w:hAnsi="Book Antiqua" w:cs="Book Antiqua"/>
          <w:color w:val="000000"/>
        </w:rPr>
        <w:t xml:space="preserve">protein </w:t>
      </w:r>
      <w:r w:rsidR="00325A24" w:rsidRPr="00ED7E26">
        <w:rPr>
          <w:rFonts w:ascii="Book Antiqua" w:eastAsia="Book Antiqua" w:hAnsi="Book Antiqua" w:cs="Book Antiqua"/>
          <w:color w:val="000000"/>
        </w:rPr>
        <w:t xml:space="preserve">1 </w:t>
      </w:r>
      <w:r w:rsidR="00507E40" w:rsidRPr="00ED7E26">
        <w:rPr>
          <w:rFonts w:ascii="Book Antiqua" w:eastAsia="Book Antiqua" w:hAnsi="Book Antiqua" w:cs="Book Antiqua"/>
          <w:color w:val="000000"/>
        </w:rPr>
        <w:t xml:space="preserve">ligand </w:t>
      </w:r>
      <w:r w:rsidRPr="00ED7E26">
        <w:rPr>
          <w:rFonts w:ascii="Book Antiqua" w:eastAsia="Book Antiqua" w:hAnsi="Book Antiqua" w:cs="Book Antiqua"/>
          <w:color w:val="000000"/>
        </w:rPr>
        <w:t xml:space="preserve">inhibitor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A man with squamous cell carcinoma of oropharynx on a combination regimen of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docetaxel, and cisplatin developed autoimmune polyendocrine syndrome type II (APS-2) including thyroiditis and type 1 diabetes mellitus (T1DM) and Crohn’s </w:t>
      </w:r>
      <w:r w:rsidR="00325A24" w:rsidRPr="00ED7E26">
        <w:rPr>
          <w:rFonts w:ascii="Book Antiqua" w:eastAsia="Book Antiqua" w:hAnsi="Book Antiqua" w:cs="Book Antiqua"/>
          <w:color w:val="000000"/>
        </w:rPr>
        <w:t>d</w:t>
      </w:r>
      <w:r w:rsidRPr="00ED7E26">
        <w:rPr>
          <w:rFonts w:ascii="Book Antiqua" w:eastAsia="Book Antiqua" w:hAnsi="Book Antiqua" w:cs="Book Antiqua"/>
          <w:color w:val="000000"/>
        </w:rPr>
        <w:t>isease</w:t>
      </w:r>
      <w:r w:rsidR="00507E40" w:rsidRPr="00ED7E26">
        <w:rPr>
          <w:rFonts w:ascii="Book Antiqua" w:eastAsia="Book Antiqua" w:hAnsi="Book Antiqua" w:cs="Book Antiqua"/>
          <w:color w:val="000000"/>
        </w:rPr>
        <w:t xml:space="preserve"> (CD)</w:t>
      </w:r>
      <w:r w:rsidRPr="00ED7E26">
        <w:rPr>
          <w:rFonts w:ascii="Book Antiqua" w:eastAsia="Book Antiqua" w:hAnsi="Book Antiqua" w:cs="Book Antiqua"/>
          <w:color w:val="000000"/>
        </w:rPr>
        <w:t xml:space="preserve">. This case report highlights the possibility of chronic immune toxicities and the long-term implications of cancer immunotherapy. To the best of our knowledge, this is the first reported case of concurrent atypical APS-2 (including T1DM and thyrotoxicosis) and </w:t>
      </w:r>
      <w:r w:rsidR="00507E40" w:rsidRPr="00ED7E26">
        <w:rPr>
          <w:rFonts w:ascii="Book Antiqua" w:eastAsia="Book Antiqua" w:hAnsi="Book Antiqua" w:cs="Book Antiqua"/>
          <w:color w:val="000000"/>
        </w:rPr>
        <w:t>CD</w:t>
      </w:r>
      <w:r w:rsidRPr="00ED7E26">
        <w:rPr>
          <w:rFonts w:ascii="Book Antiqua" w:eastAsia="Book Antiqua" w:hAnsi="Book Antiqua" w:cs="Book Antiqua"/>
          <w:color w:val="000000"/>
        </w:rPr>
        <w:t xml:space="preserve"> in a patient receiving immunotherapy for metastatic nasopharyngeal carcinoma.</w:t>
      </w:r>
    </w:p>
    <w:p w14:paraId="6BC755C7" w14:textId="77777777" w:rsidR="00A77B3E" w:rsidRPr="00ED7E26" w:rsidRDefault="00A77B3E" w:rsidP="002508B1">
      <w:pPr>
        <w:spacing w:line="360" w:lineRule="auto"/>
        <w:jc w:val="both"/>
        <w:rPr>
          <w:rFonts w:ascii="Book Antiqua" w:hAnsi="Book Antiqua"/>
        </w:rPr>
      </w:pPr>
    </w:p>
    <w:p w14:paraId="59329A51"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aps/>
          <w:color w:val="000000"/>
          <w:u w:val="single"/>
        </w:rPr>
        <w:t>INTRODUCTION</w:t>
      </w:r>
    </w:p>
    <w:p w14:paraId="72D11061" w14:textId="075FAF5B"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Immune checkpoint inhibitors (ICIs) such as programmed cell death protein 1 (PD1) or its ligand (PDL1) and cytotoxic T-lymphocyte antigen-4 (CTLA-4) have revolutionized the treatment of many malignancies, such as melanoma, non-small cell lung cancer, and renal cell carcinoma. ICI therapy enhances the immune system and has been shown to improve survival in some cancer patients. However, ICIs occasionally induce immune-related adverse events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 which commonly affect the gastrointestinal tract, liver, skin, and endocrine system, but can affect virtually any organ system</w:t>
      </w:r>
      <w:r w:rsidRPr="00ED7E26">
        <w:rPr>
          <w:rFonts w:ascii="Book Antiqua" w:eastAsia="Book Antiqua" w:hAnsi="Book Antiqua" w:cs="Book Antiqua"/>
          <w:color w:val="000000"/>
          <w:vertAlign w:val="superscript"/>
        </w:rPr>
        <w:t>[1,2]</w:t>
      </w:r>
      <w:r w:rsidRPr="00ED7E26">
        <w:rPr>
          <w:rFonts w:ascii="Book Antiqua" w:eastAsia="Book Antiqua" w:hAnsi="Book Antiqua" w:cs="Book Antiqua"/>
          <w:color w:val="000000"/>
        </w:rPr>
        <w:t xml:space="preserve">. Thyroid disorders are common endocrinopathies associated with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vertAlign w:val="superscript"/>
        </w:rPr>
        <w:t>[3]</w:t>
      </w:r>
      <w:r w:rsidRPr="00ED7E26">
        <w:rPr>
          <w:rFonts w:ascii="Book Antiqua" w:eastAsia="Book Antiqua" w:hAnsi="Book Antiqua" w:cs="Book Antiqua"/>
          <w:color w:val="000000"/>
        </w:rPr>
        <w:t xml:space="preserve">. </w:t>
      </w:r>
      <w:proofErr w:type="spellStart"/>
      <w:r w:rsidRPr="00ED7E26">
        <w:rPr>
          <w:rFonts w:ascii="Book Antiqua" w:eastAsia="Book Antiqua" w:hAnsi="Book Antiqua" w:cs="Book Antiqua"/>
          <w:color w:val="000000"/>
        </w:rPr>
        <w:t>Hypophysitis</w:t>
      </w:r>
      <w:proofErr w:type="spellEnd"/>
      <w:r w:rsidRPr="00ED7E26">
        <w:rPr>
          <w:rFonts w:ascii="Book Antiqua" w:eastAsia="Book Antiqua" w:hAnsi="Book Antiqua" w:cs="Book Antiqua"/>
          <w:color w:val="000000"/>
        </w:rPr>
        <w:t xml:space="preserve"> is another well-recognized endocrine side effect</w:t>
      </w:r>
      <w:r w:rsidRPr="00ED7E26">
        <w:rPr>
          <w:rFonts w:ascii="Book Antiqua" w:eastAsia="Book Antiqua" w:hAnsi="Book Antiqua" w:cs="Book Antiqua"/>
          <w:color w:val="000000"/>
          <w:vertAlign w:val="superscript"/>
        </w:rPr>
        <w:t>[4]</w:t>
      </w:r>
      <w:r w:rsidRPr="00ED7E26">
        <w:rPr>
          <w:rFonts w:ascii="Book Antiqua" w:eastAsia="Book Antiqua" w:hAnsi="Book Antiqua" w:cs="Book Antiqua"/>
          <w:color w:val="000000"/>
        </w:rPr>
        <w:t>. Autoimmune diabetes mellitus especially type 1 diabetes mellitus (T1DM) has occasionally been reported</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shd w:val="clear" w:color="auto" w:fill="FFFFFF"/>
          <w:vertAlign w:val="superscript"/>
        </w:rPr>
        <w:t>5</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rPr>
        <w:t>, while adrenal insufficiency is observed even less frequently</w:t>
      </w:r>
      <w:r w:rsidRPr="00ED7E26">
        <w:rPr>
          <w:rFonts w:ascii="Book Antiqua" w:eastAsia="Book Antiqua" w:hAnsi="Book Antiqua" w:cs="Book Antiqua"/>
          <w:color w:val="000000"/>
          <w:vertAlign w:val="superscript"/>
        </w:rPr>
        <w:t>[6]</w:t>
      </w:r>
      <w:r w:rsidRPr="00ED7E26">
        <w:rPr>
          <w:rFonts w:ascii="Book Antiqua" w:eastAsia="Book Antiqua" w:hAnsi="Book Antiqua" w:cs="Book Antiqua"/>
          <w:color w:val="000000"/>
        </w:rPr>
        <w:t xml:space="preserve">. However, to the best of our </w:t>
      </w:r>
      <w:r w:rsidRPr="00ED7E26">
        <w:rPr>
          <w:rFonts w:ascii="Book Antiqua" w:eastAsia="Book Antiqua" w:hAnsi="Book Antiqua" w:cs="Book Antiqua"/>
          <w:color w:val="000000"/>
        </w:rPr>
        <w:lastRenderedPageBreak/>
        <w:t>knowledge, IC</w:t>
      </w:r>
      <w:r w:rsidR="00BA5358" w:rsidRPr="00ED7E26">
        <w:rPr>
          <w:rFonts w:ascii="Book Antiqua" w:eastAsia="Book Antiqua" w:hAnsi="Book Antiqua" w:cs="Book Antiqua"/>
          <w:color w:val="000000"/>
        </w:rPr>
        <w:t>I</w:t>
      </w:r>
      <w:r w:rsidR="00AA0A28" w:rsidRPr="00ED7E26">
        <w:rPr>
          <w:rFonts w:asciiTheme="minorEastAsia" w:hAnsiTheme="minorEastAsia" w:cs="Book Antiqua"/>
          <w:color w:val="000000"/>
          <w:lang w:eastAsia="zh-CN"/>
        </w:rPr>
        <w:t>-</w:t>
      </w:r>
      <w:r w:rsidRPr="00ED7E26">
        <w:rPr>
          <w:rFonts w:ascii="Book Antiqua" w:eastAsia="Book Antiqua" w:hAnsi="Book Antiqua" w:cs="Book Antiqua"/>
          <w:color w:val="000000"/>
        </w:rPr>
        <w:t>induced autoimmune polyendocrine syndrome type II (APS-2) including T1DM combined with Crohn’s disease (CD), has not yet been reported.</w:t>
      </w:r>
    </w:p>
    <w:p w14:paraId="596E47FB" w14:textId="77777777"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t xml:space="preserve">Here we report an elderly man who developed partial features of APS-2 combined with CD shortly after initiation of treatment with PDL1 antibody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for squamous cell carcinoma of the oropharynx. This patient had an acute onset of T1DM with diabetic ketoacidosis (DKA), short-term thyrotoxicosis, and typical CD. This case report is supplemented by a literature review of PD1/PD-L1 inhibitor-associated APS-2 and CD. Our study may help improve the understanding of endocrinologists, oncologists, and gastroenterologists about rare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w:t>
      </w:r>
    </w:p>
    <w:p w14:paraId="76CC5401" w14:textId="77777777" w:rsidR="004A6FE3" w:rsidRPr="00ED7E26" w:rsidRDefault="004A6FE3" w:rsidP="004A6FE3">
      <w:pPr>
        <w:spacing w:line="360" w:lineRule="auto"/>
        <w:ind w:firstLine="480"/>
        <w:jc w:val="both"/>
        <w:rPr>
          <w:rFonts w:ascii="Book Antiqua" w:hAnsi="Book Antiqua"/>
        </w:rPr>
      </w:pPr>
    </w:p>
    <w:p w14:paraId="17BF92D1"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CASE PRESENTATION</w:t>
      </w:r>
    </w:p>
    <w:p w14:paraId="2B70177F"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Chief complaints</w:t>
      </w:r>
    </w:p>
    <w:p w14:paraId="06422620"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A 61-year-old man presented to the emergency department of </w:t>
      </w:r>
      <w:proofErr w:type="spellStart"/>
      <w:r w:rsidRPr="00ED7E26">
        <w:rPr>
          <w:rFonts w:ascii="Book Antiqua" w:eastAsia="Book Antiqua" w:hAnsi="Book Antiqua" w:cs="Book Antiqua"/>
          <w:color w:val="000000"/>
        </w:rPr>
        <w:t>Shougang</w:t>
      </w:r>
      <w:proofErr w:type="spellEnd"/>
      <w:r w:rsidRPr="00ED7E26">
        <w:rPr>
          <w:rFonts w:ascii="Book Antiqua" w:eastAsia="Book Antiqua" w:hAnsi="Book Antiqua" w:cs="Book Antiqua"/>
          <w:color w:val="000000"/>
        </w:rPr>
        <w:t xml:space="preserve"> Hospital with fatigue, vomiting, polyuria, polydipsia, and abdominal pain for a few days.</w:t>
      </w:r>
    </w:p>
    <w:p w14:paraId="32BD5BF0" w14:textId="77777777" w:rsidR="004A6FE3" w:rsidRPr="00ED7E26" w:rsidRDefault="004A6FE3" w:rsidP="004A6FE3">
      <w:pPr>
        <w:spacing w:line="360" w:lineRule="auto"/>
        <w:jc w:val="both"/>
        <w:rPr>
          <w:rFonts w:ascii="Book Antiqua" w:hAnsi="Book Antiqua"/>
        </w:rPr>
      </w:pPr>
    </w:p>
    <w:p w14:paraId="257CD683"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History of present illness</w:t>
      </w:r>
    </w:p>
    <w:p w14:paraId="413E2EA4" w14:textId="7AE94DD3"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The patient had earlier received treatment for squamous cell carcinoma of the oropharynx at the Peking University Tumor Hospital. About two weeks after discharge from that hospital, he developed thirst, fatigue, and abdominal pain. Five days later (September 21, 2021), he presented to the emergency department with abrupt onset of extreme fatigue, vomiting, polyuria, polydipsia, bellyache, hyperglycemia, severe acidosis, and the presence of ketones bodies in urine. DKA was diagnosed by an emergency medicine specialist. Treatment protocol for DKA with continuous intravenous insulin was initiated with good response within 8 h. Plasma amylase level was substantially increased. According to the Common Terminology Criteria for Adverse Events of the National Institute of Health, ICI-induced pancreatic injury was suspected although abdominal </w:t>
      </w:r>
      <w:r w:rsidR="00507E40" w:rsidRPr="00ED7E26">
        <w:rPr>
          <w:rFonts w:ascii="Book Antiqua" w:eastAsia="Book Antiqua" w:hAnsi="Book Antiqua" w:cs="Book Antiqua"/>
          <w:color w:val="000000"/>
        </w:rPr>
        <w:t>computed tomography (CT)</w:t>
      </w:r>
      <w:r w:rsidRPr="00ED7E26">
        <w:rPr>
          <w:rFonts w:ascii="Book Antiqua" w:eastAsia="Book Antiqua" w:hAnsi="Book Antiqua" w:cs="Book Antiqua"/>
          <w:color w:val="000000"/>
        </w:rPr>
        <w:t>-scan was unremarkable. After comprehensive treatment, his blood biochemical indicators and blood glucose returned to normal, but abdominal pain persisted. He was admitted to the inpatient department for further evaluation.</w:t>
      </w:r>
    </w:p>
    <w:p w14:paraId="09901542" w14:textId="5D692ECC"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lastRenderedPageBreak/>
        <w:t>His biochemical parameters confirmed recovery, but abdominal pain persisted along with persistent positive stool occult blood and elevated C-reactive protein (CRP). The abdominal pain was mostly around umbilicus, sometimes in the right abdomen, and typically occurred approximately 30 to 45 min after meals; there was no rectal urgency. Sometimes, the pain was relieved after defecation. His dietary intake was reduced due to the pain.</w:t>
      </w:r>
    </w:p>
    <w:p w14:paraId="778C49FC" w14:textId="77777777" w:rsidR="004A6FE3" w:rsidRPr="00ED7E26" w:rsidRDefault="004A6FE3" w:rsidP="004A6FE3">
      <w:pPr>
        <w:spacing w:line="360" w:lineRule="auto"/>
        <w:ind w:firstLine="480"/>
        <w:jc w:val="both"/>
        <w:rPr>
          <w:rFonts w:ascii="Book Antiqua" w:hAnsi="Book Antiqua"/>
        </w:rPr>
      </w:pPr>
    </w:p>
    <w:p w14:paraId="5BFF2D8D"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History of past illness</w:t>
      </w:r>
    </w:p>
    <w:p w14:paraId="67834E5D" w14:textId="0EDD973C"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He had been diagnosed with squamous cell carcinoma of the oropharynx which invaded the right medial pterygoid and right-sided neck lymph nodes. The carcinoma was surgically excised along with associated lymph nodes clearance (confirming T4N2M0) on July 22, 2021. One month later (2021-8-31), he received the first cycle of a three-drug chemotherapy regimen (docetaxel, cisplatin, and </w:t>
      </w:r>
      <w:proofErr w:type="spellStart"/>
      <w:r w:rsidRPr="00ED7E26">
        <w:rPr>
          <w:rFonts w:ascii="Book Antiqua" w:eastAsia="Book Antiqua" w:hAnsi="Book Antiqua" w:cs="Book Antiqua"/>
          <w:color w:val="000000"/>
        </w:rPr>
        <w:t>tigisay</w:t>
      </w:r>
      <w:proofErr w:type="spellEnd"/>
      <w:r w:rsidRPr="00ED7E26">
        <w:rPr>
          <w:rFonts w:ascii="Book Antiqua" w:eastAsia="Book Antiqua" w:hAnsi="Book Antiqua" w:cs="Book Antiqua"/>
          <w:color w:val="000000"/>
        </w:rPr>
        <w:t>) combined with PDL1 targeted antibody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therapy. The dosing regimen was: </w:t>
      </w:r>
      <w:r w:rsidR="00325A24" w:rsidRPr="00ED7E26">
        <w:rPr>
          <w:rFonts w:ascii="Book Antiqua" w:eastAsia="Book Antiqua" w:hAnsi="Book Antiqua" w:cs="Book Antiqua"/>
          <w:color w:val="000000"/>
        </w:rPr>
        <w:t>D</w:t>
      </w:r>
      <w:r w:rsidRPr="00ED7E26">
        <w:rPr>
          <w:rFonts w:ascii="Book Antiqua" w:eastAsia="Book Antiqua" w:hAnsi="Book Antiqua" w:cs="Book Antiqua"/>
          <w:color w:val="000000"/>
        </w:rPr>
        <w:t xml:space="preserve">ocetaxel 120 mg </w:t>
      </w:r>
      <w:proofErr w:type="spellStart"/>
      <w:r w:rsidR="00507E40" w:rsidRPr="00ED7E26">
        <w:rPr>
          <w:rFonts w:ascii="Book Antiqua" w:eastAsia="Book Antiqua" w:hAnsi="Book Antiqua" w:cs="Book Antiqua"/>
          <w:color w:val="000000"/>
        </w:rPr>
        <w:t>qd</w:t>
      </w:r>
      <w:proofErr w:type="spellEnd"/>
      <w:r w:rsidRPr="00ED7E26">
        <w:rPr>
          <w:rFonts w:ascii="Book Antiqua" w:eastAsia="Book Antiqua" w:hAnsi="Book Antiqua" w:cs="Book Antiqua"/>
          <w:color w:val="000000"/>
        </w:rPr>
        <w:t xml:space="preserve">, one day; cisplatin 120 mg </w:t>
      </w:r>
      <w:proofErr w:type="spellStart"/>
      <w:r w:rsidR="00507E40" w:rsidRPr="00ED7E26">
        <w:rPr>
          <w:rFonts w:ascii="Book Antiqua" w:eastAsia="Book Antiqua" w:hAnsi="Book Antiqua" w:cs="Book Antiqua"/>
          <w:color w:val="000000"/>
        </w:rPr>
        <w:t>qd</w:t>
      </w:r>
      <w:proofErr w:type="spellEnd"/>
      <w:r w:rsidRPr="00ED7E26">
        <w:rPr>
          <w:rFonts w:ascii="Book Antiqua" w:eastAsia="Book Antiqua" w:hAnsi="Book Antiqua" w:cs="Book Antiqua"/>
          <w:color w:val="000000"/>
        </w:rPr>
        <w:t xml:space="preserve">, one day; </w:t>
      </w:r>
      <w:proofErr w:type="spellStart"/>
      <w:r w:rsidRPr="00ED7E26">
        <w:rPr>
          <w:rFonts w:ascii="Book Antiqua" w:eastAsia="Book Antiqua" w:hAnsi="Book Antiqua" w:cs="Book Antiqua"/>
          <w:color w:val="000000"/>
        </w:rPr>
        <w:t>tigisay</w:t>
      </w:r>
      <w:proofErr w:type="spellEnd"/>
      <w:r w:rsidRPr="00ED7E26">
        <w:rPr>
          <w:rFonts w:ascii="Book Antiqua" w:eastAsia="Book Antiqua" w:hAnsi="Book Antiqua" w:cs="Book Antiqua"/>
          <w:color w:val="000000"/>
        </w:rPr>
        <w:t xml:space="preserve"> 40 mg bid, two weeks; and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240 mg </w:t>
      </w:r>
      <w:proofErr w:type="spellStart"/>
      <w:r w:rsidR="00507E40" w:rsidRPr="00ED7E26">
        <w:rPr>
          <w:rFonts w:ascii="Book Antiqua" w:eastAsia="Book Antiqua" w:hAnsi="Book Antiqua" w:cs="Book Antiqua"/>
          <w:color w:val="000000"/>
        </w:rPr>
        <w:t>qd</w:t>
      </w:r>
      <w:proofErr w:type="spellEnd"/>
      <w:r w:rsidRPr="00ED7E26">
        <w:rPr>
          <w:rFonts w:ascii="Book Antiqua" w:eastAsia="Book Antiqua" w:hAnsi="Book Antiqua" w:cs="Book Antiqua"/>
          <w:color w:val="000000"/>
        </w:rPr>
        <w:t xml:space="preserve"> one day, three weekly. Full blood counts, biochemistry, and thyroid function tests were within normal limits prior to the initiation of therapy.</w:t>
      </w:r>
    </w:p>
    <w:p w14:paraId="33624550" w14:textId="77777777" w:rsidR="004A6FE3" w:rsidRPr="00ED7E26" w:rsidRDefault="004A6FE3" w:rsidP="004A6FE3">
      <w:pPr>
        <w:spacing w:line="360" w:lineRule="auto"/>
        <w:jc w:val="both"/>
        <w:rPr>
          <w:rFonts w:ascii="Book Antiqua" w:hAnsi="Book Antiqua"/>
        </w:rPr>
      </w:pPr>
    </w:p>
    <w:p w14:paraId="5C09EDBF"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Personal and family history</w:t>
      </w:r>
    </w:p>
    <w:p w14:paraId="03F29082"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He had a history of hypertension and cerebral infarction, but there was no past or family history of autoimmune or endocrine disease.</w:t>
      </w:r>
    </w:p>
    <w:p w14:paraId="0B9E6FB8" w14:textId="77777777" w:rsidR="004A6FE3" w:rsidRPr="00ED7E26" w:rsidRDefault="004A6FE3" w:rsidP="004A6FE3">
      <w:pPr>
        <w:spacing w:line="360" w:lineRule="auto"/>
        <w:jc w:val="both"/>
        <w:rPr>
          <w:rFonts w:ascii="Book Antiqua" w:hAnsi="Book Antiqua"/>
        </w:rPr>
      </w:pPr>
    </w:p>
    <w:p w14:paraId="5830AAED"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Physical examination</w:t>
      </w:r>
    </w:p>
    <w:p w14:paraId="5E1A3211" w14:textId="11E6ABE5"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On examination,</w:t>
      </w:r>
      <w:r w:rsidRPr="00ED7E26">
        <w:rPr>
          <w:rFonts w:ascii="Book Antiqua" w:eastAsia="Book Antiqua" w:hAnsi="Book Antiqua" w:cs="Book Antiqua"/>
          <w:b/>
          <w:bCs/>
          <w:color w:val="000000"/>
        </w:rPr>
        <w:t xml:space="preserve"> </w:t>
      </w:r>
      <w:r w:rsidRPr="00ED7E26">
        <w:rPr>
          <w:rFonts w:ascii="Book Antiqua" w:eastAsia="Book Antiqua" w:hAnsi="Book Antiqua" w:cs="Book Antiqua"/>
          <w:color w:val="000000"/>
        </w:rPr>
        <w:t>he was conscious and oriented but looked unwell and was clinically dehydrated. Body temperature was normal. Heart rate was regular at 82 per minute, respiratory rate was 19 per minute with oxygen saturation of 97% on ambient air, and blood pressure was 118/76 mmHg. His body mass index was 20.9 kg/m</w:t>
      </w:r>
      <w:r w:rsidRPr="00ED7E26">
        <w:rPr>
          <w:rFonts w:ascii="Book Antiqua" w:eastAsia="Book Antiqua" w:hAnsi="Book Antiqua" w:cs="Book Antiqua"/>
          <w:color w:val="000000"/>
          <w:vertAlign w:val="superscript"/>
        </w:rPr>
        <w:t xml:space="preserve">2 </w:t>
      </w:r>
      <w:r w:rsidRPr="00ED7E26">
        <w:rPr>
          <w:rFonts w:ascii="Book Antiqua" w:eastAsia="Book Antiqua" w:hAnsi="Book Antiqua" w:cs="Book Antiqua"/>
          <w:color w:val="000000"/>
        </w:rPr>
        <w:t xml:space="preserve">(height 168 cm, weight 59 kg). He had hoarseness of voice and complained of abdominal pain. </w:t>
      </w:r>
      <w:r w:rsidRPr="00ED7E26">
        <w:rPr>
          <w:rFonts w:ascii="Book Antiqua" w:eastAsia="Book Antiqua" w:hAnsi="Book Antiqua" w:cs="Book Antiqua"/>
          <w:color w:val="000000"/>
        </w:rPr>
        <w:lastRenderedPageBreak/>
        <w:t>Abdominal examination revealed tenderness and active bowel sounds. Other systemic examination was unremarkable.</w:t>
      </w:r>
    </w:p>
    <w:p w14:paraId="2DFFAC90" w14:textId="77777777" w:rsidR="004A6FE3" w:rsidRPr="00ED7E26" w:rsidRDefault="004A6FE3" w:rsidP="004A6FE3">
      <w:pPr>
        <w:spacing w:line="360" w:lineRule="auto"/>
        <w:jc w:val="both"/>
        <w:rPr>
          <w:rFonts w:ascii="Book Antiqua" w:hAnsi="Book Antiqua"/>
        </w:rPr>
      </w:pPr>
    </w:p>
    <w:p w14:paraId="448BE9DA"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Laboratory examinations</w:t>
      </w:r>
    </w:p>
    <w:p w14:paraId="46972C5B" w14:textId="195E1DD9"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His blood parameters on admission in the emergency room were: </w:t>
      </w:r>
      <w:r w:rsidR="00325A24" w:rsidRPr="00ED7E26">
        <w:rPr>
          <w:rFonts w:ascii="Book Antiqua" w:eastAsia="Book Antiqua" w:hAnsi="Book Antiqua" w:cs="Book Antiqua"/>
          <w:color w:val="000000"/>
        </w:rPr>
        <w:t>B</w:t>
      </w:r>
      <w:r w:rsidRPr="00ED7E26">
        <w:rPr>
          <w:rFonts w:ascii="Book Antiqua" w:eastAsia="Book Antiqua" w:hAnsi="Book Antiqua" w:cs="Book Antiqua"/>
          <w:color w:val="000000"/>
        </w:rPr>
        <w:t xml:space="preserve">lood glucose 62.09 mmol/L; pH 7.008; urinary ketone body 4+; serum amylase 854 U/L; serum creatinine 207.8 µmol/L; and creatine kinase 343 U/L (Table 1). After following comprehensive treatment, his blood biochemical indicators returned to normal. He was administered multiple daily insulin injections and blood glucose was in an ideal range (Figure 1). Further workup revealed positive </w:t>
      </w:r>
      <w:r w:rsidR="00507E40" w:rsidRPr="00ED7E26">
        <w:rPr>
          <w:rFonts w:ascii="Book Antiqua" w:eastAsia="Book Antiqua" w:hAnsi="Book Antiqua" w:cs="Book Antiqua"/>
          <w:color w:val="000000"/>
        </w:rPr>
        <w:t>glutamic acid decarboxylase antibody</w:t>
      </w:r>
      <w:r w:rsidRPr="00ED7E26">
        <w:rPr>
          <w:rFonts w:ascii="Book Antiqua" w:eastAsia="Book Antiqua" w:hAnsi="Book Antiqua" w:cs="Book Antiqua"/>
          <w:color w:val="000000"/>
        </w:rPr>
        <w:t xml:space="preserve"> insulin autoantibody and low C-peptide level (&lt; 0.01 nmol/L), which was consistent with autoimmune T1DM (Table 2). His glycated hemoglobin (HbA1c) and glycated albumin were 8.3% and 36%, respectively. There were no signs of diabetes-related complications or microangiopathy; the urinary albumin-to-creatinine ratio and fundus retinal examination were all normal. The pituitary function, gonadal function, and adrenal function were within the normal range (Supplementary Table 1). Thyroid function tests showed overt thyrotoxicosis [</w:t>
      </w:r>
      <w:r w:rsidR="000E5206" w:rsidRPr="00ED7E26">
        <w:rPr>
          <w:rFonts w:ascii="Book Antiqua" w:hAnsi="Book Antiqua"/>
          <w:color w:val="131413"/>
        </w:rPr>
        <w:t>Thyroid stimulating hormone</w:t>
      </w:r>
      <w:r w:rsidRPr="00ED7E26">
        <w:rPr>
          <w:rFonts w:ascii="Book Antiqua" w:eastAsia="Book Antiqua" w:hAnsi="Book Antiqua" w:cs="Book Antiqua"/>
          <w:color w:val="000000"/>
        </w:rPr>
        <w:t xml:space="preserve"> &lt; 0.01 </w:t>
      </w:r>
      <w:proofErr w:type="spellStart"/>
      <w:r w:rsidRPr="00ED7E26">
        <w:rPr>
          <w:rFonts w:ascii="Book Antiqua" w:eastAsia="Book Antiqua" w:hAnsi="Book Antiqua" w:cs="Book Antiqua"/>
          <w:color w:val="000000"/>
        </w:rPr>
        <w:t>mU</w:t>
      </w:r>
      <w:proofErr w:type="spellEnd"/>
      <w:r w:rsidRPr="00ED7E26">
        <w:rPr>
          <w:rFonts w:ascii="Book Antiqua" w:eastAsia="Book Antiqua" w:hAnsi="Book Antiqua" w:cs="Book Antiqua"/>
          <w:color w:val="000000"/>
        </w:rPr>
        <w:t xml:space="preserve">/L, FT4 24.1 </w:t>
      </w:r>
      <w:proofErr w:type="spellStart"/>
      <w:r w:rsidRPr="00ED7E26">
        <w:rPr>
          <w:rFonts w:ascii="Book Antiqua" w:eastAsia="Book Antiqua" w:hAnsi="Book Antiqua" w:cs="Book Antiqua"/>
          <w:color w:val="000000"/>
        </w:rPr>
        <w:t>pmol</w:t>
      </w:r>
      <w:proofErr w:type="spellEnd"/>
      <w:r w:rsidRPr="00ED7E26">
        <w:rPr>
          <w:rFonts w:ascii="Book Antiqua" w:eastAsia="Book Antiqua" w:hAnsi="Book Antiqua" w:cs="Book Antiqua"/>
          <w:color w:val="000000"/>
        </w:rPr>
        <w:t xml:space="preserve">/L, FT3 5.27 </w:t>
      </w:r>
      <w:proofErr w:type="spellStart"/>
      <w:r w:rsidRPr="00ED7E26">
        <w:rPr>
          <w:rFonts w:ascii="Book Antiqua" w:eastAsia="Book Antiqua" w:hAnsi="Book Antiqua" w:cs="Book Antiqua"/>
          <w:color w:val="000000"/>
        </w:rPr>
        <w:t>pmol</w:t>
      </w:r>
      <w:proofErr w:type="spellEnd"/>
      <w:r w:rsidRPr="00ED7E26">
        <w:rPr>
          <w:rFonts w:ascii="Book Antiqua" w:eastAsia="Book Antiqua" w:hAnsi="Book Antiqua" w:cs="Book Antiqua"/>
          <w:color w:val="000000"/>
        </w:rPr>
        <w:t xml:space="preserve">/L, </w:t>
      </w:r>
      <w:r w:rsidR="000E5206" w:rsidRPr="00ED7E26">
        <w:rPr>
          <w:rFonts w:ascii="Book Antiqua" w:hAnsi="Book Antiqua"/>
          <w:color w:val="131413"/>
        </w:rPr>
        <w:t>Thyroglobulin</w:t>
      </w:r>
      <w:r w:rsidR="000E5206"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TG</w:t>
      </w:r>
      <w:r w:rsidR="000E5206" w:rsidRPr="00ED7E26">
        <w:rPr>
          <w:rFonts w:ascii="Book Antiqua" w:eastAsia="Book Antiqua" w:hAnsi="Book Antiqua" w:cs="Book Antiqua"/>
          <w:color w:val="000000"/>
        </w:rPr>
        <w:t>)</w:t>
      </w:r>
      <w:r w:rsidRPr="00ED7E26">
        <w:rPr>
          <w:rFonts w:ascii="Book Antiqua" w:eastAsia="Book Antiqua" w:hAnsi="Book Antiqua" w:cs="Book Antiqua"/>
          <w:color w:val="000000"/>
        </w:rPr>
        <w:t>-Ab &gt; 1000 IU/mL, TG-Ab 226.08 IU/mL, normal thyrotropin receptor antibody (</w:t>
      </w:r>
      <w:proofErr w:type="spellStart"/>
      <w:r w:rsidRPr="00ED7E26">
        <w:rPr>
          <w:rFonts w:ascii="Book Antiqua" w:eastAsia="Book Antiqua" w:hAnsi="Book Antiqua" w:cs="Book Antiqua"/>
          <w:color w:val="000000"/>
        </w:rPr>
        <w:t>TRAb</w:t>
      </w:r>
      <w:proofErr w:type="spellEnd"/>
      <w:r w:rsidRPr="00ED7E26">
        <w:rPr>
          <w:rFonts w:ascii="Book Antiqua" w:eastAsia="Book Antiqua" w:hAnsi="Book Antiqua" w:cs="Book Antiqua"/>
          <w:color w:val="000000"/>
        </w:rPr>
        <w:t xml:space="preserve">)] but there were no symptoms of hyperthyroidism. The clinical picture was consistent with thyroiditis, deemed to be an </w:t>
      </w:r>
      <w:proofErr w:type="spellStart"/>
      <w:r w:rsidRPr="00ED7E26">
        <w:rPr>
          <w:rFonts w:ascii="Book Antiqua" w:eastAsia="Book Antiqua" w:hAnsi="Book Antiqua" w:cs="Book Antiqua"/>
          <w:color w:val="000000"/>
        </w:rPr>
        <w:t>irAE</w:t>
      </w:r>
      <w:proofErr w:type="spellEnd"/>
      <w:r w:rsidRPr="00ED7E26">
        <w:rPr>
          <w:rFonts w:ascii="Book Antiqua" w:eastAsia="Book Antiqua" w:hAnsi="Book Antiqua" w:cs="Book Antiqua"/>
          <w:color w:val="000000"/>
        </w:rPr>
        <w:t xml:space="preserve"> related to the medication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(Table 3).</w:t>
      </w:r>
    </w:p>
    <w:p w14:paraId="308D88EF" w14:textId="77777777" w:rsidR="004A6FE3" w:rsidRPr="00ED7E26" w:rsidRDefault="004A6FE3" w:rsidP="004A6FE3">
      <w:pPr>
        <w:spacing w:line="360" w:lineRule="auto"/>
        <w:jc w:val="both"/>
        <w:rPr>
          <w:rFonts w:ascii="Book Antiqua" w:hAnsi="Book Antiqua"/>
        </w:rPr>
      </w:pPr>
    </w:p>
    <w:p w14:paraId="40CB058D"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i/>
          <w:color w:val="000000"/>
        </w:rPr>
        <w:t>Imaging examinations</w:t>
      </w:r>
    </w:p>
    <w:p w14:paraId="47A0CC10" w14:textId="50FECA0B"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Owing to the recovery of biochemical indices, the persistent abdominal pain could not be attributed to DKA; therefore, the possibility of ICI-related gastrointestinal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 xml:space="preserve"> was considered. Moreover, due to persistent positive stool occult blood and mildly elevated CRP, endoscopy and imaging (electronic colonoscopy) were performed to directly visualize and inspect the bowel lumen. There were no remarkable findings apart from a single colon polyp (Figure 2A), which could not explain the abdominal pain, CRP and </w:t>
      </w:r>
      <w:r w:rsidRPr="00ED7E26">
        <w:rPr>
          <w:rFonts w:ascii="Book Antiqua" w:eastAsia="Book Antiqua" w:hAnsi="Book Antiqua" w:cs="Book Antiqua"/>
          <w:color w:val="000000"/>
        </w:rPr>
        <w:lastRenderedPageBreak/>
        <w:t xml:space="preserve">hematochezia. Consequently, abdominal CT-scan was performed which showed blurring and thickened of the wall of distal ileum which was presumed to be inflammatory (Figure 2B). He was scheduled for </w:t>
      </w:r>
      <w:proofErr w:type="spellStart"/>
      <w:r w:rsidRPr="00ED7E26">
        <w:rPr>
          <w:rFonts w:ascii="Book Antiqua" w:eastAsia="Book Antiqua" w:hAnsi="Book Antiqua" w:cs="Book Antiqua"/>
          <w:color w:val="000000"/>
        </w:rPr>
        <w:t>enteroscopy</w:t>
      </w:r>
      <w:proofErr w:type="spellEnd"/>
      <w:r w:rsidRPr="00ED7E26">
        <w:rPr>
          <w:rFonts w:ascii="Book Antiqua" w:eastAsia="Book Antiqua" w:hAnsi="Book Antiqua" w:cs="Book Antiqua"/>
          <w:color w:val="000000"/>
        </w:rPr>
        <w:t>. Unfortunately, one month later, he had to undergo surgical treatment for intestinal obstruction (abdominal pain and distension, no passage of feces or flatus). The resected terminal ileum (about 5</w:t>
      </w:r>
      <w:r w:rsidR="00325A24"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cm) was sent for pathological examination, and there was transmural inflammation at the stenosis of intestinal canal. Postoperative histopathological staining showed extensive infiltration of lymphocytes, plasma cells, and neutrophils, along with simple ulcers in the affected bowel loops. There was destruction of crypt structure along with atrophy of intestinal villi in surrounding bowel loops and no lesion in upper or lower intestine, immunohistochemistry: CD3 (+), CD4 (+), CD5 (+), CD8 (+),</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CD10 (+++),</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CD79a (+++), MUM1 (+++), ki-67 (20%+), in situ hybridization: EBER (+), all of which were consistent with inflammatory bowel disease (IBD), especially CD (Figure 3).</w:t>
      </w:r>
    </w:p>
    <w:p w14:paraId="7EC1537B" w14:textId="77777777" w:rsidR="004A6FE3" w:rsidRPr="00ED7E26" w:rsidRDefault="004A6FE3" w:rsidP="004A6FE3">
      <w:pPr>
        <w:spacing w:line="360" w:lineRule="auto"/>
        <w:jc w:val="both"/>
        <w:rPr>
          <w:rFonts w:ascii="Book Antiqua" w:hAnsi="Book Antiqua"/>
        </w:rPr>
      </w:pPr>
    </w:p>
    <w:p w14:paraId="59AC956F"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FINAL DIAGNOSIS</w:t>
      </w:r>
    </w:p>
    <w:p w14:paraId="4CEDB7FD"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The patient was diagnosed with APS 2 and CD.</w:t>
      </w:r>
    </w:p>
    <w:p w14:paraId="56B837A1" w14:textId="77777777" w:rsidR="004A6FE3" w:rsidRPr="00ED7E26" w:rsidRDefault="004A6FE3" w:rsidP="004A6FE3">
      <w:pPr>
        <w:spacing w:line="360" w:lineRule="auto"/>
        <w:jc w:val="both"/>
        <w:rPr>
          <w:rFonts w:ascii="Book Antiqua" w:hAnsi="Book Antiqua"/>
        </w:rPr>
      </w:pPr>
    </w:p>
    <w:p w14:paraId="743B09B4"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TREATMENT</w:t>
      </w:r>
    </w:p>
    <w:p w14:paraId="17F04603" w14:textId="0C327194"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Postoperatively, his blood glucose was difficult to control, then he was suggested to use immune modulators such as methotrexate or biological agents such as adalimumab for his CD, according to the serious adverse reactions induced by earlier treatment of nasopharyngeal carcinoma, he refused these medications. At last, he was administered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4</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 xml:space="preserve">g/d. The patient was discharged on oral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sustained-release granules with a dosage of 1 g quarter</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in</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 xml:space="preserve">die for 8 </w:t>
      </w:r>
      <w:proofErr w:type="spellStart"/>
      <w:r w:rsidRPr="00ED7E26">
        <w:rPr>
          <w:rFonts w:ascii="Book Antiqua" w:eastAsia="Book Antiqua" w:hAnsi="Book Antiqua" w:cs="Book Antiqua"/>
          <w:color w:val="000000"/>
        </w:rPr>
        <w:t>wk</w:t>
      </w:r>
      <w:proofErr w:type="spellEnd"/>
      <w:r w:rsidRPr="00ED7E26">
        <w:rPr>
          <w:rFonts w:ascii="Book Antiqua" w:eastAsia="Book Antiqua" w:hAnsi="Book Antiqua" w:cs="Book Antiqua"/>
          <w:color w:val="000000"/>
        </w:rPr>
        <w:t xml:space="preserve"> and then maintained at 1</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g</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 xml:space="preserve">twice daily and daily insulin dosage of 36-42 IU administered </w:t>
      </w:r>
      <w:r w:rsidRPr="00ED7E26">
        <w:rPr>
          <w:rFonts w:ascii="Book Antiqua" w:eastAsia="Book Antiqua" w:hAnsi="Book Antiqua" w:cs="Book Antiqua"/>
          <w:i/>
          <w:iCs/>
          <w:color w:val="000000"/>
        </w:rPr>
        <w:t>via</w:t>
      </w:r>
      <w:r w:rsidRPr="00ED7E26">
        <w:rPr>
          <w:rFonts w:ascii="Book Antiqua" w:eastAsia="Book Antiqua" w:hAnsi="Book Antiqua" w:cs="Book Antiqua"/>
          <w:color w:val="000000"/>
        </w:rPr>
        <w:t xml:space="preserve"> four injections per day.</w:t>
      </w:r>
    </w:p>
    <w:p w14:paraId="77BAB23C" w14:textId="77777777" w:rsidR="004A6FE3" w:rsidRPr="00ED7E26" w:rsidRDefault="004A6FE3" w:rsidP="004A6FE3">
      <w:pPr>
        <w:spacing w:line="360" w:lineRule="auto"/>
        <w:jc w:val="both"/>
        <w:rPr>
          <w:rFonts w:ascii="Book Antiqua" w:hAnsi="Book Antiqua"/>
        </w:rPr>
      </w:pPr>
    </w:p>
    <w:p w14:paraId="50549D22"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OUTCOME AND FOLLOW-UP</w:t>
      </w:r>
    </w:p>
    <w:p w14:paraId="591D0C93" w14:textId="30853B1D"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After about two weeks of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treatment, there was complete remission of abdominal pain and the stool occult blood test was negative. Three months after </w:t>
      </w:r>
      <w:r w:rsidRPr="00ED7E26">
        <w:rPr>
          <w:rFonts w:ascii="Book Antiqua" w:eastAsia="Book Antiqua" w:hAnsi="Book Antiqua" w:cs="Book Antiqua"/>
          <w:color w:val="000000"/>
        </w:rPr>
        <w:lastRenderedPageBreak/>
        <w:t xml:space="preserve">withdrawal of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his thyroid hormone levels had returned to normal (Table 3). He received more than 20 sessions of local radiotherapy (nasopharyngeal) and cisplatin chemotherapy after his discharge from </w:t>
      </w:r>
      <w:proofErr w:type="spellStart"/>
      <w:r w:rsidRPr="00ED7E26">
        <w:rPr>
          <w:rFonts w:ascii="Book Antiqua" w:eastAsia="Book Antiqua" w:hAnsi="Book Antiqua" w:cs="Book Antiqua"/>
          <w:color w:val="000000"/>
        </w:rPr>
        <w:t>Shougang</w:t>
      </w:r>
      <w:proofErr w:type="spellEnd"/>
      <w:r w:rsidRPr="00ED7E26">
        <w:rPr>
          <w:rFonts w:ascii="Book Antiqua" w:eastAsia="Book Antiqua" w:hAnsi="Book Antiqua" w:cs="Book Antiqua"/>
          <w:color w:val="000000"/>
        </w:rPr>
        <w:t xml:space="preserve"> Hospital. In the first one-year follow-up, he showed good recovery with disappearance of hoarseness of voice and nasopharyngeal carcinoma. He was taking </w:t>
      </w:r>
      <w:proofErr w:type="spellStart"/>
      <w:r w:rsidRPr="00ED7E26">
        <w:rPr>
          <w:rFonts w:ascii="Book Antiqua" w:eastAsia="Book Antiqua" w:hAnsi="Book Antiqua" w:cs="Book Antiqua"/>
          <w:color w:val="000000"/>
        </w:rPr>
        <w:t>mesalazine</w:t>
      </w:r>
      <w:proofErr w:type="spellEnd"/>
      <w:r w:rsidRPr="00ED7E26">
        <w:rPr>
          <w:rFonts w:ascii="Book Antiqua" w:eastAsia="Book Antiqua" w:hAnsi="Book Antiqua" w:cs="Book Antiqua"/>
          <w:color w:val="000000"/>
        </w:rPr>
        <w:t xml:space="preserve"> and insulin intensive therapy, with CRP of 6.73</w:t>
      </w:r>
      <w:r w:rsidR="000D0133"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mg/L, negative stool occult blood and HbA1c of 7.8%.</w:t>
      </w:r>
    </w:p>
    <w:p w14:paraId="4A783A78" w14:textId="77777777" w:rsidR="004A6FE3" w:rsidRPr="00ED7E26" w:rsidRDefault="004A6FE3" w:rsidP="004A6FE3">
      <w:pPr>
        <w:spacing w:line="360" w:lineRule="auto"/>
        <w:jc w:val="both"/>
        <w:rPr>
          <w:rFonts w:ascii="Book Antiqua" w:hAnsi="Book Antiqua"/>
        </w:rPr>
      </w:pPr>
    </w:p>
    <w:p w14:paraId="0167E9FC"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DISCUSSION</w:t>
      </w:r>
    </w:p>
    <w:p w14:paraId="22714650" w14:textId="56302E35" w:rsidR="004A6FE3" w:rsidRPr="00ED7E26" w:rsidRDefault="004A6FE3" w:rsidP="000E5206">
      <w:pPr>
        <w:spacing w:line="360" w:lineRule="auto"/>
        <w:jc w:val="both"/>
        <w:rPr>
          <w:rFonts w:ascii="Book Antiqua" w:hAnsi="Book Antiqua"/>
        </w:rPr>
      </w:pPr>
      <w:r w:rsidRPr="00ED7E26">
        <w:rPr>
          <w:rFonts w:ascii="Book Antiqua" w:eastAsia="Book Antiqua" w:hAnsi="Book Antiqua" w:cs="Book Antiqua"/>
          <w:color w:val="000000"/>
        </w:rPr>
        <w:t xml:space="preserve">Our patient developed low C-peptide level and modestly elevated HbA1c with positive T1DM auto-antibody two weeks after initiation of PDL1 antibody therapy pointing to acute, rapid destruction of </w:t>
      </w:r>
      <w:r w:rsidR="00D35250" w:rsidRPr="00ED7E26">
        <w:rPr>
          <w:rFonts w:ascii="Book Antiqua" w:eastAsia="Book Antiqua" w:hAnsi="Book Antiqua" w:cs="Book Antiqua"/>
          <w:color w:val="000000"/>
        </w:rPr>
        <w:sym w:font="Symbol" w:char="F062"/>
      </w:r>
      <w:r w:rsidRPr="00ED7E26">
        <w:rPr>
          <w:rFonts w:ascii="Book Antiqua" w:eastAsia="Book Antiqua" w:hAnsi="Book Antiqua" w:cs="Book Antiqua"/>
          <w:color w:val="000000"/>
        </w:rPr>
        <w:t>-islets in pancreas. Increased amylase level indicated damage to the pancreatic exocrine gland. After admission, he was found to have thyroiditis and thyrotoxicosis. In addition, the increase in creatine kinase level was</w:t>
      </w:r>
      <w:r w:rsidR="000E5206" w:rsidRPr="00ED7E26">
        <w:rPr>
          <w:rFonts w:ascii="Book Antiqua" w:eastAsia="Book Antiqua" w:hAnsi="Book Antiqua" w:cs="Book Antiqua"/>
          <w:color w:val="000000"/>
        </w:rPr>
        <w:t xml:space="preserve"> </w:t>
      </w:r>
      <w:r w:rsidRPr="00ED7E26">
        <w:rPr>
          <w:rFonts w:ascii="Book Antiqua" w:eastAsia="Book Antiqua" w:hAnsi="Book Antiqua" w:cs="Book Antiqua"/>
          <w:color w:val="000000"/>
        </w:rPr>
        <w:t xml:space="preserve">suggestive the possibility of rheumatic immune system damage. During following treatment, the patient developed IBD, especially CD. The overall clinical picture was suggestive of multi-system damage caused by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To the best of our knowledge, this is the first reported case of concurrent atypical APS-2 (including T1DM and thyrotoxicosis) and CD in a patient on immunotherapy for metastatic nasopharyngeal carcinoma.</w:t>
      </w:r>
    </w:p>
    <w:p w14:paraId="6EA32B29" w14:textId="3615293C"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t xml:space="preserve">The discovery of Checkpoint inhibitors has changed the landscape of cancer therapeutics. With the growing use of ICIs, the frequency of autoimmune complications has become increasingly apparent. The most common ICI-associated endocrinopathies are thyroid disorders and </w:t>
      </w:r>
      <w:proofErr w:type="spellStart"/>
      <w:r w:rsidRPr="00ED7E26">
        <w:rPr>
          <w:rFonts w:ascii="Book Antiqua" w:eastAsia="Book Antiqua" w:hAnsi="Book Antiqua" w:cs="Book Antiqua"/>
          <w:color w:val="000000"/>
        </w:rPr>
        <w:t>hypophysitis</w:t>
      </w:r>
      <w:proofErr w:type="spellEnd"/>
      <w:r w:rsidRPr="00ED7E26">
        <w:rPr>
          <w:rFonts w:ascii="Book Antiqua" w:eastAsia="Book Antiqua" w:hAnsi="Book Antiqua" w:cs="Book Antiqua"/>
          <w:color w:val="000000"/>
          <w:vertAlign w:val="superscript"/>
        </w:rPr>
        <w:t>[7]</w:t>
      </w:r>
      <w:r w:rsidRPr="00ED7E26">
        <w:rPr>
          <w:rFonts w:ascii="Book Antiqua" w:eastAsia="Book Antiqua" w:hAnsi="Book Antiqua" w:cs="Book Antiqua"/>
          <w:color w:val="000000"/>
        </w:rPr>
        <w:t xml:space="preserve">, but </w:t>
      </w:r>
      <w:proofErr w:type="spellStart"/>
      <w:r w:rsidRPr="00ED7E26">
        <w:rPr>
          <w:rFonts w:ascii="Book Antiqua" w:eastAsia="Book Antiqua" w:hAnsi="Book Antiqua" w:cs="Book Antiqua"/>
          <w:color w:val="000000"/>
        </w:rPr>
        <w:t>hypophysitis</w:t>
      </w:r>
      <w:proofErr w:type="spellEnd"/>
      <w:r w:rsidRPr="00ED7E26">
        <w:rPr>
          <w:rFonts w:ascii="Book Antiqua" w:eastAsia="Book Antiqua" w:hAnsi="Book Antiqua" w:cs="Book Antiqua"/>
          <w:color w:val="000000"/>
        </w:rPr>
        <w:t xml:space="preserve"> is nearly unique to patients receiving CTLA-4, which occurs more often (5</w:t>
      </w:r>
      <w:r w:rsidR="000E5206" w:rsidRPr="00ED7E26">
        <w:rPr>
          <w:rFonts w:ascii="Book Antiqua" w:eastAsia="Book Antiqua" w:hAnsi="Book Antiqua" w:cs="Book Antiqua"/>
          <w:color w:val="000000"/>
        </w:rPr>
        <w:t>%</w:t>
      </w:r>
      <w:r w:rsidRPr="00ED7E26">
        <w:rPr>
          <w:rFonts w:ascii="Book Antiqua" w:eastAsia="Book Antiqua" w:hAnsi="Book Antiqua" w:cs="Book Antiqua"/>
          <w:color w:val="000000"/>
        </w:rPr>
        <w:t xml:space="preserve">–10%) and with an earlier onset (median 9–12 </w:t>
      </w:r>
      <w:proofErr w:type="spellStart"/>
      <w:r w:rsidRPr="00ED7E26">
        <w:rPr>
          <w:rFonts w:ascii="Book Antiqua" w:eastAsia="Book Antiqua" w:hAnsi="Book Antiqua" w:cs="Book Antiqua"/>
          <w:color w:val="000000"/>
        </w:rPr>
        <w:t>wk</w:t>
      </w:r>
      <w:proofErr w:type="spellEnd"/>
      <w:r w:rsidRPr="00ED7E26">
        <w:rPr>
          <w:rFonts w:ascii="Book Antiqua" w:eastAsia="Book Antiqua" w:hAnsi="Book Antiqua" w:cs="Book Antiqua"/>
          <w:color w:val="000000"/>
        </w:rPr>
        <w:t>) in patients receiving ipilimumab-based regimens compared to those receiving anti-PD1/PD-L1 antibodies</w:t>
      </w:r>
      <w:r w:rsidRPr="00ED7E26">
        <w:rPr>
          <w:rFonts w:ascii="Book Antiqua" w:eastAsia="Book Antiqua" w:hAnsi="Book Antiqua" w:cs="Book Antiqua"/>
          <w:color w:val="000000"/>
          <w:vertAlign w:val="superscript"/>
        </w:rPr>
        <w:t>[8]</w:t>
      </w:r>
      <w:r w:rsidRPr="00ED7E26">
        <w:rPr>
          <w:rFonts w:ascii="Book Antiqua" w:eastAsia="Book Antiqua" w:hAnsi="Book Antiqua" w:cs="Book Antiqua"/>
          <w:color w:val="000000"/>
        </w:rPr>
        <w:t>. ICI-induced T1DM is uncommon, with a reported frequency ranging from 0.2% in randomized clinical studies</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shd w:val="clear" w:color="auto" w:fill="FFFFFF"/>
          <w:vertAlign w:val="superscript"/>
        </w:rPr>
        <w:t>9</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rPr>
        <w:t xml:space="preserve"> to 1.27% in real-life setting</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shd w:val="clear" w:color="auto" w:fill="FFFFFF"/>
          <w:vertAlign w:val="superscript"/>
        </w:rPr>
        <w:t>5</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rPr>
        <w:t xml:space="preserve">. Primary adrenal insufficiency is less common, albeit with a similar presentation with </w:t>
      </w:r>
      <w:proofErr w:type="spellStart"/>
      <w:r w:rsidRPr="00ED7E26">
        <w:rPr>
          <w:rFonts w:ascii="Book Antiqua" w:eastAsia="Book Antiqua" w:hAnsi="Book Antiqua" w:cs="Book Antiqua"/>
          <w:color w:val="000000"/>
        </w:rPr>
        <w:t>hypophysitis</w:t>
      </w:r>
      <w:proofErr w:type="spellEnd"/>
      <w:r w:rsidRPr="00ED7E26">
        <w:rPr>
          <w:rFonts w:ascii="Book Antiqua" w:eastAsia="Book Antiqua" w:hAnsi="Book Antiqua" w:cs="Book Antiqua"/>
          <w:color w:val="000000"/>
        </w:rPr>
        <w:t>, although this endocrinopathy may also involve mineralocorticoid deficiency and present with hypotension</w:t>
      </w:r>
      <w:r w:rsidRPr="00ED7E26">
        <w:rPr>
          <w:rFonts w:ascii="Book Antiqua" w:eastAsia="Book Antiqua" w:hAnsi="Book Antiqua" w:cs="Book Antiqua"/>
          <w:color w:val="000000"/>
          <w:vertAlign w:val="superscript"/>
        </w:rPr>
        <w:t>[10]</w:t>
      </w:r>
      <w:r w:rsidRPr="00ED7E26">
        <w:rPr>
          <w:rFonts w:ascii="Book Antiqua" w:eastAsia="Book Antiqua" w:hAnsi="Book Antiqua" w:cs="Book Antiqua"/>
          <w:color w:val="000000"/>
        </w:rPr>
        <w:t>.</w:t>
      </w:r>
    </w:p>
    <w:p w14:paraId="04BBC004" w14:textId="77777777"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lastRenderedPageBreak/>
        <w:t xml:space="preserve">There are two definitions of APS-2, with some defining it as occurrence of any two of the three conditions, </w:t>
      </w:r>
      <w:r w:rsidRPr="00ED7E26">
        <w:rPr>
          <w:rFonts w:ascii="Book Antiqua" w:eastAsia="Book Antiqua" w:hAnsi="Book Antiqua" w:cs="Book Antiqua"/>
          <w:i/>
          <w:iCs/>
          <w:color w:val="000000"/>
        </w:rPr>
        <w:t>i.e.</w:t>
      </w:r>
      <w:r w:rsidRPr="00ED7E26">
        <w:rPr>
          <w:rFonts w:ascii="Book Antiqua" w:eastAsia="Book Antiqua" w:hAnsi="Book Antiqua" w:cs="Book Antiqua"/>
          <w:color w:val="000000"/>
        </w:rPr>
        <w:t>, T1DM, autoimmune thyroiditis, and primary hypoadrenalism, while others specify that hypoadrenalism must exist, with at least one of the other two conditions. Spontaneous APS-2 is very rare, and anti-PD1/PDL1 antibodies-induced APS-2 has occasionally been reported. Out of the 14 cases reported in literature, three cases experienced primary hypoadrenalism and only one had all three features of APS-2</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shd w:val="clear" w:color="auto" w:fill="FFFFFF"/>
          <w:vertAlign w:val="superscript"/>
        </w:rPr>
        <w:t>6</w:t>
      </w:r>
      <w:r w:rsidRPr="00ED7E26">
        <w:rPr>
          <w:rFonts w:ascii="Book Antiqua" w:eastAsia="Book Antiqua" w:hAnsi="Book Antiqua" w:cs="Book Antiqua"/>
          <w:color w:val="000000"/>
          <w:vertAlign w:val="superscript"/>
        </w:rPr>
        <w:t>]</w:t>
      </w:r>
      <w:r w:rsidRPr="00ED7E26">
        <w:rPr>
          <w:rFonts w:ascii="Book Antiqua" w:eastAsia="Book Antiqua" w:hAnsi="Book Antiqua" w:cs="Book Antiqua"/>
          <w:color w:val="000000"/>
        </w:rPr>
        <w:t>. Our case only presented T1DM and autoimmune thyroiditis, and his adrenocortical function needs further observation.</w:t>
      </w:r>
    </w:p>
    <w:p w14:paraId="31C21BEA" w14:textId="77777777"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t xml:space="preserve">Regarding gastrointestinal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 colitis occurs in up to 5% of patients receiving anti-PD-1/PD-L1 antibodies, and generally presents as diarrhea and less often as abdominal pain and hematochezia</w:t>
      </w:r>
      <w:r w:rsidRPr="00ED7E26">
        <w:rPr>
          <w:rFonts w:ascii="Book Antiqua" w:eastAsia="Book Antiqua" w:hAnsi="Book Antiqua" w:cs="Book Antiqua"/>
          <w:color w:val="000000"/>
          <w:vertAlign w:val="superscript"/>
        </w:rPr>
        <w:t>[11,12]</w:t>
      </w:r>
      <w:r w:rsidRPr="00ED7E26">
        <w:rPr>
          <w:rFonts w:ascii="Book Antiqua" w:eastAsia="Book Antiqua" w:hAnsi="Book Antiqua" w:cs="Book Antiqua"/>
          <w:color w:val="000000"/>
        </w:rPr>
        <w:t xml:space="preserve">. In addition, these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-related chronic sequelae can also affect the rheumatological, pulmonary, neurological, and other organ systems</w:t>
      </w:r>
      <w:r w:rsidRPr="00ED7E26">
        <w:rPr>
          <w:rFonts w:ascii="Book Antiqua" w:eastAsia="Book Antiqua" w:hAnsi="Book Antiqua" w:cs="Book Antiqua"/>
          <w:color w:val="000000"/>
          <w:vertAlign w:val="superscript"/>
        </w:rPr>
        <w:t>[6]</w:t>
      </w:r>
      <w:r w:rsidRPr="00ED7E26">
        <w:rPr>
          <w:rFonts w:ascii="Book Antiqua" w:eastAsia="Book Antiqua" w:hAnsi="Book Antiqua" w:cs="Book Antiqua"/>
          <w:color w:val="000000"/>
        </w:rPr>
        <w:t>. These damages typically occur in one system and do not involve several systems at the same time. In our case, the damage involved the endocrine system and gastrointestinal system including T1DM, thyroiditis, and CD.</w:t>
      </w:r>
    </w:p>
    <w:p w14:paraId="7EB5BE44" w14:textId="77777777" w:rsidR="004A6FE3" w:rsidRPr="00ED7E26" w:rsidRDefault="004A6FE3" w:rsidP="004A6FE3">
      <w:pPr>
        <w:spacing w:line="360" w:lineRule="auto"/>
        <w:ind w:firstLine="480"/>
        <w:jc w:val="both"/>
        <w:rPr>
          <w:rFonts w:ascii="Book Antiqua" w:hAnsi="Book Antiqua"/>
        </w:rPr>
      </w:pPr>
      <w:r w:rsidRPr="00ED7E26">
        <w:rPr>
          <w:rFonts w:ascii="Book Antiqua" w:eastAsia="Book Antiqua" w:hAnsi="Book Antiqua" w:cs="Book Antiqua"/>
          <w:color w:val="000000"/>
        </w:rPr>
        <w:t xml:space="preserve">Abdominal pain was the chief complaint of our patient during treatment and the pain did not correlate with the severity of hyperglycemia. While DKA was cured, abdominal pain persisted. The pain aggravated after meals and was associated with increased CRP and positive occult blood in stool. These symptoms were suspicious of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-induced gastrointestinal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 xml:space="preserve">, especially IBD. However, no obvious lesions were observed on colonoscopy. Abdominal CT showed edema and thickening of small intestinal wall, and the subsequent pathological examination of the small intestine was consistent with CD, which made the case </w:t>
      </w:r>
      <w:r w:rsidRPr="00ED7E26">
        <w:rPr>
          <w:rFonts w:ascii="Book Antiqua" w:eastAsia="Book Antiqua" w:hAnsi="Book Antiqua" w:cs="Book Antiqua"/>
          <w:color w:val="000000"/>
          <w:shd w:val="clear" w:color="auto" w:fill="FFFFFF"/>
        </w:rPr>
        <w:t>unique</w:t>
      </w:r>
      <w:r w:rsidRPr="00ED7E26">
        <w:rPr>
          <w:rFonts w:ascii="Book Antiqua" w:eastAsia="Book Antiqua" w:hAnsi="Book Antiqua" w:cs="Book Antiqua"/>
          <w:color w:val="000000"/>
        </w:rPr>
        <w:t>.</w:t>
      </w:r>
    </w:p>
    <w:p w14:paraId="1D5123E0" w14:textId="77777777" w:rsidR="004A6FE3" w:rsidRPr="00ED7E26" w:rsidRDefault="004A6FE3" w:rsidP="004A6FE3">
      <w:pPr>
        <w:spacing w:line="360" w:lineRule="auto"/>
        <w:ind w:firstLine="480"/>
        <w:jc w:val="both"/>
        <w:rPr>
          <w:rFonts w:ascii="Book Antiqua" w:hAnsi="Book Antiqua"/>
        </w:rPr>
      </w:pPr>
    </w:p>
    <w:p w14:paraId="4CDA14E0"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b/>
          <w:caps/>
          <w:color w:val="000000"/>
          <w:u w:val="single"/>
        </w:rPr>
        <w:t>CONCLUSION</w:t>
      </w:r>
    </w:p>
    <w:p w14:paraId="655FC0AC" w14:textId="77777777" w:rsidR="004A6FE3" w:rsidRPr="00ED7E26" w:rsidRDefault="004A6FE3" w:rsidP="004A6FE3">
      <w:pPr>
        <w:spacing w:line="360" w:lineRule="auto"/>
        <w:jc w:val="both"/>
        <w:rPr>
          <w:rFonts w:ascii="Book Antiqua" w:hAnsi="Book Antiqua"/>
        </w:rPr>
      </w:pPr>
      <w:r w:rsidRPr="00ED7E26">
        <w:rPr>
          <w:rFonts w:ascii="Book Antiqua" w:eastAsia="Book Antiqua" w:hAnsi="Book Antiqua" w:cs="Book Antiqua"/>
          <w:color w:val="000000"/>
        </w:rPr>
        <w:t xml:space="preserve">In conclusion, our patient had a few </w:t>
      </w:r>
      <w:proofErr w:type="spellStart"/>
      <w:r w:rsidRPr="00ED7E26">
        <w:rPr>
          <w:rFonts w:ascii="Book Antiqua" w:eastAsia="Book Antiqua" w:hAnsi="Book Antiqua" w:cs="Book Antiqua"/>
          <w:color w:val="000000"/>
        </w:rPr>
        <w:t>irAEs</w:t>
      </w:r>
      <w:proofErr w:type="spellEnd"/>
      <w:r w:rsidRPr="00ED7E26">
        <w:rPr>
          <w:rFonts w:ascii="Book Antiqua" w:eastAsia="Book Antiqua" w:hAnsi="Book Antiqua" w:cs="Book Antiqua"/>
          <w:color w:val="000000"/>
        </w:rPr>
        <w:t xml:space="preserve"> associated with PDL1 antibody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treatment, especially APS-2 and CD. To the best of our knowledge, this is the first reported case of multi-organ damage associated with </w:t>
      </w:r>
      <w:proofErr w:type="spellStart"/>
      <w:r w:rsidRPr="00ED7E26">
        <w:rPr>
          <w:rFonts w:ascii="Book Antiqua" w:eastAsia="Book Antiqua" w:hAnsi="Book Antiqua" w:cs="Book Antiqua"/>
          <w:color w:val="000000"/>
        </w:rPr>
        <w:t>teriprizumab</w:t>
      </w:r>
      <w:proofErr w:type="spellEnd"/>
      <w:r w:rsidRPr="00ED7E26">
        <w:rPr>
          <w:rFonts w:ascii="Book Antiqua" w:eastAsia="Book Antiqua" w:hAnsi="Book Antiqua" w:cs="Book Antiqua"/>
          <w:color w:val="000000"/>
        </w:rPr>
        <w:t xml:space="preserve">. Physicians should be aware of the chronic immune toxicities and the long-term implications of </w:t>
      </w:r>
      <w:r w:rsidRPr="00ED7E26">
        <w:rPr>
          <w:rFonts w:ascii="Book Antiqua" w:eastAsia="Book Antiqua" w:hAnsi="Book Antiqua" w:cs="Book Antiqua"/>
          <w:color w:val="000000"/>
        </w:rPr>
        <w:lastRenderedPageBreak/>
        <w:t>immunotherapy for cancer; especially, when clinical symptoms are not explained by a single disease, the possibility of multisystem damage should be considered.</w:t>
      </w:r>
    </w:p>
    <w:p w14:paraId="256F6485" w14:textId="77777777" w:rsidR="004A6FE3" w:rsidRPr="00ED7E26" w:rsidRDefault="004A6FE3" w:rsidP="004A6FE3"/>
    <w:p w14:paraId="32D25D97"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REFERENCES</w:t>
      </w:r>
    </w:p>
    <w:p w14:paraId="0B4B08A5"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1 </w:t>
      </w:r>
      <w:r w:rsidRPr="00ED7E26">
        <w:rPr>
          <w:rFonts w:ascii="Book Antiqua" w:hAnsi="Book Antiqua"/>
          <w:b/>
          <w:bCs/>
        </w:rPr>
        <w:t>Spain L</w:t>
      </w:r>
      <w:r w:rsidRPr="00ED7E26">
        <w:rPr>
          <w:rFonts w:ascii="Book Antiqua" w:hAnsi="Book Antiqua"/>
        </w:rPr>
        <w:t xml:space="preserve">, Diem S, Larkin J. Management of toxicities of immune checkpoint inhibitors. </w:t>
      </w:r>
      <w:r w:rsidRPr="00ED7E26">
        <w:rPr>
          <w:rFonts w:ascii="Book Antiqua" w:hAnsi="Book Antiqua"/>
          <w:i/>
          <w:iCs/>
        </w:rPr>
        <w:t>Cancer Treat Rev</w:t>
      </w:r>
      <w:r w:rsidRPr="00ED7E26">
        <w:rPr>
          <w:rFonts w:ascii="Book Antiqua" w:hAnsi="Book Antiqua"/>
        </w:rPr>
        <w:t xml:space="preserve"> 2016; </w:t>
      </w:r>
      <w:r w:rsidRPr="00ED7E26">
        <w:rPr>
          <w:rFonts w:ascii="Book Antiqua" w:hAnsi="Book Antiqua"/>
          <w:b/>
          <w:bCs/>
        </w:rPr>
        <w:t>44</w:t>
      </w:r>
      <w:r w:rsidRPr="00ED7E26">
        <w:rPr>
          <w:rFonts w:ascii="Book Antiqua" w:hAnsi="Book Antiqua"/>
        </w:rPr>
        <w:t>: 51-60 [PMID: 26874776 DOI: 10.1016/j.ctrv.2016.02.001]</w:t>
      </w:r>
    </w:p>
    <w:p w14:paraId="58976274"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2 </w:t>
      </w:r>
      <w:r w:rsidRPr="00ED7E26">
        <w:rPr>
          <w:rFonts w:ascii="Book Antiqua" w:hAnsi="Book Antiqua"/>
          <w:b/>
          <w:bCs/>
        </w:rPr>
        <w:t>Johnson DB</w:t>
      </w:r>
      <w:r w:rsidRPr="00ED7E26">
        <w:rPr>
          <w:rFonts w:ascii="Book Antiqua" w:hAnsi="Book Antiqua"/>
        </w:rPr>
        <w:t xml:space="preserve">, </w:t>
      </w:r>
      <w:proofErr w:type="spellStart"/>
      <w:r w:rsidRPr="00ED7E26">
        <w:rPr>
          <w:rFonts w:ascii="Book Antiqua" w:hAnsi="Book Antiqua"/>
        </w:rPr>
        <w:t>Nebhan</w:t>
      </w:r>
      <w:proofErr w:type="spellEnd"/>
      <w:r w:rsidRPr="00ED7E26">
        <w:rPr>
          <w:rFonts w:ascii="Book Antiqua" w:hAnsi="Book Antiqua"/>
        </w:rPr>
        <w:t xml:space="preserve"> CA, Moslehi JJ, Balko JM. Immune-checkpoint inhibitors: long-term implications of toxicity. </w:t>
      </w:r>
      <w:r w:rsidRPr="00ED7E26">
        <w:rPr>
          <w:rFonts w:ascii="Book Antiqua" w:hAnsi="Book Antiqua"/>
          <w:i/>
          <w:iCs/>
        </w:rPr>
        <w:t>Nat Rev Clin Oncol</w:t>
      </w:r>
      <w:r w:rsidRPr="00ED7E26">
        <w:rPr>
          <w:rFonts w:ascii="Book Antiqua" w:hAnsi="Book Antiqua"/>
        </w:rPr>
        <w:t xml:space="preserve"> 2022; </w:t>
      </w:r>
      <w:r w:rsidRPr="00ED7E26">
        <w:rPr>
          <w:rFonts w:ascii="Book Antiqua" w:hAnsi="Book Antiqua"/>
          <w:b/>
          <w:bCs/>
        </w:rPr>
        <w:t>19</w:t>
      </w:r>
      <w:r w:rsidRPr="00ED7E26">
        <w:rPr>
          <w:rFonts w:ascii="Book Antiqua" w:hAnsi="Book Antiqua"/>
        </w:rPr>
        <w:t>: 254-267 [PMID: 35082367 DOI: 10.1038/s41571-022-00600-w]</w:t>
      </w:r>
    </w:p>
    <w:p w14:paraId="42A8E50A"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3 </w:t>
      </w:r>
      <w:r w:rsidRPr="00ED7E26">
        <w:rPr>
          <w:rFonts w:ascii="Book Antiqua" w:hAnsi="Book Antiqua"/>
          <w:b/>
          <w:bCs/>
        </w:rPr>
        <w:t>Barroso-Sousa R</w:t>
      </w:r>
      <w:r w:rsidRPr="00ED7E26">
        <w:rPr>
          <w:rFonts w:ascii="Book Antiqua" w:hAnsi="Book Antiqua"/>
        </w:rPr>
        <w:t xml:space="preserve">, Barry WT, Garrido-Castro AC, Hodi FS, Min L, </w:t>
      </w:r>
      <w:proofErr w:type="spellStart"/>
      <w:r w:rsidRPr="00ED7E26">
        <w:rPr>
          <w:rFonts w:ascii="Book Antiqua" w:hAnsi="Book Antiqua"/>
        </w:rPr>
        <w:t>Krop</w:t>
      </w:r>
      <w:proofErr w:type="spellEnd"/>
      <w:r w:rsidRPr="00ED7E26">
        <w:rPr>
          <w:rFonts w:ascii="Book Antiqua" w:hAnsi="Book Antiqua"/>
        </w:rPr>
        <w:t xml:space="preserve"> IE, </w:t>
      </w:r>
      <w:proofErr w:type="spellStart"/>
      <w:r w:rsidRPr="00ED7E26">
        <w:rPr>
          <w:rFonts w:ascii="Book Antiqua" w:hAnsi="Book Antiqua"/>
        </w:rPr>
        <w:t>Tolaney</w:t>
      </w:r>
      <w:proofErr w:type="spellEnd"/>
      <w:r w:rsidRPr="00ED7E26">
        <w:rPr>
          <w:rFonts w:ascii="Book Antiqua" w:hAnsi="Book Antiqua"/>
        </w:rPr>
        <w:t xml:space="preserve"> SM. Incidence of Endocrine Dysfunction Following the Use of Different Immune Checkpoint Inhibitor Regimens: A Systematic Review and Meta-analysis. </w:t>
      </w:r>
      <w:r w:rsidRPr="00ED7E26">
        <w:rPr>
          <w:rFonts w:ascii="Book Antiqua" w:hAnsi="Book Antiqua"/>
          <w:i/>
          <w:iCs/>
        </w:rPr>
        <w:t>JAMA Oncol</w:t>
      </w:r>
      <w:r w:rsidRPr="00ED7E26">
        <w:rPr>
          <w:rFonts w:ascii="Book Antiqua" w:hAnsi="Book Antiqua"/>
        </w:rPr>
        <w:t xml:space="preserve"> 2018; </w:t>
      </w:r>
      <w:r w:rsidRPr="00ED7E26">
        <w:rPr>
          <w:rFonts w:ascii="Book Antiqua" w:hAnsi="Book Antiqua"/>
          <w:b/>
          <w:bCs/>
        </w:rPr>
        <w:t>4</w:t>
      </w:r>
      <w:r w:rsidRPr="00ED7E26">
        <w:rPr>
          <w:rFonts w:ascii="Book Antiqua" w:hAnsi="Book Antiqua"/>
        </w:rPr>
        <w:t>: 173-182 [PMID: 28973656 DOI: 10.1001/jamaoncol.2017.3064]</w:t>
      </w:r>
    </w:p>
    <w:p w14:paraId="646795DC"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4 </w:t>
      </w:r>
      <w:r w:rsidRPr="00ED7E26">
        <w:rPr>
          <w:rFonts w:ascii="Book Antiqua" w:hAnsi="Book Antiqua"/>
          <w:b/>
          <w:bCs/>
        </w:rPr>
        <w:t xml:space="preserve">Di </w:t>
      </w:r>
      <w:proofErr w:type="spellStart"/>
      <w:r w:rsidRPr="00ED7E26">
        <w:rPr>
          <w:rFonts w:ascii="Book Antiqua" w:hAnsi="Book Antiqua"/>
          <w:b/>
          <w:bCs/>
        </w:rPr>
        <w:t>Dalmazi</w:t>
      </w:r>
      <w:proofErr w:type="spellEnd"/>
      <w:r w:rsidRPr="00ED7E26">
        <w:rPr>
          <w:rFonts w:ascii="Book Antiqua" w:hAnsi="Book Antiqua"/>
          <w:b/>
          <w:bCs/>
        </w:rPr>
        <w:t xml:space="preserve"> G</w:t>
      </w:r>
      <w:r w:rsidRPr="00ED7E26">
        <w:rPr>
          <w:rFonts w:ascii="Book Antiqua" w:hAnsi="Book Antiqua"/>
        </w:rPr>
        <w:t xml:space="preserve">, Ippolito S, </w:t>
      </w:r>
      <w:proofErr w:type="spellStart"/>
      <w:r w:rsidRPr="00ED7E26">
        <w:rPr>
          <w:rFonts w:ascii="Book Antiqua" w:hAnsi="Book Antiqua"/>
        </w:rPr>
        <w:t>Lupi</w:t>
      </w:r>
      <w:proofErr w:type="spellEnd"/>
      <w:r w:rsidRPr="00ED7E26">
        <w:rPr>
          <w:rFonts w:ascii="Book Antiqua" w:hAnsi="Book Antiqua"/>
        </w:rPr>
        <w:t xml:space="preserve"> I, </w:t>
      </w:r>
      <w:proofErr w:type="spellStart"/>
      <w:r w:rsidRPr="00ED7E26">
        <w:rPr>
          <w:rFonts w:ascii="Book Antiqua" w:hAnsi="Book Antiqua"/>
        </w:rPr>
        <w:t>Caturegli</w:t>
      </w:r>
      <w:proofErr w:type="spellEnd"/>
      <w:r w:rsidRPr="00ED7E26">
        <w:rPr>
          <w:rFonts w:ascii="Book Antiqua" w:hAnsi="Book Antiqua"/>
        </w:rPr>
        <w:t xml:space="preserve"> P. </w:t>
      </w:r>
      <w:proofErr w:type="spellStart"/>
      <w:r w:rsidRPr="00ED7E26">
        <w:rPr>
          <w:rFonts w:ascii="Book Antiqua" w:hAnsi="Book Antiqua"/>
        </w:rPr>
        <w:t>Hypophysitis</w:t>
      </w:r>
      <w:proofErr w:type="spellEnd"/>
      <w:r w:rsidRPr="00ED7E26">
        <w:rPr>
          <w:rFonts w:ascii="Book Antiqua" w:hAnsi="Book Antiqua"/>
        </w:rPr>
        <w:t xml:space="preserve"> induced by immune checkpoint inhibitors: a 10-year assessment. </w:t>
      </w:r>
      <w:r w:rsidRPr="00ED7E26">
        <w:rPr>
          <w:rFonts w:ascii="Book Antiqua" w:hAnsi="Book Antiqua"/>
          <w:i/>
          <w:iCs/>
        </w:rPr>
        <w:t xml:space="preserve">Expert Rev Endocrinol </w:t>
      </w:r>
      <w:proofErr w:type="spellStart"/>
      <w:r w:rsidRPr="00ED7E26">
        <w:rPr>
          <w:rFonts w:ascii="Book Antiqua" w:hAnsi="Book Antiqua"/>
          <w:i/>
          <w:iCs/>
        </w:rPr>
        <w:t>Metab</w:t>
      </w:r>
      <w:proofErr w:type="spellEnd"/>
      <w:r w:rsidRPr="00ED7E26">
        <w:rPr>
          <w:rFonts w:ascii="Book Antiqua" w:hAnsi="Book Antiqua"/>
        </w:rPr>
        <w:t xml:space="preserve"> 2019; </w:t>
      </w:r>
      <w:r w:rsidRPr="00ED7E26">
        <w:rPr>
          <w:rFonts w:ascii="Book Antiqua" w:hAnsi="Book Antiqua"/>
          <w:b/>
          <w:bCs/>
        </w:rPr>
        <w:t>14</w:t>
      </w:r>
      <w:r w:rsidRPr="00ED7E26">
        <w:rPr>
          <w:rFonts w:ascii="Book Antiqua" w:hAnsi="Book Antiqua"/>
        </w:rPr>
        <w:t>: 381-398 [PMID: 31842671 DOI: 10.1080/17446651.2019.1701434]</w:t>
      </w:r>
    </w:p>
    <w:p w14:paraId="74ED01F8"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5 </w:t>
      </w:r>
      <w:r w:rsidRPr="00ED7E26">
        <w:rPr>
          <w:rFonts w:ascii="Book Antiqua" w:hAnsi="Book Antiqua"/>
          <w:b/>
          <w:bCs/>
        </w:rPr>
        <w:t>Liu J</w:t>
      </w:r>
      <w:r w:rsidRPr="00ED7E26">
        <w:rPr>
          <w:rFonts w:ascii="Book Antiqua" w:hAnsi="Book Antiqua"/>
        </w:rPr>
        <w:t xml:space="preserve">, Zhou H, Zhang Y, Fang W, Yang Y, Huang Y, Zhang L. Reporting of Immune Checkpoint Inhibitor Therapy-Associated Diabetes, 2015-2019. </w:t>
      </w:r>
      <w:r w:rsidRPr="00ED7E26">
        <w:rPr>
          <w:rFonts w:ascii="Book Antiqua" w:hAnsi="Book Antiqua"/>
          <w:i/>
          <w:iCs/>
        </w:rPr>
        <w:t>Diabetes Care</w:t>
      </w:r>
      <w:r w:rsidRPr="00ED7E26">
        <w:rPr>
          <w:rFonts w:ascii="Book Antiqua" w:hAnsi="Book Antiqua"/>
        </w:rPr>
        <w:t xml:space="preserve"> 2020; </w:t>
      </w:r>
      <w:r w:rsidRPr="00ED7E26">
        <w:rPr>
          <w:rFonts w:ascii="Book Antiqua" w:hAnsi="Book Antiqua"/>
          <w:b/>
          <w:bCs/>
        </w:rPr>
        <w:t>43</w:t>
      </w:r>
      <w:r w:rsidRPr="00ED7E26">
        <w:rPr>
          <w:rFonts w:ascii="Book Antiqua" w:hAnsi="Book Antiqua"/>
        </w:rPr>
        <w:t>: e79-e80 [PMID: 32393586 DOI: 10.2337/dc20-0459]</w:t>
      </w:r>
    </w:p>
    <w:p w14:paraId="43717A42"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6 </w:t>
      </w:r>
      <w:proofErr w:type="spellStart"/>
      <w:r w:rsidRPr="00ED7E26">
        <w:rPr>
          <w:rFonts w:ascii="Book Antiqua" w:hAnsi="Book Antiqua"/>
          <w:b/>
          <w:bCs/>
        </w:rPr>
        <w:t>Gunjur</w:t>
      </w:r>
      <w:proofErr w:type="spellEnd"/>
      <w:r w:rsidRPr="00ED7E26">
        <w:rPr>
          <w:rFonts w:ascii="Book Antiqua" w:hAnsi="Book Antiqua"/>
          <w:b/>
          <w:bCs/>
        </w:rPr>
        <w:t xml:space="preserve"> A</w:t>
      </w:r>
      <w:r w:rsidRPr="00ED7E26">
        <w:rPr>
          <w:rFonts w:ascii="Book Antiqua" w:hAnsi="Book Antiqua"/>
        </w:rPr>
        <w:t xml:space="preserve">, Klein O, Kee D, </w:t>
      </w:r>
      <w:proofErr w:type="spellStart"/>
      <w:r w:rsidRPr="00ED7E26">
        <w:rPr>
          <w:rFonts w:ascii="Book Antiqua" w:hAnsi="Book Antiqua"/>
        </w:rPr>
        <w:t>Cebon</w:t>
      </w:r>
      <w:proofErr w:type="spellEnd"/>
      <w:r w:rsidRPr="00ED7E26">
        <w:rPr>
          <w:rFonts w:ascii="Book Antiqua" w:hAnsi="Book Antiqua"/>
        </w:rPr>
        <w:t xml:space="preserve"> J. Anti-programmed cell death protein 1 (anti-PD1) immunotherapy induced autoimmune polyendocrine syndrome type II (APS-2): a case report and review of the literature. </w:t>
      </w:r>
      <w:r w:rsidRPr="00ED7E26">
        <w:rPr>
          <w:rFonts w:ascii="Book Antiqua" w:hAnsi="Book Antiqua"/>
          <w:i/>
          <w:iCs/>
        </w:rPr>
        <w:t xml:space="preserve">J </w:t>
      </w:r>
      <w:proofErr w:type="spellStart"/>
      <w:r w:rsidRPr="00ED7E26">
        <w:rPr>
          <w:rFonts w:ascii="Book Antiqua" w:hAnsi="Book Antiqua"/>
          <w:i/>
          <w:iCs/>
        </w:rPr>
        <w:t>Immunother</w:t>
      </w:r>
      <w:proofErr w:type="spellEnd"/>
      <w:r w:rsidRPr="00ED7E26">
        <w:rPr>
          <w:rFonts w:ascii="Book Antiqua" w:hAnsi="Book Antiqua"/>
          <w:i/>
          <w:iCs/>
        </w:rPr>
        <w:t xml:space="preserve"> Cancer</w:t>
      </w:r>
      <w:r w:rsidRPr="00ED7E26">
        <w:rPr>
          <w:rFonts w:ascii="Book Antiqua" w:hAnsi="Book Antiqua"/>
        </w:rPr>
        <w:t xml:space="preserve"> 2019; </w:t>
      </w:r>
      <w:r w:rsidRPr="00ED7E26">
        <w:rPr>
          <w:rFonts w:ascii="Book Antiqua" w:hAnsi="Book Antiqua"/>
          <w:b/>
          <w:bCs/>
        </w:rPr>
        <w:t>7</w:t>
      </w:r>
      <w:r w:rsidRPr="00ED7E26">
        <w:rPr>
          <w:rFonts w:ascii="Book Antiqua" w:hAnsi="Book Antiqua"/>
        </w:rPr>
        <w:t>: 241 [PMID: 31488221 DOI: 10.1186/s40425-019-0713-y]</w:t>
      </w:r>
    </w:p>
    <w:p w14:paraId="736C16DB" w14:textId="77777777" w:rsidR="00AB746F" w:rsidRPr="00ED7E26" w:rsidRDefault="00AB746F" w:rsidP="00AB746F">
      <w:pPr>
        <w:adjustRightInd w:val="0"/>
        <w:snapToGrid w:val="0"/>
        <w:spacing w:line="360" w:lineRule="auto"/>
        <w:jc w:val="both"/>
        <w:rPr>
          <w:rFonts w:ascii="Book Antiqua" w:hAnsi="Book Antiqua"/>
          <w:lang w:val="it-IT"/>
        </w:rPr>
      </w:pPr>
      <w:r w:rsidRPr="00ED7E26">
        <w:rPr>
          <w:rFonts w:ascii="Book Antiqua" w:hAnsi="Book Antiqua"/>
        </w:rPr>
        <w:t xml:space="preserve">7 </w:t>
      </w:r>
      <w:r w:rsidRPr="00ED7E26">
        <w:rPr>
          <w:rFonts w:ascii="Book Antiqua" w:hAnsi="Book Antiqua"/>
          <w:b/>
          <w:bCs/>
        </w:rPr>
        <w:t>Muir CA</w:t>
      </w:r>
      <w:r w:rsidRPr="00ED7E26">
        <w:rPr>
          <w:rFonts w:ascii="Book Antiqua" w:hAnsi="Book Antiqua"/>
        </w:rPr>
        <w:t xml:space="preserve">, Clifton-Bligh RJ, Long GV, </w:t>
      </w:r>
      <w:proofErr w:type="spellStart"/>
      <w:r w:rsidRPr="00ED7E26">
        <w:rPr>
          <w:rFonts w:ascii="Book Antiqua" w:hAnsi="Book Antiqua"/>
        </w:rPr>
        <w:t>Scolyer</w:t>
      </w:r>
      <w:proofErr w:type="spellEnd"/>
      <w:r w:rsidRPr="00ED7E26">
        <w:rPr>
          <w:rFonts w:ascii="Book Antiqua" w:hAnsi="Book Antiqua"/>
        </w:rPr>
        <w:t xml:space="preserve"> RA, Lo SN, </w:t>
      </w:r>
      <w:proofErr w:type="spellStart"/>
      <w:r w:rsidRPr="00ED7E26">
        <w:rPr>
          <w:rFonts w:ascii="Book Antiqua" w:hAnsi="Book Antiqua"/>
        </w:rPr>
        <w:t>Carlino</w:t>
      </w:r>
      <w:proofErr w:type="spellEnd"/>
      <w:r w:rsidRPr="00ED7E26">
        <w:rPr>
          <w:rFonts w:ascii="Book Antiqua" w:hAnsi="Book Antiqua"/>
        </w:rPr>
        <w:t xml:space="preserve"> MS, Tsang VHM, Menzies AM. Thyroid Immune-related Adverse Events Following Immune Checkpoint Inhibitor Treatment. </w:t>
      </w:r>
      <w:r w:rsidRPr="00ED7E26">
        <w:rPr>
          <w:rFonts w:ascii="Book Antiqua" w:hAnsi="Book Antiqua"/>
          <w:i/>
          <w:iCs/>
          <w:lang w:val="it-IT"/>
        </w:rPr>
        <w:t>J Clin Endocrinol Metab</w:t>
      </w:r>
      <w:r w:rsidRPr="00ED7E26">
        <w:rPr>
          <w:rFonts w:ascii="Book Antiqua" w:hAnsi="Book Antiqua"/>
          <w:lang w:val="it-IT"/>
        </w:rPr>
        <w:t xml:space="preserve"> 2021; </w:t>
      </w:r>
      <w:r w:rsidRPr="00ED7E26">
        <w:rPr>
          <w:rFonts w:ascii="Book Antiqua" w:hAnsi="Book Antiqua"/>
          <w:b/>
          <w:bCs/>
          <w:lang w:val="it-IT"/>
        </w:rPr>
        <w:t>106</w:t>
      </w:r>
      <w:r w:rsidRPr="00ED7E26">
        <w:rPr>
          <w:rFonts w:ascii="Book Antiqua" w:hAnsi="Book Antiqua"/>
          <w:lang w:val="it-IT"/>
        </w:rPr>
        <w:t>: e3704-e3713 [PMID: 33878162 DOI: 10.1210/clinem/dgab263]</w:t>
      </w:r>
    </w:p>
    <w:p w14:paraId="14B5CA72" w14:textId="77777777" w:rsidR="00AB746F" w:rsidRPr="00ED7E26" w:rsidRDefault="00AB746F" w:rsidP="00AB746F">
      <w:pPr>
        <w:adjustRightInd w:val="0"/>
        <w:snapToGrid w:val="0"/>
        <w:spacing w:line="360" w:lineRule="auto"/>
        <w:jc w:val="both"/>
        <w:rPr>
          <w:rFonts w:ascii="Book Antiqua" w:hAnsi="Book Antiqua"/>
          <w:lang w:val="it-IT"/>
        </w:rPr>
      </w:pPr>
      <w:r w:rsidRPr="00ED7E26">
        <w:rPr>
          <w:rFonts w:ascii="Book Antiqua" w:hAnsi="Book Antiqua"/>
          <w:lang w:val="it-IT"/>
        </w:rPr>
        <w:t xml:space="preserve">8 </w:t>
      </w:r>
      <w:r w:rsidRPr="00ED7E26">
        <w:rPr>
          <w:rFonts w:ascii="Book Antiqua" w:hAnsi="Book Antiqua"/>
          <w:b/>
          <w:bCs/>
          <w:lang w:val="it-IT"/>
        </w:rPr>
        <w:t>Faje A</w:t>
      </w:r>
      <w:r w:rsidRPr="00ED7E26">
        <w:rPr>
          <w:rFonts w:ascii="Book Antiqua" w:hAnsi="Book Antiqua"/>
          <w:lang w:val="it-IT"/>
        </w:rPr>
        <w:t xml:space="preserve">, Reynolds K, Zubiri L, Lawrence D, Cohen JV, Sullivan RJ, Nachtigall L, Tritos N. Hypophysitis secondary to nivolumab and pembrolizumab is a clinical entity distinct </w:t>
      </w:r>
      <w:r w:rsidRPr="00ED7E26">
        <w:rPr>
          <w:rFonts w:ascii="Book Antiqua" w:hAnsi="Book Antiqua"/>
          <w:lang w:val="it-IT"/>
        </w:rPr>
        <w:lastRenderedPageBreak/>
        <w:t xml:space="preserve">from ipilimumab-associated hypophysitis. </w:t>
      </w:r>
      <w:r w:rsidRPr="00ED7E26">
        <w:rPr>
          <w:rFonts w:ascii="Book Antiqua" w:hAnsi="Book Antiqua"/>
          <w:i/>
          <w:iCs/>
          <w:lang w:val="it-IT"/>
        </w:rPr>
        <w:t>Eur J Endocrinol</w:t>
      </w:r>
      <w:r w:rsidRPr="00ED7E26">
        <w:rPr>
          <w:rFonts w:ascii="Book Antiqua" w:hAnsi="Book Antiqua"/>
          <w:lang w:val="it-IT"/>
        </w:rPr>
        <w:t xml:space="preserve"> 2019; </w:t>
      </w:r>
      <w:r w:rsidRPr="00ED7E26">
        <w:rPr>
          <w:rFonts w:ascii="Book Antiqua" w:hAnsi="Book Antiqua"/>
          <w:b/>
          <w:bCs/>
          <w:lang w:val="it-IT"/>
        </w:rPr>
        <w:t>181</w:t>
      </w:r>
      <w:r w:rsidRPr="00ED7E26">
        <w:rPr>
          <w:rFonts w:ascii="Book Antiqua" w:hAnsi="Book Antiqua"/>
          <w:lang w:val="it-IT"/>
        </w:rPr>
        <w:t>: 211-219 [PMID: 31176301 DOI: 10.1530/EJE-19-0238]</w:t>
      </w:r>
    </w:p>
    <w:p w14:paraId="1D2426B2"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lang w:val="en-GB"/>
        </w:rPr>
        <w:t xml:space="preserve">9 </w:t>
      </w:r>
      <w:r w:rsidRPr="00ED7E26">
        <w:rPr>
          <w:rFonts w:ascii="Book Antiqua" w:hAnsi="Book Antiqua"/>
          <w:b/>
          <w:bCs/>
          <w:lang w:val="en-GB"/>
        </w:rPr>
        <w:t>Tsang VHM</w:t>
      </w:r>
      <w:r w:rsidRPr="00ED7E26">
        <w:rPr>
          <w:rFonts w:ascii="Book Antiqua" w:hAnsi="Book Antiqua"/>
          <w:lang w:val="en-GB"/>
        </w:rPr>
        <w:t xml:space="preserve">, McGrath RT, Clifton-Bligh RJ, Scolyer RA, Jakrot V, Guminski AD, Long GV, Menzies AM. </w:t>
      </w:r>
      <w:r w:rsidRPr="00ED7E26">
        <w:rPr>
          <w:rFonts w:ascii="Book Antiqua" w:hAnsi="Book Antiqua"/>
        </w:rPr>
        <w:t xml:space="preserve">Checkpoint Inhibitor-Associated Autoimmune Diabetes Is Distinct From Type 1 Diabetes. </w:t>
      </w:r>
      <w:r w:rsidRPr="00ED7E26">
        <w:rPr>
          <w:rFonts w:ascii="Book Antiqua" w:hAnsi="Book Antiqua"/>
          <w:i/>
          <w:iCs/>
        </w:rPr>
        <w:t xml:space="preserve">J Clin Endocrinol </w:t>
      </w:r>
      <w:proofErr w:type="spellStart"/>
      <w:r w:rsidRPr="00ED7E26">
        <w:rPr>
          <w:rFonts w:ascii="Book Antiqua" w:hAnsi="Book Antiqua"/>
          <w:i/>
          <w:iCs/>
        </w:rPr>
        <w:t>Metab</w:t>
      </w:r>
      <w:proofErr w:type="spellEnd"/>
      <w:r w:rsidRPr="00ED7E26">
        <w:rPr>
          <w:rFonts w:ascii="Book Antiqua" w:hAnsi="Book Antiqua"/>
        </w:rPr>
        <w:t xml:space="preserve"> 2019; </w:t>
      </w:r>
      <w:r w:rsidRPr="00ED7E26">
        <w:rPr>
          <w:rFonts w:ascii="Book Antiqua" w:hAnsi="Book Antiqua"/>
          <w:b/>
          <w:bCs/>
        </w:rPr>
        <w:t>104</w:t>
      </w:r>
      <w:r w:rsidRPr="00ED7E26">
        <w:rPr>
          <w:rFonts w:ascii="Book Antiqua" w:hAnsi="Book Antiqua"/>
        </w:rPr>
        <w:t>: 5499-5506 [PMID: 31265074 DOI: 10.1210/jc.2019-00423]</w:t>
      </w:r>
    </w:p>
    <w:p w14:paraId="0EED45BF"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10 </w:t>
      </w:r>
      <w:proofErr w:type="spellStart"/>
      <w:r w:rsidRPr="00ED7E26">
        <w:rPr>
          <w:rFonts w:ascii="Book Antiqua" w:hAnsi="Book Antiqua"/>
          <w:b/>
          <w:bCs/>
        </w:rPr>
        <w:t>Grouthier</w:t>
      </w:r>
      <w:proofErr w:type="spellEnd"/>
      <w:r w:rsidRPr="00ED7E26">
        <w:rPr>
          <w:rFonts w:ascii="Book Antiqua" w:hAnsi="Book Antiqua"/>
          <w:b/>
          <w:bCs/>
        </w:rPr>
        <w:t xml:space="preserve"> V</w:t>
      </w:r>
      <w:r w:rsidRPr="00ED7E26">
        <w:rPr>
          <w:rFonts w:ascii="Book Antiqua" w:hAnsi="Book Antiqua"/>
        </w:rPr>
        <w:t>, Lebrun-</w:t>
      </w:r>
      <w:proofErr w:type="spellStart"/>
      <w:r w:rsidRPr="00ED7E26">
        <w:rPr>
          <w:rFonts w:ascii="Book Antiqua" w:hAnsi="Book Antiqua"/>
        </w:rPr>
        <w:t>Vignes</w:t>
      </w:r>
      <w:proofErr w:type="spellEnd"/>
      <w:r w:rsidRPr="00ED7E26">
        <w:rPr>
          <w:rFonts w:ascii="Book Antiqua" w:hAnsi="Book Antiqua"/>
        </w:rPr>
        <w:t xml:space="preserve"> B, </w:t>
      </w:r>
      <w:proofErr w:type="spellStart"/>
      <w:r w:rsidRPr="00ED7E26">
        <w:rPr>
          <w:rFonts w:ascii="Book Antiqua" w:hAnsi="Book Antiqua"/>
        </w:rPr>
        <w:t>Moey</w:t>
      </w:r>
      <w:proofErr w:type="spellEnd"/>
      <w:r w:rsidRPr="00ED7E26">
        <w:rPr>
          <w:rFonts w:ascii="Book Antiqua" w:hAnsi="Book Antiqua"/>
        </w:rPr>
        <w:t xml:space="preserve"> M, Johnson DB, Moslehi JJ, Salem JE, </w:t>
      </w:r>
      <w:proofErr w:type="spellStart"/>
      <w:r w:rsidRPr="00ED7E26">
        <w:rPr>
          <w:rFonts w:ascii="Book Antiqua" w:hAnsi="Book Antiqua"/>
        </w:rPr>
        <w:t>Bachelot</w:t>
      </w:r>
      <w:proofErr w:type="spellEnd"/>
      <w:r w:rsidRPr="00ED7E26">
        <w:rPr>
          <w:rFonts w:ascii="Book Antiqua" w:hAnsi="Book Antiqua"/>
        </w:rPr>
        <w:t xml:space="preserve"> A. Immune Checkpoint Inhibitor-Associated Primary Adrenal Insufficiency: WHO </w:t>
      </w:r>
      <w:proofErr w:type="spellStart"/>
      <w:r w:rsidRPr="00ED7E26">
        <w:rPr>
          <w:rFonts w:ascii="Book Antiqua" w:hAnsi="Book Antiqua"/>
        </w:rPr>
        <w:t>VigiBase</w:t>
      </w:r>
      <w:proofErr w:type="spellEnd"/>
      <w:r w:rsidRPr="00ED7E26">
        <w:rPr>
          <w:rFonts w:ascii="Book Antiqua" w:hAnsi="Book Antiqua"/>
        </w:rPr>
        <w:t xml:space="preserve"> Report Analysis. </w:t>
      </w:r>
      <w:r w:rsidRPr="00ED7E26">
        <w:rPr>
          <w:rFonts w:ascii="Book Antiqua" w:hAnsi="Book Antiqua"/>
          <w:i/>
          <w:iCs/>
        </w:rPr>
        <w:t>Oncologist</w:t>
      </w:r>
      <w:r w:rsidRPr="00ED7E26">
        <w:rPr>
          <w:rFonts w:ascii="Book Antiqua" w:hAnsi="Book Antiqua"/>
        </w:rPr>
        <w:t xml:space="preserve"> 2020; </w:t>
      </w:r>
      <w:r w:rsidRPr="00ED7E26">
        <w:rPr>
          <w:rFonts w:ascii="Book Antiqua" w:hAnsi="Book Antiqua"/>
          <w:b/>
          <w:bCs/>
        </w:rPr>
        <w:t>25</w:t>
      </w:r>
      <w:r w:rsidRPr="00ED7E26">
        <w:rPr>
          <w:rFonts w:ascii="Book Antiqua" w:hAnsi="Book Antiqua"/>
        </w:rPr>
        <w:t>: 696-701 [PMID: 32390168 DOI: 10.1634/theoncologist.2019-0555]</w:t>
      </w:r>
    </w:p>
    <w:p w14:paraId="3F996403"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11 </w:t>
      </w:r>
      <w:proofErr w:type="spellStart"/>
      <w:r w:rsidRPr="00ED7E26">
        <w:rPr>
          <w:rFonts w:ascii="Book Antiqua" w:hAnsi="Book Antiqua"/>
          <w:b/>
          <w:bCs/>
        </w:rPr>
        <w:t>Nishijima</w:t>
      </w:r>
      <w:proofErr w:type="spellEnd"/>
      <w:r w:rsidRPr="00ED7E26">
        <w:rPr>
          <w:rFonts w:ascii="Book Antiqua" w:hAnsi="Book Antiqua"/>
          <w:b/>
          <w:bCs/>
        </w:rPr>
        <w:t xml:space="preserve"> TF</w:t>
      </w:r>
      <w:r w:rsidRPr="00ED7E26">
        <w:rPr>
          <w:rFonts w:ascii="Book Antiqua" w:hAnsi="Book Antiqua"/>
        </w:rPr>
        <w:t xml:space="preserve">, </w:t>
      </w:r>
      <w:proofErr w:type="spellStart"/>
      <w:r w:rsidRPr="00ED7E26">
        <w:rPr>
          <w:rFonts w:ascii="Book Antiqua" w:hAnsi="Book Antiqua"/>
        </w:rPr>
        <w:t>Shachar</w:t>
      </w:r>
      <w:proofErr w:type="spellEnd"/>
      <w:r w:rsidRPr="00ED7E26">
        <w:rPr>
          <w:rFonts w:ascii="Book Antiqua" w:hAnsi="Book Antiqua"/>
        </w:rPr>
        <w:t xml:space="preserve"> SS, </w:t>
      </w:r>
      <w:proofErr w:type="spellStart"/>
      <w:r w:rsidRPr="00ED7E26">
        <w:rPr>
          <w:rFonts w:ascii="Book Antiqua" w:hAnsi="Book Antiqua"/>
        </w:rPr>
        <w:t>Nyrop</w:t>
      </w:r>
      <w:proofErr w:type="spellEnd"/>
      <w:r w:rsidRPr="00ED7E26">
        <w:rPr>
          <w:rFonts w:ascii="Book Antiqua" w:hAnsi="Book Antiqua"/>
        </w:rPr>
        <w:t xml:space="preserve"> KA, Muss HB. Safety and Tolerability of PD-1/PD-L1 Inhibitors Compared with Chemotherapy in Patients with Advanced Cancer: A Meta-Analysis. </w:t>
      </w:r>
      <w:r w:rsidRPr="00ED7E26">
        <w:rPr>
          <w:rFonts w:ascii="Book Antiqua" w:hAnsi="Book Antiqua"/>
          <w:i/>
          <w:iCs/>
        </w:rPr>
        <w:t>Oncologist</w:t>
      </w:r>
      <w:r w:rsidRPr="00ED7E26">
        <w:rPr>
          <w:rFonts w:ascii="Book Antiqua" w:hAnsi="Book Antiqua"/>
        </w:rPr>
        <w:t xml:space="preserve"> 2017; </w:t>
      </w:r>
      <w:r w:rsidRPr="00ED7E26">
        <w:rPr>
          <w:rFonts w:ascii="Book Antiqua" w:hAnsi="Book Antiqua"/>
          <w:b/>
          <w:bCs/>
        </w:rPr>
        <w:t>22</w:t>
      </w:r>
      <w:r w:rsidRPr="00ED7E26">
        <w:rPr>
          <w:rFonts w:ascii="Book Antiqua" w:hAnsi="Book Antiqua"/>
        </w:rPr>
        <w:t>: 470-479 [PMID: 28275115 DOI: 10.1634/theoncologist.2016-0419]</w:t>
      </w:r>
    </w:p>
    <w:p w14:paraId="7A9EA6B2" w14:textId="77777777" w:rsidR="00AB746F" w:rsidRPr="00ED7E26" w:rsidRDefault="00AB746F" w:rsidP="00AB746F">
      <w:pPr>
        <w:adjustRightInd w:val="0"/>
        <w:snapToGrid w:val="0"/>
        <w:spacing w:line="360" w:lineRule="auto"/>
        <w:jc w:val="both"/>
        <w:rPr>
          <w:rFonts w:ascii="Book Antiqua" w:hAnsi="Book Antiqua"/>
        </w:rPr>
      </w:pPr>
      <w:r w:rsidRPr="00ED7E26">
        <w:rPr>
          <w:rFonts w:ascii="Book Antiqua" w:hAnsi="Book Antiqua"/>
        </w:rPr>
        <w:t xml:space="preserve">12 </w:t>
      </w:r>
      <w:r w:rsidRPr="00ED7E26">
        <w:rPr>
          <w:rFonts w:ascii="Book Antiqua" w:hAnsi="Book Antiqua"/>
          <w:b/>
          <w:bCs/>
        </w:rPr>
        <w:t>Wang DY</w:t>
      </w:r>
      <w:r w:rsidRPr="00ED7E26">
        <w:rPr>
          <w:rFonts w:ascii="Book Antiqua" w:hAnsi="Book Antiqua"/>
        </w:rPr>
        <w:t xml:space="preserve">, </w:t>
      </w:r>
      <w:proofErr w:type="spellStart"/>
      <w:r w:rsidRPr="00ED7E26">
        <w:rPr>
          <w:rFonts w:ascii="Book Antiqua" w:hAnsi="Book Antiqua"/>
        </w:rPr>
        <w:t>Mooradian</w:t>
      </w:r>
      <w:proofErr w:type="spellEnd"/>
      <w:r w:rsidRPr="00ED7E26">
        <w:rPr>
          <w:rFonts w:ascii="Book Antiqua" w:hAnsi="Book Antiqua"/>
        </w:rPr>
        <w:t xml:space="preserve"> MJ, Kim D, Shah NJ, Fenton SE, </w:t>
      </w:r>
      <w:proofErr w:type="spellStart"/>
      <w:r w:rsidRPr="00ED7E26">
        <w:rPr>
          <w:rFonts w:ascii="Book Antiqua" w:hAnsi="Book Antiqua"/>
        </w:rPr>
        <w:t>Conry</w:t>
      </w:r>
      <w:proofErr w:type="spellEnd"/>
      <w:r w:rsidRPr="00ED7E26">
        <w:rPr>
          <w:rFonts w:ascii="Book Antiqua" w:hAnsi="Book Antiqua"/>
        </w:rPr>
        <w:t xml:space="preserve"> RM, Mehta R, Silk AW, Zhou A, Compton ML, Al-</w:t>
      </w:r>
      <w:proofErr w:type="spellStart"/>
      <w:r w:rsidRPr="00ED7E26">
        <w:rPr>
          <w:rFonts w:ascii="Book Antiqua" w:hAnsi="Book Antiqua"/>
        </w:rPr>
        <w:t>Rohil</w:t>
      </w:r>
      <w:proofErr w:type="spellEnd"/>
      <w:r w:rsidRPr="00ED7E26">
        <w:rPr>
          <w:rFonts w:ascii="Book Antiqua" w:hAnsi="Book Antiqua"/>
        </w:rPr>
        <w:t xml:space="preserve"> RN, Lee S, Voorhees AL, Ha L, McKee S, Norrell JT, </w:t>
      </w:r>
      <w:proofErr w:type="spellStart"/>
      <w:r w:rsidRPr="00ED7E26">
        <w:rPr>
          <w:rFonts w:ascii="Book Antiqua" w:hAnsi="Book Antiqua"/>
        </w:rPr>
        <w:t>Mehnert</w:t>
      </w:r>
      <w:proofErr w:type="spellEnd"/>
      <w:r w:rsidRPr="00ED7E26">
        <w:rPr>
          <w:rFonts w:ascii="Book Antiqua" w:hAnsi="Book Antiqua"/>
        </w:rPr>
        <w:t xml:space="preserve"> J, </w:t>
      </w:r>
      <w:proofErr w:type="spellStart"/>
      <w:r w:rsidRPr="00ED7E26">
        <w:rPr>
          <w:rFonts w:ascii="Book Antiqua" w:hAnsi="Book Antiqua"/>
        </w:rPr>
        <w:t>Puzanov</w:t>
      </w:r>
      <w:proofErr w:type="spellEnd"/>
      <w:r w:rsidRPr="00ED7E26">
        <w:rPr>
          <w:rFonts w:ascii="Book Antiqua" w:hAnsi="Book Antiqua"/>
        </w:rPr>
        <w:t xml:space="preserve"> I, </w:t>
      </w:r>
      <w:proofErr w:type="spellStart"/>
      <w:r w:rsidRPr="00ED7E26">
        <w:rPr>
          <w:rFonts w:ascii="Book Antiqua" w:hAnsi="Book Antiqua"/>
        </w:rPr>
        <w:t>Sosman</w:t>
      </w:r>
      <w:proofErr w:type="spellEnd"/>
      <w:r w:rsidRPr="00ED7E26">
        <w:rPr>
          <w:rFonts w:ascii="Book Antiqua" w:hAnsi="Book Antiqua"/>
        </w:rPr>
        <w:t xml:space="preserve"> JA, Chandra S, Gibney GT, </w:t>
      </w:r>
      <w:proofErr w:type="spellStart"/>
      <w:r w:rsidRPr="00ED7E26">
        <w:rPr>
          <w:rFonts w:ascii="Book Antiqua" w:hAnsi="Book Antiqua"/>
        </w:rPr>
        <w:t>Rapisuwon</w:t>
      </w:r>
      <w:proofErr w:type="spellEnd"/>
      <w:r w:rsidRPr="00ED7E26">
        <w:rPr>
          <w:rFonts w:ascii="Book Antiqua" w:hAnsi="Book Antiqua"/>
        </w:rPr>
        <w:t xml:space="preserve"> S, Eroglu Z, Sullivan R, Johnson DB. Clinical characterization of colitis arising from anti-PD-1 based therapy. </w:t>
      </w:r>
      <w:proofErr w:type="spellStart"/>
      <w:r w:rsidRPr="00ED7E26">
        <w:rPr>
          <w:rFonts w:ascii="Book Antiqua" w:hAnsi="Book Antiqua"/>
          <w:i/>
          <w:iCs/>
        </w:rPr>
        <w:t>Oncoimmunology</w:t>
      </w:r>
      <w:proofErr w:type="spellEnd"/>
      <w:r w:rsidRPr="00ED7E26">
        <w:rPr>
          <w:rFonts w:ascii="Book Antiqua" w:hAnsi="Book Antiqua"/>
        </w:rPr>
        <w:t xml:space="preserve"> 2019; </w:t>
      </w:r>
      <w:r w:rsidRPr="00ED7E26">
        <w:rPr>
          <w:rFonts w:ascii="Book Antiqua" w:hAnsi="Book Antiqua"/>
          <w:b/>
          <w:bCs/>
        </w:rPr>
        <w:t>8</w:t>
      </w:r>
      <w:r w:rsidRPr="00ED7E26">
        <w:rPr>
          <w:rFonts w:ascii="Book Antiqua" w:hAnsi="Book Antiqua"/>
        </w:rPr>
        <w:t>: e1524695 [PMID: 30546965 DOI: 10.1080/2162402X.2018.1524695]</w:t>
      </w:r>
    </w:p>
    <w:p w14:paraId="0C0229DC" w14:textId="77777777" w:rsidR="00A77B3E" w:rsidRPr="00ED7E26" w:rsidRDefault="00A77B3E" w:rsidP="002508B1">
      <w:pPr>
        <w:spacing w:line="360" w:lineRule="auto"/>
        <w:jc w:val="both"/>
        <w:rPr>
          <w:rFonts w:ascii="Book Antiqua" w:hAnsi="Book Antiqua"/>
        </w:rPr>
        <w:sectPr w:rsidR="00A77B3E" w:rsidRPr="00ED7E26">
          <w:pgSz w:w="12240" w:h="15840"/>
          <w:pgMar w:top="1440" w:right="1440" w:bottom="1440" w:left="1440" w:header="720" w:footer="720" w:gutter="0"/>
          <w:cols w:space="720"/>
          <w:docGrid w:linePitch="360"/>
        </w:sectPr>
      </w:pPr>
    </w:p>
    <w:p w14:paraId="4A0C98F0"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lastRenderedPageBreak/>
        <w:t>Footnotes</w:t>
      </w:r>
    </w:p>
    <w:p w14:paraId="60541BFB"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Informed consent statement: </w:t>
      </w:r>
      <w:r w:rsidRPr="00ED7E26">
        <w:rPr>
          <w:rFonts w:ascii="Book Antiqua" w:eastAsia="Book Antiqua" w:hAnsi="Book Antiqua" w:cs="Book Antiqua"/>
        </w:rPr>
        <w:t>The patient and his family signed a letter of consent to the summary of the case report and the publication of the informed notice.</w:t>
      </w:r>
    </w:p>
    <w:p w14:paraId="15C26280" w14:textId="77777777" w:rsidR="00A77B3E" w:rsidRPr="00ED7E26" w:rsidRDefault="00A77B3E" w:rsidP="002508B1">
      <w:pPr>
        <w:spacing w:line="360" w:lineRule="auto"/>
        <w:jc w:val="both"/>
        <w:rPr>
          <w:rFonts w:ascii="Book Antiqua" w:hAnsi="Book Antiqua"/>
        </w:rPr>
      </w:pPr>
    </w:p>
    <w:p w14:paraId="5D4974B5"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Conflict-of-interest statement: </w:t>
      </w:r>
      <w:r w:rsidRPr="00ED7E26">
        <w:rPr>
          <w:rFonts w:ascii="Book Antiqua" w:eastAsia="Book Antiqua" w:hAnsi="Book Antiqua" w:cs="Book Antiqua"/>
        </w:rPr>
        <w:t>All the authors report no relevant conflicts of interest for this article.</w:t>
      </w:r>
    </w:p>
    <w:p w14:paraId="660F2409" w14:textId="77777777" w:rsidR="00A77B3E" w:rsidRPr="00ED7E26" w:rsidRDefault="00A77B3E" w:rsidP="002508B1">
      <w:pPr>
        <w:spacing w:line="360" w:lineRule="auto"/>
        <w:jc w:val="both"/>
        <w:rPr>
          <w:rFonts w:ascii="Book Antiqua" w:hAnsi="Book Antiqua"/>
        </w:rPr>
      </w:pPr>
    </w:p>
    <w:p w14:paraId="6DE656C4"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CARE Checklist (2016) statement: </w:t>
      </w:r>
      <w:r w:rsidRPr="00ED7E26">
        <w:rPr>
          <w:rFonts w:ascii="Book Antiqua" w:eastAsia="Book Antiqua" w:hAnsi="Book Antiqua" w:cs="Book Antiqua"/>
        </w:rPr>
        <w:t>The authors have read CARE Checklist (2016), and the manuscript was prepared and revised according to CARE Checklist (2016).</w:t>
      </w:r>
    </w:p>
    <w:p w14:paraId="389B93D1" w14:textId="77777777" w:rsidR="00A77B3E" w:rsidRPr="00ED7E26" w:rsidRDefault="00A77B3E" w:rsidP="002508B1">
      <w:pPr>
        <w:spacing w:line="360" w:lineRule="auto"/>
        <w:jc w:val="both"/>
        <w:rPr>
          <w:rFonts w:ascii="Book Antiqua" w:hAnsi="Book Antiqua"/>
        </w:rPr>
      </w:pPr>
    </w:p>
    <w:p w14:paraId="43828115"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bCs/>
        </w:rPr>
        <w:t xml:space="preserve">Open-Access: </w:t>
      </w:r>
      <w:r w:rsidRPr="00ED7E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D7E26">
        <w:rPr>
          <w:rFonts w:ascii="Book Antiqua" w:eastAsia="Book Antiqua" w:hAnsi="Book Antiqua" w:cs="Book Antiqua"/>
        </w:rPr>
        <w:t>NonCommercial</w:t>
      </w:r>
      <w:proofErr w:type="spellEnd"/>
      <w:r w:rsidRPr="00ED7E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9ED966" w14:textId="77777777" w:rsidR="00A77B3E" w:rsidRPr="00ED7E26" w:rsidRDefault="00A77B3E" w:rsidP="002508B1">
      <w:pPr>
        <w:spacing w:line="360" w:lineRule="auto"/>
        <w:jc w:val="both"/>
        <w:rPr>
          <w:rFonts w:ascii="Book Antiqua" w:hAnsi="Book Antiqua"/>
        </w:rPr>
      </w:pPr>
    </w:p>
    <w:p w14:paraId="6906DE91"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Provenance and peer review: </w:t>
      </w:r>
      <w:r w:rsidRPr="00ED7E26">
        <w:rPr>
          <w:rFonts w:ascii="Book Antiqua" w:eastAsia="Book Antiqua" w:hAnsi="Book Antiqua" w:cs="Book Antiqua"/>
        </w:rPr>
        <w:t>Unsolicited article; Externally peer reviewed.</w:t>
      </w:r>
    </w:p>
    <w:p w14:paraId="2396E18E" w14:textId="77777777" w:rsidR="00E57207" w:rsidRPr="00ED7E26" w:rsidRDefault="00E57207" w:rsidP="002508B1">
      <w:pPr>
        <w:spacing w:line="360" w:lineRule="auto"/>
        <w:jc w:val="both"/>
        <w:rPr>
          <w:rFonts w:ascii="Book Antiqua" w:eastAsia="Book Antiqua" w:hAnsi="Book Antiqua" w:cs="Book Antiqua"/>
          <w:b/>
          <w:color w:val="000000"/>
        </w:rPr>
      </w:pPr>
    </w:p>
    <w:p w14:paraId="47954994" w14:textId="52DDD73B"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Peer-review model: </w:t>
      </w:r>
      <w:r w:rsidRPr="00ED7E26">
        <w:rPr>
          <w:rFonts w:ascii="Book Antiqua" w:eastAsia="Book Antiqua" w:hAnsi="Book Antiqua" w:cs="Book Antiqua"/>
        </w:rPr>
        <w:t>Single blind</w:t>
      </w:r>
    </w:p>
    <w:p w14:paraId="45347D18" w14:textId="77777777" w:rsidR="00A77B3E" w:rsidRPr="00ED7E26" w:rsidRDefault="00A77B3E" w:rsidP="002508B1">
      <w:pPr>
        <w:spacing w:line="360" w:lineRule="auto"/>
        <w:jc w:val="both"/>
        <w:rPr>
          <w:rFonts w:ascii="Book Antiqua" w:hAnsi="Book Antiqua"/>
        </w:rPr>
      </w:pPr>
    </w:p>
    <w:p w14:paraId="09AFE2C1"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Peer-review started: </w:t>
      </w:r>
      <w:r w:rsidRPr="00ED7E26">
        <w:rPr>
          <w:rFonts w:ascii="Book Antiqua" w:eastAsia="Book Antiqua" w:hAnsi="Book Antiqua" w:cs="Book Antiqua"/>
        </w:rPr>
        <w:t>December 4, 2022</w:t>
      </w:r>
    </w:p>
    <w:p w14:paraId="3B9AC235"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First decision: </w:t>
      </w:r>
      <w:r w:rsidRPr="00ED7E26">
        <w:rPr>
          <w:rFonts w:ascii="Book Antiqua" w:eastAsia="Book Antiqua" w:hAnsi="Book Antiqua" w:cs="Book Antiqua"/>
        </w:rPr>
        <w:t>February 7, 2023</w:t>
      </w:r>
    </w:p>
    <w:p w14:paraId="3B1938A8" w14:textId="79C7F77B"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Article in press: </w:t>
      </w:r>
      <w:r w:rsidR="000E23B6" w:rsidRPr="00ED7E26">
        <w:rPr>
          <w:rFonts w:ascii="Book Antiqua" w:eastAsia="Book Antiqua" w:hAnsi="Book Antiqua" w:cs="Book Antiqua"/>
          <w:color w:val="000000" w:themeColor="text1"/>
        </w:rPr>
        <w:t>April 6, 2023</w:t>
      </w:r>
    </w:p>
    <w:p w14:paraId="519F50DC" w14:textId="77777777" w:rsidR="00A77B3E" w:rsidRPr="00ED7E26" w:rsidRDefault="00A77B3E" w:rsidP="002508B1">
      <w:pPr>
        <w:spacing w:line="360" w:lineRule="auto"/>
        <w:jc w:val="both"/>
        <w:rPr>
          <w:rFonts w:ascii="Book Antiqua" w:hAnsi="Book Antiqua"/>
        </w:rPr>
      </w:pPr>
    </w:p>
    <w:p w14:paraId="67EDDADE" w14:textId="2B6E0D6A"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Specialty type: </w:t>
      </w:r>
      <w:bookmarkStart w:id="6" w:name="_Hlk124239205"/>
      <w:r w:rsidR="008C4903" w:rsidRPr="00ED7E26">
        <w:rPr>
          <w:rFonts w:ascii="Book Antiqua" w:eastAsia="微软雅黑" w:hAnsi="Book Antiqua" w:cs="宋体"/>
        </w:rPr>
        <w:t>Medicine, research and experimental</w:t>
      </w:r>
      <w:bookmarkEnd w:id="6"/>
    </w:p>
    <w:p w14:paraId="2AF25369"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 xml:space="preserve">Country/Territory of origin: </w:t>
      </w:r>
      <w:r w:rsidRPr="00ED7E26">
        <w:rPr>
          <w:rFonts w:ascii="Book Antiqua" w:eastAsia="Book Antiqua" w:hAnsi="Book Antiqua" w:cs="Book Antiqua"/>
        </w:rPr>
        <w:t>China</w:t>
      </w:r>
    </w:p>
    <w:p w14:paraId="2D76B80A"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b/>
          <w:color w:val="000000"/>
        </w:rPr>
        <w:t>Peer-review report’s scientific quality classification</w:t>
      </w:r>
    </w:p>
    <w:p w14:paraId="3E7F29C1"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rPr>
        <w:t>Grade A (Excellent): 0</w:t>
      </w:r>
    </w:p>
    <w:p w14:paraId="2F71ADF3"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rPr>
        <w:lastRenderedPageBreak/>
        <w:t>Grade B (Very good): 0</w:t>
      </w:r>
    </w:p>
    <w:p w14:paraId="372B1F24"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rPr>
        <w:t>Grade C (Good): C, C</w:t>
      </w:r>
    </w:p>
    <w:p w14:paraId="0C567615"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rPr>
        <w:t>Grade D (Fair): 0</w:t>
      </w:r>
    </w:p>
    <w:p w14:paraId="6BFCBA79" w14:textId="77777777" w:rsidR="00A77B3E" w:rsidRPr="00ED7E26" w:rsidRDefault="00000000" w:rsidP="002508B1">
      <w:pPr>
        <w:spacing w:line="360" w:lineRule="auto"/>
        <w:jc w:val="both"/>
        <w:rPr>
          <w:rFonts w:ascii="Book Antiqua" w:hAnsi="Book Antiqua"/>
        </w:rPr>
      </w:pPr>
      <w:r w:rsidRPr="00ED7E26">
        <w:rPr>
          <w:rFonts w:ascii="Book Antiqua" w:eastAsia="Book Antiqua" w:hAnsi="Book Antiqua" w:cs="Book Antiqua"/>
        </w:rPr>
        <w:t>Grade E (Poor): 0</w:t>
      </w:r>
    </w:p>
    <w:p w14:paraId="598AB2A9" w14:textId="77777777" w:rsidR="00A77B3E" w:rsidRPr="00ED7E26" w:rsidRDefault="00A77B3E" w:rsidP="002508B1">
      <w:pPr>
        <w:spacing w:line="360" w:lineRule="auto"/>
        <w:jc w:val="both"/>
        <w:rPr>
          <w:rFonts w:ascii="Book Antiqua" w:hAnsi="Book Antiqua"/>
        </w:rPr>
      </w:pPr>
    </w:p>
    <w:p w14:paraId="4A34EC04" w14:textId="012464EB" w:rsidR="00A77B3E" w:rsidRPr="00ED7E26" w:rsidRDefault="00000000" w:rsidP="002508B1">
      <w:pPr>
        <w:spacing w:line="360" w:lineRule="auto"/>
        <w:jc w:val="both"/>
        <w:rPr>
          <w:rFonts w:ascii="Book Antiqua" w:eastAsia="Book Antiqua" w:hAnsi="Book Antiqua" w:cs="Book Antiqua"/>
          <w:bCs/>
          <w:color w:val="000000"/>
        </w:rPr>
      </w:pPr>
      <w:r w:rsidRPr="00ED7E26">
        <w:rPr>
          <w:rFonts w:ascii="Book Antiqua" w:eastAsia="Book Antiqua" w:hAnsi="Book Antiqua" w:cs="Book Antiqua"/>
          <w:b/>
          <w:color w:val="000000"/>
        </w:rPr>
        <w:t xml:space="preserve">P-Reviewer: </w:t>
      </w:r>
      <w:proofErr w:type="spellStart"/>
      <w:r w:rsidRPr="00ED7E26">
        <w:rPr>
          <w:rFonts w:ascii="Book Antiqua" w:eastAsia="Book Antiqua" w:hAnsi="Book Antiqua" w:cs="Book Antiqua"/>
        </w:rPr>
        <w:t>Sitkin</w:t>
      </w:r>
      <w:proofErr w:type="spellEnd"/>
      <w:r w:rsidRPr="00ED7E26">
        <w:rPr>
          <w:rFonts w:ascii="Book Antiqua" w:eastAsia="Book Antiqua" w:hAnsi="Book Antiqua" w:cs="Book Antiqua"/>
        </w:rPr>
        <w:t xml:space="preserve"> S, Russia; Souza JLS, Brazil</w:t>
      </w:r>
      <w:r w:rsidRPr="00ED7E26">
        <w:rPr>
          <w:rFonts w:ascii="Book Antiqua" w:eastAsia="Book Antiqua" w:hAnsi="Book Antiqua" w:cs="Book Antiqua"/>
          <w:b/>
          <w:color w:val="000000"/>
        </w:rPr>
        <w:t xml:space="preserve"> S-Editor: </w:t>
      </w:r>
      <w:r w:rsidR="00E57207" w:rsidRPr="00ED7E26">
        <w:rPr>
          <w:rFonts w:ascii="Book Antiqua" w:eastAsia="Book Antiqua" w:hAnsi="Book Antiqua" w:cs="Book Antiqua"/>
          <w:bCs/>
          <w:color w:val="000000"/>
        </w:rPr>
        <w:t>Li L</w:t>
      </w:r>
      <w:r w:rsidRPr="00ED7E26">
        <w:rPr>
          <w:rFonts w:ascii="Book Antiqua" w:eastAsia="Book Antiqua" w:hAnsi="Book Antiqua" w:cs="Book Antiqua"/>
          <w:b/>
          <w:color w:val="000000"/>
        </w:rPr>
        <w:t xml:space="preserve"> L-Editor:</w:t>
      </w:r>
      <w:r w:rsidR="00E15D5A" w:rsidRPr="00ED7E26">
        <w:rPr>
          <w:rFonts w:ascii="Book Antiqua" w:eastAsia="Book Antiqua" w:hAnsi="Book Antiqua" w:cs="Book Antiqua"/>
          <w:b/>
          <w:color w:val="000000"/>
        </w:rPr>
        <w:t xml:space="preserve"> </w:t>
      </w:r>
      <w:r w:rsidR="00646AEC" w:rsidRPr="00ED7E26">
        <w:rPr>
          <w:rFonts w:ascii="Book Antiqua" w:eastAsia="Book Antiqua" w:hAnsi="Book Antiqua" w:cs="Book Antiqua"/>
          <w:bCs/>
          <w:color w:val="000000"/>
        </w:rPr>
        <w:t xml:space="preserve">A </w:t>
      </w:r>
      <w:r w:rsidRPr="00ED7E26">
        <w:rPr>
          <w:rFonts w:ascii="Book Antiqua" w:eastAsia="Book Antiqua" w:hAnsi="Book Antiqua" w:cs="Book Antiqua"/>
          <w:b/>
          <w:color w:val="000000"/>
        </w:rPr>
        <w:t xml:space="preserve">P-Editor: </w:t>
      </w:r>
      <w:r w:rsidR="000E23B6" w:rsidRPr="00ED7E26">
        <w:rPr>
          <w:rFonts w:ascii="Book Antiqua" w:eastAsia="Book Antiqua" w:hAnsi="Book Antiqua" w:cs="Book Antiqua"/>
          <w:bCs/>
          <w:color w:val="000000"/>
        </w:rPr>
        <w:t>Yu HG</w:t>
      </w:r>
    </w:p>
    <w:p w14:paraId="38F4DD3B" w14:textId="032C0127" w:rsidR="00D10CF1" w:rsidRPr="00ED7E26" w:rsidRDefault="00D10CF1" w:rsidP="002508B1">
      <w:pPr>
        <w:spacing w:line="360" w:lineRule="auto"/>
        <w:jc w:val="both"/>
        <w:rPr>
          <w:rFonts w:ascii="Book Antiqua" w:hAnsi="Book Antiqua"/>
        </w:rPr>
        <w:sectPr w:rsidR="00D10CF1" w:rsidRPr="00ED7E26">
          <w:pgSz w:w="12240" w:h="15840"/>
          <w:pgMar w:top="1440" w:right="1440" w:bottom="1440" w:left="1440" w:header="720" w:footer="720" w:gutter="0"/>
          <w:cols w:space="720"/>
          <w:docGrid w:linePitch="360"/>
        </w:sectPr>
      </w:pPr>
    </w:p>
    <w:p w14:paraId="24D7E020" w14:textId="6EBB9570" w:rsidR="00A77B3E" w:rsidRPr="00ED7E26" w:rsidRDefault="00000000" w:rsidP="002508B1">
      <w:pPr>
        <w:spacing w:line="360" w:lineRule="auto"/>
        <w:jc w:val="both"/>
        <w:rPr>
          <w:rFonts w:ascii="Book Antiqua" w:eastAsia="Book Antiqua" w:hAnsi="Book Antiqua" w:cs="Book Antiqua"/>
          <w:b/>
          <w:color w:val="000000"/>
        </w:rPr>
      </w:pPr>
      <w:r w:rsidRPr="00ED7E26">
        <w:rPr>
          <w:rFonts w:ascii="Book Antiqua" w:eastAsia="Book Antiqua" w:hAnsi="Book Antiqua" w:cs="Book Antiqua"/>
          <w:b/>
          <w:color w:val="000000"/>
        </w:rPr>
        <w:lastRenderedPageBreak/>
        <w:t>Figure Legends</w:t>
      </w:r>
    </w:p>
    <w:p w14:paraId="41A188B2" w14:textId="078FE8F2" w:rsidR="00357B6A" w:rsidRPr="00ED7E26" w:rsidRDefault="00E82364" w:rsidP="002508B1">
      <w:pPr>
        <w:spacing w:line="360" w:lineRule="auto"/>
        <w:jc w:val="both"/>
        <w:rPr>
          <w:rFonts w:ascii="Book Antiqua" w:hAnsi="Book Antiqua"/>
        </w:rPr>
      </w:pPr>
      <w:r>
        <w:rPr>
          <w:noProof/>
        </w:rPr>
        <w:drawing>
          <wp:inline distT="0" distB="0" distL="0" distR="0" wp14:anchorId="2DC37B38" wp14:editId="720A1336">
            <wp:extent cx="5943600" cy="5372100"/>
            <wp:effectExtent l="0" t="0" r="0" b="0"/>
            <wp:docPr id="2052817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72100"/>
                    </a:xfrm>
                    <a:prstGeom prst="rect">
                      <a:avLst/>
                    </a:prstGeom>
                    <a:noFill/>
                    <a:ln>
                      <a:noFill/>
                    </a:ln>
                  </pic:spPr>
                </pic:pic>
              </a:graphicData>
            </a:graphic>
          </wp:inline>
        </w:drawing>
      </w:r>
    </w:p>
    <w:p w14:paraId="6F36E2D5" w14:textId="64B3598A" w:rsidR="00E070A2" w:rsidRPr="00ED7E26" w:rsidRDefault="00000000" w:rsidP="00E070A2">
      <w:pPr>
        <w:spacing w:line="360" w:lineRule="auto"/>
        <w:jc w:val="both"/>
        <w:rPr>
          <w:rFonts w:ascii="Book Antiqua" w:eastAsia="Book Antiqua" w:hAnsi="Book Antiqua" w:cs="Book Antiqua"/>
          <w:color w:val="131413"/>
        </w:rPr>
      </w:pPr>
      <w:r w:rsidRPr="00ED7E26">
        <w:rPr>
          <w:rFonts w:ascii="Book Antiqua" w:eastAsia="Book Antiqua" w:hAnsi="Book Antiqua" w:cs="Book Antiqua"/>
          <w:b/>
          <w:bCs/>
          <w:color w:val="131413"/>
        </w:rPr>
        <w:t>Fig</w:t>
      </w:r>
      <w:r w:rsidR="00357B6A" w:rsidRPr="00ED7E26">
        <w:rPr>
          <w:rFonts w:ascii="Book Antiqua" w:eastAsia="Book Antiqua" w:hAnsi="Book Antiqua" w:cs="Book Antiqua"/>
          <w:b/>
          <w:bCs/>
          <w:color w:val="131413"/>
        </w:rPr>
        <w:t>ure</w:t>
      </w:r>
      <w:r w:rsidRPr="00ED7E26">
        <w:rPr>
          <w:rFonts w:ascii="Book Antiqua" w:eastAsia="Book Antiqua" w:hAnsi="Book Antiqua" w:cs="Book Antiqua"/>
          <w:b/>
          <w:bCs/>
          <w:color w:val="131413"/>
        </w:rPr>
        <w:t xml:space="preserve"> 1 Temporal changes in laboratory parameters during treatment and follow-up</w:t>
      </w:r>
      <w:r w:rsidR="009D7CB6" w:rsidRPr="00ED7E26">
        <w:rPr>
          <w:rFonts w:ascii="Book Antiqua" w:eastAsia="Book Antiqua" w:hAnsi="Book Antiqua" w:cs="Book Antiqua"/>
          <w:b/>
          <w:bCs/>
          <w:color w:val="131413"/>
        </w:rPr>
        <w:t>.</w:t>
      </w:r>
      <w:r w:rsidR="00D10CF1" w:rsidRPr="00ED7E26">
        <w:rPr>
          <w:rFonts w:ascii="Book Antiqua" w:eastAsia="Book Antiqua" w:hAnsi="Book Antiqua" w:cs="Book Antiqua"/>
          <w:b/>
          <w:bCs/>
          <w:color w:val="131413"/>
        </w:rPr>
        <w:t xml:space="preserve"> </w:t>
      </w:r>
      <w:r w:rsidR="001E4584" w:rsidRPr="00ED7E26">
        <w:rPr>
          <w:rFonts w:ascii="Book Antiqua" w:eastAsia="Book Antiqua" w:hAnsi="Book Antiqua" w:cs="Book Antiqua"/>
          <w:color w:val="131413"/>
        </w:rPr>
        <w:t>A</w:t>
      </w:r>
      <w:r w:rsidR="009F54A1" w:rsidRPr="00ED7E26">
        <w:rPr>
          <w:rFonts w:ascii="Book Antiqua" w:eastAsia="Book Antiqua" w:hAnsi="Book Antiqua" w:cs="Book Antiqua"/>
          <w:color w:val="131413"/>
        </w:rPr>
        <w:t>: B</w:t>
      </w:r>
      <w:r w:rsidRPr="00ED7E26">
        <w:rPr>
          <w:rFonts w:ascii="Book Antiqua" w:eastAsia="Book Antiqua" w:hAnsi="Book Antiqua" w:cs="Book Antiqua"/>
          <w:color w:val="131413"/>
        </w:rPr>
        <w:t xml:space="preserve">lood </w:t>
      </w:r>
      <w:r w:rsidR="006E634A" w:rsidRPr="00ED7E26">
        <w:rPr>
          <w:rFonts w:ascii="Book Antiqua" w:eastAsia="Book Antiqua" w:hAnsi="Book Antiqua" w:cs="Book Antiqua"/>
          <w:color w:val="131413"/>
        </w:rPr>
        <w:t>g</w:t>
      </w:r>
      <w:r w:rsidRPr="00ED7E26">
        <w:rPr>
          <w:rFonts w:ascii="Book Antiqua" w:eastAsia="Book Antiqua" w:hAnsi="Book Antiqua" w:cs="Book Antiqua"/>
          <w:color w:val="131413"/>
        </w:rPr>
        <w:t>lucose</w:t>
      </w:r>
      <w:r w:rsidR="001E4584" w:rsidRPr="00ED7E26">
        <w:rPr>
          <w:rFonts w:ascii="Book Antiqua" w:eastAsia="Book Antiqua" w:hAnsi="Book Antiqua" w:cs="Book Antiqua"/>
          <w:color w:val="131413"/>
        </w:rPr>
        <w:t>; B</w:t>
      </w:r>
      <w:r w:rsidR="009F54A1" w:rsidRPr="00ED7E26">
        <w:rPr>
          <w:rFonts w:ascii="Book Antiqua" w:eastAsia="Book Antiqua" w:hAnsi="Book Antiqua" w:cs="Book Antiqua"/>
          <w:color w:val="131413"/>
        </w:rPr>
        <w:t>: A</w:t>
      </w:r>
      <w:r w:rsidR="001E4584" w:rsidRPr="00ED7E26">
        <w:rPr>
          <w:rFonts w:ascii="Book Antiqua" w:eastAsia="Book Antiqua" w:hAnsi="Book Antiqua" w:cs="Book Antiqua"/>
          <w:color w:val="131413"/>
        </w:rPr>
        <w:t>mylase; C</w:t>
      </w:r>
      <w:r w:rsidR="009F54A1" w:rsidRPr="00ED7E26">
        <w:rPr>
          <w:rFonts w:ascii="Book Antiqua" w:eastAsia="Book Antiqua" w:hAnsi="Book Antiqua" w:cs="Book Antiqua"/>
          <w:color w:val="131413"/>
        </w:rPr>
        <w:t>: S</w:t>
      </w:r>
      <w:r w:rsidRPr="00ED7E26">
        <w:rPr>
          <w:rFonts w:ascii="Book Antiqua" w:eastAsia="Book Antiqua" w:hAnsi="Book Antiqua" w:cs="Book Antiqua"/>
          <w:color w:val="131413"/>
        </w:rPr>
        <w:t xml:space="preserve">erum creatinine; </w:t>
      </w:r>
      <w:r w:rsidR="00E070A2" w:rsidRPr="00ED7E26">
        <w:rPr>
          <w:rFonts w:ascii="Book Antiqua" w:eastAsia="Book Antiqua" w:hAnsi="Book Antiqua" w:cs="Book Antiqua"/>
          <w:color w:val="131413"/>
        </w:rPr>
        <w:t>D</w:t>
      </w:r>
      <w:r w:rsidR="009F54A1" w:rsidRPr="00ED7E26">
        <w:rPr>
          <w:rFonts w:ascii="Book Antiqua" w:eastAsia="Book Antiqua" w:hAnsi="Book Antiqua" w:cs="Book Antiqua"/>
          <w:color w:val="131413"/>
        </w:rPr>
        <w:t>: S</w:t>
      </w:r>
      <w:r w:rsidR="00E070A2" w:rsidRPr="00ED7E26">
        <w:rPr>
          <w:rFonts w:ascii="Book Antiqua" w:eastAsia="Book Antiqua" w:hAnsi="Book Antiqua" w:cs="Book Antiqua"/>
          <w:color w:val="131413"/>
        </w:rPr>
        <w:t>erum sodium; E</w:t>
      </w:r>
      <w:r w:rsidR="009F54A1" w:rsidRPr="00ED7E26">
        <w:rPr>
          <w:rFonts w:ascii="Book Antiqua" w:eastAsia="Book Antiqua" w:hAnsi="Book Antiqua" w:cs="Book Antiqua"/>
          <w:color w:val="131413"/>
        </w:rPr>
        <w:t>: C</w:t>
      </w:r>
      <w:r w:rsidR="00E070A2" w:rsidRPr="00ED7E26">
        <w:rPr>
          <w:rFonts w:ascii="Book Antiqua" w:eastAsia="Book Antiqua" w:hAnsi="Book Antiqua" w:cs="Book Antiqua"/>
          <w:color w:val="131413"/>
        </w:rPr>
        <w:t>-reactive protein; F</w:t>
      </w:r>
      <w:r w:rsidR="009F54A1" w:rsidRPr="00ED7E26">
        <w:rPr>
          <w:rFonts w:ascii="Book Antiqua" w:eastAsia="Book Antiqua" w:hAnsi="Book Antiqua" w:cs="Book Antiqua"/>
          <w:color w:val="131413"/>
        </w:rPr>
        <w:t>: C</w:t>
      </w:r>
      <w:r w:rsidR="00E070A2" w:rsidRPr="00ED7E26">
        <w:rPr>
          <w:rFonts w:ascii="Book Antiqua" w:eastAsia="Book Antiqua" w:hAnsi="Book Antiqua" w:cs="Book Antiqua"/>
          <w:color w:val="131413"/>
        </w:rPr>
        <w:t>reatine kinase</w:t>
      </w:r>
      <w:r w:rsidR="002F7226" w:rsidRPr="00ED7E26">
        <w:rPr>
          <w:rFonts w:ascii="Book Antiqua" w:eastAsia="Book Antiqua" w:hAnsi="Book Antiqua" w:cs="Book Antiqua"/>
          <w:color w:val="131413"/>
        </w:rPr>
        <w:t>.</w:t>
      </w:r>
    </w:p>
    <w:p w14:paraId="01B3F1BF" w14:textId="77777777" w:rsidR="00F370D3" w:rsidRPr="00ED7E26" w:rsidRDefault="00F370D3" w:rsidP="002508B1">
      <w:pPr>
        <w:spacing w:line="360" w:lineRule="auto"/>
        <w:jc w:val="both"/>
        <w:rPr>
          <w:rFonts w:ascii="Book Antiqua" w:hAnsi="Book Antiqua"/>
        </w:rPr>
      </w:pPr>
    </w:p>
    <w:p w14:paraId="5A947833" w14:textId="157F797C" w:rsidR="00A77B3E" w:rsidRPr="00ED7E26" w:rsidRDefault="00E82364" w:rsidP="002508B1">
      <w:pPr>
        <w:spacing w:line="360" w:lineRule="auto"/>
        <w:jc w:val="both"/>
        <w:rPr>
          <w:rFonts w:ascii="Book Antiqua" w:hAnsi="Book Antiqua"/>
        </w:rPr>
      </w:pPr>
      <w:r>
        <w:rPr>
          <w:noProof/>
        </w:rPr>
        <w:lastRenderedPageBreak/>
        <w:drawing>
          <wp:inline distT="0" distB="0" distL="0" distR="0" wp14:anchorId="62E81C31" wp14:editId="4A0AA597">
            <wp:extent cx="5600700" cy="3530600"/>
            <wp:effectExtent l="0" t="0" r="0" b="0"/>
            <wp:docPr id="388108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530600"/>
                    </a:xfrm>
                    <a:prstGeom prst="rect">
                      <a:avLst/>
                    </a:prstGeom>
                    <a:noFill/>
                    <a:ln>
                      <a:noFill/>
                    </a:ln>
                  </pic:spPr>
                </pic:pic>
              </a:graphicData>
            </a:graphic>
          </wp:inline>
        </w:drawing>
      </w:r>
    </w:p>
    <w:p w14:paraId="0CD43025" w14:textId="3ABB3262" w:rsidR="00A77B3E" w:rsidRPr="00ED7E26" w:rsidRDefault="00357B6A" w:rsidP="002508B1">
      <w:pPr>
        <w:spacing w:line="360" w:lineRule="auto"/>
        <w:jc w:val="both"/>
        <w:rPr>
          <w:rFonts w:ascii="Book Antiqua" w:eastAsia="Book Antiqua" w:hAnsi="Book Antiqua" w:cs="Book Antiqua"/>
          <w:b/>
          <w:bCs/>
          <w:color w:val="221E1F"/>
        </w:rPr>
      </w:pPr>
      <w:r w:rsidRPr="00ED7E26">
        <w:rPr>
          <w:rFonts w:ascii="Book Antiqua" w:eastAsia="Book Antiqua" w:hAnsi="Book Antiqua" w:cs="Book Antiqua"/>
          <w:b/>
          <w:bCs/>
          <w:color w:val="131413"/>
        </w:rPr>
        <w:t>Figure</w:t>
      </w:r>
      <w:r w:rsidRPr="00ED7E26">
        <w:rPr>
          <w:rFonts w:ascii="Book Antiqua" w:eastAsia="Book Antiqua" w:hAnsi="Book Antiqua" w:cs="Book Antiqua"/>
          <w:b/>
          <w:bCs/>
          <w:color w:val="221E1F"/>
        </w:rPr>
        <w:t xml:space="preserve"> 2 Colonoscopy and abdominal </w:t>
      </w:r>
      <w:r w:rsidR="000F142A" w:rsidRPr="00ED7E26">
        <w:rPr>
          <w:rFonts w:ascii="Book Antiqua" w:eastAsia="Book Antiqua" w:hAnsi="Book Antiqua" w:cs="Book Antiqua"/>
          <w:b/>
          <w:bCs/>
          <w:color w:val="221E1F"/>
        </w:rPr>
        <w:t>computed tomography</w:t>
      </w:r>
      <w:r w:rsidRPr="00ED7E26">
        <w:rPr>
          <w:rFonts w:ascii="Book Antiqua" w:eastAsia="Book Antiqua" w:hAnsi="Book Antiqua" w:cs="Book Antiqua"/>
          <w:b/>
          <w:bCs/>
          <w:color w:val="221E1F"/>
        </w:rPr>
        <w:t xml:space="preserve"> examination</w:t>
      </w:r>
      <w:r w:rsidR="002C66FB" w:rsidRPr="00ED7E26">
        <w:rPr>
          <w:rFonts w:ascii="Book Antiqua" w:eastAsia="Book Antiqua" w:hAnsi="Book Antiqua" w:cs="Book Antiqua"/>
          <w:b/>
          <w:bCs/>
          <w:color w:val="221E1F"/>
        </w:rPr>
        <w:t>.</w:t>
      </w:r>
      <w:r w:rsidR="00D10CF1" w:rsidRPr="00ED7E26">
        <w:rPr>
          <w:rFonts w:ascii="Book Antiqua" w:eastAsia="Book Antiqua" w:hAnsi="Book Antiqua" w:cs="Book Antiqua"/>
          <w:b/>
          <w:bCs/>
          <w:color w:val="221E1F"/>
        </w:rPr>
        <w:t xml:space="preserve"> </w:t>
      </w:r>
      <w:r w:rsidR="00035CA9" w:rsidRPr="00ED7E26">
        <w:rPr>
          <w:rFonts w:ascii="Book Antiqua" w:eastAsia="Book Antiqua" w:hAnsi="Book Antiqua" w:cs="Book Antiqua"/>
          <w:color w:val="221E1F"/>
        </w:rPr>
        <w:t>A</w:t>
      </w:r>
      <w:r w:rsidR="009F54A1" w:rsidRPr="00ED7E26">
        <w:rPr>
          <w:rFonts w:ascii="Book Antiqua" w:eastAsia="Book Antiqua" w:hAnsi="Book Antiqua" w:cs="Book Antiqua"/>
          <w:color w:val="221E1F"/>
        </w:rPr>
        <w:t>: E</w:t>
      </w:r>
      <w:r w:rsidR="00035CA9" w:rsidRPr="00ED7E26">
        <w:rPr>
          <w:rFonts w:ascii="Book Antiqua" w:eastAsia="Book Antiqua" w:hAnsi="Book Antiqua" w:cs="Book Antiqua"/>
          <w:color w:val="221E1F"/>
        </w:rPr>
        <w:t>lectronic colonoscopy image; B</w:t>
      </w:r>
      <w:r w:rsidR="009F54A1" w:rsidRPr="00ED7E26">
        <w:rPr>
          <w:rFonts w:ascii="Book Antiqua" w:eastAsia="Book Antiqua" w:hAnsi="Book Antiqua" w:cs="Book Antiqua"/>
          <w:color w:val="221E1F"/>
        </w:rPr>
        <w:t>:</w:t>
      </w:r>
      <w:r w:rsidR="009F54A1" w:rsidRPr="00ED7E26">
        <w:t xml:space="preserve"> </w:t>
      </w:r>
      <w:r w:rsidR="009F54A1" w:rsidRPr="00ED7E26">
        <w:rPr>
          <w:rFonts w:ascii="Book Antiqua" w:eastAsia="Book Antiqua" w:hAnsi="Book Antiqua" w:cs="Book Antiqua"/>
          <w:color w:val="221E1F"/>
        </w:rPr>
        <w:t>A</w:t>
      </w:r>
      <w:r w:rsidR="00035CA9" w:rsidRPr="00ED7E26">
        <w:rPr>
          <w:rFonts w:ascii="Book Antiqua" w:eastAsia="Book Antiqua" w:hAnsi="Book Antiqua" w:cs="Book Antiqua"/>
          <w:color w:val="221E1F"/>
        </w:rPr>
        <w:t xml:space="preserve">bdominal </w:t>
      </w:r>
      <w:r w:rsidR="001738D1" w:rsidRPr="00ED7E26">
        <w:rPr>
          <w:rFonts w:ascii="Book Antiqua" w:eastAsia="Book Antiqua" w:hAnsi="Book Antiqua" w:cs="Book Antiqua"/>
          <w:color w:val="000000"/>
        </w:rPr>
        <w:t>computed tomography</w:t>
      </w:r>
      <w:r w:rsidR="00035CA9" w:rsidRPr="00ED7E26">
        <w:rPr>
          <w:rFonts w:ascii="Book Antiqua" w:eastAsia="Book Antiqua" w:hAnsi="Book Antiqua" w:cs="Book Antiqua"/>
          <w:color w:val="221E1F"/>
        </w:rPr>
        <w:t xml:space="preserve"> scan</w:t>
      </w:r>
      <w:r w:rsidR="001738D1" w:rsidRPr="00ED7E26">
        <w:rPr>
          <w:rFonts w:ascii="Book Antiqua" w:eastAsia="Book Antiqua" w:hAnsi="Book Antiqua" w:cs="Book Antiqua"/>
          <w:color w:val="221E1F"/>
        </w:rPr>
        <w:t>.</w:t>
      </w:r>
    </w:p>
    <w:p w14:paraId="68D24496" w14:textId="77777777" w:rsidR="00357B6A" w:rsidRPr="00ED7E26" w:rsidRDefault="00357B6A" w:rsidP="002508B1">
      <w:pPr>
        <w:spacing w:line="360" w:lineRule="auto"/>
        <w:jc w:val="both"/>
        <w:rPr>
          <w:rFonts w:ascii="Book Antiqua" w:hAnsi="Book Antiqua"/>
        </w:rPr>
      </w:pPr>
    </w:p>
    <w:p w14:paraId="4347B955" w14:textId="0104DA9A" w:rsidR="00A77B3E" w:rsidRPr="00ED7E26" w:rsidRDefault="00E82364" w:rsidP="002508B1">
      <w:pPr>
        <w:spacing w:line="360" w:lineRule="auto"/>
        <w:jc w:val="both"/>
        <w:rPr>
          <w:rFonts w:ascii="Book Antiqua" w:hAnsi="Book Antiqua"/>
        </w:rPr>
      </w:pPr>
      <w:r>
        <w:rPr>
          <w:noProof/>
        </w:rPr>
        <w:drawing>
          <wp:inline distT="0" distB="0" distL="0" distR="0" wp14:anchorId="45E57794" wp14:editId="2632AC33">
            <wp:extent cx="5969000" cy="3403600"/>
            <wp:effectExtent l="0" t="0" r="0" b="6350"/>
            <wp:docPr id="8603553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0" cy="3403600"/>
                    </a:xfrm>
                    <a:prstGeom prst="rect">
                      <a:avLst/>
                    </a:prstGeom>
                    <a:noFill/>
                    <a:ln>
                      <a:noFill/>
                    </a:ln>
                  </pic:spPr>
                </pic:pic>
              </a:graphicData>
            </a:graphic>
          </wp:inline>
        </w:drawing>
      </w:r>
    </w:p>
    <w:p w14:paraId="319DCD11" w14:textId="19EA5E58" w:rsidR="00A77B3E" w:rsidRPr="00ED7E26" w:rsidRDefault="00357B6A" w:rsidP="002508B1">
      <w:pPr>
        <w:spacing w:line="360" w:lineRule="auto"/>
        <w:jc w:val="both"/>
        <w:rPr>
          <w:rFonts w:ascii="Book Antiqua" w:eastAsia="Book Antiqua" w:hAnsi="Book Antiqua" w:cs="Book Antiqua"/>
          <w:color w:val="221E1F"/>
        </w:rPr>
      </w:pPr>
      <w:r w:rsidRPr="00ED7E26">
        <w:rPr>
          <w:rFonts w:ascii="Book Antiqua" w:eastAsia="Book Antiqua" w:hAnsi="Book Antiqua" w:cs="Book Antiqua"/>
          <w:b/>
          <w:bCs/>
          <w:color w:val="131413"/>
        </w:rPr>
        <w:lastRenderedPageBreak/>
        <w:t>Figure</w:t>
      </w:r>
      <w:r w:rsidRPr="00ED7E26">
        <w:rPr>
          <w:rFonts w:ascii="Book Antiqua" w:eastAsia="Book Antiqua" w:hAnsi="Book Antiqua" w:cs="Book Antiqua"/>
          <w:b/>
          <w:bCs/>
          <w:color w:val="221E1F"/>
        </w:rPr>
        <w:t xml:space="preserve"> 3 </w:t>
      </w:r>
      <w:r w:rsidR="000F142A" w:rsidRPr="00ED7E26">
        <w:rPr>
          <w:rFonts w:ascii="Book Antiqua" w:eastAsia="Book Antiqua" w:hAnsi="Book Antiqua" w:cs="Book Antiqua"/>
          <w:b/>
          <w:bCs/>
          <w:color w:val="221E1F"/>
        </w:rPr>
        <w:t>Hematoxylin and eosin</w:t>
      </w:r>
      <w:r w:rsidRPr="00ED7E26">
        <w:rPr>
          <w:rFonts w:ascii="Book Antiqua" w:eastAsia="Book Antiqua" w:hAnsi="Book Antiqua" w:cs="Book Antiqua"/>
          <w:b/>
          <w:bCs/>
          <w:color w:val="221E1F"/>
        </w:rPr>
        <w:t>-stained sections of terminal ileum</w:t>
      </w:r>
      <w:r w:rsidR="000F142A" w:rsidRPr="00ED7E26">
        <w:rPr>
          <w:rFonts w:ascii="Book Antiqua" w:eastAsia="Book Antiqua" w:hAnsi="Book Antiqua" w:cs="Book Antiqua"/>
          <w:b/>
          <w:bCs/>
          <w:color w:val="221E1F"/>
        </w:rPr>
        <w:t>.</w:t>
      </w:r>
      <w:r w:rsidR="004F2B3C" w:rsidRPr="00ED7E26">
        <w:rPr>
          <w:rFonts w:ascii="Book Antiqua" w:eastAsia="Book Antiqua" w:hAnsi="Book Antiqua" w:cs="Book Antiqua"/>
          <w:b/>
          <w:bCs/>
          <w:color w:val="221E1F"/>
        </w:rPr>
        <w:t xml:space="preserve"> </w:t>
      </w:r>
      <w:r w:rsidR="004F2B3C" w:rsidRPr="00ED7E26">
        <w:rPr>
          <w:rFonts w:ascii="Book Antiqua" w:eastAsia="Book Antiqua" w:hAnsi="Book Antiqua" w:cs="Book Antiqua"/>
          <w:color w:val="221E1F"/>
        </w:rPr>
        <w:t>A:</w:t>
      </w:r>
      <w:r w:rsidR="00650E4E" w:rsidRPr="00ED7E26">
        <w:t xml:space="preserve"> </w:t>
      </w:r>
      <w:r w:rsidR="00650E4E" w:rsidRPr="00ED7E26">
        <w:rPr>
          <w:rFonts w:ascii="Book Antiqua" w:eastAsia="Book Antiqua" w:hAnsi="Book Antiqua" w:cs="Book Antiqua"/>
          <w:color w:val="221E1F"/>
        </w:rPr>
        <w:t>5 times amplification by microscope of the lesions in intestine; B: 50 times amplification by microscope of the lesions in</w:t>
      </w:r>
      <w:r w:rsidR="00E15D5A" w:rsidRPr="00ED7E26">
        <w:rPr>
          <w:rFonts w:ascii="Book Antiqua" w:eastAsia="Book Antiqua" w:hAnsi="Book Antiqua" w:cs="Book Antiqua"/>
          <w:color w:val="221E1F"/>
        </w:rPr>
        <w:t xml:space="preserve"> </w:t>
      </w:r>
      <w:r w:rsidR="00650E4E" w:rsidRPr="00ED7E26">
        <w:rPr>
          <w:rFonts w:ascii="Book Antiqua" w:eastAsia="Book Antiqua" w:hAnsi="Book Antiqua" w:cs="Book Antiqua"/>
          <w:color w:val="221E1F"/>
        </w:rPr>
        <w:t>intestine; C: 100 times amplification by microscope of the lesions in intestine; D: 200 times amplification by microscope of the lesions in intestine</w:t>
      </w:r>
      <w:r w:rsidR="007054E8" w:rsidRPr="00ED7E26">
        <w:rPr>
          <w:rFonts w:ascii="Book Antiqua" w:eastAsia="Book Antiqua" w:hAnsi="Book Antiqua" w:cs="Book Antiqua"/>
          <w:color w:val="221E1F"/>
        </w:rPr>
        <w:t>.</w:t>
      </w:r>
    </w:p>
    <w:p w14:paraId="18082E7D" w14:textId="77777777" w:rsidR="002508B1" w:rsidRPr="00ED7E26" w:rsidRDefault="002508B1" w:rsidP="002508B1">
      <w:pPr>
        <w:spacing w:line="360" w:lineRule="auto"/>
        <w:jc w:val="both"/>
        <w:rPr>
          <w:rFonts w:ascii="Book Antiqua" w:eastAsia="Book Antiqua" w:hAnsi="Book Antiqua" w:cs="Book Antiqua"/>
          <w:color w:val="221E1F"/>
        </w:rPr>
      </w:pPr>
    </w:p>
    <w:p w14:paraId="5992141C" w14:textId="77777777" w:rsidR="007456FF" w:rsidRPr="00ED7E26" w:rsidRDefault="00F370D3" w:rsidP="007456FF">
      <w:pPr>
        <w:spacing w:line="360" w:lineRule="auto"/>
        <w:jc w:val="both"/>
        <w:rPr>
          <w:rFonts w:ascii="Book Antiqua" w:hAnsi="Book Antiqua"/>
          <w:color w:val="131413"/>
        </w:rPr>
      </w:pPr>
      <w:r w:rsidRPr="00ED7E26">
        <w:rPr>
          <w:rFonts w:ascii="Book Antiqua" w:eastAsia="Book Antiqua" w:hAnsi="Book Antiqua" w:cs="Book Antiqua"/>
          <w:color w:val="221E1F"/>
        </w:rPr>
        <w:br w:type="page"/>
      </w:r>
      <w:r w:rsidR="002508B1" w:rsidRPr="00ED7E26">
        <w:rPr>
          <w:rFonts w:ascii="Book Antiqua" w:hAnsi="Book Antiqua"/>
          <w:b/>
          <w:bCs/>
          <w:color w:val="131413"/>
        </w:rPr>
        <w:lastRenderedPageBreak/>
        <w:t>Table 1 Results of laboratory investigations in the emergency room</w:t>
      </w:r>
    </w:p>
    <w:tbl>
      <w:tblPr>
        <w:tblStyle w:val="a3"/>
        <w:tblW w:w="84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33"/>
        <w:gridCol w:w="2766"/>
      </w:tblGrid>
      <w:tr w:rsidR="007456FF" w:rsidRPr="00ED7E26" w14:paraId="3BC41458" w14:textId="77777777" w:rsidTr="004C73EA">
        <w:tc>
          <w:tcPr>
            <w:tcW w:w="3544" w:type="dxa"/>
            <w:tcBorders>
              <w:bottom w:val="single" w:sz="4" w:space="0" w:color="auto"/>
            </w:tcBorders>
          </w:tcPr>
          <w:p w14:paraId="541A67EA" w14:textId="77777777" w:rsidR="007456FF" w:rsidRPr="00ED7E26" w:rsidRDefault="007456FF" w:rsidP="004C73EA">
            <w:pPr>
              <w:pStyle w:val="Default"/>
              <w:spacing w:line="360" w:lineRule="auto"/>
              <w:jc w:val="both"/>
              <w:rPr>
                <w:rFonts w:ascii="Book Antiqua" w:hAnsi="Book Antiqua" w:cs="Times New Roman"/>
                <w:b/>
                <w:bCs/>
                <w:color w:val="131413"/>
              </w:rPr>
            </w:pPr>
            <w:r w:rsidRPr="00ED7E26">
              <w:rPr>
                <w:rFonts w:ascii="Book Antiqua" w:hAnsi="Book Antiqua" w:cs="Times New Roman"/>
                <w:b/>
                <w:bCs/>
                <w:color w:val="131413"/>
              </w:rPr>
              <w:t>Investigation</w:t>
            </w:r>
          </w:p>
        </w:tc>
        <w:tc>
          <w:tcPr>
            <w:tcW w:w="2133" w:type="dxa"/>
            <w:tcBorders>
              <w:bottom w:val="single" w:sz="4" w:space="0" w:color="auto"/>
            </w:tcBorders>
          </w:tcPr>
          <w:p w14:paraId="14114B82" w14:textId="77777777" w:rsidR="007456FF" w:rsidRPr="00ED7E26" w:rsidRDefault="007456FF" w:rsidP="004C73EA">
            <w:pPr>
              <w:pStyle w:val="Default"/>
              <w:spacing w:line="360" w:lineRule="auto"/>
              <w:jc w:val="both"/>
              <w:rPr>
                <w:rFonts w:ascii="Book Antiqua" w:hAnsi="Book Antiqua" w:cs="Times New Roman"/>
                <w:b/>
                <w:bCs/>
                <w:color w:val="131413"/>
              </w:rPr>
            </w:pPr>
            <w:r w:rsidRPr="00ED7E26">
              <w:rPr>
                <w:rFonts w:ascii="Book Antiqua" w:hAnsi="Book Antiqua" w:cs="Times New Roman"/>
                <w:b/>
                <w:bCs/>
                <w:color w:val="131413"/>
              </w:rPr>
              <w:t>Value</w:t>
            </w:r>
          </w:p>
        </w:tc>
        <w:tc>
          <w:tcPr>
            <w:tcW w:w="2766" w:type="dxa"/>
            <w:tcBorders>
              <w:bottom w:val="single" w:sz="4" w:space="0" w:color="auto"/>
            </w:tcBorders>
          </w:tcPr>
          <w:p w14:paraId="768A8959" w14:textId="77777777" w:rsidR="007456FF" w:rsidRPr="00ED7E26" w:rsidRDefault="007456FF" w:rsidP="004C73EA">
            <w:pPr>
              <w:pStyle w:val="Default"/>
              <w:spacing w:line="360" w:lineRule="auto"/>
              <w:jc w:val="both"/>
              <w:rPr>
                <w:rFonts w:ascii="Book Antiqua" w:hAnsi="Book Antiqua" w:cs="Times New Roman"/>
                <w:b/>
                <w:bCs/>
                <w:color w:val="131413"/>
              </w:rPr>
            </w:pPr>
            <w:r w:rsidRPr="00ED7E26">
              <w:rPr>
                <w:rFonts w:ascii="Book Antiqua" w:hAnsi="Book Antiqua" w:cs="Times New Roman"/>
                <w:b/>
                <w:bCs/>
                <w:color w:val="131413"/>
              </w:rPr>
              <w:t>Reference range</w:t>
            </w:r>
          </w:p>
        </w:tc>
      </w:tr>
      <w:tr w:rsidR="007456FF" w:rsidRPr="00ED7E26" w14:paraId="67243510" w14:textId="77777777" w:rsidTr="004C73EA">
        <w:tc>
          <w:tcPr>
            <w:tcW w:w="3544" w:type="dxa"/>
            <w:tcBorders>
              <w:top w:val="single" w:sz="4" w:space="0" w:color="auto"/>
              <w:bottom w:val="nil"/>
            </w:tcBorders>
          </w:tcPr>
          <w:p w14:paraId="6C4D34EE"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Blood gas analysis</w:t>
            </w:r>
          </w:p>
        </w:tc>
        <w:tc>
          <w:tcPr>
            <w:tcW w:w="2133" w:type="dxa"/>
            <w:tcBorders>
              <w:top w:val="single" w:sz="4" w:space="0" w:color="auto"/>
              <w:bottom w:val="nil"/>
            </w:tcBorders>
          </w:tcPr>
          <w:p w14:paraId="68F47ACE" w14:textId="77777777" w:rsidR="007456FF" w:rsidRPr="00ED7E26" w:rsidRDefault="007456FF" w:rsidP="004C73EA">
            <w:pPr>
              <w:pStyle w:val="Default"/>
              <w:spacing w:line="360" w:lineRule="auto"/>
              <w:jc w:val="both"/>
              <w:rPr>
                <w:rFonts w:ascii="Book Antiqua" w:hAnsi="Book Antiqua" w:cs="Times New Roman"/>
                <w:color w:val="131413"/>
              </w:rPr>
            </w:pPr>
          </w:p>
        </w:tc>
        <w:tc>
          <w:tcPr>
            <w:tcW w:w="2766" w:type="dxa"/>
            <w:tcBorders>
              <w:top w:val="single" w:sz="4" w:space="0" w:color="auto"/>
              <w:bottom w:val="nil"/>
            </w:tcBorders>
          </w:tcPr>
          <w:p w14:paraId="061823DB" w14:textId="77777777" w:rsidR="007456FF" w:rsidRPr="00ED7E26" w:rsidRDefault="007456FF" w:rsidP="004C73EA">
            <w:pPr>
              <w:pStyle w:val="Default"/>
              <w:spacing w:line="360" w:lineRule="auto"/>
              <w:jc w:val="both"/>
              <w:rPr>
                <w:rFonts w:ascii="Book Antiqua" w:hAnsi="Book Antiqua" w:cs="Times New Roman"/>
                <w:color w:val="131413"/>
              </w:rPr>
            </w:pPr>
          </w:p>
        </w:tc>
      </w:tr>
      <w:tr w:rsidR="007456FF" w:rsidRPr="00ED7E26" w14:paraId="5E42B3CD" w14:textId="77777777" w:rsidTr="004C73EA">
        <w:tc>
          <w:tcPr>
            <w:tcW w:w="3544" w:type="dxa"/>
            <w:tcBorders>
              <w:top w:val="nil"/>
            </w:tcBorders>
          </w:tcPr>
          <w:p w14:paraId="7314A2F7"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pH</w:t>
            </w:r>
          </w:p>
        </w:tc>
        <w:tc>
          <w:tcPr>
            <w:tcW w:w="2133" w:type="dxa"/>
            <w:tcBorders>
              <w:top w:val="nil"/>
            </w:tcBorders>
          </w:tcPr>
          <w:p w14:paraId="79BCDD1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7.008</w:t>
            </w:r>
          </w:p>
        </w:tc>
        <w:tc>
          <w:tcPr>
            <w:tcW w:w="2766" w:type="dxa"/>
            <w:tcBorders>
              <w:top w:val="nil"/>
            </w:tcBorders>
          </w:tcPr>
          <w:p w14:paraId="5D7B4CE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7.35</w:t>
            </w:r>
            <w:bookmarkStart w:id="7" w:name="_Hlk108863254"/>
            <w:r w:rsidRPr="00ED7E26">
              <w:rPr>
                <w:rFonts w:ascii="Book Antiqua" w:hAnsi="Book Antiqua" w:cs="Times New Roman"/>
                <w:color w:val="3B3E4D"/>
              </w:rPr>
              <w:t>–</w:t>
            </w:r>
            <w:bookmarkEnd w:id="7"/>
            <w:r w:rsidRPr="00ED7E26">
              <w:rPr>
                <w:rFonts w:ascii="Book Antiqua" w:hAnsi="Book Antiqua" w:cs="Times New Roman"/>
                <w:color w:val="131413"/>
              </w:rPr>
              <w:t>7.45</w:t>
            </w:r>
          </w:p>
        </w:tc>
      </w:tr>
      <w:tr w:rsidR="007456FF" w:rsidRPr="00ED7E26" w14:paraId="017E7A42" w14:textId="77777777" w:rsidTr="004C73EA">
        <w:tc>
          <w:tcPr>
            <w:tcW w:w="3544" w:type="dxa"/>
          </w:tcPr>
          <w:p w14:paraId="3FF8B6E9"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base excess (mmol/L)</w:t>
            </w:r>
          </w:p>
        </w:tc>
        <w:tc>
          <w:tcPr>
            <w:tcW w:w="2133" w:type="dxa"/>
          </w:tcPr>
          <w:p w14:paraId="438DD0A7"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-26.2</w:t>
            </w:r>
          </w:p>
        </w:tc>
        <w:tc>
          <w:tcPr>
            <w:tcW w:w="2766" w:type="dxa"/>
          </w:tcPr>
          <w:p w14:paraId="328A5F80"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 to 3</w:t>
            </w:r>
          </w:p>
        </w:tc>
      </w:tr>
      <w:tr w:rsidR="007456FF" w:rsidRPr="00ED7E26" w14:paraId="1B91CD8D" w14:textId="77777777" w:rsidTr="004C73EA">
        <w:tc>
          <w:tcPr>
            <w:tcW w:w="3544" w:type="dxa"/>
          </w:tcPr>
          <w:p w14:paraId="6C24F7C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lactic acid (mmol/L)</w:t>
            </w:r>
          </w:p>
        </w:tc>
        <w:tc>
          <w:tcPr>
            <w:tcW w:w="2133" w:type="dxa"/>
          </w:tcPr>
          <w:p w14:paraId="6141E01C"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3.7</w:t>
            </w:r>
          </w:p>
        </w:tc>
        <w:tc>
          <w:tcPr>
            <w:tcW w:w="2766" w:type="dxa"/>
          </w:tcPr>
          <w:p w14:paraId="373F89A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0.4</w:t>
            </w:r>
            <w:r w:rsidRPr="00ED7E26">
              <w:rPr>
                <w:rFonts w:ascii="Book Antiqua" w:hAnsi="Book Antiqua" w:cs="Times New Roman"/>
                <w:color w:val="3B3E4D"/>
              </w:rPr>
              <w:t>–</w:t>
            </w:r>
            <w:r w:rsidRPr="00ED7E26">
              <w:rPr>
                <w:rFonts w:ascii="Book Antiqua" w:hAnsi="Book Antiqua" w:cs="Times New Roman"/>
                <w:color w:val="131413"/>
              </w:rPr>
              <w:t>2.2</w:t>
            </w:r>
          </w:p>
        </w:tc>
      </w:tr>
      <w:tr w:rsidR="007456FF" w:rsidRPr="00ED7E26" w14:paraId="419EA6BC" w14:textId="77777777" w:rsidTr="004C73EA">
        <w:tc>
          <w:tcPr>
            <w:tcW w:w="3544" w:type="dxa"/>
          </w:tcPr>
          <w:p w14:paraId="43875EE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Blood biochemical analysis</w:t>
            </w:r>
          </w:p>
        </w:tc>
        <w:tc>
          <w:tcPr>
            <w:tcW w:w="2133" w:type="dxa"/>
          </w:tcPr>
          <w:p w14:paraId="3B51BFF4" w14:textId="77777777" w:rsidR="007456FF" w:rsidRPr="00ED7E26" w:rsidRDefault="007456FF" w:rsidP="004C73EA">
            <w:pPr>
              <w:pStyle w:val="Default"/>
              <w:spacing w:line="360" w:lineRule="auto"/>
              <w:jc w:val="both"/>
              <w:rPr>
                <w:rFonts w:ascii="Book Antiqua" w:hAnsi="Book Antiqua" w:cs="Times New Roman"/>
                <w:color w:val="131413"/>
              </w:rPr>
            </w:pPr>
          </w:p>
        </w:tc>
        <w:tc>
          <w:tcPr>
            <w:tcW w:w="2766" w:type="dxa"/>
          </w:tcPr>
          <w:p w14:paraId="4A3DD845" w14:textId="77777777" w:rsidR="007456FF" w:rsidRPr="00ED7E26" w:rsidRDefault="007456FF" w:rsidP="004C73EA">
            <w:pPr>
              <w:pStyle w:val="Default"/>
              <w:spacing w:line="360" w:lineRule="auto"/>
              <w:jc w:val="both"/>
              <w:rPr>
                <w:rFonts w:ascii="Book Antiqua" w:hAnsi="Book Antiqua" w:cs="Times New Roman"/>
                <w:color w:val="131413"/>
              </w:rPr>
            </w:pPr>
          </w:p>
        </w:tc>
      </w:tr>
      <w:tr w:rsidR="007456FF" w:rsidRPr="00ED7E26" w14:paraId="19992668" w14:textId="77777777" w:rsidTr="004C73EA">
        <w:tc>
          <w:tcPr>
            <w:tcW w:w="3544" w:type="dxa"/>
          </w:tcPr>
          <w:p w14:paraId="7E6F41B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Blood glucose (mmol/L)</w:t>
            </w:r>
          </w:p>
        </w:tc>
        <w:tc>
          <w:tcPr>
            <w:tcW w:w="2133" w:type="dxa"/>
          </w:tcPr>
          <w:p w14:paraId="0D38743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62.09</w:t>
            </w:r>
          </w:p>
        </w:tc>
        <w:tc>
          <w:tcPr>
            <w:tcW w:w="2766" w:type="dxa"/>
          </w:tcPr>
          <w:p w14:paraId="49CEB240"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3.89</w:t>
            </w:r>
            <w:r w:rsidRPr="00ED7E26">
              <w:rPr>
                <w:rFonts w:ascii="Book Antiqua" w:hAnsi="Book Antiqua" w:cs="Times New Roman"/>
                <w:color w:val="3B3E4D"/>
              </w:rPr>
              <w:t>–</w:t>
            </w:r>
            <w:r w:rsidRPr="00ED7E26">
              <w:rPr>
                <w:rFonts w:ascii="Book Antiqua" w:hAnsi="Book Antiqua" w:cs="Times New Roman"/>
                <w:color w:val="131413"/>
              </w:rPr>
              <w:t>6.11</w:t>
            </w:r>
          </w:p>
        </w:tc>
      </w:tr>
      <w:tr w:rsidR="007456FF" w:rsidRPr="00ED7E26" w14:paraId="1F78B632" w14:textId="77777777" w:rsidTr="004C73EA">
        <w:tc>
          <w:tcPr>
            <w:tcW w:w="3544" w:type="dxa"/>
          </w:tcPr>
          <w:p w14:paraId="23631F80"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Blood potassium (K</w:t>
            </w:r>
            <w:r w:rsidRPr="00ED7E26">
              <w:rPr>
                <w:rFonts w:ascii="Book Antiqua" w:hAnsi="Book Antiqua" w:cs="Times New Roman"/>
                <w:color w:val="131413"/>
                <w:vertAlign w:val="superscript"/>
              </w:rPr>
              <w:t>+</w:t>
            </w:r>
            <w:r w:rsidRPr="00ED7E26">
              <w:rPr>
                <w:rFonts w:ascii="Book Antiqua" w:hAnsi="Book Antiqua" w:cs="Times New Roman"/>
                <w:color w:val="131413"/>
              </w:rPr>
              <w:t>, mmol/L)</w:t>
            </w:r>
          </w:p>
        </w:tc>
        <w:tc>
          <w:tcPr>
            <w:tcW w:w="2133" w:type="dxa"/>
          </w:tcPr>
          <w:p w14:paraId="2CBC426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5.58</w:t>
            </w:r>
          </w:p>
        </w:tc>
        <w:tc>
          <w:tcPr>
            <w:tcW w:w="2766" w:type="dxa"/>
          </w:tcPr>
          <w:p w14:paraId="4D4D09A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3.5</w:t>
            </w:r>
            <w:r w:rsidRPr="00ED7E26">
              <w:rPr>
                <w:rFonts w:ascii="Book Antiqua" w:hAnsi="Book Antiqua" w:cs="Times New Roman"/>
                <w:color w:val="3B3E4D"/>
              </w:rPr>
              <w:t>–</w:t>
            </w:r>
            <w:r w:rsidRPr="00ED7E26">
              <w:rPr>
                <w:rFonts w:ascii="Book Antiqua" w:hAnsi="Book Antiqua" w:cs="Times New Roman"/>
                <w:color w:val="131413"/>
              </w:rPr>
              <w:t>5.5</w:t>
            </w:r>
          </w:p>
        </w:tc>
      </w:tr>
      <w:tr w:rsidR="007456FF" w:rsidRPr="00ED7E26" w14:paraId="48FAC15C" w14:textId="77777777" w:rsidTr="004C73EA">
        <w:tc>
          <w:tcPr>
            <w:tcW w:w="3544" w:type="dxa"/>
          </w:tcPr>
          <w:p w14:paraId="74F2642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Blood sodium (Na</w:t>
            </w:r>
            <w:r w:rsidRPr="00ED7E26">
              <w:rPr>
                <w:rFonts w:ascii="Book Antiqua" w:hAnsi="Book Antiqua" w:cs="Times New Roman"/>
                <w:color w:val="131413"/>
                <w:vertAlign w:val="superscript"/>
              </w:rPr>
              <w:t>+</w:t>
            </w:r>
            <w:r w:rsidRPr="00ED7E26">
              <w:rPr>
                <w:rFonts w:ascii="Book Antiqua" w:hAnsi="Book Antiqua" w:cs="Times New Roman"/>
                <w:color w:val="131413"/>
              </w:rPr>
              <w:t>, mmol/L)</w:t>
            </w:r>
          </w:p>
        </w:tc>
        <w:tc>
          <w:tcPr>
            <w:tcW w:w="2133" w:type="dxa"/>
          </w:tcPr>
          <w:p w14:paraId="11F9B4D1"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124</w:t>
            </w:r>
          </w:p>
        </w:tc>
        <w:tc>
          <w:tcPr>
            <w:tcW w:w="2766" w:type="dxa"/>
          </w:tcPr>
          <w:p w14:paraId="339A7EA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137</w:t>
            </w:r>
            <w:r w:rsidRPr="00ED7E26">
              <w:rPr>
                <w:rFonts w:ascii="Book Antiqua" w:hAnsi="Book Antiqua" w:cs="Times New Roman"/>
                <w:color w:val="3B3E4D"/>
              </w:rPr>
              <w:t>–</w:t>
            </w:r>
            <w:r w:rsidRPr="00ED7E26">
              <w:rPr>
                <w:rFonts w:ascii="Book Antiqua" w:hAnsi="Book Antiqua" w:cs="Times New Roman"/>
                <w:color w:val="131413"/>
              </w:rPr>
              <w:t>147</w:t>
            </w:r>
          </w:p>
        </w:tc>
      </w:tr>
      <w:tr w:rsidR="007456FF" w:rsidRPr="00ED7E26" w14:paraId="252B66CB" w14:textId="77777777" w:rsidTr="004C73EA">
        <w:tc>
          <w:tcPr>
            <w:tcW w:w="3544" w:type="dxa"/>
          </w:tcPr>
          <w:p w14:paraId="56D8D2B1"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Serum creatinine (µmol/L)</w:t>
            </w:r>
          </w:p>
        </w:tc>
        <w:tc>
          <w:tcPr>
            <w:tcW w:w="2133" w:type="dxa"/>
          </w:tcPr>
          <w:p w14:paraId="5717BC32"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207.8</w:t>
            </w:r>
          </w:p>
        </w:tc>
        <w:tc>
          <w:tcPr>
            <w:tcW w:w="2766" w:type="dxa"/>
          </w:tcPr>
          <w:p w14:paraId="449BB995"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20.0</w:t>
            </w:r>
            <w:r w:rsidRPr="00ED7E26">
              <w:rPr>
                <w:rFonts w:ascii="Book Antiqua" w:hAnsi="Book Antiqua" w:cs="Times New Roman"/>
                <w:color w:val="3B3E4D"/>
              </w:rPr>
              <w:t>–</w:t>
            </w:r>
            <w:r w:rsidRPr="00ED7E26">
              <w:rPr>
                <w:rFonts w:ascii="Book Antiqua" w:hAnsi="Book Antiqua" w:cs="Times New Roman"/>
                <w:color w:val="131413"/>
              </w:rPr>
              <w:t>98.0</w:t>
            </w:r>
          </w:p>
        </w:tc>
      </w:tr>
      <w:tr w:rsidR="007456FF" w:rsidRPr="00ED7E26" w14:paraId="5A9CCAFC" w14:textId="77777777" w:rsidTr="004C73EA">
        <w:tc>
          <w:tcPr>
            <w:tcW w:w="3544" w:type="dxa"/>
          </w:tcPr>
          <w:p w14:paraId="0D132F2C" w14:textId="77777777" w:rsidR="007456FF" w:rsidRPr="00ED7E26" w:rsidRDefault="007456FF" w:rsidP="004C73EA">
            <w:pPr>
              <w:pStyle w:val="Default"/>
              <w:spacing w:line="360" w:lineRule="auto"/>
              <w:jc w:val="both"/>
              <w:rPr>
                <w:rFonts w:ascii="Book Antiqua" w:hAnsi="Book Antiqua" w:cs="Times New Roman"/>
                <w:color w:val="131413"/>
                <w:lang w:val="it-IT"/>
              </w:rPr>
            </w:pPr>
            <w:r w:rsidRPr="00ED7E26">
              <w:rPr>
                <w:rFonts w:ascii="Book Antiqua" w:hAnsi="Book Antiqua" w:cs="Times New Roman"/>
                <w:color w:val="131413"/>
                <w:lang w:val="it-IT"/>
              </w:rPr>
              <w:t>Urea nitrogen (BUN, mmol/L)</w:t>
            </w:r>
          </w:p>
        </w:tc>
        <w:tc>
          <w:tcPr>
            <w:tcW w:w="2133" w:type="dxa"/>
          </w:tcPr>
          <w:p w14:paraId="3405720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18.03</w:t>
            </w:r>
          </w:p>
        </w:tc>
        <w:tc>
          <w:tcPr>
            <w:tcW w:w="2766" w:type="dxa"/>
          </w:tcPr>
          <w:p w14:paraId="4FF3E4C9"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1.7</w:t>
            </w:r>
            <w:r w:rsidRPr="00ED7E26">
              <w:rPr>
                <w:rFonts w:ascii="Book Antiqua" w:hAnsi="Book Antiqua" w:cs="Times New Roman"/>
                <w:color w:val="3B3E4D"/>
              </w:rPr>
              <w:t>–</w:t>
            </w:r>
            <w:r w:rsidRPr="00ED7E26">
              <w:rPr>
                <w:rFonts w:ascii="Book Antiqua" w:hAnsi="Book Antiqua" w:cs="Times New Roman"/>
                <w:color w:val="131413"/>
              </w:rPr>
              <w:t>7.5</w:t>
            </w:r>
          </w:p>
        </w:tc>
      </w:tr>
      <w:tr w:rsidR="007456FF" w:rsidRPr="00ED7E26" w14:paraId="348F0A15" w14:textId="77777777" w:rsidTr="004C73EA">
        <w:tc>
          <w:tcPr>
            <w:tcW w:w="3544" w:type="dxa"/>
          </w:tcPr>
          <w:p w14:paraId="4C2408D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Creatine kinase (U/L)</w:t>
            </w:r>
          </w:p>
        </w:tc>
        <w:tc>
          <w:tcPr>
            <w:tcW w:w="2133" w:type="dxa"/>
          </w:tcPr>
          <w:p w14:paraId="1D737A58"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343</w:t>
            </w:r>
          </w:p>
        </w:tc>
        <w:tc>
          <w:tcPr>
            <w:tcW w:w="2766" w:type="dxa"/>
          </w:tcPr>
          <w:p w14:paraId="722946D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24</w:t>
            </w:r>
            <w:r w:rsidRPr="00ED7E26">
              <w:rPr>
                <w:rFonts w:ascii="Book Antiqua" w:hAnsi="Book Antiqua" w:cs="Times New Roman"/>
                <w:color w:val="3B3E4D"/>
              </w:rPr>
              <w:t>–</w:t>
            </w:r>
            <w:r w:rsidRPr="00ED7E26">
              <w:rPr>
                <w:rFonts w:ascii="Book Antiqua" w:hAnsi="Book Antiqua" w:cs="Times New Roman"/>
                <w:color w:val="131413"/>
              </w:rPr>
              <w:t>195</w:t>
            </w:r>
          </w:p>
        </w:tc>
      </w:tr>
      <w:tr w:rsidR="007456FF" w:rsidRPr="00ED7E26" w14:paraId="398929FC" w14:textId="77777777" w:rsidTr="004C73EA">
        <w:tc>
          <w:tcPr>
            <w:tcW w:w="3544" w:type="dxa"/>
          </w:tcPr>
          <w:p w14:paraId="6E82A42A"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Amylase (IU/L)</w:t>
            </w:r>
          </w:p>
        </w:tc>
        <w:tc>
          <w:tcPr>
            <w:tcW w:w="2133" w:type="dxa"/>
          </w:tcPr>
          <w:p w14:paraId="24E0C59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854</w:t>
            </w:r>
          </w:p>
        </w:tc>
        <w:tc>
          <w:tcPr>
            <w:tcW w:w="2766" w:type="dxa"/>
          </w:tcPr>
          <w:p w14:paraId="5E09D04E"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40</w:t>
            </w:r>
            <w:r w:rsidRPr="00ED7E26">
              <w:rPr>
                <w:rFonts w:ascii="Book Antiqua" w:hAnsi="Book Antiqua" w:cs="Times New Roman"/>
                <w:color w:val="3B3E4D"/>
              </w:rPr>
              <w:t>–</w:t>
            </w:r>
            <w:r w:rsidRPr="00ED7E26">
              <w:rPr>
                <w:rFonts w:ascii="Book Antiqua" w:hAnsi="Book Antiqua" w:cs="Times New Roman"/>
                <w:color w:val="131413"/>
              </w:rPr>
              <w:t>132</w:t>
            </w:r>
          </w:p>
        </w:tc>
      </w:tr>
      <w:tr w:rsidR="007456FF" w:rsidRPr="00ED7E26" w14:paraId="4D7C4B4B" w14:textId="77777777" w:rsidTr="004C73EA">
        <w:tc>
          <w:tcPr>
            <w:tcW w:w="3544" w:type="dxa"/>
          </w:tcPr>
          <w:p w14:paraId="5E1C86B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C-reactive protein (mg/L)</w:t>
            </w:r>
          </w:p>
        </w:tc>
        <w:tc>
          <w:tcPr>
            <w:tcW w:w="2133" w:type="dxa"/>
          </w:tcPr>
          <w:p w14:paraId="07699A2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24.24</w:t>
            </w:r>
          </w:p>
        </w:tc>
        <w:tc>
          <w:tcPr>
            <w:tcW w:w="2766" w:type="dxa"/>
          </w:tcPr>
          <w:p w14:paraId="794B0142"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0.00</w:t>
            </w:r>
            <w:r w:rsidRPr="00ED7E26">
              <w:rPr>
                <w:rFonts w:ascii="Book Antiqua" w:hAnsi="Book Antiqua" w:cs="Times New Roman"/>
                <w:color w:val="3B3E4D"/>
              </w:rPr>
              <w:t>–</w:t>
            </w:r>
            <w:r w:rsidRPr="00ED7E26">
              <w:rPr>
                <w:rFonts w:ascii="Book Antiqua" w:hAnsi="Book Antiqua" w:cs="Times New Roman"/>
                <w:color w:val="131413"/>
              </w:rPr>
              <w:t>6.00</w:t>
            </w:r>
          </w:p>
        </w:tc>
      </w:tr>
      <w:tr w:rsidR="007456FF" w:rsidRPr="00ED7E26" w14:paraId="73293A78" w14:textId="77777777" w:rsidTr="004C73EA">
        <w:tc>
          <w:tcPr>
            <w:tcW w:w="3544" w:type="dxa"/>
          </w:tcPr>
          <w:p w14:paraId="3461621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Routine blood test</w:t>
            </w:r>
          </w:p>
        </w:tc>
        <w:tc>
          <w:tcPr>
            <w:tcW w:w="2133" w:type="dxa"/>
          </w:tcPr>
          <w:p w14:paraId="16FC46FA" w14:textId="77777777" w:rsidR="007456FF" w:rsidRPr="00ED7E26" w:rsidRDefault="007456FF" w:rsidP="004C73EA">
            <w:pPr>
              <w:pStyle w:val="Default"/>
              <w:spacing w:line="360" w:lineRule="auto"/>
              <w:jc w:val="both"/>
              <w:rPr>
                <w:rFonts w:ascii="Book Antiqua" w:hAnsi="Book Antiqua" w:cs="Times New Roman"/>
                <w:color w:val="131413"/>
              </w:rPr>
            </w:pPr>
          </w:p>
        </w:tc>
        <w:tc>
          <w:tcPr>
            <w:tcW w:w="2766" w:type="dxa"/>
          </w:tcPr>
          <w:p w14:paraId="673B90A7" w14:textId="77777777" w:rsidR="007456FF" w:rsidRPr="00ED7E26" w:rsidRDefault="007456FF" w:rsidP="004C73EA">
            <w:pPr>
              <w:pStyle w:val="Default"/>
              <w:spacing w:line="360" w:lineRule="auto"/>
              <w:jc w:val="both"/>
              <w:rPr>
                <w:rFonts w:ascii="Book Antiqua" w:hAnsi="Book Antiqua" w:cs="Times New Roman"/>
                <w:color w:val="131413"/>
              </w:rPr>
            </w:pPr>
          </w:p>
        </w:tc>
      </w:tr>
      <w:tr w:rsidR="007456FF" w:rsidRPr="00ED7E26" w14:paraId="188F84CD" w14:textId="77777777" w:rsidTr="004C73EA">
        <w:tc>
          <w:tcPr>
            <w:tcW w:w="3544" w:type="dxa"/>
          </w:tcPr>
          <w:p w14:paraId="0FB50BB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White blood cell count (10</w:t>
            </w:r>
            <w:r w:rsidRPr="00ED7E26">
              <w:rPr>
                <w:rFonts w:ascii="Book Antiqua" w:hAnsi="Book Antiqua" w:cs="Times New Roman"/>
                <w:color w:val="131413"/>
                <w:vertAlign w:val="superscript"/>
              </w:rPr>
              <w:t>9</w:t>
            </w:r>
            <w:r w:rsidRPr="00ED7E26">
              <w:rPr>
                <w:rFonts w:ascii="Book Antiqua" w:hAnsi="Book Antiqua" w:cs="Times New Roman"/>
                <w:color w:val="131413"/>
              </w:rPr>
              <w:t>/L)</w:t>
            </w:r>
          </w:p>
        </w:tc>
        <w:tc>
          <w:tcPr>
            <w:tcW w:w="2133" w:type="dxa"/>
          </w:tcPr>
          <w:p w14:paraId="2F8EA07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6.7</w:t>
            </w:r>
          </w:p>
        </w:tc>
        <w:tc>
          <w:tcPr>
            <w:tcW w:w="2766" w:type="dxa"/>
          </w:tcPr>
          <w:p w14:paraId="0DAF48F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3.5</w:t>
            </w:r>
            <w:r w:rsidRPr="00ED7E26">
              <w:rPr>
                <w:rFonts w:ascii="Book Antiqua" w:hAnsi="Book Antiqua" w:cs="Times New Roman"/>
                <w:color w:val="3B3E4D"/>
              </w:rPr>
              <w:t>–</w:t>
            </w:r>
            <w:r w:rsidRPr="00ED7E26">
              <w:rPr>
                <w:rFonts w:ascii="Book Antiqua" w:hAnsi="Book Antiqua" w:cs="Times New Roman"/>
                <w:color w:val="131413"/>
              </w:rPr>
              <w:t>9.5</w:t>
            </w:r>
          </w:p>
        </w:tc>
      </w:tr>
      <w:tr w:rsidR="007456FF" w:rsidRPr="00ED7E26" w14:paraId="5A6A1972" w14:textId="77777777" w:rsidTr="004C73EA">
        <w:tc>
          <w:tcPr>
            <w:tcW w:w="3544" w:type="dxa"/>
          </w:tcPr>
          <w:p w14:paraId="54E6681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Neutrophils (10</w:t>
            </w:r>
            <w:r w:rsidRPr="00ED7E26">
              <w:rPr>
                <w:rFonts w:ascii="Book Antiqua" w:hAnsi="Book Antiqua" w:cs="Times New Roman"/>
                <w:color w:val="131413"/>
                <w:vertAlign w:val="superscript"/>
              </w:rPr>
              <w:t>9</w:t>
            </w:r>
            <w:r w:rsidRPr="00ED7E26">
              <w:rPr>
                <w:rFonts w:ascii="Book Antiqua" w:hAnsi="Book Antiqua" w:cs="Times New Roman"/>
                <w:color w:val="131413"/>
              </w:rPr>
              <w:t>/L)</w:t>
            </w:r>
          </w:p>
        </w:tc>
        <w:tc>
          <w:tcPr>
            <w:tcW w:w="2133" w:type="dxa"/>
          </w:tcPr>
          <w:p w14:paraId="263510DB"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3.7</w:t>
            </w:r>
          </w:p>
        </w:tc>
        <w:tc>
          <w:tcPr>
            <w:tcW w:w="2766" w:type="dxa"/>
          </w:tcPr>
          <w:p w14:paraId="5CD45FB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1.8</w:t>
            </w:r>
            <w:r w:rsidRPr="00ED7E26">
              <w:rPr>
                <w:rFonts w:ascii="Book Antiqua" w:hAnsi="Book Antiqua" w:cs="Times New Roman"/>
                <w:color w:val="3B3E4D"/>
              </w:rPr>
              <w:t>–</w:t>
            </w:r>
            <w:r w:rsidRPr="00ED7E26">
              <w:rPr>
                <w:rFonts w:ascii="Book Antiqua" w:hAnsi="Book Antiqua" w:cs="Times New Roman"/>
                <w:color w:val="131413"/>
              </w:rPr>
              <w:t>6.3</w:t>
            </w:r>
          </w:p>
        </w:tc>
      </w:tr>
      <w:tr w:rsidR="007456FF" w:rsidRPr="00ED7E26" w14:paraId="429EA9F5" w14:textId="77777777" w:rsidTr="004C73EA">
        <w:tc>
          <w:tcPr>
            <w:tcW w:w="3544" w:type="dxa"/>
          </w:tcPr>
          <w:p w14:paraId="335F1C4E"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Red blood cell count (10</w:t>
            </w:r>
            <w:r w:rsidRPr="00ED7E26">
              <w:rPr>
                <w:rFonts w:ascii="Book Antiqua" w:hAnsi="Book Antiqua" w:cs="Times New Roman"/>
                <w:color w:val="131413"/>
                <w:vertAlign w:val="superscript"/>
              </w:rPr>
              <w:t>12</w:t>
            </w:r>
            <w:r w:rsidRPr="00ED7E26">
              <w:rPr>
                <w:rFonts w:ascii="Book Antiqua" w:hAnsi="Book Antiqua" w:cs="Times New Roman"/>
                <w:color w:val="131413"/>
              </w:rPr>
              <w:t>/L)</w:t>
            </w:r>
          </w:p>
        </w:tc>
        <w:tc>
          <w:tcPr>
            <w:tcW w:w="2133" w:type="dxa"/>
          </w:tcPr>
          <w:p w14:paraId="62CDB9C5"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5.23</w:t>
            </w:r>
          </w:p>
        </w:tc>
        <w:tc>
          <w:tcPr>
            <w:tcW w:w="2766" w:type="dxa"/>
          </w:tcPr>
          <w:p w14:paraId="095CA7D1"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4.3</w:t>
            </w:r>
            <w:r w:rsidRPr="00ED7E26">
              <w:rPr>
                <w:rFonts w:ascii="Book Antiqua" w:hAnsi="Book Antiqua" w:cs="Times New Roman"/>
                <w:color w:val="3B3E4D"/>
              </w:rPr>
              <w:t>–</w:t>
            </w:r>
            <w:r w:rsidRPr="00ED7E26">
              <w:rPr>
                <w:rFonts w:ascii="Book Antiqua" w:hAnsi="Book Antiqua" w:cs="Times New Roman"/>
                <w:color w:val="131413"/>
              </w:rPr>
              <w:t>5.8</w:t>
            </w:r>
          </w:p>
        </w:tc>
      </w:tr>
      <w:tr w:rsidR="007456FF" w:rsidRPr="00ED7E26" w14:paraId="0B336A0F" w14:textId="77777777" w:rsidTr="004C73EA">
        <w:tc>
          <w:tcPr>
            <w:tcW w:w="3544" w:type="dxa"/>
          </w:tcPr>
          <w:p w14:paraId="5BEAFC36"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Platelet count (10</w:t>
            </w:r>
            <w:r w:rsidRPr="00ED7E26">
              <w:rPr>
                <w:rFonts w:ascii="Book Antiqua" w:hAnsi="Book Antiqua" w:cs="Times New Roman"/>
                <w:color w:val="131413"/>
                <w:vertAlign w:val="superscript"/>
              </w:rPr>
              <w:t>9</w:t>
            </w:r>
            <w:r w:rsidRPr="00ED7E26">
              <w:rPr>
                <w:rFonts w:ascii="Book Antiqua" w:hAnsi="Book Antiqua" w:cs="Times New Roman"/>
                <w:color w:val="131413"/>
              </w:rPr>
              <w:t>/L)</w:t>
            </w:r>
          </w:p>
        </w:tc>
        <w:tc>
          <w:tcPr>
            <w:tcW w:w="2133" w:type="dxa"/>
          </w:tcPr>
          <w:p w14:paraId="60DA8625"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255</w:t>
            </w:r>
          </w:p>
        </w:tc>
        <w:tc>
          <w:tcPr>
            <w:tcW w:w="2766" w:type="dxa"/>
          </w:tcPr>
          <w:p w14:paraId="3A59342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125</w:t>
            </w:r>
            <w:r w:rsidRPr="00ED7E26">
              <w:rPr>
                <w:rFonts w:ascii="Book Antiqua" w:hAnsi="Book Antiqua" w:cs="Times New Roman"/>
                <w:color w:val="3B3E4D"/>
              </w:rPr>
              <w:t>–</w:t>
            </w:r>
            <w:r w:rsidRPr="00ED7E26">
              <w:rPr>
                <w:rFonts w:ascii="Book Antiqua" w:hAnsi="Book Antiqua" w:cs="Times New Roman"/>
                <w:color w:val="131413"/>
              </w:rPr>
              <w:t>350</w:t>
            </w:r>
          </w:p>
        </w:tc>
      </w:tr>
      <w:tr w:rsidR="007456FF" w:rsidRPr="00ED7E26" w14:paraId="56486ABD" w14:textId="77777777" w:rsidTr="004C73EA">
        <w:tc>
          <w:tcPr>
            <w:tcW w:w="3544" w:type="dxa"/>
          </w:tcPr>
          <w:p w14:paraId="4E786E68"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Urinalysis</w:t>
            </w:r>
          </w:p>
        </w:tc>
        <w:tc>
          <w:tcPr>
            <w:tcW w:w="2133" w:type="dxa"/>
          </w:tcPr>
          <w:p w14:paraId="7D306504" w14:textId="77777777" w:rsidR="007456FF" w:rsidRPr="00ED7E26" w:rsidRDefault="007456FF" w:rsidP="004C73EA">
            <w:pPr>
              <w:pStyle w:val="Default"/>
              <w:spacing w:line="360" w:lineRule="auto"/>
              <w:jc w:val="both"/>
              <w:rPr>
                <w:rFonts w:ascii="Book Antiqua" w:hAnsi="Book Antiqua" w:cs="Times New Roman"/>
                <w:color w:val="131413"/>
              </w:rPr>
            </w:pPr>
          </w:p>
        </w:tc>
        <w:tc>
          <w:tcPr>
            <w:tcW w:w="2766" w:type="dxa"/>
          </w:tcPr>
          <w:p w14:paraId="44A05778" w14:textId="77777777" w:rsidR="007456FF" w:rsidRPr="00ED7E26" w:rsidRDefault="007456FF" w:rsidP="004C73EA">
            <w:pPr>
              <w:pStyle w:val="Default"/>
              <w:spacing w:line="360" w:lineRule="auto"/>
              <w:jc w:val="both"/>
              <w:rPr>
                <w:rFonts w:ascii="Book Antiqua" w:hAnsi="Book Antiqua" w:cs="Times New Roman"/>
                <w:color w:val="131413"/>
              </w:rPr>
            </w:pPr>
          </w:p>
        </w:tc>
      </w:tr>
      <w:tr w:rsidR="007456FF" w:rsidRPr="00ED7E26" w14:paraId="6C54D246" w14:textId="77777777" w:rsidTr="004C73EA">
        <w:tc>
          <w:tcPr>
            <w:tcW w:w="3544" w:type="dxa"/>
          </w:tcPr>
          <w:p w14:paraId="3333ADD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Urine gravity</w:t>
            </w:r>
          </w:p>
        </w:tc>
        <w:tc>
          <w:tcPr>
            <w:tcW w:w="2133" w:type="dxa"/>
          </w:tcPr>
          <w:p w14:paraId="60A05756"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1.015</w:t>
            </w:r>
          </w:p>
        </w:tc>
        <w:tc>
          <w:tcPr>
            <w:tcW w:w="2766" w:type="dxa"/>
          </w:tcPr>
          <w:p w14:paraId="0243565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1.006</w:t>
            </w:r>
            <w:r w:rsidRPr="00ED7E26">
              <w:rPr>
                <w:rFonts w:ascii="Book Antiqua" w:hAnsi="Book Antiqua" w:cs="Times New Roman"/>
                <w:color w:val="3B3E4D"/>
              </w:rPr>
              <w:t>–</w:t>
            </w:r>
            <w:r w:rsidRPr="00ED7E26">
              <w:rPr>
                <w:rFonts w:ascii="Book Antiqua" w:hAnsi="Book Antiqua" w:cs="Times New Roman"/>
                <w:color w:val="131413"/>
              </w:rPr>
              <w:t>1.030</w:t>
            </w:r>
          </w:p>
        </w:tc>
      </w:tr>
      <w:tr w:rsidR="007456FF" w:rsidRPr="00ED7E26" w14:paraId="49314FEC" w14:textId="77777777" w:rsidTr="004C73EA">
        <w:tc>
          <w:tcPr>
            <w:tcW w:w="3544" w:type="dxa"/>
          </w:tcPr>
          <w:p w14:paraId="0D13B2E2"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pH</w:t>
            </w:r>
          </w:p>
        </w:tc>
        <w:tc>
          <w:tcPr>
            <w:tcW w:w="2133" w:type="dxa"/>
          </w:tcPr>
          <w:p w14:paraId="47C23E6D"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5</w:t>
            </w:r>
          </w:p>
        </w:tc>
        <w:tc>
          <w:tcPr>
            <w:tcW w:w="2766" w:type="dxa"/>
          </w:tcPr>
          <w:p w14:paraId="01E1A987"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5.5</w:t>
            </w:r>
            <w:r w:rsidRPr="00ED7E26">
              <w:rPr>
                <w:rFonts w:ascii="Book Antiqua" w:hAnsi="Book Antiqua" w:cs="Times New Roman"/>
                <w:color w:val="3B3E4D"/>
              </w:rPr>
              <w:t>–</w:t>
            </w:r>
            <w:r w:rsidRPr="00ED7E26">
              <w:rPr>
                <w:rFonts w:ascii="Book Antiqua" w:hAnsi="Book Antiqua" w:cs="Times New Roman"/>
                <w:color w:val="131413"/>
              </w:rPr>
              <w:t>8</w:t>
            </w:r>
          </w:p>
        </w:tc>
      </w:tr>
      <w:tr w:rsidR="007456FF" w:rsidRPr="00ED7E26" w14:paraId="659C9C13" w14:textId="77777777" w:rsidTr="004C73EA">
        <w:tc>
          <w:tcPr>
            <w:tcW w:w="3544" w:type="dxa"/>
          </w:tcPr>
          <w:p w14:paraId="03D3ED34"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Protein</w:t>
            </w:r>
          </w:p>
        </w:tc>
        <w:tc>
          <w:tcPr>
            <w:tcW w:w="2133" w:type="dxa"/>
          </w:tcPr>
          <w:p w14:paraId="743F8D8C"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1+</w:t>
            </w:r>
          </w:p>
        </w:tc>
        <w:tc>
          <w:tcPr>
            <w:tcW w:w="2766" w:type="dxa"/>
          </w:tcPr>
          <w:p w14:paraId="452633C3"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Negative</w:t>
            </w:r>
          </w:p>
        </w:tc>
      </w:tr>
      <w:tr w:rsidR="007456FF" w:rsidRPr="00ED7E26" w14:paraId="47DDB38F" w14:textId="77777777" w:rsidTr="004C73EA">
        <w:tc>
          <w:tcPr>
            <w:tcW w:w="3544" w:type="dxa"/>
          </w:tcPr>
          <w:p w14:paraId="441C75B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Urine sugar</w:t>
            </w:r>
          </w:p>
        </w:tc>
        <w:tc>
          <w:tcPr>
            <w:tcW w:w="2133" w:type="dxa"/>
          </w:tcPr>
          <w:p w14:paraId="12DDE8FF"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4+</w:t>
            </w:r>
          </w:p>
        </w:tc>
        <w:tc>
          <w:tcPr>
            <w:tcW w:w="2766" w:type="dxa"/>
          </w:tcPr>
          <w:p w14:paraId="6640327C"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Negative</w:t>
            </w:r>
          </w:p>
        </w:tc>
      </w:tr>
      <w:tr w:rsidR="007456FF" w:rsidRPr="00ED7E26" w14:paraId="024CF463" w14:textId="77777777" w:rsidTr="004C73EA">
        <w:tc>
          <w:tcPr>
            <w:tcW w:w="3544" w:type="dxa"/>
          </w:tcPr>
          <w:p w14:paraId="1F3E6019"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Urinary ketone body</w:t>
            </w:r>
          </w:p>
        </w:tc>
        <w:tc>
          <w:tcPr>
            <w:tcW w:w="2133" w:type="dxa"/>
          </w:tcPr>
          <w:p w14:paraId="36F96F2E"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4+</w:t>
            </w:r>
          </w:p>
        </w:tc>
        <w:tc>
          <w:tcPr>
            <w:tcW w:w="2766" w:type="dxa"/>
          </w:tcPr>
          <w:p w14:paraId="1A2B1839" w14:textId="77777777" w:rsidR="007456FF" w:rsidRPr="00ED7E26" w:rsidRDefault="007456FF" w:rsidP="004C73EA">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Negative</w:t>
            </w:r>
          </w:p>
        </w:tc>
      </w:tr>
    </w:tbl>
    <w:p w14:paraId="5D483DD9" w14:textId="77777777" w:rsidR="007456FF" w:rsidRPr="00ED7E26" w:rsidRDefault="007456FF" w:rsidP="007456FF">
      <w:pPr>
        <w:spacing w:line="360" w:lineRule="auto"/>
        <w:jc w:val="both"/>
        <w:rPr>
          <w:rFonts w:ascii="Book Antiqua" w:hAnsi="Book Antiqua"/>
          <w:color w:val="131413"/>
        </w:rPr>
      </w:pPr>
    </w:p>
    <w:p w14:paraId="4496636C" w14:textId="77777777" w:rsidR="00D10CF1" w:rsidRPr="00ED7E26" w:rsidRDefault="00D10CF1" w:rsidP="007456FF">
      <w:pPr>
        <w:spacing w:line="360" w:lineRule="auto"/>
        <w:jc w:val="both"/>
        <w:rPr>
          <w:rFonts w:ascii="Book Antiqua" w:hAnsi="Book Antiqua"/>
          <w:color w:val="131413"/>
        </w:rPr>
      </w:pPr>
    </w:p>
    <w:p w14:paraId="00A13BA6" w14:textId="77777777" w:rsidR="00D10CF1" w:rsidRPr="00ED7E26" w:rsidRDefault="00D10CF1" w:rsidP="007456FF">
      <w:pPr>
        <w:spacing w:line="360" w:lineRule="auto"/>
        <w:jc w:val="both"/>
        <w:rPr>
          <w:rFonts w:ascii="Book Antiqua" w:hAnsi="Book Antiqua"/>
          <w:color w:val="131413"/>
        </w:rPr>
      </w:pPr>
    </w:p>
    <w:p w14:paraId="37799D67" w14:textId="77777777" w:rsidR="007456FF" w:rsidRPr="00ED7E26" w:rsidRDefault="007456FF" w:rsidP="007456FF">
      <w:pPr>
        <w:spacing w:line="360" w:lineRule="auto"/>
        <w:jc w:val="both"/>
        <w:rPr>
          <w:rFonts w:ascii="Book Antiqua" w:hAnsi="Book Antiqua"/>
          <w:b/>
          <w:bCs/>
          <w:color w:val="131413"/>
        </w:rPr>
      </w:pPr>
      <w:r w:rsidRPr="00ED7E26">
        <w:rPr>
          <w:rFonts w:ascii="Book Antiqua" w:hAnsi="Book Antiqua"/>
          <w:b/>
          <w:bCs/>
          <w:color w:val="131413"/>
        </w:rPr>
        <w:lastRenderedPageBreak/>
        <w:t>Table 2 Mixed meal test</w:t>
      </w:r>
    </w:p>
    <w:tbl>
      <w:tblPr>
        <w:tblStyle w:val="a3"/>
        <w:tblW w:w="86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453"/>
        <w:gridCol w:w="2094"/>
        <w:gridCol w:w="2041"/>
        <w:gridCol w:w="2041"/>
      </w:tblGrid>
      <w:tr w:rsidR="007456FF" w:rsidRPr="00ED7E26" w14:paraId="216CF11D" w14:textId="77777777" w:rsidTr="007456FF">
        <w:tc>
          <w:tcPr>
            <w:tcW w:w="989" w:type="dxa"/>
            <w:tcBorders>
              <w:top w:val="single" w:sz="4" w:space="0" w:color="auto"/>
              <w:bottom w:val="single" w:sz="4" w:space="0" w:color="auto"/>
            </w:tcBorders>
          </w:tcPr>
          <w:p w14:paraId="4F9854A7"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Time</w:t>
            </w:r>
            <w:r w:rsidRPr="00ED7E26">
              <w:rPr>
                <w:rFonts w:ascii="Book Antiqua" w:hAnsi="Book Antiqua"/>
                <w:b/>
                <w:bCs/>
              </w:rPr>
              <w:t xml:space="preserve"> (min)</w:t>
            </w:r>
          </w:p>
        </w:tc>
        <w:tc>
          <w:tcPr>
            <w:tcW w:w="1453" w:type="dxa"/>
            <w:tcBorders>
              <w:top w:val="single" w:sz="4" w:space="0" w:color="auto"/>
              <w:bottom w:val="single" w:sz="4" w:space="0" w:color="auto"/>
            </w:tcBorders>
          </w:tcPr>
          <w:p w14:paraId="21F47B83"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BG</w:t>
            </w:r>
            <w:r w:rsidRPr="00ED7E26">
              <w:rPr>
                <w:rFonts w:ascii="Book Antiqua" w:hAnsi="Book Antiqua"/>
                <w:b/>
                <w:bCs/>
              </w:rPr>
              <w:t xml:space="preserve"> </w:t>
            </w:r>
            <w:r w:rsidRPr="00ED7E26">
              <w:rPr>
                <w:rFonts w:ascii="Book Antiqua" w:hAnsi="Book Antiqua" w:cs="Times New Roman"/>
                <w:b/>
                <w:bCs/>
              </w:rPr>
              <w:t>(mmol/L)</w:t>
            </w:r>
          </w:p>
        </w:tc>
        <w:tc>
          <w:tcPr>
            <w:tcW w:w="2094" w:type="dxa"/>
            <w:tcBorders>
              <w:top w:val="single" w:sz="4" w:space="0" w:color="auto"/>
              <w:bottom w:val="single" w:sz="4" w:space="0" w:color="auto"/>
            </w:tcBorders>
          </w:tcPr>
          <w:p w14:paraId="3B331932"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Insulin</w:t>
            </w:r>
            <w:r w:rsidRPr="00ED7E26">
              <w:rPr>
                <w:rFonts w:ascii="Book Antiqua" w:hAnsi="Book Antiqua"/>
                <w:b/>
                <w:bCs/>
              </w:rPr>
              <w:t xml:space="preserve"> </w:t>
            </w:r>
            <w:r w:rsidRPr="00ED7E26">
              <w:rPr>
                <w:rFonts w:ascii="Book Antiqua" w:hAnsi="Book Antiqua" w:cs="Times New Roman"/>
                <w:b/>
                <w:bCs/>
              </w:rPr>
              <w:t>(µIU/mL)</w:t>
            </w:r>
          </w:p>
        </w:tc>
        <w:tc>
          <w:tcPr>
            <w:tcW w:w="2041" w:type="dxa"/>
            <w:tcBorders>
              <w:top w:val="single" w:sz="4" w:space="0" w:color="auto"/>
              <w:bottom w:val="single" w:sz="4" w:space="0" w:color="auto"/>
            </w:tcBorders>
          </w:tcPr>
          <w:p w14:paraId="325A6D61" w14:textId="77777777" w:rsidR="007456FF" w:rsidRPr="00ED7E26" w:rsidRDefault="007456FF" w:rsidP="004C73EA">
            <w:pPr>
              <w:spacing w:line="360" w:lineRule="auto"/>
              <w:jc w:val="both"/>
              <w:rPr>
                <w:rFonts w:ascii="Book Antiqua" w:hAnsi="Book Antiqua"/>
                <w:b/>
                <w:bCs/>
              </w:rPr>
            </w:pPr>
            <w:r w:rsidRPr="00ED7E26">
              <w:rPr>
                <w:rFonts w:ascii="Book Antiqua" w:hAnsi="Book Antiqua" w:cs="Times New Roman"/>
                <w:b/>
                <w:bCs/>
              </w:rPr>
              <w:t>C-</w:t>
            </w:r>
            <w:r w:rsidRPr="00ED7E26">
              <w:rPr>
                <w:rFonts w:ascii="Book Antiqua" w:hAnsi="Book Antiqua"/>
                <w:b/>
                <w:bCs/>
              </w:rPr>
              <w:t>p</w:t>
            </w:r>
            <w:r w:rsidRPr="00ED7E26">
              <w:rPr>
                <w:rFonts w:ascii="Book Antiqua" w:hAnsi="Book Antiqua" w:cs="Times New Roman"/>
                <w:b/>
                <w:bCs/>
              </w:rPr>
              <w:t>eptide</w:t>
            </w:r>
            <w:r w:rsidRPr="00ED7E26">
              <w:rPr>
                <w:rFonts w:ascii="Book Antiqua" w:hAnsi="Book Antiqua"/>
                <w:b/>
                <w:bCs/>
              </w:rPr>
              <w:t xml:space="preserve"> </w:t>
            </w:r>
            <w:r w:rsidRPr="00ED7E26">
              <w:rPr>
                <w:rFonts w:ascii="Book Antiqua" w:hAnsi="Book Antiqua" w:cs="Times New Roman"/>
                <w:b/>
                <w:bCs/>
              </w:rPr>
              <w:t>(0.78-5.19 ng/mL)</w:t>
            </w:r>
          </w:p>
        </w:tc>
        <w:tc>
          <w:tcPr>
            <w:tcW w:w="2041" w:type="dxa"/>
            <w:tcBorders>
              <w:top w:val="single" w:sz="4" w:space="0" w:color="auto"/>
              <w:bottom w:val="single" w:sz="4" w:space="0" w:color="auto"/>
            </w:tcBorders>
          </w:tcPr>
          <w:p w14:paraId="5222F063"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 xml:space="preserve">3 </w:t>
            </w:r>
            <w:proofErr w:type="spellStart"/>
            <w:r w:rsidRPr="00ED7E26">
              <w:rPr>
                <w:rFonts w:ascii="Book Antiqua" w:hAnsi="Book Antiqua" w:cs="Times New Roman"/>
                <w:b/>
                <w:bCs/>
              </w:rPr>
              <w:t>mo</w:t>
            </w:r>
            <w:proofErr w:type="spellEnd"/>
            <w:r w:rsidRPr="00ED7E26">
              <w:rPr>
                <w:rFonts w:ascii="Book Antiqua" w:hAnsi="Book Antiqua" w:cs="Times New Roman"/>
                <w:b/>
                <w:bCs/>
              </w:rPr>
              <w:t xml:space="preserve"> later</w:t>
            </w:r>
            <w:r w:rsidRPr="00ED7E26">
              <w:rPr>
                <w:rFonts w:ascii="Book Antiqua" w:hAnsi="Book Antiqua"/>
                <w:b/>
                <w:bCs/>
              </w:rPr>
              <w:t xml:space="preserve"> </w:t>
            </w:r>
            <w:r w:rsidRPr="00ED7E26">
              <w:rPr>
                <w:rFonts w:ascii="Book Antiqua" w:hAnsi="Book Antiqua" w:cs="Times New Roman"/>
                <w:b/>
                <w:bCs/>
              </w:rPr>
              <w:t>C-</w:t>
            </w:r>
            <w:r w:rsidRPr="00ED7E26">
              <w:rPr>
                <w:rFonts w:ascii="Book Antiqua" w:hAnsi="Book Antiqua"/>
                <w:b/>
                <w:bCs/>
              </w:rPr>
              <w:t>p</w:t>
            </w:r>
            <w:r w:rsidRPr="00ED7E26">
              <w:rPr>
                <w:rFonts w:ascii="Book Antiqua" w:hAnsi="Book Antiqua" w:cs="Times New Roman"/>
                <w:b/>
                <w:bCs/>
              </w:rPr>
              <w:t>eptide</w:t>
            </w:r>
          </w:p>
        </w:tc>
      </w:tr>
      <w:tr w:rsidR="007456FF" w:rsidRPr="00ED7E26" w14:paraId="515210EF" w14:textId="77777777" w:rsidTr="007456FF">
        <w:tc>
          <w:tcPr>
            <w:tcW w:w="989" w:type="dxa"/>
            <w:tcBorders>
              <w:top w:val="single" w:sz="4" w:space="0" w:color="auto"/>
            </w:tcBorders>
          </w:tcPr>
          <w:p w14:paraId="6B6AB5A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w:t>
            </w:r>
          </w:p>
        </w:tc>
        <w:tc>
          <w:tcPr>
            <w:tcW w:w="1453" w:type="dxa"/>
            <w:tcBorders>
              <w:top w:val="single" w:sz="4" w:space="0" w:color="auto"/>
            </w:tcBorders>
          </w:tcPr>
          <w:p w14:paraId="77C6E85B"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15.36</w:t>
            </w:r>
          </w:p>
        </w:tc>
        <w:tc>
          <w:tcPr>
            <w:tcW w:w="2094" w:type="dxa"/>
            <w:tcBorders>
              <w:top w:val="single" w:sz="4" w:space="0" w:color="auto"/>
            </w:tcBorders>
          </w:tcPr>
          <w:p w14:paraId="24CCE977"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10.9 (2.5</w:t>
            </w:r>
            <w:r w:rsidRPr="00ED7E26">
              <w:rPr>
                <w:rFonts w:ascii="Book Antiqua" w:hAnsi="Book Antiqua" w:cs="Times New Roman"/>
                <w:color w:val="3B3E4D"/>
              </w:rPr>
              <w:t>–</w:t>
            </w:r>
            <w:r w:rsidRPr="00ED7E26">
              <w:rPr>
                <w:rFonts w:ascii="Book Antiqua" w:hAnsi="Book Antiqua" w:cs="Times New Roman"/>
              </w:rPr>
              <w:t>9.4)</w:t>
            </w:r>
          </w:p>
        </w:tc>
        <w:tc>
          <w:tcPr>
            <w:tcW w:w="2041" w:type="dxa"/>
            <w:tcBorders>
              <w:top w:val="single" w:sz="4" w:space="0" w:color="auto"/>
            </w:tcBorders>
          </w:tcPr>
          <w:p w14:paraId="64253E30" w14:textId="51F3F61F" w:rsidR="007456FF" w:rsidRPr="00ED7E26" w:rsidRDefault="007456FF" w:rsidP="004C73EA">
            <w:pPr>
              <w:spacing w:line="360" w:lineRule="auto"/>
              <w:jc w:val="both"/>
              <w:rPr>
                <w:rFonts w:ascii="Book Antiqua" w:hAnsi="Book Antiqua"/>
              </w:rPr>
            </w:pPr>
            <w:r w:rsidRPr="00ED7E26">
              <w:rPr>
                <w:rFonts w:ascii="Book Antiqua" w:hAnsi="Book Antiqua" w:cs="Times New Roman"/>
              </w:rPr>
              <w:t>&lt; 0.01</w:t>
            </w:r>
          </w:p>
        </w:tc>
        <w:tc>
          <w:tcPr>
            <w:tcW w:w="2041" w:type="dxa"/>
            <w:tcBorders>
              <w:top w:val="single" w:sz="4" w:space="0" w:color="auto"/>
            </w:tcBorders>
          </w:tcPr>
          <w:p w14:paraId="03CFADFA" w14:textId="06D91B2B"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&lt; 0.01</w:t>
            </w:r>
          </w:p>
        </w:tc>
      </w:tr>
      <w:tr w:rsidR="007456FF" w:rsidRPr="00ED7E26" w14:paraId="06BFB6C8" w14:textId="77777777" w:rsidTr="007456FF">
        <w:tc>
          <w:tcPr>
            <w:tcW w:w="989" w:type="dxa"/>
          </w:tcPr>
          <w:p w14:paraId="546074B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60</w:t>
            </w:r>
          </w:p>
        </w:tc>
        <w:tc>
          <w:tcPr>
            <w:tcW w:w="1453" w:type="dxa"/>
          </w:tcPr>
          <w:p w14:paraId="136B87A6"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25.89</w:t>
            </w:r>
          </w:p>
        </w:tc>
        <w:tc>
          <w:tcPr>
            <w:tcW w:w="2094" w:type="dxa"/>
          </w:tcPr>
          <w:p w14:paraId="1F3FB0F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6.6 (11.9</w:t>
            </w:r>
            <w:r w:rsidRPr="00ED7E26">
              <w:rPr>
                <w:rFonts w:ascii="Book Antiqua" w:hAnsi="Book Antiqua" w:cs="Times New Roman"/>
                <w:color w:val="3B3E4D"/>
              </w:rPr>
              <w:t>–</w:t>
            </w:r>
            <w:r w:rsidRPr="00ED7E26">
              <w:rPr>
                <w:rFonts w:ascii="Book Antiqua" w:hAnsi="Book Antiqua" w:cs="Times New Roman"/>
              </w:rPr>
              <w:t>43.5)</w:t>
            </w:r>
          </w:p>
        </w:tc>
        <w:tc>
          <w:tcPr>
            <w:tcW w:w="2041" w:type="dxa"/>
          </w:tcPr>
          <w:p w14:paraId="6975B0E6" w14:textId="1735DFA4" w:rsidR="007456FF" w:rsidRPr="00ED7E26" w:rsidRDefault="007456FF" w:rsidP="004C73EA">
            <w:pPr>
              <w:spacing w:line="360" w:lineRule="auto"/>
              <w:jc w:val="both"/>
              <w:rPr>
                <w:rFonts w:ascii="Book Antiqua" w:hAnsi="Book Antiqua"/>
              </w:rPr>
            </w:pPr>
            <w:r w:rsidRPr="00ED7E26">
              <w:rPr>
                <w:rFonts w:ascii="Book Antiqua" w:hAnsi="Book Antiqua" w:cs="Times New Roman"/>
              </w:rPr>
              <w:t>&lt; 0.01</w:t>
            </w:r>
          </w:p>
        </w:tc>
        <w:tc>
          <w:tcPr>
            <w:tcW w:w="2041" w:type="dxa"/>
          </w:tcPr>
          <w:p w14:paraId="63106356" w14:textId="001A2A65"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&lt; 0.01</w:t>
            </w:r>
          </w:p>
        </w:tc>
      </w:tr>
      <w:tr w:rsidR="007456FF" w:rsidRPr="00ED7E26" w14:paraId="30B0B3DC" w14:textId="77777777" w:rsidTr="007456FF">
        <w:tc>
          <w:tcPr>
            <w:tcW w:w="989" w:type="dxa"/>
          </w:tcPr>
          <w:p w14:paraId="03D3D6A6"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120</w:t>
            </w:r>
          </w:p>
        </w:tc>
        <w:tc>
          <w:tcPr>
            <w:tcW w:w="1453" w:type="dxa"/>
          </w:tcPr>
          <w:p w14:paraId="70DE566C"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26.99</w:t>
            </w:r>
          </w:p>
        </w:tc>
        <w:tc>
          <w:tcPr>
            <w:tcW w:w="2094" w:type="dxa"/>
          </w:tcPr>
          <w:p w14:paraId="1CA66F50"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5.6 (8.7</w:t>
            </w:r>
            <w:r w:rsidRPr="00ED7E26">
              <w:rPr>
                <w:rFonts w:ascii="Book Antiqua" w:hAnsi="Book Antiqua" w:cs="Times New Roman"/>
                <w:color w:val="3B3E4D"/>
              </w:rPr>
              <w:t>–</w:t>
            </w:r>
            <w:r w:rsidRPr="00ED7E26">
              <w:rPr>
                <w:rFonts w:ascii="Book Antiqua" w:hAnsi="Book Antiqua" w:cs="Times New Roman"/>
              </w:rPr>
              <w:t>29.7)</w:t>
            </w:r>
          </w:p>
        </w:tc>
        <w:tc>
          <w:tcPr>
            <w:tcW w:w="2041" w:type="dxa"/>
          </w:tcPr>
          <w:p w14:paraId="38091021" w14:textId="08D15FB6" w:rsidR="007456FF" w:rsidRPr="00ED7E26" w:rsidRDefault="007456FF" w:rsidP="004C73EA">
            <w:pPr>
              <w:spacing w:line="360" w:lineRule="auto"/>
              <w:jc w:val="both"/>
              <w:rPr>
                <w:rFonts w:ascii="Book Antiqua" w:hAnsi="Book Antiqua"/>
              </w:rPr>
            </w:pPr>
            <w:r w:rsidRPr="00ED7E26">
              <w:rPr>
                <w:rFonts w:ascii="Book Antiqua" w:hAnsi="Book Antiqua" w:cs="Times New Roman"/>
              </w:rPr>
              <w:t>&lt; 0.01</w:t>
            </w:r>
          </w:p>
        </w:tc>
        <w:tc>
          <w:tcPr>
            <w:tcW w:w="2041" w:type="dxa"/>
          </w:tcPr>
          <w:p w14:paraId="4EBC8114" w14:textId="2E9E0B09"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&lt; 0.01</w:t>
            </w:r>
          </w:p>
        </w:tc>
      </w:tr>
    </w:tbl>
    <w:p w14:paraId="05F0BF5D" w14:textId="5D23CDDD" w:rsidR="007456FF" w:rsidRPr="00ED7E26" w:rsidRDefault="007456FF" w:rsidP="007456FF">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BG</w:t>
      </w:r>
      <w:r w:rsidR="009F54A1" w:rsidRPr="00ED7E26">
        <w:rPr>
          <w:rFonts w:ascii="Book Antiqua" w:hAnsi="Book Antiqua" w:cs="Times New Roman"/>
          <w:color w:val="131413"/>
        </w:rPr>
        <w:t xml:space="preserve">: </w:t>
      </w:r>
      <w:r w:rsidR="00DD7401" w:rsidRPr="00ED7E26">
        <w:rPr>
          <w:rFonts w:ascii="Book Antiqua" w:hAnsi="Book Antiqua" w:cs="Times New Roman"/>
          <w:color w:val="131413"/>
        </w:rPr>
        <w:t>Blood</w:t>
      </w:r>
      <w:r w:rsidRPr="00ED7E26">
        <w:rPr>
          <w:rFonts w:ascii="Book Antiqua" w:hAnsi="Book Antiqua" w:cs="Times New Roman"/>
          <w:color w:val="131413"/>
        </w:rPr>
        <w:t xml:space="preserve"> glucose.</w:t>
      </w:r>
    </w:p>
    <w:p w14:paraId="7FEA0E59" w14:textId="77777777" w:rsidR="007456FF" w:rsidRPr="00ED7E26" w:rsidRDefault="007456FF" w:rsidP="007456FF">
      <w:pPr>
        <w:spacing w:line="360" w:lineRule="auto"/>
        <w:jc w:val="both"/>
        <w:rPr>
          <w:rFonts w:ascii="Book Antiqua" w:hAnsi="Book Antiqua"/>
        </w:rPr>
      </w:pPr>
    </w:p>
    <w:p w14:paraId="51357C0B" w14:textId="77777777" w:rsidR="007456FF" w:rsidRPr="00ED7E26" w:rsidRDefault="007456FF" w:rsidP="007456FF">
      <w:pPr>
        <w:pStyle w:val="Default"/>
        <w:spacing w:line="360" w:lineRule="auto"/>
        <w:jc w:val="both"/>
        <w:rPr>
          <w:rFonts w:ascii="Book Antiqua" w:hAnsi="Book Antiqua" w:cs="Times New Roman"/>
          <w:b/>
          <w:bCs/>
          <w:color w:val="131413"/>
        </w:rPr>
      </w:pPr>
      <w:r w:rsidRPr="00ED7E26">
        <w:rPr>
          <w:rFonts w:ascii="Book Antiqua" w:hAnsi="Book Antiqua" w:cs="Times New Roman"/>
          <w:b/>
          <w:bCs/>
          <w:color w:val="131413"/>
        </w:rPr>
        <w:t>Table 3 Thyroid function tests</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24"/>
        <w:gridCol w:w="1703"/>
        <w:gridCol w:w="1684"/>
        <w:gridCol w:w="1392"/>
        <w:gridCol w:w="1703"/>
      </w:tblGrid>
      <w:tr w:rsidR="007456FF" w:rsidRPr="00ED7E26" w14:paraId="27FAD77D" w14:textId="77777777" w:rsidTr="004C73EA">
        <w:tc>
          <w:tcPr>
            <w:tcW w:w="1824" w:type="dxa"/>
            <w:tcBorders>
              <w:bottom w:val="single" w:sz="4" w:space="0" w:color="auto"/>
            </w:tcBorders>
          </w:tcPr>
          <w:p w14:paraId="0BE49AD3"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color w:val="131413"/>
              </w:rPr>
              <w:t>Investigation</w:t>
            </w:r>
          </w:p>
        </w:tc>
        <w:tc>
          <w:tcPr>
            <w:tcW w:w="1703" w:type="dxa"/>
            <w:tcBorders>
              <w:bottom w:val="single" w:sz="4" w:space="0" w:color="auto"/>
            </w:tcBorders>
          </w:tcPr>
          <w:p w14:paraId="5C14488C"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On admission</w:t>
            </w:r>
          </w:p>
        </w:tc>
        <w:tc>
          <w:tcPr>
            <w:tcW w:w="1684" w:type="dxa"/>
            <w:tcBorders>
              <w:bottom w:val="single" w:sz="4" w:space="0" w:color="auto"/>
            </w:tcBorders>
          </w:tcPr>
          <w:p w14:paraId="11301008"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rPr>
              <w:t xml:space="preserve">2 </w:t>
            </w:r>
            <w:proofErr w:type="spellStart"/>
            <w:r w:rsidRPr="00ED7E26">
              <w:rPr>
                <w:rFonts w:ascii="Book Antiqua" w:hAnsi="Book Antiqua" w:cs="Times New Roman"/>
                <w:b/>
                <w:bCs/>
              </w:rPr>
              <w:t>wk</w:t>
            </w:r>
            <w:proofErr w:type="spellEnd"/>
            <w:r w:rsidRPr="00ED7E26">
              <w:rPr>
                <w:rFonts w:ascii="Book Antiqua" w:hAnsi="Book Antiqua" w:cs="Times New Roman"/>
                <w:b/>
                <w:bCs/>
              </w:rPr>
              <w:t xml:space="preserve"> later</w:t>
            </w:r>
          </w:p>
        </w:tc>
        <w:tc>
          <w:tcPr>
            <w:tcW w:w="1392" w:type="dxa"/>
            <w:tcBorders>
              <w:bottom w:val="single" w:sz="4" w:space="0" w:color="auto"/>
            </w:tcBorders>
          </w:tcPr>
          <w:p w14:paraId="7BE3CF54" w14:textId="77777777" w:rsidR="007456FF" w:rsidRPr="00ED7E26" w:rsidRDefault="007456FF" w:rsidP="004C73EA">
            <w:pPr>
              <w:spacing w:line="360" w:lineRule="auto"/>
              <w:jc w:val="both"/>
              <w:rPr>
                <w:rFonts w:ascii="Book Antiqua" w:hAnsi="Book Antiqua" w:cs="Times New Roman"/>
                <w:b/>
                <w:bCs/>
                <w:color w:val="131413"/>
              </w:rPr>
            </w:pPr>
            <w:r w:rsidRPr="00ED7E26">
              <w:rPr>
                <w:rFonts w:ascii="Book Antiqua" w:hAnsi="Book Antiqua" w:cs="Times New Roman"/>
                <w:b/>
                <w:bCs/>
              </w:rPr>
              <w:t xml:space="preserve">3 </w:t>
            </w:r>
            <w:proofErr w:type="spellStart"/>
            <w:r w:rsidRPr="00ED7E26">
              <w:rPr>
                <w:rFonts w:ascii="Book Antiqua" w:hAnsi="Book Antiqua" w:cs="Times New Roman"/>
                <w:b/>
                <w:bCs/>
              </w:rPr>
              <w:t>mo</w:t>
            </w:r>
            <w:proofErr w:type="spellEnd"/>
            <w:r w:rsidRPr="00ED7E26">
              <w:rPr>
                <w:rFonts w:ascii="Book Antiqua" w:hAnsi="Book Antiqua" w:cs="Times New Roman"/>
                <w:b/>
                <w:bCs/>
              </w:rPr>
              <w:t xml:space="preserve"> later</w:t>
            </w:r>
          </w:p>
        </w:tc>
        <w:tc>
          <w:tcPr>
            <w:tcW w:w="1703" w:type="dxa"/>
            <w:tcBorders>
              <w:bottom w:val="single" w:sz="4" w:space="0" w:color="auto"/>
            </w:tcBorders>
          </w:tcPr>
          <w:p w14:paraId="6D95D435" w14:textId="77777777" w:rsidR="007456FF" w:rsidRPr="00ED7E26" w:rsidRDefault="007456FF" w:rsidP="004C73EA">
            <w:pPr>
              <w:spacing w:line="360" w:lineRule="auto"/>
              <w:jc w:val="both"/>
              <w:rPr>
                <w:rFonts w:ascii="Book Antiqua" w:hAnsi="Book Antiqua" w:cs="Times New Roman"/>
                <w:b/>
                <w:bCs/>
              </w:rPr>
            </w:pPr>
            <w:r w:rsidRPr="00ED7E26">
              <w:rPr>
                <w:rFonts w:ascii="Book Antiqua" w:hAnsi="Book Antiqua" w:cs="Times New Roman"/>
                <w:b/>
                <w:bCs/>
                <w:color w:val="131413"/>
              </w:rPr>
              <w:t>Reference range</w:t>
            </w:r>
          </w:p>
        </w:tc>
      </w:tr>
      <w:tr w:rsidR="007456FF" w:rsidRPr="00ED7E26" w14:paraId="348715CC" w14:textId="77777777" w:rsidTr="004C73EA">
        <w:tc>
          <w:tcPr>
            <w:tcW w:w="1824" w:type="dxa"/>
            <w:tcBorders>
              <w:bottom w:val="nil"/>
            </w:tcBorders>
          </w:tcPr>
          <w:p w14:paraId="5D298EFB"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T3 (nmol/L)</w:t>
            </w:r>
          </w:p>
        </w:tc>
        <w:tc>
          <w:tcPr>
            <w:tcW w:w="1703" w:type="dxa"/>
            <w:tcBorders>
              <w:bottom w:val="nil"/>
            </w:tcBorders>
          </w:tcPr>
          <w:p w14:paraId="1E5F1258"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1.57</w:t>
            </w:r>
          </w:p>
        </w:tc>
        <w:tc>
          <w:tcPr>
            <w:tcW w:w="1684" w:type="dxa"/>
            <w:tcBorders>
              <w:bottom w:val="nil"/>
            </w:tcBorders>
          </w:tcPr>
          <w:p w14:paraId="404F87AB"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1.14</w:t>
            </w:r>
          </w:p>
        </w:tc>
        <w:tc>
          <w:tcPr>
            <w:tcW w:w="1392" w:type="dxa"/>
            <w:tcBorders>
              <w:bottom w:val="nil"/>
            </w:tcBorders>
          </w:tcPr>
          <w:p w14:paraId="461492D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2.25</w:t>
            </w:r>
          </w:p>
        </w:tc>
        <w:tc>
          <w:tcPr>
            <w:tcW w:w="1703" w:type="dxa"/>
            <w:tcBorders>
              <w:bottom w:val="nil"/>
            </w:tcBorders>
          </w:tcPr>
          <w:p w14:paraId="1E516B1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0.89</w:t>
            </w:r>
            <w:r w:rsidRPr="00ED7E26">
              <w:rPr>
                <w:rFonts w:ascii="Book Antiqua" w:hAnsi="Book Antiqua" w:cs="Times New Roman"/>
                <w:color w:val="3B3E4D"/>
              </w:rPr>
              <w:t>–</w:t>
            </w:r>
            <w:r w:rsidRPr="00ED7E26">
              <w:rPr>
                <w:rFonts w:ascii="Book Antiqua" w:hAnsi="Book Antiqua" w:cs="Times New Roman"/>
              </w:rPr>
              <w:t>2.45</w:t>
            </w:r>
          </w:p>
        </w:tc>
      </w:tr>
      <w:tr w:rsidR="007456FF" w:rsidRPr="00ED7E26" w14:paraId="6FCFC379" w14:textId="77777777" w:rsidTr="004C73EA">
        <w:tc>
          <w:tcPr>
            <w:tcW w:w="1824" w:type="dxa"/>
            <w:tcBorders>
              <w:top w:val="nil"/>
              <w:bottom w:val="nil"/>
            </w:tcBorders>
          </w:tcPr>
          <w:p w14:paraId="3D5BF9EB"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T4 (nmol/L)</w:t>
            </w:r>
          </w:p>
        </w:tc>
        <w:tc>
          <w:tcPr>
            <w:tcW w:w="1703" w:type="dxa"/>
            <w:tcBorders>
              <w:top w:val="nil"/>
              <w:bottom w:val="nil"/>
            </w:tcBorders>
          </w:tcPr>
          <w:p w14:paraId="0C8F78CD"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191.37</w:t>
            </w:r>
          </w:p>
        </w:tc>
        <w:tc>
          <w:tcPr>
            <w:tcW w:w="1684" w:type="dxa"/>
            <w:tcBorders>
              <w:top w:val="nil"/>
              <w:bottom w:val="nil"/>
            </w:tcBorders>
          </w:tcPr>
          <w:p w14:paraId="771A0E6F"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128.27</w:t>
            </w:r>
          </w:p>
        </w:tc>
        <w:tc>
          <w:tcPr>
            <w:tcW w:w="1392" w:type="dxa"/>
            <w:tcBorders>
              <w:top w:val="nil"/>
              <w:bottom w:val="nil"/>
            </w:tcBorders>
          </w:tcPr>
          <w:p w14:paraId="3DA8C0D8"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132.69</w:t>
            </w:r>
          </w:p>
        </w:tc>
        <w:tc>
          <w:tcPr>
            <w:tcW w:w="1703" w:type="dxa"/>
            <w:tcBorders>
              <w:top w:val="nil"/>
              <w:bottom w:val="nil"/>
            </w:tcBorders>
          </w:tcPr>
          <w:p w14:paraId="0DFAF683"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62.68</w:t>
            </w:r>
            <w:r w:rsidRPr="00ED7E26">
              <w:rPr>
                <w:rFonts w:ascii="Book Antiqua" w:hAnsi="Book Antiqua" w:cs="Times New Roman"/>
                <w:color w:val="3B3E4D"/>
              </w:rPr>
              <w:t>–</w:t>
            </w:r>
            <w:r w:rsidRPr="00ED7E26">
              <w:rPr>
                <w:rFonts w:ascii="Book Antiqua" w:hAnsi="Book Antiqua" w:cs="Times New Roman"/>
              </w:rPr>
              <w:t>150.84</w:t>
            </w:r>
          </w:p>
        </w:tc>
      </w:tr>
      <w:tr w:rsidR="007456FF" w:rsidRPr="00ED7E26" w14:paraId="3DD26DF9" w14:textId="77777777" w:rsidTr="004C73EA">
        <w:tc>
          <w:tcPr>
            <w:tcW w:w="1824" w:type="dxa"/>
            <w:tcBorders>
              <w:top w:val="nil"/>
              <w:bottom w:val="nil"/>
            </w:tcBorders>
          </w:tcPr>
          <w:p w14:paraId="108AE887"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TSH (µIU/mL)</w:t>
            </w:r>
          </w:p>
        </w:tc>
        <w:tc>
          <w:tcPr>
            <w:tcW w:w="1703" w:type="dxa"/>
            <w:tcBorders>
              <w:top w:val="nil"/>
              <w:bottom w:val="nil"/>
            </w:tcBorders>
          </w:tcPr>
          <w:p w14:paraId="3C07485A"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&lt;0.01</w:t>
            </w:r>
          </w:p>
        </w:tc>
        <w:tc>
          <w:tcPr>
            <w:tcW w:w="1684" w:type="dxa"/>
            <w:tcBorders>
              <w:top w:val="nil"/>
              <w:bottom w:val="nil"/>
            </w:tcBorders>
          </w:tcPr>
          <w:p w14:paraId="7E6F7F35"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0.01</w:t>
            </w:r>
          </w:p>
        </w:tc>
        <w:tc>
          <w:tcPr>
            <w:tcW w:w="1392" w:type="dxa"/>
            <w:tcBorders>
              <w:top w:val="nil"/>
              <w:bottom w:val="nil"/>
            </w:tcBorders>
          </w:tcPr>
          <w:p w14:paraId="166FFE48"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3.84</w:t>
            </w:r>
          </w:p>
        </w:tc>
        <w:tc>
          <w:tcPr>
            <w:tcW w:w="1703" w:type="dxa"/>
            <w:tcBorders>
              <w:top w:val="nil"/>
              <w:bottom w:val="nil"/>
            </w:tcBorders>
          </w:tcPr>
          <w:p w14:paraId="617AC488"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0.35</w:t>
            </w:r>
            <w:r w:rsidRPr="00ED7E26">
              <w:rPr>
                <w:rFonts w:ascii="Book Antiqua" w:hAnsi="Book Antiqua" w:cs="Times New Roman"/>
                <w:color w:val="3B3E4D"/>
              </w:rPr>
              <w:t>–</w:t>
            </w:r>
            <w:r w:rsidRPr="00ED7E26">
              <w:rPr>
                <w:rFonts w:ascii="Book Antiqua" w:hAnsi="Book Antiqua" w:cs="Times New Roman"/>
              </w:rPr>
              <w:t>4.94</w:t>
            </w:r>
          </w:p>
        </w:tc>
      </w:tr>
      <w:tr w:rsidR="007456FF" w:rsidRPr="00ED7E26" w14:paraId="031D52C7" w14:textId="77777777" w:rsidTr="004C73EA">
        <w:tc>
          <w:tcPr>
            <w:tcW w:w="1824" w:type="dxa"/>
            <w:tcBorders>
              <w:top w:val="nil"/>
              <w:bottom w:val="nil"/>
            </w:tcBorders>
          </w:tcPr>
          <w:p w14:paraId="4CD1B7C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FT3 (</w:t>
            </w:r>
            <w:proofErr w:type="spellStart"/>
            <w:r w:rsidRPr="00ED7E26">
              <w:rPr>
                <w:rFonts w:ascii="Book Antiqua" w:hAnsi="Book Antiqua" w:cs="Times New Roman"/>
              </w:rPr>
              <w:t>pmol</w:t>
            </w:r>
            <w:proofErr w:type="spellEnd"/>
            <w:r w:rsidRPr="00ED7E26">
              <w:rPr>
                <w:rFonts w:ascii="Book Antiqua" w:hAnsi="Book Antiqua" w:cs="Times New Roman"/>
              </w:rPr>
              <w:t>/L))</w:t>
            </w:r>
          </w:p>
        </w:tc>
        <w:tc>
          <w:tcPr>
            <w:tcW w:w="1703" w:type="dxa"/>
            <w:tcBorders>
              <w:top w:val="nil"/>
              <w:bottom w:val="nil"/>
            </w:tcBorders>
          </w:tcPr>
          <w:p w14:paraId="24836033"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5.27</w:t>
            </w:r>
          </w:p>
        </w:tc>
        <w:tc>
          <w:tcPr>
            <w:tcW w:w="1684" w:type="dxa"/>
            <w:tcBorders>
              <w:top w:val="nil"/>
              <w:bottom w:val="nil"/>
            </w:tcBorders>
          </w:tcPr>
          <w:p w14:paraId="5F0E4C6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3.87</w:t>
            </w:r>
          </w:p>
        </w:tc>
        <w:tc>
          <w:tcPr>
            <w:tcW w:w="1392" w:type="dxa"/>
            <w:tcBorders>
              <w:top w:val="nil"/>
              <w:bottom w:val="nil"/>
            </w:tcBorders>
          </w:tcPr>
          <w:p w14:paraId="42952CDC"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4.71</w:t>
            </w:r>
          </w:p>
        </w:tc>
        <w:tc>
          <w:tcPr>
            <w:tcW w:w="1703" w:type="dxa"/>
            <w:tcBorders>
              <w:top w:val="nil"/>
              <w:bottom w:val="nil"/>
            </w:tcBorders>
          </w:tcPr>
          <w:p w14:paraId="6FE6C4EB"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2.63</w:t>
            </w:r>
            <w:r w:rsidRPr="00ED7E26">
              <w:rPr>
                <w:rFonts w:ascii="Book Antiqua" w:hAnsi="Book Antiqua" w:cs="Times New Roman"/>
                <w:color w:val="3B3E4D"/>
              </w:rPr>
              <w:t>–</w:t>
            </w:r>
            <w:r w:rsidRPr="00ED7E26">
              <w:rPr>
                <w:rFonts w:ascii="Book Antiqua" w:hAnsi="Book Antiqua" w:cs="Times New Roman"/>
              </w:rPr>
              <w:t>5.71</w:t>
            </w:r>
          </w:p>
        </w:tc>
      </w:tr>
      <w:tr w:rsidR="007456FF" w:rsidRPr="00ED7E26" w14:paraId="3928B4E0" w14:textId="77777777" w:rsidTr="004C73EA">
        <w:tc>
          <w:tcPr>
            <w:tcW w:w="1824" w:type="dxa"/>
            <w:tcBorders>
              <w:top w:val="nil"/>
              <w:bottom w:val="nil"/>
            </w:tcBorders>
          </w:tcPr>
          <w:p w14:paraId="16FD42E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FT4 (</w:t>
            </w:r>
            <w:proofErr w:type="spellStart"/>
            <w:r w:rsidRPr="00ED7E26">
              <w:rPr>
                <w:rFonts w:ascii="Book Antiqua" w:hAnsi="Book Antiqua" w:cs="Times New Roman"/>
              </w:rPr>
              <w:t>pmol</w:t>
            </w:r>
            <w:proofErr w:type="spellEnd"/>
            <w:r w:rsidRPr="00ED7E26">
              <w:rPr>
                <w:rFonts w:ascii="Book Antiqua" w:hAnsi="Book Antiqua" w:cs="Times New Roman"/>
              </w:rPr>
              <w:t>/L)</w:t>
            </w:r>
          </w:p>
        </w:tc>
        <w:tc>
          <w:tcPr>
            <w:tcW w:w="1703" w:type="dxa"/>
            <w:tcBorders>
              <w:top w:val="nil"/>
              <w:bottom w:val="nil"/>
            </w:tcBorders>
          </w:tcPr>
          <w:p w14:paraId="0CFBA07D"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24.1</w:t>
            </w:r>
          </w:p>
        </w:tc>
        <w:tc>
          <w:tcPr>
            <w:tcW w:w="1684" w:type="dxa"/>
            <w:tcBorders>
              <w:top w:val="nil"/>
              <w:bottom w:val="nil"/>
            </w:tcBorders>
          </w:tcPr>
          <w:p w14:paraId="2C48915C"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16.27</w:t>
            </w:r>
          </w:p>
        </w:tc>
        <w:tc>
          <w:tcPr>
            <w:tcW w:w="1392" w:type="dxa"/>
            <w:tcBorders>
              <w:top w:val="nil"/>
              <w:bottom w:val="nil"/>
            </w:tcBorders>
          </w:tcPr>
          <w:p w14:paraId="76FD47D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10.91</w:t>
            </w:r>
          </w:p>
        </w:tc>
        <w:tc>
          <w:tcPr>
            <w:tcW w:w="1703" w:type="dxa"/>
            <w:tcBorders>
              <w:top w:val="nil"/>
              <w:bottom w:val="nil"/>
            </w:tcBorders>
          </w:tcPr>
          <w:p w14:paraId="6DBAFA7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9.1</w:t>
            </w:r>
            <w:r w:rsidRPr="00ED7E26">
              <w:rPr>
                <w:rFonts w:ascii="Book Antiqua" w:hAnsi="Book Antiqua" w:cs="Times New Roman"/>
                <w:color w:val="3B3E4D"/>
              </w:rPr>
              <w:t>–</w:t>
            </w:r>
            <w:r w:rsidRPr="00ED7E26">
              <w:rPr>
                <w:rFonts w:ascii="Book Antiqua" w:hAnsi="Book Antiqua" w:cs="Times New Roman"/>
              </w:rPr>
              <w:t>19.24</w:t>
            </w:r>
          </w:p>
        </w:tc>
      </w:tr>
      <w:tr w:rsidR="007456FF" w:rsidRPr="00ED7E26" w14:paraId="1949006C" w14:textId="77777777" w:rsidTr="004C73EA">
        <w:tc>
          <w:tcPr>
            <w:tcW w:w="1824" w:type="dxa"/>
            <w:tcBorders>
              <w:top w:val="nil"/>
              <w:bottom w:val="nil"/>
            </w:tcBorders>
          </w:tcPr>
          <w:p w14:paraId="69AFCE03"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TPO-Ab (IU/mL)</w:t>
            </w:r>
          </w:p>
        </w:tc>
        <w:tc>
          <w:tcPr>
            <w:tcW w:w="1703" w:type="dxa"/>
            <w:tcBorders>
              <w:top w:val="nil"/>
              <w:bottom w:val="nil"/>
            </w:tcBorders>
          </w:tcPr>
          <w:p w14:paraId="187F44B9"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&gt;</w:t>
            </w:r>
            <w:r w:rsidRPr="00ED7E26">
              <w:rPr>
                <w:rFonts w:ascii="Book Antiqua" w:hAnsi="Book Antiqua"/>
              </w:rPr>
              <w:t xml:space="preserve"> </w:t>
            </w:r>
            <w:r w:rsidRPr="00ED7E26">
              <w:rPr>
                <w:rFonts w:ascii="Book Antiqua" w:hAnsi="Book Antiqua" w:cs="Times New Roman"/>
              </w:rPr>
              <w:t>1000.00</w:t>
            </w:r>
          </w:p>
        </w:tc>
        <w:tc>
          <w:tcPr>
            <w:tcW w:w="1684" w:type="dxa"/>
            <w:tcBorders>
              <w:top w:val="nil"/>
              <w:bottom w:val="nil"/>
            </w:tcBorders>
          </w:tcPr>
          <w:p w14:paraId="657C3BC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&gt;</w:t>
            </w:r>
            <w:r w:rsidRPr="00ED7E26">
              <w:rPr>
                <w:rFonts w:ascii="Book Antiqua" w:hAnsi="Book Antiqua"/>
              </w:rPr>
              <w:t xml:space="preserve"> </w:t>
            </w:r>
            <w:r w:rsidRPr="00ED7E26">
              <w:rPr>
                <w:rFonts w:ascii="Book Antiqua" w:hAnsi="Book Antiqua" w:cs="Times New Roman"/>
              </w:rPr>
              <w:t>1000.00</w:t>
            </w:r>
          </w:p>
        </w:tc>
        <w:tc>
          <w:tcPr>
            <w:tcW w:w="1392" w:type="dxa"/>
            <w:tcBorders>
              <w:top w:val="nil"/>
              <w:bottom w:val="nil"/>
            </w:tcBorders>
          </w:tcPr>
          <w:p w14:paraId="6A0F3C6E"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363</w:t>
            </w:r>
          </w:p>
        </w:tc>
        <w:tc>
          <w:tcPr>
            <w:tcW w:w="1703" w:type="dxa"/>
            <w:tcBorders>
              <w:top w:val="nil"/>
              <w:bottom w:val="nil"/>
            </w:tcBorders>
          </w:tcPr>
          <w:p w14:paraId="658E25B2"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w:t>
            </w:r>
            <w:r w:rsidRPr="00ED7E26">
              <w:rPr>
                <w:rFonts w:ascii="Book Antiqua" w:hAnsi="Book Antiqua" w:cs="Times New Roman"/>
                <w:color w:val="3B3E4D"/>
              </w:rPr>
              <w:t>–</w:t>
            </w:r>
            <w:r w:rsidRPr="00ED7E26">
              <w:rPr>
                <w:rFonts w:ascii="Book Antiqua" w:hAnsi="Book Antiqua" w:cs="Times New Roman"/>
              </w:rPr>
              <w:t>5.61</w:t>
            </w:r>
          </w:p>
        </w:tc>
      </w:tr>
      <w:tr w:rsidR="007456FF" w:rsidRPr="00ED7E26" w14:paraId="73FCC043" w14:textId="77777777" w:rsidTr="004C73EA">
        <w:tc>
          <w:tcPr>
            <w:tcW w:w="1824" w:type="dxa"/>
            <w:tcBorders>
              <w:top w:val="nil"/>
            </w:tcBorders>
          </w:tcPr>
          <w:p w14:paraId="20A1F226"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TG-Ab (IU/mL)</w:t>
            </w:r>
          </w:p>
        </w:tc>
        <w:tc>
          <w:tcPr>
            <w:tcW w:w="1703" w:type="dxa"/>
            <w:tcBorders>
              <w:top w:val="nil"/>
            </w:tcBorders>
          </w:tcPr>
          <w:p w14:paraId="7FD35725"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226.08</w:t>
            </w:r>
          </w:p>
        </w:tc>
        <w:tc>
          <w:tcPr>
            <w:tcW w:w="1684" w:type="dxa"/>
            <w:tcBorders>
              <w:top w:val="nil"/>
            </w:tcBorders>
          </w:tcPr>
          <w:p w14:paraId="69C3213F"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140.84</w:t>
            </w:r>
          </w:p>
        </w:tc>
        <w:tc>
          <w:tcPr>
            <w:tcW w:w="1392" w:type="dxa"/>
            <w:tcBorders>
              <w:top w:val="nil"/>
            </w:tcBorders>
          </w:tcPr>
          <w:p w14:paraId="7DDF62FF"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218</w:t>
            </w:r>
          </w:p>
        </w:tc>
        <w:tc>
          <w:tcPr>
            <w:tcW w:w="1703" w:type="dxa"/>
            <w:tcBorders>
              <w:top w:val="nil"/>
            </w:tcBorders>
          </w:tcPr>
          <w:p w14:paraId="7DE5CD2A" w14:textId="77777777" w:rsidR="007456FF" w:rsidRPr="00ED7E26" w:rsidRDefault="007456FF" w:rsidP="004C73EA">
            <w:pPr>
              <w:spacing w:line="360" w:lineRule="auto"/>
              <w:jc w:val="both"/>
              <w:rPr>
                <w:rFonts w:ascii="Book Antiqua" w:hAnsi="Book Antiqua" w:cs="Times New Roman"/>
              </w:rPr>
            </w:pPr>
            <w:r w:rsidRPr="00ED7E26">
              <w:rPr>
                <w:rFonts w:ascii="Book Antiqua" w:hAnsi="Book Antiqua" w:cs="Times New Roman"/>
              </w:rPr>
              <w:t>0</w:t>
            </w:r>
            <w:r w:rsidRPr="00ED7E26">
              <w:rPr>
                <w:rFonts w:ascii="Book Antiqua" w:hAnsi="Book Antiqua" w:cs="Times New Roman"/>
                <w:color w:val="3B3E4D"/>
              </w:rPr>
              <w:t>–</w:t>
            </w:r>
            <w:r w:rsidRPr="00ED7E26">
              <w:rPr>
                <w:rFonts w:ascii="Book Antiqua" w:hAnsi="Book Antiqua" w:cs="Times New Roman"/>
              </w:rPr>
              <w:t>4.11</w:t>
            </w:r>
          </w:p>
        </w:tc>
      </w:tr>
    </w:tbl>
    <w:p w14:paraId="4268BBDB" w14:textId="449F8231" w:rsidR="007456FF" w:rsidRPr="00ED7E26" w:rsidRDefault="00507E40" w:rsidP="007456FF">
      <w:pPr>
        <w:pStyle w:val="Default"/>
        <w:spacing w:line="360" w:lineRule="auto"/>
        <w:jc w:val="both"/>
        <w:rPr>
          <w:rFonts w:ascii="Book Antiqua" w:hAnsi="Book Antiqua" w:cs="Times New Roman"/>
          <w:color w:val="131413"/>
        </w:rPr>
      </w:pPr>
      <w:r w:rsidRPr="00ED7E26">
        <w:rPr>
          <w:rFonts w:ascii="Book Antiqua" w:hAnsi="Book Antiqua" w:cs="Times New Roman"/>
          <w:color w:val="131413"/>
        </w:rPr>
        <w:t>TSH</w:t>
      </w:r>
      <w:r w:rsidR="009F54A1" w:rsidRPr="00ED7E26">
        <w:rPr>
          <w:rFonts w:ascii="Book Antiqua" w:hAnsi="Book Antiqua" w:cs="Times New Roman"/>
          <w:color w:val="131413"/>
        </w:rPr>
        <w:t>: T</w:t>
      </w:r>
      <w:r w:rsidR="000E5206" w:rsidRPr="00ED7E26">
        <w:rPr>
          <w:rFonts w:ascii="Book Antiqua" w:hAnsi="Book Antiqua" w:cs="Times New Roman"/>
          <w:color w:val="131413"/>
        </w:rPr>
        <w:t xml:space="preserve">hyroid stimulating hormone; </w:t>
      </w:r>
      <w:r w:rsidR="007456FF" w:rsidRPr="00ED7E26">
        <w:rPr>
          <w:rFonts w:ascii="Book Antiqua" w:hAnsi="Book Antiqua" w:cs="Times New Roman"/>
          <w:color w:val="131413"/>
        </w:rPr>
        <w:t>TPO</w:t>
      </w:r>
      <w:r w:rsidR="009F54A1" w:rsidRPr="00ED7E26">
        <w:rPr>
          <w:rFonts w:ascii="Book Antiqua" w:hAnsi="Book Antiqua" w:cs="Times New Roman"/>
          <w:color w:val="131413"/>
        </w:rPr>
        <w:t>: T</w:t>
      </w:r>
      <w:r w:rsidR="007456FF" w:rsidRPr="00ED7E26">
        <w:rPr>
          <w:rFonts w:ascii="Book Antiqua" w:hAnsi="Book Antiqua" w:cs="Times New Roman"/>
          <w:color w:val="131413"/>
        </w:rPr>
        <w:t>hyroid peroxidase; TG</w:t>
      </w:r>
      <w:r w:rsidR="009F54A1" w:rsidRPr="00ED7E26">
        <w:rPr>
          <w:rFonts w:ascii="Book Antiqua" w:hAnsi="Book Antiqua" w:cs="Times New Roman"/>
          <w:color w:val="131413"/>
        </w:rPr>
        <w:t>:</w:t>
      </w:r>
      <w:r w:rsidR="009F54A1" w:rsidRPr="00ED7E26">
        <w:rPr>
          <w:rFonts w:ascii="Book Antiqua" w:hAnsi="Book Antiqua"/>
        </w:rPr>
        <w:t xml:space="preserve"> </w:t>
      </w:r>
      <w:r w:rsidR="009F54A1" w:rsidRPr="00ED7E26">
        <w:rPr>
          <w:rFonts w:ascii="Book Antiqua" w:hAnsi="Book Antiqua" w:cs="Times New Roman"/>
          <w:color w:val="131413"/>
        </w:rPr>
        <w:t>T</w:t>
      </w:r>
      <w:r w:rsidR="007456FF" w:rsidRPr="00ED7E26">
        <w:rPr>
          <w:rFonts w:ascii="Book Antiqua" w:hAnsi="Book Antiqua" w:cs="Times New Roman"/>
          <w:color w:val="131413"/>
        </w:rPr>
        <w:t>hyroglobulin.</w:t>
      </w:r>
    </w:p>
    <w:p w14:paraId="6A1A7547" w14:textId="14120A19" w:rsidR="00ED7E26" w:rsidRPr="00ED7E26" w:rsidRDefault="00ED7E26">
      <w:pPr>
        <w:rPr>
          <w:rFonts w:ascii="Book Antiqua" w:eastAsia="Museo Sans Cond 900" w:hAnsi="Book Antiqua"/>
          <w:color w:val="131413"/>
          <w:lang w:eastAsia="zh-CN"/>
        </w:rPr>
      </w:pPr>
      <w:r w:rsidRPr="00ED7E26">
        <w:rPr>
          <w:rFonts w:ascii="Book Antiqua" w:hAnsi="Book Antiqua"/>
          <w:color w:val="131413"/>
        </w:rPr>
        <w:br w:type="page"/>
      </w:r>
    </w:p>
    <w:p w14:paraId="0BD9167E" w14:textId="77777777" w:rsidR="00ED7E26" w:rsidRPr="00ED7E26" w:rsidRDefault="00ED7E26" w:rsidP="00ED7E26">
      <w:pPr>
        <w:ind w:leftChars="100" w:left="240"/>
        <w:jc w:val="center"/>
        <w:rPr>
          <w:rFonts w:ascii="Book Antiqua" w:hAnsi="Book Antiqua"/>
          <w:lang w:val="pt-BR" w:eastAsia="zh-CN"/>
        </w:rPr>
      </w:pPr>
      <w:bookmarkStart w:id="8" w:name="_Hlk88512952"/>
    </w:p>
    <w:p w14:paraId="2240858A" w14:textId="77777777" w:rsidR="00ED7E26" w:rsidRPr="00ED7E26" w:rsidRDefault="00ED7E26" w:rsidP="00ED7E26">
      <w:pPr>
        <w:ind w:leftChars="100" w:left="240"/>
        <w:jc w:val="center"/>
        <w:rPr>
          <w:rFonts w:ascii="Book Antiqua" w:hAnsi="Book Antiqua"/>
          <w:lang w:val="pt-BR" w:eastAsia="zh-CN"/>
        </w:rPr>
      </w:pPr>
    </w:p>
    <w:p w14:paraId="204FC797" w14:textId="77777777" w:rsidR="00ED7E26" w:rsidRPr="00ED7E26" w:rsidRDefault="00ED7E26" w:rsidP="00ED7E26">
      <w:pPr>
        <w:ind w:leftChars="100" w:left="240"/>
        <w:jc w:val="center"/>
        <w:rPr>
          <w:rFonts w:ascii="Book Antiqua" w:hAnsi="Book Antiqua"/>
          <w:lang w:val="pt-BR" w:eastAsia="zh-CN"/>
        </w:rPr>
      </w:pPr>
    </w:p>
    <w:p w14:paraId="2FA8B822" w14:textId="77777777" w:rsidR="00ED7E26" w:rsidRPr="00ED7E26" w:rsidRDefault="00ED7E26" w:rsidP="00ED7E26">
      <w:pPr>
        <w:ind w:leftChars="100" w:left="240"/>
        <w:jc w:val="center"/>
        <w:rPr>
          <w:rFonts w:ascii="Book Antiqua" w:hAnsi="Book Antiqua"/>
          <w:lang w:val="pt-BR" w:eastAsia="zh-CN"/>
        </w:rPr>
      </w:pPr>
    </w:p>
    <w:p w14:paraId="76ACC6BE" w14:textId="77777777" w:rsidR="00ED7E26" w:rsidRPr="00ED7E26" w:rsidRDefault="00ED7E26" w:rsidP="00ED7E26">
      <w:pPr>
        <w:ind w:leftChars="100" w:left="240"/>
        <w:jc w:val="center"/>
        <w:rPr>
          <w:rFonts w:ascii="Book Antiqua" w:hAnsi="Book Antiqua"/>
          <w:lang w:eastAsia="zh-CN"/>
        </w:rPr>
      </w:pPr>
      <w:r w:rsidRPr="00ED7E26">
        <w:rPr>
          <w:rFonts w:ascii="Book Antiqua" w:hAnsi="Book Antiqua"/>
          <w:noProof/>
          <w:lang w:eastAsia="zh-CN"/>
        </w:rPr>
        <w:drawing>
          <wp:inline distT="0" distB="0" distL="0" distR="0" wp14:anchorId="7E534B5C" wp14:editId="5C7F004E">
            <wp:extent cx="2499360" cy="1440180"/>
            <wp:effectExtent l="0" t="0" r="0" b="7620"/>
            <wp:docPr id="1970933854" name="图片 197093385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51516C" w14:textId="77777777" w:rsidR="00ED7E26" w:rsidRPr="00ED7E26" w:rsidRDefault="00ED7E26" w:rsidP="00ED7E26">
      <w:pPr>
        <w:ind w:leftChars="100" w:left="240"/>
        <w:jc w:val="center"/>
        <w:rPr>
          <w:rFonts w:ascii="Book Antiqua" w:hAnsi="Book Antiqua"/>
          <w:lang w:eastAsia="zh-CN"/>
        </w:rPr>
      </w:pPr>
    </w:p>
    <w:p w14:paraId="13AD7361" w14:textId="77777777" w:rsidR="00ED7E26" w:rsidRPr="00ED7E26" w:rsidRDefault="00ED7E26" w:rsidP="00ED7E26">
      <w:pPr>
        <w:autoSpaceDE w:val="0"/>
        <w:autoSpaceDN w:val="0"/>
        <w:adjustRightInd w:val="0"/>
        <w:ind w:leftChars="100" w:left="240"/>
        <w:jc w:val="center"/>
        <w:rPr>
          <w:rFonts w:ascii="Book Antiqua" w:eastAsia="Garamond-Bold" w:hAnsi="Book Antiqua" w:cs="Garamond-Bold"/>
          <w:b/>
          <w:bCs/>
          <w:color w:val="000000"/>
          <w:sz w:val="28"/>
          <w:szCs w:val="28"/>
        </w:rPr>
      </w:pPr>
      <w:r w:rsidRPr="00ED7E26">
        <w:rPr>
          <w:rFonts w:ascii="Book Antiqua" w:eastAsia="TimesNewRomanPSMT" w:hAnsi="Book Antiqua" w:cs="TimesNewRomanPSMT"/>
          <w:color w:val="000000"/>
          <w:sz w:val="28"/>
          <w:szCs w:val="28"/>
        </w:rPr>
        <w:t xml:space="preserve">Published by </w:t>
      </w:r>
      <w:proofErr w:type="spellStart"/>
      <w:r w:rsidRPr="00ED7E26">
        <w:rPr>
          <w:rFonts w:ascii="Book Antiqua" w:eastAsia="Garamond-Bold" w:hAnsi="Book Antiqua" w:cs="Garamond-Bold"/>
          <w:b/>
          <w:bCs/>
          <w:color w:val="000000"/>
          <w:sz w:val="28"/>
          <w:szCs w:val="28"/>
        </w:rPr>
        <w:t>Baishideng</w:t>
      </w:r>
      <w:proofErr w:type="spellEnd"/>
      <w:r w:rsidRPr="00ED7E26">
        <w:rPr>
          <w:rFonts w:ascii="Book Antiqua" w:eastAsia="Garamond-Bold" w:hAnsi="Book Antiqua" w:cs="Garamond-Bold"/>
          <w:b/>
          <w:bCs/>
          <w:color w:val="000000"/>
          <w:sz w:val="28"/>
          <w:szCs w:val="28"/>
        </w:rPr>
        <w:t xml:space="preserve"> Publishing Group Inc</w:t>
      </w:r>
    </w:p>
    <w:p w14:paraId="00300D3C" w14:textId="77777777" w:rsidR="00ED7E26" w:rsidRPr="00ED7E26" w:rsidRDefault="00ED7E26" w:rsidP="00ED7E26">
      <w:pPr>
        <w:autoSpaceDE w:val="0"/>
        <w:autoSpaceDN w:val="0"/>
        <w:adjustRightInd w:val="0"/>
        <w:ind w:leftChars="100" w:left="240"/>
        <w:jc w:val="center"/>
        <w:rPr>
          <w:rFonts w:ascii="Book Antiqua" w:eastAsia="TimesNewRomanPSMT" w:hAnsi="Book Antiqua" w:cs="Garamond"/>
          <w:color w:val="000000"/>
          <w:sz w:val="28"/>
          <w:szCs w:val="28"/>
        </w:rPr>
      </w:pPr>
      <w:r w:rsidRPr="00ED7E26">
        <w:rPr>
          <w:rFonts w:ascii="Book Antiqua" w:eastAsia="TimesNewRomanPSMT" w:hAnsi="Book Antiqua" w:cs="Garamond"/>
          <w:color w:val="000000"/>
          <w:sz w:val="28"/>
          <w:szCs w:val="28"/>
        </w:rPr>
        <w:t>7041 Koll Center Parkway, Suite 160, Pleasanton, CA 94566, USA</w:t>
      </w:r>
    </w:p>
    <w:p w14:paraId="4E7864BA" w14:textId="77777777" w:rsidR="00ED7E26" w:rsidRPr="00ED7E26" w:rsidRDefault="00ED7E26" w:rsidP="00ED7E26">
      <w:pPr>
        <w:autoSpaceDE w:val="0"/>
        <w:autoSpaceDN w:val="0"/>
        <w:adjustRightInd w:val="0"/>
        <w:ind w:leftChars="100" w:left="240"/>
        <w:jc w:val="center"/>
        <w:rPr>
          <w:rFonts w:ascii="Book Antiqua" w:eastAsia="TimesNewRomanPSMT" w:hAnsi="Book Antiqua" w:cs="Garamond"/>
          <w:color w:val="000000"/>
          <w:sz w:val="28"/>
          <w:szCs w:val="28"/>
        </w:rPr>
      </w:pPr>
      <w:r w:rsidRPr="00ED7E26">
        <w:rPr>
          <w:rFonts w:ascii="Book Antiqua" w:eastAsia="Garamond-Bold" w:hAnsi="Book Antiqua" w:cs="Garamond-Bold"/>
          <w:b/>
          <w:bCs/>
          <w:color w:val="000000"/>
          <w:sz w:val="28"/>
          <w:szCs w:val="28"/>
        </w:rPr>
        <w:t xml:space="preserve">Telephone: </w:t>
      </w:r>
      <w:r w:rsidRPr="00ED7E26">
        <w:rPr>
          <w:rFonts w:ascii="Book Antiqua" w:eastAsia="TimesNewRomanPSMT" w:hAnsi="Book Antiqua" w:cs="Garamond"/>
          <w:color w:val="000000"/>
          <w:sz w:val="28"/>
          <w:szCs w:val="28"/>
        </w:rPr>
        <w:t>+1-925-3991568</w:t>
      </w:r>
    </w:p>
    <w:p w14:paraId="7BBD1AAB" w14:textId="77777777" w:rsidR="00ED7E26" w:rsidRPr="00ED7E26" w:rsidRDefault="00ED7E26" w:rsidP="00ED7E26">
      <w:pPr>
        <w:autoSpaceDE w:val="0"/>
        <w:autoSpaceDN w:val="0"/>
        <w:adjustRightInd w:val="0"/>
        <w:ind w:leftChars="100" w:left="240"/>
        <w:jc w:val="center"/>
        <w:rPr>
          <w:rFonts w:ascii="Book Antiqua" w:eastAsia="TimesNewRomanPSMT" w:hAnsi="Book Antiqua" w:cs="Garamond"/>
          <w:color w:val="D56400"/>
          <w:sz w:val="28"/>
          <w:szCs w:val="28"/>
        </w:rPr>
      </w:pPr>
      <w:r w:rsidRPr="00ED7E26">
        <w:rPr>
          <w:rFonts w:ascii="Book Antiqua" w:eastAsia="Garamond-Bold" w:hAnsi="Book Antiqua" w:cs="Garamond-Bold"/>
          <w:b/>
          <w:bCs/>
          <w:color w:val="000000"/>
          <w:sz w:val="28"/>
          <w:szCs w:val="28"/>
        </w:rPr>
        <w:t xml:space="preserve">E-mail: </w:t>
      </w:r>
      <w:r w:rsidRPr="00ED7E26">
        <w:rPr>
          <w:rFonts w:ascii="Book Antiqua" w:eastAsia="TimesNewRomanPSMT" w:hAnsi="Book Antiqua" w:cs="Garamond"/>
          <w:color w:val="D56400"/>
          <w:sz w:val="28"/>
          <w:szCs w:val="28"/>
        </w:rPr>
        <w:t>bpgoffice@wjgnet.com</w:t>
      </w:r>
    </w:p>
    <w:p w14:paraId="20B51E50" w14:textId="77777777" w:rsidR="00ED7E26" w:rsidRPr="00ED7E26" w:rsidRDefault="00ED7E26" w:rsidP="00ED7E26">
      <w:pPr>
        <w:autoSpaceDE w:val="0"/>
        <w:autoSpaceDN w:val="0"/>
        <w:adjustRightInd w:val="0"/>
        <w:ind w:leftChars="100" w:left="240"/>
        <w:jc w:val="center"/>
        <w:rPr>
          <w:rFonts w:ascii="Book Antiqua" w:eastAsia="TimesNewRomanPSMT" w:hAnsi="Book Antiqua" w:cs="Garamond"/>
          <w:color w:val="D56400"/>
          <w:sz w:val="28"/>
          <w:szCs w:val="28"/>
        </w:rPr>
      </w:pPr>
      <w:r w:rsidRPr="00ED7E26">
        <w:rPr>
          <w:rFonts w:ascii="Book Antiqua" w:eastAsia="Garamond-Bold" w:hAnsi="Book Antiqua" w:cs="Garamond-Bold"/>
          <w:b/>
          <w:bCs/>
          <w:color w:val="000000"/>
          <w:sz w:val="28"/>
          <w:szCs w:val="28"/>
        </w:rPr>
        <w:t xml:space="preserve">Help Desk: </w:t>
      </w:r>
      <w:r w:rsidRPr="00ED7E26">
        <w:rPr>
          <w:rFonts w:ascii="Book Antiqua" w:eastAsia="TimesNewRomanPSMT" w:hAnsi="Book Antiqua" w:cs="Garamond"/>
          <w:color w:val="D56400"/>
          <w:sz w:val="28"/>
          <w:szCs w:val="28"/>
        </w:rPr>
        <w:t>https://www.f6publishing.com/helpdesk</w:t>
      </w:r>
    </w:p>
    <w:p w14:paraId="5F58B735" w14:textId="77777777" w:rsidR="00ED7E26" w:rsidRPr="00ED7E26" w:rsidRDefault="00ED7E26" w:rsidP="00ED7E26">
      <w:pPr>
        <w:ind w:leftChars="100" w:left="240"/>
        <w:jc w:val="center"/>
        <w:rPr>
          <w:rFonts w:ascii="Book Antiqua" w:hAnsi="Book Antiqua"/>
          <w:lang w:eastAsia="zh-CN"/>
        </w:rPr>
      </w:pPr>
      <w:r w:rsidRPr="00ED7E26">
        <w:rPr>
          <w:rFonts w:ascii="Book Antiqua" w:eastAsia="TimesNewRomanPSMT" w:hAnsi="Book Antiqua" w:cs="Garamond"/>
          <w:color w:val="D56400"/>
          <w:sz w:val="28"/>
          <w:szCs w:val="28"/>
        </w:rPr>
        <w:t>https://www.wjgnet.com</w:t>
      </w:r>
    </w:p>
    <w:p w14:paraId="6979456B" w14:textId="77777777" w:rsidR="00ED7E26" w:rsidRPr="00ED7E26" w:rsidRDefault="00ED7E26" w:rsidP="00ED7E26">
      <w:pPr>
        <w:ind w:leftChars="100" w:left="240"/>
        <w:jc w:val="center"/>
        <w:rPr>
          <w:rFonts w:ascii="Book Antiqua" w:hAnsi="Book Antiqua"/>
          <w:lang w:eastAsia="zh-CN"/>
        </w:rPr>
      </w:pPr>
    </w:p>
    <w:p w14:paraId="6C68F98D" w14:textId="77777777" w:rsidR="00ED7E26" w:rsidRPr="00ED7E26" w:rsidRDefault="00ED7E26" w:rsidP="00ED7E26">
      <w:pPr>
        <w:ind w:leftChars="100" w:left="240"/>
        <w:jc w:val="center"/>
        <w:rPr>
          <w:rFonts w:ascii="Book Antiqua" w:hAnsi="Book Antiqua"/>
          <w:lang w:eastAsia="zh-CN"/>
        </w:rPr>
      </w:pPr>
    </w:p>
    <w:p w14:paraId="123A94B4" w14:textId="77777777" w:rsidR="00ED7E26" w:rsidRPr="00ED7E26" w:rsidRDefault="00ED7E26" w:rsidP="00ED7E26">
      <w:pPr>
        <w:ind w:leftChars="100" w:left="240"/>
        <w:jc w:val="center"/>
        <w:rPr>
          <w:rFonts w:ascii="Book Antiqua" w:hAnsi="Book Antiqua"/>
          <w:lang w:eastAsia="zh-CN"/>
        </w:rPr>
      </w:pPr>
    </w:p>
    <w:p w14:paraId="6C67883E" w14:textId="77777777" w:rsidR="00ED7E26" w:rsidRPr="00ED7E26" w:rsidRDefault="00ED7E26" w:rsidP="00ED7E26">
      <w:pPr>
        <w:ind w:leftChars="100" w:left="240"/>
        <w:jc w:val="center"/>
        <w:rPr>
          <w:rFonts w:ascii="Book Antiqua" w:hAnsi="Book Antiqua"/>
          <w:lang w:eastAsia="zh-CN"/>
        </w:rPr>
      </w:pPr>
      <w:r w:rsidRPr="00ED7E26">
        <w:rPr>
          <w:rFonts w:ascii="Book Antiqua" w:hAnsi="Book Antiqua"/>
          <w:noProof/>
          <w:lang w:eastAsia="zh-CN"/>
        </w:rPr>
        <w:drawing>
          <wp:inline distT="0" distB="0" distL="0" distR="0" wp14:anchorId="0F3BA228" wp14:editId="7DC888A2">
            <wp:extent cx="1447800" cy="1440180"/>
            <wp:effectExtent l="0" t="0" r="0" b="7620"/>
            <wp:docPr id="1086805229" name="图片 108680522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E29DF8" w14:textId="77777777" w:rsidR="00ED7E26" w:rsidRPr="00ED7E26" w:rsidRDefault="00ED7E26" w:rsidP="00ED7E26">
      <w:pPr>
        <w:ind w:leftChars="100" w:left="240"/>
        <w:jc w:val="center"/>
        <w:rPr>
          <w:rFonts w:ascii="Book Antiqua" w:hAnsi="Book Antiqua"/>
          <w:lang w:eastAsia="zh-CN"/>
        </w:rPr>
      </w:pPr>
    </w:p>
    <w:p w14:paraId="42D31F37" w14:textId="77777777" w:rsidR="00ED7E26" w:rsidRPr="00ED7E26" w:rsidRDefault="00ED7E26" w:rsidP="00ED7E26">
      <w:pPr>
        <w:ind w:leftChars="100" w:left="240"/>
        <w:jc w:val="center"/>
        <w:rPr>
          <w:rFonts w:ascii="Book Antiqua" w:hAnsi="Book Antiqua"/>
          <w:lang w:eastAsia="zh-CN"/>
        </w:rPr>
      </w:pPr>
    </w:p>
    <w:p w14:paraId="38615EF1" w14:textId="77777777" w:rsidR="00ED7E26" w:rsidRPr="00ED7E26" w:rsidRDefault="00ED7E26" w:rsidP="00ED7E26">
      <w:pPr>
        <w:ind w:leftChars="100" w:left="240"/>
        <w:jc w:val="center"/>
        <w:rPr>
          <w:rFonts w:ascii="Book Antiqua" w:hAnsi="Book Antiqua"/>
          <w:lang w:eastAsia="zh-CN"/>
        </w:rPr>
      </w:pPr>
    </w:p>
    <w:p w14:paraId="0A8414DA" w14:textId="77777777" w:rsidR="00ED7E26" w:rsidRPr="00ED7E26" w:rsidRDefault="00ED7E26" w:rsidP="00ED7E26">
      <w:pPr>
        <w:ind w:leftChars="100" w:left="240"/>
        <w:jc w:val="center"/>
        <w:rPr>
          <w:rFonts w:ascii="Book Antiqua" w:hAnsi="Book Antiqua"/>
          <w:lang w:eastAsia="zh-CN"/>
        </w:rPr>
      </w:pPr>
    </w:p>
    <w:p w14:paraId="0820A5BF" w14:textId="77777777" w:rsidR="00ED7E26" w:rsidRPr="00ED7E26" w:rsidRDefault="00ED7E26" w:rsidP="00ED7E26">
      <w:pPr>
        <w:ind w:leftChars="100" w:left="240"/>
        <w:jc w:val="center"/>
        <w:rPr>
          <w:rFonts w:ascii="Book Antiqua" w:hAnsi="Book Antiqua"/>
          <w:lang w:eastAsia="zh-CN"/>
        </w:rPr>
      </w:pPr>
    </w:p>
    <w:p w14:paraId="67834CDA" w14:textId="77777777" w:rsidR="00ED7E26" w:rsidRPr="00ED7E26" w:rsidRDefault="00ED7E26" w:rsidP="00ED7E26">
      <w:pPr>
        <w:ind w:leftChars="100" w:left="240"/>
        <w:jc w:val="center"/>
        <w:rPr>
          <w:rFonts w:ascii="Book Antiqua" w:hAnsi="Book Antiqua"/>
          <w:lang w:eastAsia="zh-CN"/>
        </w:rPr>
      </w:pPr>
    </w:p>
    <w:p w14:paraId="33283770" w14:textId="77777777" w:rsidR="00ED7E26" w:rsidRPr="00ED7E26" w:rsidRDefault="00ED7E26" w:rsidP="00ED7E26">
      <w:pPr>
        <w:ind w:leftChars="100" w:left="240"/>
        <w:jc w:val="center"/>
        <w:rPr>
          <w:rFonts w:ascii="Book Antiqua" w:hAnsi="Book Antiqua"/>
          <w:lang w:eastAsia="zh-CN"/>
        </w:rPr>
      </w:pPr>
    </w:p>
    <w:p w14:paraId="28E3A146" w14:textId="77777777" w:rsidR="00ED7E26" w:rsidRPr="00ED7E26" w:rsidRDefault="00ED7E26" w:rsidP="00ED7E26">
      <w:pPr>
        <w:ind w:leftChars="100" w:left="240"/>
        <w:jc w:val="center"/>
        <w:rPr>
          <w:rFonts w:ascii="Book Antiqua" w:hAnsi="Book Antiqua"/>
          <w:lang w:eastAsia="zh-CN"/>
        </w:rPr>
      </w:pPr>
    </w:p>
    <w:p w14:paraId="3FAECF40" w14:textId="77777777" w:rsidR="00ED7E26" w:rsidRPr="00ED7E26" w:rsidRDefault="00ED7E26" w:rsidP="00ED7E26">
      <w:pPr>
        <w:ind w:leftChars="100" w:left="240"/>
        <w:jc w:val="center"/>
        <w:rPr>
          <w:rFonts w:ascii="Book Antiqua" w:hAnsi="Book Antiqua"/>
          <w:lang w:eastAsia="zh-CN"/>
        </w:rPr>
      </w:pPr>
    </w:p>
    <w:p w14:paraId="30519568" w14:textId="77777777" w:rsidR="00ED7E26" w:rsidRPr="00ED7E26" w:rsidRDefault="00ED7E26" w:rsidP="00ED7E26">
      <w:pPr>
        <w:ind w:leftChars="100" w:left="240"/>
        <w:jc w:val="right"/>
        <w:rPr>
          <w:rFonts w:ascii="Book Antiqua" w:hAnsi="Book Antiqua"/>
          <w:color w:val="000000" w:themeColor="text1"/>
          <w:lang w:eastAsia="zh-CN"/>
        </w:rPr>
      </w:pPr>
    </w:p>
    <w:p w14:paraId="44DD7160" w14:textId="77777777" w:rsidR="00ED7E26" w:rsidRPr="00763D22" w:rsidRDefault="00ED7E26" w:rsidP="00ED7E26">
      <w:pPr>
        <w:ind w:leftChars="100" w:left="240"/>
        <w:jc w:val="center"/>
        <w:rPr>
          <w:rFonts w:ascii="Book Antiqua" w:hAnsi="Book Antiqua"/>
          <w:color w:val="000000" w:themeColor="text1"/>
          <w:lang w:eastAsia="zh-CN"/>
        </w:rPr>
      </w:pPr>
      <w:r w:rsidRPr="00ED7E26">
        <w:rPr>
          <w:rFonts w:ascii="Book Antiqua" w:eastAsia="BookAntiqua-Bold" w:hAnsi="Book Antiqua" w:cs="BookAntiqua-Bold"/>
          <w:b/>
          <w:bCs/>
          <w:color w:val="000000" w:themeColor="text1"/>
        </w:rPr>
        <w:t xml:space="preserve">© 2023 </w:t>
      </w:r>
      <w:proofErr w:type="spellStart"/>
      <w:r w:rsidRPr="00ED7E26">
        <w:rPr>
          <w:rFonts w:ascii="Book Antiqua" w:eastAsia="BookAntiqua-Bold" w:hAnsi="Book Antiqua" w:cs="BookAntiqua-Bold"/>
          <w:b/>
          <w:bCs/>
          <w:color w:val="000000" w:themeColor="text1"/>
        </w:rPr>
        <w:t>Baishideng</w:t>
      </w:r>
      <w:proofErr w:type="spellEnd"/>
      <w:r w:rsidRPr="00ED7E26">
        <w:rPr>
          <w:rFonts w:ascii="Book Antiqua" w:eastAsia="BookAntiqua-Bold" w:hAnsi="Book Antiqua" w:cs="BookAntiqua-Bold"/>
          <w:b/>
          <w:bCs/>
          <w:color w:val="000000" w:themeColor="text1"/>
        </w:rPr>
        <w:t xml:space="preserve"> Publishing Group Inc. All rights reserved.</w:t>
      </w:r>
      <w:r w:rsidRPr="00ED7E26">
        <w:rPr>
          <w:rFonts w:ascii="Book Antiqua" w:hAnsi="Book Antiqua"/>
          <w:color w:val="000000" w:themeColor="text1"/>
          <w:lang w:eastAsia="zh-CN"/>
        </w:rPr>
        <w:fldChar w:fldCharType="begin"/>
      </w:r>
      <w:r w:rsidRPr="00ED7E26">
        <w:rPr>
          <w:rFonts w:ascii="Book Antiqua" w:hAnsi="Book Antiqua"/>
          <w:color w:val="000000" w:themeColor="text1"/>
          <w:lang w:eastAsia="zh-CN"/>
        </w:rPr>
        <w:instrText xml:space="preserve"> ADDIN EN.REFLIST </w:instrText>
      </w:r>
      <w:r w:rsidRPr="00ED7E26">
        <w:rPr>
          <w:rFonts w:ascii="Book Antiqua" w:hAnsi="Book Antiqua"/>
          <w:color w:val="000000" w:themeColor="text1"/>
          <w:lang w:eastAsia="zh-CN"/>
        </w:rPr>
        <w:fldChar w:fldCharType="end"/>
      </w:r>
      <w:bookmarkEnd w:id="8"/>
    </w:p>
    <w:p w14:paraId="131A2ABD" w14:textId="77777777" w:rsidR="00ED7E26" w:rsidRPr="00ED7E26" w:rsidRDefault="00ED7E26" w:rsidP="007456FF">
      <w:pPr>
        <w:pStyle w:val="Default"/>
        <w:spacing w:line="360" w:lineRule="auto"/>
        <w:jc w:val="both"/>
        <w:rPr>
          <w:rFonts w:ascii="Book Antiqua" w:hAnsi="Book Antiqua" w:cs="Times New Roman"/>
          <w:color w:val="131413"/>
        </w:rPr>
      </w:pPr>
    </w:p>
    <w:sectPr w:rsidR="00ED7E26" w:rsidRPr="00ED7E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B220" w14:textId="77777777" w:rsidR="00907451" w:rsidRDefault="00907451" w:rsidP="00117436">
      <w:r>
        <w:separator/>
      </w:r>
    </w:p>
  </w:endnote>
  <w:endnote w:type="continuationSeparator" w:id="0">
    <w:p w14:paraId="0C4D8030" w14:textId="77777777" w:rsidR="00907451" w:rsidRDefault="00907451" w:rsidP="0011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useo Sans Cond 900">
    <w:altName w:val="微软雅黑"/>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862787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4ED4C91" w14:textId="1B7CB07B" w:rsidR="00117436" w:rsidRPr="00117436" w:rsidRDefault="00117436">
            <w:pPr>
              <w:pStyle w:val="a6"/>
              <w:jc w:val="right"/>
              <w:rPr>
                <w:rFonts w:ascii="Book Antiqua" w:hAnsi="Book Antiqua"/>
                <w:sz w:val="24"/>
                <w:szCs w:val="24"/>
              </w:rPr>
            </w:pPr>
            <w:r w:rsidRPr="00117436">
              <w:rPr>
                <w:rFonts w:ascii="Book Antiqua" w:hAnsi="Book Antiqua"/>
                <w:sz w:val="24"/>
                <w:szCs w:val="24"/>
                <w:lang w:val="zh-CN" w:eastAsia="zh-CN"/>
              </w:rPr>
              <w:t xml:space="preserve"> </w:t>
            </w:r>
            <w:r w:rsidRPr="00117436">
              <w:rPr>
                <w:rFonts w:ascii="Book Antiqua" w:hAnsi="Book Antiqua"/>
                <w:b/>
                <w:bCs/>
                <w:sz w:val="24"/>
                <w:szCs w:val="24"/>
              </w:rPr>
              <w:fldChar w:fldCharType="begin"/>
            </w:r>
            <w:r w:rsidRPr="00117436">
              <w:rPr>
                <w:rFonts w:ascii="Book Antiqua" w:hAnsi="Book Antiqua"/>
                <w:b/>
                <w:bCs/>
                <w:sz w:val="24"/>
                <w:szCs w:val="24"/>
              </w:rPr>
              <w:instrText>PAGE</w:instrText>
            </w:r>
            <w:r w:rsidRPr="00117436">
              <w:rPr>
                <w:rFonts w:ascii="Book Antiqua" w:hAnsi="Book Antiqua"/>
                <w:b/>
                <w:bCs/>
                <w:sz w:val="24"/>
                <w:szCs w:val="24"/>
              </w:rPr>
              <w:fldChar w:fldCharType="separate"/>
            </w:r>
            <w:r w:rsidRPr="00117436">
              <w:rPr>
                <w:rFonts w:ascii="Book Antiqua" w:hAnsi="Book Antiqua"/>
                <w:b/>
                <w:bCs/>
                <w:sz w:val="24"/>
                <w:szCs w:val="24"/>
                <w:lang w:val="zh-CN" w:eastAsia="zh-CN"/>
              </w:rPr>
              <w:t>2</w:t>
            </w:r>
            <w:r w:rsidRPr="00117436">
              <w:rPr>
                <w:rFonts w:ascii="Book Antiqua" w:hAnsi="Book Antiqua"/>
                <w:b/>
                <w:bCs/>
                <w:sz w:val="24"/>
                <w:szCs w:val="24"/>
              </w:rPr>
              <w:fldChar w:fldCharType="end"/>
            </w:r>
            <w:r w:rsidRPr="00117436">
              <w:rPr>
                <w:rFonts w:ascii="Book Antiqua" w:hAnsi="Book Antiqua"/>
                <w:sz w:val="24"/>
                <w:szCs w:val="24"/>
                <w:lang w:val="zh-CN" w:eastAsia="zh-CN"/>
              </w:rPr>
              <w:t xml:space="preserve"> / </w:t>
            </w:r>
            <w:r w:rsidRPr="00117436">
              <w:rPr>
                <w:rFonts w:ascii="Book Antiqua" w:hAnsi="Book Antiqua"/>
                <w:b/>
                <w:bCs/>
                <w:sz w:val="24"/>
                <w:szCs w:val="24"/>
              </w:rPr>
              <w:fldChar w:fldCharType="begin"/>
            </w:r>
            <w:r w:rsidRPr="00117436">
              <w:rPr>
                <w:rFonts w:ascii="Book Antiqua" w:hAnsi="Book Antiqua"/>
                <w:b/>
                <w:bCs/>
                <w:sz w:val="24"/>
                <w:szCs w:val="24"/>
              </w:rPr>
              <w:instrText>NUMPAGES</w:instrText>
            </w:r>
            <w:r w:rsidRPr="00117436">
              <w:rPr>
                <w:rFonts w:ascii="Book Antiqua" w:hAnsi="Book Antiqua"/>
                <w:b/>
                <w:bCs/>
                <w:sz w:val="24"/>
                <w:szCs w:val="24"/>
              </w:rPr>
              <w:fldChar w:fldCharType="separate"/>
            </w:r>
            <w:r w:rsidRPr="00117436">
              <w:rPr>
                <w:rFonts w:ascii="Book Antiqua" w:hAnsi="Book Antiqua"/>
                <w:b/>
                <w:bCs/>
                <w:sz w:val="24"/>
                <w:szCs w:val="24"/>
                <w:lang w:val="zh-CN" w:eastAsia="zh-CN"/>
              </w:rPr>
              <w:t>2</w:t>
            </w:r>
            <w:r w:rsidRPr="00117436">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04CC3" w14:textId="77777777" w:rsidR="00907451" w:rsidRDefault="00907451" w:rsidP="00117436">
      <w:r>
        <w:separator/>
      </w:r>
    </w:p>
  </w:footnote>
  <w:footnote w:type="continuationSeparator" w:id="0">
    <w:p w14:paraId="5D74B120" w14:textId="77777777" w:rsidR="00907451" w:rsidRDefault="00907451" w:rsidP="001174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6B"/>
    <w:rsid w:val="000327BD"/>
    <w:rsid w:val="00035CA9"/>
    <w:rsid w:val="00053FA9"/>
    <w:rsid w:val="00066F2F"/>
    <w:rsid w:val="000C0108"/>
    <w:rsid w:val="000D00F7"/>
    <w:rsid w:val="000D0133"/>
    <w:rsid w:val="000E23B6"/>
    <w:rsid w:val="000E5206"/>
    <w:rsid w:val="000F142A"/>
    <w:rsid w:val="00116850"/>
    <w:rsid w:val="00117436"/>
    <w:rsid w:val="00133D14"/>
    <w:rsid w:val="001738D1"/>
    <w:rsid w:val="001A3857"/>
    <w:rsid w:val="001E4584"/>
    <w:rsid w:val="00240247"/>
    <w:rsid w:val="002508B1"/>
    <w:rsid w:val="002B2AC3"/>
    <w:rsid w:val="002B4569"/>
    <w:rsid w:val="002C66FB"/>
    <w:rsid w:val="002D2893"/>
    <w:rsid w:val="002E5001"/>
    <w:rsid w:val="002F7226"/>
    <w:rsid w:val="00325337"/>
    <w:rsid w:val="00325A24"/>
    <w:rsid w:val="00357B6A"/>
    <w:rsid w:val="003853B7"/>
    <w:rsid w:val="003A5B94"/>
    <w:rsid w:val="00401F1D"/>
    <w:rsid w:val="00402D80"/>
    <w:rsid w:val="00455A94"/>
    <w:rsid w:val="004A67A4"/>
    <w:rsid w:val="004A6FE3"/>
    <w:rsid w:val="004B1C9D"/>
    <w:rsid w:val="004C5160"/>
    <w:rsid w:val="004D6DA4"/>
    <w:rsid w:val="004F2B3C"/>
    <w:rsid w:val="00507E40"/>
    <w:rsid w:val="00531B04"/>
    <w:rsid w:val="00555478"/>
    <w:rsid w:val="00560592"/>
    <w:rsid w:val="00563028"/>
    <w:rsid w:val="0057421A"/>
    <w:rsid w:val="005A7BBE"/>
    <w:rsid w:val="006059E6"/>
    <w:rsid w:val="00646AEC"/>
    <w:rsid w:val="00650E4E"/>
    <w:rsid w:val="0066775C"/>
    <w:rsid w:val="006B0E54"/>
    <w:rsid w:val="006D50B5"/>
    <w:rsid w:val="006E634A"/>
    <w:rsid w:val="00703804"/>
    <w:rsid w:val="007054E8"/>
    <w:rsid w:val="007155C7"/>
    <w:rsid w:val="007456FF"/>
    <w:rsid w:val="00764EE1"/>
    <w:rsid w:val="007D7125"/>
    <w:rsid w:val="007E0BBF"/>
    <w:rsid w:val="00832E0D"/>
    <w:rsid w:val="008806BC"/>
    <w:rsid w:val="008C4903"/>
    <w:rsid w:val="008E1FE5"/>
    <w:rsid w:val="00907451"/>
    <w:rsid w:val="0092464C"/>
    <w:rsid w:val="00956715"/>
    <w:rsid w:val="009D7CB6"/>
    <w:rsid w:val="009F54A1"/>
    <w:rsid w:val="00A10C2A"/>
    <w:rsid w:val="00A219C6"/>
    <w:rsid w:val="00A40579"/>
    <w:rsid w:val="00A77B3E"/>
    <w:rsid w:val="00AA0A28"/>
    <w:rsid w:val="00AB746F"/>
    <w:rsid w:val="00BA24C6"/>
    <w:rsid w:val="00BA5358"/>
    <w:rsid w:val="00BB76BE"/>
    <w:rsid w:val="00BE50AF"/>
    <w:rsid w:val="00C178EB"/>
    <w:rsid w:val="00C436A6"/>
    <w:rsid w:val="00C7408F"/>
    <w:rsid w:val="00C92178"/>
    <w:rsid w:val="00CA2A55"/>
    <w:rsid w:val="00D10CF1"/>
    <w:rsid w:val="00D35250"/>
    <w:rsid w:val="00D751F1"/>
    <w:rsid w:val="00D90301"/>
    <w:rsid w:val="00DD7401"/>
    <w:rsid w:val="00DF3978"/>
    <w:rsid w:val="00E070A2"/>
    <w:rsid w:val="00E15D5A"/>
    <w:rsid w:val="00E57207"/>
    <w:rsid w:val="00E65BE8"/>
    <w:rsid w:val="00E82364"/>
    <w:rsid w:val="00E97A62"/>
    <w:rsid w:val="00EA4974"/>
    <w:rsid w:val="00ED7E26"/>
    <w:rsid w:val="00F17C5E"/>
    <w:rsid w:val="00F332B9"/>
    <w:rsid w:val="00F370D3"/>
    <w:rsid w:val="00F5638B"/>
    <w:rsid w:val="00F74238"/>
    <w:rsid w:val="00F7532B"/>
    <w:rsid w:val="00FE2054"/>
    <w:rsid w:val="00FF0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BCA60"/>
  <w15:docId w15:val="{0EFC03C7-785B-4980-81AB-7AE736CF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08B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08B1"/>
    <w:pPr>
      <w:widowControl w:val="0"/>
      <w:autoSpaceDE w:val="0"/>
      <w:autoSpaceDN w:val="0"/>
      <w:adjustRightInd w:val="0"/>
    </w:pPr>
    <w:rPr>
      <w:rFonts w:ascii="Museo Sans Cond 900" w:eastAsia="Museo Sans Cond 900" w:hAnsiTheme="minorHAnsi" w:cs="Museo Sans Cond 900"/>
      <w:color w:val="000000"/>
      <w:sz w:val="24"/>
      <w:szCs w:val="24"/>
      <w:lang w:eastAsia="zh-CN"/>
    </w:rPr>
  </w:style>
  <w:style w:type="paragraph" w:styleId="a4">
    <w:name w:val="header"/>
    <w:basedOn w:val="a"/>
    <w:link w:val="a5"/>
    <w:unhideWhenUsed/>
    <w:rsid w:val="0011743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17436"/>
    <w:rPr>
      <w:sz w:val="18"/>
      <w:szCs w:val="18"/>
    </w:rPr>
  </w:style>
  <w:style w:type="paragraph" w:styleId="a6">
    <w:name w:val="footer"/>
    <w:basedOn w:val="a"/>
    <w:link w:val="a7"/>
    <w:uiPriority w:val="99"/>
    <w:unhideWhenUsed/>
    <w:rsid w:val="00117436"/>
    <w:pPr>
      <w:tabs>
        <w:tab w:val="center" w:pos="4153"/>
        <w:tab w:val="right" w:pos="8306"/>
      </w:tabs>
      <w:snapToGrid w:val="0"/>
    </w:pPr>
    <w:rPr>
      <w:sz w:val="18"/>
      <w:szCs w:val="18"/>
    </w:rPr>
  </w:style>
  <w:style w:type="character" w:customStyle="1" w:styleId="a7">
    <w:name w:val="页脚 字符"/>
    <w:basedOn w:val="a0"/>
    <w:link w:val="a6"/>
    <w:uiPriority w:val="99"/>
    <w:rsid w:val="00117436"/>
    <w:rPr>
      <w:sz w:val="18"/>
      <w:szCs w:val="18"/>
    </w:rPr>
  </w:style>
  <w:style w:type="character" w:styleId="a8">
    <w:name w:val="annotation reference"/>
    <w:basedOn w:val="a0"/>
    <w:semiHidden/>
    <w:unhideWhenUsed/>
    <w:rsid w:val="002C66FB"/>
    <w:rPr>
      <w:sz w:val="21"/>
      <w:szCs w:val="21"/>
    </w:rPr>
  </w:style>
  <w:style w:type="paragraph" w:styleId="a9">
    <w:name w:val="annotation text"/>
    <w:basedOn w:val="a"/>
    <w:link w:val="aa"/>
    <w:unhideWhenUsed/>
    <w:rsid w:val="002C66FB"/>
  </w:style>
  <w:style w:type="character" w:customStyle="1" w:styleId="aa">
    <w:name w:val="批注文字 字符"/>
    <w:basedOn w:val="a0"/>
    <w:link w:val="a9"/>
    <w:rsid w:val="002C66FB"/>
    <w:rPr>
      <w:sz w:val="24"/>
      <w:szCs w:val="24"/>
    </w:rPr>
  </w:style>
  <w:style w:type="paragraph" w:styleId="ab">
    <w:name w:val="annotation subject"/>
    <w:basedOn w:val="a9"/>
    <w:next w:val="a9"/>
    <w:link w:val="ac"/>
    <w:semiHidden/>
    <w:unhideWhenUsed/>
    <w:rsid w:val="002C66FB"/>
    <w:rPr>
      <w:b/>
      <w:bCs/>
    </w:rPr>
  </w:style>
  <w:style w:type="character" w:customStyle="1" w:styleId="ac">
    <w:name w:val="批注主题 字符"/>
    <w:basedOn w:val="aa"/>
    <w:link w:val="ab"/>
    <w:semiHidden/>
    <w:rsid w:val="002C66FB"/>
    <w:rPr>
      <w:b/>
      <w:bCs/>
      <w:sz w:val="24"/>
      <w:szCs w:val="24"/>
    </w:rPr>
  </w:style>
  <w:style w:type="paragraph" w:styleId="ad">
    <w:name w:val="Revision"/>
    <w:hidden/>
    <w:uiPriority w:val="99"/>
    <w:semiHidden/>
    <w:rsid w:val="007155C7"/>
    <w:rPr>
      <w:sz w:val="24"/>
      <w:szCs w:val="24"/>
    </w:rPr>
  </w:style>
  <w:style w:type="character" w:styleId="ae">
    <w:name w:val="Hyperlink"/>
    <w:basedOn w:val="a0"/>
    <w:unhideWhenUsed/>
    <w:rsid w:val="00ED7E26"/>
    <w:rPr>
      <w:color w:val="0000FF" w:themeColor="hyperlink"/>
      <w:u w:val="single"/>
    </w:rPr>
  </w:style>
  <w:style w:type="character" w:styleId="af">
    <w:name w:val="Unresolved Mention"/>
    <w:basedOn w:val="a0"/>
    <w:uiPriority w:val="99"/>
    <w:semiHidden/>
    <w:unhideWhenUsed/>
    <w:rsid w:val="00ED7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14/326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19</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Hill</dc:creator>
  <cp:lastModifiedBy>Li Jia-Hui</cp:lastModifiedBy>
  <cp:revision>23</cp:revision>
  <dcterms:created xsi:type="dcterms:W3CDTF">2023-04-04T15:23:00Z</dcterms:created>
  <dcterms:modified xsi:type="dcterms:W3CDTF">2023-05-12T08:34:00Z</dcterms:modified>
</cp:coreProperties>
</file>